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4964" w14:textId="77777777" w:rsidR="00375DF3" w:rsidRPr="00377337" w:rsidRDefault="00375DF3" w:rsidP="003B7CFF">
      <w:pPr>
        <w:pStyle w:val="Paragraph"/>
      </w:pPr>
      <w:r w:rsidRPr="00377337">
        <w:rPr>
          <w:noProof/>
        </w:rPr>
        <mc:AlternateContent>
          <mc:Choice Requires="wps">
            <w:drawing>
              <wp:inline distT="0" distB="0" distL="0" distR="0" wp14:anchorId="49D1488F" wp14:editId="7CD97F4C">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B5B38" w14:textId="77777777" w:rsidR="00A429FD" w:rsidRPr="00BE2A26" w:rsidRDefault="00A429FD" w:rsidP="003B7CFF">
                            <w:pPr>
                              <w:pStyle w:val="Paragraph"/>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9D1488F"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3E0B5B38" w14:textId="77777777" w:rsidR="00A429FD" w:rsidRPr="00BE2A26" w:rsidRDefault="00A429FD" w:rsidP="003B7CFF">
                      <w:pPr>
                        <w:pStyle w:val="Paragraph"/>
                      </w:pPr>
                      <w:r w:rsidRPr="00BE2A26">
                        <w:rPr>
                          <w:rFonts w:ascii="SimSun" w:eastAsia="SimSun" w:hAnsi="SimSun" w:cs="Arial" w:hint="eastAsia"/>
                          <w:sz w:val="40"/>
                        </w:rPr>
                        <w:t>▼</w:t>
                      </w:r>
                    </w:p>
                  </w:txbxContent>
                </v:textbox>
                <w10:anchorlock/>
              </v:shape>
            </w:pict>
          </mc:Fallback>
        </mc:AlternateContent>
      </w:r>
      <w:r w:rsidR="001A3992" w:rsidRPr="00377337">
        <w:t>This medicinal product is subject to additional monitoring in Australia. This will allow quick identification of new safety information. Healthcare professionals are asked to report any suspected adverse events at</w:t>
      </w:r>
      <w:r w:rsidR="008958C0">
        <w:t xml:space="preserve"> www.tga.gov.au/reporting-problems.</w:t>
      </w:r>
    </w:p>
    <w:p w14:paraId="6562777D" w14:textId="01E5843B" w:rsidR="00ED27EC" w:rsidRDefault="006018AE" w:rsidP="00ED27EC">
      <w:pPr>
        <w:pStyle w:val="Heading1Unnumbered"/>
        <w:rPr>
          <w:rFonts w:eastAsia="SimSun"/>
        </w:rPr>
      </w:pPr>
      <w:r w:rsidRPr="00377337">
        <w:rPr>
          <w:rFonts w:eastAsia="SimSun"/>
        </w:rPr>
        <w:t>A</w:t>
      </w:r>
      <w:r w:rsidR="003D26B4">
        <w:rPr>
          <w:rFonts w:eastAsia="SimSun"/>
        </w:rPr>
        <w:t>USTRALIAN</w:t>
      </w:r>
      <w:r w:rsidRPr="00377337">
        <w:rPr>
          <w:rFonts w:eastAsia="SimSun"/>
        </w:rPr>
        <w:t xml:space="preserve"> P</w:t>
      </w:r>
      <w:r w:rsidR="00A32E10">
        <w:rPr>
          <w:rFonts w:eastAsia="SimSun"/>
        </w:rPr>
        <w:t xml:space="preserve">RODUCT </w:t>
      </w:r>
      <w:r w:rsidRPr="00377337">
        <w:rPr>
          <w:rFonts w:eastAsia="SimSun"/>
        </w:rPr>
        <w:t>I</w:t>
      </w:r>
      <w:r w:rsidR="00A32E10">
        <w:rPr>
          <w:rFonts w:eastAsia="SimSun"/>
        </w:rPr>
        <w:t>NFORMATION</w:t>
      </w:r>
    </w:p>
    <w:p w14:paraId="0D8EE169" w14:textId="626A8164" w:rsidR="006018AE" w:rsidRPr="00377337" w:rsidRDefault="003D26B4" w:rsidP="00ED27EC">
      <w:pPr>
        <w:pStyle w:val="Heading1Unnumbered"/>
        <w:rPr>
          <w:rFonts w:eastAsia="SimSun"/>
        </w:rPr>
      </w:pPr>
      <w:r>
        <w:rPr>
          <w:rFonts w:eastAsia="SimSun"/>
          <w:caps w:val="0"/>
        </w:rPr>
        <w:t>SAPHNELO</w:t>
      </w:r>
      <w:r w:rsidR="00724F52" w:rsidRPr="00724F52">
        <w:rPr>
          <w:rFonts w:eastAsia="SimSun" w:cs="Times New Roman"/>
          <w:caps w:val="0"/>
          <w:vertAlign w:val="superscript"/>
        </w:rPr>
        <w:t>®</w:t>
      </w:r>
      <w:r w:rsidR="002A7E3E">
        <w:rPr>
          <w:rFonts w:eastAsia="SimSun"/>
        </w:rPr>
        <w:t xml:space="preserve"> </w:t>
      </w:r>
      <w:r w:rsidR="00A32E10">
        <w:rPr>
          <w:rFonts w:eastAsia="SimSun"/>
        </w:rPr>
        <w:t>(</w:t>
      </w:r>
      <w:proofErr w:type="spellStart"/>
      <w:r w:rsidR="00106B0B">
        <w:rPr>
          <w:rFonts w:eastAsia="SimSun"/>
          <w:caps w:val="0"/>
        </w:rPr>
        <w:t>anifrolumab</w:t>
      </w:r>
      <w:proofErr w:type="spellEnd"/>
      <w:r w:rsidR="00ED27EC">
        <w:rPr>
          <w:rFonts w:eastAsia="SimSun"/>
          <w:caps w:val="0"/>
        </w:rPr>
        <w:t xml:space="preserve">) </w:t>
      </w:r>
      <w:r w:rsidR="00B519BC">
        <w:rPr>
          <w:rFonts w:eastAsia="SimSun"/>
          <w:caps w:val="0"/>
        </w:rPr>
        <w:t>concentrate</w:t>
      </w:r>
      <w:r w:rsidR="002A7E3E">
        <w:rPr>
          <w:rFonts w:eastAsia="SimSun"/>
          <w:caps w:val="0"/>
        </w:rPr>
        <w:t>d solution</w:t>
      </w:r>
      <w:r w:rsidR="00B519BC">
        <w:rPr>
          <w:rFonts w:eastAsia="SimSun"/>
          <w:caps w:val="0"/>
        </w:rPr>
        <w:t xml:space="preserve"> for in</w:t>
      </w:r>
      <w:r w:rsidR="00DD445C">
        <w:rPr>
          <w:rFonts w:eastAsia="SimSun"/>
          <w:caps w:val="0"/>
        </w:rPr>
        <w:t>fusion</w:t>
      </w:r>
    </w:p>
    <w:p w14:paraId="3D6A3B4F" w14:textId="77777777" w:rsidR="001A3992" w:rsidRDefault="001A3992" w:rsidP="00EE3AC8">
      <w:pPr>
        <w:pStyle w:val="Heading1"/>
      </w:pPr>
      <w:r w:rsidRPr="00377337">
        <w:t>Name of the medicine</w:t>
      </w:r>
    </w:p>
    <w:p w14:paraId="3D96BA73" w14:textId="41EE6A18" w:rsidR="0080644B" w:rsidRPr="0080644B" w:rsidRDefault="00B519BC" w:rsidP="0080644B">
      <w:pPr>
        <w:pStyle w:val="Paragraph"/>
      </w:pPr>
      <w:proofErr w:type="spellStart"/>
      <w:r>
        <w:t>Anifrolumab</w:t>
      </w:r>
      <w:proofErr w:type="spellEnd"/>
      <w:r>
        <w:t>.</w:t>
      </w:r>
    </w:p>
    <w:p w14:paraId="5A7B99D4" w14:textId="77777777" w:rsidR="001A3992" w:rsidRDefault="001A3992" w:rsidP="00EE3AC8">
      <w:pPr>
        <w:pStyle w:val="Heading1"/>
      </w:pPr>
      <w:bookmarkStart w:id="0" w:name="_Ref505770391"/>
      <w:r w:rsidRPr="00377337">
        <w:t>Qualitative and quantitative composition</w:t>
      </w:r>
      <w:bookmarkEnd w:id="0"/>
    </w:p>
    <w:p w14:paraId="16D33CCB" w14:textId="77777777" w:rsidR="002D30F1" w:rsidRPr="002D30F1" w:rsidRDefault="002D30F1" w:rsidP="002D30F1">
      <w:pPr>
        <w:pStyle w:val="Paragraph"/>
      </w:pPr>
      <w:r w:rsidRPr="002D30F1">
        <w:t xml:space="preserve">Each mL of concentrate for solution for infusion contains 150 mg of </w:t>
      </w:r>
      <w:proofErr w:type="spellStart"/>
      <w:r w:rsidRPr="002D30F1">
        <w:t>anifrolumab</w:t>
      </w:r>
      <w:proofErr w:type="spellEnd"/>
      <w:r w:rsidRPr="002D30F1">
        <w:t xml:space="preserve">. </w:t>
      </w:r>
    </w:p>
    <w:p w14:paraId="40CFE647" w14:textId="77777777" w:rsidR="002D30F1" w:rsidRPr="002D30F1" w:rsidRDefault="002D30F1" w:rsidP="002D30F1">
      <w:pPr>
        <w:pStyle w:val="Paragraph"/>
      </w:pPr>
      <w:r w:rsidRPr="002D30F1">
        <w:t xml:space="preserve">One vial of 2.0 mL of concentrate contains 300 mg of </w:t>
      </w:r>
      <w:proofErr w:type="spellStart"/>
      <w:r w:rsidRPr="002D30F1">
        <w:t>anifrolumab</w:t>
      </w:r>
      <w:proofErr w:type="spellEnd"/>
      <w:r w:rsidRPr="002D30F1">
        <w:t xml:space="preserve">. </w:t>
      </w:r>
    </w:p>
    <w:p w14:paraId="29D18AEB" w14:textId="321FA03E" w:rsidR="00ED27EC" w:rsidRDefault="00ED27EC" w:rsidP="00ED27EC">
      <w:pPr>
        <w:pStyle w:val="Paragraph"/>
        <w:rPr>
          <w:rFonts w:eastAsia="SimSun"/>
        </w:rPr>
      </w:pPr>
      <w:bookmarkStart w:id="1" w:name="_Hlk505357644"/>
      <w:r w:rsidRPr="007228AC">
        <w:rPr>
          <w:rFonts w:eastAsia="SimSun"/>
        </w:rPr>
        <w:t xml:space="preserve">For the full list of excipients, see Section </w:t>
      </w:r>
      <w:r w:rsidRPr="007228AC">
        <w:rPr>
          <w:rFonts w:eastAsia="SimSun"/>
        </w:rPr>
        <w:fldChar w:fldCharType="begin"/>
      </w:r>
      <w:r w:rsidRPr="007228AC">
        <w:rPr>
          <w:rFonts w:eastAsia="SimSun"/>
        </w:rPr>
        <w:instrText xml:space="preserve"> REF _Ref505768678 \r \h </w:instrText>
      </w:r>
      <w:r w:rsidR="00986EEB" w:rsidRPr="007228AC">
        <w:rPr>
          <w:rFonts w:eastAsia="SimSun"/>
        </w:rPr>
        <w:instrText xml:space="preserve"> \* MERGEFORMAT </w:instrText>
      </w:r>
      <w:r w:rsidRPr="007228AC">
        <w:rPr>
          <w:rFonts w:eastAsia="SimSun"/>
        </w:rPr>
      </w:r>
      <w:r w:rsidRPr="007228AC">
        <w:rPr>
          <w:rFonts w:eastAsia="SimSun"/>
        </w:rPr>
        <w:fldChar w:fldCharType="separate"/>
      </w:r>
      <w:r w:rsidR="00603AF8">
        <w:rPr>
          <w:rFonts w:eastAsia="SimSun"/>
        </w:rPr>
        <w:t>6.1</w:t>
      </w:r>
      <w:r w:rsidRPr="007228AC">
        <w:rPr>
          <w:rFonts w:eastAsia="SimSun"/>
        </w:rPr>
        <w:fldChar w:fldCharType="end"/>
      </w:r>
      <w:r w:rsidR="007228AC" w:rsidRPr="007228AC">
        <w:rPr>
          <w:rFonts w:eastAsia="SimSun"/>
        </w:rPr>
        <w:t xml:space="preserve"> </w:t>
      </w:r>
      <w:r w:rsidR="007228AC" w:rsidRPr="007228AC">
        <w:rPr>
          <w:rFonts w:eastAsia="SimSun"/>
        </w:rPr>
        <w:fldChar w:fldCharType="begin"/>
      </w:r>
      <w:r w:rsidR="007228AC" w:rsidRPr="007228AC">
        <w:rPr>
          <w:rFonts w:eastAsia="SimSun"/>
        </w:rPr>
        <w:instrText xml:space="preserve"> REF _Ref505768678 \h </w:instrText>
      </w:r>
      <w:r w:rsidR="007228AC">
        <w:rPr>
          <w:rFonts w:eastAsia="SimSun"/>
        </w:rPr>
        <w:instrText xml:space="preserve"> \* MERGEFORMAT </w:instrText>
      </w:r>
      <w:r w:rsidR="007228AC" w:rsidRPr="007228AC">
        <w:rPr>
          <w:rFonts w:eastAsia="SimSun"/>
        </w:rPr>
      </w:r>
      <w:r w:rsidR="007228AC" w:rsidRPr="007228AC">
        <w:rPr>
          <w:rFonts w:eastAsia="SimSun"/>
        </w:rPr>
        <w:fldChar w:fldCharType="separate"/>
      </w:r>
      <w:r w:rsidR="00603AF8" w:rsidRPr="00377337">
        <w:t>List of excipients</w:t>
      </w:r>
      <w:r w:rsidR="007228AC" w:rsidRPr="007228AC">
        <w:rPr>
          <w:rFonts w:eastAsia="SimSun"/>
        </w:rPr>
        <w:fldChar w:fldCharType="end"/>
      </w:r>
      <w:r w:rsidR="007228AC" w:rsidRPr="007228AC">
        <w:rPr>
          <w:rFonts w:eastAsia="SimSun"/>
        </w:rPr>
        <w:t>.</w:t>
      </w:r>
    </w:p>
    <w:bookmarkEnd w:id="1"/>
    <w:p w14:paraId="66CB1CB6" w14:textId="77777777" w:rsidR="001A3992" w:rsidRDefault="001A3992" w:rsidP="00EE3AC8">
      <w:pPr>
        <w:pStyle w:val="Heading1"/>
      </w:pPr>
      <w:r w:rsidRPr="00377337">
        <w:t>Pharmaceutical form</w:t>
      </w:r>
    </w:p>
    <w:p w14:paraId="7B5D27AA" w14:textId="0B6904EE" w:rsidR="00D82F37" w:rsidRPr="0034288F" w:rsidRDefault="00D82F37" w:rsidP="00D82F37">
      <w:pPr>
        <w:spacing w:line="240" w:lineRule="auto"/>
        <w:rPr>
          <w:noProof/>
          <w:szCs w:val="22"/>
        </w:rPr>
      </w:pPr>
      <w:r w:rsidRPr="0034288F">
        <w:rPr>
          <w:noProof/>
          <w:szCs w:val="22"/>
        </w:rPr>
        <w:t>Concentrate for solution for infusion (sterile concentrate).</w:t>
      </w:r>
    </w:p>
    <w:p w14:paraId="01B9891A" w14:textId="24C4C300" w:rsidR="00054E82" w:rsidRPr="00D82F37" w:rsidRDefault="00D82F37" w:rsidP="00D82F37">
      <w:pPr>
        <w:spacing w:line="240" w:lineRule="auto"/>
        <w:rPr>
          <w:noProof/>
          <w:szCs w:val="22"/>
        </w:rPr>
      </w:pPr>
      <w:r w:rsidRPr="0034288F">
        <w:rPr>
          <w:noProof/>
          <w:szCs w:val="22"/>
        </w:rPr>
        <w:t>Clear</w:t>
      </w:r>
      <w:r w:rsidRPr="00031A3E">
        <w:t xml:space="preserve"> </w:t>
      </w:r>
      <w:r w:rsidRPr="00031A3E">
        <w:rPr>
          <w:noProof/>
          <w:szCs w:val="22"/>
        </w:rPr>
        <w:t>to opalescent</w:t>
      </w:r>
      <w:r w:rsidRPr="0034288F">
        <w:rPr>
          <w:noProof/>
          <w:szCs w:val="22"/>
        </w:rPr>
        <w:t>, colourless to slightly yellow</w:t>
      </w:r>
      <w:r>
        <w:rPr>
          <w:noProof/>
          <w:szCs w:val="22"/>
        </w:rPr>
        <w:t xml:space="preserve"> </w:t>
      </w:r>
      <w:r w:rsidRPr="0034288F">
        <w:rPr>
          <w:noProof/>
          <w:szCs w:val="22"/>
        </w:rPr>
        <w:t>solution.</w:t>
      </w:r>
    </w:p>
    <w:p w14:paraId="57A164B4" w14:textId="77777777" w:rsidR="001A3992" w:rsidRPr="00377337" w:rsidRDefault="001A3992" w:rsidP="00EE3AC8">
      <w:pPr>
        <w:pStyle w:val="Heading1"/>
      </w:pPr>
      <w:r w:rsidRPr="00377337">
        <w:t>Clinical particulars</w:t>
      </w:r>
    </w:p>
    <w:p w14:paraId="65A144AD" w14:textId="77777777" w:rsidR="001A3992" w:rsidRDefault="001A3992" w:rsidP="00EE3AC8">
      <w:pPr>
        <w:pStyle w:val="Heading2"/>
      </w:pPr>
      <w:r w:rsidRPr="00377337">
        <w:t>Therapeutic indi</w:t>
      </w:r>
      <w:r w:rsidR="003B7CFF" w:rsidRPr="00377337">
        <w:t>cations</w:t>
      </w:r>
    </w:p>
    <w:p w14:paraId="5170783A" w14:textId="430E1C6F" w:rsidR="00C85696" w:rsidRDefault="003D26B4" w:rsidP="00C85696">
      <w:pPr>
        <w:pStyle w:val="Paragraph"/>
      </w:pPr>
      <w:bookmarkStart w:id="2" w:name="_Hlk42505787"/>
      <w:r>
        <w:t>SAPHNELO</w:t>
      </w:r>
      <w:r w:rsidR="00BC319C" w:rsidRPr="00BC319C">
        <w:t xml:space="preserve"> (</w:t>
      </w:r>
      <w:proofErr w:type="spellStart"/>
      <w:r w:rsidR="00BC319C" w:rsidRPr="00BC319C">
        <w:t>anifrolumab</w:t>
      </w:r>
      <w:proofErr w:type="spellEnd"/>
      <w:r w:rsidR="00BC319C" w:rsidRPr="00BC319C">
        <w:t xml:space="preserve">) is indicated </w:t>
      </w:r>
      <w:r w:rsidR="007216E5">
        <w:t>as add on</w:t>
      </w:r>
      <w:r w:rsidR="00BC319C" w:rsidRPr="00BC319C">
        <w:t xml:space="preserve"> treatment of adult patients with moderate to severe</w:t>
      </w:r>
      <w:r w:rsidR="0071599F">
        <w:t>, active</w:t>
      </w:r>
      <w:r w:rsidR="00BC319C" w:rsidRPr="00BC319C">
        <w:t xml:space="preserve"> systemic lupus erythematosus (SLE), despite standard therapy.</w:t>
      </w:r>
      <w:bookmarkEnd w:id="2"/>
    </w:p>
    <w:p w14:paraId="4D56B137" w14:textId="7E960419" w:rsidR="005976AA" w:rsidRPr="005976AA" w:rsidRDefault="005976AA" w:rsidP="00C85696">
      <w:pPr>
        <w:pStyle w:val="Paragraph"/>
      </w:pPr>
      <w:bookmarkStart w:id="3" w:name="_Hlk92882917"/>
      <w:r w:rsidRPr="005976AA">
        <w:t xml:space="preserve">The safety and efficacy of </w:t>
      </w:r>
      <w:r>
        <w:t>SAPHNELO</w:t>
      </w:r>
      <w:r w:rsidRPr="005976AA">
        <w:t xml:space="preserve"> have not been evaluated in patients with severe active lupus nephritis or severe active central nervous system lupus.</w:t>
      </w:r>
    </w:p>
    <w:bookmarkEnd w:id="3"/>
    <w:p w14:paraId="62C13796" w14:textId="77777777" w:rsidR="003B7CFF" w:rsidRDefault="001A3992" w:rsidP="003B7CFF">
      <w:pPr>
        <w:pStyle w:val="Heading2"/>
      </w:pPr>
      <w:r w:rsidRPr="00377337">
        <w:t>Dose and method of administration</w:t>
      </w:r>
    </w:p>
    <w:p w14:paraId="5491B50D" w14:textId="64D3C52E" w:rsidR="005976AA" w:rsidRDefault="005976AA" w:rsidP="005976AA">
      <w:pPr>
        <w:pStyle w:val="Paragraph"/>
      </w:pPr>
      <w:r w:rsidRPr="005976AA">
        <w:t>Treatment should be initiated and supervised by a physician experienced in the treatment of SLE.</w:t>
      </w:r>
    </w:p>
    <w:p w14:paraId="2FC30446" w14:textId="2165316D" w:rsidR="007571A0" w:rsidRDefault="007571A0" w:rsidP="005976AA">
      <w:pPr>
        <w:pStyle w:val="Paragraph"/>
      </w:pPr>
      <w:r w:rsidRPr="007571A0">
        <w:t>Discontinuation of treatment with SAPHNELO should be considered if there is no improvement in disease control after 6 months of treatment.</w:t>
      </w:r>
    </w:p>
    <w:p w14:paraId="23D1D4F9" w14:textId="4384B146" w:rsidR="00BC319C" w:rsidRPr="00406501" w:rsidRDefault="003D26B4" w:rsidP="00BC319C">
      <w:pPr>
        <w:pStyle w:val="Heading3Unnumbered"/>
      </w:pPr>
      <w:r>
        <w:t>Dosage</w:t>
      </w:r>
    </w:p>
    <w:p w14:paraId="43E41F4F" w14:textId="12D92AC8" w:rsidR="00BC319C" w:rsidRPr="00406501" w:rsidRDefault="00BC319C" w:rsidP="00BC319C">
      <w:pPr>
        <w:pStyle w:val="Paragraph"/>
        <w:rPr>
          <w:i/>
        </w:rPr>
      </w:pPr>
      <w:r w:rsidRPr="00406501">
        <w:t xml:space="preserve">The recommended dose of </w:t>
      </w:r>
      <w:r w:rsidR="003D26B4">
        <w:t>SAPHNELO</w:t>
      </w:r>
      <w:r w:rsidRPr="00406501">
        <w:t xml:space="preserve"> is 300 mg, administered as an intravenous infusion over a 30</w:t>
      </w:r>
      <w:r w:rsidRPr="00406501">
        <w:noBreakHyphen/>
        <w:t>minute period, every 4 weeks.</w:t>
      </w:r>
      <w:bookmarkStart w:id="4" w:name="_Hlk40794503"/>
      <w:r w:rsidRPr="00406501">
        <w:rPr>
          <w:i/>
        </w:rPr>
        <w:t xml:space="preserve"> </w:t>
      </w:r>
    </w:p>
    <w:p w14:paraId="21920526" w14:textId="77777777" w:rsidR="00BC319C" w:rsidRPr="00406501" w:rsidRDefault="00BC319C" w:rsidP="00BC319C">
      <w:pPr>
        <w:pStyle w:val="Heading4Unnumbered"/>
      </w:pPr>
      <w:r w:rsidRPr="00406501">
        <w:lastRenderedPageBreak/>
        <w:t>Missed dose</w:t>
      </w:r>
    </w:p>
    <w:p w14:paraId="79DC4869" w14:textId="49A65198" w:rsidR="00BC319C" w:rsidRDefault="00BC319C" w:rsidP="00BC319C">
      <w:pPr>
        <w:pStyle w:val="Paragraph"/>
      </w:pPr>
      <w:bookmarkStart w:id="5" w:name="_Hlk42626388"/>
      <w:r w:rsidRPr="00406501">
        <w:t xml:space="preserve">If a planned infusion is missed, administer </w:t>
      </w:r>
      <w:r w:rsidR="003D26B4">
        <w:t>SAPHNELO</w:t>
      </w:r>
      <w:r w:rsidRPr="00406501">
        <w:t xml:space="preserve"> as soon as possible. A minimum interval of 14</w:t>
      </w:r>
      <w:r w:rsidRPr="00406501">
        <w:noBreakHyphen/>
        <w:t>days should be maintained between doses.</w:t>
      </w:r>
    </w:p>
    <w:p w14:paraId="2F2CC5D4" w14:textId="77777777" w:rsidR="00BC319C" w:rsidRPr="00406501" w:rsidRDefault="00BC319C" w:rsidP="00BC319C">
      <w:pPr>
        <w:pStyle w:val="Heading3Unnumbered"/>
      </w:pPr>
      <w:r w:rsidRPr="00406501">
        <w:t>Method of administration</w:t>
      </w:r>
    </w:p>
    <w:p w14:paraId="63AE22D1" w14:textId="4FB8EB0F" w:rsidR="00BC319C" w:rsidRPr="00406501" w:rsidRDefault="003D26B4" w:rsidP="00BC319C">
      <w:pPr>
        <w:pStyle w:val="Paragraph"/>
      </w:pPr>
      <w:r>
        <w:t>SAPHNELO</w:t>
      </w:r>
      <w:r w:rsidR="00BC319C" w:rsidRPr="00406501">
        <w:t xml:space="preserve"> is for intravenous (IV) use. </w:t>
      </w:r>
    </w:p>
    <w:p w14:paraId="2A7A8CBC" w14:textId="0BE118A4" w:rsidR="00BC319C" w:rsidRPr="00406501" w:rsidRDefault="00BC319C" w:rsidP="00BC319C">
      <w:pPr>
        <w:pStyle w:val="Paragraph"/>
      </w:pPr>
      <w:r w:rsidRPr="00406501">
        <w:t xml:space="preserve">Following dilution with sodium chloride (0.9%) solution for injection, </w:t>
      </w:r>
      <w:r w:rsidR="003D26B4">
        <w:t>SAPHNELO</w:t>
      </w:r>
      <w:r w:rsidRPr="00406501">
        <w:t xml:space="preserve"> is administered as an IV infusion over a 30</w:t>
      </w:r>
      <w:r w:rsidRPr="00406501">
        <w:noBreakHyphen/>
        <w:t>minute period. Do not administer as an intravenous push or bolus injection.</w:t>
      </w:r>
    </w:p>
    <w:p w14:paraId="43DCD9B5" w14:textId="6DD14939" w:rsidR="00EE1910" w:rsidRDefault="00BC319C" w:rsidP="00EE1910">
      <w:pPr>
        <w:pStyle w:val="Paragraph"/>
        <w:rPr>
          <w:bCs/>
          <w:iCs/>
        </w:rPr>
      </w:pPr>
      <w:r w:rsidRPr="00406501">
        <w:rPr>
          <w:bCs/>
          <w:iCs/>
        </w:rPr>
        <w:t>The infusion rate may be slowed or interrupted if the patient develops an infusion reaction</w:t>
      </w:r>
      <w:r w:rsidR="00EE1910">
        <w:rPr>
          <w:bCs/>
          <w:iCs/>
        </w:rPr>
        <w:t>.</w:t>
      </w:r>
    </w:p>
    <w:p w14:paraId="1EE9F96A" w14:textId="358DB397" w:rsidR="00975801" w:rsidRPr="00975801" w:rsidRDefault="003D26B4" w:rsidP="00975801">
      <w:pPr>
        <w:pStyle w:val="Paragraph"/>
        <w:rPr>
          <w:bCs/>
          <w:iCs/>
        </w:rPr>
      </w:pPr>
      <w:r>
        <w:rPr>
          <w:bCs/>
          <w:iCs/>
        </w:rPr>
        <w:t>SAPHNELO</w:t>
      </w:r>
      <w:r w:rsidR="00975801" w:rsidRPr="00975801">
        <w:rPr>
          <w:bCs/>
          <w:iCs/>
        </w:rPr>
        <w:t xml:space="preserve"> is supplied as a single-dose vial. The solution for infusion should be prepared and administered by a healthcare professional, using aseptic technique as follows:</w:t>
      </w:r>
    </w:p>
    <w:p w14:paraId="01985A5A" w14:textId="77777777" w:rsidR="00975801" w:rsidRPr="00406501" w:rsidRDefault="00975801" w:rsidP="00975801">
      <w:pPr>
        <w:pStyle w:val="Heading4Unnumbered"/>
        <w:rPr>
          <w:rFonts w:eastAsiaTheme="minorEastAsia"/>
          <w:lang w:eastAsia="ja-JP"/>
        </w:rPr>
      </w:pPr>
      <w:r w:rsidRPr="00406501">
        <w:rPr>
          <w:rFonts w:eastAsiaTheme="minorEastAsia"/>
          <w:lang w:eastAsia="ja-JP"/>
        </w:rPr>
        <w:t>Preparation of solution</w:t>
      </w:r>
    </w:p>
    <w:p w14:paraId="1EE06D78" w14:textId="704A89F2" w:rsidR="00975801" w:rsidRPr="00975801" w:rsidRDefault="00975801" w:rsidP="00975801">
      <w:pPr>
        <w:pStyle w:val="Paragraph"/>
        <w:numPr>
          <w:ilvl w:val="0"/>
          <w:numId w:val="47"/>
        </w:numPr>
        <w:rPr>
          <w:bCs/>
          <w:iCs/>
        </w:rPr>
      </w:pPr>
      <w:r w:rsidRPr="00975801">
        <w:rPr>
          <w:bCs/>
          <w:iCs/>
        </w:rPr>
        <w:t xml:space="preserve">Visually inspect the vial for particulate matter and discolouration. </w:t>
      </w:r>
      <w:r w:rsidR="003D26B4">
        <w:rPr>
          <w:bCs/>
          <w:iCs/>
        </w:rPr>
        <w:t>SAPHNELO</w:t>
      </w:r>
      <w:r w:rsidRPr="00975801">
        <w:rPr>
          <w:bCs/>
          <w:iCs/>
        </w:rPr>
        <w:t xml:space="preserve"> is a clear to opalescent, colourless to slightly yellow solution. Discard the vial if the solution is cloudy, </w:t>
      </w:r>
      <w:proofErr w:type="gramStart"/>
      <w:r w:rsidRPr="00975801">
        <w:rPr>
          <w:bCs/>
          <w:iCs/>
        </w:rPr>
        <w:t>discoloured</w:t>
      </w:r>
      <w:proofErr w:type="gramEnd"/>
      <w:r w:rsidRPr="00975801">
        <w:rPr>
          <w:bCs/>
          <w:iCs/>
        </w:rPr>
        <w:t xml:space="preserve"> or visible particles are observed. Do not shake the vial.</w:t>
      </w:r>
    </w:p>
    <w:p w14:paraId="22D46A04" w14:textId="77777777" w:rsidR="00975801" w:rsidRPr="00975801" w:rsidRDefault="00975801" w:rsidP="00975801">
      <w:pPr>
        <w:pStyle w:val="Paragraph"/>
        <w:numPr>
          <w:ilvl w:val="0"/>
          <w:numId w:val="47"/>
        </w:numPr>
        <w:rPr>
          <w:bCs/>
          <w:iCs/>
        </w:rPr>
      </w:pPr>
      <w:r w:rsidRPr="00975801">
        <w:rPr>
          <w:bCs/>
          <w:iCs/>
        </w:rPr>
        <w:t>Withdraw and discard 2.0 mL of sodium chloride 9 mg/mL (0.9%) solution for injection, from a 100 mL infusion bag.</w:t>
      </w:r>
    </w:p>
    <w:p w14:paraId="49F3D1A0" w14:textId="35746D2A" w:rsidR="00975801" w:rsidRPr="00975801" w:rsidRDefault="00975801" w:rsidP="00975801">
      <w:pPr>
        <w:pStyle w:val="Paragraph"/>
        <w:numPr>
          <w:ilvl w:val="0"/>
          <w:numId w:val="47"/>
        </w:numPr>
        <w:rPr>
          <w:bCs/>
          <w:iCs/>
        </w:rPr>
      </w:pPr>
      <w:r w:rsidRPr="00975801">
        <w:rPr>
          <w:bCs/>
          <w:iCs/>
        </w:rPr>
        <w:t xml:space="preserve">Withdraw 2.0 mL from the vial of </w:t>
      </w:r>
      <w:r w:rsidR="003D26B4">
        <w:rPr>
          <w:bCs/>
          <w:iCs/>
        </w:rPr>
        <w:t>SAPHNELO</w:t>
      </w:r>
      <w:r w:rsidRPr="00975801">
        <w:rPr>
          <w:bCs/>
          <w:iCs/>
        </w:rPr>
        <w:t xml:space="preserve"> and add it to the infusion bag. Mix the solution by gentle inversion. Do not shake.</w:t>
      </w:r>
    </w:p>
    <w:p w14:paraId="29BDCD7B" w14:textId="2C7113D6" w:rsidR="00975801" w:rsidRPr="00975801" w:rsidRDefault="00975801" w:rsidP="00975801">
      <w:pPr>
        <w:pStyle w:val="Paragraph"/>
        <w:numPr>
          <w:ilvl w:val="0"/>
          <w:numId w:val="47"/>
        </w:numPr>
        <w:rPr>
          <w:bCs/>
          <w:iCs/>
        </w:rPr>
      </w:pPr>
      <w:r w:rsidRPr="00975801">
        <w:rPr>
          <w:bCs/>
          <w:iCs/>
        </w:rPr>
        <w:t xml:space="preserve">The concentrate does not contain any preservatives. </w:t>
      </w:r>
      <w:r w:rsidR="007F254B">
        <w:rPr>
          <w:bCs/>
          <w:iCs/>
        </w:rPr>
        <w:t xml:space="preserve">Product is for single use in one patient only. </w:t>
      </w:r>
      <w:r w:rsidRPr="00975801">
        <w:rPr>
          <w:bCs/>
          <w:iCs/>
        </w:rPr>
        <w:t>Any concentrate remaining in the vial must be discarded.</w:t>
      </w:r>
    </w:p>
    <w:p w14:paraId="334E273E" w14:textId="77777777" w:rsidR="00975801" w:rsidRPr="00406501" w:rsidRDefault="00975801" w:rsidP="00975801">
      <w:pPr>
        <w:pStyle w:val="Heading4Unnumbered"/>
      </w:pPr>
      <w:r w:rsidRPr="00406501">
        <w:t>Administration</w:t>
      </w:r>
    </w:p>
    <w:p w14:paraId="2B9B23D0" w14:textId="627B1A18" w:rsidR="00975801" w:rsidRPr="00406501" w:rsidRDefault="00975801" w:rsidP="00975801">
      <w:pPr>
        <w:numPr>
          <w:ilvl w:val="0"/>
          <w:numId w:val="48"/>
        </w:numPr>
        <w:spacing w:after="160" w:line="259" w:lineRule="auto"/>
        <w:rPr>
          <w:bCs/>
          <w:iCs/>
        </w:rPr>
      </w:pPr>
      <w:r w:rsidRPr="00406501">
        <w:rPr>
          <w:bCs/>
          <w:iCs/>
        </w:rPr>
        <w:t>It is recommended that the solution for infusion be administered immediately after preparation</w:t>
      </w:r>
      <w:bookmarkStart w:id="6" w:name="_Hlk39583201"/>
      <w:r w:rsidRPr="00406501">
        <w:rPr>
          <w:bCs/>
          <w:iCs/>
        </w:rPr>
        <w:t xml:space="preserve">. </w:t>
      </w:r>
      <w:bookmarkStart w:id="7" w:name="_Hlk31632934"/>
      <w:r w:rsidRPr="00406501">
        <w:rPr>
          <w:bCs/>
          <w:iCs/>
        </w:rPr>
        <w:t xml:space="preserve">If the solution for infusion has been stored in a refrigerator (see </w:t>
      </w:r>
      <w:r w:rsidR="00CA327D">
        <w:rPr>
          <w:bCs/>
          <w:iCs/>
        </w:rPr>
        <w:t>S</w:t>
      </w:r>
      <w:r w:rsidRPr="00406501">
        <w:rPr>
          <w:bCs/>
          <w:iCs/>
        </w:rPr>
        <w:t>ection 6.3</w:t>
      </w:r>
      <w:r w:rsidR="00CA327D">
        <w:rPr>
          <w:bCs/>
          <w:iCs/>
        </w:rPr>
        <w:t xml:space="preserve"> Shelf life</w:t>
      </w:r>
      <w:r w:rsidRPr="00406501">
        <w:rPr>
          <w:bCs/>
          <w:iCs/>
        </w:rPr>
        <w:t>), allow it to reach room temperature (15 to 25°C) prior to administration.</w:t>
      </w:r>
      <w:bookmarkEnd w:id="7"/>
    </w:p>
    <w:bookmarkEnd w:id="6"/>
    <w:p w14:paraId="79B9A339" w14:textId="77777777" w:rsidR="00975801" w:rsidRPr="00406501" w:rsidRDefault="00975801" w:rsidP="00975801">
      <w:pPr>
        <w:numPr>
          <w:ilvl w:val="0"/>
          <w:numId w:val="48"/>
        </w:numPr>
        <w:spacing w:after="160" w:line="259" w:lineRule="auto"/>
        <w:rPr>
          <w:bCs/>
          <w:iCs/>
        </w:rPr>
      </w:pPr>
      <w:r w:rsidRPr="00406501">
        <w:rPr>
          <w:bCs/>
          <w:iCs/>
        </w:rPr>
        <w:t>Administer the infusion solution intravenously over 30 minutes through an IV line containing a sterile, low-protein binding 0.2 or 0.22 micron in-line filter.</w:t>
      </w:r>
    </w:p>
    <w:p w14:paraId="61B7B88B" w14:textId="77777777" w:rsidR="00975801" w:rsidRPr="00406501" w:rsidRDefault="00975801" w:rsidP="00975801">
      <w:pPr>
        <w:numPr>
          <w:ilvl w:val="0"/>
          <w:numId w:val="48"/>
        </w:numPr>
        <w:spacing w:after="160" w:line="259" w:lineRule="auto"/>
        <w:rPr>
          <w:bCs/>
          <w:iCs/>
        </w:rPr>
      </w:pPr>
      <w:r w:rsidRPr="00406501">
        <w:rPr>
          <w:bCs/>
          <w:iCs/>
        </w:rPr>
        <w:t xml:space="preserve">Upon completion of the infusion, flush the infusion set with 25 mL sodium chloride 9 mg/mL (0.9%) solution for infusion to ensure that </w:t>
      </w:r>
      <w:proofErr w:type="gramStart"/>
      <w:r w:rsidRPr="00406501">
        <w:rPr>
          <w:bCs/>
          <w:iCs/>
        </w:rPr>
        <w:t>all of</w:t>
      </w:r>
      <w:proofErr w:type="gramEnd"/>
      <w:r w:rsidRPr="00406501">
        <w:rPr>
          <w:bCs/>
          <w:iCs/>
        </w:rPr>
        <w:t xml:space="preserve"> the solution for infusion has been administered.</w:t>
      </w:r>
    </w:p>
    <w:p w14:paraId="10F2FB3B" w14:textId="73CA011E" w:rsidR="00EE1910" w:rsidRPr="00975801" w:rsidRDefault="00975801" w:rsidP="00EE1910">
      <w:pPr>
        <w:numPr>
          <w:ilvl w:val="0"/>
          <w:numId w:val="48"/>
        </w:numPr>
        <w:spacing w:after="160" w:line="259" w:lineRule="auto"/>
        <w:rPr>
          <w:bCs/>
          <w:iCs/>
        </w:rPr>
      </w:pPr>
      <w:r w:rsidRPr="00406501">
        <w:rPr>
          <w:bCs/>
          <w:iCs/>
        </w:rPr>
        <w:t>Do not co-administer other medicinal products through the same infusion line.</w:t>
      </w:r>
    </w:p>
    <w:bookmarkEnd w:id="4"/>
    <w:bookmarkEnd w:id="5"/>
    <w:p w14:paraId="12D2DA89" w14:textId="77777777" w:rsidR="00BC319C" w:rsidRPr="00406501" w:rsidRDefault="00BC319C" w:rsidP="00BC319C">
      <w:pPr>
        <w:pStyle w:val="Heading3Unnumbered"/>
      </w:pPr>
      <w:r w:rsidRPr="00406501">
        <w:lastRenderedPageBreak/>
        <w:t>Special populations</w:t>
      </w:r>
    </w:p>
    <w:p w14:paraId="27FF2EC7" w14:textId="77777777" w:rsidR="00BC319C" w:rsidRPr="00406501" w:rsidRDefault="00BC319C" w:rsidP="00BC319C">
      <w:pPr>
        <w:pStyle w:val="Heading4Unnumbered"/>
      </w:pPr>
      <w:bookmarkStart w:id="8" w:name="_Hlk43109696"/>
      <w:r w:rsidRPr="00406501">
        <w:t>Renal impairment</w:t>
      </w:r>
    </w:p>
    <w:p w14:paraId="03B25519" w14:textId="50A26DBE" w:rsidR="00BC319C" w:rsidRPr="00406501" w:rsidRDefault="00BC319C" w:rsidP="00BC319C">
      <w:pPr>
        <w:pStyle w:val="Paragraph"/>
      </w:pPr>
      <w:r w:rsidRPr="00406501">
        <w:t xml:space="preserve">No specific studies with </w:t>
      </w:r>
      <w:r w:rsidR="003D26B4">
        <w:t>SAPHNELO</w:t>
      </w:r>
      <w:r w:rsidRPr="00406501">
        <w:t xml:space="preserve"> have been conducted in patients with renal impairment. </w:t>
      </w:r>
      <w:r w:rsidR="00CC0C34">
        <w:t xml:space="preserve">Based on population pharmacokinetic analysis no dose adjustment is required in patients with mild (eGFR </w:t>
      </w:r>
      <w:r w:rsidR="00CC0C34" w:rsidRPr="00406501">
        <w:t>60-</w:t>
      </w:r>
      <w:r w:rsidR="00523810">
        <w:rPr>
          <w:bCs/>
          <w:iCs/>
        </w:rPr>
        <w:t xml:space="preserve">89 </w:t>
      </w:r>
      <w:r w:rsidR="00CC0C34" w:rsidRPr="00406501">
        <w:t>mL/min/1.73 m</w:t>
      </w:r>
      <w:r w:rsidR="00CC0C34" w:rsidRPr="00406501">
        <w:rPr>
          <w:vertAlign w:val="superscript"/>
        </w:rPr>
        <w:t>2</w:t>
      </w:r>
      <w:r w:rsidR="00CC0C34" w:rsidRPr="00CC0C34">
        <w:t>)</w:t>
      </w:r>
      <w:r w:rsidR="00CC0C34">
        <w:t xml:space="preserve"> renal impairment. </w:t>
      </w:r>
      <w:r w:rsidRPr="00406501">
        <w:t xml:space="preserve">There is no experience in patients with </w:t>
      </w:r>
      <w:r w:rsidR="001311BF">
        <w:t xml:space="preserve">severe active </w:t>
      </w:r>
      <w:r w:rsidR="00CC0C34">
        <w:t xml:space="preserve">lupus nephritis, </w:t>
      </w:r>
      <w:r w:rsidRPr="00406501">
        <w:t xml:space="preserve">severe renal impairment or end-stage renal disease </w:t>
      </w:r>
      <w:r w:rsidR="00CC0C34">
        <w:t xml:space="preserve">who were all excluded from the clinical studies </w:t>
      </w:r>
      <w:r w:rsidRPr="00406501">
        <w:t xml:space="preserve">(see </w:t>
      </w:r>
      <w:r>
        <w:t>S</w:t>
      </w:r>
      <w:r w:rsidRPr="00406501">
        <w:t>ection 5.2</w:t>
      </w:r>
      <w:r>
        <w:t xml:space="preserve"> Pharmacokinetic properties</w:t>
      </w:r>
      <w:r w:rsidRPr="00406501">
        <w:t>).</w:t>
      </w:r>
      <w:bookmarkStart w:id="9" w:name="_Hlk42246179"/>
      <w:bookmarkEnd w:id="9"/>
    </w:p>
    <w:bookmarkEnd w:id="8"/>
    <w:p w14:paraId="6B775A86" w14:textId="77777777" w:rsidR="00BC319C" w:rsidRPr="00406501" w:rsidRDefault="00BC319C" w:rsidP="00BC319C">
      <w:pPr>
        <w:pStyle w:val="Heading4Unnumbered"/>
      </w:pPr>
      <w:r w:rsidRPr="00406501">
        <w:t>Hepatic impairment</w:t>
      </w:r>
    </w:p>
    <w:p w14:paraId="5CD8BA98" w14:textId="7A894929" w:rsidR="00BC319C" w:rsidRDefault="00BC319C" w:rsidP="00BC319C">
      <w:pPr>
        <w:pStyle w:val="Paragraph"/>
      </w:pPr>
      <w:r w:rsidRPr="00406501">
        <w:t>No specific studies have been conducted in patients with hepatic impairment.</w:t>
      </w:r>
      <w:r w:rsidR="006F0678">
        <w:t xml:space="preserve"> Based on population pharmacokinetic analysis no dose adjustment is required for patients with mild to moderate hepatic impairment.</w:t>
      </w:r>
    </w:p>
    <w:p w14:paraId="7C652E4A" w14:textId="276D3432" w:rsidR="006E30D0" w:rsidRPr="006E30D0" w:rsidRDefault="006E30D0" w:rsidP="006E30D0">
      <w:pPr>
        <w:pStyle w:val="Heading4Unnumbered"/>
      </w:pPr>
      <w:r>
        <w:rPr>
          <w:iCs/>
        </w:rPr>
        <w:t>Use in the elderly</w:t>
      </w:r>
    </w:p>
    <w:p w14:paraId="76DFCFE4" w14:textId="38BBE6E8" w:rsidR="00BC319C" w:rsidRPr="00406501" w:rsidRDefault="00BC319C" w:rsidP="00BC319C">
      <w:pPr>
        <w:pStyle w:val="Paragraph"/>
      </w:pPr>
      <w:r w:rsidRPr="00406501">
        <w:t xml:space="preserve">No dose adjustment is required. There is limited information in subjects aged ≥65 years (see </w:t>
      </w:r>
      <w:r>
        <w:t>S</w:t>
      </w:r>
      <w:r w:rsidRPr="00406501">
        <w:t>ection 5.2</w:t>
      </w:r>
      <w:r>
        <w:t xml:space="preserve"> Pharmacokinetic properties</w:t>
      </w:r>
      <w:r w:rsidRPr="00406501">
        <w:t>).</w:t>
      </w:r>
    </w:p>
    <w:p w14:paraId="017B3310" w14:textId="237821B5" w:rsidR="00BC319C" w:rsidRPr="00406501" w:rsidRDefault="00BC319C" w:rsidP="00BC319C">
      <w:pPr>
        <w:pStyle w:val="Heading4Unnumbered"/>
      </w:pPr>
      <w:r w:rsidRPr="00406501">
        <w:t xml:space="preserve">Paediatric </w:t>
      </w:r>
      <w:r w:rsidR="006E30D0">
        <w:t>use</w:t>
      </w:r>
    </w:p>
    <w:p w14:paraId="6E62981E" w14:textId="052B4747" w:rsidR="00BC319C" w:rsidRPr="00406501" w:rsidRDefault="00BC319C" w:rsidP="00BC319C">
      <w:pPr>
        <w:pStyle w:val="Paragraph"/>
        <w:keepNext/>
      </w:pPr>
      <w:r w:rsidRPr="00406501">
        <w:t xml:space="preserve">The safety and efficacy of </w:t>
      </w:r>
      <w:r w:rsidR="003D26B4">
        <w:t>SAPHNELO</w:t>
      </w:r>
      <w:r w:rsidRPr="00406501">
        <w:t xml:space="preserve"> in children and adolescents (aged &lt;18 years old) have not yet been established. No data are available.</w:t>
      </w:r>
    </w:p>
    <w:p w14:paraId="5CBC4926" w14:textId="77777777" w:rsidR="001A3992" w:rsidRDefault="001A3992" w:rsidP="00EE3AC8">
      <w:pPr>
        <w:pStyle w:val="Heading2"/>
      </w:pPr>
      <w:r w:rsidRPr="00377337">
        <w:t>Contraindications</w:t>
      </w:r>
    </w:p>
    <w:p w14:paraId="2712710A" w14:textId="7FC893EA" w:rsidR="00C85696" w:rsidRPr="00C85696" w:rsidRDefault="00F7176B" w:rsidP="00C85696">
      <w:pPr>
        <w:pStyle w:val="Paragraph"/>
      </w:pPr>
      <w:r w:rsidRPr="00F7176B">
        <w:t xml:space="preserve">Hypersensitivity to the active substance or to any of the excipients listed in </w:t>
      </w:r>
      <w:r>
        <w:t>S</w:t>
      </w:r>
      <w:r w:rsidRPr="00F7176B">
        <w:t>ection 6.</w:t>
      </w:r>
      <w:r>
        <w:t>1 L</w:t>
      </w:r>
      <w:r w:rsidR="002704BF">
        <w:t>ist of excipients</w:t>
      </w:r>
      <w:r w:rsidR="006436DF">
        <w:t>.</w:t>
      </w:r>
    </w:p>
    <w:p w14:paraId="098746DB" w14:textId="77777777" w:rsidR="001A3992" w:rsidRDefault="00E74A56" w:rsidP="003B7CFF">
      <w:pPr>
        <w:pStyle w:val="Heading2"/>
      </w:pPr>
      <w:r w:rsidRPr="00377337">
        <w:t>Special warnings and p</w:t>
      </w:r>
      <w:r w:rsidR="001A3992" w:rsidRPr="00377337">
        <w:t xml:space="preserve">recautions </w:t>
      </w:r>
      <w:r w:rsidRPr="00377337">
        <w:t>for use</w:t>
      </w:r>
    </w:p>
    <w:p w14:paraId="10C309B0" w14:textId="77777777" w:rsidR="00E005A0" w:rsidRPr="00406501" w:rsidRDefault="00E005A0" w:rsidP="00E005A0">
      <w:pPr>
        <w:pStyle w:val="Heading3Unnumbered"/>
      </w:pPr>
      <w:bookmarkStart w:id="10" w:name="_Hlk42187595"/>
      <w:r w:rsidRPr="00406501">
        <w:t xml:space="preserve">Hypersensitivity </w:t>
      </w:r>
    </w:p>
    <w:p w14:paraId="25575F89" w14:textId="2DBED747" w:rsidR="00E005A0" w:rsidRPr="00406501" w:rsidRDefault="00E005A0" w:rsidP="00E005A0">
      <w:pPr>
        <w:pStyle w:val="Paragraph"/>
      </w:pPr>
      <w:r w:rsidRPr="00406501">
        <w:t xml:space="preserve">Serious hypersensitivity reactions including anaphylaxis have been reported following </w:t>
      </w:r>
      <w:r w:rsidR="003D26B4">
        <w:t>SAPHNELO</w:t>
      </w:r>
      <w:r w:rsidRPr="00406501">
        <w:t xml:space="preserve"> administration (see </w:t>
      </w:r>
      <w:r w:rsidR="00533B76">
        <w:t>S</w:t>
      </w:r>
      <w:r w:rsidRPr="00406501">
        <w:t>ection 4.8</w:t>
      </w:r>
      <w:r>
        <w:t xml:space="preserve"> Adverse effects (Undesirable effects)</w:t>
      </w:r>
      <w:r w:rsidRPr="00406501">
        <w:t>).</w:t>
      </w:r>
    </w:p>
    <w:p w14:paraId="23F8BFE5" w14:textId="52B1D16D" w:rsidR="00E005A0" w:rsidRPr="00406501" w:rsidRDefault="00E005A0" w:rsidP="00E005A0">
      <w:pPr>
        <w:pStyle w:val="Paragraph"/>
      </w:pPr>
      <w:r w:rsidRPr="00406501">
        <w:t xml:space="preserve">In the </w:t>
      </w:r>
      <w:r w:rsidR="00330AAC">
        <w:t>placebo-</w:t>
      </w:r>
      <w:r w:rsidRPr="00406501">
        <w:t>controlled</w:t>
      </w:r>
      <w:r w:rsidR="00330AAC">
        <w:t xml:space="preserve"> </w:t>
      </w:r>
      <w:r w:rsidRPr="00406501">
        <w:t xml:space="preserve">clinical trials, serious hypersensitivity events (including angioedema) were reported for 0.6% (3/459) of patients receiving </w:t>
      </w:r>
      <w:proofErr w:type="spellStart"/>
      <w:r w:rsidRPr="00406501">
        <w:t>anifrolumab</w:t>
      </w:r>
      <w:proofErr w:type="spellEnd"/>
      <w:r>
        <w:t>.</w:t>
      </w:r>
      <w:r w:rsidRPr="00406501">
        <w:t xml:space="preserve"> There was one event of anaphylactic reaction</w:t>
      </w:r>
      <w:r w:rsidRPr="00406501" w:rsidDel="00F97C28">
        <w:t xml:space="preserve"> </w:t>
      </w:r>
      <w:r w:rsidRPr="00406501">
        <w:t xml:space="preserve">in the SLE development program following the administration of </w:t>
      </w:r>
      <w:proofErr w:type="spellStart"/>
      <w:r w:rsidRPr="00406501">
        <w:t>anifrolumab</w:t>
      </w:r>
      <w:proofErr w:type="spellEnd"/>
      <w:r w:rsidRPr="00406501">
        <w:t>.</w:t>
      </w:r>
      <w:bookmarkStart w:id="11" w:name="_Hlk42155860"/>
      <w:bookmarkEnd w:id="11"/>
    </w:p>
    <w:p w14:paraId="18E685B7" w14:textId="770D81FC" w:rsidR="00E005A0" w:rsidRPr="00406501" w:rsidRDefault="00E005A0" w:rsidP="00E005A0">
      <w:pPr>
        <w:pStyle w:val="Paragraph"/>
      </w:pPr>
      <w:bookmarkStart w:id="12" w:name="_Hlk42260077"/>
      <w:r w:rsidRPr="00406501">
        <w:t xml:space="preserve">If </w:t>
      </w:r>
      <w:bookmarkStart w:id="13" w:name="_Hlk41028924"/>
      <w:r w:rsidRPr="00406501">
        <w:t xml:space="preserve">a serious infusion-related or hypersensitivity reaction </w:t>
      </w:r>
      <w:bookmarkEnd w:id="13"/>
      <w:r w:rsidRPr="00406501">
        <w:t>(</w:t>
      </w:r>
      <w:proofErr w:type="gramStart"/>
      <w:r w:rsidRPr="00406501">
        <w:t>e.g.</w:t>
      </w:r>
      <w:proofErr w:type="gramEnd"/>
      <w:r w:rsidRPr="00406501">
        <w:t xml:space="preserve"> anaphylaxis) occurs, administration of </w:t>
      </w:r>
      <w:r w:rsidR="003D26B4">
        <w:t>SAPHNELO</w:t>
      </w:r>
      <w:r w:rsidRPr="00406501">
        <w:t xml:space="preserve"> should be interrupted immediately, and appropriate therapy initiated.</w:t>
      </w:r>
    </w:p>
    <w:p w14:paraId="5EA488EF" w14:textId="77777777" w:rsidR="00E005A0" w:rsidRPr="00406501" w:rsidRDefault="00E005A0" w:rsidP="00E005A0">
      <w:pPr>
        <w:pStyle w:val="Heading3Unnumbered"/>
      </w:pPr>
      <w:bookmarkStart w:id="14" w:name="_Hlk42260156"/>
      <w:bookmarkEnd w:id="12"/>
      <w:r w:rsidRPr="00406501">
        <w:t xml:space="preserve">Infections </w:t>
      </w:r>
    </w:p>
    <w:p w14:paraId="69260F4A" w14:textId="3EF574B2" w:rsidR="00E005A0" w:rsidRPr="00406501" w:rsidRDefault="003D26B4" w:rsidP="00E005A0">
      <w:pPr>
        <w:pStyle w:val="Paragraph"/>
      </w:pPr>
      <w:bookmarkStart w:id="15" w:name="_Hlk44235770"/>
      <w:r>
        <w:t>SAPHNELO</w:t>
      </w:r>
      <w:r w:rsidR="00E005A0" w:rsidRPr="00406501">
        <w:t xml:space="preserve"> increases the risk of respiratory infections and herpes zoster </w:t>
      </w:r>
      <w:r w:rsidR="00C047AD">
        <w:t xml:space="preserve">(disseminated herpes zoster events have been observed), </w:t>
      </w:r>
      <w:r w:rsidR="00E005A0" w:rsidRPr="00406501">
        <w:t xml:space="preserve">see </w:t>
      </w:r>
      <w:r w:rsidR="00533B76">
        <w:t>S</w:t>
      </w:r>
      <w:r w:rsidR="00E005A0" w:rsidRPr="00406501">
        <w:t>ection 4.8</w:t>
      </w:r>
      <w:r w:rsidR="00E005A0">
        <w:t xml:space="preserve"> Adverse effects (Undesirable effects)</w:t>
      </w:r>
      <w:r w:rsidR="00E005A0" w:rsidRPr="00406501">
        <w:t>.</w:t>
      </w:r>
      <w:r w:rsidR="005E684A">
        <w:t xml:space="preserve"> </w:t>
      </w:r>
      <w:r w:rsidR="005E684A" w:rsidRPr="005E684A">
        <w:rPr>
          <w:lang w:val="en-US"/>
        </w:rPr>
        <w:t>SLE patients also taking immunosuppressants may be at higher risk of herpes zoster infections.</w:t>
      </w:r>
    </w:p>
    <w:p w14:paraId="5CF61945" w14:textId="78682171" w:rsidR="00E005A0" w:rsidRPr="00406501" w:rsidRDefault="00785489" w:rsidP="00E005A0">
      <w:pPr>
        <w:pStyle w:val="Paragraph"/>
      </w:pPr>
      <w:r>
        <w:t xml:space="preserve">In controlled-clinical trials, serious and sometimes fatal infections have occurred in patients receiving </w:t>
      </w:r>
      <w:proofErr w:type="spellStart"/>
      <w:r>
        <w:t>anifrolumab</w:t>
      </w:r>
      <w:proofErr w:type="spellEnd"/>
      <w:r>
        <w:t>.</w:t>
      </w:r>
    </w:p>
    <w:p w14:paraId="68344FCB" w14:textId="552AEF67" w:rsidR="00E005A0" w:rsidRDefault="00E005A0" w:rsidP="00E005A0">
      <w:pPr>
        <w:pStyle w:val="Paragraph"/>
      </w:pPr>
      <w:r w:rsidRPr="00406501">
        <w:lastRenderedPageBreak/>
        <w:t xml:space="preserve">Due to the mechanism of action, </w:t>
      </w:r>
      <w:r w:rsidR="003D26B4">
        <w:t>SAPHNELO</w:t>
      </w:r>
      <w:r w:rsidRPr="00406501">
        <w:t xml:space="preserve"> should be used with caution in patients with a chronic infection, a history of recurrent infections, or known risk factors for infection. Treatment with </w:t>
      </w:r>
      <w:r w:rsidR="003D26B4">
        <w:t>SAPHNELO</w:t>
      </w:r>
      <w:r w:rsidRPr="00406501">
        <w:t xml:space="preserve"> should not be initiated in patients with any clinically significant active infection until the infection resolves or is adequately treated. </w:t>
      </w:r>
      <w:bookmarkStart w:id="16" w:name="_Hlk42843975"/>
      <w:r w:rsidRPr="00406501">
        <w:t xml:space="preserve">Instruct patients to seek medical advice if signs or symptoms of clinically significant infection occur. </w:t>
      </w:r>
      <w:bookmarkStart w:id="17" w:name="_Hlk41145179"/>
      <w:bookmarkEnd w:id="16"/>
      <w:r w:rsidRPr="00406501">
        <w:t xml:space="preserve">If a patient develops an infection, or is not responding to standard therapy, monitor the patient closely and consider interrupting </w:t>
      </w:r>
      <w:r w:rsidR="003D26B4">
        <w:t>SAPHNELO</w:t>
      </w:r>
      <w:r w:rsidRPr="00406501">
        <w:t xml:space="preserve"> therapy until the infection resolves.</w:t>
      </w:r>
    </w:p>
    <w:p w14:paraId="6B2F3189" w14:textId="25801914" w:rsidR="006B6D88" w:rsidRDefault="006B6D88" w:rsidP="00E005A0">
      <w:pPr>
        <w:pStyle w:val="Paragraph"/>
      </w:pPr>
      <w:r w:rsidRPr="00406501">
        <w:t>Studies in patients with a history of primary immunodeficiency have not been conducted.</w:t>
      </w:r>
    </w:p>
    <w:p w14:paraId="4137DC60" w14:textId="64969F36" w:rsidR="004208BC" w:rsidRPr="004208BC" w:rsidRDefault="004208BC" w:rsidP="00E005A0">
      <w:pPr>
        <w:pStyle w:val="Paragraph"/>
        <w:rPr>
          <w:lang w:val="en-US"/>
        </w:rPr>
      </w:pPr>
      <w:r w:rsidRPr="004208BC">
        <w:rPr>
          <w:lang w:val="en-US"/>
        </w:rPr>
        <w:t xml:space="preserve">The placebo-controlled clinical trials excluded patients with a history of active </w:t>
      </w:r>
      <w:r>
        <w:rPr>
          <w:lang w:val="en-US"/>
        </w:rPr>
        <w:t>tuberculosis (</w:t>
      </w:r>
      <w:r w:rsidRPr="004208BC">
        <w:rPr>
          <w:lang w:val="en-US"/>
        </w:rPr>
        <w:t>TB</w:t>
      </w:r>
      <w:r>
        <w:rPr>
          <w:lang w:val="en-US"/>
        </w:rPr>
        <w:t>)</w:t>
      </w:r>
      <w:r w:rsidRPr="004208BC">
        <w:rPr>
          <w:lang w:val="en-US"/>
        </w:rPr>
        <w:t xml:space="preserve"> or latent TB in whom an adequate course of treatment could not be confirmed. Anti-tuberculosis (anti-TB) therapy should be considered prior to initiation of </w:t>
      </w:r>
      <w:proofErr w:type="spellStart"/>
      <w:r w:rsidRPr="004208BC">
        <w:rPr>
          <w:lang w:val="en-US"/>
        </w:rPr>
        <w:t>anifrolumab</w:t>
      </w:r>
      <w:proofErr w:type="spellEnd"/>
      <w:r w:rsidRPr="004208BC">
        <w:rPr>
          <w:lang w:val="en-US"/>
        </w:rPr>
        <w:t xml:space="preserve"> in patients with untreated latent TB. </w:t>
      </w:r>
      <w:proofErr w:type="spellStart"/>
      <w:r w:rsidRPr="004208BC">
        <w:rPr>
          <w:lang w:val="en-US"/>
        </w:rPr>
        <w:t>Anifrolumab</w:t>
      </w:r>
      <w:proofErr w:type="spellEnd"/>
      <w:r w:rsidRPr="004208BC">
        <w:rPr>
          <w:lang w:val="en-US"/>
        </w:rPr>
        <w:t xml:space="preserve"> should not be administered to patients with active TB.</w:t>
      </w:r>
    </w:p>
    <w:p w14:paraId="39E615E2" w14:textId="77777777" w:rsidR="00E005A0" w:rsidRPr="00406501" w:rsidRDefault="00E005A0" w:rsidP="00E005A0">
      <w:pPr>
        <w:pStyle w:val="Heading3Unnumbered"/>
      </w:pPr>
      <w:bookmarkStart w:id="18" w:name="_Hlk42260309"/>
      <w:bookmarkEnd w:id="14"/>
      <w:bookmarkEnd w:id="15"/>
      <w:bookmarkEnd w:id="17"/>
      <w:r w:rsidRPr="00406501">
        <w:t>Immunisations</w:t>
      </w:r>
    </w:p>
    <w:p w14:paraId="4AE25199" w14:textId="7AA5E13D" w:rsidR="00E005A0" w:rsidRPr="00406501" w:rsidRDefault="00E005A0" w:rsidP="00E005A0">
      <w:pPr>
        <w:pStyle w:val="Paragraph"/>
      </w:pPr>
      <w:r w:rsidRPr="00406501">
        <w:t>No data are available on the response to vaccines.</w:t>
      </w:r>
    </w:p>
    <w:p w14:paraId="676133E5" w14:textId="2FFC5DAD" w:rsidR="00E005A0" w:rsidRPr="00406501" w:rsidRDefault="00E005A0" w:rsidP="00E005A0">
      <w:pPr>
        <w:pStyle w:val="Paragraph"/>
      </w:pPr>
      <w:r w:rsidRPr="00406501">
        <w:t xml:space="preserve">Prior to initiating therapy with </w:t>
      </w:r>
      <w:r w:rsidR="003D26B4">
        <w:t>SAPHNELO</w:t>
      </w:r>
      <w:r w:rsidRPr="00406501">
        <w:t xml:space="preserve">, consider completion of all appropriate immunisations according to current immunisation guidelines. Avoid concurrent use of live or attenuated vaccines in patients treated with </w:t>
      </w:r>
      <w:r w:rsidR="003D26B4">
        <w:t>SAPHNELO</w:t>
      </w:r>
      <w:r w:rsidRPr="00406501">
        <w:t>.</w:t>
      </w:r>
    </w:p>
    <w:p w14:paraId="1710C5D0" w14:textId="77777777" w:rsidR="00E005A0" w:rsidRPr="00406501" w:rsidRDefault="00E005A0" w:rsidP="00E005A0">
      <w:pPr>
        <w:pStyle w:val="Heading3Unnumbered"/>
      </w:pPr>
      <w:r w:rsidRPr="00406501">
        <w:t>Malignancy</w:t>
      </w:r>
    </w:p>
    <w:p w14:paraId="79818C6F" w14:textId="2178493B" w:rsidR="00E005A0" w:rsidRDefault="00EE6C35" w:rsidP="005976AA">
      <w:pPr>
        <w:pStyle w:val="Paragraph"/>
      </w:pPr>
      <w:r w:rsidRPr="005976AA">
        <w:t>There is an increased risk of malignancies with the use of immuno</w:t>
      </w:r>
      <w:r w:rsidR="00696256">
        <w:t>modulating agents</w:t>
      </w:r>
      <w:r w:rsidRPr="005976AA">
        <w:t>. The impact of SAPHNELO treatment on the potential development of malignancies is not known.</w:t>
      </w:r>
      <w:r>
        <w:t xml:space="preserve"> </w:t>
      </w:r>
      <w:r w:rsidRPr="00EE6C35">
        <w:t xml:space="preserve">Caution should be exercised when considering </w:t>
      </w:r>
      <w:proofErr w:type="spellStart"/>
      <w:r w:rsidRPr="00EE6C35">
        <w:t>anifrolumab</w:t>
      </w:r>
      <w:proofErr w:type="spellEnd"/>
      <w:r w:rsidRPr="00EE6C35">
        <w:t xml:space="preserve"> therapy for patients with a history of malignancy or when considering continuing treatment in patients who develop malignancy.</w:t>
      </w:r>
    </w:p>
    <w:p w14:paraId="28580260" w14:textId="26E8B821" w:rsidR="00EC60F8" w:rsidRDefault="006B0003" w:rsidP="005976AA">
      <w:pPr>
        <w:pStyle w:val="Paragraph"/>
      </w:pPr>
      <w:bookmarkStart w:id="19" w:name="_Hlk44018853"/>
      <w:r w:rsidRPr="006B0003">
        <w:t xml:space="preserve">In the placebo-controlled clinical trials, at any dose, malignant neoplasm (including non-melanoma skin cancers) was reported for 1.2% patients receiving </w:t>
      </w:r>
      <w:r>
        <w:t>SAPHNELO</w:t>
      </w:r>
      <w:r w:rsidRPr="006B0003">
        <w:t xml:space="preserve">, compared to 0.6% patients receiving placebo (EAIR: 1.2 and 0.7 per 100 patient years, respectively). Malignancies excluding non-melanoma skin cancers were observed in 0.7% and 0.6% of patients receiving </w:t>
      </w:r>
      <w:proofErr w:type="spellStart"/>
      <w:r w:rsidRPr="006B0003">
        <w:t>anifrolumab</w:t>
      </w:r>
      <w:proofErr w:type="spellEnd"/>
      <w:r w:rsidRPr="006B0003">
        <w:t xml:space="preserve"> and placebo, respectively. In patients receiving </w:t>
      </w:r>
      <w:r>
        <w:t>SAPHNELO</w:t>
      </w:r>
      <w:r w:rsidRPr="006B0003">
        <w:t>, breast and squamous cell carcinoma were the malignancies observed in more than one patient.</w:t>
      </w:r>
      <w:bookmarkEnd w:id="10"/>
      <w:bookmarkEnd w:id="18"/>
      <w:bookmarkEnd w:id="19"/>
    </w:p>
    <w:p w14:paraId="74769939" w14:textId="64B61393" w:rsidR="00264E8A" w:rsidRPr="00406501" w:rsidRDefault="00264E8A" w:rsidP="00264E8A">
      <w:pPr>
        <w:pStyle w:val="Heading3Unnumbered"/>
      </w:pPr>
      <w:r>
        <w:t>Concomitant use with B-cell targeted ther</w:t>
      </w:r>
      <w:r w:rsidR="00AB60AA">
        <w:t>a</w:t>
      </w:r>
      <w:r>
        <w:t>pies</w:t>
      </w:r>
    </w:p>
    <w:p w14:paraId="547A575E" w14:textId="097AC895" w:rsidR="00264E8A" w:rsidRPr="005976AA" w:rsidRDefault="00264E8A" w:rsidP="00264E8A">
      <w:pPr>
        <w:pStyle w:val="Paragraph"/>
      </w:pPr>
      <w:r w:rsidRPr="00264E8A">
        <w:t>SAPHNELO has not been studied in combination with other biologic therapies, including B-cell-targeted therapies. Therefore, use of SAPHNELO is not recommended for use in combination with biologic therapies</w:t>
      </w:r>
      <w:r>
        <w:t>.</w:t>
      </w:r>
    </w:p>
    <w:p w14:paraId="0A62E4FB" w14:textId="77777777" w:rsidR="00330AAC" w:rsidRDefault="00330AAC" w:rsidP="00330AAC">
      <w:pPr>
        <w:pStyle w:val="Heading3Unnumbered"/>
      </w:pPr>
      <w:r w:rsidRPr="00377337">
        <w:t>Use in the elderly</w:t>
      </w:r>
    </w:p>
    <w:p w14:paraId="0EF73047" w14:textId="77777777" w:rsidR="00330AAC" w:rsidRPr="00EC60F8" w:rsidRDefault="00330AAC" w:rsidP="00330AAC">
      <w:pPr>
        <w:pStyle w:val="Paragraph"/>
      </w:pPr>
      <w:r>
        <w:t>See Section 4.2 Dose and method of administration, Use in the elderly.</w:t>
      </w:r>
    </w:p>
    <w:p w14:paraId="5B0864BE" w14:textId="77777777" w:rsidR="00330AAC" w:rsidRDefault="00330AAC" w:rsidP="00330AAC">
      <w:pPr>
        <w:pStyle w:val="Heading3Unnumbered"/>
      </w:pPr>
      <w:r w:rsidRPr="00377337">
        <w:t>Paediatric use</w:t>
      </w:r>
    </w:p>
    <w:p w14:paraId="6C0DA3CA" w14:textId="77777777" w:rsidR="00330AAC" w:rsidRPr="00EC60F8" w:rsidRDefault="00330AAC" w:rsidP="00330AAC">
      <w:pPr>
        <w:pStyle w:val="Paragraph"/>
      </w:pPr>
      <w:r>
        <w:t>No data available.</w:t>
      </w:r>
    </w:p>
    <w:p w14:paraId="44C07022" w14:textId="77777777" w:rsidR="00330AAC" w:rsidRDefault="00330AAC" w:rsidP="00330AAC">
      <w:pPr>
        <w:pStyle w:val="Heading3Unnumbered"/>
      </w:pPr>
      <w:bookmarkStart w:id="20" w:name="_Ref505770425"/>
      <w:r w:rsidRPr="00377337">
        <w:lastRenderedPageBreak/>
        <w:t>Effects on laboratory tests</w:t>
      </w:r>
    </w:p>
    <w:p w14:paraId="259AAB55" w14:textId="77777777" w:rsidR="00330AAC" w:rsidRPr="00EC60F8" w:rsidRDefault="00330AAC" w:rsidP="00330AAC">
      <w:pPr>
        <w:pStyle w:val="Paragraph"/>
      </w:pPr>
      <w:r>
        <w:t>No data available.</w:t>
      </w:r>
    </w:p>
    <w:p w14:paraId="20395DBA" w14:textId="77777777" w:rsidR="001A3992" w:rsidRDefault="001A3992" w:rsidP="00EE3AC8">
      <w:pPr>
        <w:pStyle w:val="Heading2"/>
      </w:pPr>
      <w:r w:rsidRPr="00377337">
        <w:t>Interactions with other medicines and other forms of interactions</w:t>
      </w:r>
      <w:bookmarkEnd w:id="20"/>
    </w:p>
    <w:p w14:paraId="7A6E49BA" w14:textId="1783BEDF" w:rsidR="00E45826" w:rsidRPr="00EC60F8" w:rsidRDefault="00533B76" w:rsidP="00EC60F8">
      <w:pPr>
        <w:pStyle w:val="Paragraph"/>
      </w:pPr>
      <w:r w:rsidRPr="00406501">
        <w:t xml:space="preserve">No interaction studies have been performed with </w:t>
      </w:r>
      <w:r w:rsidR="003D26B4">
        <w:t>SAPHNELO</w:t>
      </w:r>
      <w:r w:rsidRPr="00406501">
        <w:t>.</w:t>
      </w:r>
    </w:p>
    <w:p w14:paraId="740F4FA4" w14:textId="77777777" w:rsidR="001A3992" w:rsidRDefault="001A3992" w:rsidP="00EE3AC8">
      <w:pPr>
        <w:pStyle w:val="Heading2"/>
      </w:pPr>
      <w:r w:rsidRPr="00377337">
        <w:t>Fer</w:t>
      </w:r>
      <w:r w:rsidR="00EC60F8">
        <w:t>tility, pregnancy and lactation</w:t>
      </w:r>
    </w:p>
    <w:p w14:paraId="677D151C" w14:textId="4E9D65FF" w:rsidR="001A3992" w:rsidRDefault="00D509FA" w:rsidP="0026491B">
      <w:pPr>
        <w:pStyle w:val="Heading3Unnumbered"/>
      </w:pPr>
      <w:r>
        <w:t>Effects on fertility</w:t>
      </w:r>
    </w:p>
    <w:p w14:paraId="6337BD05" w14:textId="77777777" w:rsidR="00533B76" w:rsidRPr="00406501" w:rsidRDefault="00533B76" w:rsidP="00533B76">
      <w:pPr>
        <w:pStyle w:val="Paragraph"/>
      </w:pPr>
      <w:r w:rsidRPr="00406501">
        <w:t xml:space="preserve">There are no data on the effects of </w:t>
      </w:r>
      <w:proofErr w:type="spellStart"/>
      <w:r w:rsidRPr="00406501">
        <w:t>anifrolumab</w:t>
      </w:r>
      <w:proofErr w:type="spellEnd"/>
      <w:r w:rsidRPr="00406501">
        <w:t xml:space="preserve"> on human fertility. </w:t>
      </w:r>
    </w:p>
    <w:p w14:paraId="6C5B62DF" w14:textId="27A4E8D5" w:rsidR="00533B76" w:rsidRDefault="00533B76" w:rsidP="00533B76">
      <w:pPr>
        <w:pStyle w:val="Paragraph"/>
      </w:pPr>
      <w:r w:rsidRPr="00406501">
        <w:t xml:space="preserve">Animal studies show no adverse effects of </w:t>
      </w:r>
      <w:proofErr w:type="spellStart"/>
      <w:r w:rsidRPr="00406501">
        <w:t>anifrolumab</w:t>
      </w:r>
      <w:proofErr w:type="spellEnd"/>
      <w:r w:rsidRPr="00406501">
        <w:t xml:space="preserve"> treatment on indirect measures of fertility.</w:t>
      </w:r>
    </w:p>
    <w:p w14:paraId="15E36427" w14:textId="3E89E5EF" w:rsidR="00D509FA" w:rsidRPr="007B3CA0" w:rsidRDefault="00D509FA" w:rsidP="00D509FA">
      <w:pPr>
        <w:pStyle w:val="Paragraph"/>
        <w:rPr>
          <w:rFonts w:eastAsia="Calibri"/>
          <w:vertAlign w:val="superscript"/>
        </w:rPr>
      </w:pPr>
      <w:bookmarkStart w:id="21" w:name="_Hlk33006067"/>
      <w:r w:rsidRPr="00406501">
        <w:rPr>
          <w:rFonts w:eastAsia="Calibri"/>
        </w:rPr>
        <w:t xml:space="preserve">Effects on male and female fertility have not been directly evaluated in animal studies. In </w:t>
      </w:r>
      <w:r w:rsidR="007E23A1">
        <w:rPr>
          <w:rFonts w:eastAsia="Calibri"/>
        </w:rPr>
        <w:t>the</w:t>
      </w:r>
      <w:r w:rsidR="0009634E">
        <w:rPr>
          <w:rFonts w:eastAsia="Calibri"/>
        </w:rPr>
        <w:t xml:space="preserve"> </w:t>
      </w:r>
      <w:r w:rsidRPr="00406501">
        <w:rPr>
          <w:rFonts w:eastAsia="Calibri"/>
        </w:rPr>
        <w:t>9</w:t>
      </w:r>
      <w:r w:rsidRPr="00406501">
        <w:rPr>
          <w:rFonts w:eastAsia="Calibri"/>
        </w:rPr>
        <w:noBreakHyphen/>
        <w:t>month repeat dose stud</w:t>
      </w:r>
      <w:r w:rsidR="00193F3F">
        <w:rPr>
          <w:rFonts w:eastAsia="Calibri"/>
        </w:rPr>
        <w:t>y</w:t>
      </w:r>
      <w:r w:rsidRPr="00406501">
        <w:rPr>
          <w:rFonts w:eastAsia="Calibri"/>
        </w:rPr>
        <w:t xml:space="preserve">, there were no </w:t>
      </w:r>
      <w:proofErr w:type="spellStart"/>
      <w:r w:rsidRPr="00406501">
        <w:rPr>
          <w:rFonts w:eastAsia="Calibri"/>
        </w:rPr>
        <w:t>anifrolumab</w:t>
      </w:r>
      <w:proofErr w:type="spellEnd"/>
      <w:r w:rsidRPr="00406501">
        <w:rPr>
          <w:rFonts w:eastAsia="Calibri"/>
        </w:rPr>
        <w:t>-related adverse effects on indirect measures of male or female fertility, based on semen analysis, spermatogenesis staging, menses cycle</w:t>
      </w:r>
      <w:r w:rsidR="007E23A1">
        <w:rPr>
          <w:rFonts w:eastAsia="Calibri"/>
        </w:rPr>
        <w:t>, organ weights</w:t>
      </w:r>
      <w:r w:rsidRPr="00406501">
        <w:rPr>
          <w:rFonts w:eastAsia="Calibri"/>
        </w:rPr>
        <w:t xml:space="preserve"> and histopathological findings in the reproductive organs, in cynomolgus monkeys at doses up to 50 mg/kg IV once weekly (</w:t>
      </w:r>
      <w:bookmarkStart w:id="22" w:name="_Hlk42513943"/>
      <w:r w:rsidRPr="00406501">
        <w:rPr>
          <w:rFonts w:eastAsia="Calibri"/>
        </w:rPr>
        <w:t xml:space="preserve">approximately </w:t>
      </w:r>
      <w:r w:rsidR="007E23A1" w:rsidRPr="00A54C00">
        <w:rPr>
          <w:rFonts w:eastAsia="Calibri"/>
        </w:rPr>
        <w:t>58</w:t>
      </w:r>
      <w:r w:rsidRPr="00406501">
        <w:rPr>
          <w:rFonts w:eastAsia="Calibri"/>
        </w:rPr>
        <w:t xml:space="preserve"> times the </w:t>
      </w:r>
      <w:r w:rsidR="00977AA6" w:rsidRPr="00406501">
        <w:rPr>
          <w:rFonts w:eastAsia="Calibri"/>
        </w:rPr>
        <w:t xml:space="preserve">maximum recommended human dose </w:t>
      </w:r>
      <w:r w:rsidR="00977AA6">
        <w:rPr>
          <w:rFonts w:eastAsia="Calibri"/>
        </w:rPr>
        <w:t>[</w:t>
      </w:r>
      <w:r w:rsidRPr="00406501">
        <w:rPr>
          <w:rFonts w:eastAsia="Calibri"/>
        </w:rPr>
        <w:t>MRHD</w:t>
      </w:r>
      <w:r w:rsidR="00977AA6">
        <w:rPr>
          <w:rFonts w:eastAsia="Calibri"/>
        </w:rPr>
        <w:t>]</w:t>
      </w:r>
      <w:r w:rsidRPr="00406501">
        <w:rPr>
          <w:rFonts w:eastAsia="Calibri"/>
        </w:rPr>
        <w:t xml:space="preserve"> </w:t>
      </w:r>
      <w:bookmarkEnd w:id="22"/>
      <w:r w:rsidRPr="00406501">
        <w:rPr>
          <w:rFonts w:eastAsia="Calibri"/>
        </w:rPr>
        <w:t xml:space="preserve">on an </w:t>
      </w:r>
      <w:r w:rsidR="007C0AF3" w:rsidRPr="00F70AF5">
        <w:rPr>
          <w:lang w:eastAsia="ja-JP"/>
        </w:rPr>
        <w:t xml:space="preserve">area under the plasma </w:t>
      </w:r>
      <w:r w:rsidR="007C0AF3">
        <w:rPr>
          <w:lang w:eastAsia="ja-JP"/>
        </w:rPr>
        <w:t xml:space="preserve">drug </w:t>
      </w:r>
      <w:r w:rsidR="007C0AF3" w:rsidRPr="00F70AF5">
        <w:rPr>
          <w:lang w:eastAsia="ja-JP"/>
        </w:rPr>
        <w:t>concentration</w:t>
      </w:r>
      <w:r w:rsidR="007C0AF3">
        <w:rPr>
          <w:lang w:eastAsia="ja-JP"/>
        </w:rPr>
        <w:t xml:space="preserve"> over </w:t>
      </w:r>
      <w:r w:rsidR="007C0AF3" w:rsidRPr="00F70AF5">
        <w:rPr>
          <w:lang w:eastAsia="ja-JP"/>
        </w:rPr>
        <w:t>time curve</w:t>
      </w:r>
      <w:r w:rsidR="007C0AF3">
        <w:t xml:space="preserve"> [</w:t>
      </w:r>
      <w:r w:rsidRPr="00406501">
        <w:rPr>
          <w:rFonts w:eastAsia="Calibri"/>
        </w:rPr>
        <w:t>AUC</w:t>
      </w:r>
      <w:r w:rsidR="007C0AF3">
        <w:rPr>
          <w:rFonts w:eastAsia="Calibri"/>
        </w:rPr>
        <w:t>]</w:t>
      </w:r>
      <w:r w:rsidRPr="00406501">
        <w:rPr>
          <w:rFonts w:eastAsia="Calibri"/>
        </w:rPr>
        <w:t xml:space="preserve"> basis).</w:t>
      </w:r>
      <w:bookmarkEnd w:id="21"/>
    </w:p>
    <w:p w14:paraId="4296BA62" w14:textId="2DC279CA" w:rsidR="001A3992" w:rsidRDefault="00D509FA" w:rsidP="0026491B">
      <w:pPr>
        <w:pStyle w:val="Heading3Unnumbered"/>
      </w:pPr>
      <w:r>
        <w:t xml:space="preserve">Use in pregnancy – Category </w:t>
      </w:r>
      <w:r w:rsidR="00305653">
        <w:t>C</w:t>
      </w:r>
    </w:p>
    <w:p w14:paraId="3566E15D" w14:textId="77777777" w:rsidR="00533B76" w:rsidRPr="00406501" w:rsidRDefault="00533B76" w:rsidP="00533B76">
      <w:pPr>
        <w:pStyle w:val="Paragraph"/>
      </w:pPr>
      <w:bookmarkStart w:id="23" w:name="_Hlk32834205"/>
      <w:r w:rsidRPr="00406501">
        <w:t xml:space="preserve">There is a limited amount of data from the use of </w:t>
      </w:r>
      <w:proofErr w:type="spellStart"/>
      <w:r w:rsidRPr="00406501">
        <w:t>anifrolumab</w:t>
      </w:r>
      <w:proofErr w:type="spellEnd"/>
      <w:r w:rsidRPr="00406501">
        <w:t xml:space="preserve"> in pregnant women. The data are insufficient to inform on drug associated risk.</w:t>
      </w:r>
    </w:p>
    <w:p w14:paraId="39C0EAF0" w14:textId="1D029257" w:rsidR="00D509FA" w:rsidRPr="007B3CA0" w:rsidRDefault="00D509FA" w:rsidP="00D509FA">
      <w:pPr>
        <w:pStyle w:val="Paragraph"/>
        <w:rPr>
          <w:rFonts w:eastAsia="Calibri"/>
        </w:rPr>
      </w:pPr>
      <w:bookmarkStart w:id="24" w:name="_Hlk33003003"/>
      <w:bookmarkEnd w:id="23"/>
      <w:r w:rsidRPr="00406501">
        <w:rPr>
          <w:rFonts w:eastAsia="Calibri"/>
        </w:rPr>
        <w:t xml:space="preserve">In a pre- and postnatal development study, conducted in cynomolgus monkeys, there were no maternal, </w:t>
      </w:r>
      <w:proofErr w:type="spellStart"/>
      <w:r w:rsidRPr="00406501">
        <w:rPr>
          <w:rFonts w:eastAsia="Calibri"/>
        </w:rPr>
        <w:t>embryofetal</w:t>
      </w:r>
      <w:proofErr w:type="spellEnd"/>
      <w:r w:rsidRPr="00406501">
        <w:rPr>
          <w:rFonts w:eastAsia="Calibri"/>
        </w:rPr>
        <w:t xml:space="preserve">, or postnatal developmental effects observed for </w:t>
      </w:r>
      <w:proofErr w:type="spellStart"/>
      <w:r w:rsidRPr="00406501">
        <w:rPr>
          <w:rFonts w:eastAsia="Calibri"/>
        </w:rPr>
        <w:t>anifrolumab</w:t>
      </w:r>
      <w:proofErr w:type="spellEnd"/>
      <w:r w:rsidRPr="00406501">
        <w:rPr>
          <w:rFonts w:eastAsia="Calibri"/>
        </w:rPr>
        <w:t xml:space="preserve"> doses 30 or 60 mg/kg administered intravenously from Gestation Day 20, once every 2 weeks thereafter, throughout gestation to 1 month postpartum (approximately Lactation Day 28).</w:t>
      </w:r>
      <w:bookmarkEnd w:id="24"/>
      <w:r w:rsidR="00AC7EDD">
        <w:rPr>
          <w:rFonts w:eastAsia="Calibri"/>
        </w:rPr>
        <w:t xml:space="preserve"> E</w:t>
      </w:r>
      <w:r w:rsidR="00AC7EDD" w:rsidRPr="00406501">
        <w:rPr>
          <w:rFonts w:eastAsia="Calibri"/>
        </w:rPr>
        <w:t xml:space="preserve">xposures </w:t>
      </w:r>
      <w:r w:rsidR="009D351F">
        <w:rPr>
          <w:rFonts w:eastAsia="Calibri"/>
        </w:rPr>
        <w:t xml:space="preserve">were </w:t>
      </w:r>
      <w:r w:rsidR="00AC7EDD" w:rsidRPr="00406501">
        <w:rPr>
          <w:rFonts w:eastAsia="Calibri"/>
        </w:rPr>
        <w:t xml:space="preserve">up to approximately </w:t>
      </w:r>
      <w:r w:rsidR="007E23A1">
        <w:rPr>
          <w:rFonts w:eastAsia="Calibri"/>
        </w:rPr>
        <w:t>28</w:t>
      </w:r>
      <w:r w:rsidR="00AC7EDD" w:rsidRPr="00406501">
        <w:rPr>
          <w:rFonts w:eastAsia="Calibri"/>
        </w:rPr>
        <w:t> times the exposure at the MRHD on an AUC basis</w:t>
      </w:r>
      <w:r w:rsidR="00AC7EDD">
        <w:rPr>
          <w:rFonts w:eastAsia="Calibri"/>
        </w:rPr>
        <w:t>.</w:t>
      </w:r>
      <w:r w:rsidR="009D351F">
        <w:rPr>
          <w:rFonts w:eastAsia="Calibri"/>
        </w:rPr>
        <w:t xml:space="preserve"> </w:t>
      </w:r>
      <w:proofErr w:type="spellStart"/>
      <w:r w:rsidR="00305653">
        <w:rPr>
          <w:rFonts w:eastAsia="Calibri"/>
        </w:rPr>
        <w:t>Anifrolumab</w:t>
      </w:r>
      <w:proofErr w:type="spellEnd"/>
      <w:r w:rsidR="00305653">
        <w:rPr>
          <w:rFonts w:eastAsia="Calibri"/>
        </w:rPr>
        <w:t xml:space="preserve"> could be detected in infant circulation, likely due to placental transfer. </w:t>
      </w:r>
      <w:bookmarkStart w:id="25" w:name="_Hlk87536225"/>
      <w:r w:rsidR="00305653">
        <w:rPr>
          <w:rFonts w:eastAsia="Calibri"/>
        </w:rPr>
        <w:t xml:space="preserve">A higher risk of certain viral infections could theoretically occur in infants exposed to </w:t>
      </w:r>
      <w:proofErr w:type="spellStart"/>
      <w:r w:rsidR="00305653">
        <w:rPr>
          <w:rFonts w:eastAsia="Calibri"/>
        </w:rPr>
        <w:t>anifrolumab</w:t>
      </w:r>
      <w:proofErr w:type="spellEnd"/>
      <w:r w:rsidR="00305653">
        <w:rPr>
          <w:rFonts w:eastAsia="Calibri"/>
        </w:rPr>
        <w:t xml:space="preserve"> during the later stage of the gestational period; however, there is no data to support this.</w:t>
      </w:r>
      <w:bookmarkEnd w:id="25"/>
    </w:p>
    <w:p w14:paraId="2FECAA8A" w14:textId="6AD6221B" w:rsidR="00533B76" w:rsidRPr="00406501" w:rsidRDefault="003D26B4" w:rsidP="00533B76">
      <w:pPr>
        <w:pStyle w:val="Paragraph"/>
      </w:pPr>
      <w:r>
        <w:t>SAPHNELO</w:t>
      </w:r>
      <w:r w:rsidR="00533B76" w:rsidRPr="00406501">
        <w:t xml:space="preserve"> should not be used during pregnancy unless the potential benefit justifies the potential risk to the </w:t>
      </w:r>
      <w:proofErr w:type="spellStart"/>
      <w:r w:rsidR="00533B76" w:rsidRPr="00406501">
        <w:t>fetus</w:t>
      </w:r>
      <w:proofErr w:type="spellEnd"/>
      <w:r w:rsidR="00533B76" w:rsidRPr="00406501">
        <w:t>.</w:t>
      </w:r>
    </w:p>
    <w:p w14:paraId="603E2E4C" w14:textId="2CE40ACF" w:rsidR="001A3992" w:rsidRDefault="00AC7EDD" w:rsidP="0026491B">
      <w:pPr>
        <w:pStyle w:val="Heading3Unnumbered"/>
      </w:pPr>
      <w:r>
        <w:t>Use in lactation</w:t>
      </w:r>
    </w:p>
    <w:p w14:paraId="512E049F" w14:textId="7E329F3D" w:rsidR="00533B76" w:rsidRPr="00406501" w:rsidRDefault="00533B76" w:rsidP="00533B76">
      <w:pPr>
        <w:pStyle w:val="Paragraph"/>
      </w:pPr>
      <w:r w:rsidRPr="00406501">
        <w:t xml:space="preserve">It is not known whether </w:t>
      </w:r>
      <w:proofErr w:type="spellStart"/>
      <w:r w:rsidRPr="00406501">
        <w:t>anifrolumab</w:t>
      </w:r>
      <w:proofErr w:type="spellEnd"/>
      <w:r w:rsidRPr="00406501">
        <w:t xml:space="preserve"> is excreted in human milk. </w:t>
      </w:r>
      <w:proofErr w:type="spellStart"/>
      <w:r w:rsidRPr="00406501">
        <w:t>Anifrolumab</w:t>
      </w:r>
      <w:proofErr w:type="spellEnd"/>
      <w:r w:rsidRPr="00406501">
        <w:t xml:space="preserve"> was detected in the milk of female cynomolgus monkeys administered, 30 or 60 mg/kg, intravenously every 2 </w:t>
      </w:r>
      <w:proofErr w:type="gramStart"/>
      <w:r w:rsidRPr="00406501">
        <w:t>weeks .</w:t>
      </w:r>
      <w:proofErr w:type="gramEnd"/>
    </w:p>
    <w:p w14:paraId="6D743528" w14:textId="072F098F" w:rsidR="00533B76" w:rsidRPr="00406501" w:rsidRDefault="00533B76" w:rsidP="00533B76">
      <w:pPr>
        <w:pStyle w:val="Paragraph"/>
      </w:pPr>
      <w:bookmarkStart w:id="26" w:name="_Hlk33001502"/>
      <w:r w:rsidRPr="00406501">
        <w:t xml:space="preserve">A risk to the breast-fed child cannot be excluded. A decision must be made whether to discontinue breast-feeding or to discontinue </w:t>
      </w:r>
      <w:r w:rsidR="003D26B4">
        <w:t>SAPHNELO</w:t>
      </w:r>
      <w:r w:rsidRPr="00406501">
        <w:t xml:space="preserve"> therapy, </w:t>
      </w:r>
      <w:proofErr w:type="gramStart"/>
      <w:r w:rsidRPr="00406501">
        <w:t>taking into account</w:t>
      </w:r>
      <w:proofErr w:type="gramEnd"/>
      <w:r w:rsidRPr="00406501">
        <w:t xml:space="preserve"> the benefit of breast</w:t>
      </w:r>
      <w:r w:rsidR="00CC198A">
        <w:t>-</w:t>
      </w:r>
      <w:r w:rsidRPr="00406501">
        <w:t>feeding for the child and the benefit of therapy for the mother</w:t>
      </w:r>
      <w:r w:rsidRPr="00406501">
        <w:rPr>
          <w:i/>
          <w:iCs/>
        </w:rPr>
        <w:t>.</w:t>
      </w:r>
    </w:p>
    <w:bookmarkEnd w:id="26"/>
    <w:p w14:paraId="5B657F09" w14:textId="77777777" w:rsidR="001A3992" w:rsidRDefault="001A3992" w:rsidP="003B7CFF">
      <w:pPr>
        <w:pStyle w:val="Heading2"/>
      </w:pPr>
      <w:r w:rsidRPr="00377337">
        <w:lastRenderedPageBreak/>
        <w:t>Effects on ability to drive and use machines</w:t>
      </w:r>
    </w:p>
    <w:p w14:paraId="5583BAD4" w14:textId="65DBDEF5" w:rsidR="00446EDD" w:rsidRPr="00446EDD" w:rsidRDefault="003D26B4" w:rsidP="00446EDD">
      <w:pPr>
        <w:pStyle w:val="Paragraph"/>
      </w:pPr>
      <w:r>
        <w:t>SAPHNELO</w:t>
      </w:r>
      <w:r w:rsidR="003D65DB" w:rsidRPr="00406501">
        <w:t xml:space="preserve"> has no or negligible influence on the ability to drive and use machines.</w:t>
      </w:r>
    </w:p>
    <w:p w14:paraId="39A349BB" w14:textId="77777777" w:rsidR="001A3992" w:rsidRDefault="001A3992" w:rsidP="00EE3AC8">
      <w:pPr>
        <w:pStyle w:val="Heading2"/>
      </w:pPr>
      <w:r w:rsidRPr="00377337">
        <w:t>Adverse effects (Undesirable effects)</w:t>
      </w:r>
    </w:p>
    <w:p w14:paraId="593F4039" w14:textId="2CFF7E51" w:rsidR="003D65DB" w:rsidRPr="00406501" w:rsidRDefault="00552811" w:rsidP="003D65DB">
      <w:pPr>
        <w:pStyle w:val="Heading3Unnumbered"/>
      </w:pPr>
      <w:r>
        <w:t>S</w:t>
      </w:r>
      <w:r w:rsidR="003D65DB" w:rsidRPr="00406501">
        <w:t>ummary of the safety profile</w:t>
      </w:r>
    </w:p>
    <w:p w14:paraId="6A8FA43E" w14:textId="6890A406" w:rsidR="003D65DB" w:rsidRDefault="003D65DB" w:rsidP="003D65DB">
      <w:pPr>
        <w:pStyle w:val="Paragraph"/>
      </w:pPr>
      <w:bookmarkStart w:id="27" w:name="_Hlk42260692"/>
      <w:r w:rsidRPr="00406501">
        <w:t xml:space="preserve">The safety of </w:t>
      </w:r>
      <w:proofErr w:type="spellStart"/>
      <w:r w:rsidRPr="00406501">
        <w:t>anifrolumab</w:t>
      </w:r>
      <w:proofErr w:type="spellEnd"/>
      <w:r w:rsidRPr="00406501">
        <w:t xml:space="preserve"> has been evaluated in a total of 1029 adult subjects, of which at least 837 patients had SLE and received IV </w:t>
      </w:r>
      <w:proofErr w:type="spellStart"/>
      <w:r w:rsidRPr="00406501">
        <w:t>anifrolumab</w:t>
      </w:r>
      <w:proofErr w:type="spellEnd"/>
      <w:r w:rsidRPr="00406501">
        <w:t xml:space="preserve"> (150 mg, 300 mg, or 1000 mg) during clinical trials. Of these, 688 patients with SLE were exposed to </w:t>
      </w:r>
      <w:proofErr w:type="spellStart"/>
      <w:r w:rsidRPr="00406501">
        <w:t>anifrolumab</w:t>
      </w:r>
      <w:proofErr w:type="spellEnd"/>
      <w:r w:rsidRPr="00406501">
        <w:t xml:space="preserve"> for at least one year and 263 patients were exposed for at least 3 years.</w:t>
      </w:r>
    </w:p>
    <w:p w14:paraId="0FF15F69" w14:textId="29F2E90D" w:rsidR="007F2C5F" w:rsidRPr="007F2C5F" w:rsidRDefault="007F2C5F" w:rsidP="007F2C5F">
      <w:pPr>
        <w:autoSpaceDE w:val="0"/>
        <w:autoSpaceDN w:val="0"/>
        <w:adjustRightInd w:val="0"/>
        <w:spacing w:line="240" w:lineRule="auto"/>
        <w:rPr>
          <w:szCs w:val="22"/>
        </w:rPr>
      </w:pPr>
      <w:r w:rsidRPr="00107CB8">
        <w:rPr>
          <w:szCs w:val="22"/>
        </w:rPr>
        <w:t xml:space="preserve">The </w:t>
      </w:r>
      <w:proofErr w:type="gramStart"/>
      <w:r w:rsidRPr="00107CB8">
        <w:rPr>
          <w:szCs w:val="22"/>
        </w:rPr>
        <w:t>most commonly reported</w:t>
      </w:r>
      <w:proofErr w:type="gramEnd"/>
      <w:r w:rsidRPr="00107CB8">
        <w:rPr>
          <w:szCs w:val="22"/>
        </w:rPr>
        <w:t xml:space="preserve"> adverse </w:t>
      </w:r>
      <w:r>
        <w:rPr>
          <w:szCs w:val="22"/>
        </w:rPr>
        <w:t xml:space="preserve">drug </w:t>
      </w:r>
      <w:r w:rsidRPr="00107CB8">
        <w:rPr>
          <w:szCs w:val="22"/>
        </w:rPr>
        <w:t xml:space="preserve">reactions </w:t>
      </w:r>
      <w:r w:rsidR="00FA1946">
        <w:rPr>
          <w:szCs w:val="22"/>
        </w:rPr>
        <w:t xml:space="preserve">(&gt;5%) </w:t>
      </w:r>
      <w:r w:rsidRPr="00107CB8">
        <w:rPr>
          <w:szCs w:val="22"/>
        </w:rPr>
        <w:t xml:space="preserve">during </w:t>
      </w:r>
      <w:proofErr w:type="spellStart"/>
      <w:r w:rsidRPr="00107CB8">
        <w:rPr>
          <w:szCs w:val="22"/>
        </w:rPr>
        <w:t>anifrolumab</w:t>
      </w:r>
      <w:proofErr w:type="spellEnd"/>
      <w:r w:rsidRPr="00107CB8">
        <w:rPr>
          <w:szCs w:val="22"/>
        </w:rPr>
        <w:t xml:space="preserve"> treatment were upper respiratory tract infection (</w:t>
      </w:r>
      <w:r>
        <w:rPr>
          <w:szCs w:val="22"/>
        </w:rPr>
        <w:t>3</w:t>
      </w:r>
      <w:r w:rsidR="007E23A1">
        <w:rPr>
          <w:szCs w:val="22"/>
        </w:rPr>
        <w:t>2.9</w:t>
      </w:r>
      <w:r w:rsidRPr="00107CB8">
        <w:rPr>
          <w:szCs w:val="22"/>
        </w:rPr>
        <w:t>%), bronchitis (1</w:t>
      </w:r>
      <w:r w:rsidR="007E23A1">
        <w:rPr>
          <w:szCs w:val="22"/>
        </w:rPr>
        <w:t>0.5</w:t>
      </w:r>
      <w:r w:rsidRPr="00107CB8">
        <w:rPr>
          <w:szCs w:val="22"/>
        </w:rPr>
        <w:t>%), infusion</w:t>
      </w:r>
      <w:r>
        <w:rPr>
          <w:szCs w:val="22"/>
        </w:rPr>
        <w:t>-</w:t>
      </w:r>
      <w:r w:rsidRPr="00107CB8">
        <w:rPr>
          <w:szCs w:val="22"/>
        </w:rPr>
        <w:t>related reaction (9.4%) and herpes zoster (6.1%)</w:t>
      </w:r>
      <w:r w:rsidR="00910420">
        <w:rPr>
          <w:szCs w:val="22"/>
        </w:rPr>
        <w:t xml:space="preserve"> (see Table 1)</w:t>
      </w:r>
      <w:r w:rsidRPr="00107CB8">
        <w:rPr>
          <w:szCs w:val="22"/>
        </w:rPr>
        <w:t xml:space="preserve">. The most common serious adverse </w:t>
      </w:r>
      <w:r>
        <w:rPr>
          <w:szCs w:val="22"/>
        </w:rPr>
        <w:t xml:space="preserve">drug </w:t>
      </w:r>
      <w:r w:rsidRPr="00107CB8">
        <w:rPr>
          <w:szCs w:val="22"/>
        </w:rPr>
        <w:t>reaction was herpes zoster (0.4%).</w:t>
      </w:r>
    </w:p>
    <w:bookmarkEnd w:id="27"/>
    <w:p w14:paraId="754C265A" w14:textId="11FEF936" w:rsidR="00552811" w:rsidRDefault="00552811" w:rsidP="00552811">
      <w:pPr>
        <w:pStyle w:val="Heading3Unnumbered"/>
      </w:pPr>
      <w:r w:rsidRPr="00406501">
        <w:t xml:space="preserve">Adverse </w:t>
      </w:r>
      <w:r w:rsidR="00D44C5F">
        <w:t>d</w:t>
      </w:r>
      <w:r w:rsidRPr="00406501">
        <w:t xml:space="preserve">rug </w:t>
      </w:r>
      <w:r w:rsidR="00D44C5F">
        <w:t>r</w:t>
      </w:r>
      <w:r w:rsidRPr="00406501">
        <w:t>eactions</w:t>
      </w:r>
    </w:p>
    <w:p w14:paraId="7DAB4662" w14:textId="3E1711EB" w:rsidR="007F2C5F" w:rsidRPr="007F2C5F" w:rsidRDefault="007F2C5F" w:rsidP="007F2C5F">
      <w:pPr>
        <w:pStyle w:val="Paragraph"/>
        <w:rPr>
          <w:rFonts w:eastAsiaTheme="minorEastAsia"/>
          <w:lang w:eastAsia="ja-JP"/>
        </w:rPr>
      </w:pPr>
      <w:r w:rsidRPr="00406501">
        <w:t xml:space="preserve">The data described in Table 1 reflect the exposure to </w:t>
      </w:r>
      <w:r>
        <w:t>SAPHNELO</w:t>
      </w:r>
      <w:r w:rsidRPr="00406501">
        <w:t xml:space="preserve"> 300 mg administered by IV infusion every 4 weeks compared to placebo in 925 patients with moderate or severe SLE, in the 52</w:t>
      </w:r>
      <w:r w:rsidRPr="00406501">
        <w:noBreakHyphen/>
        <w:t xml:space="preserve">week </w:t>
      </w:r>
      <w:r w:rsidRPr="00406501">
        <w:rPr>
          <w:rFonts w:eastAsia="Calibri" w:cs="Arial"/>
        </w:rPr>
        <w:t xml:space="preserve">Phase II and Phase III </w:t>
      </w:r>
      <w:r>
        <w:rPr>
          <w:rFonts w:eastAsia="Calibri" w:cs="Arial"/>
        </w:rPr>
        <w:t>placebo-</w:t>
      </w:r>
      <w:r w:rsidRPr="00406501">
        <w:rPr>
          <w:rFonts w:eastAsia="Calibri" w:cs="Arial"/>
        </w:rPr>
        <w:t xml:space="preserve">controlled trials </w:t>
      </w:r>
      <w:r w:rsidRPr="00406501">
        <w:t>(Trials 1, 2, and 3).</w:t>
      </w:r>
    </w:p>
    <w:p w14:paraId="05683FE3" w14:textId="77777777" w:rsidR="00552811" w:rsidRPr="00406501" w:rsidRDefault="00552811" w:rsidP="00552811">
      <w:pPr>
        <w:pStyle w:val="Paragraph"/>
      </w:pPr>
      <w:r w:rsidRPr="00406501">
        <w:t>Adverse drug reactions (ADRs) are organised by MedDRA System Organ Class (SOC). Within each SOC, preferred terms are arranged by decreasing frequency and then by decreasing seriousness. Frequencies of occurrence of adverse reactions are defined as:</w:t>
      </w:r>
    </w:p>
    <w:p w14:paraId="0B679E3E" w14:textId="77777777" w:rsidR="00552811" w:rsidRPr="00406501" w:rsidRDefault="00552811" w:rsidP="00552811">
      <w:pPr>
        <w:pStyle w:val="ListParagraph"/>
        <w:numPr>
          <w:ilvl w:val="0"/>
          <w:numId w:val="49"/>
        </w:numPr>
      </w:pPr>
      <w:r w:rsidRPr="00406501">
        <w:t>very common (≥1/10</w:t>
      </w:r>
      <w:proofErr w:type="gramStart"/>
      <w:r w:rsidRPr="00406501">
        <w:t>);</w:t>
      </w:r>
      <w:proofErr w:type="gramEnd"/>
    </w:p>
    <w:p w14:paraId="212E5B89" w14:textId="77777777" w:rsidR="00552811" w:rsidRPr="00406501" w:rsidRDefault="00552811" w:rsidP="00552811">
      <w:pPr>
        <w:pStyle w:val="ListParagraph"/>
        <w:numPr>
          <w:ilvl w:val="0"/>
          <w:numId w:val="49"/>
        </w:numPr>
      </w:pPr>
      <w:r w:rsidRPr="00406501">
        <w:t>common (≥1/100 to &lt;1/10</w:t>
      </w:r>
      <w:proofErr w:type="gramStart"/>
      <w:r w:rsidRPr="00406501">
        <w:t>);</w:t>
      </w:r>
      <w:proofErr w:type="gramEnd"/>
    </w:p>
    <w:p w14:paraId="0A7A544A" w14:textId="77777777" w:rsidR="00552811" w:rsidRPr="00406501" w:rsidRDefault="00552811" w:rsidP="00552811">
      <w:pPr>
        <w:pStyle w:val="ListParagraph"/>
        <w:numPr>
          <w:ilvl w:val="0"/>
          <w:numId w:val="49"/>
        </w:numPr>
      </w:pPr>
      <w:r w:rsidRPr="00406501">
        <w:t>uncommon (≥1/1,000 to &lt;1/100</w:t>
      </w:r>
      <w:proofErr w:type="gramStart"/>
      <w:r w:rsidRPr="00406501">
        <w:t>);</w:t>
      </w:r>
      <w:proofErr w:type="gramEnd"/>
    </w:p>
    <w:p w14:paraId="1200533B" w14:textId="77777777" w:rsidR="00552811" w:rsidRPr="00406501" w:rsidRDefault="00552811" w:rsidP="00552811">
      <w:pPr>
        <w:pStyle w:val="ListParagraph"/>
        <w:numPr>
          <w:ilvl w:val="0"/>
          <w:numId w:val="49"/>
        </w:numPr>
      </w:pPr>
      <w:r w:rsidRPr="00406501">
        <w:t>rare (≥1/10,000 to &lt;1/1000</w:t>
      </w:r>
      <w:proofErr w:type="gramStart"/>
      <w:r w:rsidRPr="00406501">
        <w:t>);</w:t>
      </w:r>
      <w:proofErr w:type="gramEnd"/>
    </w:p>
    <w:p w14:paraId="3185C8B0" w14:textId="77777777" w:rsidR="00552811" w:rsidRPr="00406501" w:rsidRDefault="00552811" w:rsidP="00552811">
      <w:pPr>
        <w:pStyle w:val="ListParagraph"/>
        <w:numPr>
          <w:ilvl w:val="0"/>
          <w:numId w:val="49"/>
        </w:numPr>
      </w:pPr>
      <w:r w:rsidRPr="00406501">
        <w:t>very rare (&lt;1/10,000</w:t>
      </w:r>
      <w:proofErr w:type="gramStart"/>
      <w:r w:rsidRPr="00406501">
        <w:t>);</w:t>
      </w:r>
      <w:proofErr w:type="gramEnd"/>
    </w:p>
    <w:p w14:paraId="7470E200" w14:textId="77777777" w:rsidR="00552811" w:rsidRPr="00406501" w:rsidRDefault="00552811" w:rsidP="00552811">
      <w:pPr>
        <w:pStyle w:val="ListParagraph"/>
        <w:numPr>
          <w:ilvl w:val="0"/>
          <w:numId w:val="49"/>
        </w:numPr>
      </w:pPr>
      <w:r w:rsidRPr="00406501">
        <w:t>not known (cannot be estimated from available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Adverse Drug Reactions reported in Clinical Trials"/>
      </w:tblPr>
      <w:tblGrid>
        <w:gridCol w:w="1952"/>
        <w:gridCol w:w="2853"/>
        <w:gridCol w:w="2402"/>
        <w:gridCol w:w="2431"/>
      </w:tblGrid>
      <w:tr w:rsidR="00552811" w:rsidRPr="00406501" w14:paraId="3A71FADE" w14:textId="77777777" w:rsidTr="003D26B4">
        <w:trPr>
          <w:cantSplit/>
          <w:trHeight w:val="354"/>
          <w:tblHeader/>
        </w:trPr>
        <w:tc>
          <w:tcPr>
            <w:tcW w:w="5000" w:type="pct"/>
            <w:gridSpan w:val="4"/>
            <w:tcBorders>
              <w:top w:val="nil"/>
              <w:left w:val="nil"/>
              <w:right w:val="nil"/>
            </w:tcBorders>
          </w:tcPr>
          <w:p w14:paraId="299B0094" w14:textId="77777777" w:rsidR="00552811" w:rsidRPr="00406501" w:rsidRDefault="00552811" w:rsidP="003D26B4">
            <w:pPr>
              <w:pStyle w:val="A-TableTitle"/>
            </w:pPr>
            <w:bookmarkStart w:id="28" w:name="_Hlk15569552"/>
            <w:bookmarkStart w:id="29" w:name="_Hlk42260746"/>
            <w:r w:rsidRPr="00406501">
              <w:t>Table 1</w:t>
            </w:r>
            <w:r w:rsidRPr="00406501">
              <w:tab/>
              <w:t xml:space="preserve">Adverse drug reactions </w:t>
            </w:r>
            <w:r>
              <w:rPr>
                <w:vertAlign w:val="superscript"/>
              </w:rPr>
              <w:t xml:space="preserve"> </w:t>
            </w:r>
          </w:p>
        </w:tc>
      </w:tr>
      <w:bookmarkEnd w:id="28"/>
      <w:tr w:rsidR="00552811" w:rsidRPr="00406501" w14:paraId="1DBACD32" w14:textId="77777777" w:rsidTr="003D26B4">
        <w:trPr>
          <w:cantSplit/>
          <w:trHeight w:val="562"/>
          <w:tblHeader/>
        </w:trPr>
        <w:tc>
          <w:tcPr>
            <w:tcW w:w="1013" w:type="pct"/>
            <w:shd w:val="clear" w:color="auto" w:fill="auto"/>
          </w:tcPr>
          <w:p w14:paraId="41B1ECF7" w14:textId="77777777" w:rsidR="00552811" w:rsidRPr="00406501" w:rsidRDefault="00552811" w:rsidP="003D26B4">
            <w:pPr>
              <w:pStyle w:val="TableHead"/>
              <w:jc w:val="left"/>
              <w:rPr>
                <w:sz w:val="22"/>
              </w:rPr>
            </w:pPr>
            <w:r w:rsidRPr="00406501">
              <w:rPr>
                <w:sz w:val="22"/>
              </w:rPr>
              <w:t>MedDRA SOC</w:t>
            </w:r>
          </w:p>
        </w:tc>
        <w:tc>
          <w:tcPr>
            <w:tcW w:w="1480" w:type="pct"/>
            <w:shd w:val="clear" w:color="auto" w:fill="auto"/>
          </w:tcPr>
          <w:p w14:paraId="61DCA329" w14:textId="77777777" w:rsidR="00552811" w:rsidRPr="00406501" w:rsidRDefault="00552811" w:rsidP="003D26B4">
            <w:pPr>
              <w:pStyle w:val="TableHead"/>
              <w:jc w:val="left"/>
              <w:rPr>
                <w:sz w:val="22"/>
              </w:rPr>
            </w:pPr>
            <w:r w:rsidRPr="00406501">
              <w:rPr>
                <w:sz w:val="22"/>
              </w:rPr>
              <w:t xml:space="preserve">MedDRA Preferred Term </w:t>
            </w:r>
          </w:p>
        </w:tc>
        <w:tc>
          <w:tcPr>
            <w:tcW w:w="1246" w:type="pct"/>
            <w:shd w:val="clear" w:color="auto" w:fill="auto"/>
          </w:tcPr>
          <w:p w14:paraId="686C3728" w14:textId="653256F9" w:rsidR="00552811" w:rsidRPr="00406501" w:rsidRDefault="003D26B4" w:rsidP="003D26B4">
            <w:pPr>
              <w:pStyle w:val="TableHead"/>
              <w:jc w:val="left"/>
              <w:rPr>
                <w:sz w:val="22"/>
              </w:rPr>
            </w:pPr>
            <w:r>
              <w:rPr>
                <w:sz w:val="22"/>
              </w:rPr>
              <w:t>SAPHNELO</w:t>
            </w:r>
          </w:p>
          <w:p w14:paraId="1A8CDC84" w14:textId="77777777" w:rsidR="00552811" w:rsidRPr="00406501" w:rsidRDefault="00552811" w:rsidP="003D26B4">
            <w:pPr>
              <w:pStyle w:val="TableHead"/>
              <w:jc w:val="left"/>
              <w:rPr>
                <w:sz w:val="22"/>
              </w:rPr>
            </w:pPr>
            <w:r w:rsidRPr="00406501">
              <w:rPr>
                <w:sz w:val="22"/>
              </w:rPr>
              <w:t>(N=459)</w:t>
            </w:r>
          </w:p>
        </w:tc>
        <w:tc>
          <w:tcPr>
            <w:tcW w:w="1261" w:type="pct"/>
            <w:shd w:val="clear" w:color="auto" w:fill="auto"/>
          </w:tcPr>
          <w:p w14:paraId="28F46568" w14:textId="77777777" w:rsidR="00552811" w:rsidRPr="00406501" w:rsidRDefault="00552811" w:rsidP="003D26B4">
            <w:pPr>
              <w:pStyle w:val="TableHead"/>
              <w:jc w:val="left"/>
              <w:rPr>
                <w:sz w:val="22"/>
              </w:rPr>
            </w:pPr>
            <w:r w:rsidRPr="00406501">
              <w:rPr>
                <w:sz w:val="22"/>
              </w:rPr>
              <w:t>Placebo</w:t>
            </w:r>
          </w:p>
          <w:p w14:paraId="42E31C20" w14:textId="77777777" w:rsidR="00552811" w:rsidRPr="00406501" w:rsidRDefault="00552811" w:rsidP="003D26B4">
            <w:pPr>
              <w:pStyle w:val="TableHead"/>
              <w:jc w:val="left"/>
              <w:rPr>
                <w:sz w:val="22"/>
              </w:rPr>
            </w:pPr>
            <w:r w:rsidRPr="00406501">
              <w:rPr>
                <w:sz w:val="22"/>
              </w:rPr>
              <w:t>(N=466)</w:t>
            </w:r>
          </w:p>
        </w:tc>
      </w:tr>
      <w:tr w:rsidR="00552811" w:rsidRPr="00406501" w14:paraId="0C405E82" w14:textId="77777777" w:rsidTr="003D26B4">
        <w:trPr>
          <w:cantSplit/>
          <w:trHeight w:val="70"/>
        </w:trPr>
        <w:tc>
          <w:tcPr>
            <w:tcW w:w="1013" w:type="pct"/>
            <w:vMerge w:val="restart"/>
            <w:shd w:val="clear" w:color="auto" w:fill="auto"/>
          </w:tcPr>
          <w:p w14:paraId="225EBB47" w14:textId="77777777" w:rsidR="00552811" w:rsidRPr="00406501" w:rsidRDefault="00552811" w:rsidP="003D26B4">
            <w:pPr>
              <w:pStyle w:val="TableLeft"/>
              <w:rPr>
                <w:sz w:val="22"/>
                <w:szCs w:val="22"/>
              </w:rPr>
            </w:pPr>
            <w:r w:rsidRPr="00406501">
              <w:rPr>
                <w:sz w:val="22"/>
                <w:szCs w:val="22"/>
              </w:rPr>
              <w:t>Infections and infestations</w:t>
            </w:r>
          </w:p>
        </w:tc>
        <w:tc>
          <w:tcPr>
            <w:tcW w:w="1480" w:type="pct"/>
            <w:shd w:val="clear" w:color="auto" w:fill="auto"/>
          </w:tcPr>
          <w:p w14:paraId="27434A8B" w14:textId="77777777" w:rsidR="00552811" w:rsidRPr="00406501" w:rsidRDefault="00552811" w:rsidP="003D26B4">
            <w:pPr>
              <w:pStyle w:val="TableLeft"/>
              <w:rPr>
                <w:sz w:val="22"/>
                <w:szCs w:val="22"/>
              </w:rPr>
            </w:pPr>
            <w:r w:rsidRPr="00406501">
              <w:rPr>
                <w:sz w:val="22"/>
                <w:szCs w:val="22"/>
              </w:rPr>
              <w:t>Upper respiratory tract infection*</w:t>
            </w:r>
          </w:p>
        </w:tc>
        <w:tc>
          <w:tcPr>
            <w:tcW w:w="1246" w:type="pct"/>
            <w:shd w:val="clear" w:color="auto" w:fill="auto"/>
          </w:tcPr>
          <w:p w14:paraId="5B8F6F5E" w14:textId="5F0E9B4B" w:rsidR="00552811" w:rsidRPr="00406501" w:rsidRDefault="00552811" w:rsidP="003D26B4">
            <w:pPr>
              <w:pStyle w:val="TableLeft"/>
              <w:rPr>
                <w:sz w:val="22"/>
                <w:szCs w:val="22"/>
              </w:rPr>
            </w:pPr>
            <w:r w:rsidRPr="00406501">
              <w:rPr>
                <w:sz w:val="22"/>
                <w:szCs w:val="22"/>
              </w:rPr>
              <w:t>Very common (</w:t>
            </w:r>
            <w:r w:rsidR="00C57FD2">
              <w:rPr>
                <w:sz w:val="22"/>
                <w:szCs w:val="22"/>
              </w:rPr>
              <w:t>32.9</w:t>
            </w:r>
            <w:r w:rsidRPr="00406501">
              <w:rPr>
                <w:sz w:val="22"/>
                <w:szCs w:val="22"/>
              </w:rPr>
              <w:t>%)</w:t>
            </w:r>
          </w:p>
        </w:tc>
        <w:tc>
          <w:tcPr>
            <w:tcW w:w="1261" w:type="pct"/>
            <w:shd w:val="clear" w:color="auto" w:fill="auto"/>
          </w:tcPr>
          <w:p w14:paraId="28B03DD2" w14:textId="4E686975" w:rsidR="00552811" w:rsidRPr="00406501" w:rsidRDefault="00552811" w:rsidP="003D26B4">
            <w:pPr>
              <w:pStyle w:val="TableLeft"/>
              <w:rPr>
                <w:sz w:val="22"/>
                <w:szCs w:val="22"/>
              </w:rPr>
            </w:pPr>
            <w:r w:rsidRPr="00406501">
              <w:rPr>
                <w:sz w:val="22"/>
                <w:szCs w:val="22"/>
              </w:rPr>
              <w:t>Very common (</w:t>
            </w:r>
            <w:r w:rsidR="00C57FD2">
              <w:rPr>
                <w:sz w:val="22"/>
                <w:szCs w:val="22"/>
              </w:rPr>
              <w:t>21.2</w:t>
            </w:r>
            <w:r w:rsidRPr="00406501">
              <w:rPr>
                <w:sz w:val="22"/>
                <w:szCs w:val="22"/>
              </w:rPr>
              <w:t>%)</w:t>
            </w:r>
          </w:p>
        </w:tc>
      </w:tr>
      <w:tr w:rsidR="00552811" w:rsidRPr="00406501" w14:paraId="1850584C" w14:textId="77777777" w:rsidTr="003D26B4">
        <w:trPr>
          <w:cantSplit/>
          <w:trHeight w:val="70"/>
        </w:trPr>
        <w:tc>
          <w:tcPr>
            <w:tcW w:w="1013" w:type="pct"/>
            <w:vMerge/>
            <w:shd w:val="clear" w:color="auto" w:fill="auto"/>
          </w:tcPr>
          <w:p w14:paraId="1C766411" w14:textId="77777777" w:rsidR="00552811" w:rsidRPr="00406501" w:rsidRDefault="00552811" w:rsidP="003D26B4">
            <w:pPr>
              <w:pStyle w:val="TableLeft"/>
              <w:rPr>
                <w:sz w:val="22"/>
                <w:szCs w:val="22"/>
              </w:rPr>
            </w:pPr>
          </w:p>
        </w:tc>
        <w:tc>
          <w:tcPr>
            <w:tcW w:w="1480" w:type="pct"/>
            <w:shd w:val="clear" w:color="auto" w:fill="auto"/>
          </w:tcPr>
          <w:p w14:paraId="04E9948E" w14:textId="77777777" w:rsidR="00552811" w:rsidRPr="00406501" w:rsidRDefault="00552811" w:rsidP="003D26B4">
            <w:pPr>
              <w:pStyle w:val="TableLeft"/>
              <w:rPr>
                <w:sz w:val="22"/>
                <w:szCs w:val="22"/>
              </w:rPr>
            </w:pPr>
            <w:r w:rsidRPr="00406501">
              <w:rPr>
                <w:sz w:val="22"/>
                <w:szCs w:val="22"/>
              </w:rPr>
              <w:t>Bronchitis*</w:t>
            </w:r>
          </w:p>
        </w:tc>
        <w:tc>
          <w:tcPr>
            <w:tcW w:w="1246" w:type="pct"/>
            <w:shd w:val="clear" w:color="auto" w:fill="auto"/>
          </w:tcPr>
          <w:p w14:paraId="0FF4BDCB" w14:textId="16A285D9" w:rsidR="00552811" w:rsidRPr="00406501" w:rsidRDefault="00552811" w:rsidP="003D26B4">
            <w:pPr>
              <w:pStyle w:val="TableLeft"/>
              <w:rPr>
                <w:sz w:val="22"/>
                <w:szCs w:val="22"/>
              </w:rPr>
            </w:pPr>
            <w:r w:rsidRPr="00406501">
              <w:rPr>
                <w:sz w:val="22"/>
                <w:szCs w:val="22"/>
              </w:rPr>
              <w:t>Very common (</w:t>
            </w:r>
            <w:r w:rsidR="00C57FD2">
              <w:rPr>
                <w:sz w:val="22"/>
                <w:szCs w:val="22"/>
              </w:rPr>
              <w:t>10.5</w:t>
            </w:r>
            <w:r w:rsidRPr="00406501">
              <w:rPr>
                <w:sz w:val="22"/>
                <w:szCs w:val="22"/>
              </w:rPr>
              <w:t>%)</w:t>
            </w:r>
          </w:p>
        </w:tc>
        <w:tc>
          <w:tcPr>
            <w:tcW w:w="1261" w:type="pct"/>
            <w:shd w:val="clear" w:color="auto" w:fill="auto"/>
          </w:tcPr>
          <w:p w14:paraId="3B21BCAF" w14:textId="73F58F39" w:rsidR="00552811" w:rsidRPr="00406501" w:rsidRDefault="00552811" w:rsidP="003D26B4">
            <w:pPr>
              <w:pStyle w:val="TableLeft"/>
              <w:rPr>
                <w:sz w:val="22"/>
                <w:szCs w:val="22"/>
              </w:rPr>
            </w:pPr>
            <w:r w:rsidRPr="00406501">
              <w:rPr>
                <w:sz w:val="22"/>
                <w:szCs w:val="22"/>
              </w:rPr>
              <w:t>Common (</w:t>
            </w:r>
            <w:r w:rsidR="00C57FD2">
              <w:rPr>
                <w:sz w:val="22"/>
                <w:szCs w:val="22"/>
              </w:rPr>
              <w:t>4.5</w:t>
            </w:r>
            <w:r w:rsidRPr="00406501">
              <w:rPr>
                <w:sz w:val="22"/>
                <w:szCs w:val="22"/>
              </w:rPr>
              <w:t>%)</w:t>
            </w:r>
          </w:p>
        </w:tc>
      </w:tr>
      <w:tr w:rsidR="00552811" w:rsidRPr="00406501" w14:paraId="4BEF4E06" w14:textId="77777777" w:rsidTr="003D26B4">
        <w:trPr>
          <w:cantSplit/>
          <w:trHeight w:val="70"/>
        </w:trPr>
        <w:tc>
          <w:tcPr>
            <w:tcW w:w="1013" w:type="pct"/>
            <w:vMerge/>
            <w:shd w:val="clear" w:color="auto" w:fill="auto"/>
          </w:tcPr>
          <w:p w14:paraId="5D582377" w14:textId="77777777" w:rsidR="00552811" w:rsidRPr="00406501" w:rsidRDefault="00552811" w:rsidP="003D26B4">
            <w:pPr>
              <w:pStyle w:val="TableLeft"/>
              <w:rPr>
                <w:sz w:val="22"/>
                <w:szCs w:val="22"/>
              </w:rPr>
            </w:pPr>
          </w:p>
        </w:tc>
        <w:tc>
          <w:tcPr>
            <w:tcW w:w="1480" w:type="pct"/>
            <w:shd w:val="clear" w:color="auto" w:fill="auto"/>
          </w:tcPr>
          <w:p w14:paraId="19556D7D" w14:textId="77777777" w:rsidR="00552811" w:rsidRPr="00406501" w:rsidRDefault="00552811" w:rsidP="003D26B4">
            <w:pPr>
              <w:pStyle w:val="TableLeft"/>
              <w:rPr>
                <w:sz w:val="22"/>
                <w:szCs w:val="22"/>
              </w:rPr>
            </w:pPr>
            <w:r w:rsidRPr="00406501">
              <w:rPr>
                <w:sz w:val="22"/>
                <w:szCs w:val="22"/>
              </w:rPr>
              <w:t xml:space="preserve">Herpes Zoster </w:t>
            </w:r>
          </w:p>
        </w:tc>
        <w:tc>
          <w:tcPr>
            <w:tcW w:w="1246" w:type="pct"/>
            <w:shd w:val="clear" w:color="auto" w:fill="auto"/>
          </w:tcPr>
          <w:p w14:paraId="7D562567" w14:textId="77777777" w:rsidR="00552811" w:rsidRPr="00406501" w:rsidRDefault="00552811" w:rsidP="003D26B4">
            <w:pPr>
              <w:pStyle w:val="TableLeft"/>
              <w:rPr>
                <w:sz w:val="22"/>
                <w:szCs w:val="22"/>
              </w:rPr>
            </w:pPr>
            <w:r w:rsidRPr="00406501">
              <w:rPr>
                <w:sz w:val="22"/>
                <w:szCs w:val="22"/>
              </w:rPr>
              <w:t>Common (6.1%)</w:t>
            </w:r>
          </w:p>
        </w:tc>
        <w:tc>
          <w:tcPr>
            <w:tcW w:w="1261" w:type="pct"/>
            <w:shd w:val="clear" w:color="auto" w:fill="auto"/>
          </w:tcPr>
          <w:p w14:paraId="6CE5EE2E" w14:textId="77777777" w:rsidR="00552811" w:rsidRPr="00406501" w:rsidRDefault="00552811" w:rsidP="003D26B4">
            <w:pPr>
              <w:pStyle w:val="TableLeft"/>
              <w:rPr>
                <w:sz w:val="22"/>
                <w:szCs w:val="22"/>
              </w:rPr>
            </w:pPr>
            <w:r w:rsidRPr="00406501">
              <w:rPr>
                <w:sz w:val="22"/>
                <w:szCs w:val="22"/>
              </w:rPr>
              <w:t>Common (1.3%)</w:t>
            </w:r>
          </w:p>
        </w:tc>
      </w:tr>
      <w:tr w:rsidR="00552811" w:rsidRPr="00406501" w14:paraId="07B1BB0C" w14:textId="77777777" w:rsidTr="003D26B4">
        <w:trPr>
          <w:cantSplit/>
          <w:trHeight w:val="70"/>
        </w:trPr>
        <w:tc>
          <w:tcPr>
            <w:tcW w:w="1013" w:type="pct"/>
            <w:vMerge/>
            <w:shd w:val="clear" w:color="auto" w:fill="auto"/>
          </w:tcPr>
          <w:p w14:paraId="36912B00" w14:textId="77777777" w:rsidR="00552811" w:rsidRPr="00406501" w:rsidRDefault="00552811" w:rsidP="003D26B4">
            <w:pPr>
              <w:pStyle w:val="TableLeft"/>
              <w:rPr>
                <w:sz w:val="22"/>
                <w:szCs w:val="22"/>
              </w:rPr>
            </w:pPr>
          </w:p>
        </w:tc>
        <w:tc>
          <w:tcPr>
            <w:tcW w:w="1480" w:type="pct"/>
            <w:shd w:val="clear" w:color="auto" w:fill="auto"/>
          </w:tcPr>
          <w:p w14:paraId="7A2B6B46" w14:textId="77777777" w:rsidR="00552811" w:rsidRPr="00406501" w:rsidRDefault="00552811" w:rsidP="003D26B4">
            <w:pPr>
              <w:pStyle w:val="TableLeft"/>
              <w:rPr>
                <w:sz w:val="22"/>
                <w:szCs w:val="22"/>
              </w:rPr>
            </w:pPr>
            <w:r w:rsidRPr="00406501">
              <w:rPr>
                <w:sz w:val="22"/>
                <w:szCs w:val="22"/>
              </w:rPr>
              <w:t>Respiratory tract infection*</w:t>
            </w:r>
          </w:p>
        </w:tc>
        <w:tc>
          <w:tcPr>
            <w:tcW w:w="1246" w:type="pct"/>
            <w:shd w:val="clear" w:color="auto" w:fill="auto"/>
          </w:tcPr>
          <w:p w14:paraId="6EBF592F" w14:textId="2E848328" w:rsidR="00552811" w:rsidRPr="00406501" w:rsidRDefault="00552811" w:rsidP="003D26B4">
            <w:pPr>
              <w:pStyle w:val="TableLeft"/>
              <w:rPr>
                <w:sz w:val="22"/>
                <w:szCs w:val="22"/>
              </w:rPr>
            </w:pPr>
            <w:r w:rsidRPr="00406501">
              <w:rPr>
                <w:sz w:val="22"/>
                <w:szCs w:val="22"/>
              </w:rPr>
              <w:t>Common (</w:t>
            </w:r>
            <w:r w:rsidR="00C57FD2">
              <w:rPr>
                <w:sz w:val="22"/>
                <w:szCs w:val="22"/>
              </w:rPr>
              <w:t>3.1</w:t>
            </w:r>
            <w:r w:rsidRPr="00406501">
              <w:rPr>
                <w:sz w:val="22"/>
                <w:szCs w:val="22"/>
              </w:rPr>
              <w:t>%)</w:t>
            </w:r>
          </w:p>
        </w:tc>
        <w:tc>
          <w:tcPr>
            <w:tcW w:w="1261" w:type="pct"/>
            <w:shd w:val="clear" w:color="auto" w:fill="auto"/>
          </w:tcPr>
          <w:p w14:paraId="3DCD4A8C" w14:textId="2CA85C57" w:rsidR="00552811" w:rsidRPr="00406501" w:rsidRDefault="00552811" w:rsidP="003D26B4">
            <w:pPr>
              <w:pStyle w:val="TableLeft"/>
              <w:rPr>
                <w:sz w:val="22"/>
                <w:szCs w:val="22"/>
              </w:rPr>
            </w:pPr>
            <w:r w:rsidRPr="00406501">
              <w:rPr>
                <w:sz w:val="22"/>
                <w:szCs w:val="22"/>
              </w:rPr>
              <w:t>Common (</w:t>
            </w:r>
            <w:r w:rsidR="00C57FD2">
              <w:rPr>
                <w:sz w:val="22"/>
                <w:szCs w:val="22"/>
              </w:rPr>
              <w:t>1.3</w:t>
            </w:r>
            <w:r w:rsidRPr="00406501">
              <w:rPr>
                <w:sz w:val="22"/>
                <w:szCs w:val="22"/>
              </w:rPr>
              <w:t>%)</w:t>
            </w:r>
          </w:p>
        </w:tc>
      </w:tr>
      <w:tr w:rsidR="00552811" w:rsidRPr="00406501" w14:paraId="06E2B54C" w14:textId="77777777" w:rsidTr="003D26B4">
        <w:trPr>
          <w:cantSplit/>
          <w:trHeight w:val="70"/>
        </w:trPr>
        <w:tc>
          <w:tcPr>
            <w:tcW w:w="1013" w:type="pct"/>
            <w:vMerge w:val="restart"/>
            <w:shd w:val="clear" w:color="auto" w:fill="auto"/>
          </w:tcPr>
          <w:p w14:paraId="48617B33" w14:textId="77777777" w:rsidR="00552811" w:rsidRPr="00406501" w:rsidRDefault="00552811" w:rsidP="003D26B4">
            <w:pPr>
              <w:pStyle w:val="TableLeft"/>
              <w:rPr>
                <w:sz w:val="22"/>
                <w:szCs w:val="22"/>
              </w:rPr>
            </w:pPr>
            <w:r w:rsidRPr="00406501">
              <w:rPr>
                <w:sz w:val="22"/>
                <w:szCs w:val="22"/>
              </w:rPr>
              <w:t>Immune system disorders</w:t>
            </w:r>
          </w:p>
        </w:tc>
        <w:tc>
          <w:tcPr>
            <w:tcW w:w="1480" w:type="pct"/>
            <w:shd w:val="clear" w:color="auto" w:fill="auto"/>
          </w:tcPr>
          <w:p w14:paraId="5EC02413" w14:textId="77777777" w:rsidR="00552811" w:rsidRPr="00406501" w:rsidRDefault="00552811" w:rsidP="003D26B4">
            <w:pPr>
              <w:pStyle w:val="TableLeft"/>
              <w:rPr>
                <w:sz w:val="22"/>
                <w:szCs w:val="22"/>
              </w:rPr>
            </w:pPr>
            <w:r w:rsidRPr="00406501">
              <w:rPr>
                <w:sz w:val="22"/>
                <w:szCs w:val="22"/>
              </w:rPr>
              <w:t xml:space="preserve">Hypersensitivity </w:t>
            </w:r>
          </w:p>
        </w:tc>
        <w:tc>
          <w:tcPr>
            <w:tcW w:w="1246" w:type="pct"/>
            <w:shd w:val="clear" w:color="auto" w:fill="auto"/>
          </w:tcPr>
          <w:p w14:paraId="0C34D0DC" w14:textId="77777777" w:rsidR="00552811" w:rsidRPr="00406501" w:rsidRDefault="00552811" w:rsidP="003D26B4">
            <w:pPr>
              <w:pStyle w:val="TableLeft"/>
              <w:rPr>
                <w:sz w:val="22"/>
                <w:szCs w:val="22"/>
              </w:rPr>
            </w:pPr>
            <w:r w:rsidRPr="00406501">
              <w:rPr>
                <w:sz w:val="22"/>
                <w:szCs w:val="22"/>
              </w:rPr>
              <w:t>Common (2.8%)</w:t>
            </w:r>
          </w:p>
        </w:tc>
        <w:tc>
          <w:tcPr>
            <w:tcW w:w="1261" w:type="pct"/>
            <w:shd w:val="clear" w:color="auto" w:fill="auto"/>
          </w:tcPr>
          <w:p w14:paraId="613D473C" w14:textId="77777777" w:rsidR="00552811" w:rsidRPr="00406501" w:rsidRDefault="00552811" w:rsidP="003D26B4">
            <w:pPr>
              <w:pStyle w:val="TableLeft"/>
              <w:rPr>
                <w:sz w:val="22"/>
                <w:szCs w:val="22"/>
              </w:rPr>
            </w:pPr>
            <w:r w:rsidRPr="00406501">
              <w:rPr>
                <w:sz w:val="22"/>
                <w:szCs w:val="22"/>
              </w:rPr>
              <w:t>Uncommon (0.6%)</w:t>
            </w:r>
          </w:p>
        </w:tc>
      </w:tr>
      <w:tr w:rsidR="00552811" w:rsidRPr="00406501" w14:paraId="05DD4D9D" w14:textId="77777777" w:rsidTr="003D26B4">
        <w:trPr>
          <w:cantSplit/>
          <w:trHeight w:val="70"/>
        </w:trPr>
        <w:tc>
          <w:tcPr>
            <w:tcW w:w="1013" w:type="pct"/>
            <w:vMerge/>
            <w:shd w:val="clear" w:color="auto" w:fill="auto"/>
          </w:tcPr>
          <w:p w14:paraId="4251D8AF" w14:textId="77777777" w:rsidR="00552811" w:rsidRPr="00406501" w:rsidRDefault="00552811" w:rsidP="003D26B4">
            <w:pPr>
              <w:pStyle w:val="TableLeft"/>
              <w:rPr>
                <w:sz w:val="22"/>
                <w:szCs w:val="22"/>
              </w:rPr>
            </w:pPr>
          </w:p>
        </w:tc>
        <w:tc>
          <w:tcPr>
            <w:tcW w:w="1480" w:type="pct"/>
            <w:shd w:val="clear" w:color="auto" w:fill="auto"/>
          </w:tcPr>
          <w:p w14:paraId="58F294A1" w14:textId="77777777" w:rsidR="00552811" w:rsidRPr="00406501" w:rsidRDefault="00552811" w:rsidP="003D26B4">
            <w:pPr>
              <w:pStyle w:val="TableLeft"/>
              <w:rPr>
                <w:sz w:val="22"/>
                <w:szCs w:val="22"/>
              </w:rPr>
            </w:pPr>
            <w:bookmarkStart w:id="30" w:name="_Hlk44416133"/>
            <w:r w:rsidRPr="00406501">
              <w:rPr>
                <w:sz w:val="22"/>
                <w:szCs w:val="22"/>
              </w:rPr>
              <w:t>Anaphylactic reaction</w:t>
            </w:r>
            <w:bookmarkEnd w:id="30"/>
          </w:p>
        </w:tc>
        <w:tc>
          <w:tcPr>
            <w:tcW w:w="1246" w:type="pct"/>
            <w:shd w:val="clear" w:color="auto" w:fill="auto"/>
          </w:tcPr>
          <w:p w14:paraId="6D3CC345" w14:textId="77777777" w:rsidR="00552811" w:rsidRPr="00406501" w:rsidRDefault="00552811" w:rsidP="003D26B4">
            <w:pPr>
              <w:pStyle w:val="TableLeft"/>
              <w:rPr>
                <w:sz w:val="22"/>
                <w:szCs w:val="22"/>
              </w:rPr>
            </w:pPr>
            <w:r w:rsidRPr="00406501">
              <w:rPr>
                <w:sz w:val="22"/>
                <w:szCs w:val="22"/>
              </w:rPr>
              <w:t>Uncommon</w:t>
            </w:r>
            <w:r w:rsidRPr="00406501">
              <w:rPr>
                <w:rFonts w:cs="Times New Roman"/>
                <w:sz w:val="22"/>
                <w:szCs w:val="22"/>
                <w:vertAlign w:val="superscript"/>
              </w:rPr>
              <w:t>§</w:t>
            </w:r>
          </w:p>
        </w:tc>
        <w:tc>
          <w:tcPr>
            <w:tcW w:w="1261" w:type="pct"/>
            <w:shd w:val="clear" w:color="auto" w:fill="auto"/>
          </w:tcPr>
          <w:p w14:paraId="4F1C25A7" w14:textId="77777777" w:rsidR="00552811" w:rsidRPr="00406501" w:rsidRDefault="00552811" w:rsidP="003D26B4">
            <w:pPr>
              <w:pStyle w:val="TableLeft"/>
              <w:rPr>
                <w:sz w:val="22"/>
                <w:szCs w:val="22"/>
              </w:rPr>
            </w:pPr>
            <w:r w:rsidRPr="00406501">
              <w:rPr>
                <w:sz w:val="22"/>
                <w:szCs w:val="22"/>
              </w:rPr>
              <w:t>-</w:t>
            </w:r>
          </w:p>
        </w:tc>
      </w:tr>
      <w:tr w:rsidR="00552811" w:rsidRPr="00406501" w14:paraId="06B24B4D" w14:textId="77777777" w:rsidTr="003D26B4">
        <w:trPr>
          <w:cantSplit/>
          <w:trHeight w:val="70"/>
        </w:trPr>
        <w:tc>
          <w:tcPr>
            <w:tcW w:w="1013" w:type="pct"/>
            <w:shd w:val="clear" w:color="auto" w:fill="auto"/>
          </w:tcPr>
          <w:p w14:paraId="15F740A0" w14:textId="77777777" w:rsidR="00552811" w:rsidRPr="00406501" w:rsidRDefault="00552811" w:rsidP="003D26B4">
            <w:pPr>
              <w:pStyle w:val="TableLeft"/>
              <w:keepNext/>
              <w:keepLines/>
              <w:rPr>
                <w:sz w:val="22"/>
                <w:szCs w:val="22"/>
              </w:rPr>
            </w:pPr>
            <w:r w:rsidRPr="00406501">
              <w:rPr>
                <w:sz w:val="22"/>
                <w:szCs w:val="22"/>
              </w:rPr>
              <w:lastRenderedPageBreak/>
              <w:t>Injury, poisoning and procedural complications</w:t>
            </w:r>
          </w:p>
        </w:tc>
        <w:tc>
          <w:tcPr>
            <w:tcW w:w="1480" w:type="pct"/>
            <w:shd w:val="clear" w:color="auto" w:fill="auto"/>
          </w:tcPr>
          <w:p w14:paraId="497703A1" w14:textId="77777777" w:rsidR="00552811" w:rsidRPr="00406501" w:rsidRDefault="00552811" w:rsidP="003D26B4">
            <w:pPr>
              <w:pStyle w:val="TableLeft"/>
              <w:keepNext/>
              <w:keepLines/>
              <w:rPr>
                <w:sz w:val="22"/>
                <w:szCs w:val="22"/>
              </w:rPr>
            </w:pPr>
            <w:r w:rsidRPr="00406501">
              <w:rPr>
                <w:sz w:val="22"/>
                <w:szCs w:val="22"/>
              </w:rPr>
              <w:t>Infusion related reaction</w:t>
            </w:r>
          </w:p>
        </w:tc>
        <w:tc>
          <w:tcPr>
            <w:tcW w:w="1246" w:type="pct"/>
            <w:shd w:val="clear" w:color="auto" w:fill="auto"/>
          </w:tcPr>
          <w:p w14:paraId="75D31898" w14:textId="77777777" w:rsidR="00552811" w:rsidRPr="00406501" w:rsidRDefault="00552811" w:rsidP="003D26B4">
            <w:pPr>
              <w:pStyle w:val="TableLeft"/>
              <w:keepNext/>
              <w:keepLines/>
              <w:rPr>
                <w:sz w:val="22"/>
                <w:szCs w:val="22"/>
              </w:rPr>
            </w:pPr>
            <w:r w:rsidRPr="00406501">
              <w:rPr>
                <w:sz w:val="22"/>
                <w:szCs w:val="22"/>
              </w:rPr>
              <w:t>Common (9.4%)</w:t>
            </w:r>
          </w:p>
        </w:tc>
        <w:tc>
          <w:tcPr>
            <w:tcW w:w="1261" w:type="pct"/>
            <w:shd w:val="clear" w:color="auto" w:fill="auto"/>
          </w:tcPr>
          <w:p w14:paraId="3E6368A5" w14:textId="77777777" w:rsidR="00552811" w:rsidRPr="00406501" w:rsidRDefault="00552811" w:rsidP="003D26B4">
            <w:pPr>
              <w:pStyle w:val="TableLeft"/>
              <w:keepNext/>
              <w:keepLines/>
              <w:rPr>
                <w:sz w:val="22"/>
                <w:szCs w:val="22"/>
              </w:rPr>
            </w:pPr>
            <w:r w:rsidRPr="00406501">
              <w:rPr>
                <w:sz w:val="22"/>
                <w:szCs w:val="22"/>
              </w:rPr>
              <w:t>Common (7.1%)</w:t>
            </w:r>
          </w:p>
        </w:tc>
      </w:tr>
    </w:tbl>
    <w:p w14:paraId="00FF75C9" w14:textId="77777777" w:rsidR="00552811" w:rsidRPr="00406501" w:rsidRDefault="00552811" w:rsidP="00336FF5">
      <w:pPr>
        <w:pStyle w:val="Paragraph"/>
        <w:keepNext/>
        <w:keepLines/>
        <w:spacing w:after="0" w:line="276" w:lineRule="auto"/>
        <w:rPr>
          <w:sz w:val="20"/>
          <w:szCs w:val="20"/>
        </w:rPr>
      </w:pPr>
      <w:bookmarkStart w:id="31" w:name="_Hlk41145873"/>
      <w:bookmarkStart w:id="32" w:name="_Hlk42260803"/>
      <w:bookmarkEnd w:id="29"/>
      <w:r w:rsidRPr="00406501">
        <w:rPr>
          <w:sz w:val="20"/>
          <w:szCs w:val="20"/>
        </w:rPr>
        <w:t>All patients received standard therapy.</w:t>
      </w:r>
    </w:p>
    <w:bookmarkEnd w:id="31"/>
    <w:p w14:paraId="635644F5" w14:textId="460F0CF4" w:rsidR="00552811" w:rsidRPr="00406501" w:rsidRDefault="00552811" w:rsidP="00336FF5">
      <w:pPr>
        <w:pStyle w:val="Paragraph"/>
        <w:keepNext/>
        <w:keepLines/>
        <w:spacing w:after="0" w:line="276" w:lineRule="auto"/>
        <w:rPr>
          <w:sz w:val="20"/>
          <w:szCs w:val="20"/>
        </w:rPr>
      </w:pPr>
      <w:r w:rsidRPr="00406501">
        <w:rPr>
          <w:sz w:val="20"/>
          <w:szCs w:val="20"/>
        </w:rPr>
        <w:t xml:space="preserve">* Grouped terms: Upper respiratory tract infections (including Upper respiratory tract infections, Nasopharyngitis, Pharyngitis); Bronchitis (including Bronchitis, </w:t>
      </w:r>
      <w:r w:rsidR="00C57FD2">
        <w:rPr>
          <w:sz w:val="20"/>
          <w:szCs w:val="20"/>
        </w:rPr>
        <w:t>B</w:t>
      </w:r>
      <w:r w:rsidRPr="00406501">
        <w:rPr>
          <w:sz w:val="20"/>
          <w:szCs w:val="20"/>
        </w:rPr>
        <w:t>ronchitis</w:t>
      </w:r>
      <w:r w:rsidR="00C57FD2">
        <w:rPr>
          <w:sz w:val="20"/>
          <w:szCs w:val="20"/>
        </w:rPr>
        <w:t xml:space="preserve"> viral</w:t>
      </w:r>
      <w:r w:rsidRPr="00406501">
        <w:rPr>
          <w:sz w:val="20"/>
          <w:szCs w:val="20"/>
        </w:rPr>
        <w:t xml:space="preserve">, Tracheobronchitis); </w:t>
      </w:r>
      <w:bookmarkStart w:id="33" w:name="_Hlk43113417"/>
      <w:r w:rsidRPr="00406501">
        <w:rPr>
          <w:sz w:val="20"/>
          <w:szCs w:val="20"/>
        </w:rPr>
        <w:t xml:space="preserve">Respiratory tract infection (including Respiratory tract infection, </w:t>
      </w:r>
      <w:r w:rsidR="00C57FD2">
        <w:rPr>
          <w:sz w:val="20"/>
          <w:szCs w:val="20"/>
        </w:rPr>
        <w:t>R</w:t>
      </w:r>
      <w:r w:rsidRPr="00406501">
        <w:rPr>
          <w:sz w:val="20"/>
          <w:szCs w:val="20"/>
        </w:rPr>
        <w:t>espiratory tract infection</w:t>
      </w:r>
      <w:r w:rsidR="00C57FD2">
        <w:rPr>
          <w:sz w:val="20"/>
          <w:szCs w:val="20"/>
        </w:rPr>
        <w:t xml:space="preserve"> viral</w:t>
      </w:r>
      <w:r w:rsidRPr="00406501">
        <w:rPr>
          <w:sz w:val="20"/>
          <w:szCs w:val="20"/>
        </w:rPr>
        <w:t xml:space="preserve">, </w:t>
      </w:r>
      <w:r w:rsidR="00C57FD2">
        <w:rPr>
          <w:sz w:val="20"/>
          <w:szCs w:val="20"/>
        </w:rPr>
        <w:t>R</w:t>
      </w:r>
      <w:r w:rsidRPr="00406501">
        <w:rPr>
          <w:sz w:val="20"/>
          <w:szCs w:val="20"/>
        </w:rPr>
        <w:t>espiratory tract infection</w:t>
      </w:r>
      <w:r w:rsidR="00C57FD2">
        <w:rPr>
          <w:sz w:val="20"/>
          <w:szCs w:val="20"/>
        </w:rPr>
        <w:t xml:space="preserve"> bacterial</w:t>
      </w:r>
      <w:r w:rsidRPr="00406501">
        <w:rPr>
          <w:sz w:val="20"/>
          <w:szCs w:val="20"/>
        </w:rPr>
        <w:t>).</w:t>
      </w:r>
      <w:bookmarkEnd w:id="33"/>
    </w:p>
    <w:p w14:paraId="4DEE0AD8" w14:textId="5E797616" w:rsidR="001D3AF3" w:rsidRPr="00552811" w:rsidRDefault="00552811" w:rsidP="00336FF5">
      <w:pPr>
        <w:pStyle w:val="Paragraph"/>
        <w:keepNext/>
        <w:keepLines/>
        <w:spacing w:line="276" w:lineRule="auto"/>
        <w:rPr>
          <w:sz w:val="20"/>
          <w:szCs w:val="20"/>
        </w:rPr>
      </w:pPr>
      <w:r w:rsidRPr="00406501">
        <w:rPr>
          <w:sz w:val="22"/>
          <w:szCs w:val="22"/>
          <w:vertAlign w:val="superscript"/>
        </w:rPr>
        <w:t>§</w:t>
      </w:r>
      <w:r w:rsidRPr="00406501">
        <w:rPr>
          <w:sz w:val="20"/>
          <w:szCs w:val="20"/>
        </w:rPr>
        <w:t xml:space="preserve"> Frequency ‘uncommon’ (0.1%): based on one event of anaphylactic reaction reported in SLE patients who received IV </w:t>
      </w:r>
      <w:proofErr w:type="spellStart"/>
      <w:r w:rsidRPr="00406501">
        <w:rPr>
          <w:sz w:val="20"/>
          <w:szCs w:val="20"/>
        </w:rPr>
        <w:t>anifrolumab</w:t>
      </w:r>
      <w:proofErr w:type="spellEnd"/>
      <w:r w:rsidRPr="00406501">
        <w:rPr>
          <w:sz w:val="20"/>
          <w:szCs w:val="20"/>
        </w:rPr>
        <w:t xml:space="preserve"> at any dose (N=837), see </w:t>
      </w:r>
      <w:r w:rsidR="004E61A5">
        <w:rPr>
          <w:sz w:val="20"/>
          <w:szCs w:val="20"/>
        </w:rPr>
        <w:t>S</w:t>
      </w:r>
      <w:r w:rsidRPr="00406501">
        <w:rPr>
          <w:sz w:val="20"/>
          <w:szCs w:val="20"/>
        </w:rPr>
        <w:t>ection 4.4</w:t>
      </w:r>
      <w:r w:rsidR="004E61A5">
        <w:rPr>
          <w:sz w:val="20"/>
          <w:szCs w:val="20"/>
        </w:rPr>
        <w:t xml:space="preserve"> Special warnings and precautions for use</w:t>
      </w:r>
      <w:r w:rsidRPr="00406501">
        <w:rPr>
          <w:sz w:val="20"/>
          <w:szCs w:val="20"/>
        </w:rPr>
        <w:t>.</w:t>
      </w:r>
      <w:bookmarkEnd w:id="32"/>
    </w:p>
    <w:p w14:paraId="7963C702" w14:textId="77777777" w:rsidR="0095272B" w:rsidRPr="00406501" w:rsidRDefault="0095272B" w:rsidP="0095272B">
      <w:pPr>
        <w:pStyle w:val="Heading3Unnumbered"/>
      </w:pPr>
      <w:r w:rsidRPr="00406501">
        <w:t>Description of selected adverse reactions</w:t>
      </w:r>
    </w:p>
    <w:p w14:paraId="03D6934A" w14:textId="77777777" w:rsidR="0095272B" w:rsidRPr="00406501" w:rsidRDefault="0095272B" w:rsidP="0095272B">
      <w:pPr>
        <w:pStyle w:val="Heading4Unnumbered"/>
      </w:pPr>
      <w:r w:rsidRPr="00406501">
        <w:t xml:space="preserve">Hypersensitivity and infusion-related reactions </w:t>
      </w:r>
    </w:p>
    <w:p w14:paraId="59DD2D9C" w14:textId="425B5D34" w:rsidR="0095272B" w:rsidRPr="00406501" w:rsidRDefault="0095272B" w:rsidP="0095272B">
      <w:pPr>
        <w:pStyle w:val="Paragraph"/>
      </w:pPr>
      <w:r w:rsidRPr="00406501">
        <w:t xml:space="preserve">Hypersensitivity reactions were predominantly mild to moderate in intensity </w:t>
      </w:r>
      <w:bookmarkStart w:id="34" w:name="_Hlk45091386"/>
      <w:r w:rsidRPr="00406501">
        <w:t xml:space="preserve">and did not lead to discontinuation of </w:t>
      </w:r>
      <w:proofErr w:type="spellStart"/>
      <w:r w:rsidRPr="00406501">
        <w:t>anifrolumab</w:t>
      </w:r>
      <w:bookmarkEnd w:id="34"/>
      <w:proofErr w:type="spellEnd"/>
      <w:r w:rsidRPr="00406501">
        <w:t xml:space="preserve">. Following treatment with </w:t>
      </w:r>
      <w:proofErr w:type="spellStart"/>
      <w:r w:rsidRPr="00406501">
        <w:t>anifrolumab</w:t>
      </w:r>
      <w:proofErr w:type="spellEnd"/>
      <w:r w:rsidRPr="00406501">
        <w:t>, serious hypersensitivity was reported in 0.6% of patients in the controlled clinical-trials and one event of anaphylactic reaction</w:t>
      </w:r>
      <w:r w:rsidRPr="00406501" w:rsidDel="00F97C28">
        <w:t xml:space="preserve"> </w:t>
      </w:r>
      <w:r w:rsidRPr="00406501">
        <w:t xml:space="preserve">was reported in the SLE development program </w:t>
      </w:r>
      <w:bookmarkStart w:id="35" w:name="_Hlk44092286"/>
      <w:r w:rsidRPr="00406501" w:rsidDel="005033B9">
        <w:t>(</w:t>
      </w:r>
      <w:r w:rsidRPr="00406501">
        <w:t xml:space="preserve">see </w:t>
      </w:r>
      <w:r>
        <w:t>S</w:t>
      </w:r>
      <w:r w:rsidRPr="00406501">
        <w:t>ection </w:t>
      </w:r>
      <w:r w:rsidRPr="00406501" w:rsidDel="005033B9">
        <w:t>4.4</w:t>
      </w:r>
      <w:r>
        <w:t xml:space="preserve"> Special warnings and precautions for use</w:t>
      </w:r>
      <w:r w:rsidRPr="00406501" w:rsidDel="005033B9">
        <w:t>).</w:t>
      </w:r>
      <w:bookmarkEnd w:id="35"/>
    </w:p>
    <w:p w14:paraId="152BAE90" w14:textId="77777777" w:rsidR="0095272B" w:rsidRPr="00406501" w:rsidRDefault="0095272B" w:rsidP="0095272B">
      <w:pPr>
        <w:pStyle w:val="Paragraph"/>
      </w:pPr>
      <w:bookmarkStart w:id="36" w:name="_Hlk44235853"/>
      <w:r w:rsidRPr="00406501">
        <w:t>Infusion-related reactions were mild or moderate in intensity, the most common symptoms were headache, nausea, vomiting, fatigue, and dizziness</w:t>
      </w:r>
      <w:bookmarkEnd w:id="36"/>
      <w:r w:rsidRPr="00406501">
        <w:t>.</w:t>
      </w:r>
    </w:p>
    <w:p w14:paraId="47D48B93" w14:textId="77777777" w:rsidR="0095272B" w:rsidRPr="00406501" w:rsidRDefault="0095272B" w:rsidP="0095272B">
      <w:pPr>
        <w:pStyle w:val="Heading4Unnumbered"/>
      </w:pPr>
      <w:r w:rsidRPr="00406501">
        <w:t>Respiratory infections</w:t>
      </w:r>
    </w:p>
    <w:p w14:paraId="3FFB6842" w14:textId="3CE80041" w:rsidR="0095272B" w:rsidRPr="00406501" w:rsidRDefault="0095272B" w:rsidP="0095272B">
      <w:pPr>
        <w:pStyle w:val="Paragraph"/>
      </w:pPr>
      <w:r w:rsidRPr="00406501">
        <w:t xml:space="preserve">Infections were predominantly non-serious, </w:t>
      </w:r>
      <w:proofErr w:type="gramStart"/>
      <w:r w:rsidRPr="00406501">
        <w:t>mild</w:t>
      </w:r>
      <w:proofErr w:type="gramEnd"/>
      <w:r w:rsidRPr="00406501">
        <w:t xml:space="preserve"> or moderate in intensity and resolved without discontinuation of </w:t>
      </w:r>
      <w:proofErr w:type="spellStart"/>
      <w:r w:rsidRPr="00406501">
        <w:t>anifrolumab</w:t>
      </w:r>
      <w:proofErr w:type="spellEnd"/>
      <w:r w:rsidRPr="00406501">
        <w:t xml:space="preserve"> (see </w:t>
      </w:r>
      <w:r>
        <w:t>S</w:t>
      </w:r>
      <w:r w:rsidRPr="00406501">
        <w:t>ection </w:t>
      </w:r>
      <w:r w:rsidRPr="00406501" w:rsidDel="005033B9">
        <w:t>4.4</w:t>
      </w:r>
      <w:r>
        <w:t xml:space="preserve"> Special warnings and precautions for use</w:t>
      </w:r>
      <w:r w:rsidRPr="00406501">
        <w:t>)</w:t>
      </w:r>
      <w:r w:rsidRPr="00406501" w:rsidDel="005033B9">
        <w:t>.</w:t>
      </w:r>
      <w:r w:rsidRPr="00406501">
        <w:t xml:space="preserve"> </w:t>
      </w:r>
    </w:p>
    <w:p w14:paraId="2ADB8E5C" w14:textId="77777777" w:rsidR="0095272B" w:rsidRPr="00406501" w:rsidRDefault="0095272B" w:rsidP="0095272B">
      <w:pPr>
        <w:pStyle w:val="Heading4Unnumbered"/>
      </w:pPr>
      <w:r w:rsidRPr="00406501">
        <w:t>Herpes zoster</w:t>
      </w:r>
    </w:p>
    <w:p w14:paraId="004F32FD" w14:textId="633071B7" w:rsidR="0095272B" w:rsidRDefault="00C57FD2" w:rsidP="00446EDD">
      <w:pPr>
        <w:pStyle w:val="Paragraph"/>
      </w:pPr>
      <w:r>
        <w:t>H</w:t>
      </w:r>
      <w:r w:rsidR="0095272B" w:rsidRPr="00406501">
        <w:t xml:space="preserve">erpes zoster infections were </w:t>
      </w:r>
      <w:r>
        <w:t xml:space="preserve">predominantly </w:t>
      </w:r>
      <w:r w:rsidR="0095272B" w:rsidRPr="00406501">
        <w:t xml:space="preserve">of </w:t>
      </w:r>
      <w:r>
        <w:t xml:space="preserve">localised </w:t>
      </w:r>
      <w:r w:rsidR="0095272B" w:rsidRPr="00406501">
        <w:t xml:space="preserve">cutaneous presentation, mild or moderate in </w:t>
      </w:r>
      <w:r>
        <w:t>intensity</w:t>
      </w:r>
      <w:r w:rsidR="0095272B" w:rsidRPr="00406501">
        <w:t xml:space="preserve"> and resolved without discontinuation of </w:t>
      </w:r>
      <w:proofErr w:type="spellStart"/>
      <w:r w:rsidR="0095272B" w:rsidRPr="00406501">
        <w:t>anifrolumab</w:t>
      </w:r>
      <w:proofErr w:type="spellEnd"/>
      <w:r>
        <w:t xml:space="preserve">. Cases with </w:t>
      </w:r>
      <w:proofErr w:type="spellStart"/>
      <w:r>
        <w:t>multidermatomal</w:t>
      </w:r>
      <w:proofErr w:type="spellEnd"/>
      <w:r>
        <w:t xml:space="preserve"> involvement and disseminated presentation have been reported</w:t>
      </w:r>
      <w:r w:rsidR="0095272B" w:rsidRPr="00406501">
        <w:t xml:space="preserve"> (see </w:t>
      </w:r>
      <w:r w:rsidR="0095272B">
        <w:t>S</w:t>
      </w:r>
      <w:r w:rsidR="0095272B" w:rsidRPr="00406501">
        <w:t>ection </w:t>
      </w:r>
      <w:r w:rsidR="0095272B" w:rsidRPr="00406501" w:rsidDel="005033B9">
        <w:t>4.4</w:t>
      </w:r>
      <w:r w:rsidR="0095272B">
        <w:t xml:space="preserve"> Special warnings and precautions for use</w:t>
      </w:r>
      <w:r w:rsidR="0095272B" w:rsidRPr="00406501">
        <w:t>).</w:t>
      </w:r>
    </w:p>
    <w:p w14:paraId="5CBC4BE2" w14:textId="129F9304" w:rsidR="00336FF5" w:rsidRDefault="00336FF5" w:rsidP="00336FF5">
      <w:pPr>
        <w:pStyle w:val="Heading3Unnumbered"/>
      </w:pPr>
      <w:r w:rsidRPr="00336FF5">
        <w:t>Adverse events</w:t>
      </w:r>
    </w:p>
    <w:p w14:paraId="6DDB1FDD" w14:textId="5487714A" w:rsidR="000C286F" w:rsidRPr="00406501" w:rsidRDefault="000C286F" w:rsidP="000C286F">
      <w:pPr>
        <w:rPr>
          <w:rFonts w:eastAsia="Calibri" w:cs="Arial"/>
        </w:rPr>
      </w:pPr>
      <w:r w:rsidRPr="00406501">
        <w:rPr>
          <w:rFonts w:eastAsiaTheme="minorEastAsia"/>
          <w:lang w:eastAsia="ja-JP"/>
        </w:rPr>
        <w:t xml:space="preserve">Adverse events were reported in 86.9% of patients receiving </w:t>
      </w:r>
      <w:proofErr w:type="spellStart"/>
      <w:r w:rsidRPr="00406501">
        <w:rPr>
          <w:rFonts w:eastAsiaTheme="minorEastAsia"/>
          <w:lang w:eastAsia="ja-JP"/>
        </w:rPr>
        <w:t>anifrolumab</w:t>
      </w:r>
      <w:proofErr w:type="spellEnd"/>
      <w:r w:rsidRPr="00406501">
        <w:rPr>
          <w:rFonts w:eastAsiaTheme="minorEastAsia"/>
          <w:lang w:eastAsia="ja-JP"/>
        </w:rPr>
        <w:t xml:space="preserve"> and 79.4% of patients receiving placebo. The </w:t>
      </w:r>
      <w:proofErr w:type="gramStart"/>
      <w:r w:rsidRPr="00406501">
        <w:rPr>
          <w:rFonts w:eastAsiaTheme="minorEastAsia"/>
          <w:lang w:eastAsia="ja-JP"/>
        </w:rPr>
        <w:t>most commonly reported</w:t>
      </w:r>
      <w:proofErr w:type="gramEnd"/>
      <w:r w:rsidRPr="00406501">
        <w:rPr>
          <w:rFonts w:eastAsiaTheme="minorEastAsia"/>
          <w:lang w:eastAsia="ja-JP"/>
        </w:rPr>
        <w:t xml:space="preserve"> adverse events</w:t>
      </w:r>
      <w:r w:rsidRPr="00406501">
        <w:t xml:space="preserve"> (</w:t>
      </w:r>
      <w:r w:rsidR="00A650F9">
        <w:t>≥</w:t>
      </w:r>
      <w:r w:rsidRPr="00406501">
        <w:t xml:space="preserve">5%) during </w:t>
      </w:r>
      <w:proofErr w:type="spellStart"/>
      <w:r w:rsidRPr="00406501">
        <w:t>anifrolumab</w:t>
      </w:r>
      <w:proofErr w:type="spellEnd"/>
      <w:r w:rsidRPr="00406501">
        <w:t xml:space="preserve"> treatment, irrespective of causality, were nasopharyngitis, upper respiratory tract infection, urinary tract infection, bronchitis, infusion related reaction, headache, herpes zoster, back pain, sinusitis and cough</w:t>
      </w:r>
      <w:r w:rsidRPr="00406501">
        <w:rPr>
          <w:rFonts w:eastAsia="Calibri" w:cs="Arial"/>
        </w:rPr>
        <w:t>.</w:t>
      </w:r>
    </w:p>
    <w:p w14:paraId="0A6260F7" w14:textId="77777777" w:rsidR="000C286F" w:rsidRPr="00406501" w:rsidRDefault="000C286F" w:rsidP="000C286F">
      <w:pPr>
        <w:pStyle w:val="Paragraph"/>
      </w:pPr>
      <w:r w:rsidRPr="00406501">
        <w:t xml:space="preserve">During the </w:t>
      </w:r>
      <w:r>
        <w:t>placebo-</w:t>
      </w:r>
      <w:r w:rsidRPr="00406501">
        <w:t>controlled</w:t>
      </w:r>
      <w:r>
        <w:t xml:space="preserve"> </w:t>
      </w:r>
      <w:r w:rsidRPr="00406501">
        <w:t xml:space="preserve">clinical studies, the proportion of patients with serious adverse events was 11.8% for </w:t>
      </w:r>
      <w:proofErr w:type="spellStart"/>
      <w:r w:rsidRPr="00406501">
        <w:t>anifrolumab</w:t>
      </w:r>
      <w:proofErr w:type="spellEnd"/>
      <w:r w:rsidRPr="00406501">
        <w:t xml:space="preserve"> and 16.7% for placebo.</w:t>
      </w:r>
    </w:p>
    <w:p w14:paraId="0ED7CB76" w14:textId="1BBF012B" w:rsidR="000C286F" w:rsidRPr="000C286F" w:rsidRDefault="000C286F" w:rsidP="000C286F">
      <w:pPr>
        <w:pStyle w:val="Paragraph"/>
        <w:rPr>
          <w:rFonts w:eastAsiaTheme="minorEastAsia"/>
          <w:lang w:eastAsia="ja-JP"/>
        </w:rPr>
      </w:pPr>
      <w:r w:rsidRPr="00406501">
        <w:rPr>
          <w:rFonts w:eastAsiaTheme="minorEastAsia"/>
          <w:lang w:eastAsia="ja-JP"/>
        </w:rPr>
        <w:lastRenderedPageBreak/>
        <w:t xml:space="preserve">The proportion of patients who discontinued treatment due to adverse events was 4.1% for </w:t>
      </w:r>
      <w:proofErr w:type="spellStart"/>
      <w:r w:rsidRPr="00406501">
        <w:rPr>
          <w:rFonts w:eastAsiaTheme="minorEastAsia"/>
          <w:lang w:eastAsia="ja-JP"/>
        </w:rPr>
        <w:t>anifrolumab</w:t>
      </w:r>
      <w:proofErr w:type="spellEnd"/>
      <w:r w:rsidRPr="00406501">
        <w:rPr>
          <w:rFonts w:eastAsiaTheme="minorEastAsia"/>
          <w:lang w:eastAsia="ja-JP"/>
        </w:rPr>
        <w:t xml:space="preserve"> and 5.2% for placebo.</w:t>
      </w:r>
    </w:p>
    <w:p w14:paraId="3EB813DD" w14:textId="5A4D6EA3" w:rsidR="00336FF5" w:rsidRPr="00336FF5" w:rsidRDefault="00336FF5" w:rsidP="00336FF5">
      <w:pPr>
        <w:pStyle w:val="Paragraph"/>
        <w:rPr>
          <w:rFonts w:eastAsiaTheme="minorEastAsia"/>
          <w:lang w:eastAsia="ja-JP"/>
        </w:rPr>
      </w:pPr>
      <w:r w:rsidRPr="00336FF5">
        <w:t xml:space="preserve">Table </w:t>
      </w:r>
      <w:r>
        <w:t>2</w:t>
      </w:r>
      <w:r w:rsidRPr="00336FF5">
        <w:t xml:space="preserve"> presents the most common adverse events</w:t>
      </w:r>
      <w:r w:rsidR="00DD7E6E">
        <w:t xml:space="preserve"> regardless of causality</w:t>
      </w:r>
      <w:r w:rsidRPr="00336FF5">
        <w:t xml:space="preserve"> </w:t>
      </w:r>
      <w:r w:rsidR="00DD7E6E">
        <w:t xml:space="preserve">occurring in at least </w:t>
      </w:r>
      <w:r w:rsidR="00DD7E6E" w:rsidRPr="00336FF5">
        <w:t>≥</w:t>
      </w:r>
      <w:r w:rsidR="00475493">
        <w:t>3</w:t>
      </w:r>
      <w:r w:rsidR="00DD7E6E">
        <w:t xml:space="preserve">% treated with SAPHNELO </w:t>
      </w:r>
      <w:r w:rsidR="00DD7E6E" w:rsidRPr="00336FF5">
        <w:t>300 mg administered by IV infusion every 4 weeks</w:t>
      </w:r>
      <w:r w:rsidR="00DD7E6E">
        <w:t xml:space="preserve"> plus standard of care in</w:t>
      </w:r>
      <w:r w:rsidRPr="00336FF5">
        <w:t xml:space="preserve"> the </w:t>
      </w:r>
      <w:bookmarkStart w:id="37" w:name="_Hlk79752748"/>
      <w:r w:rsidR="00A41B0B" w:rsidRPr="0058674E">
        <w:t>52</w:t>
      </w:r>
      <w:r w:rsidR="0010684E">
        <w:t>-</w:t>
      </w:r>
      <w:r w:rsidR="00A41B0B" w:rsidRPr="0058674E">
        <w:t>week Phase II and Phase III placebo-controlled trials (Trials 1, 2, and 3)</w:t>
      </w:r>
      <w:bookmarkEnd w:id="37"/>
      <w:r w:rsidRPr="00336FF5">
        <w:t>.</w:t>
      </w:r>
    </w:p>
    <w:p w14:paraId="36DEDB4E" w14:textId="076C4ECC" w:rsidR="00336FF5" w:rsidRPr="00336FF5" w:rsidRDefault="00336FF5" w:rsidP="00336FF5">
      <w:pPr>
        <w:pStyle w:val="TableTitle"/>
      </w:pPr>
      <w:r w:rsidRPr="00336FF5">
        <w:t>Table 2</w:t>
      </w:r>
      <w:r w:rsidRPr="00336FF5">
        <w:tab/>
        <w:t xml:space="preserve">Adverse events that occurred </w:t>
      </w:r>
      <w:r w:rsidR="00D11DE1">
        <w:t xml:space="preserve">in </w:t>
      </w:r>
      <w:r w:rsidRPr="00336FF5">
        <w:t>≥</w:t>
      </w:r>
      <w:r w:rsidR="00475493">
        <w:t>3</w:t>
      </w:r>
      <w:r w:rsidRPr="00336FF5">
        <w:t>% of patients treated with SAPHNELO in</w:t>
      </w:r>
      <w:r w:rsidR="00D11DE1">
        <w:t xml:space="preserve"> Trials </w:t>
      </w:r>
      <w:r w:rsidR="00A41B0B">
        <w:t xml:space="preserve">1, </w:t>
      </w:r>
      <w:r w:rsidR="00D11DE1">
        <w:t>2 and 3</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3212"/>
        <w:gridCol w:w="3213"/>
        <w:gridCol w:w="3213"/>
      </w:tblGrid>
      <w:tr w:rsidR="00336FF5" w:rsidRPr="00336FF5" w14:paraId="5CF3E7F3" w14:textId="77777777" w:rsidTr="00193F3F">
        <w:trPr>
          <w:cantSplit/>
          <w:tblHeader/>
        </w:trPr>
        <w:tc>
          <w:tcPr>
            <w:tcW w:w="3212" w:type="dxa"/>
            <w:vMerge w:val="restart"/>
            <w:shd w:val="clear" w:color="auto" w:fill="auto"/>
          </w:tcPr>
          <w:p w14:paraId="3A037001" w14:textId="69FA7C18" w:rsidR="00336FF5" w:rsidRPr="00D11DE1" w:rsidRDefault="003868E7" w:rsidP="00193F3F">
            <w:pPr>
              <w:pStyle w:val="TableHead"/>
              <w:jc w:val="left"/>
              <w:rPr>
                <w:sz w:val="22"/>
                <w:szCs w:val="22"/>
              </w:rPr>
            </w:pPr>
            <w:r w:rsidRPr="00D11DE1">
              <w:rPr>
                <w:sz w:val="22"/>
                <w:szCs w:val="22"/>
              </w:rPr>
              <w:t>Preferred term</w:t>
            </w:r>
          </w:p>
        </w:tc>
        <w:tc>
          <w:tcPr>
            <w:tcW w:w="3213" w:type="dxa"/>
            <w:shd w:val="clear" w:color="auto" w:fill="auto"/>
          </w:tcPr>
          <w:p w14:paraId="2B5A9528" w14:textId="77777777" w:rsidR="000472C4" w:rsidRDefault="00336FF5" w:rsidP="00193F3F">
            <w:pPr>
              <w:pStyle w:val="TableHead"/>
              <w:rPr>
                <w:sz w:val="22"/>
                <w:szCs w:val="22"/>
              </w:rPr>
            </w:pPr>
            <w:r w:rsidRPr="00D11DE1">
              <w:rPr>
                <w:sz w:val="22"/>
                <w:szCs w:val="22"/>
              </w:rPr>
              <w:t xml:space="preserve">SAPHNELO </w:t>
            </w:r>
          </w:p>
          <w:p w14:paraId="30ECB167" w14:textId="413FF567" w:rsidR="00336FF5" w:rsidRPr="00D11DE1" w:rsidRDefault="00336FF5" w:rsidP="00193F3F">
            <w:pPr>
              <w:pStyle w:val="TableHead"/>
              <w:rPr>
                <w:sz w:val="22"/>
                <w:szCs w:val="22"/>
              </w:rPr>
            </w:pPr>
            <w:r w:rsidRPr="00D11DE1">
              <w:rPr>
                <w:sz w:val="22"/>
                <w:szCs w:val="22"/>
              </w:rPr>
              <w:t>(N=</w:t>
            </w:r>
            <w:r w:rsidR="00A41B0B">
              <w:rPr>
                <w:sz w:val="22"/>
                <w:szCs w:val="22"/>
              </w:rPr>
              <w:t>459</w:t>
            </w:r>
            <w:r w:rsidRPr="00D11DE1">
              <w:rPr>
                <w:sz w:val="22"/>
                <w:szCs w:val="22"/>
              </w:rPr>
              <w:t>)</w:t>
            </w:r>
          </w:p>
        </w:tc>
        <w:tc>
          <w:tcPr>
            <w:tcW w:w="3213" w:type="dxa"/>
            <w:shd w:val="clear" w:color="auto" w:fill="auto"/>
          </w:tcPr>
          <w:p w14:paraId="4EB10AE3" w14:textId="77777777" w:rsidR="000472C4" w:rsidRDefault="00336FF5" w:rsidP="00193F3F">
            <w:pPr>
              <w:pStyle w:val="TableHead"/>
              <w:rPr>
                <w:sz w:val="22"/>
                <w:szCs w:val="22"/>
              </w:rPr>
            </w:pPr>
            <w:r w:rsidRPr="00D11DE1">
              <w:rPr>
                <w:sz w:val="22"/>
                <w:szCs w:val="22"/>
              </w:rPr>
              <w:t xml:space="preserve">Placebo </w:t>
            </w:r>
          </w:p>
          <w:p w14:paraId="035E8A7F" w14:textId="4DB63F2B" w:rsidR="00336FF5" w:rsidRPr="00D11DE1" w:rsidRDefault="00336FF5" w:rsidP="00193F3F">
            <w:pPr>
              <w:pStyle w:val="TableHead"/>
              <w:rPr>
                <w:sz w:val="22"/>
                <w:szCs w:val="22"/>
              </w:rPr>
            </w:pPr>
            <w:r w:rsidRPr="00D11DE1">
              <w:rPr>
                <w:sz w:val="22"/>
                <w:szCs w:val="22"/>
              </w:rPr>
              <w:t>(N=</w:t>
            </w:r>
            <w:r w:rsidR="00A41B0B">
              <w:rPr>
                <w:sz w:val="22"/>
                <w:szCs w:val="22"/>
              </w:rPr>
              <w:t>466</w:t>
            </w:r>
            <w:r w:rsidRPr="00D11DE1">
              <w:rPr>
                <w:sz w:val="22"/>
                <w:szCs w:val="22"/>
              </w:rPr>
              <w:t>)</w:t>
            </w:r>
          </w:p>
        </w:tc>
      </w:tr>
      <w:tr w:rsidR="00336FF5" w:rsidRPr="00336FF5" w14:paraId="6E6A7FCB" w14:textId="77777777" w:rsidTr="00193F3F">
        <w:trPr>
          <w:cantSplit/>
          <w:tblHeader/>
        </w:trPr>
        <w:tc>
          <w:tcPr>
            <w:tcW w:w="3212" w:type="dxa"/>
            <w:vMerge/>
            <w:shd w:val="clear" w:color="auto" w:fill="auto"/>
          </w:tcPr>
          <w:p w14:paraId="14164FDD" w14:textId="77777777" w:rsidR="00336FF5" w:rsidRPr="00D11DE1" w:rsidRDefault="00336FF5" w:rsidP="00193F3F">
            <w:pPr>
              <w:pStyle w:val="TableHead"/>
              <w:jc w:val="left"/>
              <w:rPr>
                <w:sz w:val="22"/>
                <w:szCs w:val="22"/>
              </w:rPr>
            </w:pPr>
          </w:p>
        </w:tc>
        <w:tc>
          <w:tcPr>
            <w:tcW w:w="3213" w:type="dxa"/>
            <w:shd w:val="clear" w:color="auto" w:fill="auto"/>
          </w:tcPr>
          <w:p w14:paraId="37028B0E" w14:textId="5F505CE0" w:rsidR="00336FF5" w:rsidRPr="00D11DE1" w:rsidRDefault="00336FF5" w:rsidP="00193F3F">
            <w:pPr>
              <w:pStyle w:val="TableHead"/>
              <w:rPr>
                <w:sz w:val="22"/>
                <w:szCs w:val="22"/>
              </w:rPr>
            </w:pPr>
            <w:r w:rsidRPr="00D11DE1">
              <w:rPr>
                <w:sz w:val="22"/>
                <w:szCs w:val="22"/>
              </w:rPr>
              <w:t>%</w:t>
            </w:r>
          </w:p>
        </w:tc>
        <w:tc>
          <w:tcPr>
            <w:tcW w:w="3213" w:type="dxa"/>
            <w:shd w:val="clear" w:color="auto" w:fill="auto"/>
          </w:tcPr>
          <w:p w14:paraId="779D73A5" w14:textId="2E4AF9F8" w:rsidR="00336FF5" w:rsidRPr="00D11DE1" w:rsidRDefault="00336FF5" w:rsidP="00193F3F">
            <w:pPr>
              <w:pStyle w:val="TableHead"/>
              <w:rPr>
                <w:sz w:val="22"/>
                <w:szCs w:val="22"/>
              </w:rPr>
            </w:pPr>
            <w:r w:rsidRPr="00D11DE1">
              <w:rPr>
                <w:sz w:val="22"/>
                <w:szCs w:val="22"/>
              </w:rPr>
              <w:t>%</w:t>
            </w:r>
          </w:p>
        </w:tc>
      </w:tr>
      <w:tr w:rsidR="0094231B" w:rsidRPr="00336FF5" w14:paraId="48A1365B" w14:textId="77777777" w:rsidTr="0094231B">
        <w:trPr>
          <w:cantSplit/>
        </w:trPr>
        <w:tc>
          <w:tcPr>
            <w:tcW w:w="3212" w:type="dxa"/>
            <w:shd w:val="clear" w:color="auto" w:fill="auto"/>
          </w:tcPr>
          <w:p w14:paraId="06B57C85" w14:textId="204251A6" w:rsidR="0094231B" w:rsidRPr="00D11DE1" w:rsidRDefault="0094231B" w:rsidP="0094231B">
            <w:pPr>
              <w:pStyle w:val="TableLeft"/>
              <w:rPr>
                <w:sz w:val="22"/>
                <w:szCs w:val="22"/>
              </w:rPr>
            </w:pPr>
            <w:r w:rsidRPr="00D11DE1">
              <w:rPr>
                <w:sz w:val="22"/>
                <w:szCs w:val="22"/>
                <w:lang w:val="en-US"/>
              </w:rPr>
              <w:t>Nasopharyngitis</w:t>
            </w:r>
          </w:p>
        </w:tc>
        <w:tc>
          <w:tcPr>
            <w:tcW w:w="3213" w:type="dxa"/>
            <w:shd w:val="clear" w:color="auto" w:fill="auto"/>
            <w:vAlign w:val="center"/>
          </w:tcPr>
          <w:p w14:paraId="7B76B1D6" w14:textId="6340D1D4" w:rsidR="0094231B" w:rsidRPr="00D11DE1" w:rsidRDefault="00A41B0B" w:rsidP="0094231B">
            <w:pPr>
              <w:pStyle w:val="TableCenter"/>
              <w:rPr>
                <w:sz w:val="22"/>
                <w:szCs w:val="22"/>
              </w:rPr>
            </w:pPr>
            <w:r>
              <w:rPr>
                <w:sz w:val="22"/>
                <w:szCs w:val="22"/>
              </w:rPr>
              <w:t>16.3</w:t>
            </w:r>
          </w:p>
        </w:tc>
        <w:tc>
          <w:tcPr>
            <w:tcW w:w="3213" w:type="dxa"/>
            <w:shd w:val="clear" w:color="auto" w:fill="auto"/>
            <w:vAlign w:val="center"/>
          </w:tcPr>
          <w:p w14:paraId="13914F70" w14:textId="48BEAA33" w:rsidR="0094231B" w:rsidRPr="00D11DE1" w:rsidRDefault="00A41B0B" w:rsidP="0094231B">
            <w:pPr>
              <w:pStyle w:val="TableCenter"/>
              <w:rPr>
                <w:sz w:val="22"/>
                <w:szCs w:val="22"/>
              </w:rPr>
            </w:pPr>
            <w:r>
              <w:rPr>
                <w:sz w:val="22"/>
                <w:szCs w:val="22"/>
              </w:rPr>
              <w:t>9.4</w:t>
            </w:r>
          </w:p>
        </w:tc>
      </w:tr>
      <w:tr w:rsidR="0094231B" w:rsidRPr="00336FF5" w14:paraId="2C795948" w14:textId="77777777" w:rsidTr="0094231B">
        <w:trPr>
          <w:cantSplit/>
        </w:trPr>
        <w:tc>
          <w:tcPr>
            <w:tcW w:w="3212" w:type="dxa"/>
            <w:shd w:val="clear" w:color="auto" w:fill="auto"/>
          </w:tcPr>
          <w:p w14:paraId="6BAF2383" w14:textId="45CF3B54" w:rsidR="0094231B" w:rsidRPr="00D11DE1" w:rsidRDefault="0094231B" w:rsidP="0094231B">
            <w:pPr>
              <w:pStyle w:val="TableLeft"/>
              <w:rPr>
                <w:sz w:val="22"/>
                <w:szCs w:val="22"/>
              </w:rPr>
            </w:pPr>
            <w:r w:rsidRPr="00D11DE1">
              <w:rPr>
                <w:sz w:val="22"/>
                <w:szCs w:val="22"/>
                <w:lang w:val="en-US"/>
              </w:rPr>
              <w:t>Upper respiratory tract infection</w:t>
            </w:r>
          </w:p>
        </w:tc>
        <w:tc>
          <w:tcPr>
            <w:tcW w:w="3213" w:type="dxa"/>
            <w:shd w:val="clear" w:color="auto" w:fill="auto"/>
            <w:vAlign w:val="center"/>
          </w:tcPr>
          <w:p w14:paraId="38F24C5B" w14:textId="55944DDA" w:rsidR="0094231B" w:rsidRPr="00D11DE1" w:rsidRDefault="00A41B0B" w:rsidP="0094231B">
            <w:pPr>
              <w:pStyle w:val="TableCenter"/>
              <w:rPr>
                <w:sz w:val="22"/>
                <w:szCs w:val="22"/>
              </w:rPr>
            </w:pPr>
            <w:r>
              <w:rPr>
                <w:sz w:val="22"/>
                <w:szCs w:val="22"/>
              </w:rPr>
              <w:t>15.5</w:t>
            </w:r>
          </w:p>
        </w:tc>
        <w:tc>
          <w:tcPr>
            <w:tcW w:w="3213" w:type="dxa"/>
            <w:shd w:val="clear" w:color="auto" w:fill="auto"/>
            <w:vAlign w:val="center"/>
          </w:tcPr>
          <w:p w14:paraId="42680AF6" w14:textId="357B908B" w:rsidR="0094231B" w:rsidRPr="00D11DE1" w:rsidRDefault="00A41B0B" w:rsidP="0094231B">
            <w:pPr>
              <w:pStyle w:val="TableCenter"/>
              <w:rPr>
                <w:sz w:val="22"/>
                <w:szCs w:val="22"/>
              </w:rPr>
            </w:pPr>
            <w:r>
              <w:rPr>
                <w:sz w:val="22"/>
                <w:szCs w:val="22"/>
              </w:rPr>
              <w:t>9.7</w:t>
            </w:r>
          </w:p>
        </w:tc>
      </w:tr>
      <w:tr w:rsidR="00731C8A" w:rsidRPr="00336FF5" w14:paraId="0F3461CC" w14:textId="77777777" w:rsidTr="0094231B">
        <w:trPr>
          <w:cantSplit/>
        </w:trPr>
        <w:tc>
          <w:tcPr>
            <w:tcW w:w="3212" w:type="dxa"/>
            <w:shd w:val="clear" w:color="auto" w:fill="auto"/>
          </w:tcPr>
          <w:p w14:paraId="302C358A" w14:textId="48A3E093" w:rsidR="00731C8A" w:rsidRPr="00D11DE1" w:rsidRDefault="00731C8A" w:rsidP="0094231B">
            <w:pPr>
              <w:pStyle w:val="TableLeft"/>
              <w:rPr>
                <w:sz w:val="22"/>
                <w:szCs w:val="22"/>
                <w:lang w:val="en-US"/>
              </w:rPr>
            </w:pPr>
            <w:r>
              <w:rPr>
                <w:sz w:val="22"/>
                <w:szCs w:val="22"/>
                <w:lang w:val="en-US"/>
              </w:rPr>
              <w:t>Urinary tract infection</w:t>
            </w:r>
          </w:p>
        </w:tc>
        <w:tc>
          <w:tcPr>
            <w:tcW w:w="3213" w:type="dxa"/>
            <w:shd w:val="clear" w:color="auto" w:fill="auto"/>
            <w:vAlign w:val="center"/>
          </w:tcPr>
          <w:p w14:paraId="2B0EB99D" w14:textId="033ABD7D" w:rsidR="00731C8A" w:rsidRPr="00D11DE1" w:rsidRDefault="00A41B0B" w:rsidP="0094231B">
            <w:pPr>
              <w:pStyle w:val="TableCenter"/>
              <w:rPr>
                <w:sz w:val="22"/>
                <w:szCs w:val="22"/>
              </w:rPr>
            </w:pPr>
            <w:r>
              <w:rPr>
                <w:sz w:val="22"/>
                <w:szCs w:val="22"/>
              </w:rPr>
              <w:t>12.0</w:t>
            </w:r>
          </w:p>
        </w:tc>
        <w:tc>
          <w:tcPr>
            <w:tcW w:w="3213" w:type="dxa"/>
            <w:shd w:val="clear" w:color="auto" w:fill="auto"/>
            <w:vAlign w:val="center"/>
          </w:tcPr>
          <w:p w14:paraId="6EF384A3" w14:textId="318D083B" w:rsidR="00731C8A" w:rsidRPr="00D11DE1" w:rsidRDefault="00A41B0B" w:rsidP="0094231B">
            <w:pPr>
              <w:pStyle w:val="TableCenter"/>
              <w:rPr>
                <w:sz w:val="22"/>
                <w:szCs w:val="22"/>
              </w:rPr>
            </w:pPr>
            <w:r>
              <w:rPr>
                <w:sz w:val="22"/>
                <w:szCs w:val="22"/>
              </w:rPr>
              <w:t>13.5</w:t>
            </w:r>
          </w:p>
        </w:tc>
      </w:tr>
      <w:tr w:rsidR="00A41B0B" w:rsidRPr="00336FF5" w14:paraId="3117759B" w14:textId="77777777" w:rsidTr="0094231B">
        <w:trPr>
          <w:cantSplit/>
        </w:trPr>
        <w:tc>
          <w:tcPr>
            <w:tcW w:w="3212" w:type="dxa"/>
            <w:shd w:val="clear" w:color="auto" w:fill="auto"/>
          </w:tcPr>
          <w:p w14:paraId="5C2BC235" w14:textId="15F5294E" w:rsidR="00A41B0B" w:rsidRDefault="00A41B0B" w:rsidP="00A41B0B">
            <w:pPr>
              <w:pStyle w:val="TableLeft"/>
              <w:rPr>
                <w:sz w:val="22"/>
                <w:szCs w:val="22"/>
                <w:lang w:val="en-US"/>
              </w:rPr>
            </w:pPr>
            <w:r w:rsidRPr="00D11DE1">
              <w:rPr>
                <w:sz w:val="22"/>
                <w:szCs w:val="22"/>
                <w:lang w:val="en-US"/>
              </w:rPr>
              <w:t>Bronchitis</w:t>
            </w:r>
          </w:p>
        </w:tc>
        <w:tc>
          <w:tcPr>
            <w:tcW w:w="3213" w:type="dxa"/>
            <w:shd w:val="clear" w:color="auto" w:fill="auto"/>
            <w:vAlign w:val="center"/>
          </w:tcPr>
          <w:p w14:paraId="15C64060" w14:textId="10A39C2B" w:rsidR="00A41B0B" w:rsidRDefault="00A41B0B" w:rsidP="00A41B0B">
            <w:pPr>
              <w:pStyle w:val="TableCenter"/>
              <w:rPr>
                <w:sz w:val="22"/>
                <w:szCs w:val="22"/>
              </w:rPr>
            </w:pPr>
            <w:r>
              <w:rPr>
                <w:sz w:val="22"/>
                <w:szCs w:val="22"/>
              </w:rPr>
              <w:t>9.8</w:t>
            </w:r>
          </w:p>
        </w:tc>
        <w:tc>
          <w:tcPr>
            <w:tcW w:w="3213" w:type="dxa"/>
            <w:shd w:val="clear" w:color="auto" w:fill="auto"/>
            <w:vAlign w:val="center"/>
          </w:tcPr>
          <w:p w14:paraId="71A06389" w14:textId="07BFB6C6" w:rsidR="00A41B0B" w:rsidRDefault="00A41B0B" w:rsidP="00A41B0B">
            <w:pPr>
              <w:pStyle w:val="TableCenter"/>
              <w:rPr>
                <w:sz w:val="22"/>
                <w:szCs w:val="22"/>
              </w:rPr>
            </w:pPr>
            <w:r w:rsidRPr="00D11DE1">
              <w:rPr>
                <w:sz w:val="22"/>
                <w:szCs w:val="22"/>
              </w:rPr>
              <w:t>4.</w:t>
            </w:r>
            <w:r>
              <w:rPr>
                <w:sz w:val="22"/>
                <w:szCs w:val="22"/>
              </w:rPr>
              <w:t>3</w:t>
            </w:r>
          </w:p>
        </w:tc>
      </w:tr>
      <w:tr w:rsidR="0094231B" w:rsidRPr="00336FF5" w14:paraId="53DC98E0" w14:textId="77777777" w:rsidTr="0094231B">
        <w:trPr>
          <w:cantSplit/>
        </w:trPr>
        <w:tc>
          <w:tcPr>
            <w:tcW w:w="3212" w:type="dxa"/>
            <w:shd w:val="clear" w:color="auto" w:fill="auto"/>
          </w:tcPr>
          <w:p w14:paraId="06A2B9FB" w14:textId="3D3CDF4F" w:rsidR="0094231B" w:rsidRPr="00D11DE1" w:rsidRDefault="0094231B" w:rsidP="0094231B">
            <w:pPr>
              <w:pStyle w:val="TableLeft"/>
              <w:rPr>
                <w:sz w:val="22"/>
                <w:szCs w:val="22"/>
              </w:rPr>
            </w:pPr>
            <w:r w:rsidRPr="00D11DE1">
              <w:rPr>
                <w:sz w:val="22"/>
                <w:szCs w:val="22"/>
                <w:lang w:val="en-US"/>
              </w:rPr>
              <w:t>Infusion related reaction</w:t>
            </w:r>
          </w:p>
        </w:tc>
        <w:tc>
          <w:tcPr>
            <w:tcW w:w="3213" w:type="dxa"/>
            <w:shd w:val="clear" w:color="auto" w:fill="auto"/>
            <w:vAlign w:val="center"/>
          </w:tcPr>
          <w:p w14:paraId="2BC58E94" w14:textId="6064F0FF" w:rsidR="0094231B" w:rsidRPr="00D11DE1" w:rsidRDefault="00A41B0B" w:rsidP="0094231B">
            <w:pPr>
              <w:pStyle w:val="TableCenter"/>
              <w:rPr>
                <w:sz w:val="22"/>
                <w:szCs w:val="22"/>
              </w:rPr>
            </w:pPr>
            <w:r>
              <w:rPr>
                <w:sz w:val="22"/>
                <w:szCs w:val="22"/>
              </w:rPr>
              <w:t>9.4</w:t>
            </w:r>
          </w:p>
        </w:tc>
        <w:tc>
          <w:tcPr>
            <w:tcW w:w="3213" w:type="dxa"/>
            <w:shd w:val="clear" w:color="auto" w:fill="auto"/>
            <w:vAlign w:val="center"/>
          </w:tcPr>
          <w:p w14:paraId="54FB9DAB" w14:textId="1B7E51F0" w:rsidR="0094231B" w:rsidRPr="00D11DE1" w:rsidRDefault="00A41B0B" w:rsidP="0094231B">
            <w:pPr>
              <w:pStyle w:val="TableCenter"/>
              <w:rPr>
                <w:sz w:val="22"/>
                <w:szCs w:val="22"/>
              </w:rPr>
            </w:pPr>
            <w:r>
              <w:rPr>
                <w:sz w:val="22"/>
                <w:szCs w:val="22"/>
              </w:rPr>
              <w:t>7.1</w:t>
            </w:r>
          </w:p>
        </w:tc>
      </w:tr>
      <w:tr w:rsidR="00731C8A" w:rsidRPr="00336FF5" w14:paraId="1198C4BB" w14:textId="77777777" w:rsidTr="0094231B">
        <w:trPr>
          <w:cantSplit/>
        </w:trPr>
        <w:tc>
          <w:tcPr>
            <w:tcW w:w="3212" w:type="dxa"/>
            <w:shd w:val="clear" w:color="auto" w:fill="auto"/>
          </w:tcPr>
          <w:p w14:paraId="650C6E35" w14:textId="62A14740" w:rsidR="00731C8A" w:rsidRPr="00D11DE1" w:rsidRDefault="00731C8A" w:rsidP="0094231B">
            <w:pPr>
              <w:pStyle w:val="TableLeft"/>
              <w:rPr>
                <w:sz w:val="22"/>
                <w:szCs w:val="22"/>
                <w:lang w:val="en-US"/>
              </w:rPr>
            </w:pPr>
            <w:r>
              <w:rPr>
                <w:sz w:val="22"/>
                <w:szCs w:val="22"/>
                <w:lang w:val="en-US"/>
              </w:rPr>
              <w:t>Headache</w:t>
            </w:r>
          </w:p>
        </w:tc>
        <w:tc>
          <w:tcPr>
            <w:tcW w:w="3213" w:type="dxa"/>
            <w:shd w:val="clear" w:color="auto" w:fill="auto"/>
            <w:vAlign w:val="center"/>
          </w:tcPr>
          <w:p w14:paraId="28ECD447" w14:textId="68FF69FE" w:rsidR="00731C8A" w:rsidRPr="00D11DE1" w:rsidRDefault="00A41B0B" w:rsidP="0094231B">
            <w:pPr>
              <w:pStyle w:val="TableCenter"/>
              <w:rPr>
                <w:sz w:val="22"/>
                <w:szCs w:val="22"/>
              </w:rPr>
            </w:pPr>
            <w:r>
              <w:rPr>
                <w:sz w:val="22"/>
                <w:szCs w:val="22"/>
              </w:rPr>
              <w:t>8.1</w:t>
            </w:r>
          </w:p>
        </w:tc>
        <w:tc>
          <w:tcPr>
            <w:tcW w:w="3213" w:type="dxa"/>
            <w:shd w:val="clear" w:color="auto" w:fill="auto"/>
            <w:vAlign w:val="center"/>
          </w:tcPr>
          <w:p w14:paraId="20986649" w14:textId="6259B347" w:rsidR="00731C8A" w:rsidRPr="00D11DE1" w:rsidRDefault="00A41B0B" w:rsidP="0094231B">
            <w:pPr>
              <w:pStyle w:val="TableCenter"/>
              <w:rPr>
                <w:sz w:val="22"/>
                <w:szCs w:val="22"/>
              </w:rPr>
            </w:pPr>
            <w:r>
              <w:rPr>
                <w:sz w:val="22"/>
                <w:szCs w:val="22"/>
              </w:rPr>
              <w:t>9.7</w:t>
            </w:r>
          </w:p>
        </w:tc>
      </w:tr>
      <w:tr w:rsidR="0094231B" w:rsidRPr="00336FF5" w14:paraId="23CF5A0B" w14:textId="77777777" w:rsidTr="0094231B">
        <w:trPr>
          <w:cantSplit/>
        </w:trPr>
        <w:tc>
          <w:tcPr>
            <w:tcW w:w="3212" w:type="dxa"/>
            <w:shd w:val="clear" w:color="auto" w:fill="auto"/>
          </w:tcPr>
          <w:p w14:paraId="4401B574" w14:textId="5C14995B" w:rsidR="0094231B" w:rsidRPr="00D11DE1" w:rsidRDefault="0094231B" w:rsidP="0094231B">
            <w:pPr>
              <w:pStyle w:val="TableLeft"/>
              <w:rPr>
                <w:sz w:val="22"/>
                <w:szCs w:val="22"/>
              </w:rPr>
            </w:pPr>
            <w:r w:rsidRPr="00D11DE1">
              <w:rPr>
                <w:sz w:val="22"/>
                <w:szCs w:val="22"/>
                <w:lang w:val="en-US"/>
              </w:rPr>
              <w:t>Herpes zoster</w:t>
            </w:r>
          </w:p>
        </w:tc>
        <w:tc>
          <w:tcPr>
            <w:tcW w:w="3213" w:type="dxa"/>
            <w:shd w:val="clear" w:color="auto" w:fill="auto"/>
            <w:vAlign w:val="center"/>
          </w:tcPr>
          <w:p w14:paraId="109AFC3C" w14:textId="22FC0D5A" w:rsidR="0094231B" w:rsidRPr="00D11DE1" w:rsidRDefault="004363D1" w:rsidP="0094231B">
            <w:pPr>
              <w:pStyle w:val="TableCenter"/>
              <w:rPr>
                <w:sz w:val="22"/>
                <w:szCs w:val="22"/>
              </w:rPr>
            </w:pPr>
            <w:r>
              <w:rPr>
                <w:sz w:val="22"/>
                <w:szCs w:val="22"/>
              </w:rPr>
              <w:t>6.1</w:t>
            </w:r>
          </w:p>
        </w:tc>
        <w:tc>
          <w:tcPr>
            <w:tcW w:w="3213" w:type="dxa"/>
            <w:shd w:val="clear" w:color="auto" w:fill="auto"/>
            <w:vAlign w:val="center"/>
          </w:tcPr>
          <w:p w14:paraId="24CB3C27" w14:textId="3A990306" w:rsidR="0094231B" w:rsidRPr="00D11DE1" w:rsidRDefault="004363D1" w:rsidP="0094231B">
            <w:pPr>
              <w:pStyle w:val="TableCenter"/>
              <w:rPr>
                <w:sz w:val="22"/>
                <w:szCs w:val="22"/>
              </w:rPr>
            </w:pPr>
            <w:r>
              <w:rPr>
                <w:sz w:val="22"/>
                <w:szCs w:val="22"/>
              </w:rPr>
              <w:t>1.3</w:t>
            </w:r>
          </w:p>
        </w:tc>
      </w:tr>
      <w:tr w:rsidR="0094231B" w:rsidRPr="00336FF5" w14:paraId="6773E67A" w14:textId="77777777" w:rsidTr="0094231B">
        <w:trPr>
          <w:cantSplit/>
        </w:trPr>
        <w:tc>
          <w:tcPr>
            <w:tcW w:w="3212" w:type="dxa"/>
            <w:shd w:val="clear" w:color="auto" w:fill="auto"/>
          </w:tcPr>
          <w:p w14:paraId="5C192B36" w14:textId="0C9EFBFA" w:rsidR="0094231B" w:rsidRPr="00D11DE1" w:rsidRDefault="0094231B" w:rsidP="0094231B">
            <w:pPr>
              <w:pStyle w:val="TableLeft"/>
              <w:rPr>
                <w:sz w:val="22"/>
                <w:szCs w:val="22"/>
              </w:rPr>
            </w:pPr>
            <w:r w:rsidRPr="00D11DE1">
              <w:rPr>
                <w:sz w:val="22"/>
                <w:szCs w:val="22"/>
                <w:lang w:val="en-US"/>
              </w:rPr>
              <w:t>Back pain</w:t>
            </w:r>
          </w:p>
        </w:tc>
        <w:tc>
          <w:tcPr>
            <w:tcW w:w="3213" w:type="dxa"/>
            <w:shd w:val="clear" w:color="auto" w:fill="auto"/>
            <w:vAlign w:val="center"/>
          </w:tcPr>
          <w:p w14:paraId="4C9BA1C4" w14:textId="1B15C20B" w:rsidR="0094231B" w:rsidRPr="00D11DE1" w:rsidRDefault="004363D1" w:rsidP="0094231B">
            <w:pPr>
              <w:pStyle w:val="TableCenter"/>
              <w:rPr>
                <w:sz w:val="22"/>
                <w:szCs w:val="22"/>
              </w:rPr>
            </w:pPr>
            <w:r>
              <w:rPr>
                <w:sz w:val="22"/>
                <w:szCs w:val="22"/>
              </w:rPr>
              <w:t>5.2</w:t>
            </w:r>
          </w:p>
        </w:tc>
        <w:tc>
          <w:tcPr>
            <w:tcW w:w="3213" w:type="dxa"/>
            <w:shd w:val="clear" w:color="auto" w:fill="auto"/>
            <w:vAlign w:val="center"/>
          </w:tcPr>
          <w:p w14:paraId="0999AC4E" w14:textId="2CC1D0B3" w:rsidR="0094231B" w:rsidRPr="00D11DE1" w:rsidRDefault="004363D1" w:rsidP="0094231B">
            <w:pPr>
              <w:pStyle w:val="TableCenter"/>
              <w:rPr>
                <w:sz w:val="22"/>
                <w:szCs w:val="22"/>
              </w:rPr>
            </w:pPr>
            <w:r>
              <w:rPr>
                <w:sz w:val="22"/>
                <w:szCs w:val="22"/>
              </w:rPr>
              <w:t>4.3</w:t>
            </w:r>
          </w:p>
        </w:tc>
      </w:tr>
      <w:tr w:rsidR="004363D1" w:rsidRPr="00336FF5" w14:paraId="35D9B316" w14:textId="77777777" w:rsidTr="0094231B">
        <w:trPr>
          <w:cantSplit/>
        </w:trPr>
        <w:tc>
          <w:tcPr>
            <w:tcW w:w="3212" w:type="dxa"/>
            <w:shd w:val="clear" w:color="auto" w:fill="auto"/>
          </w:tcPr>
          <w:p w14:paraId="4DEC7E35" w14:textId="6E0E20AD" w:rsidR="004363D1" w:rsidRPr="00D11DE1" w:rsidRDefault="004363D1" w:rsidP="004363D1">
            <w:pPr>
              <w:pStyle w:val="TableLeft"/>
              <w:rPr>
                <w:sz w:val="22"/>
                <w:szCs w:val="22"/>
                <w:lang w:val="en-US"/>
              </w:rPr>
            </w:pPr>
            <w:r>
              <w:rPr>
                <w:sz w:val="22"/>
                <w:szCs w:val="22"/>
                <w:lang w:val="en-US"/>
              </w:rPr>
              <w:t>Sinusitis</w:t>
            </w:r>
          </w:p>
        </w:tc>
        <w:tc>
          <w:tcPr>
            <w:tcW w:w="3213" w:type="dxa"/>
            <w:shd w:val="clear" w:color="auto" w:fill="auto"/>
            <w:vAlign w:val="center"/>
          </w:tcPr>
          <w:p w14:paraId="04B28482" w14:textId="2D15DE1F" w:rsidR="004363D1" w:rsidRPr="00D11DE1" w:rsidDel="004363D1" w:rsidRDefault="004363D1" w:rsidP="004363D1">
            <w:pPr>
              <w:pStyle w:val="TableCenter"/>
              <w:rPr>
                <w:sz w:val="22"/>
                <w:szCs w:val="22"/>
              </w:rPr>
            </w:pPr>
            <w:r>
              <w:rPr>
                <w:sz w:val="22"/>
                <w:szCs w:val="22"/>
              </w:rPr>
              <w:t>5.2</w:t>
            </w:r>
          </w:p>
        </w:tc>
        <w:tc>
          <w:tcPr>
            <w:tcW w:w="3213" w:type="dxa"/>
            <w:shd w:val="clear" w:color="auto" w:fill="auto"/>
            <w:vAlign w:val="center"/>
          </w:tcPr>
          <w:p w14:paraId="4F922D1E" w14:textId="31917F15" w:rsidR="004363D1" w:rsidRPr="00D11DE1" w:rsidDel="004363D1" w:rsidRDefault="004363D1" w:rsidP="004363D1">
            <w:pPr>
              <w:pStyle w:val="TableCenter"/>
              <w:rPr>
                <w:sz w:val="22"/>
                <w:szCs w:val="22"/>
              </w:rPr>
            </w:pPr>
            <w:r>
              <w:rPr>
                <w:sz w:val="22"/>
                <w:szCs w:val="22"/>
              </w:rPr>
              <w:t>5.2</w:t>
            </w:r>
          </w:p>
        </w:tc>
      </w:tr>
      <w:tr w:rsidR="0094231B" w:rsidRPr="00336FF5" w14:paraId="6C4227D3" w14:textId="77777777" w:rsidTr="0094231B">
        <w:trPr>
          <w:cantSplit/>
        </w:trPr>
        <w:tc>
          <w:tcPr>
            <w:tcW w:w="3212" w:type="dxa"/>
            <w:shd w:val="clear" w:color="auto" w:fill="auto"/>
          </w:tcPr>
          <w:p w14:paraId="64E5976D" w14:textId="7CBADE40" w:rsidR="0094231B" w:rsidRPr="00D11DE1" w:rsidRDefault="0094231B" w:rsidP="0094231B">
            <w:pPr>
              <w:pStyle w:val="TableLeft"/>
              <w:rPr>
                <w:sz w:val="22"/>
                <w:szCs w:val="22"/>
              </w:rPr>
            </w:pPr>
            <w:r w:rsidRPr="00D11DE1">
              <w:rPr>
                <w:sz w:val="22"/>
                <w:szCs w:val="22"/>
                <w:lang w:val="en-US"/>
              </w:rPr>
              <w:t>Cough</w:t>
            </w:r>
          </w:p>
        </w:tc>
        <w:tc>
          <w:tcPr>
            <w:tcW w:w="3213" w:type="dxa"/>
            <w:shd w:val="clear" w:color="auto" w:fill="auto"/>
            <w:vAlign w:val="center"/>
          </w:tcPr>
          <w:p w14:paraId="56EF0B1C" w14:textId="22703F6B" w:rsidR="0094231B" w:rsidRPr="00D11DE1" w:rsidRDefault="004363D1" w:rsidP="0094231B">
            <w:pPr>
              <w:pStyle w:val="TableCenter"/>
              <w:rPr>
                <w:sz w:val="22"/>
                <w:szCs w:val="22"/>
              </w:rPr>
            </w:pPr>
            <w:r>
              <w:rPr>
                <w:sz w:val="22"/>
                <w:szCs w:val="22"/>
              </w:rPr>
              <w:t>5.0</w:t>
            </w:r>
          </w:p>
        </w:tc>
        <w:tc>
          <w:tcPr>
            <w:tcW w:w="3213" w:type="dxa"/>
            <w:shd w:val="clear" w:color="auto" w:fill="auto"/>
            <w:vAlign w:val="center"/>
          </w:tcPr>
          <w:p w14:paraId="2B8A1B32" w14:textId="473D9DEC" w:rsidR="0094231B" w:rsidRPr="00D11DE1" w:rsidRDefault="004363D1" w:rsidP="0094231B">
            <w:pPr>
              <w:pStyle w:val="TableCenter"/>
              <w:rPr>
                <w:sz w:val="22"/>
                <w:szCs w:val="22"/>
              </w:rPr>
            </w:pPr>
            <w:r>
              <w:rPr>
                <w:sz w:val="22"/>
                <w:szCs w:val="22"/>
              </w:rPr>
              <w:t>3.2</w:t>
            </w:r>
          </w:p>
        </w:tc>
      </w:tr>
      <w:tr w:rsidR="0094231B" w:rsidRPr="00336FF5" w14:paraId="3F3FCA71" w14:textId="77777777" w:rsidTr="0094231B">
        <w:trPr>
          <w:cantSplit/>
        </w:trPr>
        <w:tc>
          <w:tcPr>
            <w:tcW w:w="3212" w:type="dxa"/>
            <w:shd w:val="clear" w:color="auto" w:fill="auto"/>
          </w:tcPr>
          <w:p w14:paraId="4FD73877" w14:textId="0ECD6C69" w:rsidR="0094231B" w:rsidRPr="00D11DE1" w:rsidRDefault="0094231B" w:rsidP="0094231B">
            <w:pPr>
              <w:pStyle w:val="TableLeft"/>
              <w:rPr>
                <w:sz w:val="22"/>
                <w:szCs w:val="22"/>
              </w:rPr>
            </w:pPr>
            <w:r w:rsidRPr="00D11DE1">
              <w:rPr>
                <w:sz w:val="22"/>
                <w:szCs w:val="22"/>
                <w:lang w:val="en-US"/>
              </w:rPr>
              <w:t>Arthralgia</w:t>
            </w:r>
          </w:p>
        </w:tc>
        <w:tc>
          <w:tcPr>
            <w:tcW w:w="3213" w:type="dxa"/>
            <w:shd w:val="clear" w:color="auto" w:fill="auto"/>
            <w:vAlign w:val="center"/>
          </w:tcPr>
          <w:p w14:paraId="0E9DFD2F" w14:textId="21E04D77" w:rsidR="0094231B" w:rsidRPr="00D11DE1" w:rsidRDefault="004363D1" w:rsidP="0094231B">
            <w:pPr>
              <w:pStyle w:val="TableCenter"/>
              <w:rPr>
                <w:sz w:val="22"/>
                <w:szCs w:val="22"/>
              </w:rPr>
            </w:pPr>
            <w:r>
              <w:rPr>
                <w:sz w:val="22"/>
                <w:szCs w:val="22"/>
              </w:rPr>
              <w:t>4.8</w:t>
            </w:r>
          </w:p>
        </w:tc>
        <w:tc>
          <w:tcPr>
            <w:tcW w:w="3213" w:type="dxa"/>
            <w:shd w:val="clear" w:color="auto" w:fill="auto"/>
            <w:vAlign w:val="center"/>
          </w:tcPr>
          <w:p w14:paraId="5E06A048" w14:textId="350882D5" w:rsidR="0094231B" w:rsidRPr="00D11DE1" w:rsidRDefault="004363D1" w:rsidP="0094231B">
            <w:pPr>
              <w:pStyle w:val="TableCenter"/>
              <w:rPr>
                <w:sz w:val="22"/>
                <w:szCs w:val="22"/>
              </w:rPr>
            </w:pPr>
            <w:r>
              <w:rPr>
                <w:sz w:val="22"/>
                <w:szCs w:val="22"/>
              </w:rPr>
              <w:t>1.9</w:t>
            </w:r>
          </w:p>
        </w:tc>
      </w:tr>
      <w:tr w:rsidR="004363D1" w:rsidRPr="00336FF5" w14:paraId="10528BFC" w14:textId="77777777" w:rsidTr="0094231B">
        <w:trPr>
          <w:cantSplit/>
        </w:trPr>
        <w:tc>
          <w:tcPr>
            <w:tcW w:w="3212" w:type="dxa"/>
            <w:shd w:val="clear" w:color="auto" w:fill="auto"/>
          </w:tcPr>
          <w:p w14:paraId="18273DBA" w14:textId="223C64FB" w:rsidR="004363D1" w:rsidRPr="00D11DE1" w:rsidRDefault="004363D1" w:rsidP="0094231B">
            <w:pPr>
              <w:pStyle w:val="TableLeft"/>
              <w:rPr>
                <w:sz w:val="22"/>
                <w:szCs w:val="22"/>
                <w:lang w:val="en-US"/>
              </w:rPr>
            </w:pPr>
            <w:r>
              <w:rPr>
                <w:sz w:val="22"/>
                <w:szCs w:val="22"/>
                <w:lang w:val="en-US"/>
              </w:rPr>
              <w:t>Pharyngitis</w:t>
            </w:r>
          </w:p>
        </w:tc>
        <w:tc>
          <w:tcPr>
            <w:tcW w:w="3213" w:type="dxa"/>
            <w:shd w:val="clear" w:color="auto" w:fill="auto"/>
            <w:vAlign w:val="center"/>
          </w:tcPr>
          <w:p w14:paraId="3477B827" w14:textId="78A837A5" w:rsidR="004363D1" w:rsidRPr="00D11DE1" w:rsidDel="004363D1" w:rsidRDefault="004363D1" w:rsidP="0094231B">
            <w:pPr>
              <w:pStyle w:val="TableCenter"/>
              <w:rPr>
                <w:sz w:val="22"/>
                <w:szCs w:val="22"/>
              </w:rPr>
            </w:pPr>
            <w:r>
              <w:rPr>
                <w:sz w:val="22"/>
                <w:szCs w:val="22"/>
              </w:rPr>
              <w:t>4.6</w:t>
            </w:r>
          </w:p>
        </w:tc>
        <w:tc>
          <w:tcPr>
            <w:tcW w:w="3213" w:type="dxa"/>
            <w:shd w:val="clear" w:color="auto" w:fill="auto"/>
            <w:vAlign w:val="center"/>
          </w:tcPr>
          <w:p w14:paraId="6FE070C1" w14:textId="01D71F3E" w:rsidR="004363D1" w:rsidRPr="00D11DE1" w:rsidDel="004363D1" w:rsidRDefault="004363D1" w:rsidP="0094231B">
            <w:pPr>
              <w:pStyle w:val="TableCenter"/>
              <w:rPr>
                <w:sz w:val="22"/>
                <w:szCs w:val="22"/>
              </w:rPr>
            </w:pPr>
            <w:r>
              <w:rPr>
                <w:sz w:val="22"/>
                <w:szCs w:val="22"/>
              </w:rPr>
              <w:t>3.6</w:t>
            </w:r>
          </w:p>
        </w:tc>
      </w:tr>
      <w:tr w:rsidR="0094231B" w:rsidRPr="00336FF5" w14:paraId="750FC93B" w14:textId="77777777" w:rsidTr="0094231B">
        <w:trPr>
          <w:cantSplit/>
        </w:trPr>
        <w:tc>
          <w:tcPr>
            <w:tcW w:w="3212" w:type="dxa"/>
            <w:shd w:val="clear" w:color="auto" w:fill="auto"/>
          </w:tcPr>
          <w:p w14:paraId="763795D6" w14:textId="4431945B" w:rsidR="0094231B" w:rsidRPr="00D11DE1" w:rsidRDefault="0094231B" w:rsidP="0094231B">
            <w:pPr>
              <w:pStyle w:val="TableLeft"/>
              <w:rPr>
                <w:sz w:val="22"/>
                <w:szCs w:val="22"/>
                <w:lang w:val="en-US"/>
              </w:rPr>
            </w:pPr>
            <w:r w:rsidRPr="00D11DE1">
              <w:rPr>
                <w:sz w:val="22"/>
                <w:szCs w:val="22"/>
                <w:lang w:val="en-US"/>
              </w:rPr>
              <w:t>Vomiting</w:t>
            </w:r>
          </w:p>
        </w:tc>
        <w:tc>
          <w:tcPr>
            <w:tcW w:w="3213" w:type="dxa"/>
            <w:shd w:val="clear" w:color="auto" w:fill="auto"/>
            <w:vAlign w:val="center"/>
          </w:tcPr>
          <w:p w14:paraId="4D7C3544" w14:textId="228FEC7D" w:rsidR="0094231B" w:rsidRPr="00D11DE1" w:rsidRDefault="004363D1" w:rsidP="0094231B">
            <w:pPr>
              <w:pStyle w:val="TableCenter"/>
              <w:rPr>
                <w:sz w:val="22"/>
                <w:szCs w:val="22"/>
              </w:rPr>
            </w:pPr>
            <w:r>
              <w:rPr>
                <w:sz w:val="22"/>
                <w:szCs w:val="22"/>
              </w:rPr>
              <w:t>3.9</w:t>
            </w:r>
          </w:p>
        </w:tc>
        <w:tc>
          <w:tcPr>
            <w:tcW w:w="3213" w:type="dxa"/>
            <w:shd w:val="clear" w:color="auto" w:fill="auto"/>
            <w:vAlign w:val="center"/>
          </w:tcPr>
          <w:p w14:paraId="31145BBA" w14:textId="0670395A" w:rsidR="0094231B" w:rsidRPr="00D11DE1" w:rsidRDefault="004363D1" w:rsidP="0094231B">
            <w:pPr>
              <w:pStyle w:val="TableCenter"/>
              <w:rPr>
                <w:sz w:val="22"/>
                <w:szCs w:val="22"/>
              </w:rPr>
            </w:pPr>
            <w:r>
              <w:rPr>
                <w:sz w:val="22"/>
                <w:szCs w:val="22"/>
              </w:rPr>
              <w:t>2.6</w:t>
            </w:r>
          </w:p>
        </w:tc>
      </w:tr>
      <w:tr w:rsidR="00731C8A" w:rsidRPr="00336FF5" w14:paraId="0F1E2A43" w14:textId="77777777" w:rsidTr="0094231B">
        <w:trPr>
          <w:cantSplit/>
        </w:trPr>
        <w:tc>
          <w:tcPr>
            <w:tcW w:w="3212" w:type="dxa"/>
            <w:shd w:val="clear" w:color="auto" w:fill="auto"/>
          </w:tcPr>
          <w:p w14:paraId="5EEA4E37" w14:textId="04D35D4A" w:rsidR="00731C8A" w:rsidRPr="00475493" w:rsidRDefault="00731C8A" w:rsidP="00475493">
            <w:pPr>
              <w:pStyle w:val="TableLeft"/>
              <w:rPr>
                <w:sz w:val="22"/>
                <w:szCs w:val="22"/>
                <w:lang w:val="en-US"/>
              </w:rPr>
            </w:pPr>
            <w:r>
              <w:rPr>
                <w:sz w:val="22"/>
                <w:szCs w:val="22"/>
                <w:lang w:val="en-US"/>
              </w:rPr>
              <w:t>Nausea</w:t>
            </w:r>
          </w:p>
        </w:tc>
        <w:tc>
          <w:tcPr>
            <w:tcW w:w="3213" w:type="dxa"/>
            <w:shd w:val="clear" w:color="auto" w:fill="auto"/>
            <w:vAlign w:val="center"/>
          </w:tcPr>
          <w:p w14:paraId="5DC78C50" w14:textId="750D73E0" w:rsidR="00731C8A" w:rsidRPr="00475493" w:rsidRDefault="004363D1" w:rsidP="00475493">
            <w:pPr>
              <w:pStyle w:val="TableCenter"/>
              <w:rPr>
                <w:sz w:val="22"/>
                <w:szCs w:val="22"/>
              </w:rPr>
            </w:pPr>
            <w:r>
              <w:rPr>
                <w:sz w:val="22"/>
                <w:szCs w:val="22"/>
              </w:rPr>
              <w:t>3.7</w:t>
            </w:r>
          </w:p>
        </w:tc>
        <w:tc>
          <w:tcPr>
            <w:tcW w:w="3213" w:type="dxa"/>
            <w:shd w:val="clear" w:color="auto" w:fill="auto"/>
            <w:vAlign w:val="center"/>
          </w:tcPr>
          <w:p w14:paraId="4B5ECE53" w14:textId="202ABC42" w:rsidR="00731C8A" w:rsidRPr="00475493" w:rsidRDefault="004363D1" w:rsidP="00475493">
            <w:pPr>
              <w:pStyle w:val="TableCenter"/>
              <w:rPr>
                <w:sz w:val="22"/>
                <w:szCs w:val="22"/>
              </w:rPr>
            </w:pPr>
            <w:r>
              <w:rPr>
                <w:sz w:val="22"/>
                <w:szCs w:val="22"/>
              </w:rPr>
              <w:t>5.4</w:t>
            </w:r>
          </w:p>
        </w:tc>
      </w:tr>
      <w:tr w:rsidR="00475493" w:rsidRPr="00336FF5" w14:paraId="3B7FBC28" w14:textId="77777777" w:rsidTr="0094231B">
        <w:trPr>
          <w:cantSplit/>
        </w:trPr>
        <w:tc>
          <w:tcPr>
            <w:tcW w:w="3212" w:type="dxa"/>
            <w:shd w:val="clear" w:color="auto" w:fill="auto"/>
          </w:tcPr>
          <w:p w14:paraId="7937A08A" w14:textId="071EFF5F" w:rsidR="00475493" w:rsidRPr="00475493" w:rsidRDefault="00475493" w:rsidP="00475493">
            <w:pPr>
              <w:pStyle w:val="TableLeft"/>
              <w:rPr>
                <w:sz w:val="22"/>
                <w:szCs w:val="22"/>
                <w:lang w:val="en-US"/>
              </w:rPr>
            </w:pPr>
            <w:r w:rsidRPr="00475493">
              <w:rPr>
                <w:sz w:val="22"/>
                <w:szCs w:val="22"/>
                <w:lang w:val="en-US"/>
              </w:rPr>
              <w:t>Oral herpes</w:t>
            </w:r>
          </w:p>
        </w:tc>
        <w:tc>
          <w:tcPr>
            <w:tcW w:w="3213" w:type="dxa"/>
            <w:shd w:val="clear" w:color="auto" w:fill="auto"/>
            <w:vAlign w:val="center"/>
          </w:tcPr>
          <w:p w14:paraId="6616BF6C" w14:textId="1A54DF2E" w:rsidR="00475493" w:rsidRPr="00475493" w:rsidRDefault="004363D1" w:rsidP="00475493">
            <w:pPr>
              <w:pStyle w:val="TableCenter"/>
              <w:rPr>
                <w:sz w:val="22"/>
                <w:szCs w:val="22"/>
              </w:rPr>
            </w:pPr>
            <w:r>
              <w:rPr>
                <w:sz w:val="22"/>
                <w:szCs w:val="22"/>
              </w:rPr>
              <w:t>3.7</w:t>
            </w:r>
          </w:p>
        </w:tc>
        <w:tc>
          <w:tcPr>
            <w:tcW w:w="3213" w:type="dxa"/>
            <w:shd w:val="clear" w:color="auto" w:fill="auto"/>
            <w:vAlign w:val="center"/>
          </w:tcPr>
          <w:p w14:paraId="11BA84A7" w14:textId="4502A501" w:rsidR="00475493" w:rsidRPr="00475493" w:rsidRDefault="004363D1" w:rsidP="00475493">
            <w:pPr>
              <w:pStyle w:val="TableCenter"/>
              <w:rPr>
                <w:sz w:val="22"/>
                <w:szCs w:val="22"/>
              </w:rPr>
            </w:pPr>
            <w:r>
              <w:rPr>
                <w:sz w:val="22"/>
                <w:szCs w:val="22"/>
              </w:rPr>
              <w:t>2.6</w:t>
            </w:r>
          </w:p>
        </w:tc>
      </w:tr>
      <w:tr w:rsidR="00731C8A" w:rsidRPr="00336FF5" w14:paraId="1588222D" w14:textId="77777777" w:rsidTr="0094231B">
        <w:trPr>
          <w:cantSplit/>
        </w:trPr>
        <w:tc>
          <w:tcPr>
            <w:tcW w:w="3212" w:type="dxa"/>
            <w:shd w:val="clear" w:color="auto" w:fill="auto"/>
          </w:tcPr>
          <w:p w14:paraId="10765EC0" w14:textId="3E16D4ED" w:rsidR="00731C8A" w:rsidRPr="00475493" w:rsidRDefault="00731C8A" w:rsidP="00475493">
            <w:pPr>
              <w:pStyle w:val="TableLeft"/>
              <w:rPr>
                <w:sz w:val="22"/>
                <w:szCs w:val="22"/>
                <w:lang w:val="en-US"/>
              </w:rPr>
            </w:pPr>
            <w:r>
              <w:rPr>
                <w:sz w:val="22"/>
                <w:szCs w:val="22"/>
                <w:lang w:val="en-US"/>
              </w:rPr>
              <w:t>Pneumonia</w:t>
            </w:r>
          </w:p>
        </w:tc>
        <w:tc>
          <w:tcPr>
            <w:tcW w:w="3213" w:type="dxa"/>
            <w:shd w:val="clear" w:color="auto" w:fill="auto"/>
            <w:vAlign w:val="center"/>
          </w:tcPr>
          <w:p w14:paraId="281DB601" w14:textId="217657C1" w:rsidR="00731C8A" w:rsidRPr="00475493" w:rsidRDefault="00731C8A" w:rsidP="00475493">
            <w:pPr>
              <w:pStyle w:val="TableCenter"/>
              <w:rPr>
                <w:sz w:val="22"/>
                <w:szCs w:val="22"/>
              </w:rPr>
            </w:pPr>
            <w:r>
              <w:rPr>
                <w:sz w:val="22"/>
                <w:szCs w:val="22"/>
              </w:rPr>
              <w:t>3.</w:t>
            </w:r>
            <w:r w:rsidR="00E96245">
              <w:rPr>
                <w:sz w:val="22"/>
                <w:szCs w:val="22"/>
              </w:rPr>
              <w:t>3</w:t>
            </w:r>
          </w:p>
        </w:tc>
        <w:tc>
          <w:tcPr>
            <w:tcW w:w="3213" w:type="dxa"/>
            <w:shd w:val="clear" w:color="auto" w:fill="auto"/>
            <w:vAlign w:val="center"/>
          </w:tcPr>
          <w:p w14:paraId="16DC1E6E" w14:textId="2954D2E0" w:rsidR="00731C8A" w:rsidRPr="00475493" w:rsidRDefault="00E96245" w:rsidP="00475493">
            <w:pPr>
              <w:pStyle w:val="TableCenter"/>
              <w:rPr>
                <w:sz w:val="22"/>
                <w:szCs w:val="22"/>
              </w:rPr>
            </w:pPr>
            <w:r>
              <w:rPr>
                <w:sz w:val="22"/>
                <w:szCs w:val="22"/>
              </w:rPr>
              <w:t>2.8</w:t>
            </w:r>
          </w:p>
        </w:tc>
      </w:tr>
      <w:tr w:rsidR="00E96245" w:rsidRPr="00336FF5" w14:paraId="126F0209" w14:textId="77777777" w:rsidTr="0094231B">
        <w:trPr>
          <w:cantSplit/>
        </w:trPr>
        <w:tc>
          <w:tcPr>
            <w:tcW w:w="3212" w:type="dxa"/>
            <w:shd w:val="clear" w:color="auto" w:fill="auto"/>
          </w:tcPr>
          <w:p w14:paraId="19E8B092" w14:textId="21E7A1AC" w:rsidR="00E96245" w:rsidRPr="00475493" w:rsidRDefault="00E96245" w:rsidP="00E96245">
            <w:pPr>
              <w:pStyle w:val="TableLeft"/>
              <w:rPr>
                <w:sz w:val="22"/>
                <w:szCs w:val="22"/>
                <w:lang w:val="en-US"/>
              </w:rPr>
            </w:pPr>
            <w:proofErr w:type="spellStart"/>
            <w:r>
              <w:rPr>
                <w:sz w:val="22"/>
                <w:szCs w:val="22"/>
                <w:lang w:val="en-US"/>
              </w:rPr>
              <w:t>Diarrhoea</w:t>
            </w:r>
            <w:proofErr w:type="spellEnd"/>
          </w:p>
        </w:tc>
        <w:tc>
          <w:tcPr>
            <w:tcW w:w="3213" w:type="dxa"/>
            <w:shd w:val="clear" w:color="auto" w:fill="auto"/>
            <w:vAlign w:val="center"/>
          </w:tcPr>
          <w:p w14:paraId="0ECA8797" w14:textId="4E321202" w:rsidR="00E96245" w:rsidRPr="00475493" w:rsidRDefault="00E96245" w:rsidP="00E96245">
            <w:pPr>
              <w:pStyle w:val="TableCenter"/>
              <w:rPr>
                <w:sz w:val="22"/>
                <w:szCs w:val="22"/>
              </w:rPr>
            </w:pPr>
            <w:r>
              <w:rPr>
                <w:sz w:val="22"/>
                <w:szCs w:val="22"/>
              </w:rPr>
              <w:t>3.1</w:t>
            </w:r>
          </w:p>
        </w:tc>
        <w:tc>
          <w:tcPr>
            <w:tcW w:w="3213" w:type="dxa"/>
            <w:shd w:val="clear" w:color="auto" w:fill="auto"/>
            <w:vAlign w:val="center"/>
          </w:tcPr>
          <w:p w14:paraId="0AC06854" w14:textId="71E9BE5A" w:rsidR="00E96245" w:rsidRPr="00475493" w:rsidRDefault="00E96245" w:rsidP="00E96245">
            <w:pPr>
              <w:pStyle w:val="TableCenter"/>
              <w:rPr>
                <w:sz w:val="22"/>
                <w:szCs w:val="22"/>
              </w:rPr>
            </w:pPr>
            <w:r>
              <w:rPr>
                <w:sz w:val="22"/>
                <w:szCs w:val="22"/>
              </w:rPr>
              <w:t>5.4</w:t>
            </w:r>
          </w:p>
        </w:tc>
      </w:tr>
      <w:tr w:rsidR="00475493" w:rsidRPr="00336FF5" w14:paraId="5DB46A91" w14:textId="77777777" w:rsidTr="0094231B">
        <w:trPr>
          <w:cantSplit/>
        </w:trPr>
        <w:tc>
          <w:tcPr>
            <w:tcW w:w="3212" w:type="dxa"/>
            <w:shd w:val="clear" w:color="auto" w:fill="auto"/>
          </w:tcPr>
          <w:p w14:paraId="2F16D119" w14:textId="17C35A3C" w:rsidR="00475493" w:rsidRPr="00475493" w:rsidRDefault="00475493" w:rsidP="00475493">
            <w:pPr>
              <w:pStyle w:val="TableLeft"/>
              <w:rPr>
                <w:sz w:val="22"/>
                <w:szCs w:val="22"/>
                <w:lang w:val="en-US"/>
              </w:rPr>
            </w:pPr>
            <w:r w:rsidRPr="00475493">
              <w:rPr>
                <w:sz w:val="22"/>
                <w:szCs w:val="22"/>
                <w:lang w:val="en-US"/>
              </w:rPr>
              <w:t>Respiratory tract infection</w:t>
            </w:r>
          </w:p>
        </w:tc>
        <w:tc>
          <w:tcPr>
            <w:tcW w:w="3213" w:type="dxa"/>
            <w:shd w:val="clear" w:color="auto" w:fill="auto"/>
            <w:vAlign w:val="center"/>
          </w:tcPr>
          <w:p w14:paraId="196075E4" w14:textId="1180E12C" w:rsidR="00475493" w:rsidRPr="00475493" w:rsidRDefault="00E96245" w:rsidP="00475493">
            <w:pPr>
              <w:pStyle w:val="TableCenter"/>
              <w:rPr>
                <w:sz w:val="22"/>
                <w:szCs w:val="22"/>
              </w:rPr>
            </w:pPr>
            <w:r>
              <w:rPr>
                <w:sz w:val="22"/>
                <w:szCs w:val="22"/>
              </w:rPr>
              <w:t>3.1</w:t>
            </w:r>
          </w:p>
        </w:tc>
        <w:tc>
          <w:tcPr>
            <w:tcW w:w="3213" w:type="dxa"/>
            <w:shd w:val="clear" w:color="auto" w:fill="auto"/>
            <w:vAlign w:val="center"/>
          </w:tcPr>
          <w:p w14:paraId="24975C15" w14:textId="184B053E" w:rsidR="00475493" w:rsidRPr="00475493" w:rsidRDefault="00E96245" w:rsidP="00475493">
            <w:pPr>
              <w:pStyle w:val="TableCenter"/>
              <w:rPr>
                <w:sz w:val="22"/>
                <w:szCs w:val="22"/>
              </w:rPr>
            </w:pPr>
            <w:r>
              <w:rPr>
                <w:sz w:val="22"/>
                <w:szCs w:val="22"/>
              </w:rPr>
              <w:t>0.4</w:t>
            </w:r>
          </w:p>
        </w:tc>
      </w:tr>
    </w:tbl>
    <w:p w14:paraId="6AC87B94" w14:textId="77777777" w:rsidR="00536ABC" w:rsidRDefault="00536ABC" w:rsidP="00D11DE1">
      <w:pPr>
        <w:pStyle w:val="Paragraph"/>
        <w:spacing w:after="0"/>
      </w:pPr>
    </w:p>
    <w:p w14:paraId="0A89B6A6" w14:textId="77777777" w:rsidR="004E61A5" w:rsidRPr="00DF3302" w:rsidRDefault="004E61A5" w:rsidP="004E61A5">
      <w:pPr>
        <w:pStyle w:val="Heading3Unnumbered"/>
      </w:pPr>
      <w:r w:rsidRPr="00DF3302">
        <w:t xml:space="preserve">Reporting suspected adverse </w:t>
      </w:r>
      <w:r>
        <w:t>effects</w:t>
      </w:r>
    </w:p>
    <w:p w14:paraId="6030AFAE" w14:textId="77777777" w:rsidR="004E61A5" w:rsidRPr="00446EDD" w:rsidRDefault="004E61A5" w:rsidP="004E61A5">
      <w:pPr>
        <w:pStyle w:val="Paragraph"/>
      </w:pPr>
      <w:r w:rsidRPr="00DF3302">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Pr="00F06F31">
        <w:t>www.tga.gov.au/reporting-problems</w:t>
      </w:r>
      <w:r w:rsidRPr="00DF3302">
        <w:t>.</w:t>
      </w:r>
    </w:p>
    <w:p w14:paraId="3C2C7F8E" w14:textId="77777777" w:rsidR="001A3992" w:rsidRDefault="001A3992" w:rsidP="00EE3AC8">
      <w:pPr>
        <w:pStyle w:val="Heading2"/>
      </w:pPr>
      <w:r w:rsidRPr="00377337">
        <w:t>Overdose</w:t>
      </w:r>
    </w:p>
    <w:p w14:paraId="276CB28F" w14:textId="77777777" w:rsidR="0095272B" w:rsidRPr="00406501" w:rsidRDefault="0095272B" w:rsidP="0095272B">
      <w:pPr>
        <w:pStyle w:val="Paragraph"/>
      </w:pPr>
      <w:r w:rsidRPr="00406501">
        <w:t xml:space="preserve">In clinical trials, doses of up to 1000 mg have been administered intravenously </w:t>
      </w:r>
      <w:r w:rsidRPr="00406501">
        <w:rPr>
          <w:rFonts w:eastAsia="TimesNewRoman"/>
        </w:rPr>
        <w:t>in patients with SLE</w:t>
      </w:r>
      <w:r w:rsidRPr="00406501">
        <w:t xml:space="preserve"> with no evidence of dose limiting toxicities.</w:t>
      </w:r>
    </w:p>
    <w:p w14:paraId="00AA7C3C" w14:textId="57622F4C" w:rsidR="0095272B" w:rsidRPr="0095272B" w:rsidRDefault="0095272B" w:rsidP="001D3AF3">
      <w:pPr>
        <w:pStyle w:val="Paragraph"/>
      </w:pPr>
      <w:r w:rsidRPr="00406501">
        <w:rPr>
          <w:rFonts w:eastAsia="TimesNewRoman"/>
        </w:rPr>
        <w:lastRenderedPageBreak/>
        <w:t xml:space="preserve">There is no specific treatment for an overdose with </w:t>
      </w:r>
      <w:proofErr w:type="spellStart"/>
      <w:r w:rsidRPr="00406501">
        <w:rPr>
          <w:rFonts w:eastAsia="TimesNewRoman"/>
        </w:rPr>
        <w:t>anifrolumab</w:t>
      </w:r>
      <w:proofErr w:type="spellEnd"/>
      <w:r w:rsidRPr="00406501">
        <w:rPr>
          <w:rFonts w:eastAsia="TimesNewRoman"/>
        </w:rPr>
        <w:t>. If overdose occurs, the patient should be treated supportively with appropriate monitoring as necessary.</w:t>
      </w:r>
    </w:p>
    <w:p w14:paraId="5F0A30DD" w14:textId="77777777" w:rsidR="004E61A5" w:rsidRPr="00D87298" w:rsidRDefault="004E61A5" w:rsidP="004E61A5">
      <w:pPr>
        <w:pStyle w:val="Paragraph"/>
      </w:pPr>
      <w:r>
        <w:t>For information on the management of overdose, contact the Poison Information Centre on 131126 (Australia).</w:t>
      </w:r>
    </w:p>
    <w:p w14:paraId="260FBABA" w14:textId="77777777" w:rsidR="001A3992" w:rsidRPr="00377337" w:rsidRDefault="001A3992" w:rsidP="00881EA6">
      <w:pPr>
        <w:pStyle w:val="Heading1"/>
        <w:keepNext w:val="0"/>
      </w:pPr>
      <w:r w:rsidRPr="00377337">
        <w:t>Pharmacological properties</w:t>
      </w:r>
    </w:p>
    <w:p w14:paraId="447B2592" w14:textId="77777777" w:rsidR="001A3992" w:rsidRPr="00377337" w:rsidRDefault="007403BD" w:rsidP="00EE3AC8">
      <w:pPr>
        <w:pStyle w:val="Heading2"/>
      </w:pPr>
      <w:r>
        <w:t>Pharmacodynamic properties</w:t>
      </w:r>
    </w:p>
    <w:p w14:paraId="68BF6487" w14:textId="77777777" w:rsidR="001A3992" w:rsidRDefault="001A3992" w:rsidP="0026491B">
      <w:pPr>
        <w:pStyle w:val="Heading3Unnumbered"/>
      </w:pPr>
      <w:r w:rsidRPr="00377337">
        <w:t>Mechanism of action</w:t>
      </w:r>
    </w:p>
    <w:p w14:paraId="4DAC58C9" w14:textId="4EC2AAAC" w:rsidR="0095272B" w:rsidRPr="0095272B" w:rsidRDefault="0095272B" w:rsidP="0095272B">
      <w:pPr>
        <w:pStyle w:val="Paragraph"/>
      </w:pPr>
      <w:bookmarkStart w:id="38" w:name="_Hlk32217932"/>
      <w:bookmarkStart w:id="39" w:name="_Hlk42261775"/>
      <w:proofErr w:type="spellStart"/>
      <w:r w:rsidRPr="0095272B">
        <w:t>Anifrolumab</w:t>
      </w:r>
      <w:proofErr w:type="spellEnd"/>
      <w:r w:rsidRPr="0095272B">
        <w:t xml:space="preserve"> is a human immunoglobulin G1 kappa monoclonal antibody </w:t>
      </w:r>
      <w:bookmarkStart w:id="40" w:name="_Hlk32222608"/>
      <w:r w:rsidRPr="0095272B">
        <w:t>that binds to subunit 1 of the type I interferon receptor (IFNAR1) with high specificity and affinity. This binding inhibits type I IFN signalling thereby blocking the biologic</w:t>
      </w:r>
      <w:r w:rsidR="005E12E5">
        <w:t>al</w:t>
      </w:r>
      <w:r w:rsidRPr="0095272B">
        <w:t xml:space="preserve"> activity of type I IFNs. </w:t>
      </w:r>
      <w:bookmarkEnd w:id="40"/>
      <w:proofErr w:type="spellStart"/>
      <w:r w:rsidRPr="0095272B">
        <w:t>Anifrolumab</w:t>
      </w:r>
      <w:proofErr w:type="spellEnd"/>
      <w:r w:rsidRPr="0095272B">
        <w:t xml:space="preserve"> also induces the internali</w:t>
      </w:r>
      <w:r w:rsidR="004E61A5">
        <w:t>s</w:t>
      </w:r>
      <w:r w:rsidRPr="0095272B">
        <w:t xml:space="preserve">ation of IFNAR1, thereby reducing the levels of cell surface IFNAR1 available for receptor assembly. Blockade of receptor mediated type I IFN signalling inhibits IFN responsive gene expression as well as downstream inflammatory and immunological processes. </w:t>
      </w:r>
      <w:bookmarkStart w:id="41" w:name="_Hlk42246612"/>
      <w:bookmarkStart w:id="42" w:name="_Hlk42014919"/>
      <w:r w:rsidRPr="0095272B">
        <w:t>Inhibition of type I IFN</w:t>
      </w:r>
      <w:bookmarkEnd w:id="41"/>
      <w:r w:rsidRPr="0095272B">
        <w:t xml:space="preserve"> blocks plasma cell differentiation and normalises peripheral T</w:t>
      </w:r>
      <w:r w:rsidRPr="0095272B">
        <w:noBreakHyphen/>
        <w:t>cell subsets, restoring the balance between adaptive and innate immunity that is dysregulated in multiple autoimmune disorders.</w:t>
      </w:r>
      <w:bookmarkEnd w:id="42"/>
    </w:p>
    <w:p w14:paraId="0AAB4515" w14:textId="6784F472" w:rsidR="007403BD" w:rsidRDefault="0095272B" w:rsidP="007403BD">
      <w:pPr>
        <w:pStyle w:val="Paragraph"/>
      </w:pPr>
      <w:r w:rsidRPr="0095272B">
        <w:t>Type I IFNs play an important role in the pathogenesis of SLE. Most adult patients with SLE (approximately 60-80%) express elevated levels of type I IFN inducible genes, which are associated with increased disease activity and severity.</w:t>
      </w:r>
      <w:bookmarkEnd w:id="38"/>
      <w:bookmarkEnd w:id="39"/>
    </w:p>
    <w:p w14:paraId="72A2A6BB" w14:textId="32843C18" w:rsidR="008302DD" w:rsidRDefault="008302DD" w:rsidP="008302DD">
      <w:pPr>
        <w:pStyle w:val="Heading3Unnumbered"/>
      </w:pPr>
      <w:r>
        <w:t>Pharmacodynamic</w:t>
      </w:r>
      <w:r w:rsidR="004E61A5">
        <w:t xml:space="preserve"> effects</w:t>
      </w:r>
    </w:p>
    <w:p w14:paraId="62814A2C" w14:textId="6A936016" w:rsidR="008302DD" w:rsidRPr="008302DD" w:rsidRDefault="008302DD" w:rsidP="008302DD">
      <w:pPr>
        <w:pStyle w:val="Paragraph"/>
      </w:pPr>
      <w:r w:rsidRPr="008302DD">
        <w:t xml:space="preserve">In adult patients with SLE, administration of </w:t>
      </w:r>
      <w:proofErr w:type="spellStart"/>
      <w:r w:rsidRPr="008302DD">
        <w:t>anifrolumab</w:t>
      </w:r>
      <w:proofErr w:type="spellEnd"/>
      <w:r w:rsidRPr="008302DD">
        <w:t xml:space="preserve"> at doses ≥300 mg, via IV infusion every 4 weeks, demonstrated consistent neutrali</w:t>
      </w:r>
      <w:r w:rsidR="004E61A5">
        <w:t>s</w:t>
      </w:r>
      <w:r w:rsidRPr="008302DD">
        <w:t>ation (≥80%) of a 21</w:t>
      </w:r>
      <w:r w:rsidRPr="008302DD">
        <w:noBreakHyphen/>
        <w:t>gene type I interferon pharmacodynamic (PD) signature in blood. This suppression occurred as early as 4 weeks post-treatment and was either maintained or further suppressed over the 52</w:t>
      </w:r>
      <w:r w:rsidR="00CC198A">
        <w:t>-</w:t>
      </w:r>
      <w:r w:rsidRPr="008302DD">
        <w:t xml:space="preserve">week treatment period. </w:t>
      </w:r>
      <w:proofErr w:type="spellStart"/>
      <w:r w:rsidRPr="008302DD">
        <w:t>Anifrolumab</w:t>
      </w:r>
      <w:proofErr w:type="spellEnd"/>
      <w:r w:rsidRPr="008302DD">
        <w:t xml:space="preserve"> 150 mg IV, showed &lt;20% suppression of the gene signature at early timepoints, that reached a maximum of &lt;60% by the end of the treatment period.</w:t>
      </w:r>
    </w:p>
    <w:p w14:paraId="15075A32" w14:textId="77777777" w:rsidR="008302DD" w:rsidRPr="008302DD" w:rsidRDefault="008302DD" w:rsidP="008302DD">
      <w:pPr>
        <w:pStyle w:val="Paragraph"/>
      </w:pPr>
      <w:bookmarkStart w:id="43" w:name="_Hlk42689570"/>
      <w:r w:rsidRPr="008302DD">
        <w:t>Neutralisation (≥70%) of the type I IFN PD signature has also been observed in skin tissue as shown in a Phase I trial in patients with scleroderma (</w:t>
      </w:r>
      <w:proofErr w:type="spellStart"/>
      <w:r w:rsidRPr="008302DD">
        <w:t>anifrolumab</w:t>
      </w:r>
      <w:proofErr w:type="spellEnd"/>
      <w:r w:rsidRPr="008302DD">
        <w:t xml:space="preserve"> ≥1.0 mg/kg).</w:t>
      </w:r>
    </w:p>
    <w:p w14:paraId="561BEC55" w14:textId="32DA09BB" w:rsidR="008302DD" w:rsidRPr="008302DD" w:rsidRDefault="008302DD" w:rsidP="008302DD">
      <w:pPr>
        <w:pStyle w:val="Paragraph"/>
      </w:pPr>
      <w:r w:rsidRPr="008302DD">
        <w:t xml:space="preserve">Following withdrawal of </w:t>
      </w:r>
      <w:proofErr w:type="spellStart"/>
      <w:r w:rsidRPr="008302DD">
        <w:t>anifrolumab</w:t>
      </w:r>
      <w:proofErr w:type="spellEnd"/>
      <w:r w:rsidRPr="008302DD">
        <w:t xml:space="preserve"> at the end of the 52</w:t>
      </w:r>
      <w:r w:rsidR="00CC198A">
        <w:t>-</w:t>
      </w:r>
      <w:r w:rsidRPr="008302DD">
        <w:t xml:space="preserve">week treatment period in the SLE clinical trials, the type I IFN PD signature in blood samples returned to baseline levels within 8 to 12 weeks. </w:t>
      </w:r>
    </w:p>
    <w:bookmarkEnd w:id="43"/>
    <w:p w14:paraId="08464D40" w14:textId="77777777" w:rsidR="008302DD" w:rsidRPr="008302DD" w:rsidRDefault="008302DD" w:rsidP="008302DD">
      <w:pPr>
        <w:pStyle w:val="Paragraph"/>
      </w:pPr>
      <w:r w:rsidRPr="008302DD">
        <w:t xml:space="preserve">In the Phase III trials in SLE patients positive for anti-dsDNA antibodies at baseline, treatment with </w:t>
      </w:r>
      <w:proofErr w:type="spellStart"/>
      <w:r w:rsidRPr="008302DD">
        <w:t>anifrolumab</w:t>
      </w:r>
      <w:proofErr w:type="spellEnd"/>
      <w:r w:rsidRPr="008302DD">
        <w:t xml:space="preserve"> 300 mg led to numerical reductions in anti-dsDNA antibodies over time (median change from baseline at Week 52: -14.82 U/mL </w:t>
      </w:r>
      <w:proofErr w:type="spellStart"/>
      <w:r w:rsidRPr="008302DD">
        <w:t>anifrolumab</w:t>
      </w:r>
      <w:proofErr w:type="spellEnd"/>
      <w:r w:rsidRPr="008302DD">
        <w:t xml:space="preserve"> vs -5.37 U/mL placebo). At Week 52, 7.8% (13/167) of patients treated with </w:t>
      </w:r>
      <w:proofErr w:type="spellStart"/>
      <w:r w:rsidRPr="008302DD">
        <w:t>anifrolumab</w:t>
      </w:r>
      <w:proofErr w:type="spellEnd"/>
      <w:r w:rsidRPr="008302DD">
        <w:t xml:space="preserve"> and 5.8% (9/155) of patients receiving placebo had converted to anti-dsDNA negative.</w:t>
      </w:r>
    </w:p>
    <w:p w14:paraId="0C0E57F6" w14:textId="77777777" w:rsidR="008302DD" w:rsidRPr="008302DD" w:rsidRDefault="008302DD" w:rsidP="008302DD">
      <w:pPr>
        <w:pStyle w:val="Paragraph"/>
      </w:pPr>
      <w:r w:rsidRPr="008302DD">
        <w:t xml:space="preserve">In patients with low C3 levels at baseline, treatment with </w:t>
      </w:r>
      <w:proofErr w:type="spellStart"/>
      <w:r w:rsidRPr="008302DD">
        <w:t>anifrolumab</w:t>
      </w:r>
      <w:proofErr w:type="spellEnd"/>
      <w:r w:rsidRPr="008302DD">
        <w:t xml:space="preserve"> 300 mg led to greater numerical increases in C3 over the 52-week treatment period (mean change from baseline at Week </w:t>
      </w:r>
      <w:r w:rsidRPr="008302DD">
        <w:lastRenderedPageBreak/>
        <w:t xml:space="preserve">52: 0.13 g/L </w:t>
      </w:r>
      <w:proofErr w:type="spellStart"/>
      <w:r w:rsidRPr="008302DD">
        <w:t>anifrolumab</w:t>
      </w:r>
      <w:proofErr w:type="spellEnd"/>
      <w:r w:rsidRPr="008302DD">
        <w:t xml:space="preserve"> vs 0.04 g/L placebo). For patients with an abnormal C4 level at baseline, small increases were observed over the 52 weeks in both treatment groups (mean change from baseline at Week 52: 0.02 g/L </w:t>
      </w:r>
      <w:proofErr w:type="spellStart"/>
      <w:r w:rsidRPr="008302DD">
        <w:t>anifrolumab</w:t>
      </w:r>
      <w:proofErr w:type="spellEnd"/>
      <w:r w:rsidRPr="008302DD">
        <w:t xml:space="preserve"> vs 0.02 g/L placebo). In patients with low complement levels at baseline,</w:t>
      </w:r>
      <w:r w:rsidRPr="008302DD" w:rsidDel="006C6891">
        <w:t xml:space="preserve"> </w:t>
      </w:r>
      <w:r w:rsidRPr="008302DD">
        <w:t xml:space="preserve">normalisation of C3 and C4 was observed in 16.2% (21/130) and 22.6% (19/84) of patients receiving </w:t>
      </w:r>
      <w:proofErr w:type="spellStart"/>
      <w:r w:rsidRPr="008302DD">
        <w:t>anifrolumab</w:t>
      </w:r>
      <w:proofErr w:type="spellEnd"/>
      <w:r w:rsidRPr="008302DD">
        <w:t xml:space="preserve"> and in 9.5% (13/137) and 7.1% (6/85) of patients receiving placebo, respectively, at Week 52. </w:t>
      </w:r>
    </w:p>
    <w:p w14:paraId="1D512554" w14:textId="77777777" w:rsidR="008302DD" w:rsidRPr="008302DD" w:rsidRDefault="008302DD" w:rsidP="008302DD">
      <w:pPr>
        <w:pStyle w:val="Paragraph"/>
      </w:pPr>
      <w:r w:rsidRPr="008302DD">
        <w:t xml:space="preserve">Treatment with </w:t>
      </w:r>
      <w:proofErr w:type="spellStart"/>
      <w:r w:rsidRPr="008302DD">
        <w:t>anifrolumab</w:t>
      </w:r>
      <w:proofErr w:type="spellEnd"/>
      <w:r w:rsidRPr="008302DD">
        <w:t xml:space="preserve"> 300 mg led to significantly (p&lt;0.05) increased numbers of T-cell subsets in patients with a high interferon gene signature. Normalised T-cell subset counts were observed as early as Week 12 and through Week 52. </w:t>
      </w:r>
    </w:p>
    <w:p w14:paraId="2C5DBC33" w14:textId="7271BA12" w:rsidR="008302DD" w:rsidRDefault="008302DD" w:rsidP="008302DD">
      <w:pPr>
        <w:pStyle w:val="Paragraph"/>
      </w:pPr>
      <w:r w:rsidRPr="008302DD">
        <w:t xml:space="preserve">Compared with placebo, </w:t>
      </w:r>
      <w:proofErr w:type="spellStart"/>
      <w:r w:rsidRPr="008302DD">
        <w:t>anifrolumab</w:t>
      </w:r>
      <w:proofErr w:type="spellEnd"/>
      <w:r w:rsidRPr="008302DD">
        <w:t xml:space="preserve"> 300 mg inhibited the production of proteins involved in B cell survival and recruitment (CXCL13, BAFF). Inhibition was observed as early as Week 12 and maintained through Week 52, which is consistent with the down regulation of certain autoantibody levels by </w:t>
      </w:r>
      <w:proofErr w:type="spellStart"/>
      <w:r w:rsidRPr="008302DD">
        <w:t>anifrolumab</w:t>
      </w:r>
      <w:proofErr w:type="spellEnd"/>
      <w:r>
        <w:t>.</w:t>
      </w:r>
    </w:p>
    <w:p w14:paraId="0FFC2919" w14:textId="3E4B5CDF" w:rsidR="008302DD" w:rsidRDefault="008302DD" w:rsidP="008302DD">
      <w:pPr>
        <w:pStyle w:val="Heading3Unnumbered"/>
      </w:pPr>
      <w:r>
        <w:t>Immunogenicity</w:t>
      </w:r>
    </w:p>
    <w:p w14:paraId="63DD4224" w14:textId="2C612779" w:rsidR="008302DD" w:rsidRPr="008302DD" w:rsidRDefault="008302DD" w:rsidP="008302DD">
      <w:pPr>
        <w:pStyle w:val="Paragraph"/>
      </w:pPr>
      <w:bookmarkStart w:id="44" w:name="_Hlk43975799"/>
      <w:r w:rsidRPr="008302DD">
        <w:t xml:space="preserve">In the Phase III trials, treatment-emergent anti-drug antibodies were detected in 6 out of 352 (1.7%) patients treated with </w:t>
      </w:r>
      <w:r w:rsidR="003D26B4">
        <w:t>SAPHNELO</w:t>
      </w:r>
      <w:r w:rsidRPr="008302DD">
        <w:t xml:space="preserve"> at the recommended dosing regimen during the 60</w:t>
      </w:r>
      <w:r w:rsidRPr="008302DD">
        <w:noBreakHyphen/>
        <w:t xml:space="preserve">week study period. A total of 0.3% (1/351) of patients treated with </w:t>
      </w:r>
      <w:r w:rsidR="003D26B4">
        <w:t>SAPHNELO</w:t>
      </w:r>
      <w:r w:rsidRPr="008302DD">
        <w:t xml:space="preserve"> developed </w:t>
      </w:r>
      <w:r w:rsidRPr="008302DD">
        <w:rPr>
          <w:i/>
          <w:iCs/>
        </w:rPr>
        <w:t>in-vitro</w:t>
      </w:r>
      <w:r w:rsidRPr="008302DD">
        <w:t xml:space="preserve"> detected neutralising antibodies. Anti-</w:t>
      </w:r>
      <w:proofErr w:type="spellStart"/>
      <w:r w:rsidRPr="008302DD">
        <w:t>anifrolumab</w:t>
      </w:r>
      <w:proofErr w:type="spellEnd"/>
      <w:r w:rsidRPr="008302DD">
        <w:t xml:space="preserve"> antibodies were not associated with increased clearance of </w:t>
      </w:r>
      <w:proofErr w:type="spellStart"/>
      <w:r w:rsidRPr="008302DD">
        <w:t>anifrolumab</w:t>
      </w:r>
      <w:proofErr w:type="spellEnd"/>
      <w:r w:rsidRPr="008302DD">
        <w:t xml:space="preserve"> or loss of pharmacodynamic activity compared to anti-drug antibody negative patients. No evidence of an association of anti-drug antibodies with efficacy or safety was observed.</w:t>
      </w:r>
      <w:bookmarkEnd w:id="44"/>
    </w:p>
    <w:p w14:paraId="79E9ACDB" w14:textId="0D50512C" w:rsidR="00264E8A" w:rsidRPr="00264E8A" w:rsidRDefault="001A3992" w:rsidP="003F01C4">
      <w:pPr>
        <w:pStyle w:val="Heading3Unnumbered"/>
      </w:pPr>
      <w:r w:rsidRPr="00377337">
        <w:t xml:space="preserve">Clinical </w:t>
      </w:r>
      <w:r w:rsidR="004E61A5">
        <w:t>trials</w:t>
      </w:r>
    </w:p>
    <w:p w14:paraId="0B1C2153" w14:textId="08FC0F74" w:rsidR="00DB3EFE" w:rsidRPr="00406501" w:rsidRDefault="00DB3EFE" w:rsidP="008B4EE0">
      <w:pPr>
        <w:pStyle w:val="Paragraph"/>
      </w:pPr>
      <w:bookmarkStart w:id="45" w:name="_Hlk36558180"/>
      <w:r w:rsidRPr="00406501">
        <w:rPr>
          <w:rFonts w:eastAsia="Calibri"/>
        </w:rPr>
        <w:t xml:space="preserve">The safety and efficacy of </w:t>
      </w:r>
      <w:r w:rsidR="003D26B4">
        <w:rPr>
          <w:rFonts w:eastAsia="Calibri"/>
        </w:rPr>
        <w:t>SAPHNELO</w:t>
      </w:r>
      <w:r w:rsidRPr="00406501">
        <w:rPr>
          <w:rFonts w:eastAsia="Calibri"/>
        </w:rPr>
        <w:t xml:space="preserve"> were evaluated in three </w:t>
      </w:r>
      <w:r w:rsidRPr="00406501">
        <w:t>52</w:t>
      </w:r>
      <w:r w:rsidRPr="00406501">
        <w:noBreakHyphen/>
        <w:t xml:space="preserve">week treatment period, multicentre, randomised, double-blind, placebo-controlled studies </w:t>
      </w:r>
      <w:r w:rsidRPr="00406501">
        <w:rPr>
          <w:rFonts w:eastAsia="Calibri"/>
        </w:rPr>
        <w:t>(Trial 1 [MUSE], Trial 2 [TULIP 1] and Trial 3 [TULIP 2]). Patients were diagnosed with SLE according to the American College of Rheumatology (</w:t>
      </w:r>
      <w:r w:rsidR="00910420">
        <w:rPr>
          <w:rFonts w:eastAsia="Calibri"/>
        </w:rPr>
        <w:t>1997</w:t>
      </w:r>
      <w:r w:rsidRPr="00406501">
        <w:rPr>
          <w:rFonts w:eastAsia="Calibri"/>
        </w:rPr>
        <w:t>) classification criteria</w:t>
      </w:r>
      <w:r w:rsidRPr="00406501">
        <w:t xml:space="preserve">. </w:t>
      </w:r>
    </w:p>
    <w:p w14:paraId="706D96D6" w14:textId="49779A81" w:rsidR="00A37C49" w:rsidRPr="003868E7" w:rsidRDefault="00DB3EFE" w:rsidP="008B4EE0">
      <w:pPr>
        <w:pStyle w:val="Paragraph"/>
      </w:pPr>
      <w:r w:rsidRPr="00406501">
        <w:t>All patients were ≥18 years of age and had moderate to severe disease, with a SLE Disease Activity Index 2000 (SLEDAI-2K) score ≥6 points, organ level involvement based on BILAG assessment, and a Physician’s Global Assessment [PGA] score ≥1, despite receiving standard SLE therapy consisting of either one or any combination of oral corticosteroids (OCS), antimalarials and/or immunosuppressants at baseline</w:t>
      </w:r>
      <w:r w:rsidRPr="00406501">
        <w:rPr>
          <w:i/>
          <w:iCs/>
        </w:rPr>
        <w:t>.</w:t>
      </w:r>
      <w:r w:rsidRPr="00406501">
        <w:t xml:space="preserve"> Patients continued to receive their existing SLE therapy at stable doses during the clinical trials, </w:t>
      </w:r>
      <w:proofErr w:type="gramStart"/>
      <w:r w:rsidRPr="00406501">
        <w:t>with the exception of</w:t>
      </w:r>
      <w:proofErr w:type="gramEnd"/>
      <w:r w:rsidRPr="00406501">
        <w:t xml:space="preserve"> OCS (prednisone or equivalent) where tapering was a component of the protocol. Patients who had severe active lupus nephritis and patients who had severe active central nervous system lupus were excluded</w:t>
      </w:r>
      <w:bookmarkStart w:id="46" w:name="_Hlk42672763"/>
      <w:r w:rsidRPr="00406501">
        <w:t>. The use of other biologic agents and cyclophosphamide were not permitted during the clinical trials; patients receiving other biologic therapies were required to complete a wash-out period of at least 5 half-lives prior to enrolment.</w:t>
      </w:r>
      <w:r w:rsidRPr="00406501" w:rsidDel="00C26242">
        <w:t xml:space="preserve"> </w:t>
      </w:r>
      <w:bookmarkEnd w:id="46"/>
      <w:r w:rsidRPr="00406501">
        <w:t xml:space="preserve">All three studies were conducted in North America, Europe, South </w:t>
      </w:r>
      <w:proofErr w:type="gramStart"/>
      <w:r w:rsidRPr="00406501">
        <w:t>America</w:t>
      </w:r>
      <w:proofErr w:type="gramEnd"/>
      <w:r w:rsidRPr="00406501">
        <w:t xml:space="preserve"> and Asia. Patients received </w:t>
      </w:r>
      <w:proofErr w:type="spellStart"/>
      <w:r w:rsidRPr="00406501">
        <w:t>anifrolumab</w:t>
      </w:r>
      <w:proofErr w:type="spellEnd"/>
      <w:r w:rsidRPr="00406501">
        <w:t xml:space="preserve"> or placebo, administered by </w:t>
      </w:r>
      <w:r w:rsidR="00B95F10">
        <w:t>intravenous</w:t>
      </w:r>
      <w:r w:rsidRPr="00406501">
        <w:t xml:space="preserve"> infusion, every 4 weeks.</w:t>
      </w:r>
      <w:bookmarkEnd w:id="45"/>
    </w:p>
    <w:p w14:paraId="26936562" w14:textId="0250C232" w:rsidR="00F952C9" w:rsidRPr="00F952C9" w:rsidRDefault="00DB3EFE" w:rsidP="008B4EE0">
      <w:pPr>
        <w:pStyle w:val="Paragraph"/>
        <w:rPr>
          <w:u w:val="single"/>
        </w:rPr>
      </w:pPr>
      <w:bookmarkStart w:id="47" w:name="_Hlk36558233"/>
      <w:r>
        <w:t xml:space="preserve">In </w:t>
      </w:r>
      <w:r w:rsidRPr="00406501">
        <w:t>Trial 1</w:t>
      </w:r>
      <w:r w:rsidR="00D72133">
        <w:t>,</w:t>
      </w:r>
      <w:r w:rsidRPr="00406501">
        <w:t xml:space="preserve"> </w:t>
      </w:r>
      <w:bookmarkStart w:id="48" w:name="_Hlk30756535"/>
      <w:r>
        <w:t>305</w:t>
      </w:r>
      <w:r w:rsidRPr="00406501">
        <w:t xml:space="preserve"> patients </w:t>
      </w:r>
      <w:r>
        <w:t xml:space="preserve">were </w:t>
      </w:r>
      <w:r w:rsidRPr="00406501">
        <w:t xml:space="preserve">randomised (1:1:1) and </w:t>
      </w:r>
      <w:r>
        <w:t>received</w:t>
      </w:r>
      <w:r w:rsidRPr="00406501">
        <w:t xml:space="preserve"> </w:t>
      </w:r>
      <w:proofErr w:type="spellStart"/>
      <w:r w:rsidRPr="00406501">
        <w:t>anifrolumab</w:t>
      </w:r>
      <w:proofErr w:type="spellEnd"/>
      <w:r w:rsidRPr="00406501">
        <w:t xml:space="preserve"> 300 mg or 1000 mg, </w:t>
      </w:r>
      <w:r>
        <w:t>or</w:t>
      </w:r>
      <w:r w:rsidRPr="00406501">
        <w:t xml:space="preserve"> placebo. The primary endpoint was a combined assessment of the SLE Responder Index (SRI-4, a composite endpoint) and the sustained reduction in OCS (&lt;10 mg/day and ≤OCS dose at week 1, </w:t>
      </w:r>
      <w:r w:rsidRPr="00406501">
        <w:lastRenderedPageBreak/>
        <w:t xml:space="preserve">sustained for 12 weeks) measured at Week 24; a significantly higher proportion of </w:t>
      </w:r>
      <w:proofErr w:type="spellStart"/>
      <w:r w:rsidRPr="00406501">
        <w:t>anifrolumab</w:t>
      </w:r>
      <w:proofErr w:type="spellEnd"/>
      <w:r w:rsidRPr="00406501">
        <w:t xml:space="preserve"> 300 mg-treated patients achieved SRI-4 response and sustained OCS reduction (</w:t>
      </w:r>
      <w:proofErr w:type="spellStart"/>
      <w:r w:rsidRPr="00406501">
        <w:t>anifrolumab</w:t>
      </w:r>
      <w:proofErr w:type="spellEnd"/>
      <w:r w:rsidRPr="00406501">
        <w:t xml:space="preserve">: placebo 34.3% vs 17.6%). Pre-specified analysis of disease activity measured by British Isles Lupus Assessment Group based Composite Lupus Assessment (BICLA) was 53.5% for </w:t>
      </w:r>
      <w:proofErr w:type="spellStart"/>
      <w:r w:rsidRPr="00406501">
        <w:t>anifrolumab</w:t>
      </w:r>
      <w:proofErr w:type="spellEnd"/>
      <w:r w:rsidRPr="00406501">
        <w:t xml:space="preserve"> and 25.1% </w:t>
      </w:r>
      <w:r w:rsidR="00A650F9">
        <w:t xml:space="preserve">for </w:t>
      </w:r>
      <w:r w:rsidRPr="00406501">
        <w:t xml:space="preserve">placebo at Week 52. </w:t>
      </w:r>
      <w:bookmarkEnd w:id="48"/>
      <w:r w:rsidRPr="00406501">
        <w:t>The dose-response modelling and benefit-risk profile supported the evaluation of the 300 mg dose in the subsequent studies; the 1000 mg dose is not recommended.</w:t>
      </w:r>
      <w:bookmarkStart w:id="49" w:name="_Hlk36558483"/>
      <w:bookmarkEnd w:id="47"/>
    </w:p>
    <w:p w14:paraId="7734E282" w14:textId="7F2FBE5A" w:rsidR="00DB3EFE" w:rsidRPr="00406501" w:rsidRDefault="00B95F10" w:rsidP="008B4EE0">
      <w:pPr>
        <w:pStyle w:val="Paragraph"/>
      </w:pPr>
      <w:r w:rsidRPr="006865A8">
        <w:rPr>
          <w:iCs/>
          <w:szCs w:val="22"/>
        </w:rPr>
        <w:t>The Phase III trials, Trial</w:t>
      </w:r>
      <w:r>
        <w:rPr>
          <w:iCs/>
          <w:szCs w:val="22"/>
        </w:rPr>
        <w:t> </w:t>
      </w:r>
      <w:r w:rsidRPr="006865A8">
        <w:rPr>
          <w:iCs/>
          <w:szCs w:val="22"/>
        </w:rPr>
        <w:t>2 (N=457) and Trial</w:t>
      </w:r>
      <w:r>
        <w:rPr>
          <w:iCs/>
          <w:szCs w:val="22"/>
        </w:rPr>
        <w:t> </w:t>
      </w:r>
      <w:r w:rsidRPr="006865A8">
        <w:rPr>
          <w:iCs/>
          <w:szCs w:val="22"/>
        </w:rPr>
        <w:t>3 (N=362),</w:t>
      </w:r>
      <w:r w:rsidR="00DB3EFE" w:rsidRPr="00406501">
        <w:t xml:space="preserve"> were similar in design, the primary endpoint was</w:t>
      </w:r>
      <w:r w:rsidR="00DB3EFE" w:rsidRPr="00406501" w:rsidDel="00D8094F">
        <w:t xml:space="preserve"> </w:t>
      </w:r>
      <w:r w:rsidR="00DB3EFE" w:rsidRPr="00406501">
        <w:t xml:space="preserve">improvement in disease activity evaluated at 52 weeks, measured by </w:t>
      </w:r>
      <w:r w:rsidR="00170B2E">
        <w:t xml:space="preserve">the composite endpoints </w:t>
      </w:r>
      <w:r w:rsidR="00DB3EFE" w:rsidRPr="00406501">
        <w:t xml:space="preserve">SRI-4 and </w:t>
      </w:r>
      <w:bookmarkStart w:id="50" w:name="_Hlk35344253"/>
      <w:r w:rsidR="00DB3EFE" w:rsidRPr="00406501">
        <w:t>BICLA</w:t>
      </w:r>
      <w:bookmarkEnd w:id="50"/>
      <w:r w:rsidR="00DB3EFE" w:rsidRPr="00406501">
        <w:t>, respectively. The common secondary efficacy endpoints included in both studies were maintenance of OCS reduction, improvement in cutaneous SLE activity measured by Cutaneous Lupus Erythematosus Disease Area and Severity Index (CLASI)</w:t>
      </w:r>
      <w:r w:rsidR="00170B2E">
        <w:t>, joint activity</w:t>
      </w:r>
      <w:r w:rsidR="00DB3EFE" w:rsidRPr="00406501">
        <w:t xml:space="preserve"> and annualised flare rate. Both studies evaluated the efficacy of </w:t>
      </w:r>
      <w:proofErr w:type="spellStart"/>
      <w:r w:rsidR="00DB3EFE" w:rsidRPr="00406501">
        <w:t>anifrolumab</w:t>
      </w:r>
      <w:proofErr w:type="spellEnd"/>
      <w:r w:rsidR="00DB3EFE" w:rsidRPr="00406501">
        <w:t xml:space="preserve"> 300 mg versus placebo; a dose of 150 mg was also evaluated for dose-response in Trial 2.</w:t>
      </w:r>
      <w:r w:rsidR="00170B2E">
        <w:t xml:space="preserve"> </w:t>
      </w:r>
      <w:r w:rsidR="00170B2E" w:rsidRPr="006865A8">
        <w:rPr>
          <w:iCs/>
          <w:szCs w:val="22"/>
        </w:rPr>
        <w:t xml:space="preserve">There was no consistent pattern of efficacy across the endpoints or over time in patients receiving </w:t>
      </w:r>
      <w:proofErr w:type="spellStart"/>
      <w:r w:rsidR="00170B2E" w:rsidRPr="006865A8">
        <w:rPr>
          <w:iCs/>
          <w:szCs w:val="22"/>
        </w:rPr>
        <w:t>anifrolumab</w:t>
      </w:r>
      <w:proofErr w:type="spellEnd"/>
      <w:r w:rsidR="00170B2E" w:rsidRPr="006865A8">
        <w:rPr>
          <w:iCs/>
          <w:szCs w:val="22"/>
        </w:rPr>
        <w:t xml:space="preserve"> 150</w:t>
      </w:r>
      <w:r w:rsidR="00170B2E">
        <w:rPr>
          <w:iCs/>
          <w:szCs w:val="22"/>
        </w:rPr>
        <w:t> </w:t>
      </w:r>
      <w:r w:rsidR="00170B2E" w:rsidRPr="006865A8">
        <w:rPr>
          <w:iCs/>
          <w:szCs w:val="22"/>
        </w:rPr>
        <w:t>mg. The 150</w:t>
      </w:r>
      <w:r w:rsidR="00170B2E">
        <w:rPr>
          <w:iCs/>
          <w:szCs w:val="22"/>
        </w:rPr>
        <w:t> </w:t>
      </w:r>
      <w:r w:rsidR="00170B2E" w:rsidRPr="006865A8">
        <w:rPr>
          <w:iCs/>
          <w:szCs w:val="22"/>
        </w:rPr>
        <w:t xml:space="preserve">mg dose is not recommended. The results summarised below are those for the recommended dosing regimen (see </w:t>
      </w:r>
      <w:r w:rsidR="00170B2E">
        <w:rPr>
          <w:iCs/>
          <w:szCs w:val="22"/>
        </w:rPr>
        <w:t>S</w:t>
      </w:r>
      <w:r w:rsidR="00170B2E" w:rsidRPr="006865A8">
        <w:rPr>
          <w:iCs/>
          <w:szCs w:val="22"/>
        </w:rPr>
        <w:t>ection</w:t>
      </w:r>
      <w:r w:rsidR="00170B2E">
        <w:rPr>
          <w:iCs/>
          <w:szCs w:val="22"/>
        </w:rPr>
        <w:t> </w:t>
      </w:r>
      <w:r w:rsidR="00170B2E" w:rsidRPr="006865A8">
        <w:rPr>
          <w:iCs/>
          <w:szCs w:val="22"/>
        </w:rPr>
        <w:t>4.2</w:t>
      </w:r>
      <w:r w:rsidR="00170B2E">
        <w:rPr>
          <w:iCs/>
          <w:szCs w:val="22"/>
        </w:rPr>
        <w:t xml:space="preserve"> Dose and method of administration</w:t>
      </w:r>
      <w:r w:rsidR="00170B2E" w:rsidRPr="006865A8">
        <w:rPr>
          <w:iCs/>
          <w:szCs w:val="22"/>
        </w:rPr>
        <w:t>).</w:t>
      </w:r>
      <w:r w:rsidR="00DB3EFE" w:rsidRPr="00406501">
        <w:t xml:space="preserve"> </w:t>
      </w:r>
    </w:p>
    <w:p w14:paraId="42E28877" w14:textId="421462F9" w:rsidR="00DB3EFE" w:rsidRPr="00406501" w:rsidRDefault="00DB3EFE" w:rsidP="008B4EE0">
      <w:pPr>
        <w:pStyle w:val="Paragraph"/>
        <w:rPr>
          <w:vertAlign w:val="superscript"/>
        </w:rPr>
      </w:pPr>
      <w:r w:rsidRPr="00406501">
        <w:t xml:space="preserve">Patient demographics were generally similar in both trials; </w:t>
      </w:r>
      <w:r w:rsidR="00165514" w:rsidRPr="006865A8">
        <w:rPr>
          <w:iCs/>
          <w:szCs w:val="22"/>
        </w:rPr>
        <w:t>the median age was 41.3 and 42.1</w:t>
      </w:r>
      <w:r w:rsidR="00165514">
        <w:rPr>
          <w:iCs/>
          <w:szCs w:val="22"/>
        </w:rPr>
        <w:t> </w:t>
      </w:r>
      <w:r w:rsidR="00165514" w:rsidRPr="006865A8">
        <w:rPr>
          <w:iCs/>
          <w:szCs w:val="22"/>
        </w:rPr>
        <w:t>years (range</w:t>
      </w:r>
      <w:r w:rsidR="00165514">
        <w:rPr>
          <w:iCs/>
          <w:szCs w:val="22"/>
        </w:rPr>
        <w:t> </w:t>
      </w:r>
      <w:r w:rsidR="00165514" w:rsidRPr="006865A8">
        <w:rPr>
          <w:iCs/>
          <w:szCs w:val="22"/>
        </w:rPr>
        <w:t>18-69), 4.4% and 1.7% were ≥65</w:t>
      </w:r>
      <w:r w:rsidR="00165514">
        <w:rPr>
          <w:iCs/>
          <w:szCs w:val="22"/>
        </w:rPr>
        <w:t> </w:t>
      </w:r>
      <w:r w:rsidR="00165514" w:rsidRPr="006865A8">
        <w:rPr>
          <w:iCs/>
          <w:szCs w:val="22"/>
        </w:rPr>
        <w:t xml:space="preserve">years of age, </w:t>
      </w:r>
      <w:r w:rsidRPr="00406501">
        <w:t>92% and 93% were female, 71% and 60% were White, 14% and 12% were Black/African American, and 5% and 17% were Asian, in Trials 2 and 3 respectively. In both trials, 72% of patients had high disease activity (SLEDAI</w:t>
      </w:r>
      <w:r w:rsidRPr="00406501">
        <w:noBreakHyphen/>
        <w:t>2K score ≥10)</w:t>
      </w:r>
      <w:bookmarkStart w:id="51" w:name="_Hlk40707341"/>
      <w:r w:rsidRPr="00406501">
        <w:t>.</w:t>
      </w:r>
      <w:bookmarkEnd w:id="51"/>
      <w:r w:rsidRPr="00406501">
        <w:t xml:space="preserve"> In Trials 2 and 3 respectively, 47% and 49% had severe disease (BILAG</w:t>
      </w:r>
      <w:r w:rsidRPr="00406501">
        <w:noBreakHyphen/>
        <w:t>A) in at least 1 organ system and 46% and 47% of patients had moderate disease (BILAG</w:t>
      </w:r>
      <w:r w:rsidRPr="00406501">
        <w:noBreakHyphen/>
        <w:t xml:space="preserve">B) in at least 2 organ systems. The </w:t>
      </w:r>
      <w:proofErr w:type="gramStart"/>
      <w:r w:rsidRPr="00406501">
        <w:t>most commonly affected</w:t>
      </w:r>
      <w:proofErr w:type="gramEnd"/>
      <w:r w:rsidRPr="00406501">
        <w:t xml:space="preserve"> organ systems (BILAG</w:t>
      </w:r>
      <w:r w:rsidRPr="00406501">
        <w:noBreakHyphen/>
        <w:t xml:space="preserve">A or B at baseline) were the mucocutaneous (Trial 2: 87%, Trial 3: 85%) and musculoskeletal (Trial 2: 89%, Trial 3: 88%) systems; 7.4% and 8.8% of patients had cardiorespiratory, and 7.9% and 7.5% had renal </w:t>
      </w:r>
      <w:bookmarkStart w:id="52" w:name="_Hlk36196551"/>
      <w:r w:rsidRPr="00406501">
        <w:t xml:space="preserve">manifestations </w:t>
      </w:r>
      <w:bookmarkEnd w:id="52"/>
      <w:r w:rsidRPr="00406501">
        <w:t>at baseline, in Trials 2 and 3 respectively.</w:t>
      </w:r>
    </w:p>
    <w:p w14:paraId="3F9046E6" w14:textId="65A68033" w:rsidR="00DB3EFE" w:rsidRPr="00406501" w:rsidRDefault="00DB3EFE" w:rsidP="008B4EE0">
      <w:pPr>
        <w:pStyle w:val="Paragraph"/>
      </w:pPr>
      <w:r w:rsidRPr="00406501">
        <w:t xml:space="preserve">In Trials 2 and 3, 90% of patients (both trials) were seropositive for anti-nuclear antibodies (ANA), and 45% and 44% for anti–double-stranded DNA (anti-dsDNA) antibodies; 34% and 40% of patients had low C3, and 21% and 26% had low C4. In both trials, </w:t>
      </w:r>
      <w:proofErr w:type="gramStart"/>
      <w:r w:rsidRPr="00406501">
        <w:t>the majority of</w:t>
      </w:r>
      <w:proofErr w:type="gramEnd"/>
      <w:r w:rsidRPr="00406501">
        <w:t xml:space="preserve"> patients were classified as interferon gene signature test-high at baseline (Trial 2: 82%, Trial 3: </w:t>
      </w:r>
      <w:bookmarkStart w:id="53" w:name="_Hlk32853521"/>
      <w:r w:rsidRPr="00406501">
        <w:t>83%</w:t>
      </w:r>
      <w:bookmarkEnd w:id="53"/>
      <w:r w:rsidRPr="00406501">
        <w:t>).</w:t>
      </w:r>
    </w:p>
    <w:p w14:paraId="1CFCB774" w14:textId="77777777" w:rsidR="00DB3EFE" w:rsidRPr="00406501" w:rsidRDefault="00DB3EFE" w:rsidP="008B4EE0">
      <w:pPr>
        <w:pStyle w:val="Paragraph"/>
      </w:pPr>
      <w:r w:rsidRPr="00406501">
        <w:t xml:space="preserve">Baseline concomitant standard therapy medications included oral corticosteroids (Trial 2: 83%, Trial 3: 81%), </w:t>
      </w:r>
      <w:bookmarkStart w:id="54" w:name="_Hlk31096767"/>
      <w:r w:rsidRPr="00406501">
        <w:t xml:space="preserve">antimalarials (Trial 2: 73%, Trial 3: 70%) and immunosuppressants (Trial 2: 47%, Trial 3: 48%; including azathioprine, methotrexate, mycophenolate and </w:t>
      </w:r>
      <w:proofErr w:type="spellStart"/>
      <w:r w:rsidRPr="00406501">
        <w:t>mizoribine</w:t>
      </w:r>
      <w:proofErr w:type="spellEnd"/>
      <w:r w:rsidRPr="00406501">
        <w:t>)</w:t>
      </w:r>
      <w:bookmarkEnd w:id="54"/>
      <w:r w:rsidRPr="00406501">
        <w:t xml:space="preserve">. For those patients taking </w:t>
      </w:r>
      <w:bookmarkStart w:id="55" w:name="_Hlk43119191"/>
      <w:r w:rsidRPr="00406501">
        <w:t>OCS (prednisone or equivalent)</w:t>
      </w:r>
      <w:bookmarkEnd w:id="55"/>
      <w:r w:rsidRPr="00406501">
        <w:t xml:space="preserve"> at baseline, the mean daily dose was 12.3 mg in Trial 2 and 10.7 mg in Trial 3.</w:t>
      </w:r>
      <w:bookmarkStart w:id="56" w:name="_Hlk45121476"/>
      <w:r w:rsidRPr="00406501">
        <w:t xml:space="preserve"> </w:t>
      </w:r>
      <w:bookmarkEnd w:id="56"/>
      <w:r w:rsidRPr="00406501">
        <w:t>During Weeks 8-40, patients with a baseline OCS ≥10 mg/day were required to taper their OCS dose to ≤7.5 mg/day</w:t>
      </w:r>
      <w:bookmarkStart w:id="57" w:name="_Hlk43366086"/>
      <w:r w:rsidRPr="00406501">
        <w:t xml:space="preserve">, </w:t>
      </w:r>
      <w:bookmarkStart w:id="58" w:name="_Hlk43988747"/>
      <w:r w:rsidRPr="00406501">
        <w:t>unless there was worsening of disease activity</w:t>
      </w:r>
      <w:bookmarkEnd w:id="58"/>
      <w:r w:rsidRPr="00406501">
        <w:t>.</w:t>
      </w:r>
      <w:bookmarkEnd w:id="57"/>
    </w:p>
    <w:p w14:paraId="39E89391" w14:textId="6874998F" w:rsidR="00165514" w:rsidRDefault="00DB3EFE" w:rsidP="008B4EE0">
      <w:pPr>
        <w:pStyle w:val="Paragraph"/>
      </w:pPr>
      <w:r w:rsidRPr="00406501">
        <w:t>Randomisation was stratified by disease severity (SLEDAI</w:t>
      </w:r>
      <w:r w:rsidRPr="00406501">
        <w:noBreakHyphen/>
        <w:t>2K score at baseline, &lt;10 vs ≥10 points), OCS dose on Day 1 (&lt;10 mg/day vs ≥10 mg/day prednisone or equivalent) and interferon gene signature test results (high vs low).</w:t>
      </w:r>
      <w:bookmarkStart w:id="59" w:name="_Hlk30085003"/>
      <w:bookmarkEnd w:id="49"/>
      <w:bookmarkEnd w:id="59"/>
      <w:r w:rsidR="003868E7">
        <w:t xml:space="preserve"> </w:t>
      </w:r>
      <w:r w:rsidR="00165514" w:rsidRPr="006865A8">
        <w:t>The results are presented in Table</w:t>
      </w:r>
      <w:r w:rsidR="00165514">
        <w:t> </w:t>
      </w:r>
      <w:r w:rsidR="00A650F9">
        <w:t>3</w:t>
      </w:r>
      <w:r w:rsidR="00264E8A">
        <w:t xml:space="preserve">. </w:t>
      </w:r>
      <w:r w:rsidR="00264E8A" w:rsidRPr="00264E8A">
        <w:t>For consistency, the results presented for Trial 2 represent the post-hoc analysis using the restricted medication thresholds as defined in Trial 3.</w:t>
      </w:r>
    </w:p>
    <w:p w14:paraId="2A71F359" w14:textId="12E07EDF" w:rsidR="00165514" w:rsidRPr="00002847" w:rsidRDefault="00165514" w:rsidP="00165514">
      <w:pPr>
        <w:keepNext/>
        <w:rPr>
          <w:b/>
          <w:bCs/>
        </w:rPr>
      </w:pPr>
      <w:r w:rsidRPr="00002847">
        <w:rPr>
          <w:b/>
          <w:bCs/>
        </w:rPr>
        <w:lastRenderedPageBreak/>
        <w:t>Table</w:t>
      </w:r>
      <w:r>
        <w:rPr>
          <w:b/>
          <w:bCs/>
        </w:rPr>
        <w:t> 3</w:t>
      </w:r>
      <w:r w:rsidRPr="00002847">
        <w:rPr>
          <w:b/>
          <w:bCs/>
        </w:rPr>
        <w:t xml:space="preserve"> </w:t>
      </w:r>
      <w:r w:rsidRPr="00002847">
        <w:rPr>
          <w:b/>
          <w:bCs/>
        </w:rPr>
        <w:tab/>
        <w:t>Efficacy results in adults with SLE in Tri</w:t>
      </w:r>
      <w:r>
        <w:rPr>
          <w:b/>
          <w:bCs/>
        </w:rPr>
        <w:t>a</w:t>
      </w:r>
      <w:r w:rsidRPr="00002847">
        <w:rPr>
          <w:b/>
          <w:bCs/>
        </w:rPr>
        <w:t>l</w:t>
      </w:r>
      <w:r>
        <w:rPr>
          <w:b/>
          <w:bCs/>
        </w:rPr>
        <w:t> </w:t>
      </w:r>
      <w:r w:rsidRPr="00002847">
        <w:rPr>
          <w:b/>
          <w:bCs/>
        </w:rPr>
        <w:t>2 and Trial</w:t>
      </w:r>
      <w:r>
        <w:rPr>
          <w:b/>
          <w:bCs/>
        </w:rPr>
        <w:t> </w:t>
      </w:r>
      <w:r w:rsidRPr="00002847">
        <w:rPr>
          <w:b/>
          <w:bCs/>
        </w:rPr>
        <w:t>3</w:t>
      </w:r>
    </w:p>
    <w:tbl>
      <w:tblPr>
        <w:tblStyle w:val="TableGrid10"/>
        <w:tblW w:w="5000" w:type="pct"/>
        <w:tblLook w:val="04A0" w:firstRow="1" w:lastRow="0" w:firstColumn="1" w:lastColumn="0" w:noHBand="0" w:noVBand="1"/>
      </w:tblPr>
      <w:tblGrid>
        <w:gridCol w:w="3602"/>
        <w:gridCol w:w="1529"/>
        <w:gridCol w:w="1483"/>
        <w:gridCol w:w="1529"/>
        <w:gridCol w:w="1485"/>
      </w:tblGrid>
      <w:tr w:rsidR="00165514" w:rsidRPr="00FB6163" w14:paraId="63990E3E" w14:textId="77777777" w:rsidTr="00C047AD">
        <w:trPr>
          <w:trHeight w:val="47"/>
          <w:tblHeader/>
        </w:trPr>
        <w:tc>
          <w:tcPr>
            <w:tcW w:w="1871" w:type="pct"/>
            <w:vMerge w:val="restart"/>
            <w:tcBorders>
              <w:top w:val="single" w:sz="4" w:space="0" w:color="auto"/>
              <w:left w:val="single" w:sz="4" w:space="0" w:color="auto"/>
              <w:right w:val="single" w:sz="4" w:space="0" w:color="auto"/>
            </w:tcBorders>
          </w:tcPr>
          <w:p w14:paraId="709176B8" w14:textId="77777777" w:rsidR="00165514" w:rsidRPr="00FB6163" w:rsidRDefault="00165514" w:rsidP="00C047AD">
            <w:pPr>
              <w:keepNext/>
              <w:spacing w:before="60" w:after="60"/>
              <w:rPr>
                <w:sz w:val="20"/>
                <w:szCs w:val="20"/>
              </w:rPr>
            </w:pPr>
          </w:p>
        </w:tc>
        <w:tc>
          <w:tcPr>
            <w:tcW w:w="1564" w:type="pct"/>
            <w:gridSpan w:val="2"/>
            <w:tcBorders>
              <w:top w:val="single" w:sz="4" w:space="0" w:color="auto"/>
              <w:left w:val="single" w:sz="4" w:space="0" w:color="auto"/>
              <w:bottom w:val="single" w:sz="4" w:space="0" w:color="auto"/>
              <w:right w:val="single" w:sz="4" w:space="0" w:color="auto"/>
            </w:tcBorders>
            <w:hideMark/>
          </w:tcPr>
          <w:p w14:paraId="1784656F" w14:textId="77777777" w:rsidR="00165514" w:rsidRPr="00FB6163" w:rsidRDefault="00165514" w:rsidP="00C047AD">
            <w:pPr>
              <w:keepNext/>
              <w:spacing w:before="60" w:after="60"/>
              <w:jc w:val="center"/>
              <w:rPr>
                <w:b/>
                <w:sz w:val="20"/>
                <w:szCs w:val="20"/>
              </w:rPr>
            </w:pPr>
            <w:r w:rsidRPr="00FB6163">
              <w:rPr>
                <w:b/>
                <w:sz w:val="20"/>
                <w:szCs w:val="20"/>
              </w:rPr>
              <w:t>Trial</w:t>
            </w:r>
            <w:r>
              <w:rPr>
                <w:b/>
                <w:sz w:val="20"/>
                <w:szCs w:val="20"/>
              </w:rPr>
              <w:t> </w:t>
            </w:r>
            <w:r w:rsidRPr="00FB6163">
              <w:rPr>
                <w:b/>
                <w:sz w:val="20"/>
                <w:szCs w:val="20"/>
              </w:rPr>
              <w:t>2</w:t>
            </w:r>
          </w:p>
        </w:tc>
        <w:tc>
          <w:tcPr>
            <w:tcW w:w="1565" w:type="pct"/>
            <w:gridSpan w:val="2"/>
            <w:tcBorders>
              <w:top w:val="single" w:sz="4" w:space="0" w:color="auto"/>
              <w:left w:val="single" w:sz="4" w:space="0" w:color="auto"/>
              <w:bottom w:val="single" w:sz="4" w:space="0" w:color="auto"/>
              <w:right w:val="single" w:sz="4" w:space="0" w:color="auto"/>
            </w:tcBorders>
            <w:hideMark/>
          </w:tcPr>
          <w:p w14:paraId="4D341F14" w14:textId="77777777" w:rsidR="00165514" w:rsidRPr="00FB6163" w:rsidRDefault="00165514" w:rsidP="00C047AD">
            <w:pPr>
              <w:keepNext/>
              <w:spacing w:before="60" w:after="60"/>
              <w:jc w:val="center"/>
              <w:rPr>
                <w:b/>
                <w:sz w:val="20"/>
                <w:szCs w:val="20"/>
              </w:rPr>
            </w:pPr>
            <w:r w:rsidRPr="00FB6163">
              <w:rPr>
                <w:b/>
                <w:sz w:val="20"/>
                <w:szCs w:val="20"/>
              </w:rPr>
              <w:t>Trial</w:t>
            </w:r>
            <w:r>
              <w:rPr>
                <w:b/>
                <w:sz w:val="20"/>
                <w:szCs w:val="20"/>
              </w:rPr>
              <w:t> </w:t>
            </w:r>
            <w:r w:rsidRPr="00FB6163">
              <w:rPr>
                <w:b/>
                <w:sz w:val="20"/>
                <w:szCs w:val="20"/>
              </w:rPr>
              <w:t xml:space="preserve">3 </w:t>
            </w:r>
          </w:p>
        </w:tc>
      </w:tr>
      <w:tr w:rsidR="00165514" w:rsidRPr="00FB6163" w14:paraId="267BBF4B" w14:textId="77777777" w:rsidTr="00C047AD">
        <w:trPr>
          <w:trHeight w:val="47"/>
          <w:tblHeader/>
        </w:trPr>
        <w:tc>
          <w:tcPr>
            <w:tcW w:w="1871" w:type="pct"/>
            <w:vMerge/>
            <w:tcBorders>
              <w:left w:val="single" w:sz="4" w:space="0" w:color="auto"/>
              <w:bottom w:val="single" w:sz="4" w:space="0" w:color="auto"/>
              <w:right w:val="single" w:sz="4" w:space="0" w:color="auto"/>
            </w:tcBorders>
            <w:vAlign w:val="center"/>
            <w:hideMark/>
          </w:tcPr>
          <w:p w14:paraId="01C44169" w14:textId="77777777" w:rsidR="00165514" w:rsidRPr="00FB6163" w:rsidRDefault="00165514" w:rsidP="00C047AD">
            <w:pPr>
              <w:rPr>
                <w:sz w:val="20"/>
                <w:szCs w:val="20"/>
              </w:rPr>
            </w:pPr>
          </w:p>
        </w:tc>
        <w:tc>
          <w:tcPr>
            <w:tcW w:w="794" w:type="pct"/>
            <w:tcBorders>
              <w:top w:val="single" w:sz="4" w:space="0" w:color="auto"/>
              <w:left w:val="single" w:sz="4" w:space="0" w:color="auto"/>
              <w:bottom w:val="single" w:sz="4" w:space="0" w:color="auto"/>
              <w:right w:val="single" w:sz="4" w:space="0" w:color="auto"/>
            </w:tcBorders>
            <w:hideMark/>
          </w:tcPr>
          <w:p w14:paraId="610E074C" w14:textId="0446D3E1" w:rsidR="00165514" w:rsidRPr="00FB6163" w:rsidRDefault="00DE3ADE" w:rsidP="00C047AD">
            <w:pPr>
              <w:keepNext/>
              <w:spacing w:before="60" w:after="60"/>
              <w:jc w:val="center"/>
              <w:rPr>
                <w:b/>
                <w:sz w:val="20"/>
                <w:szCs w:val="20"/>
              </w:rPr>
            </w:pPr>
            <w:r>
              <w:rPr>
                <w:b/>
                <w:sz w:val="20"/>
                <w:szCs w:val="20"/>
              </w:rPr>
              <w:t>SAPHNELO</w:t>
            </w:r>
            <w:r w:rsidR="00165514" w:rsidRPr="00FB6163">
              <w:rPr>
                <w:b/>
                <w:sz w:val="20"/>
                <w:szCs w:val="20"/>
              </w:rPr>
              <w:t xml:space="preserve"> 300</w:t>
            </w:r>
            <w:r w:rsidR="00165514">
              <w:rPr>
                <w:b/>
                <w:sz w:val="20"/>
                <w:szCs w:val="20"/>
              </w:rPr>
              <w:t> </w:t>
            </w:r>
            <w:r w:rsidR="00165514" w:rsidRPr="00FB6163">
              <w:rPr>
                <w:b/>
                <w:sz w:val="20"/>
                <w:szCs w:val="20"/>
              </w:rPr>
              <w:t>mg</w:t>
            </w:r>
          </w:p>
        </w:tc>
        <w:tc>
          <w:tcPr>
            <w:tcW w:w="770" w:type="pct"/>
            <w:tcBorders>
              <w:top w:val="single" w:sz="4" w:space="0" w:color="auto"/>
              <w:left w:val="single" w:sz="4" w:space="0" w:color="auto"/>
              <w:bottom w:val="single" w:sz="4" w:space="0" w:color="auto"/>
              <w:right w:val="single" w:sz="4" w:space="0" w:color="auto"/>
            </w:tcBorders>
            <w:hideMark/>
          </w:tcPr>
          <w:p w14:paraId="723AEA9E" w14:textId="77777777" w:rsidR="00165514" w:rsidRPr="00FB6163" w:rsidRDefault="00165514" w:rsidP="00C047AD">
            <w:pPr>
              <w:keepNext/>
              <w:spacing w:before="60" w:after="60"/>
              <w:jc w:val="center"/>
              <w:rPr>
                <w:b/>
                <w:sz w:val="20"/>
                <w:szCs w:val="20"/>
              </w:rPr>
            </w:pPr>
            <w:r w:rsidRPr="00FB6163">
              <w:rPr>
                <w:b/>
                <w:sz w:val="20"/>
                <w:szCs w:val="20"/>
              </w:rPr>
              <w:t>Placebo</w:t>
            </w:r>
          </w:p>
          <w:p w14:paraId="5947917A" w14:textId="77777777" w:rsidR="00165514" w:rsidRPr="00FB6163" w:rsidRDefault="00165514" w:rsidP="00C047AD">
            <w:pPr>
              <w:keepNext/>
              <w:spacing w:before="60" w:after="60"/>
              <w:jc w:val="center"/>
              <w:rPr>
                <w:b/>
                <w:sz w:val="20"/>
                <w:szCs w:val="20"/>
              </w:rPr>
            </w:pPr>
          </w:p>
        </w:tc>
        <w:tc>
          <w:tcPr>
            <w:tcW w:w="794" w:type="pct"/>
            <w:tcBorders>
              <w:top w:val="single" w:sz="4" w:space="0" w:color="auto"/>
              <w:left w:val="single" w:sz="4" w:space="0" w:color="auto"/>
              <w:bottom w:val="single" w:sz="4" w:space="0" w:color="auto"/>
              <w:right w:val="single" w:sz="4" w:space="0" w:color="auto"/>
            </w:tcBorders>
            <w:hideMark/>
          </w:tcPr>
          <w:p w14:paraId="29A4ECAF" w14:textId="739A0A57" w:rsidR="00165514" w:rsidRPr="00FB6163" w:rsidRDefault="00DE3ADE" w:rsidP="00C047AD">
            <w:pPr>
              <w:keepNext/>
              <w:spacing w:before="60" w:after="60"/>
              <w:jc w:val="center"/>
              <w:rPr>
                <w:b/>
                <w:sz w:val="20"/>
                <w:szCs w:val="20"/>
              </w:rPr>
            </w:pPr>
            <w:r>
              <w:rPr>
                <w:b/>
                <w:sz w:val="20"/>
                <w:szCs w:val="20"/>
              </w:rPr>
              <w:t>SAPHNELO</w:t>
            </w:r>
            <w:r w:rsidR="00165514" w:rsidRPr="00FB6163">
              <w:rPr>
                <w:b/>
                <w:sz w:val="20"/>
                <w:szCs w:val="20"/>
              </w:rPr>
              <w:t xml:space="preserve"> 30</w:t>
            </w:r>
            <w:r w:rsidR="00165514">
              <w:rPr>
                <w:b/>
                <w:sz w:val="20"/>
                <w:szCs w:val="20"/>
              </w:rPr>
              <w:t>0 </w:t>
            </w:r>
            <w:r w:rsidR="00165514" w:rsidRPr="00FB6163">
              <w:rPr>
                <w:b/>
                <w:sz w:val="20"/>
                <w:szCs w:val="20"/>
              </w:rPr>
              <w:t>mg</w:t>
            </w:r>
          </w:p>
        </w:tc>
        <w:tc>
          <w:tcPr>
            <w:tcW w:w="771" w:type="pct"/>
            <w:tcBorders>
              <w:top w:val="single" w:sz="4" w:space="0" w:color="auto"/>
              <w:left w:val="single" w:sz="4" w:space="0" w:color="auto"/>
              <w:bottom w:val="single" w:sz="4" w:space="0" w:color="auto"/>
              <w:right w:val="single" w:sz="4" w:space="0" w:color="auto"/>
            </w:tcBorders>
            <w:hideMark/>
          </w:tcPr>
          <w:p w14:paraId="3718B69D" w14:textId="77777777" w:rsidR="00165514" w:rsidRPr="00FB6163" w:rsidRDefault="00165514" w:rsidP="00C047AD">
            <w:pPr>
              <w:keepNext/>
              <w:spacing w:before="60" w:after="60"/>
              <w:jc w:val="center"/>
              <w:rPr>
                <w:b/>
                <w:sz w:val="20"/>
                <w:szCs w:val="20"/>
              </w:rPr>
            </w:pPr>
            <w:r w:rsidRPr="00FB6163">
              <w:rPr>
                <w:b/>
                <w:sz w:val="20"/>
                <w:szCs w:val="20"/>
              </w:rPr>
              <w:t>Placebo</w:t>
            </w:r>
          </w:p>
          <w:p w14:paraId="4A2271FC" w14:textId="77777777" w:rsidR="00165514" w:rsidRPr="00FB6163" w:rsidRDefault="00165514" w:rsidP="00C047AD">
            <w:pPr>
              <w:keepNext/>
              <w:spacing w:before="60" w:after="60"/>
              <w:jc w:val="center"/>
              <w:rPr>
                <w:b/>
                <w:sz w:val="20"/>
                <w:szCs w:val="20"/>
              </w:rPr>
            </w:pPr>
          </w:p>
        </w:tc>
      </w:tr>
      <w:tr w:rsidR="00165514" w:rsidRPr="00FB6163" w14:paraId="1752D31A" w14:textId="77777777" w:rsidTr="00C047AD">
        <w:trPr>
          <w:trHeight w:val="172"/>
        </w:trPr>
        <w:tc>
          <w:tcPr>
            <w:tcW w:w="5000" w:type="pct"/>
            <w:gridSpan w:val="5"/>
            <w:tcBorders>
              <w:top w:val="single" w:sz="4" w:space="0" w:color="auto"/>
              <w:left w:val="single" w:sz="4" w:space="0" w:color="auto"/>
              <w:bottom w:val="single" w:sz="4" w:space="0" w:color="auto"/>
              <w:right w:val="single" w:sz="4" w:space="0" w:color="auto"/>
            </w:tcBorders>
            <w:hideMark/>
          </w:tcPr>
          <w:p w14:paraId="7466658D" w14:textId="77777777" w:rsidR="00165514" w:rsidRPr="00FB6163" w:rsidRDefault="00165514" w:rsidP="00C047AD">
            <w:pPr>
              <w:keepNext/>
              <w:spacing w:before="60" w:after="60"/>
              <w:rPr>
                <w:b/>
                <w:sz w:val="20"/>
                <w:szCs w:val="20"/>
              </w:rPr>
            </w:pPr>
            <w:bookmarkStart w:id="60" w:name="_Hlk65939599"/>
            <w:r w:rsidRPr="00FB6163">
              <w:rPr>
                <w:b/>
                <w:sz w:val="20"/>
                <w:szCs w:val="20"/>
              </w:rPr>
              <w:t xml:space="preserve">BICLA response </w:t>
            </w:r>
          </w:p>
        </w:tc>
      </w:tr>
      <w:tr w:rsidR="00165514" w:rsidRPr="00FB6163" w14:paraId="403DE65B" w14:textId="77777777" w:rsidTr="00C047AD">
        <w:trPr>
          <w:trHeight w:val="172"/>
        </w:trPr>
        <w:tc>
          <w:tcPr>
            <w:tcW w:w="1871" w:type="pct"/>
            <w:tcBorders>
              <w:top w:val="single" w:sz="4" w:space="0" w:color="auto"/>
              <w:left w:val="single" w:sz="4" w:space="0" w:color="auto"/>
              <w:bottom w:val="single" w:sz="4" w:space="0" w:color="auto"/>
              <w:right w:val="single" w:sz="4" w:space="0" w:color="auto"/>
            </w:tcBorders>
            <w:hideMark/>
          </w:tcPr>
          <w:p w14:paraId="5F79501B" w14:textId="77777777" w:rsidR="00165514" w:rsidRPr="00FB6163" w:rsidRDefault="00165514" w:rsidP="00C047AD">
            <w:pPr>
              <w:spacing w:before="60" w:after="60"/>
              <w:ind w:left="177"/>
              <w:rPr>
                <w:sz w:val="20"/>
                <w:szCs w:val="20"/>
              </w:rPr>
            </w:pPr>
            <w:r w:rsidRPr="00FB6163">
              <w:rPr>
                <w:sz w:val="20"/>
                <w:szCs w:val="20"/>
              </w:rPr>
              <w:t>Responder rate, % (n/N)</w:t>
            </w:r>
          </w:p>
        </w:tc>
        <w:tc>
          <w:tcPr>
            <w:tcW w:w="794" w:type="pct"/>
            <w:tcBorders>
              <w:top w:val="single" w:sz="4" w:space="0" w:color="auto"/>
              <w:left w:val="single" w:sz="4" w:space="0" w:color="auto"/>
              <w:bottom w:val="single" w:sz="4" w:space="0" w:color="auto"/>
              <w:right w:val="single" w:sz="4" w:space="0" w:color="auto"/>
            </w:tcBorders>
            <w:vAlign w:val="center"/>
            <w:hideMark/>
          </w:tcPr>
          <w:p w14:paraId="4C02F679" w14:textId="77777777" w:rsidR="00165514" w:rsidRPr="00FB6163" w:rsidRDefault="00165514" w:rsidP="00C047AD">
            <w:pPr>
              <w:spacing w:before="38" w:after="38" w:line="276" w:lineRule="auto"/>
              <w:jc w:val="center"/>
              <w:rPr>
                <w:sz w:val="20"/>
                <w:szCs w:val="20"/>
                <w:lang w:val="en-US"/>
              </w:rPr>
            </w:pPr>
            <w:r w:rsidRPr="00FB6163">
              <w:rPr>
                <w:sz w:val="20"/>
                <w:szCs w:val="20"/>
                <w:lang w:val="en-US"/>
              </w:rPr>
              <w:t>47.1 (85/180)</w:t>
            </w:r>
          </w:p>
        </w:tc>
        <w:tc>
          <w:tcPr>
            <w:tcW w:w="770" w:type="pct"/>
            <w:tcBorders>
              <w:top w:val="single" w:sz="4" w:space="0" w:color="auto"/>
              <w:left w:val="single" w:sz="4" w:space="0" w:color="auto"/>
              <w:bottom w:val="single" w:sz="4" w:space="0" w:color="auto"/>
              <w:right w:val="single" w:sz="4" w:space="0" w:color="auto"/>
            </w:tcBorders>
            <w:vAlign w:val="center"/>
            <w:hideMark/>
          </w:tcPr>
          <w:p w14:paraId="28B6518E" w14:textId="77777777" w:rsidR="00165514" w:rsidRPr="00FB6163" w:rsidRDefault="00165514" w:rsidP="00C047AD">
            <w:pPr>
              <w:spacing w:before="38" w:after="38" w:line="276" w:lineRule="auto"/>
              <w:jc w:val="center"/>
              <w:rPr>
                <w:sz w:val="20"/>
                <w:szCs w:val="20"/>
                <w:lang w:val="en-US"/>
              </w:rPr>
            </w:pPr>
            <w:r w:rsidRPr="00FB6163">
              <w:rPr>
                <w:sz w:val="20"/>
                <w:szCs w:val="20"/>
                <w:lang w:val="en-US"/>
              </w:rPr>
              <w:t>30.2 (55/184)</w:t>
            </w:r>
          </w:p>
        </w:tc>
        <w:tc>
          <w:tcPr>
            <w:tcW w:w="794" w:type="pct"/>
            <w:tcBorders>
              <w:top w:val="single" w:sz="4" w:space="0" w:color="auto"/>
              <w:left w:val="single" w:sz="4" w:space="0" w:color="auto"/>
              <w:bottom w:val="single" w:sz="4" w:space="0" w:color="auto"/>
              <w:right w:val="single" w:sz="4" w:space="0" w:color="auto"/>
            </w:tcBorders>
            <w:vAlign w:val="center"/>
            <w:hideMark/>
          </w:tcPr>
          <w:p w14:paraId="75638701" w14:textId="77777777" w:rsidR="00165514" w:rsidRPr="00FB6163" w:rsidRDefault="00165514" w:rsidP="00C047AD">
            <w:pPr>
              <w:spacing w:before="60" w:after="60"/>
              <w:jc w:val="center"/>
              <w:rPr>
                <w:rFonts w:eastAsiaTheme="minorHAnsi"/>
                <w:sz w:val="20"/>
                <w:szCs w:val="20"/>
              </w:rPr>
            </w:pPr>
            <w:r w:rsidRPr="00FB6163">
              <w:rPr>
                <w:sz w:val="20"/>
                <w:szCs w:val="20"/>
              </w:rPr>
              <w:t>47.8 (86/180)</w:t>
            </w:r>
          </w:p>
        </w:tc>
        <w:tc>
          <w:tcPr>
            <w:tcW w:w="771" w:type="pct"/>
            <w:tcBorders>
              <w:top w:val="single" w:sz="4" w:space="0" w:color="auto"/>
              <w:left w:val="single" w:sz="4" w:space="0" w:color="auto"/>
              <w:bottom w:val="single" w:sz="4" w:space="0" w:color="auto"/>
              <w:right w:val="single" w:sz="4" w:space="0" w:color="auto"/>
            </w:tcBorders>
            <w:vAlign w:val="center"/>
            <w:hideMark/>
          </w:tcPr>
          <w:p w14:paraId="063F2A14" w14:textId="77777777" w:rsidR="00165514" w:rsidRPr="00FB6163" w:rsidRDefault="00165514" w:rsidP="00C047AD">
            <w:pPr>
              <w:spacing w:before="60" w:after="60"/>
              <w:jc w:val="center"/>
              <w:rPr>
                <w:sz w:val="20"/>
                <w:szCs w:val="20"/>
              </w:rPr>
            </w:pPr>
            <w:r w:rsidRPr="00FB6163">
              <w:rPr>
                <w:sz w:val="20"/>
                <w:szCs w:val="20"/>
              </w:rPr>
              <w:t>31.5 (57/182)</w:t>
            </w:r>
          </w:p>
        </w:tc>
      </w:tr>
      <w:tr w:rsidR="00165514" w:rsidRPr="00FB6163" w14:paraId="4E8008F8" w14:textId="77777777" w:rsidTr="00C047AD">
        <w:trPr>
          <w:trHeight w:val="181"/>
        </w:trPr>
        <w:tc>
          <w:tcPr>
            <w:tcW w:w="1871" w:type="pct"/>
            <w:tcBorders>
              <w:top w:val="single" w:sz="4" w:space="0" w:color="auto"/>
              <w:left w:val="single" w:sz="4" w:space="0" w:color="auto"/>
              <w:bottom w:val="single" w:sz="4" w:space="0" w:color="auto"/>
              <w:right w:val="single" w:sz="4" w:space="0" w:color="auto"/>
            </w:tcBorders>
            <w:hideMark/>
          </w:tcPr>
          <w:p w14:paraId="21BB0787" w14:textId="77777777" w:rsidR="00165514" w:rsidRPr="00FB6163" w:rsidRDefault="00165514" w:rsidP="00C047AD">
            <w:pPr>
              <w:spacing w:before="60" w:after="60"/>
              <w:ind w:left="177"/>
              <w:rPr>
                <w:sz w:val="20"/>
                <w:szCs w:val="20"/>
              </w:rPr>
            </w:pPr>
            <w:r w:rsidRPr="00FB6163">
              <w:rPr>
                <w:sz w:val="20"/>
                <w:szCs w:val="20"/>
              </w:rPr>
              <w:t>Difference (95% CI)</w:t>
            </w:r>
          </w:p>
        </w:tc>
        <w:tc>
          <w:tcPr>
            <w:tcW w:w="1564" w:type="pct"/>
            <w:gridSpan w:val="2"/>
            <w:tcBorders>
              <w:top w:val="single" w:sz="4" w:space="0" w:color="auto"/>
              <w:left w:val="single" w:sz="4" w:space="0" w:color="auto"/>
              <w:bottom w:val="single" w:sz="4" w:space="0" w:color="auto"/>
              <w:right w:val="single" w:sz="4" w:space="0" w:color="auto"/>
            </w:tcBorders>
            <w:vAlign w:val="center"/>
            <w:hideMark/>
          </w:tcPr>
          <w:p w14:paraId="1F1C910C" w14:textId="77777777" w:rsidR="00165514" w:rsidRPr="00FB6163" w:rsidRDefault="00165514" w:rsidP="00C047AD">
            <w:pPr>
              <w:spacing w:before="60" w:after="60"/>
              <w:jc w:val="center"/>
              <w:rPr>
                <w:sz w:val="20"/>
                <w:szCs w:val="20"/>
              </w:rPr>
            </w:pPr>
            <w:r w:rsidRPr="00FB6163">
              <w:rPr>
                <w:sz w:val="20"/>
                <w:szCs w:val="20"/>
              </w:rPr>
              <w:t>17.0%* (7.2, 26.8)</w:t>
            </w:r>
          </w:p>
        </w:tc>
        <w:tc>
          <w:tcPr>
            <w:tcW w:w="1565" w:type="pct"/>
            <w:gridSpan w:val="2"/>
            <w:tcBorders>
              <w:top w:val="single" w:sz="4" w:space="0" w:color="auto"/>
              <w:left w:val="single" w:sz="4" w:space="0" w:color="auto"/>
              <w:bottom w:val="single" w:sz="4" w:space="0" w:color="auto"/>
              <w:right w:val="single" w:sz="4" w:space="0" w:color="auto"/>
            </w:tcBorders>
            <w:vAlign w:val="center"/>
            <w:hideMark/>
          </w:tcPr>
          <w:p w14:paraId="25F54C62" w14:textId="77777777" w:rsidR="00165514" w:rsidRPr="00FB6163" w:rsidRDefault="00165514" w:rsidP="00C047AD">
            <w:pPr>
              <w:spacing w:before="60" w:after="60"/>
              <w:jc w:val="center"/>
              <w:rPr>
                <w:sz w:val="20"/>
                <w:szCs w:val="20"/>
              </w:rPr>
            </w:pPr>
            <w:r w:rsidRPr="00FB6163">
              <w:rPr>
                <w:sz w:val="20"/>
                <w:szCs w:val="20"/>
              </w:rPr>
              <w:t>16.3%* (6.3, 26.3)</w:t>
            </w:r>
          </w:p>
        </w:tc>
      </w:tr>
      <w:tr w:rsidR="00165514" w:rsidRPr="00FB6163" w14:paraId="41AA45BD" w14:textId="77777777" w:rsidTr="00C047AD">
        <w:trPr>
          <w:trHeight w:val="172"/>
        </w:trPr>
        <w:tc>
          <w:tcPr>
            <w:tcW w:w="1871" w:type="pct"/>
            <w:tcBorders>
              <w:top w:val="nil"/>
              <w:left w:val="single" w:sz="4" w:space="0" w:color="auto"/>
              <w:bottom w:val="nil"/>
              <w:right w:val="single" w:sz="4" w:space="0" w:color="auto"/>
            </w:tcBorders>
            <w:hideMark/>
          </w:tcPr>
          <w:p w14:paraId="20E4E2DE" w14:textId="77777777" w:rsidR="00165514" w:rsidRPr="00FB6163" w:rsidRDefault="00165514" w:rsidP="00C047AD">
            <w:pPr>
              <w:keepNext/>
              <w:spacing w:before="60" w:after="60"/>
              <w:rPr>
                <w:sz w:val="20"/>
                <w:szCs w:val="20"/>
                <w:u w:val="single"/>
              </w:rPr>
            </w:pPr>
            <w:r w:rsidRPr="00FB6163">
              <w:rPr>
                <w:bCs/>
                <w:sz w:val="20"/>
                <w:szCs w:val="20"/>
                <w:u w:val="single"/>
              </w:rPr>
              <w:t>Components of BICLA response:</w:t>
            </w:r>
          </w:p>
        </w:tc>
        <w:tc>
          <w:tcPr>
            <w:tcW w:w="794" w:type="pct"/>
            <w:tcBorders>
              <w:top w:val="nil"/>
              <w:left w:val="single" w:sz="4" w:space="0" w:color="auto"/>
              <w:bottom w:val="nil"/>
              <w:right w:val="single" w:sz="4" w:space="0" w:color="auto"/>
            </w:tcBorders>
          </w:tcPr>
          <w:p w14:paraId="07E03126" w14:textId="77777777" w:rsidR="00165514" w:rsidRPr="00FB6163" w:rsidRDefault="00165514" w:rsidP="00C047AD">
            <w:pPr>
              <w:spacing w:before="38" w:after="38" w:line="276" w:lineRule="auto"/>
              <w:jc w:val="center"/>
              <w:rPr>
                <w:sz w:val="20"/>
                <w:szCs w:val="20"/>
                <w:lang w:val="en-US"/>
              </w:rPr>
            </w:pPr>
          </w:p>
        </w:tc>
        <w:tc>
          <w:tcPr>
            <w:tcW w:w="770" w:type="pct"/>
            <w:tcBorders>
              <w:top w:val="nil"/>
              <w:left w:val="single" w:sz="4" w:space="0" w:color="auto"/>
              <w:bottom w:val="nil"/>
              <w:right w:val="single" w:sz="4" w:space="0" w:color="auto"/>
            </w:tcBorders>
          </w:tcPr>
          <w:p w14:paraId="3ECA31C2" w14:textId="77777777" w:rsidR="00165514" w:rsidRPr="00FB6163" w:rsidRDefault="00165514" w:rsidP="00C047AD">
            <w:pPr>
              <w:spacing w:before="38" w:after="38" w:line="276" w:lineRule="auto"/>
              <w:jc w:val="center"/>
              <w:rPr>
                <w:sz w:val="20"/>
                <w:szCs w:val="20"/>
                <w:lang w:val="en-US"/>
              </w:rPr>
            </w:pPr>
          </w:p>
        </w:tc>
        <w:tc>
          <w:tcPr>
            <w:tcW w:w="794" w:type="pct"/>
            <w:tcBorders>
              <w:top w:val="nil"/>
              <w:left w:val="single" w:sz="4" w:space="0" w:color="auto"/>
              <w:bottom w:val="nil"/>
              <w:right w:val="single" w:sz="4" w:space="0" w:color="auto"/>
            </w:tcBorders>
            <w:vAlign w:val="center"/>
          </w:tcPr>
          <w:p w14:paraId="6DE3A6BB" w14:textId="77777777" w:rsidR="00165514" w:rsidRPr="00FB6163" w:rsidRDefault="00165514" w:rsidP="00C047AD">
            <w:pPr>
              <w:spacing w:before="60" w:after="60"/>
              <w:jc w:val="center"/>
              <w:rPr>
                <w:rFonts w:eastAsiaTheme="minorHAnsi"/>
                <w:sz w:val="20"/>
                <w:szCs w:val="20"/>
              </w:rPr>
            </w:pPr>
          </w:p>
        </w:tc>
        <w:tc>
          <w:tcPr>
            <w:tcW w:w="771" w:type="pct"/>
            <w:tcBorders>
              <w:top w:val="nil"/>
              <w:left w:val="single" w:sz="4" w:space="0" w:color="auto"/>
              <w:bottom w:val="nil"/>
              <w:right w:val="single" w:sz="4" w:space="0" w:color="auto"/>
            </w:tcBorders>
            <w:vAlign w:val="center"/>
          </w:tcPr>
          <w:p w14:paraId="51804A2B" w14:textId="77777777" w:rsidR="00165514" w:rsidRPr="00FB6163" w:rsidRDefault="00165514" w:rsidP="00C047AD">
            <w:pPr>
              <w:spacing w:before="60" w:after="60"/>
              <w:jc w:val="center"/>
              <w:rPr>
                <w:sz w:val="20"/>
                <w:szCs w:val="20"/>
              </w:rPr>
            </w:pPr>
          </w:p>
        </w:tc>
      </w:tr>
      <w:tr w:rsidR="00165514" w:rsidRPr="00FB6163" w14:paraId="46F28AD0" w14:textId="77777777" w:rsidTr="00C047AD">
        <w:trPr>
          <w:trHeight w:val="172"/>
        </w:trPr>
        <w:tc>
          <w:tcPr>
            <w:tcW w:w="1871" w:type="pct"/>
            <w:tcBorders>
              <w:top w:val="nil"/>
              <w:left w:val="single" w:sz="4" w:space="0" w:color="auto"/>
              <w:bottom w:val="nil"/>
              <w:right w:val="single" w:sz="4" w:space="0" w:color="auto"/>
            </w:tcBorders>
            <w:hideMark/>
          </w:tcPr>
          <w:p w14:paraId="3C422FA3" w14:textId="77777777" w:rsidR="00165514" w:rsidRPr="00FB6163" w:rsidRDefault="00165514" w:rsidP="00C047AD">
            <w:pPr>
              <w:spacing w:before="60" w:after="60"/>
              <w:rPr>
                <w:sz w:val="20"/>
                <w:szCs w:val="20"/>
              </w:rPr>
            </w:pPr>
            <w:r w:rsidRPr="00FB6163">
              <w:rPr>
                <w:sz w:val="20"/>
                <w:szCs w:val="20"/>
              </w:rPr>
              <w:t xml:space="preserve">BILAG improvement, n (%) </w:t>
            </w:r>
            <w:r w:rsidRPr="00FB6163">
              <w:rPr>
                <w:sz w:val="20"/>
                <w:szCs w:val="20"/>
                <w:vertAlign w:val="superscript"/>
              </w:rPr>
              <w:t>†</w:t>
            </w:r>
          </w:p>
        </w:tc>
        <w:tc>
          <w:tcPr>
            <w:tcW w:w="794" w:type="pct"/>
            <w:tcBorders>
              <w:top w:val="nil"/>
              <w:left w:val="single" w:sz="4" w:space="0" w:color="auto"/>
              <w:bottom w:val="nil"/>
              <w:right w:val="single" w:sz="4" w:space="0" w:color="auto"/>
            </w:tcBorders>
            <w:hideMark/>
          </w:tcPr>
          <w:p w14:paraId="522A6119" w14:textId="77777777" w:rsidR="00165514" w:rsidRPr="00FB6163" w:rsidRDefault="00165514" w:rsidP="00C047AD">
            <w:pPr>
              <w:spacing w:before="38" w:after="38" w:line="276" w:lineRule="auto"/>
              <w:jc w:val="center"/>
              <w:rPr>
                <w:sz w:val="20"/>
                <w:szCs w:val="20"/>
                <w:lang w:val="en-US"/>
              </w:rPr>
            </w:pPr>
            <w:r w:rsidRPr="00FB6163">
              <w:rPr>
                <w:sz w:val="20"/>
                <w:szCs w:val="20"/>
                <w:lang w:val="en-US"/>
              </w:rPr>
              <w:t>85 (47.2)</w:t>
            </w:r>
          </w:p>
        </w:tc>
        <w:tc>
          <w:tcPr>
            <w:tcW w:w="770" w:type="pct"/>
            <w:tcBorders>
              <w:top w:val="nil"/>
              <w:left w:val="single" w:sz="4" w:space="0" w:color="auto"/>
              <w:bottom w:val="nil"/>
              <w:right w:val="single" w:sz="4" w:space="0" w:color="auto"/>
            </w:tcBorders>
            <w:hideMark/>
          </w:tcPr>
          <w:p w14:paraId="3EDBD09A" w14:textId="77777777" w:rsidR="00165514" w:rsidRPr="00FB6163" w:rsidRDefault="00165514" w:rsidP="00C047AD">
            <w:pPr>
              <w:spacing w:before="38" w:after="38" w:line="276" w:lineRule="auto"/>
              <w:jc w:val="center"/>
              <w:rPr>
                <w:sz w:val="20"/>
                <w:szCs w:val="20"/>
                <w:lang w:val="en-US"/>
              </w:rPr>
            </w:pPr>
            <w:r w:rsidRPr="00FB6163">
              <w:rPr>
                <w:sz w:val="20"/>
                <w:szCs w:val="20"/>
                <w:lang w:val="en-US"/>
              </w:rPr>
              <w:t>58 (31.5)</w:t>
            </w:r>
          </w:p>
        </w:tc>
        <w:tc>
          <w:tcPr>
            <w:tcW w:w="794" w:type="pct"/>
            <w:tcBorders>
              <w:top w:val="nil"/>
              <w:left w:val="single" w:sz="4" w:space="0" w:color="auto"/>
              <w:bottom w:val="nil"/>
              <w:right w:val="single" w:sz="4" w:space="0" w:color="auto"/>
            </w:tcBorders>
            <w:hideMark/>
          </w:tcPr>
          <w:p w14:paraId="11DE7997" w14:textId="77777777" w:rsidR="00165514" w:rsidRPr="00FB6163" w:rsidRDefault="00165514" w:rsidP="00C047AD">
            <w:pPr>
              <w:spacing w:before="60" w:after="60"/>
              <w:jc w:val="center"/>
              <w:rPr>
                <w:rFonts w:eastAsiaTheme="minorHAnsi"/>
                <w:sz w:val="20"/>
                <w:szCs w:val="20"/>
              </w:rPr>
            </w:pPr>
            <w:r w:rsidRPr="00FB6163">
              <w:rPr>
                <w:sz w:val="20"/>
                <w:szCs w:val="20"/>
              </w:rPr>
              <w:t>88 (48.9)</w:t>
            </w:r>
          </w:p>
        </w:tc>
        <w:tc>
          <w:tcPr>
            <w:tcW w:w="771" w:type="pct"/>
            <w:tcBorders>
              <w:top w:val="nil"/>
              <w:left w:val="single" w:sz="4" w:space="0" w:color="auto"/>
              <w:bottom w:val="nil"/>
              <w:right w:val="single" w:sz="4" w:space="0" w:color="auto"/>
            </w:tcBorders>
            <w:hideMark/>
          </w:tcPr>
          <w:p w14:paraId="1EEB60F0" w14:textId="77777777" w:rsidR="00165514" w:rsidRPr="00FB6163" w:rsidRDefault="00165514" w:rsidP="00C047AD">
            <w:pPr>
              <w:spacing w:before="60" w:after="60"/>
              <w:jc w:val="center"/>
              <w:rPr>
                <w:sz w:val="20"/>
                <w:szCs w:val="20"/>
              </w:rPr>
            </w:pPr>
            <w:r w:rsidRPr="00FB6163">
              <w:rPr>
                <w:sz w:val="20"/>
                <w:szCs w:val="20"/>
              </w:rPr>
              <w:t>59 (32.4)</w:t>
            </w:r>
          </w:p>
        </w:tc>
      </w:tr>
      <w:tr w:rsidR="00165514" w:rsidRPr="00FB6163" w14:paraId="22AB1307" w14:textId="77777777" w:rsidTr="00C047AD">
        <w:trPr>
          <w:trHeight w:val="181"/>
        </w:trPr>
        <w:tc>
          <w:tcPr>
            <w:tcW w:w="1871" w:type="pct"/>
            <w:tcBorders>
              <w:top w:val="nil"/>
              <w:left w:val="single" w:sz="4" w:space="0" w:color="auto"/>
              <w:bottom w:val="nil"/>
              <w:right w:val="single" w:sz="4" w:space="0" w:color="auto"/>
            </w:tcBorders>
            <w:hideMark/>
          </w:tcPr>
          <w:p w14:paraId="61C42D2B" w14:textId="77777777" w:rsidR="00165514" w:rsidRPr="00FB6163" w:rsidRDefault="00165514" w:rsidP="00C047AD">
            <w:pPr>
              <w:spacing w:before="60" w:after="60"/>
              <w:rPr>
                <w:sz w:val="20"/>
                <w:szCs w:val="20"/>
              </w:rPr>
            </w:pPr>
            <w:r w:rsidRPr="00FB6163">
              <w:rPr>
                <w:sz w:val="20"/>
                <w:szCs w:val="20"/>
              </w:rPr>
              <w:t xml:space="preserve">No worsening of SLEDAI-2K, n (%) </w:t>
            </w:r>
            <w:r w:rsidRPr="00FB6163">
              <w:rPr>
                <w:sz w:val="20"/>
                <w:szCs w:val="20"/>
                <w:vertAlign w:val="superscript"/>
              </w:rPr>
              <w:t>†</w:t>
            </w:r>
          </w:p>
        </w:tc>
        <w:tc>
          <w:tcPr>
            <w:tcW w:w="794" w:type="pct"/>
            <w:tcBorders>
              <w:top w:val="nil"/>
              <w:left w:val="single" w:sz="4" w:space="0" w:color="auto"/>
              <w:bottom w:val="nil"/>
              <w:right w:val="single" w:sz="4" w:space="0" w:color="auto"/>
            </w:tcBorders>
            <w:hideMark/>
          </w:tcPr>
          <w:p w14:paraId="3E05C222" w14:textId="77777777" w:rsidR="00165514" w:rsidRPr="00FB6163" w:rsidRDefault="00165514" w:rsidP="00C047AD">
            <w:pPr>
              <w:spacing w:before="38" w:after="38" w:line="276" w:lineRule="auto"/>
              <w:jc w:val="center"/>
              <w:rPr>
                <w:sz w:val="20"/>
                <w:szCs w:val="20"/>
                <w:lang w:val="en-US"/>
              </w:rPr>
            </w:pPr>
            <w:r w:rsidRPr="00FB6163">
              <w:rPr>
                <w:sz w:val="20"/>
                <w:szCs w:val="20"/>
                <w:lang w:val="en-US"/>
              </w:rPr>
              <w:t>121 (67.2)</w:t>
            </w:r>
          </w:p>
        </w:tc>
        <w:tc>
          <w:tcPr>
            <w:tcW w:w="770" w:type="pct"/>
            <w:tcBorders>
              <w:top w:val="nil"/>
              <w:left w:val="single" w:sz="4" w:space="0" w:color="auto"/>
              <w:bottom w:val="nil"/>
              <w:right w:val="single" w:sz="4" w:space="0" w:color="auto"/>
            </w:tcBorders>
            <w:hideMark/>
          </w:tcPr>
          <w:p w14:paraId="7DF56153" w14:textId="77777777" w:rsidR="00165514" w:rsidRPr="00FB6163" w:rsidRDefault="00165514" w:rsidP="00C047AD">
            <w:pPr>
              <w:spacing w:before="38" w:after="38" w:line="276" w:lineRule="auto"/>
              <w:jc w:val="center"/>
              <w:rPr>
                <w:rFonts w:eastAsiaTheme="minorEastAsia"/>
                <w:sz w:val="20"/>
                <w:szCs w:val="20"/>
                <w:lang w:val="en-US"/>
              </w:rPr>
            </w:pPr>
            <w:r w:rsidRPr="00FB6163">
              <w:rPr>
                <w:rFonts w:eastAsiaTheme="minorEastAsia"/>
                <w:sz w:val="20"/>
                <w:szCs w:val="20"/>
                <w:lang w:val="en-US"/>
              </w:rPr>
              <w:t>104 (56.5)</w:t>
            </w:r>
          </w:p>
        </w:tc>
        <w:tc>
          <w:tcPr>
            <w:tcW w:w="794" w:type="pct"/>
            <w:tcBorders>
              <w:top w:val="nil"/>
              <w:left w:val="single" w:sz="4" w:space="0" w:color="auto"/>
              <w:bottom w:val="nil"/>
              <w:right w:val="single" w:sz="4" w:space="0" w:color="auto"/>
            </w:tcBorders>
            <w:hideMark/>
          </w:tcPr>
          <w:p w14:paraId="49A3983A" w14:textId="77777777" w:rsidR="00165514" w:rsidRPr="00FB6163" w:rsidRDefault="00165514" w:rsidP="00C047AD">
            <w:pPr>
              <w:spacing w:before="60" w:after="60"/>
              <w:jc w:val="center"/>
              <w:rPr>
                <w:rFonts w:eastAsiaTheme="minorHAnsi"/>
                <w:sz w:val="20"/>
                <w:szCs w:val="20"/>
              </w:rPr>
            </w:pPr>
            <w:r w:rsidRPr="00FB6163">
              <w:rPr>
                <w:sz w:val="20"/>
                <w:szCs w:val="20"/>
              </w:rPr>
              <w:t>122 (67.8)</w:t>
            </w:r>
          </w:p>
        </w:tc>
        <w:tc>
          <w:tcPr>
            <w:tcW w:w="771" w:type="pct"/>
            <w:tcBorders>
              <w:top w:val="nil"/>
              <w:left w:val="single" w:sz="4" w:space="0" w:color="auto"/>
              <w:bottom w:val="nil"/>
              <w:right w:val="single" w:sz="4" w:space="0" w:color="auto"/>
            </w:tcBorders>
            <w:hideMark/>
          </w:tcPr>
          <w:p w14:paraId="2413B247" w14:textId="77777777" w:rsidR="00165514" w:rsidRPr="00FB6163" w:rsidRDefault="00165514" w:rsidP="00C047AD">
            <w:pPr>
              <w:spacing w:before="60" w:after="60"/>
              <w:jc w:val="center"/>
              <w:rPr>
                <w:sz w:val="20"/>
                <w:szCs w:val="20"/>
              </w:rPr>
            </w:pPr>
            <w:r w:rsidRPr="00FB6163">
              <w:rPr>
                <w:sz w:val="20"/>
                <w:szCs w:val="20"/>
              </w:rPr>
              <w:t>94 (51.6)</w:t>
            </w:r>
          </w:p>
        </w:tc>
      </w:tr>
      <w:tr w:rsidR="00165514" w:rsidRPr="00FB6163" w14:paraId="169D1C98" w14:textId="77777777" w:rsidTr="00C047AD">
        <w:trPr>
          <w:trHeight w:val="172"/>
        </w:trPr>
        <w:tc>
          <w:tcPr>
            <w:tcW w:w="1871" w:type="pct"/>
            <w:tcBorders>
              <w:top w:val="nil"/>
              <w:left w:val="single" w:sz="4" w:space="0" w:color="auto"/>
              <w:bottom w:val="nil"/>
              <w:right w:val="single" w:sz="4" w:space="0" w:color="auto"/>
            </w:tcBorders>
            <w:hideMark/>
          </w:tcPr>
          <w:p w14:paraId="1805C717" w14:textId="77777777" w:rsidR="00165514" w:rsidRPr="00FB6163" w:rsidRDefault="00165514" w:rsidP="00C047AD">
            <w:pPr>
              <w:spacing w:before="60" w:after="60"/>
              <w:rPr>
                <w:sz w:val="20"/>
                <w:szCs w:val="20"/>
              </w:rPr>
            </w:pPr>
            <w:r w:rsidRPr="00FB6163">
              <w:rPr>
                <w:sz w:val="20"/>
                <w:szCs w:val="20"/>
              </w:rPr>
              <w:t xml:space="preserve">No worsening of PGA, n (%) </w:t>
            </w:r>
            <w:r w:rsidRPr="00FB6163">
              <w:rPr>
                <w:sz w:val="20"/>
                <w:szCs w:val="20"/>
                <w:vertAlign w:val="superscript"/>
              </w:rPr>
              <w:t>†</w:t>
            </w:r>
          </w:p>
        </w:tc>
        <w:tc>
          <w:tcPr>
            <w:tcW w:w="794" w:type="pct"/>
            <w:tcBorders>
              <w:top w:val="nil"/>
              <w:left w:val="single" w:sz="4" w:space="0" w:color="auto"/>
              <w:bottom w:val="nil"/>
              <w:right w:val="single" w:sz="4" w:space="0" w:color="auto"/>
            </w:tcBorders>
            <w:hideMark/>
          </w:tcPr>
          <w:p w14:paraId="30B38523" w14:textId="77777777" w:rsidR="00165514" w:rsidRPr="00FB6163" w:rsidRDefault="00165514" w:rsidP="00C047AD">
            <w:pPr>
              <w:spacing w:before="38" w:after="38" w:line="276" w:lineRule="auto"/>
              <w:jc w:val="center"/>
              <w:rPr>
                <w:sz w:val="20"/>
                <w:szCs w:val="20"/>
                <w:lang w:val="en-US"/>
              </w:rPr>
            </w:pPr>
            <w:r w:rsidRPr="00FB6163">
              <w:rPr>
                <w:sz w:val="20"/>
                <w:szCs w:val="20"/>
                <w:lang w:val="en-US"/>
              </w:rPr>
              <w:t>117 (65.0)</w:t>
            </w:r>
          </w:p>
        </w:tc>
        <w:tc>
          <w:tcPr>
            <w:tcW w:w="770" w:type="pct"/>
            <w:tcBorders>
              <w:top w:val="nil"/>
              <w:left w:val="single" w:sz="4" w:space="0" w:color="auto"/>
              <w:bottom w:val="nil"/>
              <w:right w:val="single" w:sz="4" w:space="0" w:color="auto"/>
            </w:tcBorders>
            <w:hideMark/>
          </w:tcPr>
          <w:p w14:paraId="72076A00" w14:textId="77777777" w:rsidR="00165514" w:rsidRPr="00FB6163" w:rsidRDefault="00165514" w:rsidP="00C047AD">
            <w:pPr>
              <w:spacing w:before="38" w:after="38" w:line="276" w:lineRule="auto"/>
              <w:jc w:val="center"/>
              <w:rPr>
                <w:sz w:val="20"/>
                <w:szCs w:val="20"/>
                <w:lang w:val="en-US"/>
              </w:rPr>
            </w:pPr>
            <w:r w:rsidRPr="00FB6163">
              <w:rPr>
                <w:sz w:val="20"/>
                <w:szCs w:val="20"/>
                <w:lang w:val="en-US"/>
              </w:rPr>
              <w:t>105 (57.1)</w:t>
            </w:r>
          </w:p>
        </w:tc>
        <w:tc>
          <w:tcPr>
            <w:tcW w:w="794" w:type="pct"/>
            <w:tcBorders>
              <w:top w:val="nil"/>
              <w:left w:val="single" w:sz="4" w:space="0" w:color="auto"/>
              <w:bottom w:val="nil"/>
              <w:right w:val="single" w:sz="4" w:space="0" w:color="auto"/>
            </w:tcBorders>
            <w:hideMark/>
          </w:tcPr>
          <w:p w14:paraId="217A7D7C" w14:textId="77777777" w:rsidR="00165514" w:rsidRPr="00FB6163" w:rsidRDefault="00165514" w:rsidP="00C047AD">
            <w:pPr>
              <w:spacing w:before="60" w:after="60"/>
              <w:jc w:val="center"/>
              <w:rPr>
                <w:rFonts w:eastAsiaTheme="minorHAnsi"/>
                <w:sz w:val="20"/>
                <w:szCs w:val="20"/>
              </w:rPr>
            </w:pPr>
            <w:r w:rsidRPr="00FB6163">
              <w:rPr>
                <w:sz w:val="20"/>
                <w:szCs w:val="20"/>
              </w:rPr>
              <w:t>122 (67.8)</w:t>
            </w:r>
          </w:p>
        </w:tc>
        <w:tc>
          <w:tcPr>
            <w:tcW w:w="771" w:type="pct"/>
            <w:tcBorders>
              <w:top w:val="nil"/>
              <w:left w:val="single" w:sz="4" w:space="0" w:color="auto"/>
              <w:bottom w:val="nil"/>
              <w:right w:val="single" w:sz="4" w:space="0" w:color="auto"/>
            </w:tcBorders>
            <w:hideMark/>
          </w:tcPr>
          <w:p w14:paraId="732CBEB5" w14:textId="77777777" w:rsidR="00165514" w:rsidRPr="00FB6163" w:rsidRDefault="00165514" w:rsidP="00C047AD">
            <w:pPr>
              <w:spacing w:before="60" w:after="60"/>
              <w:jc w:val="center"/>
              <w:rPr>
                <w:sz w:val="20"/>
                <w:szCs w:val="20"/>
              </w:rPr>
            </w:pPr>
            <w:r w:rsidRPr="00FB6163">
              <w:rPr>
                <w:sz w:val="20"/>
                <w:szCs w:val="20"/>
              </w:rPr>
              <w:t>95 (52.2)</w:t>
            </w:r>
          </w:p>
        </w:tc>
      </w:tr>
      <w:tr w:rsidR="00165514" w:rsidRPr="00FB6163" w14:paraId="7BF67FAC" w14:textId="77777777" w:rsidTr="00C047AD">
        <w:trPr>
          <w:trHeight w:val="172"/>
        </w:trPr>
        <w:tc>
          <w:tcPr>
            <w:tcW w:w="1871" w:type="pct"/>
            <w:tcBorders>
              <w:top w:val="nil"/>
              <w:left w:val="single" w:sz="4" w:space="0" w:color="auto"/>
              <w:bottom w:val="nil"/>
              <w:right w:val="single" w:sz="4" w:space="0" w:color="auto"/>
            </w:tcBorders>
            <w:shd w:val="clear" w:color="auto" w:fill="FFFFFF"/>
            <w:hideMark/>
          </w:tcPr>
          <w:p w14:paraId="245EA9FE" w14:textId="77777777" w:rsidR="00165514" w:rsidRPr="00FB6163" w:rsidRDefault="00165514" w:rsidP="00C047AD">
            <w:pPr>
              <w:spacing w:before="60" w:after="60"/>
              <w:rPr>
                <w:sz w:val="20"/>
                <w:szCs w:val="20"/>
              </w:rPr>
            </w:pPr>
            <w:bookmarkStart w:id="61" w:name="_Hlk66453125"/>
            <w:r w:rsidRPr="00FB6163">
              <w:rPr>
                <w:color w:val="000000"/>
                <w:sz w:val="20"/>
                <w:szCs w:val="20"/>
              </w:rPr>
              <w:t>No discontinuation of treatment, n (%)</w:t>
            </w:r>
          </w:p>
        </w:tc>
        <w:tc>
          <w:tcPr>
            <w:tcW w:w="794" w:type="pct"/>
            <w:tcBorders>
              <w:top w:val="nil"/>
              <w:left w:val="single" w:sz="4" w:space="0" w:color="auto"/>
              <w:bottom w:val="nil"/>
              <w:right w:val="single" w:sz="4" w:space="0" w:color="auto"/>
            </w:tcBorders>
            <w:hideMark/>
          </w:tcPr>
          <w:p w14:paraId="5EAC46A5" w14:textId="77777777" w:rsidR="00165514" w:rsidRPr="00FB6163" w:rsidRDefault="00165514" w:rsidP="00C047AD">
            <w:pPr>
              <w:spacing w:before="38" w:after="38" w:line="276" w:lineRule="auto"/>
              <w:jc w:val="center"/>
              <w:rPr>
                <w:sz w:val="20"/>
                <w:szCs w:val="20"/>
                <w:highlight w:val="yellow"/>
                <w:lang w:val="en-US"/>
              </w:rPr>
            </w:pPr>
            <w:r w:rsidRPr="00FB6163">
              <w:rPr>
                <w:sz w:val="20"/>
                <w:szCs w:val="20"/>
                <w:lang w:val="en-US"/>
              </w:rPr>
              <w:t>145 (80.6)</w:t>
            </w:r>
          </w:p>
        </w:tc>
        <w:tc>
          <w:tcPr>
            <w:tcW w:w="770" w:type="pct"/>
            <w:tcBorders>
              <w:top w:val="nil"/>
              <w:left w:val="single" w:sz="4" w:space="0" w:color="auto"/>
              <w:bottom w:val="nil"/>
              <w:right w:val="single" w:sz="4" w:space="0" w:color="auto"/>
            </w:tcBorders>
            <w:hideMark/>
          </w:tcPr>
          <w:p w14:paraId="121F0BD3" w14:textId="77777777" w:rsidR="00165514" w:rsidRPr="00FB6163" w:rsidRDefault="00165514" w:rsidP="00C047AD">
            <w:pPr>
              <w:spacing w:before="38" w:after="38" w:line="276" w:lineRule="auto"/>
              <w:jc w:val="center"/>
              <w:rPr>
                <w:sz w:val="20"/>
                <w:szCs w:val="20"/>
                <w:highlight w:val="yellow"/>
                <w:lang w:val="en-US"/>
              </w:rPr>
            </w:pPr>
            <w:r w:rsidRPr="00FB6163">
              <w:rPr>
                <w:sz w:val="20"/>
                <w:szCs w:val="20"/>
                <w:lang w:val="en-US"/>
              </w:rPr>
              <w:t>146 (79.3)</w:t>
            </w:r>
          </w:p>
        </w:tc>
        <w:tc>
          <w:tcPr>
            <w:tcW w:w="794" w:type="pct"/>
            <w:tcBorders>
              <w:top w:val="nil"/>
              <w:left w:val="single" w:sz="4" w:space="0" w:color="auto"/>
              <w:bottom w:val="nil"/>
              <w:right w:val="single" w:sz="4" w:space="0" w:color="auto"/>
            </w:tcBorders>
            <w:shd w:val="clear" w:color="auto" w:fill="FFFFFF"/>
            <w:hideMark/>
          </w:tcPr>
          <w:p w14:paraId="4C1555FF" w14:textId="77777777" w:rsidR="00165514" w:rsidRPr="00FB6163" w:rsidRDefault="00165514" w:rsidP="00C047AD">
            <w:pPr>
              <w:spacing w:before="60" w:after="60"/>
              <w:jc w:val="center"/>
              <w:rPr>
                <w:rFonts w:eastAsiaTheme="minorHAnsi"/>
                <w:sz w:val="20"/>
                <w:szCs w:val="20"/>
              </w:rPr>
            </w:pPr>
            <w:r w:rsidRPr="00FB6163">
              <w:rPr>
                <w:sz w:val="20"/>
                <w:szCs w:val="20"/>
              </w:rPr>
              <w:t>153 (85.0)</w:t>
            </w:r>
          </w:p>
        </w:tc>
        <w:tc>
          <w:tcPr>
            <w:tcW w:w="771" w:type="pct"/>
            <w:tcBorders>
              <w:top w:val="nil"/>
              <w:left w:val="single" w:sz="4" w:space="0" w:color="auto"/>
              <w:bottom w:val="nil"/>
              <w:right w:val="single" w:sz="4" w:space="0" w:color="auto"/>
            </w:tcBorders>
            <w:shd w:val="clear" w:color="auto" w:fill="FFFFFF"/>
            <w:hideMark/>
          </w:tcPr>
          <w:p w14:paraId="69910840" w14:textId="77777777" w:rsidR="00165514" w:rsidRPr="00FB6163" w:rsidRDefault="00165514" w:rsidP="00C047AD">
            <w:pPr>
              <w:spacing w:before="60" w:after="60"/>
              <w:jc w:val="center"/>
              <w:rPr>
                <w:sz w:val="20"/>
                <w:szCs w:val="20"/>
              </w:rPr>
            </w:pPr>
            <w:r w:rsidRPr="00FB6163">
              <w:rPr>
                <w:sz w:val="20"/>
                <w:szCs w:val="20"/>
              </w:rPr>
              <w:t>130 (71.4)</w:t>
            </w:r>
          </w:p>
        </w:tc>
      </w:tr>
      <w:bookmarkEnd w:id="61"/>
      <w:tr w:rsidR="00165514" w:rsidRPr="00FB6163" w14:paraId="2D96D268" w14:textId="77777777" w:rsidTr="00C047AD">
        <w:trPr>
          <w:trHeight w:val="181"/>
        </w:trPr>
        <w:tc>
          <w:tcPr>
            <w:tcW w:w="1871" w:type="pct"/>
            <w:tcBorders>
              <w:top w:val="nil"/>
              <w:left w:val="single" w:sz="4" w:space="0" w:color="auto"/>
              <w:bottom w:val="single" w:sz="4" w:space="0" w:color="auto"/>
              <w:right w:val="single" w:sz="4" w:space="0" w:color="auto"/>
            </w:tcBorders>
            <w:shd w:val="clear" w:color="auto" w:fill="FFFFFF"/>
            <w:hideMark/>
          </w:tcPr>
          <w:p w14:paraId="3A8CF66D" w14:textId="77777777" w:rsidR="00165514" w:rsidRPr="00FB6163" w:rsidRDefault="00165514" w:rsidP="00C047AD">
            <w:pPr>
              <w:spacing w:before="60" w:after="60"/>
              <w:rPr>
                <w:sz w:val="20"/>
                <w:szCs w:val="20"/>
              </w:rPr>
            </w:pPr>
            <w:r w:rsidRPr="00FB6163">
              <w:rPr>
                <w:color w:val="000000"/>
                <w:sz w:val="20"/>
                <w:szCs w:val="20"/>
              </w:rPr>
              <w:t>No use of restricted medication beyond protocol allowed threshold, n (%)</w:t>
            </w:r>
          </w:p>
        </w:tc>
        <w:tc>
          <w:tcPr>
            <w:tcW w:w="794" w:type="pct"/>
            <w:tcBorders>
              <w:top w:val="nil"/>
              <w:left w:val="single" w:sz="4" w:space="0" w:color="auto"/>
              <w:bottom w:val="single" w:sz="4" w:space="0" w:color="auto"/>
              <w:right w:val="single" w:sz="4" w:space="0" w:color="auto"/>
            </w:tcBorders>
            <w:hideMark/>
          </w:tcPr>
          <w:p w14:paraId="4CD680B3" w14:textId="77777777" w:rsidR="00165514" w:rsidRPr="00FB6163" w:rsidRDefault="00165514" w:rsidP="00C047AD">
            <w:pPr>
              <w:spacing w:before="38" w:after="38" w:line="276" w:lineRule="auto"/>
              <w:jc w:val="center"/>
              <w:rPr>
                <w:sz w:val="20"/>
                <w:szCs w:val="20"/>
                <w:lang w:val="en-US"/>
              </w:rPr>
            </w:pPr>
            <w:r w:rsidRPr="00FB6163">
              <w:rPr>
                <w:sz w:val="20"/>
                <w:szCs w:val="20"/>
                <w:lang w:val="en-US"/>
              </w:rPr>
              <w:t>140 (77.8)</w:t>
            </w:r>
          </w:p>
        </w:tc>
        <w:tc>
          <w:tcPr>
            <w:tcW w:w="770" w:type="pct"/>
            <w:tcBorders>
              <w:top w:val="nil"/>
              <w:left w:val="single" w:sz="4" w:space="0" w:color="auto"/>
              <w:bottom w:val="single" w:sz="4" w:space="0" w:color="auto"/>
              <w:right w:val="single" w:sz="4" w:space="0" w:color="auto"/>
            </w:tcBorders>
            <w:hideMark/>
          </w:tcPr>
          <w:p w14:paraId="5C142958" w14:textId="77777777" w:rsidR="00165514" w:rsidRPr="00FB6163" w:rsidRDefault="00165514" w:rsidP="00C047AD">
            <w:pPr>
              <w:spacing w:before="38" w:after="38" w:line="276" w:lineRule="auto"/>
              <w:jc w:val="center"/>
              <w:rPr>
                <w:sz w:val="20"/>
                <w:szCs w:val="20"/>
                <w:lang w:val="en-US"/>
              </w:rPr>
            </w:pPr>
            <w:r w:rsidRPr="00FB6163">
              <w:rPr>
                <w:sz w:val="20"/>
                <w:szCs w:val="20"/>
                <w:lang w:val="en-US"/>
              </w:rPr>
              <w:t>128 (69.6)</w:t>
            </w:r>
          </w:p>
        </w:tc>
        <w:tc>
          <w:tcPr>
            <w:tcW w:w="794" w:type="pct"/>
            <w:tcBorders>
              <w:top w:val="nil"/>
              <w:left w:val="single" w:sz="4" w:space="0" w:color="auto"/>
              <w:bottom w:val="single" w:sz="4" w:space="0" w:color="auto"/>
              <w:right w:val="single" w:sz="4" w:space="0" w:color="auto"/>
            </w:tcBorders>
            <w:shd w:val="clear" w:color="auto" w:fill="FFFFFF"/>
            <w:hideMark/>
          </w:tcPr>
          <w:p w14:paraId="0C82F867" w14:textId="77777777" w:rsidR="00165514" w:rsidRPr="00FB6163" w:rsidRDefault="00165514" w:rsidP="00C047AD">
            <w:pPr>
              <w:keepNext/>
              <w:spacing w:before="60" w:after="60"/>
              <w:jc w:val="center"/>
              <w:rPr>
                <w:rFonts w:eastAsiaTheme="minorHAnsi"/>
                <w:sz w:val="20"/>
                <w:szCs w:val="20"/>
              </w:rPr>
            </w:pPr>
            <w:r w:rsidRPr="00FB6163">
              <w:rPr>
                <w:sz w:val="20"/>
                <w:szCs w:val="20"/>
              </w:rPr>
              <w:t>144 (80.0)</w:t>
            </w:r>
          </w:p>
        </w:tc>
        <w:tc>
          <w:tcPr>
            <w:tcW w:w="771" w:type="pct"/>
            <w:tcBorders>
              <w:top w:val="nil"/>
              <w:left w:val="single" w:sz="4" w:space="0" w:color="auto"/>
              <w:bottom w:val="single" w:sz="4" w:space="0" w:color="auto"/>
              <w:right w:val="single" w:sz="4" w:space="0" w:color="auto"/>
            </w:tcBorders>
            <w:shd w:val="clear" w:color="auto" w:fill="FFFFFF"/>
            <w:hideMark/>
          </w:tcPr>
          <w:p w14:paraId="17803C52" w14:textId="77777777" w:rsidR="00165514" w:rsidRPr="00FB6163" w:rsidRDefault="00165514" w:rsidP="00C047AD">
            <w:pPr>
              <w:keepNext/>
              <w:spacing w:before="60" w:after="60"/>
              <w:jc w:val="center"/>
              <w:rPr>
                <w:sz w:val="20"/>
                <w:szCs w:val="20"/>
              </w:rPr>
            </w:pPr>
            <w:r w:rsidRPr="00FB6163">
              <w:rPr>
                <w:sz w:val="20"/>
                <w:szCs w:val="20"/>
              </w:rPr>
              <w:t>123 (67.6)</w:t>
            </w:r>
          </w:p>
        </w:tc>
        <w:bookmarkEnd w:id="60"/>
      </w:tr>
      <w:tr w:rsidR="00165514" w:rsidRPr="00FB6163" w14:paraId="7F1A3DEC" w14:textId="77777777" w:rsidTr="00C047AD">
        <w:trPr>
          <w:trHeight w:val="172"/>
        </w:trPr>
        <w:tc>
          <w:tcPr>
            <w:tcW w:w="5000" w:type="pct"/>
            <w:gridSpan w:val="5"/>
            <w:tcBorders>
              <w:top w:val="single" w:sz="4" w:space="0" w:color="auto"/>
              <w:left w:val="single" w:sz="4" w:space="0" w:color="auto"/>
              <w:bottom w:val="single" w:sz="4" w:space="0" w:color="auto"/>
              <w:right w:val="single" w:sz="4" w:space="0" w:color="auto"/>
            </w:tcBorders>
            <w:hideMark/>
          </w:tcPr>
          <w:p w14:paraId="0E12B79A" w14:textId="77777777" w:rsidR="00165514" w:rsidRPr="00FB6163" w:rsidRDefault="00165514" w:rsidP="00C047AD">
            <w:pPr>
              <w:keepNext/>
              <w:spacing w:before="60" w:after="60"/>
              <w:rPr>
                <w:b/>
                <w:sz w:val="20"/>
                <w:szCs w:val="20"/>
              </w:rPr>
            </w:pPr>
            <w:r w:rsidRPr="00FB6163">
              <w:rPr>
                <w:b/>
                <w:sz w:val="20"/>
                <w:szCs w:val="20"/>
              </w:rPr>
              <w:t xml:space="preserve">SRI-4 response </w:t>
            </w:r>
          </w:p>
        </w:tc>
      </w:tr>
      <w:tr w:rsidR="00165514" w:rsidRPr="00FB6163" w14:paraId="31DBEA44" w14:textId="77777777" w:rsidTr="00C047AD">
        <w:trPr>
          <w:trHeight w:val="172"/>
        </w:trPr>
        <w:tc>
          <w:tcPr>
            <w:tcW w:w="1871" w:type="pct"/>
            <w:tcBorders>
              <w:top w:val="single" w:sz="4" w:space="0" w:color="auto"/>
              <w:left w:val="single" w:sz="4" w:space="0" w:color="auto"/>
              <w:bottom w:val="single" w:sz="4" w:space="0" w:color="auto"/>
              <w:right w:val="single" w:sz="4" w:space="0" w:color="auto"/>
            </w:tcBorders>
            <w:hideMark/>
          </w:tcPr>
          <w:p w14:paraId="2CC682AB" w14:textId="77777777" w:rsidR="00165514" w:rsidRPr="00FB6163" w:rsidRDefault="00165514" w:rsidP="00C047AD">
            <w:pPr>
              <w:spacing w:before="60" w:after="60"/>
              <w:ind w:left="177"/>
              <w:rPr>
                <w:sz w:val="20"/>
                <w:szCs w:val="20"/>
              </w:rPr>
            </w:pPr>
            <w:r w:rsidRPr="00FB6163">
              <w:rPr>
                <w:sz w:val="20"/>
                <w:szCs w:val="20"/>
              </w:rPr>
              <w:t>Responder rate, % (n/N)</w:t>
            </w:r>
            <w:r w:rsidRPr="00FB6163">
              <w:rPr>
                <w:b/>
                <w:sz w:val="20"/>
                <w:szCs w:val="20"/>
                <w:vertAlign w:val="superscript"/>
              </w:rPr>
              <w:t xml:space="preserve"> †</w:t>
            </w:r>
          </w:p>
        </w:tc>
        <w:tc>
          <w:tcPr>
            <w:tcW w:w="794" w:type="pct"/>
            <w:tcBorders>
              <w:top w:val="single" w:sz="4" w:space="0" w:color="auto"/>
              <w:left w:val="single" w:sz="4" w:space="0" w:color="auto"/>
              <w:bottom w:val="single" w:sz="2" w:space="0" w:color="auto"/>
              <w:right w:val="single" w:sz="4" w:space="0" w:color="auto"/>
            </w:tcBorders>
            <w:hideMark/>
          </w:tcPr>
          <w:p w14:paraId="568F9E61" w14:textId="77777777" w:rsidR="00165514" w:rsidRPr="00FB6163" w:rsidRDefault="00165514" w:rsidP="00C047AD">
            <w:pPr>
              <w:spacing w:before="38" w:after="38" w:line="276" w:lineRule="auto"/>
              <w:jc w:val="center"/>
              <w:rPr>
                <w:sz w:val="20"/>
                <w:szCs w:val="20"/>
                <w:lang w:val="en-US"/>
              </w:rPr>
            </w:pPr>
            <w:r w:rsidRPr="00FB6163">
              <w:rPr>
                <w:sz w:val="20"/>
                <w:szCs w:val="20"/>
                <w:lang w:val="en-US"/>
              </w:rPr>
              <w:t>49.0 (88/180)</w:t>
            </w:r>
          </w:p>
        </w:tc>
        <w:tc>
          <w:tcPr>
            <w:tcW w:w="770" w:type="pct"/>
            <w:tcBorders>
              <w:top w:val="single" w:sz="4" w:space="0" w:color="auto"/>
              <w:left w:val="single" w:sz="4" w:space="0" w:color="auto"/>
              <w:bottom w:val="single" w:sz="4" w:space="0" w:color="auto"/>
              <w:right w:val="single" w:sz="4" w:space="0" w:color="auto"/>
            </w:tcBorders>
            <w:hideMark/>
          </w:tcPr>
          <w:p w14:paraId="5EBBDB49" w14:textId="77777777" w:rsidR="00165514" w:rsidRPr="00FB6163" w:rsidRDefault="00165514" w:rsidP="00C047AD">
            <w:pPr>
              <w:spacing w:before="38" w:after="38" w:line="276" w:lineRule="auto"/>
              <w:jc w:val="center"/>
              <w:rPr>
                <w:sz w:val="20"/>
                <w:szCs w:val="20"/>
                <w:lang w:val="en-US"/>
              </w:rPr>
            </w:pPr>
            <w:r w:rsidRPr="00FB6163">
              <w:rPr>
                <w:sz w:val="20"/>
                <w:szCs w:val="20"/>
                <w:lang w:val="en-US"/>
              </w:rPr>
              <w:t>43.0 (79/184)</w:t>
            </w:r>
          </w:p>
        </w:tc>
        <w:tc>
          <w:tcPr>
            <w:tcW w:w="794" w:type="pct"/>
            <w:tcBorders>
              <w:top w:val="single" w:sz="4" w:space="0" w:color="auto"/>
              <w:left w:val="single" w:sz="4" w:space="0" w:color="auto"/>
              <w:bottom w:val="single" w:sz="4" w:space="0" w:color="auto"/>
              <w:right w:val="single" w:sz="4" w:space="0" w:color="auto"/>
            </w:tcBorders>
            <w:hideMark/>
          </w:tcPr>
          <w:p w14:paraId="67D85682" w14:textId="77777777" w:rsidR="00165514" w:rsidRPr="00FB6163" w:rsidRDefault="00165514" w:rsidP="00C047AD">
            <w:pPr>
              <w:spacing w:before="38" w:after="38" w:line="276" w:lineRule="auto"/>
              <w:jc w:val="center"/>
              <w:rPr>
                <w:sz w:val="20"/>
                <w:szCs w:val="20"/>
                <w:lang w:val="en-US"/>
              </w:rPr>
            </w:pPr>
            <w:r w:rsidRPr="00FB6163">
              <w:rPr>
                <w:sz w:val="20"/>
                <w:szCs w:val="20"/>
                <w:lang w:val="en-US"/>
              </w:rPr>
              <w:t>55.5 (100/180)</w:t>
            </w:r>
          </w:p>
        </w:tc>
        <w:tc>
          <w:tcPr>
            <w:tcW w:w="771" w:type="pct"/>
            <w:tcBorders>
              <w:top w:val="single" w:sz="4" w:space="0" w:color="auto"/>
              <w:left w:val="single" w:sz="4" w:space="0" w:color="auto"/>
              <w:bottom w:val="single" w:sz="4" w:space="0" w:color="auto"/>
              <w:right w:val="single" w:sz="4" w:space="0" w:color="auto"/>
            </w:tcBorders>
            <w:hideMark/>
          </w:tcPr>
          <w:p w14:paraId="717BB501" w14:textId="77777777" w:rsidR="00165514" w:rsidRPr="00FB6163" w:rsidRDefault="00165514" w:rsidP="00C047AD">
            <w:pPr>
              <w:spacing w:before="38" w:after="38" w:line="276" w:lineRule="auto"/>
              <w:jc w:val="center"/>
              <w:rPr>
                <w:sz w:val="20"/>
                <w:szCs w:val="20"/>
                <w:lang w:val="en-US"/>
              </w:rPr>
            </w:pPr>
            <w:r w:rsidRPr="00FB6163">
              <w:rPr>
                <w:sz w:val="20"/>
                <w:szCs w:val="20"/>
                <w:lang w:val="en-US"/>
              </w:rPr>
              <w:t>37.3 (68/182)</w:t>
            </w:r>
          </w:p>
        </w:tc>
      </w:tr>
      <w:tr w:rsidR="00165514" w:rsidRPr="00FB6163" w14:paraId="13924CA4" w14:textId="77777777" w:rsidTr="00C047AD">
        <w:trPr>
          <w:trHeight w:val="181"/>
        </w:trPr>
        <w:tc>
          <w:tcPr>
            <w:tcW w:w="1871" w:type="pct"/>
            <w:tcBorders>
              <w:top w:val="single" w:sz="4" w:space="0" w:color="auto"/>
              <w:left w:val="single" w:sz="4" w:space="0" w:color="auto"/>
              <w:bottom w:val="single" w:sz="4" w:space="0" w:color="auto"/>
              <w:right w:val="single" w:sz="4" w:space="0" w:color="auto"/>
            </w:tcBorders>
            <w:hideMark/>
          </w:tcPr>
          <w:p w14:paraId="5CB6F2C4" w14:textId="77777777" w:rsidR="00165514" w:rsidRPr="00FB6163" w:rsidRDefault="00165514" w:rsidP="00C047AD">
            <w:pPr>
              <w:spacing w:before="60" w:after="60"/>
              <w:ind w:left="177"/>
              <w:rPr>
                <w:rFonts w:eastAsiaTheme="minorHAnsi"/>
                <w:sz w:val="20"/>
                <w:szCs w:val="20"/>
              </w:rPr>
            </w:pPr>
            <w:r w:rsidRPr="00FB6163">
              <w:rPr>
                <w:sz w:val="20"/>
                <w:szCs w:val="20"/>
              </w:rPr>
              <w:t>Difference (95% CI)</w:t>
            </w:r>
          </w:p>
        </w:tc>
        <w:tc>
          <w:tcPr>
            <w:tcW w:w="1564" w:type="pct"/>
            <w:gridSpan w:val="2"/>
            <w:tcBorders>
              <w:top w:val="single" w:sz="4" w:space="0" w:color="auto"/>
              <w:left w:val="single" w:sz="4" w:space="0" w:color="auto"/>
              <w:bottom w:val="single" w:sz="4" w:space="0" w:color="auto"/>
              <w:right w:val="single" w:sz="4" w:space="0" w:color="auto"/>
            </w:tcBorders>
            <w:hideMark/>
          </w:tcPr>
          <w:p w14:paraId="718C2EA7" w14:textId="77777777" w:rsidR="00165514" w:rsidRPr="00FB6163" w:rsidRDefault="00165514" w:rsidP="00C047AD">
            <w:pPr>
              <w:spacing w:before="60" w:after="60"/>
              <w:jc w:val="center"/>
              <w:rPr>
                <w:sz w:val="20"/>
                <w:szCs w:val="20"/>
              </w:rPr>
            </w:pPr>
            <w:r w:rsidRPr="00FB6163">
              <w:rPr>
                <w:sz w:val="20"/>
                <w:szCs w:val="20"/>
              </w:rPr>
              <w:t>6.0 (-4.2, 16.2)</w:t>
            </w:r>
          </w:p>
        </w:tc>
        <w:tc>
          <w:tcPr>
            <w:tcW w:w="1565" w:type="pct"/>
            <w:gridSpan w:val="2"/>
            <w:tcBorders>
              <w:top w:val="single" w:sz="4" w:space="0" w:color="auto"/>
              <w:left w:val="single" w:sz="4" w:space="0" w:color="auto"/>
              <w:bottom w:val="single" w:sz="4" w:space="0" w:color="auto"/>
              <w:right w:val="single" w:sz="4" w:space="0" w:color="auto"/>
            </w:tcBorders>
            <w:hideMark/>
          </w:tcPr>
          <w:p w14:paraId="29E6BAA0" w14:textId="77777777" w:rsidR="00165514" w:rsidRPr="00FB6163" w:rsidRDefault="00165514" w:rsidP="00C047AD">
            <w:pPr>
              <w:spacing w:before="60" w:after="60"/>
              <w:jc w:val="center"/>
              <w:rPr>
                <w:sz w:val="20"/>
                <w:szCs w:val="20"/>
              </w:rPr>
            </w:pPr>
            <w:r w:rsidRPr="00FB6163">
              <w:rPr>
                <w:sz w:val="20"/>
                <w:szCs w:val="20"/>
              </w:rPr>
              <w:t>18.2* (8.1, 28.3)</w:t>
            </w:r>
          </w:p>
        </w:tc>
      </w:tr>
      <w:tr w:rsidR="00165514" w:rsidRPr="00FB6163" w14:paraId="165F27C4" w14:textId="77777777" w:rsidTr="00C047AD">
        <w:trPr>
          <w:trHeight w:val="172"/>
        </w:trPr>
        <w:tc>
          <w:tcPr>
            <w:tcW w:w="5000" w:type="pct"/>
            <w:gridSpan w:val="5"/>
            <w:tcBorders>
              <w:top w:val="nil"/>
              <w:left w:val="single" w:sz="4" w:space="0" w:color="auto"/>
              <w:bottom w:val="single" w:sz="4" w:space="0" w:color="auto"/>
              <w:right w:val="single" w:sz="4" w:space="0" w:color="auto"/>
            </w:tcBorders>
            <w:shd w:val="clear" w:color="auto" w:fill="FFFFFF"/>
            <w:hideMark/>
          </w:tcPr>
          <w:p w14:paraId="6E92F21D" w14:textId="77777777" w:rsidR="00165514" w:rsidRPr="00FB6163" w:rsidRDefault="00165514" w:rsidP="00C047AD">
            <w:pPr>
              <w:keepNext/>
              <w:spacing w:before="60" w:after="60"/>
              <w:rPr>
                <w:sz w:val="20"/>
                <w:szCs w:val="20"/>
              </w:rPr>
            </w:pPr>
            <w:r w:rsidRPr="00FB6163">
              <w:rPr>
                <w:b/>
                <w:sz w:val="20"/>
                <w:szCs w:val="20"/>
              </w:rPr>
              <w:t xml:space="preserve">Sustained OCS reduction </w:t>
            </w:r>
            <w:r w:rsidRPr="00FB6163">
              <w:rPr>
                <w:b/>
                <w:sz w:val="20"/>
                <w:szCs w:val="20"/>
                <w:vertAlign w:val="superscript"/>
              </w:rPr>
              <w:t>1</w:t>
            </w:r>
          </w:p>
        </w:tc>
      </w:tr>
      <w:tr w:rsidR="00165514" w:rsidRPr="00FB6163" w14:paraId="3CC32801" w14:textId="77777777" w:rsidTr="00C047AD">
        <w:trPr>
          <w:trHeight w:val="212"/>
        </w:trPr>
        <w:tc>
          <w:tcPr>
            <w:tcW w:w="1871" w:type="pct"/>
            <w:tcBorders>
              <w:top w:val="single" w:sz="4" w:space="0" w:color="auto"/>
              <w:left w:val="single" w:sz="4" w:space="0" w:color="auto"/>
              <w:bottom w:val="single" w:sz="4" w:space="0" w:color="auto"/>
              <w:right w:val="single" w:sz="4" w:space="0" w:color="auto"/>
            </w:tcBorders>
            <w:hideMark/>
          </w:tcPr>
          <w:p w14:paraId="5B854CF6" w14:textId="77777777" w:rsidR="00165514" w:rsidRPr="00FB6163" w:rsidRDefault="00165514" w:rsidP="00C047AD">
            <w:pPr>
              <w:keepNext/>
              <w:spacing w:before="60" w:after="60" w:line="276" w:lineRule="auto"/>
              <w:ind w:left="172"/>
              <w:rPr>
                <w:sz w:val="20"/>
                <w:szCs w:val="20"/>
              </w:rPr>
            </w:pPr>
            <w:r w:rsidRPr="00FB6163">
              <w:rPr>
                <w:sz w:val="20"/>
                <w:szCs w:val="20"/>
              </w:rPr>
              <w:t>Responder rate, % (n/N)</w:t>
            </w:r>
            <w:r w:rsidRPr="00FB6163">
              <w:rPr>
                <w:b/>
                <w:sz w:val="20"/>
                <w:szCs w:val="20"/>
                <w:vertAlign w:val="superscript"/>
              </w:rPr>
              <w:t xml:space="preserve"> †</w:t>
            </w:r>
          </w:p>
        </w:tc>
        <w:tc>
          <w:tcPr>
            <w:tcW w:w="794" w:type="pct"/>
            <w:tcBorders>
              <w:top w:val="single" w:sz="4" w:space="0" w:color="auto"/>
              <w:left w:val="single" w:sz="4" w:space="0" w:color="auto"/>
              <w:bottom w:val="single" w:sz="4" w:space="0" w:color="auto"/>
              <w:right w:val="single" w:sz="4" w:space="0" w:color="auto"/>
            </w:tcBorders>
            <w:vAlign w:val="center"/>
            <w:hideMark/>
          </w:tcPr>
          <w:p w14:paraId="23E67381" w14:textId="77777777" w:rsidR="00165514" w:rsidRPr="00FB6163" w:rsidRDefault="00165514" w:rsidP="00C047AD">
            <w:pPr>
              <w:keepNext/>
              <w:spacing w:before="60" w:after="60" w:line="276" w:lineRule="auto"/>
              <w:jc w:val="center"/>
              <w:rPr>
                <w:sz w:val="20"/>
                <w:szCs w:val="20"/>
              </w:rPr>
            </w:pPr>
            <w:r w:rsidRPr="00FB6163">
              <w:rPr>
                <w:sz w:val="20"/>
                <w:szCs w:val="20"/>
                <w:lang w:val="en-US"/>
              </w:rPr>
              <w:t>49.7 (51/103)</w:t>
            </w:r>
          </w:p>
        </w:tc>
        <w:tc>
          <w:tcPr>
            <w:tcW w:w="770" w:type="pct"/>
            <w:tcBorders>
              <w:top w:val="single" w:sz="4" w:space="0" w:color="auto"/>
              <w:left w:val="single" w:sz="4" w:space="0" w:color="auto"/>
              <w:bottom w:val="single" w:sz="4" w:space="0" w:color="auto"/>
              <w:right w:val="single" w:sz="4" w:space="0" w:color="auto"/>
            </w:tcBorders>
            <w:vAlign w:val="center"/>
            <w:hideMark/>
          </w:tcPr>
          <w:p w14:paraId="5AE9D22F" w14:textId="77777777" w:rsidR="00165514" w:rsidRPr="00FB6163" w:rsidRDefault="00165514" w:rsidP="00C047AD">
            <w:pPr>
              <w:keepNext/>
              <w:spacing w:before="60" w:after="60" w:line="276" w:lineRule="auto"/>
              <w:jc w:val="center"/>
              <w:rPr>
                <w:sz w:val="20"/>
                <w:szCs w:val="20"/>
              </w:rPr>
            </w:pPr>
            <w:r w:rsidRPr="00FB6163">
              <w:rPr>
                <w:sz w:val="20"/>
                <w:szCs w:val="20"/>
                <w:lang w:val="en-US"/>
              </w:rPr>
              <w:t>33.1 (34/102)</w:t>
            </w:r>
          </w:p>
        </w:tc>
        <w:tc>
          <w:tcPr>
            <w:tcW w:w="794" w:type="pct"/>
            <w:tcBorders>
              <w:top w:val="single" w:sz="4" w:space="0" w:color="auto"/>
              <w:left w:val="single" w:sz="4" w:space="0" w:color="auto"/>
              <w:bottom w:val="single" w:sz="4" w:space="0" w:color="auto"/>
              <w:right w:val="single" w:sz="4" w:space="0" w:color="auto"/>
            </w:tcBorders>
            <w:vAlign w:val="center"/>
            <w:hideMark/>
          </w:tcPr>
          <w:p w14:paraId="5731495D" w14:textId="77777777" w:rsidR="00165514" w:rsidRPr="00FB6163" w:rsidRDefault="00165514" w:rsidP="00C047AD">
            <w:pPr>
              <w:keepNext/>
              <w:spacing w:before="60" w:after="60" w:line="276" w:lineRule="auto"/>
              <w:jc w:val="center"/>
              <w:rPr>
                <w:sz w:val="20"/>
                <w:szCs w:val="20"/>
              </w:rPr>
            </w:pPr>
            <w:r w:rsidRPr="00FB6163">
              <w:rPr>
                <w:sz w:val="20"/>
                <w:szCs w:val="20"/>
              </w:rPr>
              <w:t>51.5% (45/87)</w:t>
            </w:r>
          </w:p>
        </w:tc>
        <w:tc>
          <w:tcPr>
            <w:tcW w:w="771" w:type="pct"/>
            <w:tcBorders>
              <w:top w:val="single" w:sz="4" w:space="0" w:color="auto"/>
              <w:left w:val="single" w:sz="4" w:space="0" w:color="auto"/>
              <w:bottom w:val="single" w:sz="4" w:space="0" w:color="auto"/>
              <w:right w:val="single" w:sz="4" w:space="0" w:color="auto"/>
            </w:tcBorders>
            <w:vAlign w:val="center"/>
            <w:hideMark/>
          </w:tcPr>
          <w:p w14:paraId="18D84B08" w14:textId="77777777" w:rsidR="00165514" w:rsidRPr="00FB6163" w:rsidRDefault="00165514" w:rsidP="00C047AD">
            <w:pPr>
              <w:keepNext/>
              <w:spacing w:before="60" w:after="60" w:line="276" w:lineRule="auto"/>
              <w:jc w:val="center"/>
              <w:rPr>
                <w:sz w:val="20"/>
                <w:szCs w:val="20"/>
              </w:rPr>
            </w:pPr>
            <w:r w:rsidRPr="00FB6163">
              <w:rPr>
                <w:sz w:val="20"/>
                <w:szCs w:val="20"/>
              </w:rPr>
              <w:t>30.2% (25/83)</w:t>
            </w:r>
          </w:p>
        </w:tc>
      </w:tr>
      <w:tr w:rsidR="00165514" w:rsidRPr="00FB6163" w14:paraId="34EDB3B2" w14:textId="77777777" w:rsidTr="00C047AD">
        <w:trPr>
          <w:trHeight w:val="190"/>
        </w:trPr>
        <w:tc>
          <w:tcPr>
            <w:tcW w:w="1871" w:type="pct"/>
            <w:tcBorders>
              <w:top w:val="single" w:sz="4" w:space="0" w:color="auto"/>
              <w:left w:val="single" w:sz="4" w:space="0" w:color="auto"/>
              <w:bottom w:val="single" w:sz="4" w:space="0" w:color="auto"/>
              <w:right w:val="single" w:sz="4" w:space="0" w:color="auto"/>
            </w:tcBorders>
            <w:hideMark/>
          </w:tcPr>
          <w:p w14:paraId="25E28DC0" w14:textId="77777777" w:rsidR="00165514" w:rsidRPr="00FB6163" w:rsidRDefault="00165514" w:rsidP="00C047AD">
            <w:pPr>
              <w:spacing w:before="60" w:after="60" w:line="276" w:lineRule="auto"/>
              <w:ind w:left="172"/>
              <w:rPr>
                <w:sz w:val="20"/>
                <w:szCs w:val="20"/>
              </w:rPr>
            </w:pPr>
            <w:r w:rsidRPr="00FB6163">
              <w:rPr>
                <w:sz w:val="20"/>
                <w:szCs w:val="20"/>
              </w:rPr>
              <w:t>Difference (95% CI)</w:t>
            </w:r>
          </w:p>
        </w:tc>
        <w:tc>
          <w:tcPr>
            <w:tcW w:w="1564" w:type="pct"/>
            <w:gridSpan w:val="2"/>
            <w:tcBorders>
              <w:top w:val="single" w:sz="4" w:space="0" w:color="auto"/>
              <w:left w:val="single" w:sz="4" w:space="0" w:color="auto"/>
              <w:bottom w:val="single" w:sz="4" w:space="0" w:color="auto"/>
              <w:right w:val="single" w:sz="4" w:space="0" w:color="auto"/>
            </w:tcBorders>
            <w:vAlign w:val="center"/>
            <w:hideMark/>
          </w:tcPr>
          <w:p w14:paraId="7F64BAFD" w14:textId="77777777" w:rsidR="00165514" w:rsidRPr="00FB6163" w:rsidRDefault="00165514" w:rsidP="00C047AD">
            <w:pPr>
              <w:tabs>
                <w:tab w:val="center" w:pos="1543"/>
                <w:tab w:val="left" w:pos="2207"/>
              </w:tabs>
              <w:spacing w:before="60" w:after="60" w:line="276" w:lineRule="auto"/>
              <w:jc w:val="center"/>
              <w:rPr>
                <w:sz w:val="20"/>
                <w:szCs w:val="20"/>
              </w:rPr>
            </w:pPr>
            <w:r w:rsidRPr="00FB6163">
              <w:rPr>
                <w:sz w:val="20"/>
                <w:szCs w:val="20"/>
              </w:rPr>
              <w:t>16.6* (3.4, 29.8)</w:t>
            </w:r>
          </w:p>
        </w:tc>
        <w:tc>
          <w:tcPr>
            <w:tcW w:w="1565" w:type="pct"/>
            <w:gridSpan w:val="2"/>
            <w:tcBorders>
              <w:top w:val="single" w:sz="4" w:space="0" w:color="auto"/>
              <w:left w:val="single" w:sz="4" w:space="0" w:color="auto"/>
              <w:bottom w:val="single" w:sz="4" w:space="0" w:color="auto"/>
              <w:right w:val="single" w:sz="4" w:space="0" w:color="auto"/>
            </w:tcBorders>
            <w:vAlign w:val="center"/>
            <w:hideMark/>
          </w:tcPr>
          <w:p w14:paraId="56667D9C" w14:textId="77777777" w:rsidR="00165514" w:rsidRPr="00FB6163" w:rsidRDefault="00165514" w:rsidP="00C047AD">
            <w:pPr>
              <w:spacing w:before="60" w:after="60" w:line="276" w:lineRule="auto"/>
              <w:jc w:val="center"/>
              <w:rPr>
                <w:sz w:val="20"/>
                <w:szCs w:val="20"/>
              </w:rPr>
            </w:pPr>
            <w:r w:rsidRPr="00FB6163">
              <w:rPr>
                <w:sz w:val="20"/>
                <w:szCs w:val="20"/>
              </w:rPr>
              <w:t>21.2%* (6.8, 35.7)</w:t>
            </w:r>
          </w:p>
        </w:tc>
      </w:tr>
      <w:tr w:rsidR="00165514" w:rsidRPr="00FB6163" w14:paraId="6F47FE1C" w14:textId="77777777" w:rsidTr="00C047AD">
        <w:trPr>
          <w:trHeight w:val="190"/>
        </w:trPr>
        <w:tc>
          <w:tcPr>
            <w:tcW w:w="5000" w:type="pct"/>
            <w:gridSpan w:val="5"/>
            <w:tcBorders>
              <w:top w:val="single" w:sz="4" w:space="0" w:color="auto"/>
              <w:left w:val="single" w:sz="4" w:space="0" w:color="auto"/>
              <w:bottom w:val="single" w:sz="4" w:space="0" w:color="auto"/>
              <w:right w:val="single" w:sz="4" w:space="0" w:color="auto"/>
            </w:tcBorders>
            <w:hideMark/>
          </w:tcPr>
          <w:p w14:paraId="1E138E54" w14:textId="77777777" w:rsidR="00165514" w:rsidRPr="00FB6163" w:rsidRDefault="00165514" w:rsidP="00C047AD">
            <w:pPr>
              <w:spacing w:before="60" w:after="60" w:line="276" w:lineRule="auto"/>
              <w:rPr>
                <w:sz w:val="20"/>
                <w:szCs w:val="20"/>
              </w:rPr>
            </w:pPr>
            <w:r w:rsidRPr="00FB6163">
              <w:rPr>
                <w:b/>
                <w:sz w:val="20"/>
                <w:szCs w:val="20"/>
              </w:rPr>
              <w:t xml:space="preserve">Reduction in cutaneous SLE activity (CLASI score) </w:t>
            </w:r>
            <w:r w:rsidRPr="00FB6163">
              <w:rPr>
                <w:b/>
                <w:sz w:val="20"/>
                <w:szCs w:val="20"/>
                <w:vertAlign w:val="superscript"/>
              </w:rPr>
              <w:t>2</w:t>
            </w:r>
          </w:p>
        </w:tc>
      </w:tr>
      <w:tr w:rsidR="00165514" w:rsidRPr="00FB6163" w14:paraId="7D620623" w14:textId="77777777" w:rsidTr="00C047AD">
        <w:trPr>
          <w:trHeight w:val="190"/>
        </w:trPr>
        <w:tc>
          <w:tcPr>
            <w:tcW w:w="1871" w:type="pct"/>
            <w:tcBorders>
              <w:top w:val="single" w:sz="4" w:space="0" w:color="auto"/>
              <w:left w:val="single" w:sz="4" w:space="0" w:color="auto"/>
              <w:bottom w:val="single" w:sz="4" w:space="0" w:color="auto"/>
              <w:right w:val="single" w:sz="4" w:space="0" w:color="auto"/>
            </w:tcBorders>
            <w:hideMark/>
          </w:tcPr>
          <w:p w14:paraId="37EC70F5" w14:textId="77777777" w:rsidR="00165514" w:rsidRPr="00FB6163" w:rsidRDefault="00165514" w:rsidP="00C047AD">
            <w:pPr>
              <w:spacing w:before="60" w:after="60" w:line="276" w:lineRule="auto"/>
              <w:ind w:left="172"/>
              <w:rPr>
                <w:sz w:val="20"/>
                <w:szCs w:val="20"/>
              </w:rPr>
            </w:pPr>
            <w:r w:rsidRPr="00FB6163">
              <w:rPr>
                <w:sz w:val="20"/>
                <w:szCs w:val="20"/>
              </w:rPr>
              <w:t>Responder rate, % (n/N)</w:t>
            </w:r>
            <w:r w:rsidRPr="00FB6163">
              <w:rPr>
                <w:b/>
                <w:sz w:val="20"/>
                <w:szCs w:val="20"/>
                <w:vertAlign w:val="superscript"/>
              </w:rPr>
              <w:t xml:space="preserve"> †</w:t>
            </w:r>
          </w:p>
        </w:tc>
        <w:tc>
          <w:tcPr>
            <w:tcW w:w="794" w:type="pct"/>
            <w:tcBorders>
              <w:top w:val="single" w:sz="4" w:space="0" w:color="auto"/>
              <w:left w:val="single" w:sz="4" w:space="0" w:color="auto"/>
              <w:bottom w:val="single" w:sz="4" w:space="0" w:color="auto"/>
              <w:right w:val="single" w:sz="4" w:space="0" w:color="auto"/>
            </w:tcBorders>
            <w:vAlign w:val="center"/>
            <w:hideMark/>
          </w:tcPr>
          <w:p w14:paraId="04B6395B" w14:textId="77777777" w:rsidR="00165514" w:rsidRPr="00FB6163" w:rsidRDefault="00165514" w:rsidP="00C047AD">
            <w:pPr>
              <w:spacing w:before="60" w:after="60" w:line="276" w:lineRule="auto"/>
              <w:jc w:val="center"/>
              <w:rPr>
                <w:sz w:val="20"/>
                <w:szCs w:val="20"/>
              </w:rPr>
            </w:pPr>
            <w:r w:rsidRPr="00FB6163">
              <w:rPr>
                <w:sz w:val="20"/>
                <w:szCs w:val="20"/>
                <w:lang w:val="en-US"/>
              </w:rPr>
              <w:t>43.6 (25/58)</w:t>
            </w:r>
          </w:p>
        </w:tc>
        <w:tc>
          <w:tcPr>
            <w:tcW w:w="770" w:type="pct"/>
            <w:tcBorders>
              <w:top w:val="single" w:sz="4" w:space="0" w:color="auto"/>
              <w:left w:val="single" w:sz="4" w:space="0" w:color="auto"/>
              <w:bottom w:val="single" w:sz="4" w:space="0" w:color="auto"/>
              <w:right w:val="single" w:sz="4" w:space="0" w:color="auto"/>
            </w:tcBorders>
            <w:vAlign w:val="center"/>
            <w:hideMark/>
          </w:tcPr>
          <w:p w14:paraId="5DC2FD12" w14:textId="77777777" w:rsidR="00165514" w:rsidRPr="00FB6163" w:rsidRDefault="00165514" w:rsidP="00C047AD">
            <w:pPr>
              <w:spacing w:before="60" w:after="60" w:line="276" w:lineRule="auto"/>
              <w:jc w:val="center"/>
              <w:rPr>
                <w:sz w:val="20"/>
                <w:szCs w:val="20"/>
              </w:rPr>
            </w:pPr>
            <w:r w:rsidRPr="00FB6163">
              <w:rPr>
                <w:sz w:val="20"/>
                <w:szCs w:val="20"/>
                <w:lang w:val="en-US"/>
              </w:rPr>
              <w:t>24.9 (14/54)</w:t>
            </w:r>
          </w:p>
        </w:tc>
        <w:tc>
          <w:tcPr>
            <w:tcW w:w="794" w:type="pct"/>
            <w:tcBorders>
              <w:top w:val="single" w:sz="4" w:space="0" w:color="auto"/>
              <w:left w:val="single" w:sz="4" w:space="0" w:color="auto"/>
              <w:bottom w:val="single" w:sz="4" w:space="0" w:color="auto"/>
              <w:right w:val="single" w:sz="4" w:space="0" w:color="auto"/>
            </w:tcBorders>
            <w:vAlign w:val="center"/>
            <w:hideMark/>
          </w:tcPr>
          <w:p w14:paraId="1C739167" w14:textId="77777777" w:rsidR="00165514" w:rsidRPr="00FB6163" w:rsidRDefault="00165514" w:rsidP="00C047AD">
            <w:pPr>
              <w:spacing w:before="60" w:after="60" w:line="276" w:lineRule="auto"/>
              <w:jc w:val="center"/>
              <w:rPr>
                <w:sz w:val="20"/>
                <w:szCs w:val="20"/>
              </w:rPr>
            </w:pPr>
            <w:r w:rsidRPr="00FB6163">
              <w:rPr>
                <w:sz w:val="20"/>
                <w:szCs w:val="20"/>
              </w:rPr>
              <w:t>49.0% (24/49)</w:t>
            </w:r>
          </w:p>
        </w:tc>
        <w:tc>
          <w:tcPr>
            <w:tcW w:w="771" w:type="pct"/>
            <w:tcBorders>
              <w:top w:val="single" w:sz="4" w:space="0" w:color="auto"/>
              <w:left w:val="single" w:sz="4" w:space="0" w:color="auto"/>
              <w:bottom w:val="single" w:sz="4" w:space="0" w:color="auto"/>
              <w:right w:val="single" w:sz="4" w:space="0" w:color="auto"/>
            </w:tcBorders>
            <w:vAlign w:val="center"/>
            <w:hideMark/>
          </w:tcPr>
          <w:p w14:paraId="189DEB8C" w14:textId="77777777" w:rsidR="00165514" w:rsidRPr="00FB6163" w:rsidRDefault="00165514" w:rsidP="00C047AD">
            <w:pPr>
              <w:spacing w:before="60" w:after="60" w:line="276" w:lineRule="auto"/>
              <w:jc w:val="center"/>
              <w:rPr>
                <w:sz w:val="20"/>
                <w:szCs w:val="20"/>
              </w:rPr>
            </w:pPr>
            <w:r w:rsidRPr="00FB6163">
              <w:rPr>
                <w:sz w:val="20"/>
                <w:szCs w:val="20"/>
              </w:rPr>
              <w:t>25.0% (10/40)</w:t>
            </w:r>
          </w:p>
        </w:tc>
      </w:tr>
      <w:tr w:rsidR="00165514" w:rsidRPr="00FB6163" w14:paraId="36BADC6B" w14:textId="77777777" w:rsidTr="00C047AD">
        <w:trPr>
          <w:trHeight w:val="190"/>
        </w:trPr>
        <w:tc>
          <w:tcPr>
            <w:tcW w:w="1871" w:type="pct"/>
            <w:tcBorders>
              <w:top w:val="single" w:sz="4" w:space="0" w:color="auto"/>
              <w:left w:val="single" w:sz="4" w:space="0" w:color="auto"/>
              <w:bottom w:val="single" w:sz="4" w:space="0" w:color="auto"/>
              <w:right w:val="single" w:sz="4" w:space="0" w:color="auto"/>
            </w:tcBorders>
            <w:hideMark/>
          </w:tcPr>
          <w:p w14:paraId="34927A55" w14:textId="77777777" w:rsidR="00165514" w:rsidRPr="00FB6163" w:rsidRDefault="00165514" w:rsidP="00C047AD">
            <w:pPr>
              <w:spacing w:before="60" w:after="60" w:line="276" w:lineRule="auto"/>
              <w:ind w:left="172"/>
              <w:rPr>
                <w:sz w:val="20"/>
                <w:szCs w:val="20"/>
              </w:rPr>
            </w:pPr>
            <w:r w:rsidRPr="00FB6163">
              <w:rPr>
                <w:sz w:val="20"/>
                <w:szCs w:val="20"/>
              </w:rPr>
              <w:t>Difference (95% CI)</w:t>
            </w:r>
          </w:p>
        </w:tc>
        <w:tc>
          <w:tcPr>
            <w:tcW w:w="1564" w:type="pct"/>
            <w:gridSpan w:val="2"/>
            <w:tcBorders>
              <w:top w:val="single" w:sz="4" w:space="0" w:color="auto"/>
              <w:left w:val="single" w:sz="4" w:space="0" w:color="auto"/>
              <w:bottom w:val="single" w:sz="4" w:space="0" w:color="auto"/>
              <w:right w:val="single" w:sz="4" w:space="0" w:color="auto"/>
            </w:tcBorders>
            <w:vAlign w:val="center"/>
            <w:hideMark/>
          </w:tcPr>
          <w:p w14:paraId="726BCE0A" w14:textId="77777777" w:rsidR="00165514" w:rsidRPr="00FB6163" w:rsidRDefault="00165514" w:rsidP="00C047AD">
            <w:pPr>
              <w:spacing w:before="60" w:after="60" w:line="276" w:lineRule="auto"/>
              <w:jc w:val="center"/>
              <w:rPr>
                <w:sz w:val="20"/>
                <w:szCs w:val="20"/>
              </w:rPr>
            </w:pPr>
            <w:r w:rsidRPr="00FB6163">
              <w:rPr>
                <w:sz w:val="20"/>
                <w:szCs w:val="20"/>
              </w:rPr>
              <w:t>18.7%* (1.4, 36.0)</w:t>
            </w:r>
          </w:p>
        </w:tc>
        <w:tc>
          <w:tcPr>
            <w:tcW w:w="1565" w:type="pct"/>
            <w:gridSpan w:val="2"/>
            <w:tcBorders>
              <w:top w:val="single" w:sz="4" w:space="0" w:color="auto"/>
              <w:left w:val="single" w:sz="4" w:space="0" w:color="auto"/>
              <w:bottom w:val="single" w:sz="4" w:space="0" w:color="auto"/>
              <w:right w:val="single" w:sz="4" w:space="0" w:color="auto"/>
            </w:tcBorders>
            <w:vAlign w:val="center"/>
            <w:hideMark/>
          </w:tcPr>
          <w:p w14:paraId="2CCC5A8F" w14:textId="77777777" w:rsidR="00165514" w:rsidRPr="00FB6163" w:rsidRDefault="00165514" w:rsidP="00C047AD">
            <w:pPr>
              <w:spacing w:before="60" w:after="60" w:line="276" w:lineRule="auto"/>
              <w:jc w:val="center"/>
              <w:rPr>
                <w:sz w:val="20"/>
                <w:szCs w:val="20"/>
              </w:rPr>
            </w:pPr>
            <w:r w:rsidRPr="00FB6163">
              <w:rPr>
                <w:sz w:val="20"/>
                <w:szCs w:val="20"/>
              </w:rPr>
              <w:t>24.0%* (4.3, 43.6)</w:t>
            </w:r>
          </w:p>
        </w:tc>
      </w:tr>
      <w:tr w:rsidR="00165514" w:rsidRPr="00FB6163" w14:paraId="4CF0A956" w14:textId="77777777" w:rsidTr="00C047AD">
        <w:trPr>
          <w:trHeight w:val="190"/>
        </w:trPr>
        <w:tc>
          <w:tcPr>
            <w:tcW w:w="5000" w:type="pct"/>
            <w:gridSpan w:val="5"/>
            <w:tcBorders>
              <w:top w:val="single" w:sz="4" w:space="0" w:color="auto"/>
              <w:left w:val="single" w:sz="4" w:space="0" w:color="auto"/>
              <w:bottom w:val="single" w:sz="4" w:space="0" w:color="auto"/>
              <w:right w:val="single" w:sz="4" w:space="0" w:color="auto"/>
            </w:tcBorders>
            <w:hideMark/>
          </w:tcPr>
          <w:p w14:paraId="39A6BEC0" w14:textId="77777777" w:rsidR="00165514" w:rsidRPr="00FB6163" w:rsidRDefault="00165514" w:rsidP="00C047AD">
            <w:pPr>
              <w:spacing w:before="60" w:after="60" w:line="276" w:lineRule="auto"/>
              <w:rPr>
                <w:rFonts w:eastAsia="TimesNewRoman"/>
                <w:sz w:val="20"/>
                <w:szCs w:val="20"/>
              </w:rPr>
            </w:pPr>
            <w:r w:rsidRPr="00FB6163">
              <w:rPr>
                <w:b/>
                <w:sz w:val="20"/>
                <w:szCs w:val="20"/>
              </w:rPr>
              <w:t>Flare rate</w:t>
            </w:r>
          </w:p>
        </w:tc>
      </w:tr>
      <w:tr w:rsidR="00165514" w:rsidRPr="00FB6163" w14:paraId="769742E2" w14:textId="77777777" w:rsidTr="00C047AD">
        <w:trPr>
          <w:trHeight w:val="329"/>
        </w:trPr>
        <w:tc>
          <w:tcPr>
            <w:tcW w:w="1871" w:type="pct"/>
            <w:tcBorders>
              <w:top w:val="single" w:sz="4" w:space="0" w:color="auto"/>
              <w:left w:val="single" w:sz="4" w:space="0" w:color="auto"/>
              <w:bottom w:val="single" w:sz="4" w:space="0" w:color="auto"/>
              <w:right w:val="single" w:sz="4" w:space="0" w:color="auto"/>
            </w:tcBorders>
            <w:hideMark/>
          </w:tcPr>
          <w:p w14:paraId="479D1D10" w14:textId="6F6BA0FD" w:rsidR="00165514" w:rsidRDefault="00165514" w:rsidP="00A2734D">
            <w:pPr>
              <w:spacing w:before="60" w:after="0" w:line="276" w:lineRule="auto"/>
              <w:ind w:left="176"/>
              <w:rPr>
                <w:sz w:val="20"/>
                <w:szCs w:val="20"/>
              </w:rPr>
            </w:pPr>
            <w:r w:rsidRPr="00FB6163">
              <w:rPr>
                <w:sz w:val="20"/>
                <w:szCs w:val="20"/>
              </w:rPr>
              <w:t>Annualised flare rate estimate</w:t>
            </w:r>
          </w:p>
          <w:p w14:paraId="7170B9F6" w14:textId="77777777" w:rsidR="00165514" w:rsidRPr="00FB6163" w:rsidRDefault="00165514" w:rsidP="00C047AD">
            <w:pPr>
              <w:spacing w:before="60" w:after="60" w:line="276" w:lineRule="auto"/>
              <w:ind w:left="177"/>
              <w:rPr>
                <w:sz w:val="20"/>
                <w:szCs w:val="20"/>
              </w:rPr>
            </w:pPr>
            <w:r w:rsidRPr="00FB6163">
              <w:rPr>
                <w:sz w:val="20"/>
                <w:szCs w:val="20"/>
              </w:rPr>
              <w:t>(95% CI)</w:t>
            </w:r>
          </w:p>
        </w:tc>
        <w:tc>
          <w:tcPr>
            <w:tcW w:w="794" w:type="pct"/>
            <w:tcBorders>
              <w:top w:val="single" w:sz="4" w:space="0" w:color="auto"/>
              <w:left w:val="single" w:sz="4" w:space="0" w:color="auto"/>
              <w:bottom w:val="single" w:sz="4" w:space="0" w:color="auto"/>
              <w:right w:val="single" w:sz="4" w:space="0" w:color="auto"/>
            </w:tcBorders>
            <w:hideMark/>
          </w:tcPr>
          <w:p w14:paraId="0C9B19B1" w14:textId="77777777" w:rsidR="00165514" w:rsidRPr="00FB6163" w:rsidRDefault="00165514" w:rsidP="00A2734D">
            <w:pPr>
              <w:spacing w:before="60" w:after="0" w:line="276" w:lineRule="auto"/>
              <w:jc w:val="center"/>
              <w:rPr>
                <w:sz w:val="20"/>
                <w:szCs w:val="20"/>
                <w:lang w:val="en-US"/>
              </w:rPr>
            </w:pPr>
            <w:r w:rsidRPr="00FB6163">
              <w:rPr>
                <w:sz w:val="20"/>
                <w:szCs w:val="20"/>
                <w:lang w:val="en-US"/>
              </w:rPr>
              <w:t xml:space="preserve">0.57 </w:t>
            </w:r>
          </w:p>
          <w:p w14:paraId="35355093" w14:textId="77777777" w:rsidR="00165514" w:rsidRPr="00FB6163" w:rsidRDefault="00165514" w:rsidP="00C047AD">
            <w:pPr>
              <w:spacing w:before="60" w:after="60" w:line="276" w:lineRule="auto"/>
              <w:jc w:val="center"/>
              <w:rPr>
                <w:rFonts w:eastAsia="TimesNewRoman"/>
                <w:sz w:val="20"/>
                <w:szCs w:val="20"/>
              </w:rPr>
            </w:pPr>
            <w:r w:rsidRPr="00FB6163">
              <w:rPr>
                <w:sz w:val="20"/>
                <w:szCs w:val="20"/>
                <w:lang w:val="en-US"/>
              </w:rPr>
              <w:t>(0.43, 0.76)</w:t>
            </w:r>
          </w:p>
        </w:tc>
        <w:tc>
          <w:tcPr>
            <w:tcW w:w="770" w:type="pct"/>
            <w:tcBorders>
              <w:top w:val="single" w:sz="4" w:space="0" w:color="auto"/>
              <w:left w:val="single" w:sz="4" w:space="0" w:color="auto"/>
              <w:bottom w:val="single" w:sz="4" w:space="0" w:color="auto"/>
              <w:right w:val="single" w:sz="4" w:space="0" w:color="auto"/>
            </w:tcBorders>
            <w:hideMark/>
          </w:tcPr>
          <w:p w14:paraId="5960F6DC" w14:textId="77777777" w:rsidR="00165514" w:rsidRPr="00FB6163" w:rsidRDefault="00165514" w:rsidP="00A2734D">
            <w:pPr>
              <w:spacing w:before="60" w:after="0" w:line="276" w:lineRule="auto"/>
              <w:jc w:val="center"/>
              <w:rPr>
                <w:sz w:val="20"/>
                <w:szCs w:val="20"/>
                <w:lang w:val="en-US"/>
              </w:rPr>
            </w:pPr>
            <w:r w:rsidRPr="00FB6163">
              <w:rPr>
                <w:sz w:val="20"/>
                <w:szCs w:val="20"/>
                <w:lang w:val="en-US"/>
              </w:rPr>
              <w:t xml:space="preserve">0.68 </w:t>
            </w:r>
          </w:p>
          <w:p w14:paraId="77EB3F7E" w14:textId="77777777" w:rsidR="00165514" w:rsidRPr="00FB6163" w:rsidRDefault="00165514" w:rsidP="00C047AD">
            <w:pPr>
              <w:spacing w:before="60" w:after="60" w:line="276" w:lineRule="auto"/>
              <w:jc w:val="center"/>
              <w:rPr>
                <w:rFonts w:eastAsia="TimesNewRoman"/>
                <w:sz w:val="20"/>
                <w:szCs w:val="20"/>
              </w:rPr>
            </w:pPr>
            <w:r w:rsidRPr="00FB6163">
              <w:rPr>
                <w:sz w:val="20"/>
                <w:szCs w:val="20"/>
                <w:lang w:val="en-US"/>
              </w:rPr>
              <w:t>(0.52, 0.90)</w:t>
            </w:r>
          </w:p>
        </w:tc>
        <w:tc>
          <w:tcPr>
            <w:tcW w:w="794" w:type="pct"/>
            <w:tcBorders>
              <w:top w:val="single" w:sz="4" w:space="0" w:color="auto"/>
              <w:left w:val="single" w:sz="4" w:space="0" w:color="auto"/>
              <w:bottom w:val="single" w:sz="4" w:space="0" w:color="auto"/>
              <w:right w:val="single" w:sz="4" w:space="0" w:color="auto"/>
            </w:tcBorders>
            <w:hideMark/>
          </w:tcPr>
          <w:p w14:paraId="16EFC25B" w14:textId="77777777" w:rsidR="00165514" w:rsidRPr="00FB6163" w:rsidRDefault="00165514" w:rsidP="00A2734D">
            <w:pPr>
              <w:spacing w:before="60" w:after="0" w:line="276" w:lineRule="auto"/>
              <w:jc w:val="center"/>
              <w:rPr>
                <w:sz w:val="20"/>
                <w:szCs w:val="20"/>
              </w:rPr>
            </w:pPr>
            <w:r w:rsidRPr="00FB6163">
              <w:rPr>
                <w:sz w:val="20"/>
                <w:szCs w:val="20"/>
              </w:rPr>
              <w:t xml:space="preserve">0.43 </w:t>
            </w:r>
          </w:p>
          <w:p w14:paraId="06FFE106" w14:textId="77777777" w:rsidR="00165514" w:rsidRPr="00FB6163" w:rsidRDefault="00165514" w:rsidP="00C047AD">
            <w:pPr>
              <w:spacing w:before="60" w:after="60" w:line="276" w:lineRule="auto"/>
              <w:jc w:val="center"/>
              <w:rPr>
                <w:rFonts w:eastAsia="TimesNewRoman"/>
                <w:sz w:val="20"/>
                <w:szCs w:val="20"/>
              </w:rPr>
            </w:pPr>
            <w:r w:rsidRPr="00FB6163">
              <w:rPr>
                <w:sz w:val="20"/>
                <w:szCs w:val="20"/>
              </w:rPr>
              <w:t>(0.31, 0.59)</w:t>
            </w:r>
          </w:p>
        </w:tc>
        <w:tc>
          <w:tcPr>
            <w:tcW w:w="771" w:type="pct"/>
            <w:tcBorders>
              <w:top w:val="single" w:sz="4" w:space="0" w:color="auto"/>
              <w:left w:val="single" w:sz="4" w:space="0" w:color="auto"/>
              <w:bottom w:val="single" w:sz="4" w:space="0" w:color="auto"/>
              <w:right w:val="single" w:sz="4" w:space="0" w:color="auto"/>
            </w:tcBorders>
            <w:hideMark/>
          </w:tcPr>
          <w:p w14:paraId="21684CFE" w14:textId="77777777" w:rsidR="00165514" w:rsidRPr="00FB6163" w:rsidRDefault="00165514" w:rsidP="00A2734D">
            <w:pPr>
              <w:spacing w:before="60" w:after="0" w:line="276" w:lineRule="auto"/>
              <w:jc w:val="center"/>
              <w:rPr>
                <w:rFonts w:eastAsia="TimesNewRoman"/>
                <w:sz w:val="20"/>
                <w:szCs w:val="20"/>
              </w:rPr>
            </w:pPr>
            <w:r w:rsidRPr="00FB6163">
              <w:rPr>
                <w:rFonts w:eastAsia="TimesNewRoman"/>
                <w:sz w:val="20"/>
                <w:szCs w:val="20"/>
              </w:rPr>
              <w:t xml:space="preserve">0.64 </w:t>
            </w:r>
          </w:p>
          <w:p w14:paraId="395E6D63" w14:textId="77777777" w:rsidR="00165514" w:rsidRPr="00FB6163" w:rsidRDefault="00165514" w:rsidP="00C047AD">
            <w:pPr>
              <w:spacing w:before="60" w:after="60" w:line="276" w:lineRule="auto"/>
              <w:jc w:val="center"/>
              <w:rPr>
                <w:rFonts w:eastAsia="TimesNewRoman"/>
                <w:sz w:val="20"/>
                <w:szCs w:val="20"/>
              </w:rPr>
            </w:pPr>
            <w:r w:rsidRPr="00FB6163">
              <w:rPr>
                <w:rFonts w:eastAsia="TimesNewRoman"/>
                <w:sz w:val="20"/>
                <w:szCs w:val="20"/>
              </w:rPr>
              <w:t>(0.47, 0.86)</w:t>
            </w:r>
          </w:p>
        </w:tc>
      </w:tr>
      <w:tr w:rsidR="00165514" w:rsidRPr="00FB6163" w14:paraId="038594C5" w14:textId="77777777" w:rsidTr="00C047AD">
        <w:trPr>
          <w:trHeight w:val="279"/>
        </w:trPr>
        <w:tc>
          <w:tcPr>
            <w:tcW w:w="1871" w:type="pct"/>
            <w:tcBorders>
              <w:top w:val="single" w:sz="4" w:space="0" w:color="auto"/>
              <w:left w:val="single" w:sz="4" w:space="0" w:color="auto"/>
              <w:bottom w:val="single" w:sz="4" w:space="0" w:color="auto"/>
              <w:right w:val="single" w:sz="4" w:space="0" w:color="auto"/>
            </w:tcBorders>
            <w:hideMark/>
          </w:tcPr>
          <w:p w14:paraId="23EDC2BA" w14:textId="77777777" w:rsidR="00165514" w:rsidRPr="00FB6163" w:rsidRDefault="00165514" w:rsidP="00C047AD">
            <w:pPr>
              <w:spacing w:before="60" w:after="60" w:line="276" w:lineRule="auto"/>
              <w:ind w:left="177"/>
              <w:rPr>
                <w:sz w:val="20"/>
                <w:szCs w:val="20"/>
              </w:rPr>
            </w:pPr>
            <w:r w:rsidRPr="00FB6163">
              <w:rPr>
                <w:sz w:val="20"/>
                <w:szCs w:val="20"/>
              </w:rPr>
              <w:t>Rate ratio estimate (95% CI)</w:t>
            </w:r>
          </w:p>
        </w:tc>
        <w:tc>
          <w:tcPr>
            <w:tcW w:w="1564" w:type="pct"/>
            <w:gridSpan w:val="2"/>
            <w:tcBorders>
              <w:top w:val="single" w:sz="4" w:space="0" w:color="auto"/>
              <w:left w:val="single" w:sz="4" w:space="0" w:color="auto"/>
              <w:bottom w:val="single" w:sz="4" w:space="0" w:color="auto"/>
              <w:right w:val="single" w:sz="4" w:space="0" w:color="auto"/>
            </w:tcBorders>
            <w:hideMark/>
          </w:tcPr>
          <w:p w14:paraId="73541F53" w14:textId="77777777" w:rsidR="00165514" w:rsidRPr="00FB6163" w:rsidRDefault="00165514" w:rsidP="00C047AD">
            <w:pPr>
              <w:spacing w:before="60" w:after="60" w:line="276" w:lineRule="auto"/>
              <w:jc w:val="center"/>
              <w:rPr>
                <w:sz w:val="20"/>
                <w:szCs w:val="20"/>
              </w:rPr>
            </w:pPr>
            <w:r w:rsidRPr="00FB6163">
              <w:rPr>
                <w:sz w:val="20"/>
                <w:szCs w:val="20"/>
              </w:rPr>
              <w:t>0.83 (0.61, 1.15)</w:t>
            </w:r>
          </w:p>
        </w:tc>
        <w:tc>
          <w:tcPr>
            <w:tcW w:w="1565" w:type="pct"/>
            <w:gridSpan w:val="2"/>
            <w:tcBorders>
              <w:top w:val="single" w:sz="4" w:space="0" w:color="auto"/>
              <w:left w:val="single" w:sz="4" w:space="0" w:color="auto"/>
              <w:bottom w:val="single" w:sz="4" w:space="0" w:color="auto"/>
              <w:right w:val="single" w:sz="4" w:space="0" w:color="auto"/>
            </w:tcBorders>
            <w:hideMark/>
          </w:tcPr>
          <w:p w14:paraId="7D42B779" w14:textId="77777777" w:rsidR="00165514" w:rsidRPr="00FB6163" w:rsidRDefault="00165514" w:rsidP="00C047AD">
            <w:pPr>
              <w:spacing w:before="60" w:after="60" w:line="276" w:lineRule="auto"/>
              <w:jc w:val="center"/>
              <w:rPr>
                <w:sz w:val="20"/>
                <w:szCs w:val="20"/>
              </w:rPr>
            </w:pPr>
            <w:r w:rsidRPr="00FB6163">
              <w:rPr>
                <w:sz w:val="20"/>
                <w:szCs w:val="20"/>
              </w:rPr>
              <w:t>0.67* (0.48, 0.94)</w:t>
            </w:r>
          </w:p>
        </w:tc>
      </w:tr>
      <w:tr w:rsidR="00165514" w:rsidRPr="00FB6163" w14:paraId="0E8FC32F" w14:textId="77777777" w:rsidTr="00C047AD">
        <w:trPr>
          <w:trHeight w:val="181"/>
        </w:trPr>
        <w:tc>
          <w:tcPr>
            <w:tcW w:w="5000" w:type="pct"/>
            <w:gridSpan w:val="5"/>
            <w:tcBorders>
              <w:top w:val="single" w:sz="4" w:space="0" w:color="auto"/>
              <w:left w:val="single" w:sz="4" w:space="0" w:color="auto"/>
              <w:bottom w:val="single" w:sz="4" w:space="0" w:color="auto"/>
              <w:right w:val="single" w:sz="4" w:space="0" w:color="auto"/>
            </w:tcBorders>
            <w:hideMark/>
          </w:tcPr>
          <w:p w14:paraId="36A90E20" w14:textId="77777777" w:rsidR="00165514" w:rsidRPr="00FB6163" w:rsidRDefault="00165514" w:rsidP="00C047AD">
            <w:pPr>
              <w:spacing w:before="60" w:after="60" w:line="276" w:lineRule="auto"/>
              <w:ind w:left="29"/>
              <w:rPr>
                <w:sz w:val="20"/>
                <w:szCs w:val="20"/>
              </w:rPr>
            </w:pPr>
            <w:r w:rsidRPr="00FB6163">
              <w:rPr>
                <w:b/>
                <w:sz w:val="20"/>
                <w:szCs w:val="20"/>
              </w:rPr>
              <w:t xml:space="preserve">Reduction in joint activity </w:t>
            </w:r>
            <w:r w:rsidRPr="00FB6163">
              <w:rPr>
                <w:b/>
                <w:sz w:val="20"/>
                <w:szCs w:val="20"/>
                <w:vertAlign w:val="superscript"/>
              </w:rPr>
              <w:t>3</w:t>
            </w:r>
          </w:p>
        </w:tc>
      </w:tr>
      <w:tr w:rsidR="00165514" w:rsidRPr="00FB6163" w14:paraId="0C9FC0AB" w14:textId="77777777" w:rsidTr="00C047AD">
        <w:trPr>
          <w:trHeight w:val="190"/>
        </w:trPr>
        <w:tc>
          <w:tcPr>
            <w:tcW w:w="1871" w:type="pct"/>
            <w:tcBorders>
              <w:top w:val="single" w:sz="4" w:space="0" w:color="auto"/>
              <w:left w:val="single" w:sz="4" w:space="0" w:color="auto"/>
              <w:bottom w:val="single" w:sz="4" w:space="0" w:color="auto"/>
              <w:right w:val="single" w:sz="4" w:space="0" w:color="auto"/>
            </w:tcBorders>
            <w:hideMark/>
          </w:tcPr>
          <w:p w14:paraId="3C3FA895" w14:textId="77777777" w:rsidR="00165514" w:rsidRPr="00FB6163" w:rsidRDefault="00165514" w:rsidP="00C047AD">
            <w:pPr>
              <w:spacing w:before="60" w:after="60" w:line="276" w:lineRule="auto"/>
              <w:ind w:left="172"/>
              <w:rPr>
                <w:sz w:val="20"/>
                <w:szCs w:val="20"/>
              </w:rPr>
            </w:pPr>
            <w:r w:rsidRPr="00FB6163">
              <w:rPr>
                <w:sz w:val="20"/>
                <w:szCs w:val="20"/>
              </w:rPr>
              <w:t>Responder rate, % (n/N)</w:t>
            </w:r>
            <w:r w:rsidRPr="00FB6163">
              <w:rPr>
                <w:b/>
                <w:sz w:val="20"/>
                <w:szCs w:val="20"/>
                <w:vertAlign w:val="superscript"/>
              </w:rPr>
              <w:t xml:space="preserve"> †</w:t>
            </w:r>
          </w:p>
        </w:tc>
        <w:tc>
          <w:tcPr>
            <w:tcW w:w="794" w:type="pct"/>
            <w:tcBorders>
              <w:top w:val="single" w:sz="4" w:space="0" w:color="auto"/>
              <w:left w:val="single" w:sz="4" w:space="0" w:color="auto"/>
              <w:bottom w:val="single" w:sz="4" w:space="0" w:color="auto"/>
              <w:right w:val="single" w:sz="4" w:space="0" w:color="auto"/>
            </w:tcBorders>
            <w:vAlign w:val="center"/>
            <w:hideMark/>
          </w:tcPr>
          <w:p w14:paraId="7133330B" w14:textId="77777777" w:rsidR="00165514" w:rsidRPr="00FB6163" w:rsidRDefault="00165514" w:rsidP="00C047AD">
            <w:pPr>
              <w:spacing w:before="60" w:after="60" w:line="276" w:lineRule="auto"/>
              <w:ind w:left="29"/>
              <w:jc w:val="center"/>
              <w:rPr>
                <w:sz w:val="20"/>
                <w:szCs w:val="20"/>
              </w:rPr>
            </w:pPr>
            <w:r w:rsidRPr="00FB6163">
              <w:rPr>
                <w:sz w:val="20"/>
                <w:szCs w:val="20"/>
              </w:rPr>
              <w:t>55.6 (51/93)</w:t>
            </w:r>
          </w:p>
        </w:tc>
        <w:tc>
          <w:tcPr>
            <w:tcW w:w="770" w:type="pct"/>
            <w:tcBorders>
              <w:top w:val="single" w:sz="4" w:space="0" w:color="auto"/>
              <w:left w:val="single" w:sz="4" w:space="0" w:color="auto"/>
              <w:bottom w:val="single" w:sz="4" w:space="0" w:color="auto"/>
              <w:right w:val="single" w:sz="4" w:space="0" w:color="auto"/>
            </w:tcBorders>
            <w:vAlign w:val="center"/>
            <w:hideMark/>
          </w:tcPr>
          <w:p w14:paraId="543A21CF" w14:textId="77777777" w:rsidR="00165514" w:rsidRPr="00FB6163" w:rsidRDefault="00165514" w:rsidP="00C047AD">
            <w:pPr>
              <w:spacing w:before="60" w:after="60" w:line="276" w:lineRule="auto"/>
              <w:ind w:left="29"/>
              <w:jc w:val="center"/>
              <w:rPr>
                <w:sz w:val="20"/>
                <w:szCs w:val="20"/>
              </w:rPr>
            </w:pPr>
            <w:r w:rsidRPr="00FB6163">
              <w:rPr>
                <w:sz w:val="20"/>
                <w:szCs w:val="20"/>
              </w:rPr>
              <w:t>36.3 (37/100)</w:t>
            </w:r>
          </w:p>
        </w:tc>
        <w:tc>
          <w:tcPr>
            <w:tcW w:w="794" w:type="pct"/>
            <w:tcBorders>
              <w:top w:val="single" w:sz="4" w:space="0" w:color="auto"/>
              <w:left w:val="single" w:sz="4" w:space="0" w:color="auto"/>
              <w:bottom w:val="single" w:sz="4" w:space="0" w:color="auto"/>
              <w:right w:val="single" w:sz="4" w:space="0" w:color="auto"/>
            </w:tcBorders>
            <w:vAlign w:val="center"/>
            <w:hideMark/>
          </w:tcPr>
          <w:p w14:paraId="552FE2EE" w14:textId="77777777" w:rsidR="00165514" w:rsidRPr="00FB6163" w:rsidRDefault="00165514" w:rsidP="00C047AD">
            <w:pPr>
              <w:spacing w:before="60" w:after="60" w:line="276" w:lineRule="auto"/>
              <w:ind w:left="29"/>
              <w:jc w:val="center"/>
              <w:rPr>
                <w:sz w:val="20"/>
                <w:szCs w:val="20"/>
              </w:rPr>
            </w:pPr>
            <w:r w:rsidRPr="00FB6163">
              <w:rPr>
                <w:sz w:val="20"/>
                <w:szCs w:val="20"/>
              </w:rPr>
              <w:t>42.2 (30/71)</w:t>
            </w:r>
          </w:p>
        </w:tc>
        <w:tc>
          <w:tcPr>
            <w:tcW w:w="771" w:type="pct"/>
            <w:tcBorders>
              <w:top w:val="single" w:sz="4" w:space="0" w:color="auto"/>
              <w:left w:val="single" w:sz="4" w:space="0" w:color="auto"/>
              <w:bottom w:val="single" w:sz="4" w:space="0" w:color="auto"/>
              <w:right w:val="single" w:sz="4" w:space="0" w:color="auto"/>
            </w:tcBorders>
            <w:vAlign w:val="center"/>
            <w:hideMark/>
          </w:tcPr>
          <w:p w14:paraId="2921B169" w14:textId="77777777" w:rsidR="00165514" w:rsidRPr="00FB6163" w:rsidRDefault="00165514" w:rsidP="00C047AD">
            <w:pPr>
              <w:spacing w:before="60" w:after="60" w:line="276" w:lineRule="auto"/>
              <w:ind w:left="29"/>
              <w:jc w:val="center"/>
              <w:rPr>
                <w:sz w:val="20"/>
                <w:szCs w:val="20"/>
              </w:rPr>
            </w:pPr>
            <w:r w:rsidRPr="00FB6163">
              <w:rPr>
                <w:sz w:val="20"/>
                <w:szCs w:val="20"/>
              </w:rPr>
              <w:t>37.5 (34/90)</w:t>
            </w:r>
          </w:p>
        </w:tc>
      </w:tr>
      <w:tr w:rsidR="00165514" w:rsidRPr="00FB6163" w14:paraId="64EEB36E" w14:textId="77777777" w:rsidTr="00C047AD">
        <w:trPr>
          <w:trHeight w:val="190"/>
        </w:trPr>
        <w:tc>
          <w:tcPr>
            <w:tcW w:w="1871" w:type="pct"/>
            <w:tcBorders>
              <w:top w:val="single" w:sz="4" w:space="0" w:color="auto"/>
              <w:left w:val="single" w:sz="4" w:space="0" w:color="auto"/>
              <w:bottom w:val="single" w:sz="4" w:space="0" w:color="auto"/>
              <w:right w:val="single" w:sz="4" w:space="0" w:color="auto"/>
            </w:tcBorders>
            <w:hideMark/>
          </w:tcPr>
          <w:p w14:paraId="67AF2A73" w14:textId="77777777" w:rsidR="00165514" w:rsidRPr="00FB6163" w:rsidRDefault="00165514" w:rsidP="00C047AD">
            <w:pPr>
              <w:spacing w:before="60" w:after="60" w:line="276" w:lineRule="auto"/>
              <w:ind w:left="172"/>
              <w:rPr>
                <w:sz w:val="20"/>
                <w:szCs w:val="20"/>
              </w:rPr>
            </w:pPr>
            <w:r w:rsidRPr="00FB6163">
              <w:rPr>
                <w:sz w:val="20"/>
                <w:szCs w:val="20"/>
              </w:rPr>
              <w:t>Difference (95% CI)</w:t>
            </w:r>
          </w:p>
        </w:tc>
        <w:tc>
          <w:tcPr>
            <w:tcW w:w="1564" w:type="pct"/>
            <w:gridSpan w:val="2"/>
            <w:tcBorders>
              <w:top w:val="single" w:sz="4" w:space="0" w:color="auto"/>
              <w:left w:val="single" w:sz="4" w:space="0" w:color="auto"/>
              <w:bottom w:val="single" w:sz="4" w:space="0" w:color="auto"/>
              <w:right w:val="single" w:sz="4" w:space="0" w:color="auto"/>
            </w:tcBorders>
            <w:hideMark/>
          </w:tcPr>
          <w:p w14:paraId="45FC5ECF" w14:textId="77777777" w:rsidR="00165514" w:rsidRPr="00FB6163" w:rsidRDefault="00165514" w:rsidP="00C047AD">
            <w:pPr>
              <w:keepNext/>
              <w:keepLines/>
              <w:spacing w:before="60" w:after="60" w:line="276" w:lineRule="auto"/>
              <w:ind w:left="29"/>
              <w:jc w:val="center"/>
              <w:rPr>
                <w:sz w:val="20"/>
                <w:szCs w:val="20"/>
              </w:rPr>
            </w:pPr>
            <w:r w:rsidRPr="00FB6163">
              <w:rPr>
                <w:sz w:val="20"/>
                <w:szCs w:val="20"/>
              </w:rPr>
              <w:t>19.3* (5.4, 33.2)</w:t>
            </w:r>
          </w:p>
        </w:tc>
        <w:tc>
          <w:tcPr>
            <w:tcW w:w="1565" w:type="pct"/>
            <w:gridSpan w:val="2"/>
            <w:tcBorders>
              <w:top w:val="single" w:sz="4" w:space="0" w:color="auto"/>
              <w:left w:val="single" w:sz="4" w:space="0" w:color="auto"/>
              <w:bottom w:val="single" w:sz="4" w:space="0" w:color="auto"/>
              <w:right w:val="single" w:sz="4" w:space="0" w:color="auto"/>
            </w:tcBorders>
            <w:hideMark/>
          </w:tcPr>
          <w:p w14:paraId="7DCE0DA7" w14:textId="77777777" w:rsidR="00165514" w:rsidRPr="00FB6163" w:rsidRDefault="00165514" w:rsidP="00C047AD">
            <w:pPr>
              <w:keepNext/>
              <w:keepLines/>
              <w:spacing w:before="60" w:after="60" w:line="276" w:lineRule="auto"/>
              <w:ind w:left="29"/>
              <w:jc w:val="center"/>
              <w:rPr>
                <w:sz w:val="20"/>
                <w:szCs w:val="20"/>
              </w:rPr>
            </w:pPr>
            <w:r w:rsidRPr="00FB6163">
              <w:rPr>
                <w:sz w:val="20"/>
                <w:szCs w:val="20"/>
              </w:rPr>
              <w:t>4.7% (-10.6, 20.0)</w:t>
            </w:r>
          </w:p>
        </w:tc>
      </w:tr>
    </w:tbl>
    <w:p w14:paraId="3466753A" w14:textId="09587715" w:rsidR="00165514" w:rsidRPr="00C609C7" w:rsidRDefault="00165514" w:rsidP="00165514">
      <w:pPr>
        <w:spacing w:after="0" w:line="240" w:lineRule="auto"/>
        <w:rPr>
          <w:sz w:val="18"/>
          <w:szCs w:val="18"/>
        </w:rPr>
      </w:pPr>
      <w:r w:rsidRPr="00C609C7">
        <w:rPr>
          <w:sz w:val="18"/>
          <w:szCs w:val="18"/>
        </w:rPr>
        <w:t>BICLA: British Isles Lupus Assessment Group-based Composite Lupus Assessment; BILAG: British Isles Lupus Assessment Group, PGA: Physician’s Global Assessment; SLEDAI 2K: Systemic Lupus Erythematosus Disease Activity Index 2000;</w:t>
      </w:r>
      <w:r w:rsidRPr="00C609C7">
        <w:t xml:space="preserve"> </w:t>
      </w:r>
      <w:r w:rsidRPr="00C609C7">
        <w:rPr>
          <w:sz w:val="18"/>
          <w:szCs w:val="18"/>
        </w:rPr>
        <w:t>SRI-4: SLE Responder Index</w:t>
      </w:r>
      <w:r w:rsidR="00977AA6">
        <w:rPr>
          <w:sz w:val="18"/>
          <w:szCs w:val="18"/>
        </w:rPr>
        <w:t>; OCS: oral corticosteroids</w:t>
      </w:r>
      <w:r w:rsidRPr="00C609C7">
        <w:rPr>
          <w:sz w:val="18"/>
          <w:szCs w:val="18"/>
        </w:rPr>
        <w:t>.</w:t>
      </w:r>
    </w:p>
    <w:p w14:paraId="59AC0BFC" w14:textId="77777777" w:rsidR="00165514" w:rsidRPr="00C609C7" w:rsidRDefault="00165514" w:rsidP="00165514">
      <w:pPr>
        <w:spacing w:after="0" w:line="240" w:lineRule="auto"/>
        <w:rPr>
          <w:sz w:val="18"/>
          <w:szCs w:val="18"/>
        </w:rPr>
      </w:pPr>
      <w:r w:rsidRPr="00C609C7">
        <w:rPr>
          <w:sz w:val="18"/>
          <w:szCs w:val="18"/>
        </w:rPr>
        <w:t>All patients received standard therapy.</w:t>
      </w:r>
    </w:p>
    <w:p w14:paraId="38549B30" w14:textId="77777777" w:rsidR="00165514" w:rsidRPr="00C609C7" w:rsidRDefault="00165514" w:rsidP="00165514">
      <w:pPr>
        <w:tabs>
          <w:tab w:val="left" w:pos="284"/>
        </w:tabs>
        <w:spacing w:after="0" w:line="240" w:lineRule="auto"/>
        <w:ind w:left="284" w:hanging="284"/>
        <w:rPr>
          <w:sz w:val="18"/>
          <w:szCs w:val="18"/>
        </w:rPr>
      </w:pPr>
      <w:r w:rsidRPr="00C609C7">
        <w:rPr>
          <w:sz w:val="18"/>
          <w:szCs w:val="18"/>
        </w:rPr>
        <w:t xml:space="preserve">† </w:t>
      </w:r>
      <w:r w:rsidRPr="00C609C7">
        <w:rPr>
          <w:sz w:val="18"/>
          <w:szCs w:val="18"/>
        </w:rPr>
        <w:tab/>
        <w:t>Patients who discontinued treatment or used restricted medications beyond protocol allowed threshold are considered non-responders.</w:t>
      </w:r>
    </w:p>
    <w:p w14:paraId="20D255B5" w14:textId="77777777" w:rsidR="00165514" w:rsidRPr="00C609C7" w:rsidRDefault="00165514" w:rsidP="00165514">
      <w:pPr>
        <w:tabs>
          <w:tab w:val="left" w:pos="284"/>
        </w:tabs>
        <w:spacing w:after="0" w:line="240" w:lineRule="auto"/>
        <w:rPr>
          <w:sz w:val="18"/>
          <w:szCs w:val="18"/>
        </w:rPr>
      </w:pPr>
      <w:r w:rsidRPr="00C609C7">
        <w:rPr>
          <w:sz w:val="18"/>
          <w:szCs w:val="18"/>
        </w:rPr>
        <w:t>*</w:t>
      </w:r>
      <w:r w:rsidRPr="00C609C7">
        <w:rPr>
          <w:sz w:val="18"/>
          <w:szCs w:val="18"/>
        </w:rPr>
        <w:tab/>
        <w:t>Nominal p-value &lt;0.05</w:t>
      </w:r>
    </w:p>
    <w:p w14:paraId="402ECF5B" w14:textId="77777777" w:rsidR="00165514" w:rsidRPr="00C609C7" w:rsidRDefault="00165514" w:rsidP="00165514">
      <w:pPr>
        <w:spacing w:after="0" w:line="240" w:lineRule="auto"/>
        <w:ind w:left="284" w:hanging="284"/>
        <w:rPr>
          <w:sz w:val="18"/>
          <w:szCs w:val="18"/>
        </w:rPr>
      </w:pPr>
      <w:r w:rsidRPr="00C609C7">
        <w:rPr>
          <w:sz w:val="18"/>
          <w:szCs w:val="18"/>
          <w:vertAlign w:val="superscript"/>
        </w:rPr>
        <w:t>1</w:t>
      </w:r>
      <w:r w:rsidRPr="00C609C7">
        <w:rPr>
          <w:sz w:val="18"/>
          <w:szCs w:val="18"/>
        </w:rPr>
        <w:t xml:space="preserve"> </w:t>
      </w:r>
      <w:r w:rsidRPr="00C609C7">
        <w:rPr>
          <w:sz w:val="18"/>
          <w:szCs w:val="18"/>
        </w:rPr>
        <w:tab/>
        <w:t>Subgroup of patients with OCS ≥10</w:t>
      </w:r>
      <w:r>
        <w:rPr>
          <w:sz w:val="18"/>
          <w:szCs w:val="18"/>
        </w:rPr>
        <w:t> </w:t>
      </w:r>
      <w:r w:rsidRPr="00C609C7">
        <w:rPr>
          <w:sz w:val="18"/>
          <w:szCs w:val="18"/>
        </w:rPr>
        <w:t>mg/day at baseline. Responders were defined as patients with OCS reduction to ≤7.5</w:t>
      </w:r>
      <w:r>
        <w:rPr>
          <w:sz w:val="18"/>
          <w:szCs w:val="18"/>
        </w:rPr>
        <w:t> </w:t>
      </w:r>
      <w:r w:rsidRPr="00C609C7">
        <w:rPr>
          <w:sz w:val="18"/>
          <w:szCs w:val="18"/>
        </w:rPr>
        <w:t>mg/day at Week</w:t>
      </w:r>
      <w:r>
        <w:rPr>
          <w:sz w:val="18"/>
          <w:szCs w:val="18"/>
        </w:rPr>
        <w:t> </w:t>
      </w:r>
      <w:r w:rsidRPr="00C609C7">
        <w:rPr>
          <w:sz w:val="18"/>
          <w:szCs w:val="18"/>
        </w:rPr>
        <w:t>40, maintained through Week</w:t>
      </w:r>
      <w:r>
        <w:rPr>
          <w:sz w:val="18"/>
          <w:szCs w:val="18"/>
        </w:rPr>
        <w:t> </w:t>
      </w:r>
      <w:r w:rsidRPr="00C609C7">
        <w:rPr>
          <w:sz w:val="18"/>
          <w:szCs w:val="18"/>
        </w:rPr>
        <w:t>52.</w:t>
      </w:r>
    </w:p>
    <w:p w14:paraId="5ED59E4A" w14:textId="77777777" w:rsidR="00165514" w:rsidRPr="00C609C7" w:rsidRDefault="00165514" w:rsidP="00165514">
      <w:pPr>
        <w:spacing w:after="0" w:line="240" w:lineRule="auto"/>
        <w:ind w:left="284" w:hanging="284"/>
        <w:rPr>
          <w:sz w:val="18"/>
          <w:szCs w:val="18"/>
        </w:rPr>
      </w:pPr>
      <w:r w:rsidRPr="00C609C7">
        <w:rPr>
          <w:sz w:val="18"/>
          <w:szCs w:val="18"/>
          <w:vertAlign w:val="superscript"/>
        </w:rPr>
        <w:lastRenderedPageBreak/>
        <w:t>2</w:t>
      </w:r>
      <w:r w:rsidRPr="00C609C7">
        <w:rPr>
          <w:sz w:val="18"/>
          <w:szCs w:val="18"/>
        </w:rPr>
        <w:tab/>
        <w:t xml:space="preserve">Subgroup of patients with CLASI activity ≥10 at baseline. Responders were defined as patients with an at least 50% reduction in CLASI activity score compared to baseline, at </w:t>
      </w:r>
      <w:r>
        <w:rPr>
          <w:sz w:val="18"/>
          <w:szCs w:val="18"/>
        </w:rPr>
        <w:t>W</w:t>
      </w:r>
      <w:r w:rsidRPr="00C609C7">
        <w:rPr>
          <w:sz w:val="18"/>
          <w:szCs w:val="18"/>
        </w:rPr>
        <w:t>eek</w:t>
      </w:r>
      <w:r>
        <w:rPr>
          <w:sz w:val="18"/>
          <w:szCs w:val="18"/>
        </w:rPr>
        <w:t> </w:t>
      </w:r>
      <w:r w:rsidRPr="00C609C7">
        <w:rPr>
          <w:sz w:val="18"/>
          <w:szCs w:val="18"/>
        </w:rPr>
        <w:t>12.</w:t>
      </w:r>
    </w:p>
    <w:p w14:paraId="6A7FC0E7" w14:textId="45D5A182" w:rsidR="00165514" w:rsidRDefault="00165514" w:rsidP="008B4EE0">
      <w:pPr>
        <w:spacing w:after="0" w:line="240" w:lineRule="auto"/>
        <w:ind w:left="284" w:hanging="284"/>
        <w:rPr>
          <w:sz w:val="18"/>
          <w:szCs w:val="18"/>
        </w:rPr>
      </w:pPr>
      <w:r w:rsidRPr="00C609C7">
        <w:rPr>
          <w:sz w:val="18"/>
          <w:szCs w:val="18"/>
          <w:vertAlign w:val="superscript"/>
        </w:rPr>
        <w:t>3</w:t>
      </w:r>
      <w:r w:rsidRPr="00C609C7">
        <w:rPr>
          <w:sz w:val="18"/>
          <w:szCs w:val="18"/>
        </w:rPr>
        <w:tab/>
        <w:t>Subgroup of patients ≥6 swollen and ≥6 tender joints at baseline. Responders were defined as patients with ≥50% improvement in swollen/tender joint count at Week</w:t>
      </w:r>
      <w:r>
        <w:rPr>
          <w:sz w:val="18"/>
          <w:szCs w:val="18"/>
        </w:rPr>
        <w:t> </w:t>
      </w:r>
      <w:r w:rsidRPr="00C609C7">
        <w:rPr>
          <w:sz w:val="18"/>
          <w:szCs w:val="18"/>
        </w:rPr>
        <w:t>52.</w:t>
      </w:r>
    </w:p>
    <w:p w14:paraId="2FA1C781" w14:textId="77777777" w:rsidR="008B4EE0" w:rsidRPr="008B4EE0" w:rsidRDefault="008B4EE0" w:rsidP="008B4EE0">
      <w:pPr>
        <w:spacing w:after="0" w:line="240" w:lineRule="auto"/>
        <w:ind w:left="284" w:hanging="284"/>
        <w:rPr>
          <w:sz w:val="22"/>
          <w:szCs w:val="22"/>
        </w:rPr>
      </w:pPr>
    </w:p>
    <w:p w14:paraId="01AFF192" w14:textId="3824C307" w:rsidR="00DB3EFE" w:rsidRPr="00406501" w:rsidRDefault="00165514" w:rsidP="008B4EE0">
      <w:pPr>
        <w:pStyle w:val="Paragraph"/>
      </w:pPr>
      <w:r>
        <w:t>In Trial 3, c</w:t>
      </w:r>
      <w:r w:rsidR="00DB3EFE" w:rsidRPr="00406501">
        <w:t xml:space="preserve">linically meaningful differences in BICLA response rate </w:t>
      </w:r>
      <w:proofErr w:type="gramStart"/>
      <w:r w:rsidR="00DB3EFE" w:rsidRPr="00406501">
        <w:t>was</w:t>
      </w:r>
      <w:proofErr w:type="gramEnd"/>
      <w:r w:rsidR="00DB3EFE" w:rsidRPr="00406501">
        <w:t xml:space="preserve"> observed as early as Week 8 and were maintained through to Week 52 (Figure 1).</w:t>
      </w:r>
      <w:r>
        <w:t xml:space="preserve"> </w:t>
      </w:r>
      <w:r w:rsidRPr="004101B0">
        <w:t>Similar findings were seen in Trial</w:t>
      </w:r>
      <w:r>
        <w:t> </w:t>
      </w:r>
      <w:r w:rsidRPr="004101B0">
        <w:t>2.</w:t>
      </w:r>
    </w:p>
    <w:p w14:paraId="55D31633" w14:textId="77777777" w:rsidR="00DB3EFE" w:rsidRPr="00406501" w:rsidRDefault="00DB3EFE" w:rsidP="00CA20F4">
      <w:pPr>
        <w:keepNext/>
        <w:spacing w:after="0"/>
        <w:rPr>
          <w:b/>
        </w:rPr>
      </w:pPr>
      <w:r w:rsidRPr="00406501">
        <w:rPr>
          <w:b/>
        </w:rPr>
        <w:t>Figure 1</w:t>
      </w:r>
      <w:r w:rsidRPr="00406501">
        <w:rPr>
          <w:b/>
        </w:rPr>
        <w:tab/>
        <w:t>Trial 3: Proportion of BICLA responders by visit</w:t>
      </w:r>
    </w:p>
    <w:p w14:paraId="1E078A28" w14:textId="77777777" w:rsidR="00DB3EFE" w:rsidRPr="00406501" w:rsidRDefault="00DB3EFE" w:rsidP="00CA20F4">
      <w:pPr>
        <w:spacing w:after="120" w:line="240" w:lineRule="atLeast"/>
        <w:jc w:val="center"/>
      </w:pPr>
      <w:r w:rsidRPr="00406501">
        <w:rPr>
          <w:noProof/>
        </w:rPr>
        <mc:AlternateContent>
          <mc:Choice Requires="wps">
            <w:drawing>
              <wp:anchor distT="45720" distB="45720" distL="114300" distR="114300" simplePos="0" relativeHeight="251659264" behindDoc="0" locked="0" layoutInCell="1" allowOverlap="1" wp14:anchorId="4242565C" wp14:editId="05F7D234">
                <wp:simplePos x="0" y="0"/>
                <wp:positionH relativeFrom="column">
                  <wp:posOffset>788035</wp:posOffset>
                </wp:positionH>
                <wp:positionV relativeFrom="paragraph">
                  <wp:posOffset>2944495</wp:posOffset>
                </wp:positionV>
                <wp:extent cx="1336675" cy="292735"/>
                <wp:effectExtent l="0" t="0" r="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92735"/>
                        </a:xfrm>
                        <a:prstGeom prst="rect">
                          <a:avLst/>
                        </a:prstGeom>
                        <a:noFill/>
                        <a:ln w="9525">
                          <a:noFill/>
                          <a:miter lim="800000"/>
                          <a:headEnd/>
                          <a:tailEnd/>
                        </a:ln>
                      </wps:spPr>
                      <wps:txbx>
                        <w:txbxContent>
                          <w:p w14:paraId="0BE57EA6" w14:textId="77777777" w:rsidR="00A429FD" w:rsidRPr="000B4918" w:rsidRDefault="00A429FD" w:rsidP="00DB3EFE">
                            <w:pPr>
                              <w:spacing w:after="40" w:line="240" w:lineRule="auto"/>
                              <w:rPr>
                                <w:sz w:val="16"/>
                                <w:szCs w:val="14"/>
                              </w:rPr>
                            </w:pPr>
                            <w:proofErr w:type="spellStart"/>
                            <w:r w:rsidRPr="000B4918">
                              <w:rPr>
                                <w:sz w:val="16"/>
                                <w:szCs w:val="14"/>
                              </w:rPr>
                              <w:t>Anifrolumab</w:t>
                            </w:r>
                            <w:proofErr w:type="spellEnd"/>
                            <w:r w:rsidRPr="000B4918">
                              <w:rPr>
                                <w:sz w:val="16"/>
                                <w:szCs w:val="14"/>
                              </w:rPr>
                              <w:t xml:space="preserve"> 300 mg </w:t>
                            </w:r>
                            <w:r>
                              <w:rPr>
                                <w:sz w:val="16"/>
                                <w:szCs w:val="14"/>
                              </w:rPr>
                              <w:t>(</w:t>
                            </w:r>
                            <w:r w:rsidRPr="000B4918">
                              <w:rPr>
                                <w:sz w:val="16"/>
                                <w:szCs w:val="14"/>
                              </w:rPr>
                              <w:t>N=180</w:t>
                            </w:r>
                            <w:r>
                              <w:rPr>
                                <w:sz w:val="16"/>
                                <w:szCs w:val="14"/>
                              </w:rPr>
                              <w:t>)</w:t>
                            </w:r>
                          </w:p>
                          <w:p w14:paraId="7E3866BD" w14:textId="77777777" w:rsidR="00A429FD" w:rsidRPr="000B4918" w:rsidRDefault="00A429FD" w:rsidP="00DB3EFE">
                            <w:pPr>
                              <w:spacing w:line="240" w:lineRule="auto"/>
                              <w:rPr>
                                <w:sz w:val="16"/>
                                <w:szCs w:val="14"/>
                              </w:rPr>
                            </w:pPr>
                            <w:r w:rsidRPr="000B4918">
                              <w:rPr>
                                <w:sz w:val="16"/>
                                <w:szCs w:val="14"/>
                              </w:rPr>
                              <w:t xml:space="preserve">Placebo </w:t>
                            </w:r>
                            <w:r>
                              <w:rPr>
                                <w:sz w:val="16"/>
                                <w:szCs w:val="14"/>
                              </w:rPr>
                              <w:t>(</w:t>
                            </w:r>
                            <w:r w:rsidRPr="000B4918">
                              <w:rPr>
                                <w:sz w:val="16"/>
                                <w:szCs w:val="14"/>
                              </w:rPr>
                              <w:t>N=182</w:t>
                            </w:r>
                            <w:r>
                              <w:rPr>
                                <w:sz w:val="16"/>
                                <w:szCs w:val="1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2565C" id="Text Box 2" o:spid="_x0000_s1027" type="#_x0000_t202" style="position:absolute;left:0;text-align:left;margin-left:62.05pt;margin-top:231.85pt;width:105.25pt;height:2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" filled="f" stroked="f">
                <v:textbox inset="0,0,0,0">
                  <w:txbxContent>
                    <w:p w14:paraId="0BE57EA6" w14:textId="77777777" w:rsidR="00A429FD" w:rsidRPr="000B4918" w:rsidRDefault="00A429FD" w:rsidP="00DB3EFE">
                      <w:pPr>
                        <w:spacing w:after="40" w:line="240" w:lineRule="auto"/>
                        <w:rPr>
                          <w:sz w:val="16"/>
                          <w:szCs w:val="14"/>
                        </w:rPr>
                      </w:pPr>
                      <w:proofErr w:type="spellStart"/>
                      <w:r w:rsidRPr="000B4918">
                        <w:rPr>
                          <w:sz w:val="16"/>
                          <w:szCs w:val="14"/>
                        </w:rPr>
                        <w:t>Anifrolumab</w:t>
                      </w:r>
                      <w:proofErr w:type="spellEnd"/>
                      <w:r w:rsidRPr="000B4918">
                        <w:rPr>
                          <w:sz w:val="16"/>
                          <w:szCs w:val="14"/>
                        </w:rPr>
                        <w:t xml:space="preserve"> 300 mg </w:t>
                      </w:r>
                      <w:r>
                        <w:rPr>
                          <w:sz w:val="16"/>
                          <w:szCs w:val="14"/>
                        </w:rPr>
                        <w:t>(</w:t>
                      </w:r>
                      <w:r w:rsidRPr="000B4918">
                        <w:rPr>
                          <w:sz w:val="16"/>
                          <w:szCs w:val="14"/>
                        </w:rPr>
                        <w:t>N=180</w:t>
                      </w:r>
                      <w:r>
                        <w:rPr>
                          <w:sz w:val="16"/>
                          <w:szCs w:val="14"/>
                        </w:rPr>
                        <w:t>)</w:t>
                      </w:r>
                    </w:p>
                    <w:p w14:paraId="7E3866BD" w14:textId="77777777" w:rsidR="00A429FD" w:rsidRPr="000B4918" w:rsidRDefault="00A429FD" w:rsidP="00DB3EFE">
                      <w:pPr>
                        <w:spacing w:line="240" w:lineRule="auto"/>
                        <w:rPr>
                          <w:sz w:val="16"/>
                          <w:szCs w:val="14"/>
                        </w:rPr>
                      </w:pPr>
                      <w:r w:rsidRPr="000B4918">
                        <w:rPr>
                          <w:sz w:val="16"/>
                          <w:szCs w:val="14"/>
                        </w:rPr>
                        <w:t xml:space="preserve">Placebo </w:t>
                      </w:r>
                      <w:r>
                        <w:rPr>
                          <w:sz w:val="16"/>
                          <w:szCs w:val="14"/>
                        </w:rPr>
                        <w:t>(</w:t>
                      </w:r>
                      <w:r w:rsidRPr="000B4918">
                        <w:rPr>
                          <w:sz w:val="16"/>
                          <w:szCs w:val="14"/>
                        </w:rPr>
                        <w:t>N=182</w:t>
                      </w:r>
                      <w:r>
                        <w:rPr>
                          <w:sz w:val="16"/>
                          <w:szCs w:val="14"/>
                        </w:rPr>
                        <w:t>)</w:t>
                      </w:r>
                    </w:p>
                  </w:txbxContent>
                </v:textbox>
              </v:shape>
            </w:pict>
          </mc:Fallback>
        </mc:AlternateContent>
      </w:r>
      <w:r w:rsidRPr="00406501">
        <w:rPr>
          <w:noProof/>
        </w:rPr>
        <mc:AlternateContent>
          <mc:Choice Requires="wps">
            <w:drawing>
              <wp:anchor distT="45720" distB="45720" distL="114300" distR="114300" simplePos="0" relativeHeight="251661312" behindDoc="0" locked="0" layoutInCell="1" allowOverlap="1" wp14:anchorId="0F47D302" wp14:editId="5176BD75">
                <wp:simplePos x="0" y="0"/>
                <wp:positionH relativeFrom="margin">
                  <wp:align>left</wp:align>
                </wp:positionH>
                <wp:positionV relativeFrom="paragraph">
                  <wp:posOffset>848995</wp:posOffset>
                </wp:positionV>
                <wp:extent cx="2360930" cy="1404620"/>
                <wp:effectExtent l="7620" t="11430" r="889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14:paraId="74294210" w14:textId="77777777" w:rsidR="00A429FD" w:rsidRPr="00EA338E" w:rsidRDefault="00A429FD" w:rsidP="00DB3EFE">
                            <w:pPr>
                              <w:jc w:val="center"/>
                              <w:rPr>
                                <w:sz w:val="20"/>
                              </w:rPr>
                            </w:pPr>
                            <w:r w:rsidRPr="00BD540C">
                              <w:rPr>
                                <w:sz w:val="20"/>
                              </w:rPr>
                              <w:t>Proportion of BICLA responders (+/- SE)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F47D302" id="_x0000_s1028" type="#_x0000_t202" style="position:absolute;left:0;text-align:left;margin-left:0;margin-top:66.85pt;width:185.9pt;height:110.6pt;rotation:-90;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" filled="f" stroked="f">
                <v:textbox style="mso-fit-shape-to-text:t" inset="0,0,0,0">
                  <w:txbxContent>
                    <w:p w14:paraId="74294210" w14:textId="77777777" w:rsidR="00A429FD" w:rsidRPr="00EA338E" w:rsidRDefault="00A429FD" w:rsidP="00DB3EFE">
                      <w:pPr>
                        <w:jc w:val="center"/>
                        <w:rPr>
                          <w:sz w:val="20"/>
                        </w:rPr>
                      </w:pPr>
                      <w:r w:rsidRPr="00BD540C">
                        <w:rPr>
                          <w:sz w:val="20"/>
                        </w:rPr>
                        <w:t>Proportion of BICLA responders (+/- SE)</w:t>
                      </w:r>
                    </w:p>
                  </w:txbxContent>
                </v:textbox>
                <w10:wrap anchorx="margin"/>
              </v:shape>
            </w:pict>
          </mc:Fallback>
        </mc:AlternateContent>
      </w:r>
      <w:r w:rsidRPr="00406501">
        <w:rPr>
          <w:noProof/>
        </w:rPr>
        <mc:AlternateContent>
          <mc:Choice Requires="wps">
            <w:drawing>
              <wp:anchor distT="45720" distB="45720" distL="114300" distR="114300" simplePos="0" relativeHeight="251660288" behindDoc="0" locked="0" layoutInCell="1" allowOverlap="1" wp14:anchorId="534F0127" wp14:editId="18EC123B">
                <wp:simplePos x="0" y="0"/>
                <wp:positionH relativeFrom="margin">
                  <wp:align>center</wp:align>
                </wp:positionH>
                <wp:positionV relativeFrom="paragraph">
                  <wp:posOffset>3369310</wp:posOffset>
                </wp:positionV>
                <wp:extent cx="2360930" cy="1404620"/>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E6D07DC" w14:textId="77777777" w:rsidR="00A429FD" w:rsidRPr="00EA338E" w:rsidRDefault="00A429FD" w:rsidP="00DB3EFE">
                            <w:pPr>
                              <w:jc w:val="center"/>
                              <w:rPr>
                                <w:sz w:val="20"/>
                              </w:rPr>
                            </w:pPr>
                            <w:r>
                              <w:rPr>
                                <w:sz w:val="20"/>
                              </w:rPr>
                              <w:t>Time (weeks)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4F0127" id="_x0000_s1029" type="#_x0000_t202" style="position:absolute;left:0;text-align:left;margin-left:0;margin-top:265.3pt;width:185.9pt;height:110.6pt;z-index:25166028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" filled="f" stroked="f">
                <v:textbox style="mso-fit-shape-to-text:t">
                  <w:txbxContent>
                    <w:p w14:paraId="1E6D07DC" w14:textId="77777777" w:rsidR="00A429FD" w:rsidRPr="00EA338E" w:rsidRDefault="00A429FD" w:rsidP="00DB3EFE">
                      <w:pPr>
                        <w:jc w:val="center"/>
                        <w:rPr>
                          <w:sz w:val="20"/>
                        </w:rPr>
                      </w:pPr>
                      <w:r>
                        <w:rPr>
                          <w:sz w:val="20"/>
                        </w:rPr>
                        <w:t>Time (weeks)</w:t>
                      </w:r>
                    </w:p>
                  </w:txbxContent>
                </v:textbox>
                <w10:wrap anchorx="margin"/>
              </v:shape>
            </w:pict>
          </mc:Fallback>
        </mc:AlternateContent>
      </w:r>
      <w:r w:rsidRPr="00406501">
        <w:rPr>
          <w:noProof/>
        </w:rPr>
        <w:drawing>
          <wp:inline distT="0" distB="0" distL="0" distR="0" wp14:anchorId="33842BD7" wp14:editId="709298BD">
            <wp:extent cx="5692140" cy="3683479"/>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_118_2 Figure 1 v2 from word doc.jpg"/>
                    <pic:cNvPicPr/>
                  </pic:nvPicPr>
                  <pic:blipFill rotWithShape="1">
                    <a:blip r:embed="rId8">
                      <a:extLst>
                        <a:ext uri="{28A0092B-C50C-407E-A947-70E740481C1C}">
                          <a14:useLocalDpi xmlns:a14="http://schemas.microsoft.com/office/drawing/2010/main" val="0"/>
                        </a:ext>
                      </a:extLst>
                    </a:blip>
                    <a:srcRect l="1" r="1157" b="1459"/>
                    <a:stretch/>
                  </pic:blipFill>
                  <pic:spPr bwMode="auto">
                    <a:xfrm>
                      <a:off x="0" y="0"/>
                      <a:ext cx="5692140" cy="3683479"/>
                    </a:xfrm>
                    <a:prstGeom prst="rect">
                      <a:avLst/>
                    </a:prstGeom>
                    <a:ln>
                      <a:noFill/>
                    </a:ln>
                    <a:extLst>
                      <a:ext uri="{53640926-AAD7-44D8-BBD7-CCE9431645EC}">
                        <a14:shadowObscured xmlns:a14="http://schemas.microsoft.com/office/drawing/2010/main"/>
                      </a:ext>
                    </a:extLst>
                  </pic:spPr>
                </pic:pic>
              </a:graphicData>
            </a:graphic>
          </wp:inline>
        </w:drawing>
      </w:r>
    </w:p>
    <w:p w14:paraId="224BF308" w14:textId="755AA5DA" w:rsidR="00DB3EFE" w:rsidRPr="00406501" w:rsidRDefault="00DB3EFE" w:rsidP="00DB3EFE">
      <w:pPr>
        <w:pStyle w:val="Paragraph"/>
      </w:pPr>
      <w:bookmarkStart w:id="62" w:name="_Hlk42606340"/>
      <w:bookmarkStart w:id="63" w:name="_Hlk34136095"/>
      <w:r w:rsidRPr="00406501">
        <w:t xml:space="preserve">Treatment with </w:t>
      </w:r>
      <w:proofErr w:type="spellStart"/>
      <w:r w:rsidRPr="00406501">
        <w:t>anifrolumab</w:t>
      </w:r>
      <w:proofErr w:type="spellEnd"/>
      <w:r w:rsidRPr="00406501">
        <w:t xml:space="preserve"> reduced the time to the first visit at which BICLA response was attained and subsequently sustained up to, and including, Week 52. </w:t>
      </w:r>
      <w:bookmarkEnd w:id="62"/>
      <w:r w:rsidRPr="00406501">
        <w:t xml:space="preserve">At any time during </w:t>
      </w:r>
      <w:r w:rsidR="00165514">
        <w:t>Trial 3</w:t>
      </w:r>
      <w:r w:rsidRPr="00406501">
        <w:t xml:space="preserve">, patients treated with </w:t>
      </w:r>
      <w:proofErr w:type="spellStart"/>
      <w:r w:rsidRPr="00406501">
        <w:t>anifrolumab</w:t>
      </w:r>
      <w:proofErr w:type="spellEnd"/>
      <w:r w:rsidRPr="00406501">
        <w:t xml:space="preserve"> were 55% more likely to achieve a sustained BICLA response, relative to patients receiving placebo (hazard ratio</w:t>
      </w:r>
      <w:r w:rsidR="00165514">
        <w:t xml:space="preserve"> [HR] </w:t>
      </w:r>
      <w:r w:rsidRPr="00406501">
        <w:t>=1.55, 95% CI 1.11, 2.18). Separation between the treatment arms began at approximately Week 4 (Figure 2).</w:t>
      </w:r>
      <w:r w:rsidR="00165514">
        <w:t xml:space="preserve"> </w:t>
      </w:r>
      <w:r w:rsidR="00165514" w:rsidRPr="00C609C7">
        <w:t>Similar findings were seen in Trial</w:t>
      </w:r>
      <w:r w:rsidR="00165514">
        <w:t> </w:t>
      </w:r>
      <w:r w:rsidR="00165514" w:rsidRPr="00C609C7">
        <w:t>2.</w:t>
      </w:r>
    </w:p>
    <w:p w14:paraId="56B72CDB" w14:textId="77777777" w:rsidR="00DB3EFE" w:rsidRPr="00406501" w:rsidRDefault="00DB3EFE" w:rsidP="00CA20F4">
      <w:pPr>
        <w:keepNext/>
        <w:spacing w:after="0"/>
        <w:ind w:left="1276" w:hanging="1276"/>
        <w:rPr>
          <w:b/>
          <w:vertAlign w:val="superscript"/>
        </w:rPr>
      </w:pPr>
      <w:r w:rsidRPr="00406501">
        <w:rPr>
          <w:b/>
        </w:rPr>
        <w:lastRenderedPageBreak/>
        <w:t>Figure 2</w:t>
      </w:r>
      <w:r w:rsidRPr="00406501">
        <w:rPr>
          <w:b/>
        </w:rPr>
        <w:tab/>
        <w:t>Trial 3: Kaplan-Meier curve for time to BICLA response sustained up to Wee</w:t>
      </w:r>
      <w:bookmarkStart w:id="64" w:name="_Hlk34119393"/>
      <w:r w:rsidRPr="00406501">
        <w:rPr>
          <w:b/>
        </w:rPr>
        <w:t>k 52</w:t>
      </w:r>
      <w:bookmarkEnd w:id="64"/>
    </w:p>
    <w:p w14:paraId="4C40BB2E" w14:textId="77777777" w:rsidR="00DB3EFE" w:rsidRPr="00406501" w:rsidRDefault="00DB3EFE" w:rsidP="00DB3EFE">
      <w:pPr>
        <w:keepNext/>
        <w:spacing w:after="0"/>
        <w:ind w:left="142"/>
        <w:rPr>
          <w:sz w:val="18"/>
          <w:szCs w:val="18"/>
        </w:rPr>
      </w:pPr>
      <w:r w:rsidRPr="00406501">
        <w:rPr>
          <w:noProof/>
          <w:szCs w:val="20"/>
        </w:rPr>
        <mc:AlternateContent>
          <mc:Choice Requires="wps">
            <w:drawing>
              <wp:anchor distT="45720" distB="45720" distL="114300" distR="114300" simplePos="0" relativeHeight="251666432" behindDoc="0" locked="0" layoutInCell="1" allowOverlap="1" wp14:anchorId="42FA8F5C" wp14:editId="215A8A46">
                <wp:simplePos x="0" y="0"/>
                <wp:positionH relativeFrom="margin">
                  <wp:align>left</wp:align>
                </wp:positionH>
                <wp:positionV relativeFrom="paragraph">
                  <wp:posOffset>3277012</wp:posOffset>
                </wp:positionV>
                <wp:extent cx="1690777" cy="227388"/>
                <wp:effectExtent l="0" t="0" r="508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777" cy="227388"/>
                        </a:xfrm>
                        <a:prstGeom prst="rect">
                          <a:avLst/>
                        </a:prstGeom>
                        <a:noFill/>
                        <a:ln w="9525">
                          <a:noFill/>
                          <a:miter lim="800000"/>
                          <a:headEnd/>
                          <a:tailEnd/>
                        </a:ln>
                      </wps:spPr>
                      <wps:txbx>
                        <w:txbxContent>
                          <w:p w14:paraId="5D64B284" w14:textId="77777777" w:rsidR="00A429FD" w:rsidRPr="002A68B7" w:rsidRDefault="00A429FD" w:rsidP="00DB3EFE">
                            <w:pPr>
                              <w:spacing w:after="40" w:line="240" w:lineRule="auto"/>
                              <w:rPr>
                                <w:rFonts w:ascii="Arial" w:hAnsi="Arial" w:cs="Arial"/>
                                <w:sz w:val="12"/>
                                <w:szCs w:val="12"/>
                              </w:rPr>
                            </w:pPr>
                            <w:proofErr w:type="spellStart"/>
                            <w:r w:rsidRPr="002A68B7">
                              <w:rPr>
                                <w:rFonts w:ascii="Arial" w:hAnsi="Arial" w:cs="Arial"/>
                                <w:sz w:val="12"/>
                                <w:szCs w:val="12"/>
                              </w:rPr>
                              <w:t>Anifrolumab</w:t>
                            </w:r>
                            <w:proofErr w:type="spellEnd"/>
                            <w:r w:rsidRPr="002A68B7">
                              <w:rPr>
                                <w:rFonts w:ascii="Arial" w:hAnsi="Arial" w:cs="Arial"/>
                                <w:sz w:val="12"/>
                                <w:szCs w:val="12"/>
                              </w:rPr>
                              <w:t xml:space="preserve"> 300 mg</w:t>
                            </w:r>
                          </w:p>
                          <w:p w14:paraId="7B216BB5" w14:textId="77777777" w:rsidR="00A429FD" w:rsidRPr="002A68B7" w:rsidRDefault="00A429FD" w:rsidP="00DB3EFE">
                            <w:pPr>
                              <w:spacing w:after="40" w:line="240" w:lineRule="auto"/>
                              <w:rPr>
                                <w:rFonts w:ascii="Arial" w:hAnsi="Arial" w:cs="Arial"/>
                                <w:sz w:val="12"/>
                                <w:szCs w:val="12"/>
                              </w:rPr>
                            </w:pPr>
                            <w:r w:rsidRPr="002A68B7">
                              <w:rPr>
                                <w:rFonts w:ascii="Arial" w:hAnsi="Arial" w:cs="Arial"/>
                                <w:sz w:val="12"/>
                                <w:szCs w:val="12"/>
                              </w:rPr>
                              <w:t>Placebo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A8F5C" id="_x0000_s1030" type="#_x0000_t202" style="position:absolute;left:0;text-align:left;margin-left:0;margin-top:258.05pt;width:133.15pt;height:17.9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" filled="f" stroked="f">
                <v:textbox inset="0,0,0,0">
                  <w:txbxContent>
                    <w:p w14:paraId="5D64B284" w14:textId="77777777" w:rsidR="00A429FD" w:rsidRPr="002A68B7" w:rsidRDefault="00A429FD" w:rsidP="00DB3EFE">
                      <w:pPr>
                        <w:spacing w:after="40" w:line="240" w:lineRule="auto"/>
                        <w:rPr>
                          <w:rFonts w:ascii="Arial" w:hAnsi="Arial" w:cs="Arial"/>
                          <w:sz w:val="12"/>
                          <w:szCs w:val="12"/>
                        </w:rPr>
                      </w:pPr>
                      <w:proofErr w:type="spellStart"/>
                      <w:r w:rsidRPr="002A68B7">
                        <w:rPr>
                          <w:rFonts w:ascii="Arial" w:hAnsi="Arial" w:cs="Arial"/>
                          <w:sz w:val="12"/>
                          <w:szCs w:val="12"/>
                        </w:rPr>
                        <w:t>Anifrolumab</w:t>
                      </w:r>
                      <w:proofErr w:type="spellEnd"/>
                      <w:r w:rsidRPr="002A68B7">
                        <w:rPr>
                          <w:rFonts w:ascii="Arial" w:hAnsi="Arial" w:cs="Arial"/>
                          <w:sz w:val="12"/>
                          <w:szCs w:val="12"/>
                        </w:rPr>
                        <w:t xml:space="preserve"> 300 mg</w:t>
                      </w:r>
                    </w:p>
                    <w:p w14:paraId="7B216BB5" w14:textId="77777777" w:rsidR="00A429FD" w:rsidRPr="002A68B7" w:rsidRDefault="00A429FD" w:rsidP="00DB3EFE">
                      <w:pPr>
                        <w:spacing w:after="40" w:line="240" w:lineRule="auto"/>
                        <w:rPr>
                          <w:rFonts w:ascii="Arial" w:hAnsi="Arial" w:cs="Arial"/>
                          <w:sz w:val="12"/>
                          <w:szCs w:val="12"/>
                        </w:rPr>
                      </w:pPr>
                      <w:r w:rsidRPr="002A68B7">
                        <w:rPr>
                          <w:rFonts w:ascii="Arial" w:hAnsi="Arial" w:cs="Arial"/>
                          <w:sz w:val="12"/>
                          <w:szCs w:val="12"/>
                        </w:rPr>
                        <w:t>Placebo</w:t>
                      </w:r>
                    </w:p>
                  </w:txbxContent>
                </v:textbox>
                <w10:wrap anchorx="margin"/>
              </v:shape>
            </w:pict>
          </mc:Fallback>
        </mc:AlternateContent>
      </w:r>
      <w:r>
        <w:rPr>
          <w:noProof/>
          <w:sz w:val="18"/>
        </w:rPr>
        <mc:AlternateContent>
          <mc:Choice Requires="wps">
            <w:drawing>
              <wp:anchor distT="0" distB="0" distL="114300" distR="114300" simplePos="0" relativeHeight="251665408" behindDoc="0" locked="0" layoutInCell="1" allowOverlap="1" wp14:anchorId="29776EB5" wp14:editId="65DECFF9">
                <wp:simplePos x="0" y="0"/>
                <wp:positionH relativeFrom="column">
                  <wp:posOffset>285527</wp:posOffset>
                </wp:positionH>
                <wp:positionV relativeFrom="paragraph">
                  <wp:posOffset>3224687</wp:posOffset>
                </wp:positionV>
                <wp:extent cx="374073" cy="255319"/>
                <wp:effectExtent l="0" t="0" r="6985" b="0"/>
                <wp:wrapNone/>
                <wp:docPr id="5" name="Rectangle 5"/>
                <wp:cNvGraphicFramePr/>
                <a:graphic xmlns:a="http://schemas.openxmlformats.org/drawingml/2006/main">
                  <a:graphicData uri="http://schemas.microsoft.com/office/word/2010/wordprocessingShape">
                    <wps:wsp>
                      <wps:cNvSpPr/>
                      <wps:spPr>
                        <a:xfrm>
                          <a:off x="0" y="0"/>
                          <a:ext cx="374073" cy="2553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68E47" id="Rectangle 5" o:spid="_x0000_s1026" style="position:absolute;margin-left:22.5pt;margin-top:253.9pt;width:29.45pt;height:20.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" fillcolor="white [3212]" stroked="f" strokeweight="2pt"/>
            </w:pict>
          </mc:Fallback>
        </mc:AlternateContent>
      </w:r>
      <w:r w:rsidRPr="00406501">
        <w:rPr>
          <w:noProof/>
          <w:sz w:val="18"/>
        </w:rPr>
        <mc:AlternateContent>
          <mc:Choice Requires="wps">
            <w:drawing>
              <wp:anchor distT="45720" distB="45720" distL="114300" distR="114300" simplePos="0" relativeHeight="251664384" behindDoc="0" locked="0" layoutInCell="1" allowOverlap="1" wp14:anchorId="2FDD6278" wp14:editId="5B17555B">
                <wp:simplePos x="0" y="0"/>
                <wp:positionH relativeFrom="margin">
                  <wp:align>left</wp:align>
                </wp:positionH>
                <wp:positionV relativeFrom="paragraph">
                  <wp:posOffset>652463</wp:posOffset>
                </wp:positionV>
                <wp:extent cx="2699464" cy="1404620"/>
                <wp:effectExtent l="8890" t="1016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99464" cy="1404620"/>
                        </a:xfrm>
                        <a:prstGeom prst="rect">
                          <a:avLst/>
                        </a:prstGeom>
                        <a:noFill/>
                        <a:ln w="9525">
                          <a:noFill/>
                          <a:miter lim="800000"/>
                          <a:headEnd/>
                          <a:tailEnd/>
                        </a:ln>
                      </wps:spPr>
                      <wps:txbx>
                        <w:txbxContent>
                          <w:p w14:paraId="1C8F23AF" w14:textId="77777777" w:rsidR="00A429FD" w:rsidRPr="00EE3865" w:rsidRDefault="00A429FD" w:rsidP="00DB3EFE">
                            <w:pPr>
                              <w:jc w:val="center"/>
                              <w:rPr>
                                <w:sz w:val="20"/>
                                <w:szCs w:val="20"/>
                              </w:rPr>
                            </w:pPr>
                            <w:r w:rsidRPr="00EE3865">
                              <w:rPr>
                                <w:sz w:val="20"/>
                                <w:szCs w:val="20"/>
                              </w:rPr>
                              <w:t>Proportion of patients with BICLA response sustained up to Week 52</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FDD6278" id="_x0000_s1031" type="#_x0000_t202" style="position:absolute;left:0;text-align:left;margin-left:0;margin-top:51.4pt;width:212.55pt;height:110.6pt;rotation:-90;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" filled="f" stroked="f">
                <v:textbox style="mso-fit-shape-to-text:t" inset="0,0,0,0">
                  <w:txbxContent>
                    <w:p w14:paraId="1C8F23AF" w14:textId="77777777" w:rsidR="00A429FD" w:rsidRPr="00EE3865" w:rsidRDefault="00A429FD" w:rsidP="00DB3EFE">
                      <w:pPr>
                        <w:jc w:val="center"/>
                        <w:rPr>
                          <w:sz w:val="20"/>
                          <w:szCs w:val="20"/>
                        </w:rPr>
                      </w:pPr>
                      <w:r w:rsidRPr="00EE3865">
                        <w:rPr>
                          <w:sz w:val="20"/>
                          <w:szCs w:val="20"/>
                        </w:rPr>
                        <w:t>Proportion of patients with BICLA response sustained up to Week 52</w:t>
                      </w:r>
                    </w:p>
                  </w:txbxContent>
                </v:textbox>
                <w10:wrap anchorx="margin"/>
              </v:shape>
            </w:pict>
          </mc:Fallback>
        </mc:AlternateContent>
      </w:r>
      <w:r w:rsidRPr="00406501">
        <w:rPr>
          <w:noProof/>
          <w:szCs w:val="20"/>
        </w:rPr>
        <mc:AlternateContent>
          <mc:Choice Requires="wps">
            <w:drawing>
              <wp:anchor distT="45720" distB="45720" distL="114300" distR="114300" simplePos="0" relativeHeight="251662336" behindDoc="0" locked="0" layoutInCell="1" allowOverlap="1" wp14:anchorId="29327401" wp14:editId="0F990C14">
                <wp:simplePos x="0" y="0"/>
                <wp:positionH relativeFrom="column">
                  <wp:posOffset>990397</wp:posOffset>
                </wp:positionH>
                <wp:positionV relativeFrom="paragraph">
                  <wp:posOffset>63500</wp:posOffset>
                </wp:positionV>
                <wp:extent cx="1690777" cy="327804"/>
                <wp:effectExtent l="0" t="0" r="508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777" cy="327804"/>
                        </a:xfrm>
                        <a:prstGeom prst="rect">
                          <a:avLst/>
                        </a:prstGeom>
                        <a:noFill/>
                        <a:ln w="9525">
                          <a:noFill/>
                          <a:miter lim="800000"/>
                          <a:headEnd/>
                          <a:tailEnd/>
                        </a:ln>
                      </wps:spPr>
                      <wps:txbx>
                        <w:txbxContent>
                          <w:p w14:paraId="7A883F9E" w14:textId="77777777" w:rsidR="00A429FD" w:rsidRPr="005012E7" w:rsidRDefault="00A429FD" w:rsidP="00DB3EFE">
                            <w:pPr>
                              <w:spacing w:after="40" w:line="240" w:lineRule="auto"/>
                              <w:rPr>
                                <w:sz w:val="18"/>
                                <w:szCs w:val="16"/>
                              </w:rPr>
                            </w:pPr>
                            <w:proofErr w:type="spellStart"/>
                            <w:r w:rsidRPr="005012E7">
                              <w:rPr>
                                <w:sz w:val="18"/>
                                <w:szCs w:val="16"/>
                              </w:rPr>
                              <w:t>Anifrolumab</w:t>
                            </w:r>
                            <w:proofErr w:type="spellEnd"/>
                            <w:r w:rsidRPr="005012E7">
                              <w:rPr>
                                <w:sz w:val="18"/>
                                <w:szCs w:val="16"/>
                              </w:rPr>
                              <w:t xml:space="preserve"> 300</w:t>
                            </w:r>
                            <w:r>
                              <w:rPr>
                                <w:sz w:val="18"/>
                                <w:szCs w:val="16"/>
                              </w:rPr>
                              <w:t> </w:t>
                            </w:r>
                            <w:r w:rsidRPr="005012E7">
                              <w:rPr>
                                <w:sz w:val="18"/>
                                <w:szCs w:val="16"/>
                              </w:rPr>
                              <w:t xml:space="preserve">mg </w:t>
                            </w:r>
                          </w:p>
                          <w:p w14:paraId="57FD8A15" w14:textId="77777777" w:rsidR="00A429FD" w:rsidRPr="005012E7" w:rsidRDefault="00A429FD" w:rsidP="00DB3EFE">
                            <w:pPr>
                              <w:spacing w:line="240" w:lineRule="auto"/>
                              <w:rPr>
                                <w:sz w:val="18"/>
                                <w:szCs w:val="16"/>
                              </w:rPr>
                            </w:pPr>
                            <w:r w:rsidRPr="005012E7">
                              <w:rPr>
                                <w:sz w:val="18"/>
                                <w:szCs w:val="16"/>
                              </w:rPr>
                              <w:t>Placebo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27401" id="_x0000_s1032" type="#_x0000_t202" style="position:absolute;left:0;text-align:left;margin-left:78pt;margin-top:5pt;width:133.15pt;height:25.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" filled="f" stroked="f">
                <v:textbox inset="0,0,0,0">
                  <w:txbxContent>
                    <w:p w14:paraId="7A883F9E" w14:textId="77777777" w:rsidR="00A429FD" w:rsidRPr="005012E7" w:rsidRDefault="00A429FD" w:rsidP="00DB3EFE">
                      <w:pPr>
                        <w:spacing w:after="40" w:line="240" w:lineRule="auto"/>
                        <w:rPr>
                          <w:sz w:val="18"/>
                          <w:szCs w:val="16"/>
                        </w:rPr>
                      </w:pPr>
                      <w:proofErr w:type="spellStart"/>
                      <w:r w:rsidRPr="005012E7">
                        <w:rPr>
                          <w:sz w:val="18"/>
                          <w:szCs w:val="16"/>
                        </w:rPr>
                        <w:t>Anifrolumab</w:t>
                      </w:r>
                      <w:proofErr w:type="spellEnd"/>
                      <w:r w:rsidRPr="005012E7">
                        <w:rPr>
                          <w:sz w:val="18"/>
                          <w:szCs w:val="16"/>
                        </w:rPr>
                        <w:t xml:space="preserve"> 300</w:t>
                      </w:r>
                      <w:r>
                        <w:rPr>
                          <w:sz w:val="18"/>
                          <w:szCs w:val="16"/>
                        </w:rPr>
                        <w:t> </w:t>
                      </w:r>
                      <w:r w:rsidRPr="005012E7">
                        <w:rPr>
                          <w:sz w:val="18"/>
                          <w:szCs w:val="16"/>
                        </w:rPr>
                        <w:t xml:space="preserve">mg </w:t>
                      </w:r>
                    </w:p>
                    <w:p w14:paraId="57FD8A15" w14:textId="77777777" w:rsidR="00A429FD" w:rsidRPr="005012E7" w:rsidRDefault="00A429FD" w:rsidP="00DB3EFE">
                      <w:pPr>
                        <w:spacing w:line="240" w:lineRule="auto"/>
                        <w:rPr>
                          <w:sz w:val="18"/>
                          <w:szCs w:val="16"/>
                        </w:rPr>
                      </w:pPr>
                      <w:r w:rsidRPr="005012E7">
                        <w:rPr>
                          <w:sz w:val="18"/>
                          <w:szCs w:val="16"/>
                        </w:rPr>
                        <w:t>Placebo</w:t>
                      </w:r>
                    </w:p>
                  </w:txbxContent>
                </v:textbox>
              </v:shape>
            </w:pict>
          </mc:Fallback>
        </mc:AlternateContent>
      </w:r>
      <w:r w:rsidRPr="00406501">
        <w:rPr>
          <w:noProof/>
          <w:sz w:val="18"/>
        </w:rPr>
        <mc:AlternateContent>
          <mc:Choice Requires="wps">
            <w:drawing>
              <wp:anchor distT="45720" distB="45720" distL="114300" distR="114300" simplePos="0" relativeHeight="251663360" behindDoc="0" locked="0" layoutInCell="1" allowOverlap="1" wp14:anchorId="7D711A34" wp14:editId="77072CE8">
                <wp:simplePos x="0" y="0"/>
                <wp:positionH relativeFrom="margin">
                  <wp:align>center</wp:align>
                </wp:positionH>
                <wp:positionV relativeFrom="paragraph">
                  <wp:posOffset>2798699</wp:posOffset>
                </wp:positionV>
                <wp:extent cx="1126541" cy="263347"/>
                <wp:effectExtent l="0" t="0" r="0"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541" cy="263347"/>
                        </a:xfrm>
                        <a:prstGeom prst="rect">
                          <a:avLst/>
                        </a:prstGeom>
                        <a:solidFill>
                          <a:srgbClr val="FFFFFF"/>
                        </a:solidFill>
                        <a:ln w="9525">
                          <a:noFill/>
                          <a:miter lim="800000"/>
                          <a:headEnd/>
                          <a:tailEnd/>
                        </a:ln>
                      </wps:spPr>
                      <wps:txbx>
                        <w:txbxContent>
                          <w:p w14:paraId="0AA4CB4E" w14:textId="77777777" w:rsidR="00A429FD" w:rsidRDefault="00A429FD" w:rsidP="00DB3EFE">
                            <w:pPr>
                              <w:jc w:val="center"/>
                            </w:pPr>
                            <w:r>
                              <w:t>Time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11A34" id="_x0000_s1033" type="#_x0000_t202" style="position:absolute;left:0;text-align:left;margin-left:0;margin-top:220.35pt;width:88.7pt;height:20.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" stroked="f">
                <v:textbox>
                  <w:txbxContent>
                    <w:p w14:paraId="0AA4CB4E" w14:textId="77777777" w:rsidR="00A429FD" w:rsidRDefault="00A429FD" w:rsidP="00DB3EFE">
                      <w:pPr>
                        <w:jc w:val="center"/>
                      </w:pPr>
                      <w:r>
                        <w:t>Time (weeks)</w:t>
                      </w:r>
                    </w:p>
                  </w:txbxContent>
                </v:textbox>
                <w10:wrap anchorx="margin"/>
              </v:shape>
            </w:pict>
          </mc:Fallback>
        </mc:AlternateContent>
      </w:r>
      <w:r w:rsidRPr="00406501">
        <w:rPr>
          <w:noProof/>
          <w:sz w:val="18"/>
        </w:rPr>
        <w:drawing>
          <wp:inline distT="0" distB="0" distL="0" distR="0" wp14:anchorId="6952AF66" wp14:editId="241FC448">
            <wp:extent cx="5640779" cy="3510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jpg"/>
                    <pic:cNvPicPr/>
                  </pic:nvPicPr>
                  <pic:blipFill rotWithShape="1">
                    <a:blip r:embed="rId9">
                      <a:extLst>
                        <a:ext uri="{28A0092B-C50C-407E-A947-70E740481C1C}">
                          <a14:useLocalDpi xmlns:a14="http://schemas.microsoft.com/office/drawing/2010/main" val="0"/>
                        </a:ext>
                      </a:extLst>
                    </a:blip>
                    <a:srcRect r="782" b="1800"/>
                    <a:stretch/>
                  </pic:blipFill>
                  <pic:spPr bwMode="auto">
                    <a:xfrm>
                      <a:off x="0" y="0"/>
                      <a:ext cx="5651579" cy="3517637"/>
                    </a:xfrm>
                    <a:prstGeom prst="rect">
                      <a:avLst/>
                    </a:prstGeom>
                    <a:ln>
                      <a:noFill/>
                    </a:ln>
                    <a:extLst>
                      <a:ext uri="{53640926-AAD7-44D8-BBD7-CCE9431645EC}">
                        <a14:shadowObscured xmlns:a14="http://schemas.microsoft.com/office/drawing/2010/main"/>
                      </a:ext>
                    </a:extLst>
                  </pic:spPr>
                </pic:pic>
              </a:graphicData>
            </a:graphic>
          </wp:inline>
        </w:drawing>
      </w:r>
    </w:p>
    <w:p w14:paraId="6A59A395" w14:textId="77777777" w:rsidR="00DB3EFE" w:rsidRPr="00406501" w:rsidRDefault="00DB3EFE" w:rsidP="00DB3EFE">
      <w:pPr>
        <w:keepNext/>
        <w:spacing w:before="60"/>
        <w:rPr>
          <w:sz w:val="18"/>
        </w:rPr>
      </w:pPr>
      <w:r w:rsidRPr="00406501">
        <w:rPr>
          <w:sz w:val="18"/>
          <w:szCs w:val="18"/>
        </w:rPr>
        <w:t>Patients without a BICLA response sustained up to Week 52 were censored at the date of treatment discontinuation, or Week 52, whichever occurred earlier.</w:t>
      </w:r>
    </w:p>
    <w:p w14:paraId="0BE57D19" w14:textId="5F390944" w:rsidR="00DB3EFE" w:rsidRPr="00406501" w:rsidRDefault="00DB3EFE" w:rsidP="008B4EE0">
      <w:pPr>
        <w:pStyle w:val="Paragraph"/>
      </w:pPr>
      <w:bookmarkStart w:id="65" w:name="_Hlk23171947"/>
      <w:r w:rsidRPr="00406501">
        <w:t xml:space="preserve">The treatment effect of </w:t>
      </w:r>
      <w:proofErr w:type="spellStart"/>
      <w:r w:rsidRPr="00406501">
        <w:t>anifrolumab</w:t>
      </w:r>
      <w:proofErr w:type="spellEnd"/>
      <w:r w:rsidRPr="00406501">
        <w:t xml:space="preserve"> relative to placebo</w:t>
      </w:r>
      <w:r w:rsidR="00165514" w:rsidRPr="00BE25A8">
        <w:t>, as measured by BICLA response,</w:t>
      </w:r>
      <w:r w:rsidRPr="00406501">
        <w:t xml:space="preserve"> was consistent across subgroups (by age, gender, race, ethnicity, disease severity [SLEDAI-2K at baseline] and baseline OCS use).</w:t>
      </w:r>
    </w:p>
    <w:p w14:paraId="6A151C62" w14:textId="4A0D709C" w:rsidR="00DB3EFE" w:rsidRPr="00406501" w:rsidRDefault="00DB3EFE" w:rsidP="008B4EE0">
      <w:pPr>
        <w:pStyle w:val="Paragraph"/>
      </w:pPr>
      <w:r w:rsidRPr="00406501">
        <w:t xml:space="preserve">In patients with a baseline OCS use ≥10 mg/day, the cumulative OCS dose was lower in patients treated with </w:t>
      </w:r>
      <w:proofErr w:type="spellStart"/>
      <w:r w:rsidRPr="00406501">
        <w:t>anifrolumab</w:t>
      </w:r>
      <w:proofErr w:type="spellEnd"/>
      <w:r w:rsidRPr="00406501">
        <w:t xml:space="preserve">. The median (min, max) cumulative OCS dose at Week 52 was </w:t>
      </w:r>
      <w:r w:rsidR="009D538D" w:rsidRPr="00AE04B5">
        <w:t>3229</w:t>
      </w:r>
      <w:r w:rsidR="009D538D">
        <w:t> </w:t>
      </w:r>
      <w:r w:rsidR="009D538D" w:rsidRPr="00AE04B5">
        <w:t>mg (718, 9893) versus 3697</w:t>
      </w:r>
      <w:r w:rsidR="009D538D">
        <w:t> m</w:t>
      </w:r>
      <w:r w:rsidR="009D538D" w:rsidRPr="00AE04B5">
        <w:t xml:space="preserve">g (988, 11988) </w:t>
      </w:r>
      <w:r w:rsidR="009D538D" w:rsidRPr="004101B0">
        <w:t>in Trial</w:t>
      </w:r>
      <w:r w:rsidR="009D538D">
        <w:t> </w:t>
      </w:r>
      <w:r w:rsidR="009D538D" w:rsidRPr="004101B0">
        <w:t>2 and</w:t>
      </w:r>
      <w:r w:rsidR="009D538D" w:rsidRPr="00406501">
        <w:t xml:space="preserve"> </w:t>
      </w:r>
      <w:r w:rsidRPr="00406501">
        <w:t xml:space="preserve">3197 mg (309, 13265) </w:t>
      </w:r>
      <w:r w:rsidR="009D538D">
        <w:t>versus</w:t>
      </w:r>
      <w:r w:rsidRPr="00406501">
        <w:t xml:space="preserve"> 3640 mg (1745, 10920) </w:t>
      </w:r>
      <w:r w:rsidR="009D538D">
        <w:t xml:space="preserve">in Trial 3 </w:t>
      </w:r>
      <w:r w:rsidRPr="00406501">
        <w:t xml:space="preserve">for the </w:t>
      </w:r>
      <w:proofErr w:type="spellStart"/>
      <w:r w:rsidR="009D538D">
        <w:t>anifrolumab</w:t>
      </w:r>
      <w:proofErr w:type="spellEnd"/>
      <w:r w:rsidR="009D538D">
        <w:t xml:space="preserve"> and </w:t>
      </w:r>
      <w:r w:rsidRPr="00406501">
        <w:t>placebo group</w:t>
      </w:r>
      <w:r w:rsidR="009D538D">
        <w:t>s, respectively</w:t>
      </w:r>
      <w:r w:rsidRPr="00406501">
        <w:t>.</w:t>
      </w:r>
      <w:bookmarkStart w:id="66" w:name="_Hlk42604333"/>
    </w:p>
    <w:p w14:paraId="46EED5CF" w14:textId="65E1C8C5" w:rsidR="00DB3EFE" w:rsidRPr="00406501" w:rsidRDefault="009D538D" w:rsidP="008B4EE0">
      <w:pPr>
        <w:pStyle w:val="Paragraph"/>
      </w:pPr>
      <w:bookmarkStart w:id="67" w:name="_Hlk42673130"/>
      <w:r w:rsidRPr="00E02622">
        <w:t xml:space="preserve">In patients with moderate to severe skin disease (CLASI score ≥10 at baseline), the improvement in cutaneous SLE lesions measured at </w:t>
      </w:r>
      <w:r>
        <w:t>W</w:t>
      </w:r>
      <w:r w:rsidRPr="00E02622">
        <w:t>eek</w:t>
      </w:r>
      <w:r>
        <w:t> </w:t>
      </w:r>
      <w:r w:rsidRPr="00E02622">
        <w:t>12 (Table</w:t>
      </w:r>
      <w:r>
        <w:t> 2</w:t>
      </w:r>
      <w:r w:rsidRPr="00E02622">
        <w:t xml:space="preserve">) </w:t>
      </w:r>
      <w:r>
        <w:t>was</w:t>
      </w:r>
      <w:r w:rsidRPr="00E02622">
        <w:t xml:space="preserve"> maintained through Week</w:t>
      </w:r>
      <w:r>
        <w:t> </w:t>
      </w:r>
      <w:r w:rsidRPr="00E02622">
        <w:t xml:space="preserve">52. </w:t>
      </w:r>
      <w:r w:rsidR="00DB3EFE" w:rsidRPr="00406501">
        <w:t xml:space="preserve">At any time during the </w:t>
      </w:r>
      <w:r w:rsidRPr="00E02622">
        <w:t>treatment period, respectively in Trials</w:t>
      </w:r>
      <w:r>
        <w:t> </w:t>
      </w:r>
      <w:r w:rsidRPr="00E02622">
        <w:t>2 and 3</w:t>
      </w:r>
      <w:r w:rsidR="00DB3EFE" w:rsidRPr="00406501">
        <w:t xml:space="preserve">, patients </w:t>
      </w:r>
      <w:r>
        <w:t>receiving</w:t>
      </w:r>
      <w:r w:rsidR="00DB3EFE" w:rsidRPr="00406501">
        <w:t xml:space="preserve"> </w:t>
      </w:r>
      <w:proofErr w:type="spellStart"/>
      <w:r w:rsidR="00DB3EFE" w:rsidRPr="00406501">
        <w:t>anifrolumab</w:t>
      </w:r>
      <w:proofErr w:type="spellEnd"/>
      <w:r w:rsidR="00DB3EFE" w:rsidRPr="00406501">
        <w:t xml:space="preserve"> were</w:t>
      </w:r>
      <w:r>
        <w:t xml:space="preserve"> 91% and</w:t>
      </w:r>
      <w:r w:rsidR="00DB3EFE" w:rsidRPr="00406501">
        <w:t xml:space="preserve"> 55% more likely to achieve a sustained CLASI response (defined as a </w:t>
      </w:r>
      <w:r w:rsidRPr="00231191">
        <w:t>≥50% reduction in CLASI activity score, in the subgroup of subjects with baseline CLASI activity score ≥10, that was</w:t>
      </w:r>
      <w:r w:rsidR="00DB3EFE" w:rsidRPr="00406501">
        <w:t xml:space="preserve"> attained at any time during the study and subsequently sustained at all visits through to Week 52), relative to patients receiving placebo (</w:t>
      </w:r>
      <w:r w:rsidR="00A564DC" w:rsidRPr="00E02622">
        <w:t>Trial</w:t>
      </w:r>
      <w:r w:rsidR="00A564DC">
        <w:t> </w:t>
      </w:r>
      <w:r w:rsidR="00A564DC" w:rsidRPr="00E02622">
        <w:t xml:space="preserve">2 HR </w:t>
      </w:r>
      <w:r w:rsidR="00A564DC">
        <w:t>= 1.91,</w:t>
      </w:r>
      <w:r w:rsidR="00A564DC" w:rsidRPr="00E02622">
        <w:t xml:space="preserve"> 95% CI </w:t>
      </w:r>
      <w:r w:rsidR="00A564DC">
        <w:t>1.14</w:t>
      </w:r>
      <w:r w:rsidR="00A564DC" w:rsidRPr="00E02622">
        <w:t xml:space="preserve">, </w:t>
      </w:r>
      <w:r w:rsidR="00A564DC">
        <w:t>3.27</w:t>
      </w:r>
      <w:r w:rsidR="00A564DC" w:rsidRPr="00E02622">
        <w:t>; Trial</w:t>
      </w:r>
      <w:r w:rsidR="00A564DC">
        <w:t> </w:t>
      </w:r>
      <w:r w:rsidR="00A564DC" w:rsidRPr="00E02622">
        <w:t xml:space="preserve">3 HR </w:t>
      </w:r>
      <w:r w:rsidR="00DB3EFE" w:rsidRPr="00406501">
        <w:t>=</w:t>
      </w:r>
      <w:r w:rsidR="008B4EE0">
        <w:t xml:space="preserve"> </w:t>
      </w:r>
      <w:r w:rsidR="00DB3EFE" w:rsidRPr="00406501">
        <w:t>1.55, 95% CI 0.87, 2.85).</w:t>
      </w:r>
      <w:bookmarkEnd w:id="67"/>
    </w:p>
    <w:bookmarkEnd w:id="66"/>
    <w:p w14:paraId="538D49DA" w14:textId="7A3605AD" w:rsidR="00DB3EFE" w:rsidRPr="00406501" w:rsidRDefault="00DB3EFE" w:rsidP="008B4EE0">
      <w:pPr>
        <w:pStyle w:val="Paragraph"/>
      </w:pPr>
      <w:r w:rsidRPr="00406501">
        <w:t>In Trial</w:t>
      </w:r>
      <w:r w:rsidR="00A564DC">
        <w:t>s 2 and</w:t>
      </w:r>
      <w:r w:rsidRPr="00406501">
        <w:t xml:space="preserve"> 3, </w:t>
      </w:r>
      <w:r w:rsidR="00A564DC">
        <w:t>respectively, 63.9</w:t>
      </w:r>
      <w:r w:rsidR="00A564DC" w:rsidRPr="00E02622">
        <w:t>% (</w:t>
      </w:r>
      <w:r w:rsidR="00A564DC">
        <w:t>115</w:t>
      </w:r>
      <w:r w:rsidR="00A564DC" w:rsidRPr="00E02622">
        <w:t>/</w:t>
      </w:r>
      <w:r w:rsidR="00A564DC">
        <w:t>180</w:t>
      </w:r>
      <w:r w:rsidR="00A564DC" w:rsidRPr="00E02622">
        <w:t xml:space="preserve">) and </w:t>
      </w:r>
      <w:r w:rsidRPr="00406501">
        <w:t xml:space="preserve">68.9% </w:t>
      </w:r>
      <w:r w:rsidR="008B4EE0">
        <w:t>(</w:t>
      </w:r>
      <w:r w:rsidRPr="00406501">
        <w:t>124/180</w:t>
      </w:r>
      <w:r w:rsidR="008B4EE0">
        <w:t>)</w:t>
      </w:r>
      <w:r w:rsidRPr="00406501">
        <w:t xml:space="preserve"> of patients receiving </w:t>
      </w:r>
      <w:proofErr w:type="spellStart"/>
      <w:r w:rsidRPr="00406501">
        <w:t>anifrolumab</w:t>
      </w:r>
      <w:proofErr w:type="spellEnd"/>
      <w:r w:rsidRPr="00406501">
        <w:t xml:space="preserve"> experienced no SLE flares compared to </w:t>
      </w:r>
      <w:r w:rsidR="00A564DC">
        <w:t xml:space="preserve">56.5% (104/184) and </w:t>
      </w:r>
      <w:r w:rsidRPr="00406501">
        <w:t xml:space="preserve">57.7% </w:t>
      </w:r>
      <w:r w:rsidR="008B4EE0">
        <w:t>(</w:t>
      </w:r>
      <w:r w:rsidRPr="00406501">
        <w:t>105/182</w:t>
      </w:r>
      <w:r w:rsidR="008B4EE0">
        <w:t>)</w:t>
      </w:r>
      <w:r w:rsidRPr="00406501">
        <w:t xml:space="preserve"> of patients receiving placebo, during the 52-week treatment period. The time to first flare was longer in the </w:t>
      </w:r>
      <w:proofErr w:type="spellStart"/>
      <w:r w:rsidRPr="00406501">
        <w:t>anifrolumab</w:t>
      </w:r>
      <w:proofErr w:type="spellEnd"/>
      <w:r w:rsidRPr="00406501">
        <w:t xml:space="preserve"> group, at any time during the study patients had a 35% lower risk of </w:t>
      </w:r>
      <w:r w:rsidRPr="00406501">
        <w:lastRenderedPageBreak/>
        <w:t>experiencing a first flare relative to patients receiving placebo (</w:t>
      </w:r>
      <w:r w:rsidR="00A564DC" w:rsidRPr="00E02622">
        <w:t>Tri</w:t>
      </w:r>
      <w:r w:rsidR="00A564DC">
        <w:t>a</w:t>
      </w:r>
      <w:r w:rsidR="00A564DC" w:rsidRPr="00E02622">
        <w:t>l</w:t>
      </w:r>
      <w:r w:rsidR="00A564DC">
        <w:t> </w:t>
      </w:r>
      <w:r w:rsidR="00A564DC" w:rsidRPr="00E02622">
        <w:t xml:space="preserve">2 HR </w:t>
      </w:r>
      <w:r w:rsidR="001E0DE1">
        <w:t xml:space="preserve">= </w:t>
      </w:r>
      <w:r w:rsidR="00A564DC" w:rsidRPr="00E02622">
        <w:t>0.76</w:t>
      </w:r>
      <w:r w:rsidR="00A564DC">
        <w:t>,</w:t>
      </w:r>
      <w:r w:rsidR="00A564DC" w:rsidRPr="00E02622">
        <w:t xml:space="preserve"> 95% CI 0.55, 1.06; Trial</w:t>
      </w:r>
      <w:r w:rsidR="00A564DC">
        <w:t> </w:t>
      </w:r>
      <w:r w:rsidR="00A564DC" w:rsidRPr="00E02622">
        <w:t xml:space="preserve">3 HR </w:t>
      </w:r>
      <w:r w:rsidRPr="00406501">
        <w:t>=</w:t>
      </w:r>
      <w:r w:rsidR="00B17B53">
        <w:t xml:space="preserve"> </w:t>
      </w:r>
      <w:r w:rsidRPr="00406501">
        <w:t>0.65</w:t>
      </w:r>
      <w:r w:rsidR="00B17B53">
        <w:t>,</w:t>
      </w:r>
      <w:r w:rsidRPr="00406501">
        <w:t xml:space="preserve"> 95% CI 0.46, 0.91).</w:t>
      </w:r>
    </w:p>
    <w:p w14:paraId="43C52303" w14:textId="0B384F4D" w:rsidR="007403BD" w:rsidRPr="007403BD" w:rsidRDefault="00DB3EFE" w:rsidP="008B4EE0">
      <w:pPr>
        <w:pStyle w:val="Paragraph"/>
      </w:pPr>
      <w:bookmarkStart w:id="68" w:name="_Hlk43993497"/>
      <w:bookmarkEnd w:id="63"/>
      <w:bookmarkEnd w:id="65"/>
      <w:r w:rsidRPr="00406501">
        <w:t xml:space="preserve">The proportion of patients who reported improvement in fatigue, as measured by FACIT-F responder rate (improvement from baseline at Week 52 of &gt;3 points), was </w:t>
      </w:r>
      <w:r w:rsidR="001E0DE1" w:rsidRPr="00003F61">
        <w:t>35.4</w:t>
      </w:r>
      <w:r w:rsidR="001E0DE1" w:rsidRPr="00E02622">
        <w:t xml:space="preserve">% versus </w:t>
      </w:r>
      <w:r w:rsidR="001E0DE1" w:rsidRPr="00003F61">
        <w:t>28.4</w:t>
      </w:r>
      <w:r w:rsidR="001E0DE1" w:rsidRPr="00E02622">
        <w:t>% in Trial</w:t>
      </w:r>
      <w:r w:rsidR="001E0DE1">
        <w:t> </w:t>
      </w:r>
      <w:r w:rsidR="001E0DE1" w:rsidRPr="00E02622">
        <w:t xml:space="preserve">2 </w:t>
      </w:r>
      <w:r w:rsidR="001E0DE1">
        <w:t>(</w:t>
      </w:r>
      <w:r w:rsidR="001E0DE1" w:rsidRPr="00003F61">
        <w:t>difference 7.1%, 95%</w:t>
      </w:r>
      <w:r w:rsidR="001E0DE1">
        <w:t> </w:t>
      </w:r>
      <w:r w:rsidR="001E0DE1" w:rsidRPr="00003F61">
        <w:t>CI</w:t>
      </w:r>
      <w:r w:rsidR="001E0DE1">
        <w:t xml:space="preserve"> </w:t>
      </w:r>
      <w:r w:rsidR="001E0DE1">
        <w:noBreakHyphen/>
      </w:r>
      <w:r w:rsidR="001E0DE1" w:rsidRPr="00003F61">
        <w:t>2.6, 16.7</w:t>
      </w:r>
      <w:r w:rsidR="001E0DE1">
        <w:t xml:space="preserve">) </w:t>
      </w:r>
      <w:r w:rsidR="001E0DE1" w:rsidRPr="00E02622">
        <w:t xml:space="preserve">and </w:t>
      </w:r>
      <w:r w:rsidRPr="00406501">
        <w:t xml:space="preserve">33.2% </w:t>
      </w:r>
      <w:r w:rsidR="001E0DE1">
        <w:t>versus</w:t>
      </w:r>
      <w:r w:rsidRPr="00406501">
        <w:t xml:space="preserve"> 24.7% </w:t>
      </w:r>
      <w:r w:rsidR="001E0DE1">
        <w:t xml:space="preserve">in Trial 3 </w:t>
      </w:r>
      <w:r w:rsidR="001E0DE1" w:rsidRPr="00046E1D">
        <w:t>(difference 8.5%, 95%</w:t>
      </w:r>
      <w:r w:rsidR="001E0DE1">
        <w:t> </w:t>
      </w:r>
      <w:r w:rsidR="001E0DE1" w:rsidRPr="00046E1D">
        <w:t xml:space="preserve">CI </w:t>
      </w:r>
      <w:r w:rsidR="001E0DE1">
        <w:noBreakHyphen/>
      </w:r>
      <w:r w:rsidR="001E0DE1" w:rsidRPr="00046E1D">
        <w:t>0.9, 17.9</w:t>
      </w:r>
      <w:r w:rsidR="001E0DE1">
        <w:t>)</w:t>
      </w:r>
      <w:r w:rsidR="001E0DE1" w:rsidRPr="00046E1D">
        <w:t xml:space="preserve"> </w:t>
      </w:r>
      <w:r w:rsidRPr="00406501">
        <w:t xml:space="preserve">for </w:t>
      </w:r>
      <w:r w:rsidR="001E0DE1">
        <w:t xml:space="preserve">the </w:t>
      </w:r>
      <w:proofErr w:type="spellStart"/>
      <w:r w:rsidR="001E0DE1">
        <w:t>anifrolumab</w:t>
      </w:r>
      <w:proofErr w:type="spellEnd"/>
      <w:r w:rsidR="001E0DE1">
        <w:t xml:space="preserve"> and </w:t>
      </w:r>
      <w:r w:rsidRPr="00406501">
        <w:t xml:space="preserve">placebo </w:t>
      </w:r>
      <w:r w:rsidR="001E0DE1">
        <w:t>groups, respectively</w:t>
      </w:r>
      <w:r w:rsidRPr="00406501">
        <w:t>.</w:t>
      </w:r>
      <w:bookmarkEnd w:id="68"/>
    </w:p>
    <w:p w14:paraId="7CDD0F8A" w14:textId="77777777" w:rsidR="001A3992" w:rsidRDefault="007403BD" w:rsidP="003B7CFF">
      <w:pPr>
        <w:pStyle w:val="Heading2"/>
      </w:pPr>
      <w:r>
        <w:t>Pharmacokinetic properties</w:t>
      </w:r>
    </w:p>
    <w:p w14:paraId="146D0A62" w14:textId="77777777" w:rsidR="00C868FE" w:rsidRPr="00406501" w:rsidRDefault="00C868FE" w:rsidP="00C868FE">
      <w:pPr>
        <w:pStyle w:val="Paragraph"/>
      </w:pPr>
      <w:bookmarkStart w:id="69" w:name="_Hlk42262027"/>
      <w:r w:rsidRPr="00406501">
        <w:t xml:space="preserve">The pharmacokinetics (PK) of </w:t>
      </w:r>
      <w:proofErr w:type="spellStart"/>
      <w:r w:rsidRPr="00406501">
        <w:t>anifrolumab</w:t>
      </w:r>
      <w:proofErr w:type="spellEnd"/>
      <w:r w:rsidRPr="00406501">
        <w:t xml:space="preserve"> was studied in adult patients with SLE following IV doses ranging from 100 to 1000 mg, once every 4 weeks, and healthy volunteers following a single dose.</w:t>
      </w:r>
    </w:p>
    <w:p w14:paraId="7C6A4885" w14:textId="0E173AB5" w:rsidR="00C868FE" w:rsidRDefault="00C868FE" w:rsidP="00C868FE">
      <w:pPr>
        <w:pStyle w:val="Paragraph"/>
      </w:pPr>
      <w:proofErr w:type="spellStart"/>
      <w:r w:rsidRPr="00406501">
        <w:t>Anifrolumab</w:t>
      </w:r>
      <w:proofErr w:type="spellEnd"/>
      <w:r w:rsidRPr="00406501">
        <w:t xml:space="preserve"> exhibits nonlinear PK in the dose range of 100 mg to 1000 mg. PK exposure decreased more rapidly at doses lower than 300 mg every 4 weeks (the recommended dosage).</w:t>
      </w:r>
      <w:bookmarkEnd w:id="69"/>
    </w:p>
    <w:p w14:paraId="647775DE" w14:textId="14181F02" w:rsidR="001A3992" w:rsidRDefault="001A3992" w:rsidP="0026491B">
      <w:pPr>
        <w:pStyle w:val="Heading3Unnumbered"/>
      </w:pPr>
      <w:r w:rsidRPr="00377337">
        <w:t>Absorption</w:t>
      </w:r>
    </w:p>
    <w:p w14:paraId="55F1AE8C" w14:textId="404368C0" w:rsidR="007403BD" w:rsidRPr="007403BD" w:rsidRDefault="003D26B4" w:rsidP="007403BD">
      <w:pPr>
        <w:pStyle w:val="Paragraph"/>
      </w:pPr>
      <w:bookmarkStart w:id="70" w:name="_Hlk42262006"/>
      <w:r>
        <w:t>SAPHNELO</w:t>
      </w:r>
      <w:r w:rsidR="00C868FE" w:rsidRPr="00406501">
        <w:t xml:space="preserve"> is administered by intravenous infusion.</w:t>
      </w:r>
      <w:bookmarkEnd w:id="70"/>
    </w:p>
    <w:p w14:paraId="33C21617" w14:textId="77777777" w:rsidR="001A3992" w:rsidRDefault="001A3992" w:rsidP="0026491B">
      <w:pPr>
        <w:pStyle w:val="Heading3Unnumbered"/>
      </w:pPr>
      <w:r w:rsidRPr="00377337">
        <w:t>Distribution</w:t>
      </w:r>
    </w:p>
    <w:p w14:paraId="33077E58" w14:textId="77777777" w:rsidR="00C868FE" w:rsidRPr="00406501" w:rsidRDefault="00C868FE" w:rsidP="00C868FE">
      <w:pPr>
        <w:pStyle w:val="Paragraph"/>
      </w:pPr>
      <w:bookmarkStart w:id="71" w:name="_Hlk42262068"/>
      <w:r w:rsidRPr="00406501">
        <w:rPr>
          <w:bCs/>
        </w:rPr>
        <w:t xml:space="preserve">Based on population pharmacokinetic analysis, </w:t>
      </w:r>
      <w:r w:rsidRPr="00406501">
        <w:t xml:space="preserve">the estimated central and peripheral volumes of distribution for </w:t>
      </w:r>
      <w:proofErr w:type="spellStart"/>
      <w:r w:rsidRPr="00406501">
        <w:t>anifrolumab</w:t>
      </w:r>
      <w:proofErr w:type="spellEnd"/>
      <w:r w:rsidRPr="00406501">
        <w:t xml:space="preserve"> were 2.93 L (with 26.9% CV inter-individual variability) and 3.3 L, respectively for a 69.1 kg patient.</w:t>
      </w:r>
    </w:p>
    <w:bookmarkEnd w:id="71"/>
    <w:p w14:paraId="2F70F9CD" w14:textId="60CBC892" w:rsidR="001A3992" w:rsidRDefault="00123049" w:rsidP="0026491B">
      <w:pPr>
        <w:pStyle w:val="Heading3Unnumbered"/>
      </w:pPr>
      <w:r>
        <w:t>Metabolism</w:t>
      </w:r>
    </w:p>
    <w:p w14:paraId="6B004067" w14:textId="77777777" w:rsidR="00C868FE" w:rsidRPr="00406501" w:rsidRDefault="00C868FE" w:rsidP="00C868FE">
      <w:pPr>
        <w:pStyle w:val="Paragraph"/>
      </w:pPr>
      <w:bookmarkStart w:id="72" w:name="_Hlk42262101"/>
      <w:proofErr w:type="spellStart"/>
      <w:r w:rsidRPr="00406501">
        <w:t>Anifrolumab</w:t>
      </w:r>
      <w:proofErr w:type="spellEnd"/>
      <w:r w:rsidRPr="00406501">
        <w:t xml:space="preserve"> is a protein, therefore specific metabolism studies have not been conducted.</w:t>
      </w:r>
      <w:bookmarkEnd w:id="72"/>
    </w:p>
    <w:p w14:paraId="03B3B04D" w14:textId="20145F6D" w:rsidR="00C868FE" w:rsidRPr="00406501" w:rsidRDefault="005E12E5" w:rsidP="00C868FE">
      <w:pPr>
        <w:pStyle w:val="Paragraph"/>
      </w:pPr>
      <w:proofErr w:type="spellStart"/>
      <w:r>
        <w:t>Anifrolumab</w:t>
      </w:r>
      <w:proofErr w:type="spellEnd"/>
      <w:r w:rsidR="00C868FE" w:rsidRPr="00406501">
        <w:t xml:space="preserve"> is expected to be degraded, into small peptides and individual amino acids, by proteolytic enzymes that are widely distributed in the body</w:t>
      </w:r>
      <w:r w:rsidR="00CC11BB">
        <w:t xml:space="preserve"> and not restricted to hepatic tissues</w:t>
      </w:r>
      <w:r w:rsidR="00C868FE" w:rsidRPr="00406501">
        <w:t>.</w:t>
      </w:r>
    </w:p>
    <w:p w14:paraId="5B6CEFEC" w14:textId="77777777" w:rsidR="001A3992" w:rsidRDefault="001A3992" w:rsidP="0026491B">
      <w:pPr>
        <w:pStyle w:val="Heading3Unnumbered"/>
      </w:pPr>
      <w:r w:rsidRPr="00377337">
        <w:t>Excretion</w:t>
      </w:r>
    </w:p>
    <w:p w14:paraId="10DA04BD" w14:textId="1AEF5A40" w:rsidR="00C868FE" w:rsidRPr="00406501" w:rsidRDefault="00C868FE" w:rsidP="00C868FE">
      <w:pPr>
        <w:pStyle w:val="Paragraph"/>
      </w:pPr>
      <w:bookmarkStart w:id="73" w:name="_Hlk42262136"/>
      <w:r w:rsidRPr="00406501">
        <w:t xml:space="preserve">There was a greater-than-dose-proportional </w:t>
      </w:r>
      <w:r w:rsidR="00417149">
        <w:t>increase</w:t>
      </w:r>
      <w:r w:rsidRPr="00406501">
        <w:t xml:space="preserve"> in drug exposure due to IFNAR1-mediated drug clearance.</w:t>
      </w:r>
    </w:p>
    <w:p w14:paraId="7D3D0A7F" w14:textId="53BACD5A" w:rsidR="007403BD" w:rsidRDefault="00C868FE" w:rsidP="007403BD">
      <w:pPr>
        <w:pStyle w:val="Paragraph"/>
        <w:rPr>
          <w:bCs/>
        </w:rPr>
      </w:pPr>
      <w:r w:rsidRPr="00406501">
        <w:rPr>
          <w:bCs/>
        </w:rPr>
        <w:t xml:space="preserve">From population PK modelling the estimated typical systemic clearance (CL) was 0.193 L/day with a 33.0% CV </w:t>
      </w:r>
      <w:r w:rsidRPr="00406501">
        <w:t>inter</w:t>
      </w:r>
      <w:r w:rsidRPr="00406501">
        <w:noBreakHyphen/>
        <w:t>individual variability</w:t>
      </w:r>
      <w:r w:rsidRPr="00406501">
        <w:rPr>
          <w:bCs/>
        </w:rPr>
        <w:t>. The median CL decreases slowly over time, with 8.4% after 1 year of treatment.</w:t>
      </w:r>
      <w:bookmarkEnd w:id="73"/>
    </w:p>
    <w:p w14:paraId="4064C4E5" w14:textId="74E25ECE" w:rsidR="00344F38" w:rsidRDefault="00344F38" w:rsidP="007403BD">
      <w:pPr>
        <w:pStyle w:val="Paragraph"/>
        <w:rPr>
          <w:bCs/>
        </w:rPr>
      </w:pPr>
      <w:r w:rsidRPr="005E1D11">
        <w:t xml:space="preserve">Based on population PK analysis, serum concentrations were below detection in 95% of patients approximately 16 weeks after the last dose of </w:t>
      </w:r>
      <w:proofErr w:type="spellStart"/>
      <w:r w:rsidRPr="005E1D11">
        <w:t>anifrolumab</w:t>
      </w:r>
      <w:proofErr w:type="spellEnd"/>
      <w:r w:rsidRPr="005E1D11">
        <w:t xml:space="preserve">, when </w:t>
      </w:r>
      <w:proofErr w:type="spellStart"/>
      <w:r w:rsidRPr="005E1D11">
        <w:t>anifrolumab</w:t>
      </w:r>
      <w:proofErr w:type="spellEnd"/>
      <w:r w:rsidRPr="005E1D11">
        <w:t xml:space="preserve"> has been dosed for one year</w:t>
      </w:r>
      <w:r>
        <w:t>.</w:t>
      </w:r>
    </w:p>
    <w:p w14:paraId="4862E2CB" w14:textId="77777777" w:rsidR="00C868FE" w:rsidRPr="00406501" w:rsidRDefault="00C868FE" w:rsidP="00C868FE">
      <w:pPr>
        <w:pStyle w:val="Heading3Unnumbered"/>
      </w:pPr>
      <w:bookmarkStart w:id="74" w:name="_Hlk42262177"/>
      <w:r w:rsidRPr="00406501">
        <w:t>Special populations</w:t>
      </w:r>
    </w:p>
    <w:p w14:paraId="14A36AD4" w14:textId="77777777" w:rsidR="00C868FE" w:rsidRPr="00406501" w:rsidRDefault="00C868FE" w:rsidP="00C868FE">
      <w:pPr>
        <w:pStyle w:val="Paragraph"/>
      </w:pPr>
      <w:bookmarkStart w:id="75" w:name="_Hlk43104589"/>
      <w:r w:rsidRPr="00406501">
        <w:t>There was no clinically meaningful difference in systemic clearance based on age, race, ethnicity, region,</w:t>
      </w:r>
      <w:r w:rsidRPr="00406501">
        <w:rPr>
          <w:rStyle w:val="EndnoteReference"/>
        </w:rPr>
        <w:t xml:space="preserve"> </w:t>
      </w:r>
      <w:r w:rsidRPr="00406501">
        <w:t>gender, IFN status or body weight, that requires dose adjustment.</w:t>
      </w:r>
    </w:p>
    <w:bookmarkEnd w:id="75"/>
    <w:p w14:paraId="5C45FBC4" w14:textId="089EAF13" w:rsidR="00C868FE" w:rsidRPr="00406501" w:rsidRDefault="00C868FE" w:rsidP="00C868FE">
      <w:pPr>
        <w:pStyle w:val="Heading4Unnumbered"/>
      </w:pPr>
      <w:r w:rsidRPr="00406501">
        <w:lastRenderedPageBreak/>
        <w:t>Elderly patients</w:t>
      </w:r>
    </w:p>
    <w:p w14:paraId="03D86340" w14:textId="77777777" w:rsidR="00C868FE" w:rsidRPr="00406501" w:rsidRDefault="00C868FE" w:rsidP="00C868FE">
      <w:pPr>
        <w:pStyle w:val="Paragraph"/>
      </w:pPr>
      <w:r w:rsidRPr="00406501">
        <w:t xml:space="preserve">Based on the population PK analysis, age (range 18 to 69 years) did not impact the clearance of </w:t>
      </w:r>
      <w:proofErr w:type="spellStart"/>
      <w:r w:rsidRPr="00406501">
        <w:t>anifrolumab</w:t>
      </w:r>
      <w:proofErr w:type="spellEnd"/>
      <w:r w:rsidRPr="00406501">
        <w:t xml:space="preserve">; there were 20 (3%) patients ≥65 years of age. </w:t>
      </w:r>
      <w:r w:rsidRPr="00406501">
        <w:rPr>
          <w:bCs/>
          <w:iCs/>
        </w:rPr>
        <w:t xml:space="preserve">No overall differences in safety or effectiveness were observed between older and younger patients who received </w:t>
      </w:r>
      <w:proofErr w:type="spellStart"/>
      <w:r w:rsidRPr="00406501">
        <w:rPr>
          <w:bCs/>
          <w:iCs/>
        </w:rPr>
        <w:t>anifrolumab</w:t>
      </w:r>
      <w:proofErr w:type="spellEnd"/>
      <w:r w:rsidRPr="00406501">
        <w:rPr>
          <w:bCs/>
          <w:iCs/>
        </w:rPr>
        <w:t xml:space="preserve"> in clinical trials.</w:t>
      </w:r>
    </w:p>
    <w:p w14:paraId="1F6447F2" w14:textId="77777777" w:rsidR="00C868FE" w:rsidRPr="00406501" w:rsidRDefault="00C868FE" w:rsidP="00C868FE">
      <w:pPr>
        <w:pStyle w:val="Heading4Unnumbered"/>
      </w:pPr>
      <w:bookmarkStart w:id="76" w:name="_Hlk43978708"/>
      <w:bookmarkStart w:id="77" w:name="_Hlk43131677"/>
      <w:r w:rsidRPr="00406501">
        <w:t xml:space="preserve">Renal impairment </w:t>
      </w:r>
    </w:p>
    <w:p w14:paraId="6528E382" w14:textId="77777777" w:rsidR="00C868FE" w:rsidRPr="00406501" w:rsidRDefault="00C868FE" w:rsidP="00C868FE">
      <w:pPr>
        <w:pStyle w:val="Paragraph"/>
      </w:pPr>
      <w:r w:rsidRPr="00406501">
        <w:t xml:space="preserve">No specific clinical studies have been conducted to investigate the effect of renal impairment on </w:t>
      </w:r>
      <w:proofErr w:type="spellStart"/>
      <w:r w:rsidRPr="00406501">
        <w:t>anifrolumab</w:t>
      </w:r>
      <w:proofErr w:type="spellEnd"/>
      <w:r w:rsidRPr="00406501">
        <w:t xml:space="preserve">. Based on population PK analyses, </w:t>
      </w:r>
      <w:proofErr w:type="spellStart"/>
      <w:r w:rsidRPr="00406501">
        <w:t>anifrolumab</w:t>
      </w:r>
      <w:proofErr w:type="spellEnd"/>
      <w:r w:rsidRPr="00406501">
        <w:t xml:space="preserve"> clearance was comparable in SLE patients with mild (60-89</w:t>
      </w:r>
      <w:r w:rsidRPr="00406501">
        <w:rPr>
          <w:bCs/>
          <w:iCs/>
        </w:rPr>
        <w:t> </w:t>
      </w:r>
      <w:r w:rsidRPr="00406501">
        <w:t>mL/min/1.73 m</w:t>
      </w:r>
      <w:r w:rsidRPr="00406501">
        <w:rPr>
          <w:vertAlign w:val="superscript"/>
        </w:rPr>
        <w:t>2</w:t>
      </w:r>
      <w:r w:rsidRPr="00406501">
        <w:t>) and moderate decrease in eGFR (30</w:t>
      </w:r>
      <w:r w:rsidRPr="00406501">
        <w:rPr>
          <w:bCs/>
          <w:iCs/>
        </w:rPr>
        <w:noBreakHyphen/>
      </w:r>
      <w:r w:rsidRPr="00406501">
        <w:t>59</w:t>
      </w:r>
      <w:r w:rsidRPr="00406501">
        <w:rPr>
          <w:bCs/>
          <w:iCs/>
        </w:rPr>
        <w:t> </w:t>
      </w:r>
      <w:r w:rsidRPr="00406501">
        <w:t>mL/min/1.73 m</w:t>
      </w:r>
      <w:r w:rsidRPr="00406501">
        <w:rPr>
          <w:vertAlign w:val="superscript"/>
        </w:rPr>
        <w:t>2</w:t>
      </w:r>
      <w:r w:rsidRPr="00406501">
        <w:rPr>
          <w:bCs/>
          <w:iCs/>
        </w:rPr>
        <w:t>)</w:t>
      </w:r>
      <w:r w:rsidRPr="00406501">
        <w:t xml:space="preserve"> values and patients with normal renal function (≥90 mL/min/1.73 m</w:t>
      </w:r>
      <w:r w:rsidRPr="00406501">
        <w:rPr>
          <w:vertAlign w:val="superscript"/>
        </w:rPr>
        <w:t>2</w:t>
      </w:r>
      <w:r w:rsidRPr="00406501">
        <w:rPr>
          <w:bCs/>
          <w:iCs/>
        </w:rPr>
        <w:t>)</w:t>
      </w:r>
      <w:r w:rsidRPr="00406501">
        <w:t>. SLE patients with a severe decrease in eGFR or end</w:t>
      </w:r>
      <w:r w:rsidRPr="00406501">
        <w:noBreakHyphen/>
        <w:t>stage renal disease (&lt;30 mL/min/1.73 m</w:t>
      </w:r>
      <w:r w:rsidRPr="00406501">
        <w:rPr>
          <w:vertAlign w:val="superscript"/>
        </w:rPr>
        <w:t>2</w:t>
      </w:r>
      <w:r w:rsidRPr="00406501">
        <w:rPr>
          <w:bCs/>
          <w:iCs/>
        </w:rPr>
        <w:t>)</w:t>
      </w:r>
      <w:r w:rsidRPr="00406501">
        <w:t xml:space="preserve"> </w:t>
      </w:r>
      <w:r w:rsidRPr="00406501">
        <w:rPr>
          <w:bCs/>
          <w:iCs/>
        </w:rPr>
        <w:t xml:space="preserve">were excluded from the clinical trials; </w:t>
      </w:r>
      <w:proofErr w:type="spellStart"/>
      <w:r w:rsidRPr="00406501">
        <w:t>anifrolumab</w:t>
      </w:r>
      <w:proofErr w:type="spellEnd"/>
      <w:r w:rsidRPr="00406501">
        <w:t xml:space="preserve"> is not cleared renally.</w:t>
      </w:r>
    </w:p>
    <w:p w14:paraId="6CACCED6" w14:textId="77777777" w:rsidR="00C868FE" w:rsidRPr="00406501" w:rsidRDefault="00C868FE" w:rsidP="00C868FE">
      <w:pPr>
        <w:pStyle w:val="Paragraph"/>
      </w:pPr>
      <w:bookmarkStart w:id="78" w:name="_Hlk43365426"/>
      <w:bookmarkEnd w:id="76"/>
      <w:r w:rsidRPr="00406501">
        <w:t xml:space="preserve">Patients with UPCR &gt;2 mg/mg were excluded from the clinical </w:t>
      </w:r>
      <w:r w:rsidRPr="00406501">
        <w:rPr>
          <w:bCs/>
          <w:iCs/>
        </w:rPr>
        <w:t>trials</w:t>
      </w:r>
      <w:r w:rsidRPr="00406501">
        <w:t xml:space="preserve">. Based on population PK analyses, increased urine protein/creatinine ratio (UPCR) did not significantly affect </w:t>
      </w:r>
      <w:proofErr w:type="spellStart"/>
      <w:r w:rsidRPr="00406501">
        <w:t>anifrolumab</w:t>
      </w:r>
      <w:proofErr w:type="spellEnd"/>
      <w:r w:rsidRPr="00406501">
        <w:t xml:space="preserve"> clearance. </w:t>
      </w:r>
    </w:p>
    <w:bookmarkEnd w:id="77"/>
    <w:bookmarkEnd w:id="78"/>
    <w:p w14:paraId="3C87D510" w14:textId="77777777" w:rsidR="00C868FE" w:rsidRPr="00406501" w:rsidRDefault="00C868FE" w:rsidP="00C868FE">
      <w:pPr>
        <w:pStyle w:val="Heading4Unnumbered"/>
      </w:pPr>
      <w:r w:rsidRPr="00406501">
        <w:t xml:space="preserve">Hepatic impairment </w:t>
      </w:r>
    </w:p>
    <w:p w14:paraId="4205A140" w14:textId="77777777" w:rsidR="00C868FE" w:rsidRPr="00406501" w:rsidRDefault="00C868FE" w:rsidP="00C868FE">
      <w:pPr>
        <w:pStyle w:val="Paragraph"/>
        <w:rPr>
          <w:bCs/>
          <w:iCs/>
        </w:rPr>
      </w:pPr>
      <w:r w:rsidRPr="00406501">
        <w:rPr>
          <w:bCs/>
          <w:iCs/>
        </w:rPr>
        <w:t xml:space="preserve">No specific clinical studies have been conducted to investigate the effect of hepatic impairment on </w:t>
      </w:r>
      <w:proofErr w:type="spellStart"/>
      <w:r w:rsidRPr="00406501">
        <w:rPr>
          <w:bCs/>
          <w:iCs/>
        </w:rPr>
        <w:t>anifrolumab</w:t>
      </w:r>
      <w:proofErr w:type="spellEnd"/>
      <w:r w:rsidRPr="00406501">
        <w:rPr>
          <w:bCs/>
          <w:iCs/>
        </w:rPr>
        <w:t>.</w:t>
      </w:r>
    </w:p>
    <w:p w14:paraId="6D07F74E" w14:textId="77777777" w:rsidR="00C868FE" w:rsidRPr="00406501" w:rsidRDefault="00C868FE" w:rsidP="00C868FE">
      <w:pPr>
        <w:pStyle w:val="Paragraph"/>
        <w:rPr>
          <w:bCs/>
          <w:iCs/>
        </w:rPr>
      </w:pPr>
      <w:r w:rsidRPr="00406501">
        <w:rPr>
          <w:bCs/>
          <w:iCs/>
        </w:rPr>
        <w:t xml:space="preserve">As an IgG1 monoclonal antibody, </w:t>
      </w:r>
      <w:proofErr w:type="spellStart"/>
      <w:r w:rsidRPr="00406501">
        <w:rPr>
          <w:bCs/>
          <w:iCs/>
        </w:rPr>
        <w:t>anifrolumab</w:t>
      </w:r>
      <w:proofErr w:type="spellEnd"/>
      <w:r w:rsidRPr="00406501">
        <w:rPr>
          <w:bCs/>
          <w:iCs/>
        </w:rPr>
        <w:t xml:space="preserve"> is principally eliminated via catabolism and is not expected to undergo metabolism via hepatic enzymes, as such changes in hepatic function are unlikely to have any effect on the elimination of </w:t>
      </w:r>
      <w:proofErr w:type="spellStart"/>
      <w:r w:rsidRPr="00406501">
        <w:rPr>
          <w:bCs/>
          <w:iCs/>
        </w:rPr>
        <w:t>anifrolumab</w:t>
      </w:r>
      <w:proofErr w:type="spellEnd"/>
      <w:r w:rsidRPr="00406501">
        <w:rPr>
          <w:bCs/>
          <w:iCs/>
        </w:rPr>
        <w:t xml:space="preserve">. </w:t>
      </w:r>
      <w:bookmarkStart w:id="79" w:name="_Hlk43132377"/>
      <w:r w:rsidRPr="00406501">
        <w:rPr>
          <w:bCs/>
          <w:iCs/>
        </w:rPr>
        <w:t>Based on population pharmacokinetic analyses, baseline hepatic function biomarkers (</w:t>
      </w:r>
      <w:bookmarkStart w:id="80" w:name="_Hlk41048127"/>
      <w:r w:rsidRPr="00406501">
        <w:rPr>
          <w:bCs/>
          <w:iCs/>
        </w:rPr>
        <w:t>ALT and AST ≤2.0 × ULN, and total bilirubin)</w:t>
      </w:r>
      <w:bookmarkEnd w:id="80"/>
      <w:r w:rsidRPr="00406501">
        <w:rPr>
          <w:bCs/>
          <w:iCs/>
        </w:rPr>
        <w:t xml:space="preserve"> had no clinically relevant effect on </w:t>
      </w:r>
      <w:proofErr w:type="spellStart"/>
      <w:r w:rsidRPr="00406501">
        <w:rPr>
          <w:bCs/>
          <w:iCs/>
        </w:rPr>
        <w:t>anifrolumab</w:t>
      </w:r>
      <w:proofErr w:type="spellEnd"/>
      <w:r w:rsidRPr="00406501">
        <w:rPr>
          <w:bCs/>
          <w:iCs/>
        </w:rPr>
        <w:t xml:space="preserve"> clearance.</w:t>
      </w:r>
    </w:p>
    <w:bookmarkEnd w:id="79"/>
    <w:p w14:paraId="65A74A1E" w14:textId="4DC7686A" w:rsidR="00C868FE" w:rsidRPr="00406501" w:rsidRDefault="00D74258" w:rsidP="00C868FE">
      <w:pPr>
        <w:pStyle w:val="Heading4Unnumbered"/>
      </w:pPr>
      <w:r w:rsidRPr="00406501">
        <w:t xml:space="preserve">Drug </w:t>
      </w:r>
      <w:r>
        <w:t>i</w:t>
      </w:r>
      <w:r w:rsidRPr="00406501">
        <w:t>nteraction</w:t>
      </w:r>
      <w:r>
        <w:t xml:space="preserve"> studies</w:t>
      </w:r>
    </w:p>
    <w:bookmarkEnd w:id="74"/>
    <w:p w14:paraId="5DD3588F" w14:textId="77777777" w:rsidR="00C868FE" w:rsidRPr="00406501" w:rsidRDefault="00C868FE" w:rsidP="00C868FE">
      <w:pPr>
        <w:pStyle w:val="Paragraph"/>
      </w:pPr>
      <w:r w:rsidRPr="00406501">
        <w:t xml:space="preserve">No formal drug interaction studies have been conducted with </w:t>
      </w:r>
      <w:proofErr w:type="spellStart"/>
      <w:r w:rsidRPr="00406501">
        <w:t>anifrolumab</w:t>
      </w:r>
      <w:proofErr w:type="spellEnd"/>
      <w:r w:rsidRPr="00406501">
        <w:t xml:space="preserve">. An effect of </w:t>
      </w:r>
      <w:proofErr w:type="spellStart"/>
      <w:r w:rsidRPr="00406501">
        <w:t>anifrolumab</w:t>
      </w:r>
      <w:proofErr w:type="spellEnd"/>
      <w:r w:rsidRPr="00406501">
        <w:t xml:space="preserve"> on the pharmacokinetics of co-administered medications is not expected.</w:t>
      </w:r>
    </w:p>
    <w:p w14:paraId="4DA63FC4" w14:textId="76C365F9" w:rsidR="00C868FE" w:rsidRPr="00C868FE" w:rsidRDefault="00C868FE" w:rsidP="007403BD">
      <w:pPr>
        <w:pStyle w:val="Paragraph"/>
        <w:rPr>
          <w:i/>
          <w:iCs/>
        </w:rPr>
      </w:pPr>
      <w:bookmarkStart w:id="81" w:name="_Hlk32834934"/>
      <w:bookmarkStart w:id="82" w:name="_Hlk43104965"/>
      <w:r w:rsidRPr="00406501">
        <w:t xml:space="preserve">Based on population PK analyses, concomitant use of oral corticosteroids, antimalarials, immunosuppressants </w:t>
      </w:r>
      <w:r w:rsidR="008E2A0A">
        <w:t>(</w:t>
      </w:r>
      <w:r w:rsidRPr="00406501">
        <w:t xml:space="preserve">including azathioprine, methotrexate, mycophenolate and </w:t>
      </w:r>
      <w:proofErr w:type="spellStart"/>
      <w:r w:rsidRPr="00406501">
        <w:t>mizoribine</w:t>
      </w:r>
      <w:proofErr w:type="spellEnd"/>
      <w:r w:rsidR="008E2A0A">
        <w:t>)</w:t>
      </w:r>
      <w:r w:rsidRPr="00406501">
        <w:t xml:space="preserve">, NSAIDS, ACE inhibitors, HMG-CoA reductase inhibitors did not significantly influence the PK of </w:t>
      </w:r>
      <w:proofErr w:type="spellStart"/>
      <w:r w:rsidRPr="00406501">
        <w:t>anifrolumab</w:t>
      </w:r>
      <w:proofErr w:type="spellEnd"/>
      <w:r w:rsidRPr="00406501">
        <w:t>.</w:t>
      </w:r>
      <w:bookmarkEnd w:id="81"/>
      <w:bookmarkEnd w:id="82"/>
    </w:p>
    <w:p w14:paraId="29C89B35" w14:textId="77777777" w:rsidR="001A3992" w:rsidRDefault="001A3992" w:rsidP="00EE3AC8">
      <w:pPr>
        <w:pStyle w:val="Heading2"/>
      </w:pPr>
      <w:r w:rsidRPr="00377337">
        <w:t>Preclinical safety data</w:t>
      </w:r>
    </w:p>
    <w:p w14:paraId="39F0A83B" w14:textId="77777777" w:rsidR="001A3992" w:rsidRDefault="001A3992" w:rsidP="0026491B">
      <w:pPr>
        <w:pStyle w:val="Heading3Unnumbered"/>
      </w:pPr>
      <w:r w:rsidRPr="00377337">
        <w:t>Genotoxicity</w:t>
      </w:r>
    </w:p>
    <w:p w14:paraId="66AE85B5" w14:textId="1E3D1BEA" w:rsidR="00C36F64" w:rsidRPr="00406501" w:rsidRDefault="00C36F64" w:rsidP="00C36F64">
      <w:pPr>
        <w:pStyle w:val="Paragraph"/>
      </w:pPr>
      <w:proofErr w:type="spellStart"/>
      <w:r w:rsidRPr="00406501">
        <w:t>Anifrolumab</w:t>
      </w:r>
      <w:proofErr w:type="spellEnd"/>
      <w:r w:rsidRPr="00406501">
        <w:t xml:space="preserve"> is a monoclonal antibody, as such genotoxicity studies have not been conducted.</w:t>
      </w:r>
      <w:r w:rsidR="006F7999">
        <w:t xml:space="preserve"> As a large protein molecule, </w:t>
      </w:r>
      <w:proofErr w:type="spellStart"/>
      <w:r w:rsidR="006F7999">
        <w:t>anifrolumab</w:t>
      </w:r>
      <w:proofErr w:type="spellEnd"/>
      <w:r w:rsidR="006F7999">
        <w:t xml:space="preserve"> is not expected to interact directly with DNA or other chromosomal material.</w:t>
      </w:r>
    </w:p>
    <w:p w14:paraId="480BFE73" w14:textId="77777777" w:rsidR="001A3992" w:rsidRDefault="001A3992" w:rsidP="0026491B">
      <w:pPr>
        <w:pStyle w:val="Heading3Unnumbered"/>
      </w:pPr>
      <w:r w:rsidRPr="00377337">
        <w:t>Carcinogenicity</w:t>
      </w:r>
    </w:p>
    <w:p w14:paraId="68940DDC" w14:textId="403FC464" w:rsidR="00C96A01" w:rsidRDefault="00C96A01" w:rsidP="00C96A01">
      <w:pPr>
        <w:pStyle w:val="Paragraph"/>
      </w:pPr>
      <w:proofErr w:type="spellStart"/>
      <w:r w:rsidRPr="00406501">
        <w:t>Anifrolumab</w:t>
      </w:r>
      <w:proofErr w:type="spellEnd"/>
      <w:r w:rsidRPr="00406501">
        <w:t xml:space="preserve"> is a monoclonal antibody, as such carcinogenicity studies have not been conducted.</w:t>
      </w:r>
    </w:p>
    <w:p w14:paraId="2C347FB9" w14:textId="4525731B" w:rsidR="00144A79" w:rsidRPr="00144A79" w:rsidRDefault="007E23A1" w:rsidP="00144A79">
      <w:pPr>
        <w:pStyle w:val="Paragraph"/>
      </w:pPr>
      <w:r w:rsidRPr="007E23A1">
        <w:lastRenderedPageBreak/>
        <w:t>In rodent models of IFNAR1 blockade, increased carcinogenic potential has been observed. The clinical relevance of these findings is unknown.</w:t>
      </w:r>
    </w:p>
    <w:p w14:paraId="7927B6EB" w14:textId="77777777" w:rsidR="001A3992" w:rsidRPr="00377337" w:rsidRDefault="001A3992" w:rsidP="00EE3AC8">
      <w:pPr>
        <w:pStyle w:val="Heading1"/>
      </w:pPr>
      <w:r w:rsidRPr="00377337">
        <w:t>Pharmaceutical particulars</w:t>
      </w:r>
    </w:p>
    <w:p w14:paraId="03A14EC2" w14:textId="77777777" w:rsidR="001A3992" w:rsidRDefault="001A3992" w:rsidP="00EE3AC8">
      <w:pPr>
        <w:pStyle w:val="Heading2"/>
      </w:pPr>
      <w:bookmarkStart w:id="83" w:name="_Ref505768678"/>
      <w:r w:rsidRPr="00377337">
        <w:t>List of exci</w:t>
      </w:r>
      <w:r w:rsidR="00795D99" w:rsidRPr="00377337">
        <w:t>pients</w:t>
      </w:r>
      <w:bookmarkEnd w:id="83"/>
    </w:p>
    <w:p w14:paraId="1D510536" w14:textId="4666EB3D" w:rsidR="00D74258" w:rsidRPr="007403BD" w:rsidRDefault="00D74258" w:rsidP="00D74258">
      <w:pPr>
        <w:pStyle w:val="Paragraph"/>
      </w:pPr>
      <w:r>
        <w:t xml:space="preserve">Histidine, histidine hydrochloride monohydrate, lysine hydrochloride, trehalose dihydrate, polysorbate 80, </w:t>
      </w:r>
      <w:r w:rsidR="0038473D">
        <w:t xml:space="preserve">and </w:t>
      </w:r>
      <w:r>
        <w:t>water for injections.</w:t>
      </w:r>
    </w:p>
    <w:p w14:paraId="692CC221" w14:textId="77777777" w:rsidR="001A3992" w:rsidRDefault="001A3992" w:rsidP="00EE3AC8">
      <w:pPr>
        <w:pStyle w:val="Heading2"/>
      </w:pPr>
      <w:r w:rsidRPr="00377337">
        <w:t>Incompatib</w:t>
      </w:r>
      <w:r w:rsidR="00795D99" w:rsidRPr="00377337">
        <w:t>ilities</w:t>
      </w:r>
    </w:p>
    <w:p w14:paraId="3AD0AE17" w14:textId="4602496C" w:rsidR="007A2548" w:rsidRPr="007403BD" w:rsidRDefault="00783C85" w:rsidP="007A2548">
      <w:pPr>
        <w:pStyle w:val="Paragraph"/>
      </w:pPr>
      <w:bookmarkStart w:id="84" w:name="_Hlk42262323"/>
      <w:r w:rsidRPr="00406501">
        <w:t>In the absence of compatibility studies, this medicinal product must not be mixed with other medicinal products.</w:t>
      </w:r>
      <w:bookmarkEnd w:id="84"/>
    </w:p>
    <w:p w14:paraId="72B369D7" w14:textId="77777777" w:rsidR="001A3992" w:rsidRDefault="001A3992" w:rsidP="00EE3AC8">
      <w:pPr>
        <w:pStyle w:val="Heading2"/>
      </w:pPr>
      <w:r w:rsidRPr="00377337">
        <w:t>Shelf life</w:t>
      </w:r>
    </w:p>
    <w:p w14:paraId="48BCE48C" w14:textId="6845AF10" w:rsidR="007A2548" w:rsidRDefault="00783C85" w:rsidP="00783C85">
      <w:pPr>
        <w:pStyle w:val="Heading3Unnumbered"/>
      </w:pPr>
      <w:r>
        <w:t>Unopened vial</w:t>
      </w:r>
    </w:p>
    <w:p w14:paraId="72831CE2" w14:textId="77777777" w:rsidR="00D74258" w:rsidRDefault="00D74258" w:rsidP="00D74258">
      <w:pPr>
        <w:pStyle w:val="Paragraph"/>
      </w:pPr>
      <w:bookmarkStart w:id="85" w:name="_Hlk25236597"/>
      <w:r>
        <w:t>In Australia, information on the shelf life can be found on the public summary of the Australian Register of Therapeutic Goods (ARTG). The expiry date can be found on the packaging.</w:t>
      </w:r>
    </w:p>
    <w:p w14:paraId="4E158CC8" w14:textId="77777777" w:rsidR="00783C85" w:rsidRPr="00406501" w:rsidRDefault="00783C85" w:rsidP="00783C85">
      <w:pPr>
        <w:pStyle w:val="Heading3Unnumbered"/>
      </w:pPr>
      <w:r w:rsidRPr="00406501">
        <w:t>Diluted solution for infusion</w:t>
      </w:r>
    </w:p>
    <w:bookmarkEnd w:id="85"/>
    <w:p w14:paraId="7C15FB13" w14:textId="0F9163B7" w:rsidR="00783C85" w:rsidRPr="00406501" w:rsidRDefault="007F254B" w:rsidP="00783C85">
      <w:pPr>
        <w:pStyle w:val="Paragraph"/>
      </w:pPr>
      <w:r>
        <w:t xml:space="preserve">To reduce microbiological hazard, use as soon as practicable after dilution. If storage is necessary, hold at </w:t>
      </w:r>
      <w:r w:rsidRPr="00406501">
        <w:t>2 to 8°C</w:t>
      </w:r>
      <w:r>
        <w:t xml:space="preserve"> for not more than 24 hours</w:t>
      </w:r>
      <w:r w:rsidR="009A34DF">
        <w:t xml:space="preserve"> or up to 25</w:t>
      </w:r>
      <w:r w:rsidR="009A34DF" w:rsidRPr="00406501">
        <w:t>°C</w:t>
      </w:r>
      <w:r w:rsidR="009A34DF">
        <w:t xml:space="preserve"> for not more than 4 hours.</w:t>
      </w:r>
    </w:p>
    <w:p w14:paraId="2A9D94E8" w14:textId="4B5413A8" w:rsidR="001A3992" w:rsidRDefault="00795D99" w:rsidP="00795D99">
      <w:pPr>
        <w:pStyle w:val="Heading2"/>
      </w:pPr>
      <w:r w:rsidRPr="00377337">
        <w:t>Special precautions for storage</w:t>
      </w:r>
    </w:p>
    <w:p w14:paraId="5E175A67" w14:textId="77777777" w:rsidR="00492433" w:rsidRPr="00406501" w:rsidRDefault="00492433" w:rsidP="00492433">
      <w:pPr>
        <w:pStyle w:val="Heading3Unnumbered"/>
      </w:pPr>
      <w:r w:rsidRPr="00406501">
        <w:t>Unopened vial</w:t>
      </w:r>
    </w:p>
    <w:p w14:paraId="5D829F25" w14:textId="2DC8691D" w:rsidR="00492433" w:rsidRPr="00406501" w:rsidRDefault="00492433" w:rsidP="00492433">
      <w:pPr>
        <w:pStyle w:val="Paragraph"/>
      </w:pPr>
      <w:r w:rsidRPr="00406501">
        <w:t xml:space="preserve">Store in a refrigerator (2 to 8°C). Store in the original package </w:t>
      </w:r>
      <w:proofErr w:type="gramStart"/>
      <w:r w:rsidRPr="00406501">
        <w:t>in order to</w:t>
      </w:r>
      <w:proofErr w:type="gramEnd"/>
      <w:r w:rsidRPr="00406501">
        <w:t xml:space="preserve"> protect from light.</w:t>
      </w:r>
      <w:r>
        <w:t xml:space="preserve"> </w:t>
      </w:r>
      <w:r w:rsidRPr="00406501">
        <w:t>Do not freeze.</w:t>
      </w:r>
    </w:p>
    <w:p w14:paraId="7720450D" w14:textId="77777777" w:rsidR="00492433" w:rsidRPr="00406501" w:rsidRDefault="00492433" w:rsidP="00492433">
      <w:pPr>
        <w:pStyle w:val="Heading3Unnumbered"/>
      </w:pPr>
      <w:bookmarkStart w:id="86" w:name="_Hlk42262353"/>
      <w:r w:rsidRPr="00406501">
        <w:t>Diluted solution for infusion</w:t>
      </w:r>
    </w:p>
    <w:p w14:paraId="40570468" w14:textId="1F227B24" w:rsidR="007A2548" w:rsidRPr="007403BD" w:rsidRDefault="00492433" w:rsidP="007403BD">
      <w:pPr>
        <w:pStyle w:val="Paragraph"/>
      </w:pPr>
      <w:r w:rsidRPr="00406501">
        <w:t xml:space="preserve">For storage conditions after dilution of the medicinal product, see </w:t>
      </w:r>
      <w:r>
        <w:t>S</w:t>
      </w:r>
      <w:r w:rsidRPr="00406501">
        <w:t>ection 6.3</w:t>
      </w:r>
      <w:r>
        <w:t xml:space="preserve"> Shelf life</w:t>
      </w:r>
      <w:r w:rsidRPr="00406501">
        <w:t>.</w:t>
      </w:r>
      <w:bookmarkEnd w:id="86"/>
    </w:p>
    <w:p w14:paraId="6550D9BA" w14:textId="77777777" w:rsidR="001A3992" w:rsidRDefault="001A3992" w:rsidP="00EE3AC8">
      <w:pPr>
        <w:pStyle w:val="Heading2"/>
      </w:pPr>
      <w:r w:rsidRPr="00377337">
        <w:t>N</w:t>
      </w:r>
      <w:r w:rsidR="00795D99" w:rsidRPr="00377337">
        <w:t>ature and contents of container</w:t>
      </w:r>
    </w:p>
    <w:p w14:paraId="23640FCD" w14:textId="16CEF307" w:rsidR="006A727B" w:rsidRDefault="00492433" w:rsidP="006A727B">
      <w:pPr>
        <w:pStyle w:val="Paragraph"/>
      </w:pPr>
      <w:r w:rsidRPr="00406501">
        <w:t xml:space="preserve">2.0 mL of concentrate in a 2R clear type I glass vial closed by a Teflon faced elastomeric stopper sealed with an aluminium </w:t>
      </w:r>
      <w:proofErr w:type="spellStart"/>
      <w:r w:rsidRPr="00406501">
        <w:t>overseal</w:t>
      </w:r>
      <w:proofErr w:type="spellEnd"/>
      <w:r w:rsidRPr="00406501">
        <w:t>.</w:t>
      </w:r>
      <w:r w:rsidR="00AE2F09">
        <w:t xml:space="preserve"> </w:t>
      </w:r>
      <w:r w:rsidR="00D74258">
        <w:t>Pack size of 1 vial.</w:t>
      </w:r>
    </w:p>
    <w:p w14:paraId="48925E62" w14:textId="77777777" w:rsidR="001A3992" w:rsidRDefault="001A3992" w:rsidP="00EE3AC8">
      <w:pPr>
        <w:pStyle w:val="Heading2"/>
      </w:pPr>
      <w:r w:rsidRPr="00377337">
        <w:t>S</w:t>
      </w:r>
      <w:r w:rsidR="00795D99" w:rsidRPr="00377337">
        <w:t>pecial precautions for disposal</w:t>
      </w:r>
    </w:p>
    <w:p w14:paraId="3958961C" w14:textId="0002DD3B" w:rsidR="006A727B" w:rsidRPr="007403BD" w:rsidRDefault="006A727B" w:rsidP="007706C9">
      <w:pPr>
        <w:pStyle w:val="Paragraph"/>
      </w:pPr>
      <w:r w:rsidRPr="006A727B">
        <w:t xml:space="preserve">In Australia, any unused medicine or waste material should be disposed of </w:t>
      </w:r>
      <w:r w:rsidR="00EE1910">
        <w:t>in accordance with local requirements.</w:t>
      </w:r>
    </w:p>
    <w:p w14:paraId="16837290" w14:textId="77777777" w:rsidR="001A3992" w:rsidRDefault="001A3992" w:rsidP="00EE3AC8">
      <w:pPr>
        <w:pStyle w:val="Heading2"/>
      </w:pPr>
      <w:r w:rsidRPr="00377337">
        <w:t>Physicochemical properties</w:t>
      </w:r>
    </w:p>
    <w:p w14:paraId="14FC2B94" w14:textId="77777777" w:rsidR="00D74258" w:rsidRPr="00062AE5" w:rsidRDefault="00D74258" w:rsidP="00D74258">
      <w:pPr>
        <w:pStyle w:val="Heading3Unnumbered"/>
      </w:pPr>
      <w:r>
        <w:t>Chemical structure</w:t>
      </w:r>
    </w:p>
    <w:p w14:paraId="2920912D" w14:textId="4AA8D7CA" w:rsidR="00D74258" w:rsidRDefault="00D74258" w:rsidP="00D74258">
      <w:pPr>
        <w:pStyle w:val="ListBullet"/>
        <w:numPr>
          <w:ilvl w:val="0"/>
          <w:numId w:val="0"/>
        </w:numPr>
      </w:pPr>
      <w:proofErr w:type="spellStart"/>
      <w:r w:rsidRPr="002D30F1">
        <w:t>Anifrolumab</w:t>
      </w:r>
      <w:proofErr w:type="spellEnd"/>
      <w:r w:rsidRPr="002D30F1">
        <w:t xml:space="preserve"> is a human, immunoglobulin G1 kappa (IgG1κ) monoclonal antibody produced in mouse myeloma cells (NS0) by recombinant DNA technology.</w:t>
      </w:r>
      <w:r>
        <w:t xml:space="preserve"> </w:t>
      </w:r>
      <w:proofErr w:type="spellStart"/>
      <w:r w:rsidRPr="00EB4AC2">
        <w:rPr>
          <w:lang w:val="en-AU"/>
        </w:rPr>
        <w:t>Anifrolumab</w:t>
      </w:r>
      <w:proofErr w:type="spellEnd"/>
      <w:r w:rsidRPr="00EB4AC2">
        <w:rPr>
          <w:lang w:val="en-AU"/>
        </w:rPr>
        <w:t xml:space="preserve"> </w:t>
      </w:r>
      <w:r>
        <w:rPr>
          <w:lang w:val="en-AU"/>
        </w:rPr>
        <w:t xml:space="preserve">has a molecular weight of </w:t>
      </w:r>
      <w:r w:rsidR="000E2F15">
        <w:rPr>
          <w:lang w:val="en-AU"/>
        </w:rPr>
        <w:t xml:space="preserve">approximately </w:t>
      </w:r>
      <w:r w:rsidRPr="00EB4AC2">
        <w:rPr>
          <w:lang w:val="en-AU"/>
        </w:rPr>
        <w:t xml:space="preserve">148 </w:t>
      </w:r>
      <w:proofErr w:type="spellStart"/>
      <w:r w:rsidRPr="00EB4AC2">
        <w:rPr>
          <w:lang w:val="en-AU"/>
        </w:rPr>
        <w:t>kDa</w:t>
      </w:r>
      <w:proofErr w:type="spellEnd"/>
      <w:r w:rsidRPr="00EB4AC2">
        <w:rPr>
          <w:lang w:val="en-AU"/>
        </w:rPr>
        <w:t>.</w:t>
      </w:r>
    </w:p>
    <w:p w14:paraId="616E3EF7" w14:textId="77777777" w:rsidR="00D74258" w:rsidRDefault="00D74258" w:rsidP="00D74258">
      <w:pPr>
        <w:pStyle w:val="FigureTitle"/>
        <w:rPr>
          <w:lang w:val="en-AU"/>
        </w:rPr>
      </w:pPr>
      <w:r w:rsidRPr="001812B5">
        <w:lastRenderedPageBreak/>
        <w:t>Figure </w:t>
      </w:r>
      <w:r>
        <w:t>3</w:t>
      </w:r>
      <w:r w:rsidRPr="001812B5">
        <w:tab/>
        <w:t xml:space="preserve">General structure of </w:t>
      </w:r>
      <w:proofErr w:type="spellStart"/>
      <w:r>
        <w:t>anifrolumab</w:t>
      </w:r>
      <w:proofErr w:type="spellEnd"/>
    </w:p>
    <w:p w14:paraId="5D727ED8" w14:textId="28E3D5E7" w:rsidR="00D74258" w:rsidRPr="004C7F1B" w:rsidRDefault="00FD4758" w:rsidP="00D74258">
      <w:pPr>
        <w:pStyle w:val="Paragraph"/>
      </w:pPr>
      <w:r>
        <w:rPr>
          <w:noProof/>
        </w:rPr>
        <w:drawing>
          <wp:inline distT="0" distB="0" distL="0" distR="0" wp14:anchorId="44B581DE" wp14:editId="0243F665">
            <wp:extent cx="1913577" cy="1917792"/>
            <wp:effectExtent l="0" t="0" r="0" b="6350"/>
            <wp:docPr id="12" name="Picture 1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 engineering draw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3900" cy="1938160"/>
                    </a:xfrm>
                    <a:prstGeom prst="rect">
                      <a:avLst/>
                    </a:prstGeom>
                  </pic:spPr>
                </pic:pic>
              </a:graphicData>
            </a:graphic>
          </wp:inline>
        </w:drawing>
      </w:r>
    </w:p>
    <w:p w14:paraId="0C78FAA4" w14:textId="77777777" w:rsidR="00D74258" w:rsidRDefault="00D74258" w:rsidP="00D74258">
      <w:pPr>
        <w:pStyle w:val="Heading3Unnumbered"/>
      </w:pPr>
      <w:r w:rsidRPr="004C7F1B">
        <w:t>CAS number</w:t>
      </w:r>
    </w:p>
    <w:p w14:paraId="183414B6" w14:textId="6CE63EFA" w:rsidR="00D74258" w:rsidRPr="004C7F1B" w:rsidRDefault="000E2F15" w:rsidP="00D74258">
      <w:pPr>
        <w:pStyle w:val="Paragraph"/>
      </w:pPr>
      <w:r>
        <w:t>1326232-46-5</w:t>
      </w:r>
    </w:p>
    <w:p w14:paraId="6A045EA0" w14:textId="77777777" w:rsidR="001A3992" w:rsidRDefault="001A3992" w:rsidP="00EE3AC8">
      <w:pPr>
        <w:pStyle w:val="Heading1"/>
      </w:pPr>
      <w:r w:rsidRPr="00377337">
        <w:t>Medicine schedule (Poisons Standard)</w:t>
      </w:r>
    </w:p>
    <w:p w14:paraId="0BC48BBF" w14:textId="053A6404" w:rsidR="0041004D" w:rsidRPr="002D3489" w:rsidRDefault="0041004D" w:rsidP="002D3489">
      <w:pPr>
        <w:pStyle w:val="Paragraph"/>
      </w:pPr>
      <w:r w:rsidRPr="0041004D">
        <w:t>Prescription only medicine (Schedule 4)</w:t>
      </w:r>
      <w:r w:rsidR="00D53CF7">
        <w:t>.</w:t>
      </w:r>
    </w:p>
    <w:p w14:paraId="0E31D876" w14:textId="77777777" w:rsidR="00285173" w:rsidRDefault="001A3992" w:rsidP="00EE3AC8">
      <w:pPr>
        <w:pStyle w:val="Heading1"/>
      </w:pPr>
      <w:r w:rsidRPr="00377337">
        <w:t>Sponsor</w:t>
      </w:r>
    </w:p>
    <w:p w14:paraId="6BDA9798" w14:textId="2DF75DE0" w:rsidR="0041004D" w:rsidRDefault="0041004D" w:rsidP="0041004D">
      <w:pPr>
        <w:pStyle w:val="Paragraph"/>
      </w:pPr>
      <w:r>
        <w:t>AstraZeneca Pty Ltd</w:t>
      </w:r>
      <w:r>
        <w:br/>
        <w:t>ABN 54 009 682 311</w:t>
      </w:r>
      <w:r>
        <w:br/>
        <w:t>66 Talavera Road</w:t>
      </w:r>
      <w:r>
        <w:br/>
      </w:r>
      <w:r w:rsidR="00D53CF7">
        <w:t>Macquarie Park</w:t>
      </w:r>
      <w:r>
        <w:t xml:space="preserve"> NSW 2113</w:t>
      </w:r>
    </w:p>
    <w:p w14:paraId="3BF68A5F" w14:textId="77777777" w:rsidR="0041004D" w:rsidRPr="002D3489" w:rsidRDefault="0041004D" w:rsidP="0041004D">
      <w:pPr>
        <w:pStyle w:val="Paragraph"/>
      </w:pPr>
      <w:r>
        <w:t>Telephone: 1800 805 342</w:t>
      </w:r>
    </w:p>
    <w:p w14:paraId="7C272FF5" w14:textId="77777777" w:rsidR="00285173" w:rsidRDefault="00285173" w:rsidP="00EE3AC8">
      <w:pPr>
        <w:pStyle w:val="Heading1"/>
      </w:pPr>
      <w:r w:rsidRPr="00377337">
        <w:t xml:space="preserve">Date of first </w:t>
      </w:r>
      <w:r w:rsidR="00795D99" w:rsidRPr="00377337">
        <w:t>approval</w:t>
      </w:r>
    </w:p>
    <w:p w14:paraId="5391E9EF" w14:textId="236DA747" w:rsidR="00E00336" w:rsidRPr="002D3489" w:rsidRDefault="00FA2736" w:rsidP="002D3489">
      <w:pPr>
        <w:pStyle w:val="Paragraph"/>
      </w:pPr>
      <w:r>
        <w:t>29 March 2022</w:t>
      </w:r>
    </w:p>
    <w:p w14:paraId="1FC84E64" w14:textId="77777777" w:rsidR="00285173" w:rsidRDefault="00285173" w:rsidP="00C96CD2">
      <w:pPr>
        <w:pStyle w:val="Heading1"/>
        <w:pageBreakBefore/>
      </w:pPr>
      <w:r w:rsidRPr="00377337">
        <w:lastRenderedPageBreak/>
        <w:t>Date o</w:t>
      </w:r>
      <w:r w:rsidR="00795D99" w:rsidRPr="00377337">
        <w:t>f revision</w:t>
      </w:r>
    </w:p>
    <w:p w14:paraId="1C149336" w14:textId="0E67B2E7" w:rsidR="00513B1A" w:rsidRDefault="001812B5" w:rsidP="00513B1A">
      <w:pPr>
        <w:pStyle w:val="Paragraph"/>
      </w:pPr>
      <w:r>
        <w:t>Not applicable</w:t>
      </w:r>
      <w:r w:rsidR="00D53CF7">
        <w:t>.</w:t>
      </w:r>
    </w:p>
    <w:p w14:paraId="5C604679" w14:textId="77777777" w:rsidR="00285173" w:rsidRPr="00377337" w:rsidRDefault="00285173" w:rsidP="0026491B">
      <w:pPr>
        <w:pStyle w:val="Heading2Unnumbered"/>
      </w:pPr>
      <w:r w:rsidRPr="00377337">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129"/>
        <w:gridCol w:w="8509"/>
      </w:tblGrid>
      <w:tr w:rsidR="008A35FB" w14:paraId="360E2D4C" w14:textId="77777777" w:rsidTr="008A35FB">
        <w:trPr>
          <w:cantSplit/>
          <w:tblHeader/>
        </w:trPr>
        <w:tc>
          <w:tcPr>
            <w:tcW w:w="1129" w:type="dxa"/>
            <w:shd w:val="clear" w:color="auto" w:fill="auto"/>
          </w:tcPr>
          <w:p w14:paraId="747C7136" w14:textId="77777777" w:rsidR="008A35FB" w:rsidRDefault="008A35FB" w:rsidP="008A35FB">
            <w:pPr>
              <w:pStyle w:val="TableHead"/>
              <w:jc w:val="left"/>
            </w:pPr>
            <w:r>
              <w:t>Section changed</w:t>
            </w:r>
          </w:p>
        </w:tc>
        <w:tc>
          <w:tcPr>
            <w:tcW w:w="8509" w:type="dxa"/>
            <w:shd w:val="clear" w:color="auto" w:fill="auto"/>
          </w:tcPr>
          <w:p w14:paraId="65101BFA" w14:textId="77777777" w:rsidR="008A35FB" w:rsidRDefault="008A35FB" w:rsidP="008A35FB">
            <w:pPr>
              <w:pStyle w:val="TableHead"/>
              <w:jc w:val="left"/>
            </w:pPr>
            <w:r>
              <w:t>Summary of new information</w:t>
            </w:r>
          </w:p>
        </w:tc>
      </w:tr>
      <w:tr w:rsidR="001812B5" w14:paraId="49BBE6CE" w14:textId="77777777" w:rsidTr="00257099">
        <w:trPr>
          <w:cantSplit/>
        </w:trPr>
        <w:tc>
          <w:tcPr>
            <w:tcW w:w="1129" w:type="dxa"/>
            <w:shd w:val="clear" w:color="auto" w:fill="auto"/>
          </w:tcPr>
          <w:p w14:paraId="58EC9087" w14:textId="2A7A4EB7" w:rsidR="001812B5" w:rsidRDefault="001812B5" w:rsidP="00257099">
            <w:pPr>
              <w:pStyle w:val="TableLeft"/>
            </w:pPr>
            <w:r>
              <w:t>N/A</w:t>
            </w:r>
          </w:p>
        </w:tc>
        <w:tc>
          <w:tcPr>
            <w:tcW w:w="8509" w:type="dxa"/>
            <w:shd w:val="clear" w:color="auto" w:fill="auto"/>
          </w:tcPr>
          <w:p w14:paraId="067175AB" w14:textId="08DCE448" w:rsidR="001812B5" w:rsidRDefault="001812B5" w:rsidP="00257099">
            <w:pPr>
              <w:pStyle w:val="TableLeft"/>
            </w:pPr>
            <w:r>
              <w:t>New product</w:t>
            </w:r>
            <w:r w:rsidR="00D53CF7">
              <w:t>.</w:t>
            </w:r>
          </w:p>
        </w:tc>
      </w:tr>
    </w:tbl>
    <w:p w14:paraId="6A54F945" w14:textId="77777777" w:rsidR="00513B1A" w:rsidRDefault="00513B1A" w:rsidP="00513B1A">
      <w:pPr>
        <w:pStyle w:val="Paragraph"/>
      </w:pPr>
    </w:p>
    <w:p w14:paraId="58EBB185" w14:textId="3D0725AE" w:rsidR="00513B1A" w:rsidRPr="001812B5" w:rsidRDefault="003D26B4" w:rsidP="00513B1A">
      <w:pPr>
        <w:pStyle w:val="Paragraph"/>
        <w:rPr>
          <w:sz w:val="20"/>
          <w:szCs w:val="20"/>
        </w:rPr>
      </w:pPr>
      <w:r>
        <w:rPr>
          <w:sz w:val="20"/>
          <w:szCs w:val="20"/>
        </w:rPr>
        <w:t>SAPHNELO</w:t>
      </w:r>
      <w:r w:rsidR="00513B1A" w:rsidRPr="001812B5">
        <w:rPr>
          <w:sz w:val="20"/>
          <w:szCs w:val="20"/>
        </w:rPr>
        <w:t xml:space="preserve"> is a </w:t>
      </w:r>
      <w:r w:rsidR="00724F52">
        <w:rPr>
          <w:sz w:val="20"/>
          <w:szCs w:val="20"/>
        </w:rPr>
        <w:t xml:space="preserve">registered </w:t>
      </w:r>
      <w:proofErr w:type="gramStart"/>
      <w:r w:rsidR="00513B1A" w:rsidRPr="001812B5">
        <w:rPr>
          <w:sz w:val="20"/>
          <w:szCs w:val="20"/>
        </w:rPr>
        <w:t>trade mark</w:t>
      </w:r>
      <w:proofErr w:type="gramEnd"/>
      <w:r w:rsidR="00513B1A" w:rsidRPr="001812B5">
        <w:rPr>
          <w:sz w:val="20"/>
          <w:szCs w:val="20"/>
        </w:rPr>
        <w:t xml:space="preserve"> of the AstraZeneca group of companies</w:t>
      </w:r>
      <w:r w:rsidR="00D53CF7">
        <w:rPr>
          <w:sz w:val="20"/>
          <w:szCs w:val="20"/>
        </w:rPr>
        <w:t>.</w:t>
      </w:r>
    </w:p>
    <w:p w14:paraId="650612E8" w14:textId="480197DE" w:rsidR="00513B1A" w:rsidRPr="001812B5" w:rsidRDefault="00513B1A" w:rsidP="00513B1A">
      <w:pPr>
        <w:pStyle w:val="Paragraph"/>
        <w:rPr>
          <w:sz w:val="20"/>
          <w:szCs w:val="20"/>
        </w:rPr>
      </w:pPr>
      <w:r w:rsidRPr="001812B5">
        <w:rPr>
          <w:sz w:val="20"/>
          <w:szCs w:val="20"/>
          <w:vertAlign w:val="superscript"/>
        </w:rPr>
        <w:t>©</w:t>
      </w:r>
      <w:r w:rsidRPr="001812B5">
        <w:rPr>
          <w:sz w:val="20"/>
          <w:szCs w:val="20"/>
        </w:rPr>
        <w:t xml:space="preserve"> AstraZeneca</w:t>
      </w:r>
      <w:r w:rsidR="00D53CF7">
        <w:rPr>
          <w:sz w:val="20"/>
          <w:szCs w:val="20"/>
        </w:rPr>
        <w:t xml:space="preserve"> 202</w:t>
      </w:r>
      <w:r w:rsidR="00D77D25">
        <w:rPr>
          <w:sz w:val="20"/>
          <w:szCs w:val="20"/>
        </w:rPr>
        <w:t>2</w:t>
      </w:r>
    </w:p>
    <w:p w14:paraId="35103515" w14:textId="149BA686" w:rsidR="008A35FB" w:rsidRPr="001812B5" w:rsidRDefault="00513B1A" w:rsidP="008A35FB">
      <w:pPr>
        <w:pStyle w:val="Paragraph"/>
        <w:rPr>
          <w:sz w:val="20"/>
          <w:szCs w:val="20"/>
        </w:rPr>
      </w:pPr>
      <w:r w:rsidRPr="001812B5">
        <w:rPr>
          <w:sz w:val="20"/>
          <w:szCs w:val="20"/>
        </w:rPr>
        <w:t>Doc-ID</w:t>
      </w:r>
      <w:r w:rsidR="00D53CF7">
        <w:rPr>
          <w:sz w:val="20"/>
          <w:szCs w:val="20"/>
        </w:rPr>
        <w:t>-</w:t>
      </w:r>
      <w:r w:rsidR="00580494">
        <w:rPr>
          <w:sz w:val="20"/>
          <w:szCs w:val="20"/>
        </w:rPr>
        <w:t>004838163</w:t>
      </w:r>
      <w:r w:rsidR="008739E2">
        <w:rPr>
          <w:sz w:val="20"/>
          <w:szCs w:val="20"/>
        </w:rPr>
        <w:t xml:space="preserve"> V</w:t>
      </w:r>
      <w:r w:rsidR="00FA2736">
        <w:rPr>
          <w:sz w:val="20"/>
          <w:szCs w:val="20"/>
        </w:rPr>
        <w:t>1</w:t>
      </w:r>
      <w:r w:rsidR="008739E2">
        <w:rPr>
          <w:sz w:val="20"/>
          <w:szCs w:val="20"/>
        </w:rPr>
        <w:t>.0</w:t>
      </w:r>
    </w:p>
    <w:sectPr w:rsidR="008A35FB" w:rsidRPr="001812B5" w:rsidSect="0080644B">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AFCF" w14:textId="77777777" w:rsidR="005E6C74" w:rsidRDefault="005E6C74" w:rsidP="001A3992">
      <w:pPr>
        <w:spacing w:after="0" w:line="240" w:lineRule="auto"/>
      </w:pPr>
      <w:r>
        <w:separator/>
      </w:r>
    </w:p>
  </w:endnote>
  <w:endnote w:type="continuationSeparator" w:id="0">
    <w:p w14:paraId="6F39B306" w14:textId="77777777" w:rsidR="005E6C74" w:rsidRDefault="005E6C74"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D489" w14:textId="77777777" w:rsidR="00A429FD" w:rsidRDefault="00A429FD" w:rsidP="00C85696">
    <w:pPr>
      <w:pStyle w:val="Footer"/>
      <w:jc w:val="center"/>
    </w:pPr>
    <w:r w:rsidRPr="00136256">
      <w:fldChar w:fldCharType="begin"/>
    </w:r>
    <w:r w:rsidRPr="00136256">
      <w:instrText xml:space="preserve"> PAGE </w:instrText>
    </w:r>
    <w:r w:rsidRPr="00136256">
      <w:fldChar w:fldCharType="separate"/>
    </w:r>
    <w:r>
      <w:rPr>
        <w:noProof/>
      </w:rPr>
      <w:t>1</w:t>
    </w:r>
    <w:r w:rsidRPr="00136256">
      <w:fldChar w:fldCharType="end"/>
    </w:r>
    <w:r w:rsidRPr="00136256">
      <w:t xml:space="preserve"> </w:t>
    </w:r>
    <w:r>
      <w:t xml:space="preserve">of </w:t>
    </w:r>
    <w:r>
      <w:fldChar w:fldCharType="begin"/>
    </w:r>
    <w:r>
      <w:instrText xml:space="preserve"> NUMPAGES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8F58" w14:textId="77777777" w:rsidR="005E6C74" w:rsidRDefault="005E6C74" w:rsidP="001A3992">
      <w:pPr>
        <w:spacing w:after="0" w:line="240" w:lineRule="auto"/>
      </w:pPr>
      <w:r>
        <w:separator/>
      </w:r>
    </w:p>
  </w:footnote>
  <w:footnote w:type="continuationSeparator" w:id="0">
    <w:p w14:paraId="2D9DDB1D" w14:textId="77777777" w:rsidR="005E6C74" w:rsidRDefault="005E6C74"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8720"/>
    </w:tblGrid>
    <w:tr w:rsidR="00C96CD2" w14:paraId="4894CAA6" w14:textId="77777777" w:rsidTr="001635E8">
      <w:tc>
        <w:tcPr>
          <w:tcW w:w="8720" w:type="dxa"/>
          <w:shd w:val="clear" w:color="auto" w:fill="E4F2E0"/>
        </w:tcPr>
        <w:p w14:paraId="083DDEB0" w14:textId="77777777" w:rsidR="00C96CD2" w:rsidRPr="00C96CD2" w:rsidRDefault="00C96CD2" w:rsidP="00C96CD2">
          <w:pPr>
            <w:rPr>
              <w:rFonts w:asciiTheme="majorHAnsi" w:hAnsiTheme="majorHAnsi"/>
              <w:b/>
              <w:sz w:val="18"/>
              <w:szCs w:val="18"/>
            </w:rPr>
          </w:pPr>
          <w:r w:rsidRPr="00C96CD2">
            <w:rPr>
              <w:rFonts w:asciiTheme="majorHAnsi" w:hAnsiTheme="majorHAnsi"/>
              <w:b/>
              <w:sz w:val="18"/>
              <w:szCs w:val="18"/>
            </w:rPr>
            <w:t xml:space="preserve">Attachment 1: Product information for </w:t>
          </w:r>
          <w:proofErr w:type="spellStart"/>
          <w:r w:rsidRPr="00C96CD2">
            <w:rPr>
              <w:rFonts w:asciiTheme="majorHAnsi" w:hAnsiTheme="majorHAnsi"/>
              <w:b/>
              <w:sz w:val="18"/>
              <w:szCs w:val="18"/>
            </w:rPr>
            <w:t>AusPAR</w:t>
          </w:r>
          <w:proofErr w:type="spellEnd"/>
          <w:r w:rsidRPr="00C96CD2">
            <w:rPr>
              <w:rFonts w:asciiTheme="majorHAnsi" w:hAnsiTheme="majorHAnsi"/>
              <w:b/>
              <w:sz w:val="18"/>
              <w:szCs w:val="18"/>
            </w:rPr>
            <w:t xml:space="preserve"> - </w:t>
          </w:r>
          <w:proofErr w:type="spellStart"/>
          <w:r w:rsidRPr="00C96CD2">
            <w:rPr>
              <w:rFonts w:asciiTheme="majorHAnsi" w:hAnsiTheme="majorHAnsi"/>
              <w:b/>
              <w:sz w:val="18"/>
              <w:szCs w:val="18"/>
            </w:rPr>
            <w:t>Saphnelo</w:t>
          </w:r>
          <w:proofErr w:type="spellEnd"/>
          <w:r w:rsidRPr="00C96CD2">
            <w:rPr>
              <w:rFonts w:asciiTheme="majorHAnsi" w:hAnsiTheme="majorHAnsi"/>
              <w:b/>
              <w:sz w:val="18"/>
              <w:szCs w:val="18"/>
            </w:rPr>
            <w:t xml:space="preserve"> - </w:t>
          </w:r>
          <w:proofErr w:type="spellStart"/>
          <w:r w:rsidRPr="00C96CD2">
            <w:rPr>
              <w:rFonts w:asciiTheme="majorHAnsi" w:hAnsiTheme="majorHAnsi"/>
              <w:b/>
              <w:sz w:val="18"/>
              <w:szCs w:val="18"/>
            </w:rPr>
            <w:t>anifrolumab</w:t>
          </w:r>
          <w:proofErr w:type="spellEnd"/>
          <w:r w:rsidRPr="00C96CD2">
            <w:rPr>
              <w:rFonts w:asciiTheme="majorHAnsi" w:hAnsiTheme="majorHAnsi"/>
              <w:b/>
              <w:sz w:val="18"/>
              <w:szCs w:val="18"/>
            </w:rPr>
            <w:t xml:space="preserve"> - AstraZeneca Pty Ltd - PM-2020-06383-1-2 FINAL 6 December 2022. This is the Product Information that was approved with the submission described in this </w:t>
          </w:r>
          <w:proofErr w:type="spellStart"/>
          <w:r w:rsidRPr="00C96CD2">
            <w:rPr>
              <w:rFonts w:asciiTheme="majorHAnsi" w:hAnsiTheme="majorHAnsi"/>
              <w:b/>
              <w:sz w:val="18"/>
              <w:szCs w:val="18"/>
            </w:rPr>
            <w:t>AusPAR</w:t>
          </w:r>
          <w:proofErr w:type="spellEnd"/>
          <w:r w:rsidRPr="00C96CD2">
            <w:rPr>
              <w:rFonts w:asciiTheme="majorHAnsi" w:hAnsiTheme="majorHAnsi"/>
              <w:b/>
              <w:sz w:val="18"/>
              <w:szCs w:val="18"/>
            </w:rPr>
            <w:t>. It may have been superseded. For the most recent PI, please refer to the TGA website at &lt;</w:t>
          </w:r>
          <w:hyperlink r:id="rId1" w:history="1">
            <w:r w:rsidRPr="00C96CD2">
              <w:rPr>
                <w:rStyle w:val="Hyperlink"/>
                <w:rFonts w:asciiTheme="majorHAnsi" w:hAnsiTheme="majorHAnsi"/>
                <w:b/>
                <w:sz w:val="18"/>
                <w:szCs w:val="18"/>
              </w:rPr>
              <w:t>https://www.tga.gov.au/products/australian-register-therapeutic-goods-artg/product-information-one</w:t>
            </w:r>
          </w:hyperlink>
          <w:r w:rsidRPr="00C96CD2">
            <w:rPr>
              <w:rStyle w:val="Hyperlink"/>
              <w:rFonts w:asciiTheme="majorHAnsi" w:hAnsiTheme="majorHAnsi"/>
              <w:b/>
              <w:sz w:val="18"/>
              <w:szCs w:val="18"/>
            </w:rPr>
            <w:t>&gt;</w:t>
          </w:r>
        </w:p>
      </w:tc>
    </w:tr>
  </w:tbl>
  <w:p w14:paraId="385698D0" w14:textId="58830D0C" w:rsidR="00C96CD2" w:rsidRPr="00C96CD2" w:rsidRDefault="00C96CD2" w:rsidP="00C96CD2">
    <w:pP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4F42F36"/>
    <w:multiLevelType w:val="hybridMultilevel"/>
    <w:tmpl w:val="CCDEEDC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4"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6"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7"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8" w15:restartNumberingAfterBreak="0">
    <w:nsid w:val="19B85877"/>
    <w:multiLevelType w:val="hybridMultilevel"/>
    <w:tmpl w:val="30D0E3EA"/>
    <w:lvl w:ilvl="0" w:tplc="2204788C">
      <w:start w:val="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761C5"/>
    <w:multiLevelType w:val="hybridMultilevel"/>
    <w:tmpl w:val="1D00D7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F045B79"/>
    <w:multiLevelType w:val="singleLevel"/>
    <w:tmpl w:val="443ADFB8"/>
    <w:lvl w:ilvl="0">
      <w:start w:val="1"/>
      <w:numFmt w:val="lowerRoman"/>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3" w15:restartNumberingAfterBreak="0">
    <w:nsid w:val="2FFA4E39"/>
    <w:multiLevelType w:val="hybridMultilevel"/>
    <w:tmpl w:val="810C1C72"/>
    <w:lvl w:ilvl="0" w:tplc="3978168C">
      <w:numFmt w:val="bullet"/>
      <w:lvlText w:val="–"/>
      <w:lvlJc w:val="left"/>
      <w:pPr>
        <w:ind w:left="420" w:hanging="360"/>
      </w:pPr>
      <w:rPr>
        <w:rFonts w:ascii="Times New Roman" w:eastAsia="Times New Roman" w:hAnsi="Times New Roman" w:cs="Times New Roman" w:hint="default"/>
        <w:sz w:val="22"/>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4" w15:restartNumberingAfterBreak="0">
    <w:nsid w:val="32913332"/>
    <w:multiLevelType w:val="multilevel"/>
    <w:tmpl w:val="969A274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418"/>
        </w:tabs>
        <w:ind w:left="1418"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3A36784A"/>
    <w:multiLevelType w:val="singleLevel"/>
    <w:tmpl w:val="D9588840"/>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6"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17" w15:restartNumberingAfterBreak="0">
    <w:nsid w:val="3CC22792"/>
    <w:multiLevelType w:val="hybridMultilevel"/>
    <w:tmpl w:val="8986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0317B"/>
    <w:multiLevelType w:val="hybridMultilevel"/>
    <w:tmpl w:val="51DA7C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360AE"/>
    <w:multiLevelType w:val="multilevel"/>
    <w:tmpl w:val="A1E207FA"/>
    <w:lvl w:ilvl="0">
      <w:start w:val="1"/>
      <w:numFmt w:val="lowerLetter"/>
      <w:lvlText w:val="%1"/>
      <w:lvlJc w:val="left"/>
      <w:pPr>
        <w:tabs>
          <w:tab w:val="num" w:pos="360"/>
        </w:tabs>
        <w:ind w:left="360" w:hanging="360"/>
      </w:pPr>
      <w:rPr>
        <w:rFonts w:ascii="Times New Roman" w:hAnsi="Times New Roman" w:cs="Times New Roman"/>
        <w:b w:val="0"/>
        <w:i w:val="0"/>
        <w:caps w:val="0"/>
        <w:sz w:val="20"/>
        <w:u w:val="none"/>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CF7F5B"/>
    <w:multiLevelType w:val="hybridMultilevel"/>
    <w:tmpl w:val="B56A1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2"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25" w15:restartNumberingAfterBreak="0">
    <w:nsid w:val="63D65847"/>
    <w:multiLevelType w:val="hybridMultilevel"/>
    <w:tmpl w:val="2D8A6E6A"/>
    <w:lvl w:ilvl="0" w:tplc="997A633A">
      <w:start w:val="17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C2548"/>
    <w:multiLevelType w:val="hybridMultilevel"/>
    <w:tmpl w:val="E35CEAD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6044EC3"/>
    <w:multiLevelType w:val="hybridMultilevel"/>
    <w:tmpl w:val="B3925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287D59"/>
    <w:multiLevelType w:val="hybridMultilevel"/>
    <w:tmpl w:val="8DA6A126"/>
    <w:lvl w:ilvl="0" w:tplc="0809000F">
      <w:start w:val="1"/>
      <w:numFmt w:val="decimal"/>
      <w:lvlText w:val="%1."/>
      <w:lvlJc w:val="left"/>
      <w:pPr>
        <w:ind w:left="720" w:hanging="360"/>
      </w:pPr>
      <w:rPr>
        <w:rFonts w:hint="default"/>
      </w:rPr>
    </w:lvl>
    <w:lvl w:ilvl="1" w:tplc="1E261B88">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D56BF3"/>
    <w:multiLevelType w:val="singleLevel"/>
    <w:tmpl w:val="3C0E4404"/>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num w:numId="1">
    <w:abstractNumId w:val="29"/>
  </w:num>
  <w:num w:numId="2">
    <w:abstractNumId w:val="4"/>
  </w:num>
  <w:num w:numId="3">
    <w:abstractNumId w:val="0"/>
  </w:num>
  <w:num w:numId="4">
    <w:abstractNumId w:val="23"/>
  </w:num>
  <w:num w:numId="5">
    <w:abstractNumId w:val="36"/>
  </w:num>
  <w:num w:numId="6">
    <w:abstractNumId w:val="30"/>
  </w:num>
  <w:num w:numId="7">
    <w:abstractNumId w:val="27"/>
  </w:num>
  <w:num w:numId="8">
    <w:abstractNumId w:val="31"/>
  </w:num>
  <w:num w:numId="9">
    <w:abstractNumId w:val="10"/>
  </w:num>
  <w:num w:numId="10">
    <w:abstractNumId w:val="26"/>
  </w:num>
  <w:num w:numId="11">
    <w:abstractNumId w:val="24"/>
  </w:num>
  <w:num w:numId="12">
    <w:abstractNumId w:val="16"/>
  </w:num>
  <w:num w:numId="13">
    <w:abstractNumId w:val="14"/>
  </w:num>
  <w:num w:numId="14">
    <w:abstractNumId w:val="6"/>
  </w:num>
  <w:num w:numId="15">
    <w:abstractNumId w:val="3"/>
  </w:num>
  <w:num w:numId="16">
    <w:abstractNumId w:val="15"/>
  </w:num>
  <w:num w:numId="17">
    <w:abstractNumId w:val="37"/>
  </w:num>
  <w:num w:numId="18">
    <w:abstractNumId w:val="12"/>
  </w:num>
  <w:num w:numId="19">
    <w:abstractNumId w:val="21"/>
  </w:num>
  <w:num w:numId="20">
    <w:abstractNumId w:val="5"/>
  </w:num>
  <w:num w:numId="21">
    <w:abstractNumId w:val="1"/>
  </w:num>
  <w:num w:numId="22">
    <w:abstractNumId w:val="7"/>
  </w:num>
  <w:num w:numId="23">
    <w:abstractNumId w:val="22"/>
  </w:num>
  <w:num w:numId="24">
    <w:abstractNumId w:val="34"/>
  </w:num>
  <w:num w:numId="25">
    <w:abstractNumId w:val="11"/>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5"/>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3"/>
  </w:num>
  <w:num w:numId="36">
    <w:abstractNumId w:val="3"/>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33"/>
  </w:num>
  <w:num w:numId="41">
    <w:abstractNumId w:val="9"/>
  </w:num>
  <w:num w:numId="42">
    <w:abstractNumId w:val="13"/>
  </w:num>
  <w:num w:numId="43">
    <w:abstractNumId w:val="8"/>
  </w:num>
  <w:num w:numId="44">
    <w:abstractNumId w:val="25"/>
  </w:num>
  <w:num w:numId="45">
    <w:abstractNumId w:val="17"/>
  </w:num>
  <w:num w:numId="46">
    <w:abstractNumId w:val="2"/>
  </w:num>
  <w:num w:numId="47">
    <w:abstractNumId w:val="20"/>
  </w:num>
  <w:num w:numId="48">
    <w:abstractNumId w:val="3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F8"/>
    <w:rsid w:val="00005B29"/>
    <w:rsid w:val="00033004"/>
    <w:rsid w:val="00042302"/>
    <w:rsid w:val="00043005"/>
    <w:rsid w:val="00043104"/>
    <w:rsid w:val="000472C4"/>
    <w:rsid w:val="00054E82"/>
    <w:rsid w:val="00062326"/>
    <w:rsid w:val="00062AE5"/>
    <w:rsid w:val="00063EE1"/>
    <w:rsid w:val="00065BCD"/>
    <w:rsid w:val="000865AB"/>
    <w:rsid w:val="0009106C"/>
    <w:rsid w:val="0009634E"/>
    <w:rsid w:val="000C286F"/>
    <w:rsid w:val="000C5569"/>
    <w:rsid w:val="000C6FB8"/>
    <w:rsid w:val="000D38C7"/>
    <w:rsid w:val="000E2F15"/>
    <w:rsid w:val="0010684E"/>
    <w:rsid w:val="00106B0B"/>
    <w:rsid w:val="00106E1F"/>
    <w:rsid w:val="0010774A"/>
    <w:rsid w:val="00123049"/>
    <w:rsid w:val="001311BF"/>
    <w:rsid w:val="00144A79"/>
    <w:rsid w:val="001651A2"/>
    <w:rsid w:val="00165514"/>
    <w:rsid w:val="00167EF2"/>
    <w:rsid w:val="00170B2E"/>
    <w:rsid w:val="001812B5"/>
    <w:rsid w:val="00193F3F"/>
    <w:rsid w:val="001A3992"/>
    <w:rsid w:val="001B114A"/>
    <w:rsid w:val="001B2435"/>
    <w:rsid w:val="001B4919"/>
    <w:rsid w:val="001C394C"/>
    <w:rsid w:val="001C6E83"/>
    <w:rsid w:val="001D3AF3"/>
    <w:rsid w:val="001D495C"/>
    <w:rsid w:val="001E0DE1"/>
    <w:rsid w:val="001E1B92"/>
    <w:rsid w:val="001F2FDA"/>
    <w:rsid w:val="002054CB"/>
    <w:rsid w:val="00221797"/>
    <w:rsid w:val="002335CD"/>
    <w:rsid w:val="00257099"/>
    <w:rsid w:val="0026491B"/>
    <w:rsid w:val="00264E8A"/>
    <w:rsid w:val="002704BF"/>
    <w:rsid w:val="002721EC"/>
    <w:rsid w:val="00273341"/>
    <w:rsid w:val="00276DDD"/>
    <w:rsid w:val="002803FC"/>
    <w:rsid w:val="00285173"/>
    <w:rsid w:val="00286FD5"/>
    <w:rsid w:val="002A7E3E"/>
    <w:rsid w:val="002B0A05"/>
    <w:rsid w:val="002D1062"/>
    <w:rsid w:val="002D1C2A"/>
    <w:rsid w:val="002D30F1"/>
    <w:rsid w:val="002D3489"/>
    <w:rsid w:val="002E277D"/>
    <w:rsid w:val="002F7A4A"/>
    <w:rsid w:val="003045BE"/>
    <w:rsid w:val="00305653"/>
    <w:rsid w:val="00321B64"/>
    <w:rsid w:val="00330AAC"/>
    <w:rsid w:val="00336FF5"/>
    <w:rsid w:val="00344F38"/>
    <w:rsid w:val="00347A8D"/>
    <w:rsid w:val="00362F10"/>
    <w:rsid w:val="00364D77"/>
    <w:rsid w:val="00372025"/>
    <w:rsid w:val="00375DF3"/>
    <w:rsid w:val="00376D26"/>
    <w:rsid w:val="00377337"/>
    <w:rsid w:val="00380814"/>
    <w:rsid w:val="0038422C"/>
    <w:rsid w:val="0038434B"/>
    <w:rsid w:val="0038473D"/>
    <w:rsid w:val="003868E7"/>
    <w:rsid w:val="003B7CFF"/>
    <w:rsid w:val="003D26B4"/>
    <w:rsid w:val="003D65DB"/>
    <w:rsid w:val="003E47E0"/>
    <w:rsid w:val="003F01C4"/>
    <w:rsid w:val="003F3BED"/>
    <w:rsid w:val="003F58ED"/>
    <w:rsid w:val="00401514"/>
    <w:rsid w:val="00404C87"/>
    <w:rsid w:val="0041004D"/>
    <w:rsid w:val="00417149"/>
    <w:rsid w:val="004208BC"/>
    <w:rsid w:val="00431ACD"/>
    <w:rsid w:val="00434191"/>
    <w:rsid w:val="004363D1"/>
    <w:rsid w:val="00446EDD"/>
    <w:rsid w:val="00457E7F"/>
    <w:rsid w:val="004618C4"/>
    <w:rsid w:val="00470DC2"/>
    <w:rsid w:val="00475375"/>
    <w:rsid w:val="00475493"/>
    <w:rsid w:val="00492433"/>
    <w:rsid w:val="004B104B"/>
    <w:rsid w:val="004B2894"/>
    <w:rsid w:val="004B6B19"/>
    <w:rsid w:val="004B7C45"/>
    <w:rsid w:val="004C5390"/>
    <w:rsid w:val="004C7F1B"/>
    <w:rsid w:val="004D6FC6"/>
    <w:rsid w:val="004E61A5"/>
    <w:rsid w:val="004F6D0B"/>
    <w:rsid w:val="004F738D"/>
    <w:rsid w:val="00500C97"/>
    <w:rsid w:val="00507D9D"/>
    <w:rsid w:val="00507F2C"/>
    <w:rsid w:val="005133C0"/>
    <w:rsid w:val="00513B1A"/>
    <w:rsid w:val="005162A0"/>
    <w:rsid w:val="00523810"/>
    <w:rsid w:val="00531E9D"/>
    <w:rsid w:val="00533B76"/>
    <w:rsid w:val="00536ABC"/>
    <w:rsid w:val="00551B5E"/>
    <w:rsid w:val="00552811"/>
    <w:rsid w:val="00567153"/>
    <w:rsid w:val="005776F9"/>
    <w:rsid w:val="00580494"/>
    <w:rsid w:val="00594EAD"/>
    <w:rsid w:val="005976AA"/>
    <w:rsid w:val="005D3E7D"/>
    <w:rsid w:val="005E100C"/>
    <w:rsid w:val="005E12E5"/>
    <w:rsid w:val="005E5D0B"/>
    <w:rsid w:val="005E684A"/>
    <w:rsid w:val="005E6C74"/>
    <w:rsid w:val="005F7BA0"/>
    <w:rsid w:val="006018AE"/>
    <w:rsid w:val="00603AF8"/>
    <w:rsid w:val="00613171"/>
    <w:rsid w:val="00620143"/>
    <w:rsid w:val="006237C6"/>
    <w:rsid w:val="00641142"/>
    <w:rsid w:val="006429DA"/>
    <w:rsid w:val="006436DF"/>
    <w:rsid w:val="00646045"/>
    <w:rsid w:val="006763B9"/>
    <w:rsid w:val="00681088"/>
    <w:rsid w:val="00696256"/>
    <w:rsid w:val="00696D5B"/>
    <w:rsid w:val="006A727B"/>
    <w:rsid w:val="006B0003"/>
    <w:rsid w:val="006B0D1D"/>
    <w:rsid w:val="006B6D88"/>
    <w:rsid w:val="006C3217"/>
    <w:rsid w:val="006C5D3A"/>
    <w:rsid w:val="006E30D0"/>
    <w:rsid w:val="006E4C1E"/>
    <w:rsid w:val="006F0678"/>
    <w:rsid w:val="006F7999"/>
    <w:rsid w:val="006F7D7D"/>
    <w:rsid w:val="00704644"/>
    <w:rsid w:val="00705CDF"/>
    <w:rsid w:val="0071599F"/>
    <w:rsid w:val="007173D0"/>
    <w:rsid w:val="00717E0C"/>
    <w:rsid w:val="007216E5"/>
    <w:rsid w:val="007228AC"/>
    <w:rsid w:val="00724F52"/>
    <w:rsid w:val="00731C8A"/>
    <w:rsid w:val="00737704"/>
    <w:rsid w:val="007403BD"/>
    <w:rsid w:val="007571A0"/>
    <w:rsid w:val="007706C9"/>
    <w:rsid w:val="0077326C"/>
    <w:rsid w:val="007740F9"/>
    <w:rsid w:val="00783C85"/>
    <w:rsid w:val="00784561"/>
    <w:rsid w:val="00785489"/>
    <w:rsid w:val="00795D99"/>
    <w:rsid w:val="007A2548"/>
    <w:rsid w:val="007A5310"/>
    <w:rsid w:val="007B036B"/>
    <w:rsid w:val="007B1A20"/>
    <w:rsid w:val="007B210F"/>
    <w:rsid w:val="007B2B27"/>
    <w:rsid w:val="007B3CA0"/>
    <w:rsid w:val="007C0AF3"/>
    <w:rsid w:val="007C66C8"/>
    <w:rsid w:val="007C6DBC"/>
    <w:rsid w:val="007D3A4B"/>
    <w:rsid w:val="007E23A1"/>
    <w:rsid w:val="007E7CD2"/>
    <w:rsid w:val="007F254B"/>
    <w:rsid w:val="007F2C5F"/>
    <w:rsid w:val="007F4AED"/>
    <w:rsid w:val="007F6A6A"/>
    <w:rsid w:val="0080644B"/>
    <w:rsid w:val="00806C54"/>
    <w:rsid w:val="0081129E"/>
    <w:rsid w:val="00814D86"/>
    <w:rsid w:val="00817B90"/>
    <w:rsid w:val="00825515"/>
    <w:rsid w:val="008302DD"/>
    <w:rsid w:val="00836B3B"/>
    <w:rsid w:val="00852E9E"/>
    <w:rsid w:val="00865114"/>
    <w:rsid w:val="00866D40"/>
    <w:rsid w:val="008739E2"/>
    <w:rsid w:val="0088041C"/>
    <w:rsid w:val="00881EA6"/>
    <w:rsid w:val="00883483"/>
    <w:rsid w:val="008958C0"/>
    <w:rsid w:val="008A35FB"/>
    <w:rsid w:val="008A5274"/>
    <w:rsid w:val="008B3421"/>
    <w:rsid w:val="008B397A"/>
    <w:rsid w:val="008B4EE0"/>
    <w:rsid w:val="008C6572"/>
    <w:rsid w:val="008D59D0"/>
    <w:rsid w:val="008D62DE"/>
    <w:rsid w:val="008E2A0A"/>
    <w:rsid w:val="009041DC"/>
    <w:rsid w:val="00904E83"/>
    <w:rsid w:val="00905FE6"/>
    <w:rsid w:val="00906923"/>
    <w:rsid w:val="00910420"/>
    <w:rsid w:val="00912086"/>
    <w:rsid w:val="00913C86"/>
    <w:rsid w:val="009243B2"/>
    <w:rsid w:val="009249F4"/>
    <w:rsid w:val="00924A99"/>
    <w:rsid w:val="009263EA"/>
    <w:rsid w:val="00927B30"/>
    <w:rsid w:val="0094231B"/>
    <w:rsid w:val="009424E6"/>
    <w:rsid w:val="009436F1"/>
    <w:rsid w:val="0095272B"/>
    <w:rsid w:val="00960CD5"/>
    <w:rsid w:val="00973972"/>
    <w:rsid w:val="00975801"/>
    <w:rsid w:val="00975DB0"/>
    <w:rsid w:val="00977AA6"/>
    <w:rsid w:val="00986EEB"/>
    <w:rsid w:val="009A34DF"/>
    <w:rsid w:val="009B4868"/>
    <w:rsid w:val="009C52A5"/>
    <w:rsid w:val="009D351F"/>
    <w:rsid w:val="009D538D"/>
    <w:rsid w:val="00A2734D"/>
    <w:rsid w:val="00A3168D"/>
    <w:rsid w:val="00A32E10"/>
    <w:rsid w:val="00A3513C"/>
    <w:rsid w:val="00A37C49"/>
    <w:rsid w:val="00A41B0B"/>
    <w:rsid w:val="00A429FD"/>
    <w:rsid w:val="00A54C00"/>
    <w:rsid w:val="00A56280"/>
    <w:rsid w:val="00A564DC"/>
    <w:rsid w:val="00A650F9"/>
    <w:rsid w:val="00A65CEB"/>
    <w:rsid w:val="00A6664B"/>
    <w:rsid w:val="00A717E9"/>
    <w:rsid w:val="00A750FB"/>
    <w:rsid w:val="00A80A8E"/>
    <w:rsid w:val="00A84368"/>
    <w:rsid w:val="00A9101D"/>
    <w:rsid w:val="00AA0B20"/>
    <w:rsid w:val="00AB5EB5"/>
    <w:rsid w:val="00AB60AA"/>
    <w:rsid w:val="00AC7EDD"/>
    <w:rsid w:val="00AD1F1E"/>
    <w:rsid w:val="00AD38FA"/>
    <w:rsid w:val="00AE2F09"/>
    <w:rsid w:val="00AF5E80"/>
    <w:rsid w:val="00B1256A"/>
    <w:rsid w:val="00B14C54"/>
    <w:rsid w:val="00B17B53"/>
    <w:rsid w:val="00B3209F"/>
    <w:rsid w:val="00B328CE"/>
    <w:rsid w:val="00B519BC"/>
    <w:rsid w:val="00B7440E"/>
    <w:rsid w:val="00B95F10"/>
    <w:rsid w:val="00BA3475"/>
    <w:rsid w:val="00BA41AE"/>
    <w:rsid w:val="00BB13AE"/>
    <w:rsid w:val="00BB4245"/>
    <w:rsid w:val="00BB6B17"/>
    <w:rsid w:val="00BC319C"/>
    <w:rsid w:val="00BC3E81"/>
    <w:rsid w:val="00BC5FB3"/>
    <w:rsid w:val="00BE2A26"/>
    <w:rsid w:val="00C001B9"/>
    <w:rsid w:val="00C03FCF"/>
    <w:rsid w:val="00C047AD"/>
    <w:rsid w:val="00C1707F"/>
    <w:rsid w:val="00C178EB"/>
    <w:rsid w:val="00C34F7E"/>
    <w:rsid w:val="00C35144"/>
    <w:rsid w:val="00C36F64"/>
    <w:rsid w:val="00C36F71"/>
    <w:rsid w:val="00C439AD"/>
    <w:rsid w:val="00C443A7"/>
    <w:rsid w:val="00C456C0"/>
    <w:rsid w:val="00C57FD2"/>
    <w:rsid w:val="00C77EE8"/>
    <w:rsid w:val="00C85696"/>
    <w:rsid w:val="00C85970"/>
    <w:rsid w:val="00C868FE"/>
    <w:rsid w:val="00C87AAA"/>
    <w:rsid w:val="00C93C35"/>
    <w:rsid w:val="00C96A01"/>
    <w:rsid w:val="00C96CD2"/>
    <w:rsid w:val="00CA20F4"/>
    <w:rsid w:val="00CA270B"/>
    <w:rsid w:val="00CA327D"/>
    <w:rsid w:val="00CA3C4F"/>
    <w:rsid w:val="00CB1E77"/>
    <w:rsid w:val="00CB26AA"/>
    <w:rsid w:val="00CB345A"/>
    <w:rsid w:val="00CC0C34"/>
    <w:rsid w:val="00CC11BB"/>
    <w:rsid w:val="00CC198A"/>
    <w:rsid w:val="00CC6BAC"/>
    <w:rsid w:val="00CE581F"/>
    <w:rsid w:val="00CF40F6"/>
    <w:rsid w:val="00D02597"/>
    <w:rsid w:val="00D0629D"/>
    <w:rsid w:val="00D11DE1"/>
    <w:rsid w:val="00D347D7"/>
    <w:rsid w:val="00D44C5F"/>
    <w:rsid w:val="00D5007B"/>
    <w:rsid w:val="00D509FA"/>
    <w:rsid w:val="00D53CF7"/>
    <w:rsid w:val="00D72133"/>
    <w:rsid w:val="00D74258"/>
    <w:rsid w:val="00D76ED0"/>
    <w:rsid w:val="00D77D25"/>
    <w:rsid w:val="00D82F37"/>
    <w:rsid w:val="00D87298"/>
    <w:rsid w:val="00D8775D"/>
    <w:rsid w:val="00DA2BD9"/>
    <w:rsid w:val="00DA4F25"/>
    <w:rsid w:val="00DB3EFE"/>
    <w:rsid w:val="00DD445C"/>
    <w:rsid w:val="00DD7E6E"/>
    <w:rsid w:val="00DE2EBA"/>
    <w:rsid w:val="00DE3ADE"/>
    <w:rsid w:val="00DF1B38"/>
    <w:rsid w:val="00DF3302"/>
    <w:rsid w:val="00DF5A58"/>
    <w:rsid w:val="00E00336"/>
    <w:rsid w:val="00E005A0"/>
    <w:rsid w:val="00E07830"/>
    <w:rsid w:val="00E11216"/>
    <w:rsid w:val="00E14228"/>
    <w:rsid w:val="00E30CD4"/>
    <w:rsid w:val="00E33083"/>
    <w:rsid w:val="00E45826"/>
    <w:rsid w:val="00E56EAB"/>
    <w:rsid w:val="00E71C10"/>
    <w:rsid w:val="00E74A56"/>
    <w:rsid w:val="00E96245"/>
    <w:rsid w:val="00EB2F32"/>
    <w:rsid w:val="00EB4AC2"/>
    <w:rsid w:val="00EC60F8"/>
    <w:rsid w:val="00ED27EC"/>
    <w:rsid w:val="00ED5D6F"/>
    <w:rsid w:val="00EE1910"/>
    <w:rsid w:val="00EE3AC8"/>
    <w:rsid w:val="00EE6C35"/>
    <w:rsid w:val="00F02A45"/>
    <w:rsid w:val="00F06F31"/>
    <w:rsid w:val="00F075DF"/>
    <w:rsid w:val="00F2000E"/>
    <w:rsid w:val="00F2329A"/>
    <w:rsid w:val="00F7176B"/>
    <w:rsid w:val="00F732C7"/>
    <w:rsid w:val="00F80DBD"/>
    <w:rsid w:val="00F843B6"/>
    <w:rsid w:val="00F913F9"/>
    <w:rsid w:val="00F952C9"/>
    <w:rsid w:val="00FA1946"/>
    <w:rsid w:val="00FA2736"/>
    <w:rsid w:val="00FA6E60"/>
    <w:rsid w:val="00FA711B"/>
    <w:rsid w:val="00FC3D6B"/>
    <w:rsid w:val="00FC6AE3"/>
    <w:rsid w:val="00FD4758"/>
    <w:rsid w:val="00FE0941"/>
    <w:rsid w:val="00FE100B"/>
    <w:rsid w:val="00FE35AA"/>
    <w:rsid w:val="00FE7A6C"/>
    <w:rsid w:val="00FF05D5"/>
    <w:rsid w:val="00FF4E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D796"/>
  <w15:docId w15:val="{90A0C0E1-A4D6-4DB0-9678-3077929B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69" w:unhideWhenUsed="1"/>
    <w:lsdException w:name="header" w:semiHidden="1" w:uiPriority="29" w:unhideWhenUsed="1"/>
    <w:lsdException w:name="footer" w:semiHidden="1" w:uiPriority="29" w:unhideWhenUsed="1"/>
    <w:lsdException w:name="index heading" w:semiHidden="1" w:unhideWhenUsed="1"/>
    <w:lsdException w:name="caption" w:semiHidden="1" w:uiPriority="49"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69"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uiPriority w:val="4"/>
    <w:qFormat/>
    <w:rsid w:val="003B7CFF"/>
    <w:pPr>
      <w:keepNext/>
      <w:keepLines/>
      <w:numPr>
        <w:numId w:val="1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uiPriority w:val="4"/>
    <w:qFormat/>
    <w:rsid w:val="00705CDF"/>
    <w:pPr>
      <w:keepNext/>
      <w:keepLines/>
      <w:numPr>
        <w:ilvl w:val="1"/>
        <w:numId w:val="13"/>
      </w:numPr>
      <w:tabs>
        <w:tab w:val="clear" w:pos="1418"/>
        <w:tab w:val="num" w:pos="1134"/>
      </w:tabs>
      <w:spacing w:before="60" w:after="120" w:line="240" w:lineRule="auto"/>
      <w:ind w:left="1134"/>
      <w:outlineLvl w:val="1"/>
    </w:pPr>
    <w:rPr>
      <w:rFonts w:ascii="Times New Roman Bold" w:eastAsia="Times New Roman" w:hAnsi="Times New Roman Bold" w:cs="Arial"/>
      <w:b/>
      <w:bCs/>
      <w:iCs/>
      <w:caps/>
      <w:sz w:val="24"/>
      <w:szCs w:val="26"/>
      <w:lang w:val="en-GB"/>
    </w:rPr>
  </w:style>
  <w:style w:type="paragraph" w:styleId="Heading3">
    <w:name w:val="heading 3"/>
    <w:next w:val="Paragraph"/>
    <w:link w:val="Heading3Char"/>
    <w:uiPriority w:val="4"/>
    <w:qFormat/>
    <w:rsid w:val="003B7CFF"/>
    <w:pPr>
      <w:keepNext/>
      <w:keepLines/>
      <w:numPr>
        <w:ilvl w:val="2"/>
        <w:numId w:val="1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uiPriority w:val="4"/>
    <w:qFormat/>
    <w:rsid w:val="003B7CFF"/>
    <w:pPr>
      <w:keepNext/>
      <w:keepLines/>
      <w:numPr>
        <w:ilvl w:val="3"/>
        <w:numId w:val="1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1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1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1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1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1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705CDF"/>
    <w:rPr>
      <w:rFonts w:ascii="Times New Roman Bold" w:eastAsia="Times New Roman" w:hAnsi="Times New Roman Bold" w:cs="Arial"/>
      <w:b/>
      <w:bCs/>
      <w:iCs/>
      <w:cap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link w:val="ListParagraphChar"/>
    <w:uiPriority w:val="34"/>
    <w:qFormat/>
    <w:rsid w:val="003B7CFF"/>
    <w:pPr>
      <w:contextualSpacing/>
    </w:pPr>
  </w:style>
  <w:style w:type="character" w:styleId="CommentReference">
    <w:name w:val="annotation reference"/>
    <w:uiPriority w:val="99"/>
    <w:rsid w:val="003B7CFF"/>
    <w:rPr>
      <w:sz w:val="16"/>
      <w:szCs w:val="16"/>
    </w:rPr>
  </w:style>
  <w:style w:type="paragraph" w:styleId="CommentText">
    <w:name w:val="annotation text"/>
    <w:basedOn w:val="Normal"/>
    <w:link w:val="CommentTextChar"/>
    <w:uiPriority w:val="69"/>
    <w:semiHidden/>
    <w:rsid w:val="003B7CFF"/>
    <w:rPr>
      <w:sz w:val="20"/>
      <w:szCs w:val="20"/>
    </w:rPr>
  </w:style>
  <w:style w:type="character" w:customStyle="1" w:styleId="CommentTextChar">
    <w:name w:val="Comment Text Char"/>
    <w:basedOn w:val="DefaultParagraphFont"/>
    <w:link w:val="CommentText"/>
    <w:uiPriority w:val="69"/>
    <w:semiHidden/>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uiPriority w:val="99"/>
    <w:rsid w:val="003B7CFF"/>
    <w:rPr>
      <w:vertAlign w:val="superscript"/>
    </w:rPr>
  </w:style>
  <w:style w:type="paragraph" w:styleId="ListBullet">
    <w:name w:val="List Bullet"/>
    <w:uiPriority w:val="9"/>
    <w:qFormat/>
    <w:rsid w:val="003B7CFF"/>
    <w:pPr>
      <w:numPr>
        <w:numId w:val="21"/>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uiPriority w:val="29"/>
    <w:rsid w:val="003B7CFF"/>
  </w:style>
  <w:style w:type="character" w:customStyle="1" w:styleId="FooterChar">
    <w:name w:val="Footer Char"/>
    <w:basedOn w:val="DefaultParagraphFont"/>
    <w:link w:val="Footer"/>
    <w:uiPriority w:val="29"/>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12"/>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23"/>
      </w:numPr>
    </w:pPr>
  </w:style>
  <w:style w:type="numbering" w:styleId="1ai">
    <w:name w:val="Outline List 1"/>
    <w:basedOn w:val="NoList"/>
    <w:uiPriority w:val="99"/>
    <w:semiHidden/>
    <w:unhideWhenUsed/>
    <w:rsid w:val="003B7CFF"/>
    <w:pPr>
      <w:numPr>
        <w:numId w:val="24"/>
      </w:numPr>
    </w:pPr>
  </w:style>
  <w:style w:type="numbering" w:styleId="ArticleSection">
    <w:name w:val="Outline List 3"/>
    <w:basedOn w:val="NoList"/>
    <w:uiPriority w:val="99"/>
    <w:semiHidden/>
    <w:unhideWhenUsed/>
    <w:rsid w:val="003B7CFF"/>
    <w:pPr>
      <w:numPr>
        <w:numId w:val="25"/>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99"/>
    <w:rsid w:val="003B7CFF"/>
    <w:rPr>
      <w:vertAlign w:val="superscript"/>
    </w:rPr>
  </w:style>
  <w:style w:type="paragraph" w:styleId="EndnoteText">
    <w:name w:val="endnote text"/>
    <w:basedOn w:val="Normal"/>
    <w:link w:val="EndnoteTextChar"/>
    <w:uiPriority w:val="69"/>
    <w:semiHidden/>
    <w:rsid w:val="003B7CFF"/>
    <w:rPr>
      <w:sz w:val="20"/>
      <w:szCs w:val="20"/>
    </w:rPr>
  </w:style>
  <w:style w:type="character" w:customStyle="1" w:styleId="EndnoteTextChar">
    <w:name w:val="Endnote Text Char"/>
    <w:basedOn w:val="DefaultParagraphFont"/>
    <w:link w:val="EndnoteText"/>
    <w:uiPriority w:val="69"/>
    <w:semiHidden/>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2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iPriority w:val="49"/>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21"/>
      </w:numPr>
      <w:spacing w:before="60" w:after="60"/>
    </w:pPr>
  </w:style>
  <w:style w:type="paragraph" w:styleId="ListBullet3">
    <w:name w:val="List Bullet 3"/>
    <w:basedOn w:val="Normal"/>
    <w:uiPriority w:val="9"/>
    <w:qFormat/>
    <w:rsid w:val="003B7CFF"/>
    <w:pPr>
      <w:numPr>
        <w:ilvl w:val="2"/>
        <w:numId w:val="21"/>
      </w:numPr>
      <w:spacing w:before="60" w:after="60"/>
    </w:pPr>
  </w:style>
  <w:style w:type="paragraph" w:styleId="ListBullet4">
    <w:name w:val="List Bullet 4"/>
    <w:basedOn w:val="Normal"/>
    <w:uiPriority w:val="99"/>
    <w:semiHidden/>
    <w:rsid w:val="003B7CFF"/>
    <w:pPr>
      <w:numPr>
        <w:ilvl w:val="3"/>
        <w:numId w:val="21"/>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22"/>
      </w:numPr>
      <w:spacing w:before="40" w:after="40"/>
    </w:pPr>
    <w:rPr>
      <w:sz w:val="20"/>
      <w:szCs w:val="48"/>
    </w:rPr>
  </w:style>
  <w:style w:type="paragraph" w:customStyle="1" w:styleId="ListBulletSmall2">
    <w:name w:val="List Bullet Small 2"/>
    <w:basedOn w:val="ListBullet2"/>
    <w:uiPriority w:val="9"/>
    <w:qFormat/>
    <w:rsid w:val="003B7CFF"/>
    <w:pPr>
      <w:numPr>
        <w:numId w:val="22"/>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1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26"/>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semiHidden/>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19"/>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EE3AC8"/>
    <w:rPr>
      <w:color w:val="808080"/>
      <w:shd w:val="clear" w:color="auto" w:fill="E6E6E6"/>
    </w:rPr>
  </w:style>
  <w:style w:type="paragraph" w:customStyle="1" w:styleId="TableCenter">
    <w:name w:val="Table Center"/>
    <w:basedOn w:val="Normal"/>
    <w:uiPriority w:val="12"/>
    <w:qFormat/>
    <w:rsid w:val="00C85970"/>
    <w:pPr>
      <w:spacing w:before="40" w:after="40" w:line="240" w:lineRule="auto"/>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DF3302"/>
    <w:pPr>
      <w:keepLines/>
      <w:spacing w:before="40" w:after="40" w:line="240" w:lineRule="auto"/>
    </w:pPr>
    <w:rPr>
      <w:sz w:val="18"/>
      <w:szCs w:val="48"/>
    </w:rPr>
  </w:style>
  <w:style w:type="paragraph" w:customStyle="1" w:styleId="TableFootnoteLetter">
    <w:name w:val="Table Footnote Letter"/>
    <w:basedOn w:val="Normal"/>
    <w:uiPriority w:val="13"/>
    <w:rsid w:val="00DF3302"/>
    <w:pPr>
      <w:keepLines/>
      <w:numPr>
        <w:numId w:val="28"/>
      </w:numPr>
      <w:spacing w:before="40" w:after="40" w:line="240" w:lineRule="auto"/>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3B7CFF"/>
    <w:rPr>
      <w:b/>
      <w:szCs w:val="48"/>
    </w:rPr>
  </w:style>
  <w:style w:type="paragraph" w:customStyle="1" w:styleId="TableLeft">
    <w:name w:val="Table Left"/>
    <w:uiPriority w:val="12"/>
    <w:qFormat/>
    <w:rsid w:val="00C85970"/>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40"/>
    <w:rsid w:val="003B7CFF"/>
    <w:pPr>
      <w:tabs>
        <w:tab w:val="left" w:pos="1701"/>
        <w:tab w:val="right" w:leader="dot" w:pos="9000"/>
      </w:tabs>
      <w:spacing w:before="60" w:after="0"/>
      <w:ind w:left="1701" w:right="357" w:hanging="1701"/>
    </w:p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33"/>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istParagraphChar">
    <w:name w:val="List Paragraph Char"/>
    <w:basedOn w:val="DefaultParagraphFont"/>
    <w:link w:val="ListParagraph"/>
    <w:uiPriority w:val="34"/>
    <w:rsid w:val="00DB3EFE"/>
    <w:rPr>
      <w:rFonts w:ascii="Times New Roman" w:eastAsia="Times New Roman" w:hAnsi="Times New Roman" w:cs="Times New Roman"/>
      <w:sz w:val="24"/>
      <w:szCs w:val="24"/>
      <w:lang w:val="en-GB"/>
    </w:rPr>
  </w:style>
  <w:style w:type="paragraph" w:customStyle="1" w:styleId="A-TableTitle">
    <w:name w:val="A-Table Title"/>
    <w:next w:val="Normal"/>
    <w:rsid w:val="00552811"/>
    <w:pPr>
      <w:keepNext/>
      <w:tabs>
        <w:tab w:val="left" w:pos="1800"/>
      </w:tabs>
      <w:spacing w:after="120" w:line="280" w:lineRule="atLeast"/>
      <w:ind w:left="1800" w:hanging="1800"/>
    </w:pPr>
    <w:rPr>
      <w:rFonts w:ascii="Times New Roman" w:eastAsia="Times New Roman" w:hAnsi="Times New Roman" w:cs="Times New Roman"/>
      <w:b/>
      <w:sz w:val="24"/>
      <w:szCs w:val="20"/>
      <w:lang w:val="en-GB"/>
    </w:rPr>
  </w:style>
  <w:style w:type="table" w:customStyle="1" w:styleId="TableGrid10">
    <w:name w:val="Table Grid1"/>
    <w:basedOn w:val="TableNormal"/>
    <w:next w:val="TableGrid"/>
    <w:uiPriority w:val="39"/>
    <w:rsid w:val="00165514"/>
    <w:pPr>
      <w:spacing w:after="0" w:line="240" w:lineRule="auto"/>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37149">
      <w:bodyDiv w:val="1"/>
      <w:marLeft w:val="0"/>
      <w:marRight w:val="0"/>
      <w:marTop w:val="0"/>
      <w:marBottom w:val="0"/>
      <w:divBdr>
        <w:top w:val="none" w:sz="0" w:space="0" w:color="auto"/>
        <w:left w:val="none" w:sz="0" w:space="0" w:color="auto"/>
        <w:bottom w:val="none" w:sz="0" w:space="0" w:color="auto"/>
        <w:right w:val="none" w:sz="0" w:space="0" w:color="auto"/>
      </w:divBdr>
    </w:div>
    <w:div w:id="407728153">
      <w:bodyDiv w:val="1"/>
      <w:marLeft w:val="0"/>
      <w:marRight w:val="0"/>
      <w:marTop w:val="0"/>
      <w:marBottom w:val="0"/>
      <w:divBdr>
        <w:top w:val="none" w:sz="0" w:space="0" w:color="auto"/>
        <w:left w:val="none" w:sz="0" w:space="0" w:color="auto"/>
        <w:bottom w:val="none" w:sz="0" w:space="0" w:color="auto"/>
        <w:right w:val="none" w:sz="0" w:space="0" w:color="auto"/>
      </w:divBdr>
    </w:div>
    <w:div w:id="946934736">
      <w:bodyDiv w:val="1"/>
      <w:marLeft w:val="0"/>
      <w:marRight w:val="0"/>
      <w:marTop w:val="0"/>
      <w:marBottom w:val="0"/>
      <w:divBdr>
        <w:top w:val="none" w:sz="0" w:space="0" w:color="auto"/>
        <w:left w:val="none" w:sz="0" w:space="0" w:color="auto"/>
        <w:bottom w:val="none" w:sz="0" w:space="0" w:color="auto"/>
        <w:right w:val="none" w:sz="0" w:space="0" w:color="auto"/>
      </w:divBdr>
    </w:div>
    <w:div w:id="1047141970">
      <w:bodyDiv w:val="1"/>
      <w:marLeft w:val="0"/>
      <w:marRight w:val="0"/>
      <w:marTop w:val="0"/>
      <w:marBottom w:val="0"/>
      <w:divBdr>
        <w:top w:val="none" w:sz="0" w:space="0" w:color="auto"/>
        <w:left w:val="none" w:sz="0" w:space="0" w:color="auto"/>
        <w:bottom w:val="none" w:sz="0" w:space="0" w:color="auto"/>
        <w:right w:val="none" w:sz="0" w:space="0" w:color="auto"/>
      </w:divBdr>
    </w:div>
    <w:div w:id="1224950859">
      <w:bodyDiv w:val="1"/>
      <w:marLeft w:val="0"/>
      <w:marRight w:val="0"/>
      <w:marTop w:val="0"/>
      <w:marBottom w:val="0"/>
      <w:divBdr>
        <w:top w:val="none" w:sz="0" w:space="0" w:color="auto"/>
        <w:left w:val="none" w:sz="0" w:space="0" w:color="auto"/>
        <w:bottom w:val="none" w:sz="0" w:space="0" w:color="auto"/>
        <w:right w:val="none" w:sz="0" w:space="0" w:color="auto"/>
      </w:divBdr>
    </w:div>
    <w:div w:id="1301569611">
      <w:bodyDiv w:val="1"/>
      <w:marLeft w:val="0"/>
      <w:marRight w:val="0"/>
      <w:marTop w:val="0"/>
      <w:marBottom w:val="0"/>
      <w:divBdr>
        <w:top w:val="none" w:sz="0" w:space="0" w:color="auto"/>
        <w:left w:val="none" w:sz="0" w:space="0" w:color="auto"/>
        <w:bottom w:val="none" w:sz="0" w:space="0" w:color="auto"/>
        <w:right w:val="none" w:sz="0" w:space="0" w:color="auto"/>
      </w:divBdr>
    </w:div>
    <w:div w:id="1972393037">
      <w:bodyDiv w:val="1"/>
      <w:marLeft w:val="0"/>
      <w:marRight w:val="0"/>
      <w:marTop w:val="0"/>
      <w:marBottom w:val="0"/>
      <w:divBdr>
        <w:top w:val="none" w:sz="0" w:space="0" w:color="auto"/>
        <w:left w:val="none" w:sz="0" w:space="0" w:color="auto"/>
        <w:bottom w:val="none" w:sz="0" w:space="0" w:color="auto"/>
        <w:right w:val="none" w:sz="0" w:space="0" w:color="auto"/>
      </w:divBdr>
    </w:div>
    <w:div w:id="203538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lt172\Desktop\pi-annotated-template-black-triangle%201709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A6064-5134-4D5B-8865-4B6ABFD3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pi-annotated-template-black-triangle 17092020.dotx</Template>
  <TotalTime>5</TotalTime>
  <Pages>19</Pages>
  <Words>5970</Words>
  <Characters>33258</Characters>
  <Application>Microsoft Office Word</Application>
  <DocSecurity>0</DocSecurity>
  <Lines>811</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Saphnelo</dc:title>
  <dc:subject/>
  <dc:creator>Carrucan, Ryan</dc:creator>
  <cp:keywords/>
  <dc:description/>
  <cp:lastModifiedBy>PITKIN, Brendan</cp:lastModifiedBy>
  <cp:revision>3</cp:revision>
  <cp:lastPrinted>2017-11-13T05:13:00Z</cp:lastPrinted>
  <dcterms:created xsi:type="dcterms:W3CDTF">2022-12-06T02:52:00Z</dcterms:created>
  <dcterms:modified xsi:type="dcterms:W3CDTF">2022-12-14T23:57:00Z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ies>
</file>