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45454214" w14:textId="77777777" w:rsidTr="00BF1190">
        <w:trPr>
          <w:trHeight w:val="1863"/>
        </w:trPr>
        <w:tc>
          <w:tcPr>
            <w:tcW w:w="3652" w:type="dxa"/>
            <w:tcBorders>
              <w:top w:val="nil"/>
              <w:left w:val="nil"/>
              <w:bottom w:val="nil"/>
              <w:right w:val="nil"/>
            </w:tcBorders>
          </w:tcPr>
          <w:p w14:paraId="60C01DD4" w14:textId="620FD9ED" w:rsidR="008E7846" w:rsidRPr="00096AA7" w:rsidRDefault="00A63AF3" w:rsidP="00096AA7">
            <w:pPr>
              <w:rPr>
                <w:rFonts w:ascii="Arial" w:hAnsi="Arial" w:cs="Arial"/>
                <w:b/>
                <w:color w:val="002C47"/>
                <w:sz w:val="36"/>
                <w:szCs w:val="36"/>
              </w:rPr>
            </w:pPr>
            <w:r>
              <w:rPr>
                <w:rFonts w:ascii="Arial" w:hAnsi="Arial" w:cs="Arial"/>
                <w:b/>
                <w:color w:val="002C47"/>
                <w:sz w:val="36"/>
                <w:szCs w:val="36"/>
              </w:rPr>
              <w:t xml:space="preserve">December </w:t>
            </w:r>
            <w:r w:rsidR="00E34C9E">
              <w:rPr>
                <w:rFonts w:ascii="Arial" w:hAnsi="Arial" w:cs="Arial"/>
                <w:b/>
                <w:color w:val="002C47"/>
                <w:sz w:val="36"/>
                <w:szCs w:val="36"/>
              </w:rPr>
              <w:t>2022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0F374C8F" w14:textId="77777777" w:rsidTr="0032583B">
        <w:trPr>
          <w:trHeight w:val="868"/>
        </w:trPr>
        <w:tc>
          <w:tcPr>
            <w:tcW w:w="9079" w:type="dxa"/>
          </w:tcPr>
          <w:p w14:paraId="0D04E0F8" w14:textId="1E87EBA3" w:rsidR="0032583B" w:rsidRPr="00A964D1" w:rsidRDefault="0032583B" w:rsidP="00460036">
            <w:pPr>
              <w:pStyle w:val="Title"/>
              <w:rPr>
                <w:color w:val="FFFFFF" w:themeColor="background1"/>
              </w:rPr>
            </w:pPr>
            <w:r w:rsidRPr="00A964D1">
              <w:rPr>
                <w:color w:val="FFFFFF" w:themeColor="background1"/>
              </w:rPr>
              <w:t>Australian Public Assessment Report for</w:t>
            </w:r>
            <w:r w:rsidR="00AF2313">
              <w:rPr>
                <w:color w:val="FFFFFF" w:themeColor="background1"/>
              </w:rPr>
              <w:t xml:space="preserve"> </w:t>
            </w:r>
            <w:r w:rsidR="00E34C9E">
              <w:rPr>
                <w:color w:val="FFFFFF" w:themeColor="background1"/>
              </w:rPr>
              <w:t>Nexviazyme</w:t>
            </w:r>
          </w:p>
        </w:tc>
      </w:tr>
      <w:tr w:rsidR="0032583B" w:rsidRPr="00B64760" w14:paraId="019968A5" w14:textId="77777777" w:rsidTr="0032583B">
        <w:tc>
          <w:tcPr>
            <w:tcW w:w="9079" w:type="dxa"/>
          </w:tcPr>
          <w:p w14:paraId="5780C1D8" w14:textId="4DDBE01C" w:rsidR="0032583B" w:rsidRPr="008E7846" w:rsidRDefault="00E34C9E" w:rsidP="00E34C9E">
            <w:pPr>
              <w:pStyle w:val="Subtitle"/>
              <w:rPr>
                <w:color w:val="FFFFFF" w:themeColor="background1"/>
              </w:rPr>
            </w:pPr>
            <w:r>
              <w:rPr>
                <w:color w:val="FFFFFF" w:themeColor="background1"/>
              </w:rPr>
              <w:t xml:space="preserve">Active ingredient: </w:t>
            </w:r>
            <w:r w:rsidRPr="00E34C9E">
              <w:rPr>
                <w:color w:val="FFFFFF" w:themeColor="background1"/>
              </w:rPr>
              <w:t>Avalglucosidase alfa</w:t>
            </w:r>
          </w:p>
        </w:tc>
      </w:tr>
      <w:tr w:rsidR="0032583B" w:rsidRPr="00B64760" w14:paraId="1F1B92B2" w14:textId="77777777" w:rsidTr="0032583B">
        <w:trPr>
          <w:trHeight w:val="486"/>
        </w:trPr>
        <w:tc>
          <w:tcPr>
            <w:tcW w:w="9079" w:type="dxa"/>
          </w:tcPr>
          <w:p w14:paraId="75502801" w14:textId="44E416A5" w:rsidR="0032583B" w:rsidRPr="008E7846" w:rsidRDefault="00E34C9E" w:rsidP="0032583B">
            <w:pPr>
              <w:pStyle w:val="Subtitle"/>
              <w:rPr>
                <w:color w:val="FFFFFF" w:themeColor="background1"/>
              </w:rPr>
            </w:pPr>
            <w:r>
              <w:rPr>
                <w:color w:val="FFFFFF" w:themeColor="background1"/>
              </w:rPr>
              <w:t>Sponsor: Sanofi-Aventis Australia Pty Ltd</w:t>
            </w:r>
          </w:p>
        </w:tc>
      </w:tr>
    </w:tbl>
    <w:p w14:paraId="7FD77E11" w14:textId="77777777" w:rsidR="008E7846" w:rsidRPr="0085156D" w:rsidRDefault="008E7846" w:rsidP="0085156D">
      <w:r w:rsidRPr="0085156D">
        <w:br w:type="page"/>
      </w:r>
    </w:p>
    <w:p w14:paraId="090C565A" w14:textId="77777777" w:rsidR="008E7846" w:rsidRPr="001F6CBA" w:rsidRDefault="008E7846" w:rsidP="008E7846">
      <w:pPr>
        <w:pStyle w:val="NonTOCHeading2"/>
      </w:pPr>
      <w:r w:rsidRPr="001F6CBA">
        <w:lastRenderedPageBreak/>
        <w:t>About the Therapeutic Goods Administration (TGA)</w:t>
      </w:r>
    </w:p>
    <w:p w14:paraId="5C486BCC" w14:textId="77777777" w:rsidR="00AF2313" w:rsidRPr="00391B0C" w:rsidRDefault="00AF2313" w:rsidP="00AF2313">
      <w:pPr>
        <w:pStyle w:val="ListBullet"/>
      </w:pPr>
      <w:r w:rsidRPr="00391B0C">
        <w:t>The Therapeutic Goods Administration (TGA) is part of the Australian Government Department of Health and is responsible for regulating therapeutic goods, including medicines, medical devices, and biologicals.</w:t>
      </w:r>
    </w:p>
    <w:p w14:paraId="615C67DE" w14:textId="3E19FB51" w:rsidR="00AF2313" w:rsidRPr="00391B0C" w:rsidRDefault="00AF2313" w:rsidP="00AF2313">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w:t>
      </w:r>
      <w:r w:rsidR="00CC5044" w:rsidRPr="00391B0C">
        <w:t>safety,</w:t>
      </w:r>
      <w:r w:rsidRPr="00391B0C">
        <w:t xml:space="preserve"> and efficacy.</w:t>
      </w:r>
    </w:p>
    <w:p w14:paraId="3109AC08" w14:textId="77777777" w:rsidR="00AF2313" w:rsidRPr="003C6D1F" w:rsidRDefault="00AF2313" w:rsidP="00AF2313">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5B197676" w14:textId="77777777" w:rsidR="00AF2313" w:rsidRPr="003C6D1F" w:rsidRDefault="00AF2313" w:rsidP="00AF2313">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7AE2789C" w14:textId="77777777" w:rsidR="00AF2313" w:rsidRDefault="00AF2313" w:rsidP="00AF2313">
      <w:pPr>
        <w:pStyle w:val="ListBullet"/>
      </w:pPr>
      <w:r w:rsidRPr="003C6D1F">
        <w:t xml:space="preserve">To report a problem with a </w:t>
      </w:r>
      <w:r>
        <w:t>therapeutic good</w:t>
      </w:r>
      <w:r w:rsidRPr="003C6D1F">
        <w:t xml:space="preserve">, please see the information on the </w:t>
      </w:r>
      <w:hyperlink r:id="rId11" w:history="1">
        <w:r w:rsidRPr="000F15B4">
          <w:rPr>
            <w:rStyle w:val="Hyperlink"/>
          </w:rPr>
          <w:t>TGA website</w:t>
        </w:r>
      </w:hyperlink>
      <w:r w:rsidRPr="003C6D1F">
        <w:t>.</w:t>
      </w:r>
    </w:p>
    <w:p w14:paraId="24A6ABFB" w14:textId="77777777" w:rsidR="008E7846" w:rsidRDefault="008E7846" w:rsidP="00875A6B">
      <w:pPr>
        <w:pStyle w:val="NonTOCHeading2"/>
      </w:pPr>
      <w:r>
        <w:t xml:space="preserve">About </w:t>
      </w:r>
      <w:proofErr w:type="spellStart"/>
      <w:r>
        <w:t>AusPARs</w:t>
      </w:r>
      <w:proofErr w:type="spellEnd"/>
    </w:p>
    <w:p w14:paraId="3AC51836" w14:textId="77777777" w:rsidR="00AF2313" w:rsidRPr="003C6D1F" w:rsidRDefault="00AF2313" w:rsidP="00AF2313">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2" w:history="1">
        <w:r w:rsidRPr="005A2EB8">
          <w:rPr>
            <w:rStyle w:val="Hyperlink"/>
          </w:rPr>
          <w:t>Australian Public Assessment Report (AusPAR) guidance</w:t>
        </w:r>
      </w:hyperlink>
      <w:r>
        <w:t>.</w:t>
      </w:r>
    </w:p>
    <w:p w14:paraId="363EABB4" w14:textId="77777777" w:rsidR="00AF2313" w:rsidRPr="003C6D1F" w:rsidRDefault="00AF2313" w:rsidP="00AF2313">
      <w:pPr>
        <w:pStyle w:val="ListBullet"/>
      </w:pPr>
      <w:proofErr w:type="spellStart"/>
      <w:r w:rsidRPr="003C6D1F">
        <w:t>AusPARs</w:t>
      </w:r>
      <w:proofErr w:type="spellEnd"/>
      <w:r w:rsidRPr="003C6D1F">
        <w:t xml:space="preserve"> are prepared and published by the TGA.</w:t>
      </w:r>
    </w:p>
    <w:p w14:paraId="1D4DFB4C" w14:textId="1A1EA017" w:rsidR="00AF2313" w:rsidRPr="003C6D1F" w:rsidRDefault="00AF2313" w:rsidP="00AF2313">
      <w:pPr>
        <w:pStyle w:val="ListBullet"/>
      </w:pPr>
      <w:proofErr w:type="spellStart"/>
      <w:r w:rsidRPr="003C6D1F">
        <w:t>AusPAR</w:t>
      </w:r>
      <w:r>
        <w:t>s</w:t>
      </w:r>
      <w:proofErr w:type="spellEnd"/>
      <w:r>
        <w:t xml:space="preserve"> are </w:t>
      </w:r>
      <w:r w:rsidRPr="003C6D1F">
        <w:t>static document</w:t>
      </w:r>
      <w:r>
        <w:t xml:space="preserve">s that </w:t>
      </w:r>
      <w:r w:rsidRPr="003C6D1F">
        <w:t>provide information that relates to a submission at a particular point in time.</w:t>
      </w:r>
      <w:r w:rsidR="008110BC">
        <w:t xml:space="preserve"> The publication of an AusPAR is an important part of the transparency of the TGA’s decision-making process.</w:t>
      </w:r>
    </w:p>
    <w:p w14:paraId="53AE6375" w14:textId="77777777" w:rsidR="00AF2313" w:rsidRPr="003C6D1F" w:rsidRDefault="00AF2313" w:rsidP="00AF2313">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5ADB5B20" w14:textId="77777777" w:rsidR="00924482" w:rsidRPr="00DF1D7F" w:rsidRDefault="00924482" w:rsidP="00F54B65">
      <w:pPr>
        <w:pStyle w:val="LegalSubheading"/>
        <w:spacing w:before="3120"/>
      </w:pPr>
      <w:r w:rsidRPr="00DF1D7F">
        <w:t>Copyright</w:t>
      </w:r>
    </w:p>
    <w:p w14:paraId="2C43B870" w14:textId="09DE794F"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AF2313">
        <w:rPr>
          <w:rFonts w:cs="Arial"/>
          <w:lang w:val="en-GB"/>
        </w:rPr>
        <w:t>2</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w:t>
      </w:r>
      <w:proofErr w:type="gramStart"/>
      <w:r w:rsidRPr="00191B3B">
        <w:rPr>
          <w:rFonts w:cs="Arial"/>
          <w:lang w:val="en-GB"/>
        </w:rPr>
        <w:t>reserved</w:t>
      </w:r>
      <w:proofErr w:type="gramEnd"/>
      <w:r w:rsidRPr="00191B3B">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3" w:history="1">
        <w:r w:rsidRPr="00191B3B">
          <w:rPr>
            <w:rStyle w:val="Hyperlink"/>
            <w:rFonts w:cs="Arial"/>
            <w:lang w:val="en-GB"/>
          </w:rPr>
          <w:t>tga.copyright@tga.gov.au</w:t>
        </w:r>
      </w:hyperlink>
      <w:r w:rsidRPr="00191B3B">
        <w:rPr>
          <w:rFonts w:cs="Arial"/>
        </w:rPr>
        <w:t>&gt;.</w:t>
      </w:r>
    </w:p>
    <w:p w14:paraId="3D07640C" w14:textId="77777777" w:rsidR="00924482" w:rsidRDefault="00924482" w:rsidP="00924482">
      <w:pPr>
        <w:pStyle w:val="LegalCopy"/>
        <w:sectPr w:rsidR="00924482" w:rsidSect="003D1E62">
          <w:headerReference w:type="default" r:id="rId14"/>
          <w:footerReference w:type="default" r:id="rId15"/>
          <w:headerReference w:type="first" r:id="rId16"/>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5F960583" w14:textId="77777777" w:rsidR="0089635C" w:rsidRPr="0089635C" w:rsidRDefault="0089635C" w:rsidP="0010788A">
          <w:pPr>
            <w:pStyle w:val="Contents"/>
          </w:pPr>
          <w:r w:rsidRPr="0010788A">
            <w:t>Contents</w:t>
          </w:r>
        </w:p>
        <w:p w14:paraId="79A604E6" w14:textId="21657AEE" w:rsidR="0042456C" w:rsidRDefault="00C525A2">
          <w:pPr>
            <w:pStyle w:val="TOC1"/>
            <w:rPr>
              <w:rFonts w:asciiTheme="minorHAnsi" w:eastAsiaTheme="minorEastAsia" w:hAnsiTheme="minorHAnsi" w:cstheme="minorBidi"/>
              <w:b w:val="0"/>
              <w:noProof/>
              <w:sz w:val="22"/>
              <w:lang w:val="en-GB" w:eastAsia="en-GB"/>
            </w:rPr>
          </w:pPr>
          <w:r>
            <w:fldChar w:fldCharType="begin"/>
          </w:r>
          <w:r>
            <w:instrText xml:space="preserve"> TOC \h \z \t "Heading 2,1,Heading 3,2" </w:instrText>
          </w:r>
          <w:r>
            <w:fldChar w:fldCharType="separate"/>
          </w:r>
          <w:hyperlink w:anchor="_Toc117601952" w:history="1">
            <w:r w:rsidR="0042456C" w:rsidRPr="00E87072">
              <w:rPr>
                <w:rStyle w:val="Hyperlink"/>
                <w:noProof/>
              </w:rPr>
              <w:t>List of abbreviations</w:t>
            </w:r>
            <w:r w:rsidR="0042456C">
              <w:rPr>
                <w:noProof/>
                <w:webHidden/>
              </w:rPr>
              <w:tab/>
            </w:r>
            <w:r w:rsidR="0042456C">
              <w:rPr>
                <w:noProof/>
                <w:webHidden/>
              </w:rPr>
              <w:fldChar w:fldCharType="begin"/>
            </w:r>
            <w:r w:rsidR="0042456C">
              <w:rPr>
                <w:noProof/>
                <w:webHidden/>
              </w:rPr>
              <w:instrText xml:space="preserve"> PAGEREF _Toc117601952 \h </w:instrText>
            </w:r>
            <w:r w:rsidR="0042456C">
              <w:rPr>
                <w:noProof/>
                <w:webHidden/>
              </w:rPr>
            </w:r>
            <w:r w:rsidR="0042456C">
              <w:rPr>
                <w:noProof/>
                <w:webHidden/>
              </w:rPr>
              <w:fldChar w:fldCharType="separate"/>
            </w:r>
            <w:r w:rsidR="00075C59">
              <w:rPr>
                <w:noProof/>
                <w:webHidden/>
              </w:rPr>
              <w:t>4</w:t>
            </w:r>
            <w:r w:rsidR="0042456C">
              <w:rPr>
                <w:noProof/>
                <w:webHidden/>
              </w:rPr>
              <w:fldChar w:fldCharType="end"/>
            </w:r>
          </w:hyperlink>
        </w:p>
        <w:p w14:paraId="7116D520" w14:textId="16921129" w:rsidR="0042456C" w:rsidRDefault="00075C59">
          <w:pPr>
            <w:pStyle w:val="TOC1"/>
            <w:rPr>
              <w:rFonts w:asciiTheme="minorHAnsi" w:eastAsiaTheme="minorEastAsia" w:hAnsiTheme="minorHAnsi" w:cstheme="minorBidi"/>
              <w:b w:val="0"/>
              <w:noProof/>
              <w:sz w:val="22"/>
              <w:lang w:val="en-GB" w:eastAsia="en-GB"/>
            </w:rPr>
          </w:pPr>
          <w:hyperlink w:anchor="_Toc117601953" w:history="1">
            <w:r w:rsidR="0042456C" w:rsidRPr="00E87072">
              <w:rPr>
                <w:rStyle w:val="Hyperlink"/>
                <w:noProof/>
              </w:rPr>
              <w:t>Product submission</w:t>
            </w:r>
            <w:r w:rsidR="0042456C">
              <w:rPr>
                <w:noProof/>
                <w:webHidden/>
              </w:rPr>
              <w:tab/>
            </w:r>
            <w:r w:rsidR="0042456C">
              <w:rPr>
                <w:noProof/>
                <w:webHidden/>
              </w:rPr>
              <w:fldChar w:fldCharType="begin"/>
            </w:r>
            <w:r w:rsidR="0042456C">
              <w:rPr>
                <w:noProof/>
                <w:webHidden/>
              </w:rPr>
              <w:instrText xml:space="preserve"> PAGEREF _Toc117601953 \h </w:instrText>
            </w:r>
            <w:r w:rsidR="0042456C">
              <w:rPr>
                <w:noProof/>
                <w:webHidden/>
              </w:rPr>
            </w:r>
            <w:r w:rsidR="0042456C">
              <w:rPr>
                <w:noProof/>
                <w:webHidden/>
              </w:rPr>
              <w:fldChar w:fldCharType="separate"/>
            </w:r>
            <w:r>
              <w:rPr>
                <w:noProof/>
                <w:webHidden/>
              </w:rPr>
              <w:t>7</w:t>
            </w:r>
            <w:r w:rsidR="0042456C">
              <w:rPr>
                <w:noProof/>
                <w:webHidden/>
              </w:rPr>
              <w:fldChar w:fldCharType="end"/>
            </w:r>
          </w:hyperlink>
        </w:p>
        <w:p w14:paraId="13FB2A48" w14:textId="4806BEB9" w:rsidR="0042456C" w:rsidRDefault="00075C59">
          <w:pPr>
            <w:pStyle w:val="TOC2"/>
            <w:rPr>
              <w:rFonts w:asciiTheme="minorHAnsi" w:eastAsiaTheme="minorEastAsia" w:hAnsiTheme="minorHAnsi" w:cstheme="minorBidi"/>
              <w:b w:val="0"/>
              <w:noProof/>
              <w:sz w:val="22"/>
              <w:lang w:val="en-GB" w:eastAsia="en-GB"/>
            </w:rPr>
          </w:pPr>
          <w:hyperlink w:anchor="_Toc117601954" w:history="1">
            <w:r w:rsidR="0042456C" w:rsidRPr="00E87072">
              <w:rPr>
                <w:rStyle w:val="Hyperlink"/>
                <w:noProof/>
                <w:lang w:eastAsia="en-AU"/>
              </w:rPr>
              <w:t>Submission details</w:t>
            </w:r>
            <w:r w:rsidR="0042456C">
              <w:rPr>
                <w:noProof/>
                <w:webHidden/>
              </w:rPr>
              <w:tab/>
            </w:r>
            <w:r w:rsidR="0042456C">
              <w:rPr>
                <w:noProof/>
                <w:webHidden/>
              </w:rPr>
              <w:fldChar w:fldCharType="begin"/>
            </w:r>
            <w:r w:rsidR="0042456C">
              <w:rPr>
                <w:noProof/>
                <w:webHidden/>
              </w:rPr>
              <w:instrText xml:space="preserve"> PAGEREF _Toc117601954 \h </w:instrText>
            </w:r>
            <w:r w:rsidR="0042456C">
              <w:rPr>
                <w:noProof/>
                <w:webHidden/>
              </w:rPr>
            </w:r>
            <w:r w:rsidR="0042456C">
              <w:rPr>
                <w:noProof/>
                <w:webHidden/>
              </w:rPr>
              <w:fldChar w:fldCharType="separate"/>
            </w:r>
            <w:r>
              <w:rPr>
                <w:noProof/>
                <w:webHidden/>
              </w:rPr>
              <w:t>7</w:t>
            </w:r>
            <w:r w:rsidR="0042456C">
              <w:rPr>
                <w:noProof/>
                <w:webHidden/>
              </w:rPr>
              <w:fldChar w:fldCharType="end"/>
            </w:r>
          </w:hyperlink>
        </w:p>
        <w:p w14:paraId="2591D729" w14:textId="02BB33D6" w:rsidR="0042456C" w:rsidRDefault="00075C59">
          <w:pPr>
            <w:pStyle w:val="TOC2"/>
            <w:rPr>
              <w:rFonts w:asciiTheme="minorHAnsi" w:eastAsiaTheme="minorEastAsia" w:hAnsiTheme="minorHAnsi" w:cstheme="minorBidi"/>
              <w:b w:val="0"/>
              <w:noProof/>
              <w:sz w:val="22"/>
              <w:lang w:val="en-GB" w:eastAsia="en-GB"/>
            </w:rPr>
          </w:pPr>
          <w:hyperlink w:anchor="_Toc117601955" w:history="1">
            <w:r w:rsidR="0042456C" w:rsidRPr="00E87072">
              <w:rPr>
                <w:rStyle w:val="Hyperlink"/>
                <w:noProof/>
              </w:rPr>
              <w:t>Product background</w:t>
            </w:r>
            <w:r w:rsidR="0042456C">
              <w:rPr>
                <w:noProof/>
                <w:webHidden/>
              </w:rPr>
              <w:tab/>
            </w:r>
            <w:r w:rsidR="0042456C">
              <w:rPr>
                <w:noProof/>
                <w:webHidden/>
              </w:rPr>
              <w:fldChar w:fldCharType="begin"/>
            </w:r>
            <w:r w:rsidR="0042456C">
              <w:rPr>
                <w:noProof/>
                <w:webHidden/>
              </w:rPr>
              <w:instrText xml:space="preserve"> PAGEREF _Toc117601955 \h </w:instrText>
            </w:r>
            <w:r w:rsidR="0042456C">
              <w:rPr>
                <w:noProof/>
                <w:webHidden/>
              </w:rPr>
            </w:r>
            <w:r w:rsidR="0042456C">
              <w:rPr>
                <w:noProof/>
                <w:webHidden/>
              </w:rPr>
              <w:fldChar w:fldCharType="separate"/>
            </w:r>
            <w:r>
              <w:rPr>
                <w:noProof/>
                <w:webHidden/>
              </w:rPr>
              <w:t>9</w:t>
            </w:r>
            <w:r w:rsidR="0042456C">
              <w:rPr>
                <w:noProof/>
                <w:webHidden/>
              </w:rPr>
              <w:fldChar w:fldCharType="end"/>
            </w:r>
          </w:hyperlink>
        </w:p>
        <w:p w14:paraId="66F812EA" w14:textId="5C341176" w:rsidR="0042456C" w:rsidRDefault="00075C59">
          <w:pPr>
            <w:pStyle w:val="TOC2"/>
            <w:rPr>
              <w:rFonts w:asciiTheme="minorHAnsi" w:eastAsiaTheme="minorEastAsia" w:hAnsiTheme="minorHAnsi" w:cstheme="minorBidi"/>
              <w:b w:val="0"/>
              <w:noProof/>
              <w:sz w:val="22"/>
              <w:lang w:val="en-GB" w:eastAsia="en-GB"/>
            </w:rPr>
          </w:pPr>
          <w:hyperlink w:anchor="_Toc117601956" w:history="1">
            <w:r w:rsidR="0042456C" w:rsidRPr="00E87072">
              <w:rPr>
                <w:rStyle w:val="Hyperlink"/>
                <w:noProof/>
              </w:rPr>
              <w:t>Regulatory status</w:t>
            </w:r>
            <w:r w:rsidR="0042456C">
              <w:rPr>
                <w:noProof/>
                <w:webHidden/>
              </w:rPr>
              <w:tab/>
            </w:r>
            <w:r w:rsidR="0042456C">
              <w:rPr>
                <w:noProof/>
                <w:webHidden/>
              </w:rPr>
              <w:fldChar w:fldCharType="begin"/>
            </w:r>
            <w:r w:rsidR="0042456C">
              <w:rPr>
                <w:noProof/>
                <w:webHidden/>
              </w:rPr>
              <w:instrText xml:space="preserve"> PAGEREF _Toc117601956 \h </w:instrText>
            </w:r>
            <w:r w:rsidR="0042456C">
              <w:rPr>
                <w:noProof/>
                <w:webHidden/>
              </w:rPr>
            </w:r>
            <w:r w:rsidR="0042456C">
              <w:rPr>
                <w:noProof/>
                <w:webHidden/>
              </w:rPr>
              <w:fldChar w:fldCharType="separate"/>
            </w:r>
            <w:r>
              <w:rPr>
                <w:noProof/>
                <w:webHidden/>
              </w:rPr>
              <w:t>12</w:t>
            </w:r>
            <w:r w:rsidR="0042456C">
              <w:rPr>
                <w:noProof/>
                <w:webHidden/>
              </w:rPr>
              <w:fldChar w:fldCharType="end"/>
            </w:r>
          </w:hyperlink>
        </w:p>
        <w:p w14:paraId="55FA7EBD" w14:textId="0D041B3D" w:rsidR="0042456C" w:rsidRDefault="00075C59">
          <w:pPr>
            <w:pStyle w:val="TOC2"/>
            <w:rPr>
              <w:rFonts w:asciiTheme="minorHAnsi" w:eastAsiaTheme="minorEastAsia" w:hAnsiTheme="minorHAnsi" w:cstheme="minorBidi"/>
              <w:b w:val="0"/>
              <w:noProof/>
              <w:sz w:val="22"/>
              <w:lang w:val="en-GB" w:eastAsia="en-GB"/>
            </w:rPr>
          </w:pPr>
          <w:hyperlink w:anchor="_Toc117601957" w:history="1">
            <w:r w:rsidR="0042456C" w:rsidRPr="00E87072">
              <w:rPr>
                <w:rStyle w:val="Hyperlink"/>
                <w:noProof/>
              </w:rPr>
              <w:t>Product Information</w:t>
            </w:r>
            <w:r w:rsidR="0042456C">
              <w:rPr>
                <w:noProof/>
                <w:webHidden/>
              </w:rPr>
              <w:tab/>
            </w:r>
            <w:r w:rsidR="0042456C">
              <w:rPr>
                <w:noProof/>
                <w:webHidden/>
              </w:rPr>
              <w:fldChar w:fldCharType="begin"/>
            </w:r>
            <w:r w:rsidR="0042456C">
              <w:rPr>
                <w:noProof/>
                <w:webHidden/>
              </w:rPr>
              <w:instrText xml:space="preserve"> PAGEREF _Toc117601957 \h </w:instrText>
            </w:r>
            <w:r w:rsidR="0042456C">
              <w:rPr>
                <w:noProof/>
                <w:webHidden/>
              </w:rPr>
            </w:r>
            <w:r w:rsidR="0042456C">
              <w:rPr>
                <w:noProof/>
                <w:webHidden/>
              </w:rPr>
              <w:fldChar w:fldCharType="separate"/>
            </w:r>
            <w:r>
              <w:rPr>
                <w:noProof/>
                <w:webHidden/>
              </w:rPr>
              <w:t>12</w:t>
            </w:r>
            <w:r w:rsidR="0042456C">
              <w:rPr>
                <w:noProof/>
                <w:webHidden/>
              </w:rPr>
              <w:fldChar w:fldCharType="end"/>
            </w:r>
          </w:hyperlink>
        </w:p>
        <w:p w14:paraId="05DCE970" w14:textId="63909020" w:rsidR="0042456C" w:rsidRDefault="00075C59">
          <w:pPr>
            <w:pStyle w:val="TOC1"/>
            <w:rPr>
              <w:rFonts w:asciiTheme="minorHAnsi" w:eastAsiaTheme="minorEastAsia" w:hAnsiTheme="minorHAnsi" w:cstheme="minorBidi"/>
              <w:b w:val="0"/>
              <w:noProof/>
              <w:sz w:val="22"/>
              <w:lang w:val="en-GB" w:eastAsia="en-GB"/>
            </w:rPr>
          </w:pPr>
          <w:hyperlink w:anchor="_Toc117601958" w:history="1">
            <w:r w:rsidR="0042456C" w:rsidRPr="00E87072">
              <w:rPr>
                <w:rStyle w:val="Hyperlink"/>
                <w:noProof/>
              </w:rPr>
              <w:t>Registration timeline</w:t>
            </w:r>
            <w:r w:rsidR="0042456C">
              <w:rPr>
                <w:noProof/>
                <w:webHidden/>
              </w:rPr>
              <w:tab/>
            </w:r>
            <w:r w:rsidR="0042456C">
              <w:rPr>
                <w:noProof/>
                <w:webHidden/>
              </w:rPr>
              <w:fldChar w:fldCharType="begin"/>
            </w:r>
            <w:r w:rsidR="0042456C">
              <w:rPr>
                <w:noProof/>
                <w:webHidden/>
              </w:rPr>
              <w:instrText xml:space="preserve"> PAGEREF _Toc117601958 \h </w:instrText>
            </w:r>
            <w:r w:rsidR="0042456C">
              <w:rPr>
                <w:noProof/>
                <w:webHidden/>
              </w:rPr>
            </w:r>
            <w:r w:rsidR="0042456C">
              <w:rPr>
                <w:noProof/>
                <w:webHidden/>
              </w:rPr>
              <w:fldChar w:fldCharType="separate"/>
            </w:r>
            <w:r>
              <w:rPr>
                <w:noProof/>
                <w:webHidden/>
              </w:rPr>
              <w:t>13</w:t>
            </w:r>
            <w:r w:rsidR="0042456C">
              <w:rPr>
                <w:noProof/>
                <w:webHidden/>
              </w:rPr>
              <w:fldChar w:fldCharType="end"/>
            </w:r>
          </w:hyperlink>
        </w:p>
        <w:p w14:paraId="06F419D3" w14:textId="414AEB8D" w:rsidR="0042456C" w:rsidRDefault="00075C59">
          <w:pPr>
            <w:pStyle w:val="TOC1"/>
            <w:rPr>
              <w:rFonts w:asciiTheme="minorHAnsi" w:eastAsiaTheme="minorEastAsia" w:hAnsiTheme="minorHAnsi" w:cstheme="minorBidi"/>
              <w:b w:val="0"/>
              <w:noProof/>
              <w:sz w:val="22"/>
              <w:lang w:val="en-GB" w:eastAsia="en-GB"/>
            </w:rPr>
          </w:pPr>
          <w:hyperlink w:anchor="_Toc117601959" w:history="1">
            <w:r w:rsidR="0042456C" w:rsidRPr="00E87072">
              <w:rPr>
                <w:rStyle w:val="Hyperlink"/>
                <w:noProof/>
              </w:rPr>
              <w:t>Submission overview and risk/benefit assessment</w:t>
            </w:r>
            <w:r w:rsidR="0042456C">
              <w:rPr>
                <w:noProof/>
                <w:webHidden/>
              </w:rPr>
              <w:tab/>
            </w:r>
            <w:r w:rsidR="0042456C">
              <w:rPr>
                <w:noProof/>
                <w:webHidden/>
              </w:rPr>
              <w:fldChar w:fldCharType="begin"/>
            </w:r>
            <w:r w:rsidR="0042456C">
              <w:rPr>
                <w:noProof/>
                <w:webHidden/>
              </w:rPr>
              <w:instrText xml:space="preserve"> PAGEREF _Toc117601959 \h </w:instrText>
            </w:r>
            <w:r w:rsidR="0042456C">
              <w:rPr>
                <w:noProof/>
                <w:webHidden/>
              </w:rPr>
            </w:r>
            <w:r w:rsidR="0042456C">
              <w:rPr>
                <w:noProof/>
                <w:webHidden/>
              </w:rPr>
              <w:fldChar w:fldCharType="separate"/>
            </w:r>
            <w:r>
              <w:rPr>
                <w:noProof/>
                <w:webHidden/>
              </w:rPr>
              <w:t>13</w:t>
            </w:r>
            <w:r w:rsidR="0042456C">
              <w:rPr>
                <w:noProof/>
                <w:webHidden/>
              </w:rPr>
              <w:fldChar w:fldCharType="end"/>
            </w:r>
          </w:hyperlink>
        </w:p>
        <w:p w14:paraId="5D8F669A" w14:textId="6F4454B7" w:rsidR="0042456C" w:rsidRDefault="00075C59">
          <w:pPr>
            <w:pStyle w:val="TOC2"/>
            <w:rPr>
              <w:rFonts w:asciiTheme="minorHAnsi" w:eastAsiaTheme="minorEastAsia" w:hAnsiTheme="minorHAnsi" w:cstheme="minorBidi"/>
              <w:b w:val="0"/>
              <w:noProof/>
              <w:sz w:val="22"/>
              <w:lang w:val="en-GB" w:eastAsia="en-GB"/>
            </w:rPr>
          </w:pPr>
          <w:hyperlink w:anchor="_Toc117601960" w:history="1">
            <w:r w:rsidR="0042456C" w:rsidRPr="00E87072">
              <w:rPr>
                <w:rStyle w:val="Hyperlink"/>
                <w:noProof/>
              </w:rPr>
              <w:t>Quality</w:t>
            </w:r>
            <w:r w:rsidR="0042456C">
              <w:rPr>
                <w:noProof/>
                <w:webHidden/>
              </w:rPr>
              <w:tab/>
            </w:r>
            <w:r w:rsidR="0042456C">
              <w:rPr>
                <w:noProof/>
                <w:webHidden/>
              </w:rPr>
              <w:fldChar w:fldCharType="begin"/>
            </w:r>
            <w:r w:rsidR="0042456C">
              <w:rPr>
                <w:noProof/>
                <w:webHidden/>
              </w:rPr>
              <w:instrText xml:space="preserve"> PAGEREF _Toc117601960 \h </w:instrText>
            </w:r>
            <w:r w:rsidR="0042456C">
              <w:rPr>
                <w:noProof/>
                <w:webHidden/>
              </w:rPr>
            </w:r>
            <w:r w:rsidR="0042456C">
              <w:rPr>
                <w:noProof/>
                <w:webHidden/>
              </w:rPr>
              <w:fldChar w:fldCharType="separate"/>
            </w:r>
            <w:r>
              <w:rPr>
                <w:noProof/>
                <w:webHidden/>
              </w:rPr>
              <w:t>13</w:t>
            </w:r>
            <w:r w:rsidR="0042456C">
              <w:rPr>
                <w:noProof/>
                <w:webHidden/>
              </w:rPr>
              <w:fldChar w:fldCharType="end"/>
            </w:r>
          </w:hyperlink>
        </w:p>
        <w:p w14:paraId="61600F90" w14:textId="66878B42" w:rsidR="0042456C" w:rsidRDefault="00075C59">
          <w:pPr>
            <w:pStyle w:val="TOC2"/>
            <w:rPr>
              <w:rFonts w:asciiTheme="minorHAnsi" w:eastAsiaTheme="minorEastAsia" w:hAnsiTheme="minorHAnsi" w:cstheme="minorBidi"/>
              <w:b w:val="0"/>
              <w:noProof/>
              <w:sz w:val="22"/>
              <w:lang w:val="en-GB" w:eastAsia="en-GB"/>
            </w:rPr>
          </w:pPr>
          <w:hyperlink w:anchor="_Toc117601961" w:history="1">
            <w:r w:rsidR="0042456C" w:rsidRPr="00E87072">
              <w:rPr>
                <w:rStyle w:val="Hyperlink"/>
                <w:noProof/>
              </w:rPr>
              <w:t>Nonclinical</w:t>
            </w:r>
            <w:r w:rsidR="0042456C">
              <w:rPr>
                <w:noProof/>
                <w:webHidden/>
              </w:rPr>
              <w:tab/>
            </w:r>
            <w:r w:rsidR="0042456C">
              <w:rPr>
                <w:noProof/>
                <w:webHidden/>
              </w:rPr>
              <w:fldChar w:fldCharType="begin"/>
            </w:r>
            <w:r w:rsidR="0042456C">
              <w:rPr>
                <w:noProof/>
                <w:webHidden/>
              </w:rPr>
              <w:instrText xml:space="preserve"> PAGEREF _Toc117601961 \h </w:instrText>
            </w:r>
            <w:r w:rsidR="0042456C">
              <w:rPr>
                <w:noProof/>
                <w:webHidden/>
              </w:rPr>
            </w:r>
            <w:r w:rsidR="0042456C">
              <w:rPr>
                <w:noProof/>
                <w:webHidden/>
              </w:rPr>
              <w:fldChar w:fldCharType="separate"/>
            </w:r>
            <w:r>
              <w:rPr>
                <w:noProof/>
                <w:webHidden/>
              </w:rPr>
              <w:t>16</w:t>
            </w:r>
            <w:r w:rsidR="0042456C">
              <w:rPr>
                <w:noProof/>
                <w:webHidden/>
              </w:rPr>
              <w:fldChar w:fldCharType="end"/>
            </w:r>
          </w:hyperlink>
        </w:p>
        <w:p w14:paraId="3D41FD8D" w14:textId="2C036B82" w:rsidR="0042456C" w:rsidRDefault="00075C59">
          <w:pPr>
            <w:pStyle w:val="TOC2"/>
            <w:rPr>
              <w:rFonts w:asciiTheme="minorHAnsi" w:eastAsiaTheme="minorEastAsia" w:hAnsiTheme="minorHAnsi" w:cstheme="minorBidi"/>
              <w:b w:val="0"/>
              <w:noProof/>
              <w:sz w:val="22"/>
              <w:lang w:val="en-GB" w:eastAsia="en-GB"/>
            </w:rPr>
          </w:pPr>
          <w:hyperlink w:anchor="_Toc117601962" w:history="1">
            <w:r w:rsidR="0042456C" w:rsidRPr="00E87072">
              <w:rPr>
                <w:rStyle w:val="Hyperlink"/>
                <w:noProof/>
              </w:rPr>
              <w:t>Clinical</w:t>
            </w:r>
            <w:r w:rsidR="0042456C">
              <w:rPr>
                <w:noProof/>
                <w:webHidden/>
              </w:rPr>
              <w:tab/>
            </w:r>
            <w:r w:rsidR="0042456C">
              <w:rPr>
                <w:noProof/>
                <w:webHidden/>
              </w:rPr>
              <w:fldChar w:fldCharType="begin"/>
            </w:r>
            <w:r w:rsidR="0042456C">
              <w:rPr>
                <w:noProof/>
                <w:webHidden/>
              </w:rPr>
              <w:instrText xml:space="preserve"> PAGEREF _Toc117601962 \h </w:instrText>
            </w:r>
            <w:r w:rsidR="0042456C">
              <w:rPr>
                <w:noProof/>
                <w:webHidden/>
              </w:rPr>
            </w:r>
            <w:r w:rsidR="0042456C">
              <w:rPr>
                <w:noProof/>
                <w:webHidden/>
              </w:rPr>
              <w:fldChar w:fldCharType="separate"/>
            </w:r>
            <w:r>
              <w:rPr>
                <w:noProof/>
                <w:webHidden/>
              </w:rPr>
              <w:t>19</w:t>
            </w:r>
            <w:r w:rsidR="0042456C">
              <w:rPr>
                <w:noProof/>
                <w:webHidden/>
              </w:rPr>
              <w:fldChar w:fldCharType="end"/>
            </w:r>
          </w:hyperlink>
        </w:p>
        <w:p w14:paraId="27A8D5D4" w14:textId="4B7B8CB4" w:rsidR="0042456C" w:rsidRDefault="00075C59">
          <w:pPr>
            <w:pStyle w:val="TOC2"/>
            <w:rPr>
              <w:rFonts w:asciiTheme="minorHAnsi" w:eastAsiaTheme="minorEastAsia" w:hAnsiTheme="minorHAnsi" w:cstheme="minorBidi"/>
              <w:b w:val="0"/>
              <w:noProof/>
              <w:sz w:val="22"/>
              <w:lang w:val="en-GB" w:eastAsia="en-GB"/>
            </w:rPr>
          </w:pPr>
          <w:hyperlink w:anchor="_Toc117601963" w:history="1">
            <w:r w:rsidR="0042456C" w:rsidRPr="00E87072">
              <w:rPr>
                <w:rStyle w:val="Hyperlink"/>
                <w:noProof/>
                <w:lang w:eastAsia="en-AU"/>
              </w:rPr>
              <w:t>Risk management plan</w:t>
            </w:r>
            <w:r w:rsidR="0042456C">
              <w:rPr>
                <w:noProof/>
                <w:webHidden/>
              </w:rPr>
              <w:tab/>
            </w:r>
            <w:r w:rsidR="0042456C">
              <w:rPr>
                <w:noProof/>
                <w:webHidden/>
              </w:rPr>
              <w:fldChar w:fldCharType="begin"/>
            </w:r>
            <w:r w:rsidR="0042456C">
              <w:rPr>
                <w:noProof/>
                <w:webHidden/>
              </w:rPr>
              <w:instrText xml:space="preserve"> PAGEREF _Toc117601963 \h </w:instrText>
            </w:r>
            <w:r w:rsidR="0042456C">
              <w:rPr>
                <w:noProof/>
                <w:webHidden/>
              </w:rPr>
            </w:r>
            <w:r w:rsidR="0042456C">
              <w:rPr>
                <w:noProof/>
                <w:webHidden/>
              </w:rPr>
              <w:fldChar w:fldCharType="separate"/>
            </w:r>
            <w:r>
              <w:rPr>
                <w:noProof/>
                <w:webHidden/>
              </w:rPr>
              <w:t>33</w:t>
            </w:r>
            <w:r w:rsidR="0042456C">
              <w:rPr>
                <w:noProof/>
                <w:webHidden/>
              </w:rPr>
              <w:fldChar w:fldCharType="end"/>
            </w:r>
          </w:hyperlink>
        </w:p>
        <w:p w14:paraId="131FE40F" w14:textId="53A53391" w:rsidR="0042456C" w:rsidRDefault="00075C59">
          <w:pPr>
            <w:pStyle w:val="TOC2"/>
            <w:rPr>
              <w:rFonts w:asciiTheme="minorHAnsi" w:eastAsiaTheme="minorEastAsia" w:hAnsiTheme="minorHAnsi" w:cstheme="minorBidi"/>
              <w:b w:val="0"/>
              <w:noProof/>
              <w:sz w:val="22"/>
              <w:lang w:val="en-GB" w:eastAsia="en-GB"/>
            </w:rPr>
          </w:pPr>
          <w:hyperlink w:anchor="_Toc117601964" w:history="1">
            <w:r w:rsidR="0042456C" w:rsidRPr="00E87072">
              <w:rPr>
                <w:rStyle w:val="Hyperlink"/>
                <w:noProof/>
              </w:rPr>
              <w:t>Risk-benefit analysis</w:t>
            </w:r>
            <w:r w:rsidR="0042456C">
              <w:rPr>
                <w:noProof/>
                <w:webHidden/>
              </w:rPr>
              <w:tab/>
            </w:r>
            <w:r w:rsidR="0042456C">
              <w:rPr>
                <w:noProof/>
                <w:webHidden/>
              </w:rPr>
              <w:fldChar w:fldCharType="begin"/>
            </w:r>
            <w:r w:rsidR="0042456C">
              <w:rPr>
                <w:noProof/>
                <w:webHidden/>
              </w:rPr>
              <w:instrText xml:space="preserve"> PAGEREF _Toc117601964 \h </w:instrText>
            </w:r>
            <w:r w:rsidR="0042456C">
              <w:rPr>
                <w:noProof/>
                <w:webHidden/>
              </w:rPr>
            </w:r>
            <w:r w:rsidR="0042456C">
              <w:rPr>
                <w:noProof/>
                <w:webHidden/>
              </w:rPr>
              <w:fldChar w:fldCharType="separate"/>
            </w:r>
            <w:r>
              <w:rPr>
                <w:noProof/>
                <w:webHidden/>
              </w:rPr>
              <w:t>36</w:t>
            </w:r>
            <w:r w:rsidR="0042456C">
              <w:rPr>
                <w:noProof/>
                <w:webHidden/>
              </w:rPr>
              <w:fldChar w:fldCharType="end"/>
            </w:r>
          </w:hyperlink>
        </w:p>
        <w:p w14:paraId="497CD636" w14:textId="47289A58" w:rsidR="0042456C" w:rsidRDefault="00075C59">
          <w:pPr>
            <w:pStyle w:val="TOC1"/>
            <w:rPr>
              <w:rFonts w:asciiTheme="minorHAnsi" w:eastAsiaTheme="minorEastAsia" w:hAnsiTheme="minorHAnsi" w:cstheme="minorBidi"/>
              <w:b w:val="0"/>
              <w:noProof/>
              <w:sz w:val="22"/>
              <w:lang w:val="en-GB" w:eastAsia="en-GB"/>
            </w:rPr>
          </w:pPr>
          <w:hyperlink w:anchor="_Toc117601965" w:history="1">
            <w:r w:rsidR="0042456C" w:rsidRPr="00E87072">
              <w:rPr>
                <w:rStyle w:val="Hyperlink"/>
                <w:noProof/>
              </w:rPr>
              <w:t>Outcome</w:t>
            </w:r>
            <w:r w:rsidR="0042456C">
              <w:rPr>
                <w:noProof/>
                <w:webHidden/>
              </w:rPr>
              <w:tab/>
            </w:r>
            <w:r w:rsidR="0042456C">
              <w:rPr>
                <w:noProof/>
                <w:webHidden/>
              </w:rPr>
              <w:fldChar w:fldCharType="begin"/>
            </w:r>
            <w:r w:rsidR="0042456C">
              <w:rPr>
                <w:noProof/>
                <w:webHidden/>
              </w:rPr>
              <w:instrText xml:space="preserve"> PAGEREF _Toc117601965 \h </w:instrText>
            </w:r>
            <w:r w:rsidR="0042456C">
              <w:rPr>
                <w:noProof/>
                <w:webHidden/>
              </w:rPr>
            </w:r>
            <w:r w:rsidR="0042456C">
              <w:rPr>
                <w:noProof/>
                <w:webHidden/>
              </w:rPr>
              <w:fldChar w:fldCharType="separate"/>
            </w:r>
            <w:r>
              <w:rPr>
                <w:noProof/>
                <w:webHidden/>
              </w:rPr>
              <w:t>40</w:t>
            </w:r>
            <w:r w:rsidR="0042456C">
              <w:rPr>
                <w:noProof/>
                <w:webHidden/>
              </w:rPr>
              <w:fldChar w:fldCharType="end"/>
            </w:r>
          </w:hyperlink>
        </w:p>
        <w:p w14:paraId="5532A963" w14:textId="6E4FF27E" w:rsidR="0042456C" w:rsidRDefault="00075C59">
          <w:pPr>
            <w:pStyle w:val="TOC2"/>
            <w:rPr>
              <w:rFonts w:asciiTheme="minorHAnsi" w:eastAsiaTheme="minorEastAsia" w:hAnsiTheme="minorHAnsi" w:cstheme="minorBidi"/>
              <w:b w:val="0"/>
              <w:noProof/>
              <w:sz w:val="22"/>
              <w:lang w:val="en-GB" w:eastAsia="en-GB"/>
            </w:rPr>
          </w:pPr>
          <w:hyperlink w:anchor="_Toc117601966" w:history="1">
            <w:r w:rsidR="0042456C" w:rsidRPr="00E87072">
              <w:rPr>
                <w:rStyle w:val="Hyperlink"/>
                <w:noProof/>
              </w:rPr>
              <w:t>Specific conditions of registration applying to these goods</w:t>
            </w:r>
            <w:r w:rsidR="0042456C">
              <w:rPr>
                <w:noProof/>
                <w:webHidden/>
              </w:rPr>
              <w:tab/>
            </w:r>
            <w:r w:rsidR="0042456C">
              <w:rPr>
                <w:noProof/>
                <w:webHidden/>
              </w:rPr>
              <w:fldChar w:fldCharType="begin"/>
            </w:r>
            <w:r w:rsidR="0042456C">
              <w:rPr>
                <w:noProof/>
                <w:webHidden/>
              </w:rPr>
              <w:instrText xml:space="preserve"> PAGEREF _Toc117601966 \h </w:instrText>
            </w:r>
            <w:r w:rsidR="0042456C">
              <w:rPr>
                <w:noProof/>
                <w:webHidden/>
              </w:rPr>
            </w:r>
            <w:r w:rsidR="0042456C">
              <w:rPr>
                <w:noProof/>
                <w:webHidden/>
              </w:rPr>
              <w:fldChar w:fldCharType="separate"/>
            </w:r>
            <w:r>
              <w:rPr>
                <w:noProof/>
                <w:webHidden/>
              </w:rPr>
              <w:t>40</w:t>
            </w:r>
            <w:r w:rsidR="0042456C">
              <w:rPr>
                <w:noProof/>
                <w:webHidden/>
              </w:rPr>
              <w:fldChar w:fldCharType="end"/>
            </w:r>
          </w:hyperlink>
        </w:p>
        <w:p w14:paraId="139917A7" w14:textId="6B7B3A51" w:rsidR="0042456C" w:rsidRDefault="00075C59">
          <w:pPr>
            <w:pStyle w:val="TOC1"/>
            <w:rPr>
              <w:rFonts w:asciiTheme="minorHAnsi" w:eastAsiaTheme="minorEastAsia" w:hAnsiTheme="minorHAnsi" w:cstheme="minorBidi"/>
              <w:b w:val="0"/>
              <w:noProof/>
              <w:sz w:val="22"/>
              <w:lang w:val="en-GB" w:eastAsia="en-GB"/>
            </w:rPr>
          </w:pPr>
          <w:hyperlink w:anchor="_Toc117601967" w:history="1">
            <w:r w:rsidR="0042456C" w:rsidRPr="00E87072">
              <w:rPr>
                <w:rStyle w:val="Hyperlink"/>
                <w:noProof/>
              </w:rPr>
              <w:t>Attachment 1. Product Information</w:t>
            </w:r>
            <w:r w:rsidR="0042456C">
              <w:rPr>
                <w:noProof/>
                <w:webHidden/>
              </w:rPr>
              <w:tab/>
            </w:r>
            <w:r w:rsidR="0042456C">
              <w:rPr>
                <w:noProof/>
                <w:webHidden/>
              </w:rPr>
              <w:fldChar w:fldCharType="begin"/>
            </w:r>
            <w:r w:rsidR="0042456C">
              <w:rPr>
                <w:noProof/>
                <w:webHidden/>
              </w:rPr>
              <w:instrText xml:space="preserve"> PAGEREF _Toc117601967 \h </w:instrText>
            </w:r>
            <w:r w:rsidR="0042456C">
              <w:rPr>
                <w:noProof/>
                <w:webHidden/>
              </w:rPr>
            </w:r>
            <w:r w:rsidR="0042456C">
              <w:rPr>
                <w:noProof/>
                <w:webHidden/>
              </w:rPr>
              <w:fldChar w:fldCharType="separate"/>
            </w:r>
            <w:r>
              <w:rPr>
                <w:noProof/>
                <w:webHidden/>
              </w:rPr>
              <w:t>41</w:t>
            </w:r>
            <w:r w:rsidR="0042456C">
              <w:rPr>
                <w:noProof/>
                <w:webHidden/>
              </w:rPr>
              <w:fldChar w:fldCharType="end"/>
            </w:r>
          </w:hyperlink>
        </w:p>
        <w:p w14:paraId="736E019D" w14:textId="49346225" w:rsidR="003A7F6C" w:rsidRPr="00B811C6" w:rsidRDefault="00C525A2" w:rsidP="00B811C6">
          <w:pPr>
            <w:pStyle w:val="TOC2"/>
          </w:pPr>
          <w:r>
            <w:fldChar w:fldCharType="end"/>
          </w:r>
        </w:p>
      </w:sdtContent>
    </w:sdt>
    <w:bookmarkStart w:id="2" w:name="_Toc314842482" w:displacedByCustomXml="prev"/>
    <w:p w14:paraId="5E40D720" w14:textId="77777777" w:rsidR="00FD119B" w:rsidRDefault="00FD119B">
      <w:pPr>
        <w:spacing w:before="0" w:after="200" w:line="0" w:lineRule="auto"/>
      </w:pPr>
      <w:r>
        <w:br w:type="page"/>
      </w:r>
    </w:p>
    <w:p w14:paraId="642E4DE7" w14:textId="483514B9" w:rsidR="00833ED8" w:rsidRPr="00E34C9E" w:rsidRDefault="00AF2313" w:rsidP="00E34C9E">
      <w:pPr>
        <w:pStyle w:val="Heading2"/>
      </w:pPr>
      <w:bookmarkStart w:id="3" w:name="_Toc98931917"/>
      <w:bookmarkStart w:id="4" w:name="_Toc117601952"/>
      <w:r>
        <w:lastRenderedPageBreak/>
        <w:t>List of abbreviations</w:t>
      </w:r>
      <w:bookmarkEnd w:id="3"/>
      <w:bookmarkEnd w:id="4"/>
    </w:p>
    <w:tbl>
      <w:tblPr>
        <w:tblStyle w:val="TableTGAblue"/>
        <w:tblW w:w="5000" w:type="pct"/>
        <w:tblLook w:val="04A0" w:firstRow="1" w:lastRow="0" w:firstColumn="1" w:lastColumn="0" w:noHBand="0" w:noVBand="1"/>
      </w:tblPr>
      <w:tblGrid>
        <w:gridCol w:w="1751"/>
        <w:gridCol w:w="142"/>
        <w:gridCol w:w="6591"/>
      </w:tblGrid>
      <w:tr w:rsidR="004868D8" w14:paraId="73887E70" w14:textId="77777777" w:rsidTr="004868D8">
        <w:trPr>
          <w:cnfStyle w:val="100000000000" w:firstRow="1" w:lastRow="0" w:firstColumn="0" w:lastColumn="0" w:oddVBand="0" w:evenVBand="0" w:oddHBand="0" w:evenHBand="0" w:firstRowFirstColumn="0" w:firstRowLastColumn="0" w:lastRowFirstColumn="0" w:lastRowLastColumn="0"/>
          <w:cantSplit/>
        </w:trPr>
        <w:tc>
          <w:tcPr>
            <w:tcW w:w="1094" w:type="pct"/>
            <w:gridSpan w:val="2"/>
            <w:hideMark/>
          </w:tcPr>
          <w:p w14:paraId="26EA6CF1" w14:textId="77777777" w:rsidR="004868D8" w:rsidRDefault="004868D8">
            <w:pPr>
              <w:rPr>
                <w:color w:val="FFFFFF"/>
              </w:rPr>
            </w:pPr>
            <w:r>
              <w:t>Abbreviation</w:t>
            </w:r>
          </w:p>
        </w:tc>
        <w:tc>
          <w:tcPr>
            <w:tcW w:w="3906" w:type="pct"/>
            <w:hideMark/>
          </w:tcPr>
          <w:p w14:paraId="0A622DEC" w14:textId="77777777" w:rsidR="004868D8" w:rsidRDefault="004868D8">
            <w:r>
              <w:t>Meaning</w:t>
            </w:r>
          </w:p>
        </w:tc>
      </w:tr>
      <w:tr w:rsidR="004868D8" w14:paraId="37D01567"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5667885F" w14:textId="77777777" w:rsidR="004868D8" w:rsidRDefault="004868D8">
            <w:pPr>
              <w:rPr>
                <w:color w:val="000000"/>
              </w:rPr>
            </w:pPr>
            <w:r>
              <w:rPr>
                <w:color w:val="000000"/>
              </w:rPr>
              <w:t>6MWT</w:t>
            </w:r>
          </w:p>
        </w:tc>
        <w:tc>
          <w:tcPr>
            <w:tcW w:w="3987" w:type="pct"/>
            <w:gridSpan w:val="2"/>
            <w:tcBorders>
              <w:top w:val="single" w:sz="8" w:space="0" w:color="002C47"/>
              <w:left w:val="single" w:sz="8" w:space="0" w:color="002C47"/>
              <w:bottom w:val="single" w:sz="8" w:space="0" w:color="002C47"/>
              <w:right w:val="single" w:sz="8" w:space="0" w:color="002C47"/>
            </w:tcBorders>
          </w:tcPr>
          <w:p w14:paraId="5CE77DC0" w14:textId="15283DA8" w:rsidR="004868D8" w:rsidRDefault="00A63AF3">
            <w:proofErr w:type="gramStart"/>
            <w:r>
              <w:t xml:space="preserve">Six </w:t>
            </w:r>
            <w:r w:rsidR="004868D8">
              <w:t>minute</w:t>
            </w:r>
            <w:proofErr w:type="gramEnd"/>
            <w:r w:rsidR="004868D8">
              <w:t xml:space="preserve"> walk test</w:t>
            </w:r>
          </w:p>
        </w:tc>
      </w:tr>
      <w:tr w:rsidR="004868D8" w14:paraId="5061F139"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44D1E46A" w14:textId="77777777" w:rsidR="004868D8" w:rsidRDefault="004868D8">
            <w:r>
              <w:t>ACM</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433481BC" w14:textId="77777777" w:rsidR="004868D8" w:rsidRDefault="004868D8">
            <w:r>
              <w:t>Advisory Committee on Medicines</w:t>
            </w:r>
          </w:p>
        </w:tc>
      </w:tr>
      <w:tr w:rsidR="004868D8" w14:paraId="565AC3B3"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3E9FFCA5" w14:textId="77777777" w:rsidR="004868D8" w:rsidRDefault="004868D8">
            <w:pPr>
              <w:rPr>
                <w:color w:val="000000"/>
              </w:rPr>
            </w:pPr>
            <w:r>
              <w:rPr>
                <w:color w:val="000000"/>
              </w:rPr>
              <w:t>ADA</w:t>
            </w:r>
          </w:p>
        </w:tc>
        <w:tc>
          <w:tcPr>
            <w:tcW w:w="3987" w:type="pct"/>
            <w:gridSpan w:val="2"/>
            <w:tcBorders>
              <w:top w:val="single" w:sz="8" w:space="0" w:color="002C47"/>
              <w:left w:val="single" w:sz="8" w:space="0" w:color="002C47"/>
              <w:bottom w:val="single" w:sz="8" w:space="0" w:color="002C47"/>
              <w:right w:val="single" w:sz="8" w:space="0" w:color="002C47"/>
            </w:tcBorders>
          </w:tcPr>
          <w:p w14:paraId="1AAC12D2" w14:textId="77777777" w:rsidR="004868D8" w:rsidRDefault="004868D8">
            <w:r>
              <w:t>Antidrug antibody</w:t>
            </w:r>
          </w:p>
        </w:tc>
      </w:tr>
      <w:tr w:rsidR="004868D8" w14:paraId="49F22E38"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731299D1" w14:textId="77777777" w:rsidR="004868D8" w:rsidRDefault="004868D8">
            <w:pPr>
              <w:rPr>
                <w:color w:val="000000"/>
              </w:rPr>
            </w:pPr>
            <w:r>
              <w:rPr>
                <w:color w:val="000000"/>
              </w:rPr>
              <w:t>AESI</w:t>
            </w:r>
          </w:p>
        </w:tc>
        <w:tc>
          <w:tcPr>
            <w:tcW w:w="3987" w:type="pct"/>
            <w:gridSpan w:val="2"/>
            <w:tcBorders>
              <w:top w:val="single" w:sz="8" w:space="0" w:color="002C47"/>
              <w:left w:val="single" w:sz="8" w:space="0" w:color="002C47"/>
              <w:bottom w:val="single" w:sz="8" w:space="0" w:color="002C47"/>
              <w:right w:val="single" w:sz="8" w:space="0" w:color="002C47"/>
            </w:tcBorders>
          </w:tcPr>
          <w:p w14:paraId="2BA3E76E" w14:textId="77777777" w:rsidR="004868D8" w:rsidRDefault="004868D8">
            <w:r>
              <w:t>Adverse event of special interest</w:t>
            </w:r>
          </w:p>
        </w:tc>
      </w:tr>
      <w:tr w:rsidR="004868D8" w14:paraId="5D91F564"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6AE3EA37" w14:textId="77777777" w:rsidR="004868D8" w:rsidRDefault="004868D8">
            <w:pPr>
              <w:rPr>
                <w:color w:val="000000"/>
              </w:rPr>
            </w:pPr>
            <w:r>
              <w:rPr>
                <w:color w:val="000000"/>
              </w:rPr>
              <w:t>ALT</w:t>
            </w:r>
          </w:p>
        </w:tc>
        <w:tc>
          <w:tcPr>
            <w:tcW w:w="3987" w:type="pct"/>
            <w:gridSpan w:val="2"/>
            <w:tcBorders>
              <w:top w:val="single" w:sz="8" w:space="0" w:color="002C47"/>
              <w:left w:val="single" w:sz="8" w:space="0" w:color="002C47"/>
              <w:bottom w:val="single" w:sz="8" w:space="0" w:color="002C47"/>
              <w:right w:val="single" w:sz="8" w:space="0" w:color="002C47"/>
            </w:tcBorders>
          </w:tcPr>
          <w:p w14:paraId="449D31F2" w14:textId="77777777" w:rsidR="004868D8" w:rsidRDefault="004868D8">
            <w:r>
              <w:t>Alanine aminotransferase</w:t>
            </w:r>
          </w:p>
        </w:tc>
      </w:tr>
      <w:tr w:rsidR="004868D8" w14:paraId="06D5162B"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437FED6C" w14:textId="77777777" w:rsidR="004868D8" w:rsidRDefault="004868D8">
            <w:r>
              <w:t>ARTG</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1DC417E3" w14:textId="77777777" w:rsidR="004868D8" w:rsidRDefault="004868D8">
            <w:r>
              <w:t>Australian Register of Therapeutic Goods</w:t>
            </w:r>
          </w:p>
        </w:tc>
      </w:tr>
      <w:tr w:rsidR="004868D8" w14:paraId="65975B06"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37C013AA" w14:textId="77777777" w:rsidR="004868D8" w:rsidRDefault="004868D8">
            <w:r>
              <w:t>ASA</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5EBF2265" w14:textId="77777777" w:rsidR="004868D8" w:rsidRDefault="004868D8">
            <w:r>
              <w:t>Australia specific annex</w:t>
            </w:r>
          </w:p>
        </w:tc>
      </w:tr>
      <w:tr w:rsidR="004868D8" w14:paraId="05B6F880"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7A8BE951" w14:textId="77777777" w:rsidR="004868D8" w:rsidRDefault="004868D8">
            <w:pPr>
              <w:rPr>
                <w:color w:val="000000"/>
              </w:rPr>
            </w:pPr>
            <w:r>
              <w:rPr>
                <w:color w:val="000000"/>
              </w:rPr>
              <w:t>AST</w:t>
            </w:r>
          </w:p>
        </w:tc>
        <w:tc>
          <w:tcPr>
            <w:tcW w:w="3987" w:type="pct"/>
            <w:gridSpan w:val="2"/>
            <w:tcBorders>
              <w:top w:val="single" w:sz="8" w:space="0" w:color="002C47"/>
              <w:left w:val="single" w:sz="8" w:space="0" w:color="002C47"/>
              <w:bottom w:val="single" w:sz="8" w:space="0" w:color="002C47"/>
              <w:right w:val="single" w:sz="8" w:space="0" w:color="002C47"/>
            </w:tcBorders>
          </w:tcPr>
          <w:p w14:paraId="6482B718" w14:textId="77777777" w:rsidR="004868D8" w:rsidRDefault="004868D8">
            <w:r>
              <w:t>Aspartate aminotransferase</w:t>
            </w:r>
          </w:p>
        </w:tc>
      </w:tr>
      <w:tr w:rsidR="004868D8" w14:paraId="3EBA54FF"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576805BD" w14:textId="77777777" w:rsidR="004868D8" w:rsidRDefault="004868D8">
            <w:pPr>
              <w:rPr>
                <w:color w:val="000000"/>
              </w:rPr>
            </w:pPr>
            <w:r>
              <w:rPr>
                <w:color w:val="000000"/>
              </w:rPr>
              <w:t>AUC</w:t>
            </w:r>
          </w:p>
        </w:tc>
        <w:tc>
          <w:tcPr>
            <w:tcW w:w="3987" w:type="pct"/>
            <w:gridSpan w:val="2"/>
            <w:tcBorders>
              <w:top w:val="single" w:sz="8" w:space="0" w:color="002C47"/>
              <w:left w:val="single" w:sz="8" w:space="0" w:color="002C47"/>
              <w:bottom w:val="single" w:sz="8" w:space="0" w:color="002C47"/>
              <w:right w:val="single" w:sz="8" w:space="0" w:color="002C47"/>
            </w:tcBorders>
          </w:tcPr>
          <w:p w14:paraId="4CB10930" w14:textId="77777777" w:rsidR="004868D8" w:rsidRDefault="004868D8">
            <w:pPr>
              <w:rPr>
                <w:color w:val="000000"/>
              </w:rPr>
            </w:pPr>
            <w:r>
              <w:rPr>
                <w:color w:val="000000"/>
              </w:rPr>
              <w:t>Area under the concentration</w:t>
            </w:r>
            <w:r>
              <w:rPr>
                <w:color w:val="000000"/>
              </w:rPr>
              <w:noBreakHyphen/>
              <w:t>time curve</w:t>
            </w:r>
          </w:p>
        </w:tc>
      </w:tr>
      <w:tr w:rsidR="004868D8" w14:paraId="6CD501C2"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0D5B9D52" w14:textId="77777777" w:rsidR="004868D8" w:rsidRDefault="004868D8">
            <w:pPr>
              <w:rPr>
                <w:color w:val="000000"/>
              </w:rPr>
            </w:pPr>
            <w:r>
              <w:t>AUC</w:t>
            </w:r>
            <w:r w:rsidRPr="00283F2E">
              <w:rPr>
                <w:vertAlign w:val="subscript"/>
              </w:rPr>
              <w:t>0-2wk</w:t>
            </w:r>
          </w:p>
        </w:tc>
        <w:tc>
          <w:tcPr>
            <w:tcW w:w="3987" w:type="pct"/>
            <w:gridSpan w:val="2"/>
            <w:tcBorders>
              <w:top w:val="single" w:sz="8" w:space="0" w:color="002C47"/>
              <w:left w:val="single" w:sz="8" w:space="0" w:color="002C47"/>
              <w:bottom w:val="single" w:sz="8" w:space="0" w:color="002C47"/>
              <w:right w:val="single" w:sz="8" w:space="0" w:color="002C47"/>
            </w:tcBorders>
          </w:tcPr>
          <w:p w14:paraId="0EAF0EBC" w14:textId="43D2005E" w:rsidR="004868D8" w:rsidRDefault="004868D8" w:rsidP="004869F2">
            <w:pPr>
              <w:rPr>
                <w:color w:val="000000"/>
              </w:rPr>
            </w:pPr>
            <w:r>
              <w:t>Area under the concentration</w:t>
            </w:r>
            <w:r>
              <w:noBreakHyphen/>
              <w:t>time curve from time zero to 2</w:t>
            </w:r>
            <w:r w:rsidR="00A63AF3">
              <w:t> </w:t>
            </w:r>
            <w:r>
              <w:t>weeks</w:t>
            </w:r>
          </w:p>
        </w:tc>
      </w:tr>
      <w:tr w:rsidR="004868D8" w14:paraId="404298A7"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42B169E9" w14:textId="77777777" w:rsidR="004868D8" w:rsidRDefault="004868D8">
            <w:pPr>
              <w:rPr>
                <w:color w:val="000000"/>
              </w:rPr>
            </w:pPr>
            <w:proofErr w:type="spellStart"/>
            <w:r>
              <w:t>AUC</w:t>
            </w:r>
            <w:r>
              <w:rPr>
                <w:vertAlign w:val="subscript"/>
              </w:rPr>
              <w:t>last</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2B38E1FE" w14:textId="77777777" w:rsidR="004868D8" w:rsidRDefault="004868D8" w:rsidP="0015647C">
            <w:pPr>
              <w:rPr>
                <w:color w:val="000000"/>
              </w:rPr>
            </w:pPr>
            <w:r>
              <w:t>Area under the concentration</w:t>
            </w:r>
            <w:r>
              <w:noBreakHyphen/>
              <w:t>time curve up until the last measurable concentration</w:t>
            </w:r>
          </w:p>
        </w:tc>
      </w:tr>
      <w:tr w:rsidR="004868D8" w14:paraId="4667B008"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55E70E2A" w14:textId="77777777" w:rsidR="004868D8" w:rsidRDefault="004868D8">
            <w:pPr>
              <w:rPr>
                <w:color w:val="000000"/>
              </w:rPr>
            </w:pPr>
            <w:r>
              <w:rPr>
                <w:color w:val="000000"/>
              </w:rPr>
              <w:t>CHMP</w:t>
            </w:r>
          </w:p>
        </w:tc>
        <w:tc>
          <w:tcPr>
            <w:tcW w:w="3987" w:type="pct"/>
            <w:gridSpan w:val="2"/>
            <w:tcBorders>
              <w:top w:val="single" w:sz="8" w:space="0" w:color="002C47"/>
              <w:left w:val="single" w:sz="8" w:space="0" w:color="002C47"/>
              <w:bottom w:val="single" w:sz="8" w:space="0" w:color="002C47"/>
              <w:right w:val="single" w:sz="8" w:space="0" w:color="002C47"/>
            </w:tcBorders>
          </w:tcPr>
          <w:p w14:paraId="1C1756BF" w14:textId="77777777" w:rsidR="004868D8" w:rsidRDefault="004868D8">
            <w:pPr>
              <w:rPr>
                <w:color w:val="000000"/>
              </w:rPr>
            </w:pPr>
            <w:r w:rsidRPr="006C3528">
              <w:t>Committee for Medicinal Products for Human Use</w:t>
            </w:r>
            <w:r>
              <w:t xml:space="preserve"> (European Medicines Agency, European Union)</w:t>
            </w:r>
          </w:p>
        </w:tc>
      </w:tr>
      <w:tr w:rsidR="004868D8" w14:paraId="3D890C45"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2D90A29" w14:textId="77777777" w:rsidR="004868D8" w:rsidRDefault="004868D8">
            <w:pPr>
              <w:rPr>
                <w:color w:val="000000"/>
              </w:rPr>
            </w:pPr>
            <w:r>
              <w:rPr>
                <w:color w:val="000000"/>
              </w:rPr>
              <w:t>CI</w:t>
            </w:r>
          </w:p>
        </w:tc>
        <w:tc>
          <w:tcPr>
            <w:tcW w:w="3987" w:type="pct"/>
            <w:gridSpan w:val="2"/>
            <w:tcBorders>
              <w:top w:val="single" w:sz="8" w:space="0" w:color="002C47"/>
              <w:left w:val="single" w:sz="8" w:space="0" w:color="002C47"/>
              <w:bottom w:val="single" w:sz="8" w:space="0" w:color="002C47"/>
              <w:right w:val="single" w:sz="8" w:space="0" w:color="002C47"/>
            </w:tcBorders>
          </w:tcPr>
          <w:p w14:paraId="2B6785E9" w14:textId="77777777" w:rsidR="004868D8" w:rsidRDefault="004868D8">
            <w:r>
              <w:t>Confidence interval</w:t>
            </w:r>
          </w:p>
        </w:tc>
      </w:tr>
      <w:tr w:rsidR="004868D8" w14:paraId="122CFE16"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4DA877A0" w14:textId="77777777" w:rsidR="004868D8" w:rsidRDefault="004868D8">
            <w:pPr>
              <w:rPr>
                <w:color w:val="000000"/>
              </w:rPr>
            </w:pPr>
            <w:r>
              <w:rPr>
                <w:color w:val="000000"/>
              </w:rPr>
              <w:t>CK</w:t>
            </w:r>
          </w:p>
        </w:tc>
        <w:tc>
          <w:tcPr>
            <w:tcW w:w="3987" w:type="pct"/>
            <w:gridSpan w:val="2"/>
            <w:tcBorders>
              <w:top w:val="single" w:sz="8" w:space="0" w:color="002C47"/>
              <w:left w:val="single" w:sz="8" w:space="0" w:color="002C47"/>
              <w:bottom w:val="single" w:sz="8" w:space="0" w:color="002C47"/>
              <w:right w:val="single" w:sz="8" w:space="0" w:color="002C47"/>
            </w:tcBorders>
          </w:tcPr>
          <w:p w14:paraId="530216AE" w14:textId="77777777" w:rsidR="004868D8" w:rsidRDefault="004868D8">
            <w:r>
              <w:rPr>
                <w:rFonts w:asciiTheme="minorHAnsi" w:eastAsiaTheme="minorHAnsi" w:hAnsiTheme="minorHAnsi" w:cs="Calibri"/>
                <w:color w:val="000000"/>
              </w:rPr>
              <w:t>Creatinine kinase</w:t>
            </w:r>
          </w:p>
        </w:tc>
      </w:tr>
      <w:tr w:rsidR="004868D8" w14:paraId="661E8E5B"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631C428B" w14:textId="77777777" w:rsidR="004868D8" w:rsidRDefault="004868D8">
            <w:pPr>
              <w:rPr>
                <w:color w:val="000000"/>
              </w:rPr>
            </w:pPr>
            <w:r>
              <w:rPr>
                <w:color w:val="000000"/>
              </w:rPr>
              <w:t>C</w:t>
            </w:r>
            <w:r w:rsidRPr="004869F2">
              <w:rPr>
                <w:color w:val="000000"/>
                <w:vertAlign w:val="subscript"/>
              </w:rPr>
              <w:t>max</w:t>
            </w:r>
          </w:p>
        </w:tc>
        <w:tc>
          <w:tcPr>
            <w:tcW w:w="3987" w:type="pct"/>
            <w:gridSpan w:val="2"/>
            <w:tcBorders>
              <w:top w:val="single" w:sz="8" w:space="0" w:color="002C47"/>
              <w:left w:val="single" w:sz="8" w:space="0" w:color="002C47"/>
              <w:bottom w:val="single" w:sz="8" w:space="0" w:color="002C47"/>
              <w:right w:val="single" w:sz="8" w:space="0" w:color="002C47"/>
            </w:tcBorders>
          </w:tcPr>
          <w:p w14:paraId="4E31C34F" w14:textId="77777777" w:rsidR="004868D8" w:rsidRDefault="004868D8">
            <w:pPr>
              <w:rPr>
                <w:color w:val="000000"/>
              </w:rPr>
            </w:pPr>
            <w:r>
              <w:rPr>
                <w:color w:val="000000"/>
              </w:rPr>
              <w:t>Maximum concentration</w:t>
            </w:r>
          </w:p>
        </w:tc>
      </w:tr>
      <w:tr w:rsidR="004868D8" w14:paraId="098833C0"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3D481F09" w14:textId="77777777" w:rsidR="004868D8" w:rsidRDefault="004868D8">
            <w:r>
              <w:t>DLP</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12DB7E47" w14:textId="77777777" w:rsidR="004868D8" w:rsidRDefault="004868D8">
            <w:r>
              <w:t>Data lock point</w:t>
            </w:r>
          </w:p>
        </w:tc>
      </w:tr>
      <w:tr w:rsidR="004868D8" w14:paraId="1600B2C8"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49360AF1" w14:textId="77777777" w:rsidR="004868D8" w:rsidRDefault="004868D8">
            <w:pPr>
              <w:rPr>
                <w:color w:val="000000"/>
              </w:rPr>
            </w:pPr>
            <w:r>
              <w:rPr>
                <w:color w:val="000000"/>
              </w:rPr>
              <w:t>ECG</w:t>
            </w:r>
          </w:p>
        </w:tc>
        <w:tc>
          <w:tcPr>
            <w:tcW w:w="3987" w:type="pct"/>
            <w:gridSpan w:val="2"/>
            <w:tcBorders>
              <w:top w:val="single" w:sz="8" w:space="0" w:color="002C47"/>
              <w:left w:val="single" w:sz="8" w:space="0" w:color="002C47"/>
              <w:bottom w:val="single" w:sz="8" w:space="0" w:color="002C47"/>
              <w:right w:val="single" w:sz="8" w:space="0" w:color="002C47"/>
            </w:tcBorders>
          </w:tcPr>
          <w:p w14:paraId="394E9040" w14:textId="77777777" w:rsidR="004868D8" w:rsidRDefault="004868D8">
            <w:pPr>
              <w:rPr>
                <w:color w:val="000000"/>
              </w:rPr>
            </w:pPr>
            <w:r>
              <w:rPr>
                <w:color w:val="000000"/>
              </w:rPr>
              <w:t>Electrocardiogram</w:t>
            </w:r>
          </w:p>
        </w:tc>
      </w:tr>
      <w:tr w:rsidR="004868D8" w14:paraId="1F102253"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33D759BB" w14:textId="77777777" w:rsidR="004868D8" w:rsidRDefault="004868D8">
            <w:pPr>
              <w:rPr>
                <w:color w:val="000000"/>
              </w:rPr>
            </w:pPr>
            <w:r>
              <w:rPr>
                <w:color w:val="000000"/>
              </w:rPr>
              <w:t>EMA</w:t>
            </w:r>
          </w:p>
        </w:tc>
        <w:tc>
          <w:tcPr>
            <w:tcW w:w="3987" w:type="pct"/>
            <w:gridSpan w:val="2"/>
            <w:tcBorders>
              <w:top w:val="single" w:sz="8" w:space="0" w:color="002C47"/>
              <w:left w:val="single" w:sz="8" w:space="0" w:color="002C47"/>
              <w:bottom w:val="single" w:sz="8" w:space="0" w:color="002C47"/>
              <w:right w:val="single" w:sz="8" w:space="0" w:color="002C47"/>
            </w:tcBorders>
          </w:tcPr>
          <w:p w14:paraId="679A21D0" w14:textId="77777777" w:rsidR="004868D8" w:rsidRDefault="004868D8">
            <w:pPr>
              <w:rPr>
                <w:color w:val="000000"/>
              </w:rPr>
            </w:pPr>
            <w:r>
              <w:rPr>
                <w:color w:val="000000"/>
              </w:rPr>
              <w:t>European Medicines Agency (European Union)</w:t>
            </w:r>
          </w:p>
        </w:tc>
      </w:tr>
      <w:tr w:rsidR="004868D8" w14:paraId="3F4035FE"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490183FF" w14:textId="77777777" w:rsidR="004868D8" w:rsidRDefault="004868D8">
            <w:pPr>
              <w:rPr>
                <w:color w:val="000000"/>
              </w:rPr>
            </w:pPr>
            <w:r>
              <w:rPr>
                <w:color w:val="000000"/>
              </w:rPr>
              <w:t>ERT</w:t>
            </w:r>
          </w:p>
        </w:tc>
        <w:tc>
          <w:tcPr>
            <w:tcW w:w="3987" w:type="pct"/>
            <w:gridSpan w:val="2"/>
            <w:tcBorders>
              <w:top w:val="single" w:sz="8" w:space="0" w:color="002C47"/>
              <w:left w:val="single" w:sz="8" w:space="0" w:color="002C47"/>
              <w:bottom w:val="single" w:sz="8" w:space="0" w:color="002C47"/>
              <w:right w:val="single" w:sz="8" w:space="0" w:color="002C47"/>
            </w:tcBorders>
          </w:tcPr>
          <w:p w14:paraId="5A31B02B" w14:textId="77777777" w:rsidR="004868D8" w:rsidRDefault="004868D8" w:rsidP="00DA1A47">
            <w:pPr>
              <w:rPr>
                <w:color w:val="000000"/>
              </w:rPr>
            </w:pPr>
            <w:r w:rsidRPr="00DA1A47">
              <w:t>Enzyme</w:t>
            </w:r>
            <w:r>
              <w:t xml:space="preserve"> replacement therapy</w:t>
            </w:r>
          </w:p>
        </w:tc>
      </w:tr>
      <w:tr w:rsidR="004868D8" w14:paraId="61F2FE92"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50FF7893" w14:textId="2EAA8D4B" w:rsidR="004868D8" w:rsidRDefault="004868D8">
            <w:pPr>
              <w:rPr>
                <w:color w:val="000000"/>
              </w:rPr>
            </w:pPr>
            <w:r>
              <w:rPr>
                <w:color w:val="000000"/>
              </w:rPr>
              <w:t>EU</w:t>
            </w:r>
          </w:p>
        </w:tc>
        <w:tc>
          <w:tcPr>
            <w:tcW w:w="3987" w:type="pct"/>
            <w:gridSpan w:val="2"/>
            <w:tcBorders>
              <w:top w:val="single" w:sz="8" w:space="0" w:color="002C47"/>
              <w:left w:val="single" w:sz="8" w:space="0" w:color="002C47"/>
              <w:bottom w:val="single" w:sz="8" w:space="0" w:color="002C47"/>
              <w:right w:val="single" w:sz="8" w:space="0" w:color="002C47"/>
            </w:tcBorders>
          </w:tcPr>
          <w:p w14:paraId="73C18407" w14:textId="226DA23D" w:rsidR="004868D8" w:rsidRPr="00DA1A47" w:rsidRDefault="004868D8" w:rsidP="00DA1A47">
            <w:r>
              <w:t>European Union</w:t>
            </w:r>
          </w:p>
        </w:tc>
      </w:tr>
      <w:tr w:rsidR="004868D8" w14:paraId="5A61B61A"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D6418FB" w14:textId="77777777" w:rsidR="004868D8" w:rsidRDefault="004868D8">
            <w:pPr>
              <w:rPr>
                <w:color w:val="000000"/>
              </w:rPr>
            </w:pPr>
            <w:r>
              <w:rPr>
                <w:color w:val="000000"/>
              </w:rPr>
              <w:t>FDA</w:t>
            </w:r>
          </w:p>
        </w:tc>
        <w:tc>
          <w:tcPr>
            <w:tcW w:w="3987" w:type="pct"/>
            <w:gridSpan w:val="2"/>
            <w:tcBorders>
              <w:top w:val="single" w:sz="8" w:space="0" w:color="002C47"/>
              <w:left w:val="single" w:sz="8" w:space="0" w:color="002C47"/>
              <w:bottom w:val="single" w:sz="8" w:space="0" w:color="002C47"/>
              <w:right w:val="single" w:sz="8" w:space="0" w:color="002C47"/>
            </w:tcBorders>
          </w:tcPr>
          <w:p w14:paraId="241F2882" w14:textId="77777777" w:rsidR="004868D8" w:rsidRDefault="004868D8">
            <w:pPr>
              <w:rPr>
                <w:color w:val="000000"/>
              </w:rPr>
            </w:pPr>
            <w:r>
              <w:rPr>
                <w:color w:val="000000"/>
              </w:rPr>
              <w:t>Food and Drug Administration (United States of America)</w:t>
            </w:r>
          </w:p>
        </w:tc>
      </w:tr>
      <w:tr w:rsidR="004868D8" w14:paraId="5CCBEB91"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7193EA18" w14:textId="77777777" w:rsidR="004868D8" w:rsidRDefault="004868D8">
            <w:pPr>
              <w:rPr>
                <w:color w:val="000000"/>
              </w:rPr>
            </w:pPr>
            <w:r>
              <w:rPr>
                <w:color w:val="000000"/>
              </w:rPr>
              <w:t>FVC</w:t>
            </w:r>
          </w:p>
        </w:tc>
        <w:tc>
          <w:tcPr>
            <w:tcW w:w="3987" w:type="pct"/>
            <w:gridSpan w:val="2"/>
            <w:tcBorders>
              <w:top w:val="single" w:sz="8" w:space="0" w:color="002C47"/>
              <w:left w:val="single" w:sz="8" w:space="0" w:color="002C47"/>
              <w:bottom w:val="single" w:sz="8" w:space="0" w:color="002C47"/>
              <w:right w:val="single" w:sz="8" w:space="0" w:color="002C47"/>
            </w:tcBorders>
          </w:tcPr>
          <w:p w14:paraId="52889513" w14:textId="77777777" w:rsidR="004868D8" w:rsidRDefault="004868D8">
            <w:r>
              <w:t>Forced vital capacity</w:t>
            </w:r>
          </w:p>
        </w:tc>
      </w:tr>
      <w:tr w:rsidR="004868D8" w14:paraId="69FA6ECA"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6190893" w14:textId="77777777" w:rsidR="004868D8" w:rsidRDefault="004868D8">
            <w:pPr>
              <w:rPr>
                <w:color w:val="000000"/>
              </w:rPr>
            </w:pPr>
            <w:r>
              <w:rPr>
                <w:color w:val="000000"/>
              </w:rPr>
              <w:t>GAA</w:t>
            </w:r>
          </w:p>
        </w:tc>
        <w:tc>
          <w:tcPr>
            <w:tcW w:w="3987" w:type="pct"/>
            <w:gridSpan w:val="2"/>
            <w:tcBorders>
              <w:top w:val="single" w:sz="8" w:space="0" w:color="002C47"/>
              <w:left w:val="single" w:sz="8" w:space="0" w:color="002C47"/>
              <w:bottom w:val="single" w:sz="8" w:space="0" w:color="002C47"/>
              <w:right w:val="single" w:sz="8" w:space="0" w:color="002C47"/>
            </w:tcBorders>
          </w:tcPr>
          <w:p w14:paraId="596A9C48" w14:textId="77777777" w:rsidR="004868D8" w:rsidRDefault="004868D8">
            <w:pPr>
              <w:rPr>
                <w:color w:val="000000"/>
              </w:rPr>
            </w:pPr>
            <w:r>
              <w:t xml:space="preserve">Acid </w:t>
            </w:r>
            <w:r>
              <w:rPr>
                <w:rFonts w:ascii="Calibri" w:hAnsi="Calibri" w:cs="Calibri"/>
              </w:rPr>
              <w:t>alpha</w:t>
            </w:r>
            <w:r w:rsidRPr="002975DD">
              <w:t>-glucosidase</w:t>
            </w:r>
          </w:p>
        </w:tc>
      </w:tr>
      <w:tr w:rsidR="004868D8" w14:paraId="2541C6EB"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47792628" w14:textId="77777777" w:rsidR="004868D8" w:rsidRDefault="004868D8">
            <w:pPr>
              <w:rPr>
                <w:color w:val="000000"/>
              </w:rPr>
            </w:pPr>
            <w:r>
              <w:rPr>
                <w:color w:val="000000"/>
              </w:rPr>
              <w:lastRenderedPageBreak/>
              <w:t>GLP</w:t>
            </w:r>
          </w:p>
        </w:tc>
        <w:tc>
          <w:tcPr>
            <w:tcW w:w="3987" w:type="pct"/>
            <w:gridSpan w:val="2"/>
            <w:tcBorders>
              <w:top w:val="single" w:sz="8" w:space="0" w:color="002C47"/>
              <w:left w:val="single" w:sz="8" w:space="0" w:color="002C47"/>
              <w:bottom w:val="single" w:sz="8" w:space="0" w:color="002C47"/>
              <w:right w:val="single" w:sz="8" w:space="0" w:color="002C47"/>
            </w:tcBorders>
          </w:tcPr>
          <w:p w14:paraId="0DB9A028" w14:textId="77777777" w:rsidR="004868D8" w:rsidRDefault="004868D8">
            <w:pPr>
              <w:rPr>
                <w:color w:val="000000"/>
              </w:rPr>
            </w:pPr>
            <w:r>
              <w:rPr>
                <w:color w:val="000000"/>
              </w:rPr>
              <w:t>Good Laboratory Practice</w:t>
            </w:r>
          </w:p>
        </w:tc>
      </w:tr>
      <w:tr w:rsidR="004868D8" w14:paraId="440F87A1"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6778FB89" w14:textId="77777777" w:rsidR="004868D8" w:rsidRDefault="004868D8">
            <w:pPr>
              <w:rPr>
                <w:color w:val="000000"/>
              </w:rPr>
            </w:pPr>
            <w:r>
              <w:rPr>
                <w:color w:val="000000"/>
              </w:rPr>
              <w:t>GMFM</w:t>
            </w:r>
            <w:r>
              <w:rPr>
                <w:color w:val="000000"/>
              </w:rPr>
              <w:noBreakHyphen/>
              <w:t>88</w:t>
            </w:r>
          </w:p>
        </w:tc>
        <w:tc>
          <w:tcPr>
            <w:tcW w:w="3987" w:type="pct"/>
            <w:gridSpan w:val="2"/>
            <w:tcBorders>
              <w:top w:val="single" w:sz="8" w:space="0" w:color="002C47"/>
              <w:left w:val="single" w:sz="8" w:space="0" w:color="002C47"/>
              <w:bottom w:val="single" w:sz="8" w:space="0" w:color="002C47"/>
              <w:right w:val="single" w:sz="8" w:space="0" w:color="002C47"/>
            </w:tcBorders>
          </w:tcPr>
          <w:p w14:paraId="2756B2A1" w14:textId="77777777" w:rsidR="004868D8" w:rsidRDefault="004868D8">
            <w:r>
              <w:t>Gross Motor Function Measure (88 item)</w:t>
            </w:r>
          </w:p>
        </w:tc>
      </w:tr>
      <w:tr w:rsidR="004868D8" w14:paraId="54ED1395"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22D30DB9" w14:textId="77777777" w:rsidR="004868D8" w:rsidRDefault="004868D8">
            <w:pPr>
              <w:rPr>
                <w:color w:val="000000"/>
              </w:rPr>
            </w:pPr>
            <w:r>
              <w:rPr>
                <w:color w:val="000000"/>
              </w:rPr>
              <w:t>GSD</w:t>
            </w:r>
          </w:p>
        </w:tc>
        <w:tc>
          <w:tcPr>
            <w:tcW w:w="3987" w:type="pct"/>
            <w:gridSpan w:val="2"/>
            <w:tcBorders>
              <w:top w:val="single" w:sz="8" w:space="0" w:color="002C47"/>
              <w:left w:val="single" w:sz="8" w:space="0" w:color="002C47"/>
              <w:bottom w:val="single" w:sz="8" w:space="0" w:color="002C47"/>
              <w:right w:val="single" w:sz="8" w:space="0" w:color="002C47"/>
            </w:tcBorders>
          </w:tcPr>
          <w:p w14:paraId="15C22AB5" w14:textId="77777777" w:rsidR="004868D8" w:rsidRDefault="004868D8">
            <w:pPr>
              <w:rPr>
                <w:color w:val="000000"/>
              </w:rPr>
            </w:pPr>
            <w:r>
              <w:rPr>
                <w:color w:val="000000"/>
              </w:rPr>
              <w:t>Glycogen storage disease</w:t>
            </w:r>
          </w:p>
        </w:tc>
      </w:tr>
      <w:tr w:rsidR="004868D8" w14:paraId="3276D94B"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26150CF4" w14:textId="77777777" w:rsidR="004868D8" w:rsidRDefault="004868D8">
            <w:pPr>
              <w:rPr>
                <w:color w:val="000000"/>
              </w:rPr>
            </w:pPr>
            <w:r>
              <w:rPr>
                <w:color w:val="000000"/>
              </w:rPr>
              <w:t>GSD 2</w:t>
            </w:r>
          </w:p>
        </w:tc>
        <w:tc>
          <w:tcPr>
            <w:tcW w:w="3987" w:type="pct"/>
            <w:gridSpan w:val="2"/>
            <w:tcBorders>
              <w:top w:val="single" w:sz="8" w:space="0" w:color="002C47"/>
              <w:left w:val="single" w:sz="8" w:space="0" w:color="002C47"/>
              <w:bottom w:val="single" w:sz="8" w:space="0" w:color="002C47"/>
              <w:right w:val="single" w:sz="8" w:space="0" w:color="002C47"/>
            </w:tcBorders>
          </w:tcPr>
          <w:p w14:paraId="109EAD9B" w14:textId="77777777" w:rsidR="004868D8" w:rsidRDefault="004868D8">
            <w:pPr>
              <w:rPr>
                <w:color w:val="000000"/>
              </w:rPr>
            </w:pPr>
            <w:r>
              <w:rPr>
                <w:color w:val="000000"/>
              </w:rPr>
              <w:t>Pompe disease (glycogen storage disease type II)</w:t>
            </w:r>
          </w:p>
        </w:tc>
      </w:tr>
      <w:tr w:rsidR="004868D8" w14:paraId="1018879D"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47ADEC0" w14:textId="77777777" w:rsidR="004868D8" w:rsidRDefault="004868D8">
            <w:pPr>
              <w:rPr>
                <w:color w:val="000000"/>
              </w:rPr>
            </w:pPr>
            <w:r>
              <w:rPr>
                <w:color w:val="000000"/>
              </w:rPr>
              <w:t>HCP</w:t>
            </w:r>
          </w:p>
        </w:tc>
        <w:tc>
          <w:tcPr>
            <w:tcW w:w="3987" w:type="pct"/>
            <w:gridSpan w:val="2"/>
            <w:tcBorders>
              <w:top w:val="single" w:sz="8" w:space="0" w:color="002C47"/>
              <w:left w:val="single" w:sz="8" w:space="0" w:color="002C47"/>
              <w:bottom w:val="single" w:sz="8" w:space="0" w:color="002C47"/>
              <w:right w:val="single" w:sz="8" w:space="0" w:color="002C47"/>
            </w:tcBorders>
          </w:tcPr>
          <w:p w14:paraId="48C030AF" w14:textId="77777777" w:rsidR="004868D8" w:rsidRDefault="004868D8">
            <w:r>
              <w:t>Healthcare Professional</w:t>
            </w:r>
          </w:p>
        </w:tc>
      </w:tr>
      <w:tr w:rsidR="004868D8" w14:paraId="4E622806"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81743F1" w14:textId="77777777" w:rsidR="004868D8" w:rsidRDefault="004868D8">
            <w:pPr>
              <w:rPr>
                <w:color w:val="000000"/>
              </w:rPr>
            </w:pPr>
            <w:r>
              <w:rPr>
                <w:color w:val="000000"/>
              </w:rPr>
              <w:t>Hex4</w:t>
            </w:r>
          </w:p>
        </w:tc>
        <w:tc>
          <w:tcPr>
            <w:tcW w:w="3987" w:type="pct"/>
            <w:gridSpan w:val="2"/>
            <w:tcBorders>
              <w:top w:val="single" w:sz="8" w:space="0" w:color="002C47"/>
              <w:left w:val="single" w:sz="8" w:space="0" w:color="002C47"/>
              <w:bottom w:val="single" w:sz="8" w:space="0" w:color="002C47"/>
              <w:right w:val="single" w:sz="8" w:space="0" w:color="002C47"/>
            </w:tcBorders>
          </w:tcPr>
          <w:p w14:paraId="4F9626FA" w14:textId="77777777" w:rsidR="004868D8" w:rsidRDefault="004868D8">
            <w:r>
              <w:rPr>
                <w:rFonts w:asciiTheme="minorHAnsi" w:eastAsiaTheme="minorHAnsi" w:hAnsiTheme="minorHAnsi" w:cs="Calibri"/>
                <w:color w:val="000000"/>
              </w:rPr>
              <w:t xml:space="preserve">Hexose </w:t>
            </w:r>
            <w:proofErr w:type="spellStart"/>
            <w:r>
              <w:rPr>
                <w:rFonts w:asciiTheme="minorHAnsi" w:eastAsiaTheme="minorHAnsi" w:hAnsiTheme="minorHAnsi" w:cs="Calibri"/>
                <w:color w:val="000000"/>
              </w:rPr>
              <w:t>tetrasaccharide</w:t>
            </w:r>
            <w:proofErr w:type="spellEnd"/>
          </w:p>
        </w:tc>
      </w:tr>
      <w:tr w:rsidR="004868D8" w14:paraId="539A063F"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26A65AE7" w14:textId="77777777" w:rsidR="004868D8" w:rsidRDefault="004868D8">
            <w:pPr>
              <w:rPr>
                <w:color w:val="000000"/>
              </w:rPr>
            </w:pPr>
            <w:r>
              <w:rPr>
                <w:color w:val="000000"/>
              </w:rPr>
              <w:t>IAR</w:t>
            </w:r>
          </w:p>
        </w:tc>
        <w:tc>
          <w:tcPr>
            <w:tcW w:w="3987" w:type="pct"/>
            <w:gridSpan w:val="2"/>
            <w:tcBorders>
              <w:top w:val="single" w:sz="8" w:space="0" w:color="002C47"/>
              <w:left w:val="single" w:sz="8" w:space="0" w:color="002C47"/>
              <w:bottom w:val="single" w:sz="8" w:space="0" w:color="002C47"/>
              <w:right w:val="single" w:sz="8" w:space="0" w:color="002C47"/>
            </w:tcBorders>
          </w:tcPr>
          <w:p w14:paraId="56FA18E6" w14:textId="77777777" w:rsidR="004868D8" w:rsidRDefault="004868D8">
            <w:r>
              <w:t>Infusion-associated reaction</w:t>
            </w:r>
          </w:p>
        </w:tc>
      </w:tr>
      <w:tr w:rsidR="004868D8" w14:paraId="3F402A0F"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56EE7ECB" w14:textId="77777777" w:rsidR="004868D8" w:rsidRDefault="004868D8">
            <w:pPr>
              <w:rPr>
                <w:color w:val="000000"/>
              </w:rPr>
            </w:pPr>
            <w:r>
              <w:rPr>
                <w:color w:val="000000"/>
              </w:rPr>
              <w:t>ICH</w:t>
            </w:r>
          </w:p>
        </w:tc>
        <w:tc>
          <w:tcPr>
            <w:tcW w:w="3987" w:type="pct"/>
            <w:gridSpan w:val="2"/>
            <w:tcBorders>
              <w:top w:val="single" w:sz="8" w:space="0" w:color="002C47"/>
              <w:left w:val="single" w:sz="8" w:space="0" w:color="002C47"/>
              <w:bottom w:val="single" w:sz="8" w:space="0" w:color="002C47"/>
              <w:right w:val="single" w:sz="8" w:space="0" w:color="002C47"/>
            </w:tcBorders>
          </w:tcPr>
          <w:p w14:paraId="16831EC5" w14:textId="77777777" w:rsidR="004868D8" w:rsidRDefault="004868D8">
            <w:pPr>
              <w:rPr>
                <w:color w:val="000000"/>
              </w:rPr>
            </w:pPr>
            <w:r>
              <w:rPr>
                <w:color w:val="000000"/>
              </w:rPr>
              <w:t>International Council for Harmonisation</w:t>
            </w:r>
          </w:p>
        </w:tc>
      </w:tr>
      <w:tr w:rsidR="004868D8" w14:paraId="29917CA0"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B9A47A9" w14:textId="77777777" w:rsidR="004868D8" w:rsidRDefault="004868D8">
            <w:pPr>
              <w:rPr>
                <w:color w:val="000000"/>
              </w:rPr>
            </w:pPr>
            <w:r>
              <w:rPr>
                <w:color w:val="000000"/>
              </w:rPr>
              <w:t>IOPD</w:t>
            </w:r>
          </w:p>
        </w:tc>
        <w:tc>
          <w:tcPr>
            <w:tcW w:w="3987" w:type="pct"/>
            <w:gridSpan w:val="2"/>
            <w:tcBorders>
              <w:top w:val="single" w:sz="8" w:space="0" w:color="002C47"/>
              <w:left w:val="single" w:sz="8" w:space="0" w:color="002C47"/>
              <w:bottom w:val="single" w:sz="8" w:space="0" w:color="002C47"/>
              <w:right w:val="single" w:sz="8" w:space="0" w:color="002C47"/>
            </w:tcBorders>
          </w:tcPr>
          <w:p w14:paraId="08BBD971" w14:textId="77777777" w:rsidR="004868D8" w:rsidRDefault="004868D8">
            <w:pPr>
              <w:rPr>
                <w:color w:val="000000"/>
              </w:rPr>
            </w:pPr>
            <w:r>
              <w:rPr>
                <w:color w:val="000000"/>
              </w:rPr>
              <w:t>Infantile-onset Pompe disease</w:t>
            </w:r>
          </w:p>
        </w:tc>
      </w:tr>
      <w:tr w:rsidR="004868D8" w14:paraId="03F05707"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4D66BEEC" w14:textId="77777777" w:rsidR="004868D8" w:rsidRDefault="004868D8">
            <w:pPr>
              <w:rPr>
                <w:color w:val="000000"/>
              </w:rPr>
            </w:pPr>
            <w:r>
              <w:rPr>
                <w:color w:val="000000"/>
              </w:rPr>
              <w:t>IV</w:t>
            </w:r>
          </w:p>
        </w:tc>
        <w:tc>
          <w:tcPr>
            <w:tcW w:w="3987" w:type="pct"/>
            <w:gridSpan w:val="2"/>
            <w:tcBorders>
              <w:top w:val="single" w:sz="8" w:space="0" w:color="002C47"/>
              <w:left w:val="single" w:sz="8" w:space="0" w:color="002C47"/>
              <w:bottom w:val="single" w:sz="8" w:space="0" w:color="002C47"/>
              <w:right w:val="single" w:sz="8" w:space="0" w:color="002C47"/>
            </w:tcBorders>
          </w:tcPr>
          <w:p w14:paraId="79B7316F" w14:textId="77777777" w:rsidR="004868D8" w:rsidRDefault="004868D8">
            <w:pPr>
              <w:rPr>
                <w:color w:val="000000"/>
              </w:rPr>
            </w:pPr>
            <w:r>
              <w:rPr>
                <w:color w:val="000000"/>
              </w:rPr>
              <w:t>Intravenous</w:t>
            </w:r>
          </w:p>
        </w:tc>
      </w:tr>
      <w:tr w:rsidR="004868D8" w14:paraId="4ACB6EEF"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36476A01" w14:textId="77777777" w:rsidR="004868D8" w:rsidRDefault="004868D8">
            <w:pPr>
              <w:rPr>
                <w:color w:val="000000"/>
              </w:rPr>
            </w:pPr>
            <w:r>
              <w:rPr>
                <w:color w:val="000000"/>
              </w:rPr>
              <w:t>LOPD</w:t>
            </w:r>
          </w:p>
        </w:tc>
        <w:tc>
          <w:tcPr>
            <w:tcW w:w="3987" w:type="pct"/>
            <w:gridSpan w:val="2"/>
            <w:tcBorders>
              <w:top w:val="single" w:sz="8" w:space="0" w:color="002C47"/>
              <w:left w:val="single" w:sz="8" w:space="0" w:color="002C47"/>
              <w:bottom w:val="single" w:sz="8" w:space="0" w:color="002C47"/>
              <w:right w:val="single" w:sz="8" w:space="0" w:color="002C47"/>
            </w:tcBorders>
          </w:tcPr>
          <w:p w14:paraId="6CBA869F" w14:textId="77777777" w:rsidR="004868D8" w:rsidRDefault="004868D8">
            <w:pPr>
              <w:rPr>
                <w:color w:val="000000"/>
              </w:rPr>
            </w:pPr>
            <w:r>
              <w:rPr>
                <w:color w:val="000000"/>
              </w:rPr>
              <w:t>Late-onset Pompe disease</w:t>
            </w:r>
          </w:p>
        </w:tc>
      </w:tr>
      <w:tr w:rsidR="004868D8" w14:paraId="24D393D0"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796B9353" w14:textId="77777777" w:rsidR="004868D8" w:rsidRDefault="004868D8">
            <w:pPr>
              <w:rPr>
                <w:color w:val="000000"/>
              </w:rPr>
            </w:pPr>
            <w:r>
              <w:rPr>
                <w:color w:val="000000"/>
              </w:rPr>
              <w:t>M6P</w:t>
            </w:r>
          </w:p>
        </w:tc>
        <w:tc>
          <w:tcPr>
            <w:tcW w:w="3987" w:type="pct"/>
            <w:gridSpan w:val="2"/>
            <w:tcBorders>
              <w:top w:val="single" w:sz="8" w:space="0" w:color="002C47"/>
              <w:left w:val="single" w:sz="8" w:space="0" w:color="002C47"/>
              <w:bottom w:val="single" w:sz="8" w:space="0" w:color="002C47"/>
              <w:right w:val="single" w:sz="8" w:space="0" w:color="002C47"/>
            </w:tcBorders>
          </w:tcPr>
          <w:p w14:paraId="2EFFC273" w14:textId="77777777" w:rsidR="004868D8" w:rsidRDefault="004868D8">
            <w:pPr>
              <w:rPr>
                <w:color w:val="000000"/>
              </w:rPr>
            </w:pPr>
            <w:r>
              <w:t>M</w:t>
            </w:r>
            <w:r w:rsidRPr="00686D3B">
              <w:t>annose-6-phosphate</w:t>
            </w:r>
          </w:p>
        </w:tc>
      </w:tr>
      <w:tr w:rsidR="004868D8" w14:paraId="566E050A"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63DA6AD3" w14:textId="77777777" w:rsidR="004868D8" w:rsidRDefault="004868D8">
            <w:pPr>
              <w:rPr>
                <w:color w:val="000000"/>
              </w:rPr>
            </w:pPr>
            <w:r>
              <w:rPr>
                <w:color w:val="000000"/>
              </w:rPr>
              <w:t>MedDRA</w:t>
            </w:r>
          </w:p>
        </w:tc>
        <w:tc>
          <w:tcPr>
            <w:tcW w:w="3987" w:type="pct"/>
            <w:gridSpan w:val="2"/>
            <w:tcBorders>
              <w:top w:val="single" w:sz="8" w:space="0" w:color="002C47"/>
              <w:left w:val="single" w:sz="8" w:space="0" w:color="002C47"/>
              <w:bottom w:val="single" w:sz="8" w:space="0" w:color="002C47"/>
              <w:right w:val="single" w:sz="8" w:space="0" w:color="002C47"/>
            </w:tcBorders>
          </w:tcPr>
          <w:p w14:paraId="4D411FCE" w14:textId="77777777" w:rsidR="004868D8" w:rsidRDefault="004868D8">
            <w:r>
              <w:t>Medical Dictionary for Regulatory Activities</w:t>
            </w:r>
          </w:p>
        </w:tc>
      </w:tr>
      <w:tr w:rsidR="004868D8" w14:paraId="1ACC7754"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55C43D5A" w14:textId="77777777" w:rsidR="004868D8" w:rsidRDefault="004868D8">
            <w:pPr>
              <w:rPr>
                <w:color w:val="000000"/>
              </w:rPr>
            </w:pPr>
            <w:proofErr w:type="spellStart"/>
            <w:r>
              <w:rPr>
                <w:color w:val="000000"/>
              </w:rPr>
              <w:t>mITT</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64729509" w14:textId="77777777" w:rsidR="004868D8" w:rsidRDefault="004868D8">
            <w:r>
              <w:t>Modified intention-to-treat</w:t>
            </w:r>
          </w:p>
        </w:tc>
      </w:tr>
      <w:tr w:rsidR="004868D8" w14:paraId="2F0FFF73"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310A8B10" w14:textId="77777777" w:rsidR="004868D8" w:rsidRDefault="004868D8">
            <w:pPr>
              <w:rPr>
                <w:color w:val="000000"/>
              </w:rPr>
            </w:pPr>
            <w:r>
              <w:rPr>
                <w:color w:val="000000"/>
              </w:rPr>
              <w:t>MMRM</w:t>
            </w:r>
          </w:p>
        </w:tc>
        <w:tc>
          <w:tcPr>
            <w:tcW w:w="3987" w:type="pct"/>
            <w:gridSpan w:val="2"/>
            <w:tcBorders>
              <w:top w:val="single" w:sz="8" w:space="0" w:color="002C47"/>
              <w:left w:val="single" w:sz="8" w:space="0" w:color="002C47"/>
              <w:bottom w:val="single" w:sz="8" w:space="0" w:color="002C47"/>
              <w:right w:val="single" w:sz="8" w:space="0" w:color="002C47"/>
            </w:tcBorders>
          </w:tcPr>
          <w:p w14:paraId="7C85AB77" w14:textId="1C7CC267" w:rsidR="004868D8" w:rsidRDefault="004868D8">
            <w:r>
              <w:t xml:space="preserve">Mixed model </w:t>
            </w:r>
            <w:r w:rsidR="002F143C">
              <w:t xml:space="preserve">for </w:t>
            </w:r>
            <w:r>
              <w:t>repeat</w:t>
            </w:r>
            <w:r w:rsidR="002F143C">
              <w:t>ed measures</w:t>
            </w:r>
          </w:p>
        </w:tc>
      </w:tr>
      <w:tr w:rsidR="004868D8" w14:paraId="254F9B5C"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13C7A523" w14:textId="77777777" w:rsidR="004868D8" w:rsidRDefault="004868D8">
            <w:r>
              <w:rPr>
                <w:szCs w:val="22"/>
              </w:rPr>
              <w:t>PD</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6D16F8B1" w14:textId="77777777" w:rsidR="004868D8" w:rsidRDefault="004868D8">
            <w:r>
              <w:rPr>
                <w:szCs w:val="22"/>
              </w:rPr>
              <w:t>Pharmacodynamics</w:t>
            </w:r>
          </w:p>
        </w:tc>
      </w:tr>
      <w:tr w:rsidR="004868D8" w14:paraId="58A45D7E"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7A07D20A" w14:textId="77777777" w:rsidR="004868D8" w:rsidRDefault="004868D8">
            <w:pPr>
              <w:rPr>
                <w:color w:val="000000"/>
              </w:rPr>
            </w:pPr>
            <w:r>
              <w:rPr>
                <w:color w:val="000000"/>
              </w:rPr>
              <w:t>PedsQL</w:t>
            </w:r>
          </w:p>
        </w:tc>
        <w:tc>
          <w:tcPr>
            <w:tcW w:w="3987" w:type="pct"/>
            <w:gridSpan w:val="2"/>
            <w:tcBorders>
              <w:top w:val="single" w:sz="8" w:space="0" w:color="002C47"/>
              <w:left w:val="single" w:sz="8" w:space="0" w:color="002C47"/>
              <w:bottom w:val="single" w:sz="8" w:space="0" w:color="002C47"/>
              <w:right w:val="single" w:sz="8" w:space="0" w:color="002C47"/>
            </w:tcBorders>
          </w:tcPr>
          <w:p w14:paraId="1911BDA0" w14:textId="77777777" w:rsidR="004868D8" w:rsidRDefault="004868D8">
            <w:r w:rsidRPr="008D3427">
              <w:t>Pediatric Quality of Life Inventory</w:t>
            </w:r>
          </w:p>
        </w:tc>
      </w:tr>
      <w:tr w:rsidR="004868D8" w14:paraId="3D660F43"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34A397B8" w14:textId="77777777" w:rsidR="004868D8" w:rsidRDefault="004868D8">
            <w:pPr>
              <w:rPr>
                <w:color w:val="000000"/>
              </w:rPr>
            </w:pPr>
            <w:r>
              <w:rPr>
                <w:color w:val="000000"/>
              </w:rPr>
              <w:t>PK</w:t>
            </w:r>
          </w:p>
        </w:tc>
        <w:tc>
          <w:tcPr>
            <w:tcW w:w="3987" w:type="pct"/>
            <w:gridSpan w:val="2"/>
            <w:tcBorders>
              <w:top w:val="single" w:sz="8" w:space="0" w:color="002C47"/>
              <w:left w:val="single" w:sz="8" w:space="0" w:color="002C47"/>
              <w:bottom w:val="single" w:sz="8" w:space="0" w:color="002C47"/>
              <w:right w:val="single" w:sz="8" w:space="0" w:color="002C47"/>
            </w:tcBorders>
          </w:tcPr>
          <w:p w14:paraId="03004BBC" w14:textId="77777777" w:rsidR="004868D8" w:rsidRDefault="004868D8">
            <w:pPr>
              <w:rPr>
                <w:color w:val="000000"/>
              </w:rPr>
            </w:pPr>
            <w:r>
              <w:rPr>
                <w:color w:val="000000"/>
              </w:rPr>
              <w:t>Pharmacokinetic(s)</w:t>
            </w:r>
          </w:p>
        </w:tc>
      </w:tr>
      <w:tr w:rsidR="004868D8" w14:paraId="4F2623CB"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0F645E61" w14:textId="77777777" w:rsidR="004868D8" w:rsidRDefault="004868D8">
            <w:pPr>
              <w:rPr>
                <w:color w:val="000000"/>
              </w:rPr>
            </w:pPr>
            <w:proofErr w:type="spellStart"/>
            <w:r>
              <w:rPr>
                <w:color w:val="000000"/>
              </w:rPr>
              <w:t>PopPK</w:t>
            </w:r>
            <w:proofErr w:type="spellEnd"/>
          </w:p>
        </w:tc>
        <w:tc>
          <w:tcPr>
            <w:tcW w:w="3987" w:type="pct"/>
            <w:gridSpan w:val="2"/>
            <w:tcBorders>
              <w:top w:val="single" w:sz="8" w:space="0" w:color="002C47"/>
              <w:left w:val="single" w:sz="8" w:space="0" w:color="002C47"/>
              <w:bottom w:val="single" w:sz="8" w:space="0" w:color="002C47"/>
              <w:right w:val="single" w:sz="8" w:space="0" w:color="002C47"/>
            </w:tcBorders>
          </w:tcPr>
          <w:p w14:paraId="18855BF9" w14:textId="77777777" w:rsidR="004868D8" w:rsidRDefault="004868D8">
            <w:pPr>
              <w:rPr>
                <w:color w:val="000000"/>
              </w:rPr>
            </w:pPr>
            <w:r>
              <w:rPr>
                <w:color w:val="000000"/>
              </w:rPr>
              <w:t>Population pharmacokinetics</w:t>
            </w:r>
          </w:p>
        </w:tc>
      </w:tr>
      <w:tr w:rsidR="004868D8" w14:paraId="55C5CFE4"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0537EF67" w14:textId="77777777" w:rsidR="004868D8" w:rsidRDefault="004868D8">
            <w:pPr>
              <w:rPr>
                <w:color w:val="000000"/>
              </w:rPr>
            </w:pPr>
            <w:r>
              <w:rPr>
                <w:color w:val="000000"/>
              </w:rPr>
              <w:t>PSUR</w:t>
            </w:r>
          </w:p>
        </w:tc>
        <w:tc>
          <w:tcPr>
            <w:tcW w:w="3987" w:type="pct"/>
            <w:gridSpan w:val="2"/>
            <w:tcBorders>
              <w:top w:val="single" w:sz="8" w:space="0" w:color="002C47"/>
              <w:left w:val="single" w:sz="8" w:space="0" w:color="002C47"/>
              <w:bottom w:val="single" w:sz="8" w:space="0" w:color="002C47"/>
              <w:right w:val="single" w:sz="8" w:space="0" w:color="002C47"/>
            </w:tcBorders>
          </w:tcPr>
          <w:p w14:paraId="4DE7EEED" w14:textId="77777777" w:rsidR="004868D8" w:rsidRDefault="004868D8">
            <w:r>
              <w:t>Periodic safety update report</w:t>
            </w:r>
          </w:p>
        </w:tc>
      </w:tr>
      <w:tr w:rsidR="004868D8" w14:paraId="4D54F456"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20C536D8" w14:textId="77777777" w:rsidR="004868D8" w:rsidRDefault="004868D8">
            <w:pPr>
              <w:rPr>
                <w:color w:val="000000"/>
              </w:rPr>
            </w:pPr>
            <w:r>
              <w:rPr>
                <w:color w:val="000000"/>
              </w:rPr>
              <w:t>PT</w:t>
            </w:r>
          </w:p>
        </w:tc>
        <w:tc>
          <w:tcPr>
            <w:tcW w:w="3987" w:type="pct"/>
            <w:gridSpan w:val="2"/>
            <w:tcBorders>
              <w:top w:val="single" w:sz="8" w:space="0" w:color="002C47"/>
              <w:left w:val="single" w:sz="8" w:space="0" w:color="002C47"/>
              <w:bottom w:val="single" w:sz="8" w:space="0" w:color="002C47"/>
              <w:right w:val="single" w:sz="8" w:space="0" w:color="002C47"/>
            </w:tcBorders>
          </w:tcPr>
          <w:p w14:paraId="48D5CE37" w14:textId="77777777" w:rsidR="004868D8" w:rsidRDefault="004868D8">
            <w:r>
              <w:t>Preferred Term</w:t>
            </w:r>
          </w:p>
        </w:tc>
      </w:tr>
      <w:tr w:rsidR="004868D8" w14:paraId="2DA73258"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4F2E77B5" w14:textId="77777777" w:rsidR="004868D8" w:rsidRDefault="004868D8">
            <w:pPr>
              <w:rPr>
                <w:color w:val="000000"/>
              </w:rPr>
            </w:pPr>
            <w:r>
              <w:rPr>
                <w:color w:val="000000"/>
              </w:rPr>
              <w:t>QMFT</w:t>
            </w:r>
          </w:p>
        </w:tc>
        <w:tc>
          <w:tcPr>
            <w:tcW w:w="3987" w:type="pct"/>
            <w:gridSpan w:val="2"/>
            <w:tcBorders>
              <w:top w:val="single" w:sz="8" w:space="0" w:color="002C47"/>
              <w:left w:val="single" w:sz="8" w:space="0" w:color="002C47"/>
              <w:bottom w:val="single" w:sz="8" w:space="0" w:color="002C47"/>
              <w:right w:val="single" w:sz="8" w:space="0" w:color="002C47"/>
            </w:tcBorders>
          </w:tcPr>
          <w:p w14:paraId="44B34D3F" w14:textId="77777777" w:rsidR="004868D8" w:rsidRDefault="004868D8">
            <w:r>
              <w:t>Quick Motor Function Test</w:t>
            </w:r>
          </w:p>
        </w:tc>
      </w:tr>
      <w:tr w:rsidR="004868D8" w14:paraId="74802F31"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02432640" w14:textId="77777777" w:rsidR="004868D8" w:rsidRDefault="004868D8">
            <w:r>
              <w:t>RMP</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651F1547" w14:textId="77777777" w:rsidR="004868D8" w:rsidRDefault="004868D8">
            <w:r>
              <w:t>Risk management plan</w:t>
            </w:r>
          </w:p>
        </w:tc>
      </w:tr>
      <w:tr w:rsidR="004868D8" w14:paraId="237A5DD4"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749F58F1" w14:textId="77777777" w:rsidR="004868D8" w:rsidRDefault="004868D8">
            <w:pPr>
              <w:rPr>
                <w:color w:val="000000"/>
              </w:rPr>
            </w:pPr>
            <w:r>
              <w:rPr>
                <w:color w:val="000000"/>
              </w:rPr>
              <w:t>SD</w:t>
            </w:r>
          </w:p>
        </w:tc>
        <w:tc>
          <w:tcPr>
            <w:tcW w:w="3987" w:type="pct"/>
            <w:gridSpan w:val="2"/>
            <w:tcBorders>
              <w:top w:val="single" w:sz="8" w:space="0" w:color="002C47"/>
              <w:left w:val="single" w:sz="8" w:space="0" w:color="002C47"/>
              <w:bottom w:val="single" w:sz="8" w:space="0" w:color="002C47"/>
              <w:right w:val="single" w:sz="8" w:space="0" w:color="002C47"/>
            </w:tcBorders>
          </w:tcPr>
          <w:p w14:paraId="2024165B" w14:textId="77777777" w:rsidR="004868D8" w:rsidRDefault="004868D8">
            <w:r>
              <w:t>Standard deviation</w:t>
            </w:r>
          </w:p>
        </w:tc>
      </w:tr>
      <w:tr w:rsidR="004868D8" w14:paraId="4B7DC36B"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286E4D68" w14:textId="77777777" w:rsidR="004868D8" w:rsidRDefault="004868D8">
            <w:pPr>
              <w:rPr>
                <w:color w:val="000000"/>
              </w:rPr>
            </w:pPr>
            <w:r>
              <w:rPr>
                <w:color w:val="000000"/>
              </w:rPr>
              <w:t>SE</w:t>
            </w:r>
          </w:p>
        </w:tc>
        <w:tc>
          <w:tcPr>
            <w:tcW w:w="3987" w:type="pct"/>
            <w:gridSpan w:val="2"/>
            <w:tcBorders>
              <w:top w:val="single" w:sz="8" w:space="0" w:color="002C47"/>
              <w:left w:val="single" w:sz="8" w:space="0" w:color="002C47"/>
              <w:bottom w:val="single" w:sz="8" w:space="0" w:color="002C47"/>
              <w:right w:val="single" w:sz="8" w:space="0" w:color="002C47"/>
            </w:tcBorders>
          </w:tcPr>
          <w:p w14:paraId="2A9C5BE2" w14:textId="77777777" w:rsidR="004868D8" w:rsidRDefault="004868D8">
            <w:r>
              <w:t>Standard error</w:t>
            </w:r>
          </w:p>
        </w:tc>
      </w:tr>
      <w:tr w:rsidR="004868D8" w14:paraId="3CAEACC7"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32BEC34D" w14:textId="77777777" w:rsidR="004868D8" w:rsidRDefault="004868D8">
            <w:pPr>
              <w:rPr>
                <w:color w:val="000000"/>
              </w:rPr>
            </w:pPr>
            <w:r>
              <w:rPr>
                <w:color w:val="000000"/>
              </w:rPr>
              <w:t>SF-12</w:t>
            </w:r>
          </w:p>
        </w:tc>
        <w:tc>
          <w:tcPr>
            <w:tcW w:w="3987" w:type="pct"/>
            <w:gridSpan w:val="2"/>
            <w:tcBorders>
              <w:top w:val="single" w:sz="8" w:space="0" w:color="002C47"/>
              <w:left w:val="single" w:sz="8" w:space="0" w:color="002C47"/>
              <w:bottom w:val="single" w:sz="8" w:space="0" w:color="002C47"/>
              <w:right w:val="single" w:sz="8" w:space="0" w:color="002C47"/>
            </w:tcBorders>
          </w:tcPr>
          <w:p w14:paraId="5B573C3C" w14:textId="77777777" w:rsidR="004868D8" w:rsidRDefault="004868D8">
            <w:r>
              <w:t>Short-form 12 questionnaire</w:t>
            </w:r>
          </w:p>
        </w:tc>
      </w:tr>
      <w:tr w:rsidR="004868D8" w14:paraId="0B24FE86"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427261D" w14:textId="77777777" w:rsidR="004868D8" w:rsidRDefault="004868D8">
            <w:pPr>
              <w:rPr>
                <w:color w:val="000000"/>
              </w:rPr>
            </w:pPr>
            <w:r>
              <w:rPr>
                <w:color w:val="000000"/>
              </w:rPr>
              <w:lastRenderedPageBreak/>
              <w:t>SOC</w:t>
            </w:r>
          </w:p>
        </w:tc>
        <w:tc>
          <w:tcPr>
            <w:tcW w:w="3987" w:type="pct"/>
            <w:gridSpan w:val="2"/>
            <w:tcBorders>
              <w:top w:val="single" w:sz="8" w:space="0" w:color="002C47"/>
              <w:left w:val="single" w:sz="8" w:space="0" w:color="002C47"/>
              <w:bottom w:val="single" w:sz="8" w:space="0" w:color="002C47"/>
              <w:right w:val="single" w:sz="8" w:space="0" w:color="002C47"/>
            </w:tcBorders>
          </w:tcPr>
          <w:p w14:paraId="3CEDD584" w14:textId="77777777" w:rsidR="004868D8" w:rsidRDefault="004868D8">
            <w:r>
              <w:t>System Organ Class</w:t>
            </w:r>
          </w:p>
        </w:tc>
      </w:tr>
      <w:tr w:rsidR="004868D8" w14:paraId="0D680603"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25451ECB" w14:textId="77777777" w:rsidR="004868D8" w:rsidRDefault="004868D8">
            <w:pPr>
              <w:rPr>
                <w:color w:val="000000"/>
              </w:rPr>
            </w:pPr>
            <w:r>
              <w:t>t</w:t>
            </w:r>
            <w:r>
              <w:rPr>
                <w:vertAlign w:val="subscript"/>
              </w:rPr>
              <w:t>1/2</w:t>
            </w:r>
          </w:p>
        </w:tc>
        <w:tc>
          <w:tcPr>
            <w:tcW w:w="3987" w:type="pct"/>
            <w:gridSpan w:val="2"/>
            <w:tcBorders>
              <w:top w:val="single" w:sz="8" w:space="0" w:color="002C47"/>
              <w:left w:val="single" w:sz="8" w:space="0" w:color="002C47"/>
              <w:bottom w:val="single" w:sz="8" w:space="0" w:color="002C47"/>
              <w:right w:val="single" w:sz="8" w:space="0" w:color="002C47"/>
            </w:tcBorders>
          </w:tcPr>
          <w:p w14:paraId="67BB097E" w14:textId="77777777" w:rsidR="004868D8" w:rsidRDefault="004868D8">
            <w:pPr>
              <w:rPr>
                <w:color w:val="000000"/>
              </w:rPr>
            </w:pPr>
            <w:r>
              <w:rPr>
                <w:color w:val="000000"/>
              </w:rPr>
              <w:t>Half-life</w:t>
            </w:r>
          </w:p>
        </w:tc>
      </w:tr>
      <w:tr w:rsidR="004868D8" w14:paraId="248D7545"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6ABB4F65" w14:textId="77777777" w:rsidR="004868D8" w:rsidRDefault="004868D8">
            <w:pPr>
              <w:rPr>
                <w:color w:val="000000"/>
              </w:rPr>
            </w:pPr>
            <w:r>
              <w:rPr>
                <w:color w:val="000000"/>
              </w:rPr>
              <w:t>TEAE</w:t>
            </w:r>
          </w:p>
        </w:tc>
        <w:tc>
          <w:tcPr>
            <w:tcW w:w="3987" w:type="pct"/>
            <w:gridSpan w:val="2"/>
            <w:tcBorders>
              <w:top w:val="single" w:sz="8" w:space="0" w:color="002C47"/>
              <w:left w:val="single" w:sz="8" w:space="0" w:color="002C47"/>
              <w:bottom w:val="single" w:sz="8" w:space="0" w:color="002C47"/>
              <w:right w:val="single" w:sz="8" w:space="0" w:color="002C47"/>
            </w:tcBorders>
          </w:tcPr>
          <w:p w14:paraId="2EE1B946" w14:textId="77777777" w:rsidR="004868D8" w:rsidRDefault="004868D8">
            <w:r>
              <w:t>Treatment-emergent adverse event</w:t>
            </w:r>
          </w:p>
        </w:tc>
      </w:tr>
      <w:tr w:rsidR="004868D8" w14:paraId="06E1B2B4"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hideMark/>
          </w:tcPr>
          <w:p w14:paraId="61D88C71" w14:textId="77777777" w:rsidR="004868D8" w:rsidRDefault="004868D8">
            <w:r>
              <w:t>TGA</w:t>
            </w:r>
          </w:p>
        </w:tc>
        <w:tc>
          <w:tcPr>
            <w:tcW w:w="3987" w:type="pct"/>
            <w:gridSpan w:val="2"/>
            <w:tcBorders>
              <w:top w:val="single" w:sz="8" w:space="0" w:color="002C47"/>
              <w:left w:val="single" w:sz="8" w:space="0" w:color="002C47"/>
              <w:bottom w:val="single" w:sz="8" w:space="0" w:color="002C47"/>
              <w:right w:val="single" w:sz="8" w:space="0" w:color="002C47"/>
            </w:tcBorders>
            <w:hideMark/>
          </w:tcPr>
          <w:p w14:paraId="4B90A39E" w14:textId="77777777" w:rsidR="004868D8" w:rsidRDefault="004868D8">
            <w:r>
              <w:t>Therapeutic Goods Administration</w:t>
            </w:r>
          </w:p>
        </w:tc>
      </w:tr>
      <w:tr w:rsidR="004868D8" w14:paraId="01945B92"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1B914FC0" w14:textId="77777777" w:rsidR="004868D8" w:rsidRDefault="004868D8">
            <w:pPr>
              <w:rPr>
                <w:color w:val="000000"/>
              </w:rPr>
            </w:pPr>
            <w:r>
              <w:rPr>
                <w:color w:val="000000"/>
              </w:rPr>
              <w:t>US(A)</w:t>
            </w:r>
          </w:p>
        </w:tc>
        <w:tc>
          <w:tcPr>
            <w:tcW w:w="3987" w:type="pct"/>
            <w:gridSpan w:val="2"/>
            <w:tcBorders>
              <w:top w:val="single" w:sz="8" w:space="0" w:color="002C47"/>
              <w:left w:val="single" w:sz="8" w:space="0" w:color="002C47"/>
              <w:bottom w:val="single" w:sz="8" w:space="0" w:color="002C47"/>
              <w:right w:val="single" w:sz="8" w:space="0" w:color="002C47"/>
            </w:tcBorders>
          </w:tcPr>
          <w:p w14:paraId="30AD409C" w14:textId="77777777" w:rsidR="004868D8" w:rsidRDefault="004868D8">
            <w:pPr>
              <w:rPr>
                <w:color w:val="000000"/>
              </w:rPr>
            </w:pPr>
            <w:r>
              <w:rPr>
                <w:color w:val="000000"/>
              </w:rPr>
              <w:t>United States of America</w:t>
            </w:r>
          </w:p>
        </w:tc>
      </w:tr>
      <w:tr w:rsidR="004868D8" w14:paraId="29A59FEB" w14:textId="77777777" w:rsidTr="00AF2313">
        <w:trPr>
          <w:cantSplit/>
        </w:trPr>
        <w:tc>
          <w:tcPr>
            <w:tcW w:w="1013" w:type="pct"/>
            <w:tcBorders>
              <w:top w:val="single" w:sz="8" w:space="0" w:color="002C47"/>
              <w:left w:val="single" w:sz="8" w:space="0" w:color="002C47"/>
              <w:bottom w:val="single" w:sz="8" w:space="0" w:color="002C47"/>
              <w:right w:val="single" w:sz="8" w:space="0" w:color="002C47"/>
            </w:tcBorders>
          </w:tcPr>
          <w:p w14:paraId="33899AAD" w14:textId="77777777" w:rsidR="004868D8" w:rsidRDefault="004868D8">
            <w:pPr>
              <w:rPr>
                <w:color w:val="000000"/>
              </w:rPr>
            </w:pPr>
            <w:r>
              <w:rPr>
                <w:color w:val="000000"/>
              </w:rPr>
              <w:t>VAS</w:t>
            </w:r>
          </w:p>
        </w:tc>
        <w:tc>
          <w:tcPr>
            <w:tcW w:w="3987" w:type="pct"/>
            <w:gridSpan w:val="2"/>
            <w:tcBorders>
              <w:top w:val="single" w:sz="8" w:space="0" w:color="002C47"/>
              <w:left w:val="single" w:sz="8" w:space="0" w:color="002C47"/>
              <w:bottom w:val="single" w:sz="8" w:space="0" w:color="002C47"/>
              <w:right w:val="single" w:sz="8" w:space="0" w:color="002C47"/>
            </w:tcBorders>
          </w:tcPr>
          <w:p w14:paraId="40FF9FE3" w14:textId="77777777" w:rsidR="004868D8" w:rsidRDefault="004868D8">
            <w:r>
              <w:t>Visual analogue score</w:t>
            </w:r>
          </w:p>
        </w:tc>
      </w:tr>
    </w:tbl>
    <w:p w14:paraId="144FB044" w14:textId="77777777" w:rsidR="00AF2313" w:rsidRDefault="00AF2313" w:rsidP="00AF2313">
      <w:pPr>
        <w:rPr>
          <w:szCs w:val="20"/>
        </w:rPr>
      </w:pPr>
    </w:p>
    <w:p w14:paraId="7EB96142" w14:textId="77777777" w:rsidR="00FD119B" w:rsidRPr="00FD119B" w:rsidRDefault="00FD119B" w:rsidP="00FD119B">
      <w:pPr>
        <w:spacing w:before="0" w:after="200" w:line="0" w:lineRule="auto"/>
        <w:rPr>
          <w:b/>
          <w:i/>
          <w:sz w:val="24"/>
          <w:szCs w:val="24"/>
        </w:rPr>
      </w:pPr>
      <w:r w:rsidRPr="00FD119B">
        <w:rPr>
          <w:b/>
          <w:i/>
          <w:sz w:val="24"/>
          <w:szCs w:val="24"/>
        </w:rPr>
        <w:br w:type="page"/>
      </w:r>
    </w:p>
    <w:p w14:paraId="11C8C615" w14:textId="1E2E5DD7" w:rsidR="008E7846" w:rsidRDefault="009F2673" w:rsidP="008E7846">
      <w:pPr>
        <w:pStyle w:val="Heading2"/>
      </w:pPr>
      <w:bookmarkStart w:id="5" w:name="_Toc117601953"/>
      <w:r>
        <w:lastRenderedPageBreak/>
        <w:t>Pr</w:t>
      </w:r>
      <w:r w:rsidR="008E7846">
        <w:t>oduct submission</w:t>
      </w:r>
      <w:bookmarkEnd w:id="5"/>
      <w:bookmarkEnd w:id="2"/>
      <w:bookmarkEnd w:id="0"/>
    </w:p>
    <w:p w14:paraId="5E63DF9B" w14:textId="495B8611" w:rsidR="008E7846" w:rsidRDefault="008E7846" w:rsidP="009E5A87">
      <w:pPr>
        <w:pStyle w:val="Heading3"/>
        <w:rPr>
          <w:lang w:eastAsia="en-AU"/>
        </w:rPr>
      </w:pPr>
      <w:bookmarkStart w:id="6" w:name="_Toc247691502"/>
      <w:bookmarkStart w:id="7" w:name="_Toc314842483"/>
      <w:bookmarkStart w:id="8" w:name="_Toc117601954"/>
      <w:r>
        <w:rPr>
          <w:lang w:eastAsia="en-AU"/>
        </w:rPr>
        <w:t>Submission details</w:t>
      </w:r>
      <w:bookmarkEnd w:id="6"/>
      <w:bookmarkEnd w:id="7"/>
      <w:bookmarkEnd w:id="8"/>
    </w:p>
    <w:tbl>
      <w:tblPr>
        <w:tblW w:w="5000" w:type="pct"/>
        <w:tblLook w:val="01E0" w:firstRow="1" w:lastRow="1" w:firstColumn="1" w:lastColumn="1" w:noHBand="0" w:noVBand="0"/>
      </w:tblPr>
      <w:tblGrid>
        <w:gridCol w:w="2682"/>
        <w:gridCol w:w="5822"/>
      </w:tblGrid>
      <w:tr w:rsidR="009F2673" w:rsidRPr="003D1E62" w14:paraId="5442EC4D" w14:textId="77777777" w:rsidTr="007144B8">
        <w:tc>
          <w:tcPr>
            <w:tcW w:w="1577" w:type="pct"/>
          </w:tcPr>
          <w:p w14:paraId="7C7D2B4D" w14:textId="77777777" w:rsidR="009F2673" w:rsidRPr="003D1E62" w:rsidRDefault="009F2673" w:rsidP="009E5A87">
            <w:pPr>
              <w:rPr>
                <w:i/>
              </w:rPr>
            </w:pPr>
            <w:r>
              <w:rPr>
                <w:i/>
              </w:rPr>
              <w:t>Type of s</w:t>
            </w:r>
            <w:r w:rsidRPr="003D1E62">
              <w:rPr>
                <w:i/>
              </w:rPr>
              <w:t>ubmission</w:t>
            </w:r>
            <w:r>
              <w:rPr>
                <w:i/>
              </w:rPr>
              <w:t>:</w:t>
            </w:r>
          </w:p>
        </w:tc>
        <w:tc>
          <w:tcPr>
            <w:tcW w:w="3423" w:type="pct"/>
          </w:tcPr>
          <w:p w14:paraId="68F32E45" w14:textId="5DC9C0A1" w:rsidR="009F2673" w:rsidRPr="003D1E62" w:rsidRDefault="00D81DF8" w:rsidP="009E5A87">
            <w:r>
              <w:t>New biological entity</w:t>
            </w:r>
          </w:p>
        </w:tc>
      </w:tr>
      <w:tr w:rsidR="009F2673" w:rsidRPr="003D1E62" w14:paraId="5E8F8CBB" w14:textId="77777777" w:rsidTr="007144B8">
        <w:tc>
          <w:tcPr>
            <w:tcW w:w="1577" w:type="pct"/>
          </w:tcPr>
          <w:p w14:paraId="26701AA5" w14:textId="21F38D8E" w:rsidR="009F2673" w:rsidRPr="003D1E62" w:rsidRDefault="00D81DF8" w:rsidP="009E5A87">
            <w:pPr>
              <w:rPr>
                <w:i/>
              </w:rPr>
            </w:pPr>
            <w:r>
              <w:rPr>
                <w:i/>
              </w:rPr>
              <w:t>Product name</w:t>
            </w:r>
            <w:r w:rsidR="009F2673" w:rsidRPr="00460036">
              <w:rPr>
                <w:i/>
              </w:rPr>
              <w:t>:</w:t>
            </w:r>
          </w:p>
        </w:tc>
        <w:tc>
          <w:tcPr>
            <w:tcW w:w="3423" w:type="pct"/>
          </w:tcPr>
          <w:p w14:paraId="35BAE929" w14:textId="796170F6" w:rsidR="009F2673" w:rsidRPr="003D1E62" w:rsidRDefault="00D81DF8" w:rsidP="009E5A87">
            <w:r>
              <w:t>Nexviazyme</w:t>
            </w:r>
          </w:p>
        </w:tc>
      </w:tr>
      <w:tr w:rsidR="009F2673" w:rsidRPr="003D1E62" w14:paraId="36562006" w14:textId="77777777" w:rsidTr="007144B8">
        <w:tc>
          <w:tcPr>
            <w:tcW w:w="1577" w:type="pct"/>
          </w:tcPr>
          <w:p w14:paraId="4416BCAC" w14:textId="5ADD2971" w:rsidR="009F2673" w:rsidRPr="003D1E62" w:rsidRDefault="00D81DF8" w:rsidP="009E5A87">
            <w:pPr>
              <w:rPr>
                <w:i/>
              </w:rPr>
            </w:pPr>
            <w:r>
              <w:rPr>
                <w:i/>
              </w:rPr>
              <w:t>Active ingredient</w:t>
            </w:r>
            <w:r w:rsidR="009F2673" w:rsidRPr="00460036">
              <w:rPr>
                <w:i/>
              </w:rPr>
              <w:t>:</w:t>
            </w:r>
          </w:p>
        </w:tc>
        <w:tc>
          <w:tcPr>
            <w:tcW w:w="3423" w:type="pct"/>
          </w:tcPr>
          <w:p w14:paraId="3750EB0D" w14:textId="4BBC7991" w:rsidR="009F2673" w:rsidRPr="003D1E62" w:rsidRDefault="00D81DF8" w:rsidP="009E5A87">
            <w:r>
              <w:t>Avalglucosidase alfa</w:t>
            </w:r>
          </w:p>
        </w:tc>
      </w:tr>
      <w:tr w:rsidR="009F2673" w:rsidRPr="003D1E62" w14:paraId="63AC562F" w14:textId="77777777" w:rsidTr="007144B8">
        <w:tc>
          <w:tcPr>
            <w:tcW w:w="1577" w:type="pct"/>
          </w:tcPr>
          <w:p w14:paraId="211758E7" w14:textId="77777777" w:rsidR="009F2673" w:rsidRPr="009F2673" w:rsidRDefault="009F2673" w:rsidP="009E5A87">
            <w:pPr>
              <w:rPr>
                <w:i/>
              </w:rPr>
            </w:pPr>
            <w:r w:rsidRPr="003D1E62">
              <w:rPr>
                <w:i/>
              </w:rPr>
              <w:t>Decision</w:t>
            </w:r>
            <w:r w:rsidRPr="009F2673">
              <w:rPr>
                <w:i/>
              </w:rPr>
              <w:t>:</w:t>
            </w:r>
          </w:p>
        </w:tc>
        <w:tc>
          <w:tcPr>
            <w:tcW w:w="3423" w:type="pct"/>
          </w:tcPr>
          <w:p w14:paraId="17BA5DC7" w14:textId="2ED317A7" w:rsidR="009F2673" w:rsidRPr="003D1E62" w:rsidRDefault="00D81DF8" w:rsidP="00D81DF8">
            <w:r>
              <w:t>Approved</w:t>
            </w:r>
          </w:p>
        </w:tc>
      </w:tr>
      <w:tr w:rsidR="009F2673" w:rsidRPr="003D1E62" w14:paraId="54F6B185" w14:textId="77777777" w:rsidTr="007144B8">
        <w:tc>
          <w:tcPr>
            <w:tcW w:w="1577" w:type="pct"/>
          </w:tcPr>
          <w:p w14:paraId="6573406F" w14:textId="77777777" w:rsidR="009F2673" w:rsidRPr="003D1E62" w:rsidRDefault="009F2673" w:rsidP="009E5A87">
            <w:pPr>
              <w:rPr>
                <w:i/>
              </w:rPr>
            </w:pPr>
            <w:r w:rsidRPr="003D1E62">
              <w:rPr>
                <w:i/>
              </w:rPr>
              <w:t xml:space="preserve">Date of </w:t>
            </w:r>
            <w:r>
              <w:rPr>
                <w:i/>
              </w:rPr>
              <w:t>d</w:t>
            </w:r>
            <w:r w:rsidRPr="003D1E62">
              <w:rPr>
                <w:i/>
              </w:rPr>
              <w:t>ecision:</w:t>
            </w:r>
          </w:p>
        </w:tc>
        <w:tc>
          <w:tcPr>
            <w:tcW w:w="3423" w:type="pct"/>
          </w:tcPr>
          <w:p w14:paraId="117BC9BA" w14:textId="0F35C1F0" w:rsidR="009F2673" w:rsidRPr="003D1E62" w:rsidRDefault="00D81DF8" w:rsidP="00D81DF8">
            <w:r>
              <w:t>15 November 2021</w:t>
            </w:r>
          </w:p>
        </w:tc>
      </w:tr>
      <w:tr w:rsidR="009F2673" w:rsidRPr="003D1E62" w14:paraId="690618C6" w14:textId="77777777" w:rsidTr="007144B8">
        <w:tc>
          <w:tcPr>
            <w:tcW w:w="1577" w:type="pct"/>
          </w:tcPr>
          <w:p w14:paraId="17052A10" w14:textId="77777777" w:rsidR="009F2673" w:rsidRPr="00441C3F" w:rsidRDefault="009F2673" w:rsidP="009E5A87">
            <w:pPr>
              <w:rPr>
                <w:i/>
              </w:rPr>
            </w:pPr>
            <w:r w:rsidRPr="00441C3F">
              <w:rPr>
                <w:i/>
              </w:rPr>
              <w:t>Date of entry onto ARTG</w:t>
            </w:r>
            <w:r>
              <w:rPr>
                <w:i/>
              </w:rPr>
              <w:t>:</w:t>
            </w:r>
          </w:p>
        </w:tc>
        <w:tc>
          <w:tcPr>
            <w:tcW w:w="3423" w:type="pct"/>
          </w:tcPr>
          <w:p w14:paraId="3C2B6D1F" w14:textId="4313D036" w:rsidR="009F2673" w:rsidRPr="009F2673" w:rsidRDefault="00D81DF8" w:rsidP="009E5A87">
            <w:r>
              <w:t>17 November 2021</w:t>
            </w:r>
            <w:r w:rsidR="009F2673" w:rsidRPr="009F2673">
              <w:t xml:space="preserve"> </w:t>
            </w:r>
          </w:p>
        </w:tc>
      </w:tr>
      <w:tr w:rsidR="009F2673" w:rsidRPr="003D1E62" w14:paraId="593CD5EE" w14:textId="77777777" w:rsidTr="007144B8">
        <w:tc>
          <w:tcPr>
            <w:tcW w:w="1577" w:type="pct"/>
          </w:tcPr>
          <w:p w14:paraId="29F14DF4" w14:textId="7F626BCD" w:rsidR="009F2673" w:rsidRPr="00441C3F" w:rsidRDefault="00D81DF8" w:rsidP="009E5A87">
            <w:pPr>
              <w:rPr>
                <w:i/>
              </w:rPr>
            </w:pPr>
            <w:r>
              <w:rPr>
                <w:i/>
              </w:rPr>
              <w:t>ARTG number</w:t>
            </w:r>
            <w:r w:rsidR="009F2673">
              <w:rPr>
                <w:i/>
              </w:rPr>
              <w:t>:</w:t>
            </w:r>
          </w:p>
        </w:tc>
        <w:tc>
          <w:tcPr>
            <w:tcW w:w="3423" w:type="pct"/>
          </w:tcPr>
          <w:p w14:paraId="2948644E" w14:textId="2ECED6E5" w:rsidR="009F2673" w:rsidRPr="00441C3F" w:rsidRDefault="00D81DF8" w:rsidP="009E5A87">
            <w:r w:rsidRPr="00D81DF8">
              <w:t>346495</w:t>
            </w:r>
          </w:p>
        </w:tc>
      </w:tr>
      <w:tr w:rsidR="009F2673" w:rsidRPr="003D1E62" w14:paraId="3DC29985" w14:textId="77777777" w:rsidTr="007144B8">
        <w:tc>
          <w:tcPr>
            <w:tcW w:w="1577" w:type="pct"/>
          </w:tcPr>
          <w:p w14:paraId="0DE80440" w14:textId="58C5D42C" w:rsidR="009F2673" w:rsidRDefault="001B1DA4" w:rsidP="009E5A87">
            <w:pPr>
              <w:rPr>
                <w:i/>
              </w:rPr>
            </w:pPr>
            <w:r>
              <w:rPr>
                <w:rFonts w:ascii="Wingdings 3" w:hAnsi="Wingdings 3"/>
                <w:sz w:val="34"/>
                <w:szCs w:val="34"/>
                <w:lang w:eastAsia="en-AU"/>
              </w:rPr>
              <w:t></w:t>
            </w:r>
            <w:hyperlink r:id="rId17" w:history="1">
              <w:r w:rsidR="009F2673" w:rsidRPr="009F2673">
                <w:rPr>
                  <w:rStyle w:val="Hyperlink"/>
                  <w:i/>
                </w:rPr>
                <w:t>Black Triangle Scheme</w:t>
              </w:r>
            </w:hyperlink>
            <w:r w:rsidR="009F2673">
              <w:rPr>
                <w:i/>
              </w:rPr>
              <w:t>:</w:t>
            </w:r>
          </w:p>
        </w:tc>
        <w:tc>
          <w:tcPr>
            <w:tcW w:w="3423" w:type="pct"/>
          </w:tcPr>
          <w:p w14:paraId="18F7B73C" w14:textId="1B66A7FD" w:rsidR="009F2673" w:rsidRDefault="00D81DF8" w:rsidP="009E5A87">
            <w:r>
              <w:t>Yes</w:t>
            </w:r>
          </w:p>
          <w:p w14:paraId="0183F109" w14:textId="2CEA7B2F" w:rsidR="009F2673" w:rsidRPr="00487162" w:rsidRDefault="009F2673">
            <w:r>
              <w:t xml:space="preserve">This product will remain in the scheme for 5 years, starting on the date the product is first supplied in </w:t>
            </w:r>
            <w:r w:rsidRPr="00D453FA">
              <w:t>Australia</w:t>
            </w:r>
          </w:p>
        </w:tc>
      </w:tr>
      <w:tr w:rsidR="009F2673" w:rsidRPr="003D1E62" w14:paraId="37575003" w14:textId="77777777" w:rsidTr="007144B8">
        <w:tc>
          <w:tcPr>
            <w:tcW w:w="1577" w:type="pct"/>
          </w:tcPr>
          <w:p w14:paraId="6D886672" w14:textId="77777777" w:rsidR="009F2673" w:rsidRPr="009F2673" w:rsidRDefault="009F2673" w:rsidP="009E5A87">
            <w:pPr>
              <w:rPr>
                <w:i/>
              </w:rPr>
            </w:pPr>
            <w:r w:rsidRPr="00487162">
              <w:rPr>
                <w:i/>
              </w:rPr>
              <w:t xml:space="preserve">Sponsor’s </w:t>
            </w:r>
            <w:r>
              <w:rPr>
                <w:i/>
              </w:rPr>
              <w:t>n</w:t>
            </w:r>
            <w:r w:rsidRPr="00487162">
              <w:rPr>
                <w:i/>
              </w:rPr>
              <w:t xml:space="preserve">ame and </w:t>
            </w:r>
            <w:r>
              <w:rPr>
                <w:i/>
              </w:rPr>
              <w:t>a</w:t>
            </w:r>
            <w:r w:rsidRPr="00487162">
              <w:rPr>
                <w:i/>
              </w:rPr>
              <w:t>ddress:</w:t>
            </w:r>
          </w:p>
        </w:tc>
        <w:tc>
          <w:tcPr>
            <w:tcW w:w="3423" w:type="pct"/>
          </w:tcPr>
          <w:p w14:paraId="624BF8B6" w14:textId="77777777" w:rsidR="00D81DF8" w:rsidRDefault="00D81DF8" w:rsidP="00D81DF8">
            <w:proofErr w:type="spellStart"/>
            <w:r>
              <w:t>Sanofi-aventis</w:t>
            </w:r>
            <w:proofErr w:type="spellEnd"/>
            <w:r>
              <w:t xml:space="preserve"> Australia Pty Ltd</w:t>
            </w:r>
          </w:p>
          <w:p w14:paraId="17915542" w14:textId="77777777" w:rsidR="00D81DF8" w:rsidRDefault="00D81DF8" w:rsidP="00D81DF8">
            <w:r>
              <w:t>12-24 Talavera Road</w:t>
            </w:r>
          </w:p>
          <w:p w14:paraId="24CF14A2" w14:textId="3D80711C" w:rsidR="009F2673" w:rsidRDefault="00D81DF8" w:rsidP="00D81DF8">
            <w:r>
              <w:t>Macquarie Park, NSW 2113</w:t>
            </w:r>
          </w:p>
        </w:tc>
      </w:tr>
      <w:tr w:rsidR="009F2673" w:rsidRPr="003D1E62" w14:paraId="6D290317" w14:textId="77777777" w:rsidTr="007144B8">
        <w:tc>
          <w:tcPr>
            <w:tcW w:w="1577" w:type="pct"/>
          </w:tcPr>
          <w:p w14:paraId="2BA54FAB" w14:textId="2442D9FF" w:rsidR="009F2673" w:rsidRPr="00487162" w:rsidRDefault="00D81DF8" w:rsidP="009E5A87">
            <w:pPr>
              <w:rPr>
                <w:i/>
              </w:rPr>
            </w:pPr>
            <w:r>
              <w:rPr>
                <w:i/>
              </w:rPr>
              <w:t>Dose form</w:t>
            </w:r>
            <w:r w:rsidR="009F2673">
              <w:rPr>
                <w:i/>
              </w:rPr>
              <w:t>:</w:t>
            </w:r>
          </w:p>
        </w:tc>
        <w:tc>
          <w:tcPr>
            <w:tcW w:w="3423" w:type="pct"/>
          </w:tcPr>
          <w:p w14:paraId="7FEE1F05" w14:textId="05B69E0B" w:rsidR="009F2673" w:rsidRDefault="00D81DF8" w:rsidP="009E5A87">
            <w:r>
              <w:t>Powder for injection</w:t>
            </w:r>
          </w:p>
        </w:tc>
      </w:tr>
      <w:tr w:rsidR="009F2673" w:rsidRPr="003D1E62" w14:paraId="3EC462C6" w14:textId="77777777" w:rsidTr="007144B8">
        <w:tc>
          <w:tcPr>
            <w:tcW w:w="1577" w:type="pct"/>
          </w:tcPr>
          <w:p w14:paraId="5968885C" w14:textId="3E2D410B" w:rsidR="009F2673" w:rsidRPr="00487162" w:rsidRDefault="00D81DF8" w:rsidP="009E5A87">
            <w:pPr>
              <w:rPr>
                <w:i/>
              </w:rPr>
            </w:pPr>
            <w:r>
              <w:rPr>
                <w:i/>
              </w:rPr>
              <w:t>Strength</w:t>
            </w:r>
            <w:r w:rsidR="009F2673" w:rsidRPr="00487162">
              <w:rPr>
                <w:i/>
              </w:rPr>
              <w:t>:</w:t>
            </w:r>
          </w:p>
        </w:tc>
        <w:tc>
          <w:tcPr>
            <w:tcW w:w="3423" w:type="pct"/>
          </w:tcPr>
          <w:p w14:paraId="1A4406C5" w14:textId="5149C405" w:rsidR="009F2673" w:rsidRDefault="00D81DF8" w:rsidP="009E5A87">
            <w:r>
              <w:t>100 mg/10 mL</w:t>
            </w:r>
          </w:p>
        </w:tc>
      </w:tr>
      <w:tr w:rsidR="009F2673" w:rsidRPr="003D1E62" w14:paraId="3696FB42" w14:textId="77777777" w:rsidTr="007144B8">
        <w:tc>
          <w:tcPr>
            <w:tcW w:w="1577" w:type="pct"/>
          </w:tcPr>
          <w:p w14:paraId="0F0E0A0B" w14:textId="2D4FD933" w:rsidR="009F2673" w:rsidRPr="00487162" w:rsidRDefault="00D81DF8" w:rsidP="009E5A87">
            <w:pPr>
              <w:rPr>
                <w:i/>
              </w:rPr>
            </w:pPr>
            <w:r>
              <w:rPr>
                <w:i/>
              </w:rPr>
              <w:t>Container</w:t>
            </w:r>
            <w:r w:rsidR="009F2673" w:rsidRPr="00487162">
              <w:rPr>
                <w:i/>
              </w:rPr>
              <w:t>:</w:t>
            </w:r>
          </w:p>
        </w:tc>
        <w:tc>
          <w:tcPr>
            <w:tcW w:w="3423" w:type="pct"/>
          </w:tcPr>
          <w:p w14:paraId="28A3FFBF" w14:textId="51BF8D23" w:rsidR="009F2673" w:rsidRDefault="00D81DF8" w:rsidP="009E5A87">
            <w:r>
              <w:t>Vial</w:t>
            </w:r>
          </w:p>
        </w:tc>
      </w:tr>
      <w:tr w:rsidR="009F2673" w:rsidRPr="003D1E62" w14:paraId="45D23F84" w14:textId="77777777" w:rsidTr="007144B8">
        <w:tc>
          <w:tcPr>
            <w:tcW w:w="1577" w:type="pct"/>
          </w:tcPr>
          <w:p w14:paraId="5931E7A5" w14:textId="676412F8" w:rsidR="009F2673" w:rsidRPr="00487162" w:rsidRDefault="00D81DF8" w:rsidP="009E5A87">
            <w:pPr>
              <w:rPr>
                <w:i/>
              </w:rPr>
            </w:pPr>
            <w:r>
              <w:rPr>
                <w:i/>
              </w:rPr>
              <w:t>Pack sizes</w:t>
            </w:r>
            <w:r w:rsidR="009F2673" w:rsidRPr="00487162">
              <w:rPr>
                <w:i/>
              </w:rPr>
              <w:t>:</w:t>
            </w:r>
          </w:p>
        </w:tc>
        <w:tc>
          <w:tcPr>
            <w:tcW w:w="3423" w:type="pct"/>
          </w:tcPr>
          <w:p w14:paraId="6A908885" w14:textId="67A934A7" w:rsidR="009F2673" w:rsidRDefault="00D95E0B" w:rsidP="009E5A87">
            <w:r>
              <w:t>Single (one) vial</w:t>
            </w:r>
          </w:p>
        </w:tc>
      </w:tr>
      <w:tr w:rsidR="009F2673" w:rsidRPr="003D1E62" w14:paraId="1DFBA5F3" w14:textId="77777777" w:rsidTr="007144B8">
        <w:tc>
          <w:tcPr>
            <w:tcW w:w="1577" w:type="pct"/>
          </w:tcPr>
          <w:p w14:paraId="2DDB85B1" w14:textId="77777777" w:rsidR="009F2673" w:rsidRPr="00487162" w:rsidRDefault="009F2673" w:rsidP="009E5A87">
            <w:pPr>
              <w:rPr>
                <w:i/>
              </w:rPr>
            </w:pPr>
            <w:r w:rsidRPr="00487162">
              <w:rPr>
                <w:i/>
              </w:rPr>
              <w:t xml:space="preserve">Approved </w:t>
            </w:r>
            <w:r>
              <w:rPr>
                <w:i/>
              </w:rPr>
              <w:t>t</w:t>
            </w:r>
            <w:r w:rsidRPr="00487162">
              <w:rPr>
                <w:i/>
              </w:rPr>
              <w:t>herapeutic use:</w:t>
            </w:r>
          </w:p>
        </w:tc>
        <w:tc>
          <w:tcPr>
            <w:tcW w:w="3423" w:type="pct"/>
          </w:tcPr>
          <w:p w14:paraId="59A4AFDD" w14:textId="663937FC" w:rsidR="009F2673" w:rsidRPr="00D95E0B" w:rsidRDefault="00D95E0B" w:rsidP="009E5A87">
            <w:pPr>
              <w:rPr>
                <w:i/>
              </w:rPr>
            </w:pPr>
            <w:r w:rsidRPr="00D95E0B">
              <w:rPr>
                <w:i/>
              </w:rPr>
              <w:t>Nexviazyme is indicated for long-term enzyme replacement therapy for the treatment of patients one year of age and older with Pompe disease (acid α-glucosidase deficiency).</w:t>
            </w:r>
          </w:p>
        </w:tc>
      </w:tr>
      <w:tr w:rsidR="009F2673" w:rsidRPr="003D1E62" w14:paraId="38E01BD1" w14:textId="77777777" w:rsidTr="007144B8">
        <w:tc>
          <w:tcPr>
            <w:tcW w:w="1577" w:type="pct"/>
          </w:tcPr>
          <w:p w14:paraId="5A1A2DFF" w14:textId="0130301F" w:rsidR="009F2673" w:rsidRPr="00487162" w:rsidRDefault="00D95E0B" w:rsidP="009E5A87">
            <w:pPr>
              <w:rPr>
                <w:i/>
              </w:rPr>
            </w:pPr>
            <w:r>
              <w:rPr>
                <w:i/>
              </w:rPr>
              <w:t>Route</w:t>
            </w:r>
            <w:r w:rsidR="009F2673" w:rsidRPr="00487162">
              <w:rPr>
                <w:i/>
              </w:rPr>
              <w:t xml:space="preserve"> of administration:</w:t>
            </w:r>
          </w:p>
        </w:tc>
        <w:tc>
          <w:tcPr>
            <w:tcW w:w="3423" w:type="pct"/>
          </w:tcPr>
          <w:p w14:paraId="39637DDB" w14:textId="10DB5238" w:rsidR="009F2673" w:rsidRPr="00487162" w:rsidRDefault="00D95E0B" w:rsidP="009E5A87">
            <w:r>
              <w:t>Intravenous infusion</w:t>
            </w:r>
          </w:p>
        </w:tc>
      </w:tr>
      <w:tr w:rsidR="009F2673" w:rsidRPr="003D1E62" w14:paraId="176D4981" w14:textId="77777777" w:rsidTr="007144B8">
        <w:tc>
          <w:tcPr>
            <w:tcW w:w="1577" w:type="pct"/>
          </w:tcPr>
          <w:p w14:paraId="0897F1ED" w14:textId="77777777" w:rsidR="009F2673" w:rsidRPr="00487162" w:rsidRDefault="009F2673" w:rsidP="009E5A87">
            <w:pPr>
              <w:rPr>
                <w:i/>
              </w:rPr>
            </w:pPr>
            <w:r w:rsidRPr="00487162">
              <w:rPr>
                <w:i/>
              </w:rPr>
              <w:t>Dosage:</w:t>
            </w:r>
          </w:p>
        </w:tc>
        <w:tc>
          <w:tcPr>
            <w:tcW w:w="3423" w:type="pct"/>
          </w:tcPr>
          <w:p w14:paraId="19F03E60" w14:textId="6706B039" w:rsidR="00D95E0B" w:rsidRDefault="00D95E0B" w:rsidP="00D95E0B">
            <w:r>
              <w:t>Nexviazyme treatment should be supervised by a physician experienced in the management of patients with Pompe disease or other inherited metabolic or neuromuscular diseases.</w:t>
            </w:r>
          </w:p>
          <w:p w14:paraId="06A374FE" w14:textId="793ABCCF" w:rsidR="00D95E0B" w:rsidRDefault="00D95E0B" w:rsidP="00D95E0B">
            <w:r>
              <w:t>The recommended dose of Nexviazyme is 20 mg/kg of body weight administered every other week as an intravenous infusion. Dose escalation to 40 mg/kg every other week may be considered for patients with infantile</w:t>
            </w:r>
            <w:r w:rsidR="000515DB">
              <w:t>-</w:t>
            </w:r>
            <w:r>
              <w:t xml:space="preserve">onset </w:t>
            </w:r>
            <w:proofErr w:type="spellStart"/>
            <w:r>
              <w:t>Pompe</w:t>
            </w:r>
            <w:proofErr w:type="spellEnd"/>
            <w:r>
              <w:t xml:space="preserve"> disease (IOPD) who experience insufficient control or declining response at the lower dose (see Section 5.1 Pharmacodynamic Properties, Clinical Trials of the Product Information).</w:t>
            </w:r>
          </w:p>
          <w:p w14:paraId="6919BF22" w14:textId="5D6A57C5" w:rsidR="00D95E0B" w:rsidRDefault="00D95E0B" w:rsidP="00D95E0B">
            <w:r>
              <w:lastRenderedPageBreak/>
              <w:t>Nexviazyme should be administered as an intravenous infusion. Infusion should be administered incrementally as determined by patient response and comfort. It is recommended that the infusion</w:t>
            </w:r>
            <w:r w:rsidR="00557D8D">
              <w:t xml:space="preserve"> begins at an initial rate of 1 </w:t>
            </w:r>
            <w:r>
              <w:t>mg/kg/hour and is gradually increased every 30 minutes if there are no signs of infusion-associated r</w:t>
            </w:r>
            <w:r w:rsidR="00557D8D">
              <w:t xml:space="preserve">eactions. </w:t>
            </w:r>
            <w:r>
              <w:t>Vital signs should be obtained at each step, before increasing the infusion rate. Patients may be pre-treated with antihistamines, antipyretics and/or corticosteroids to prevent or reduce allergic reactions</w:t>
            </w:r>
            <w:r w:rsidR="00557D8D">
              <w:t>.</w:t>
            </w:r>
          </w:p>
          <w:p w14:paraId="148FD9BD" w14:textId="66A8B726" w:rsidR="00557D8D" w:rsidRDefault="00557D8D" w:rsidP="00557D8D">
            <w:r>
              <w:t xml:space="preserve">In the event of anaphylaxis or severe hypersensitivity reaction or severe infusion associated reactions, immediately discontinue administration of Nexviazyme and initiate appropriate medical treatment. In the event of mild to moderate hypersensitivity reactions or </w:t>
            </w:r>
            <w:r w:rsidR="00A63AF3">
              <w:t>infusion associated reactions</w:t>
            </w:r>
            <w:r>
              <w:t>, the infusion rate may be slowed or temporarily stopped and/or appropriate medical treatment initiated (see Section 4.4 of the Product Information).</w:t>
            </w:r>
          </w:p>
          <w:p w14:paraId="3B3867DA" w14:textId="71872C68" w:rsidR="00557D8D" w:rsidRDefault="00557D8D" w:rsidP="00557D8D">
            <w:r>
              <w:t>Symptoms may persist despite temporarily stopping the infusion; therefore, the treating physician should wait at least 30 minutes for symptoms of the reactions to resolve before deciding to stop the infusion for the remainder of the day. If symptoms subside, resume infusion rate for 30</w:t>
            </w:r>
            <w:r w:rsidR="00A63AF3">
              <w:t> </w:t>
            </w:r>
            <w:r>
              <w:t>minutes at half the rate, or less, of the rate at which the reactions occurred, followed by an increase in infusion rate by 50% for 15 to 30 minutes. If symptoms do not recur, increase the infusion rate to the rate at which the reactions occurred and consider continuing to increase the rate in a stepwise manner until the maximum rate is achieved.</w:t>
            </w:r>
          </w:p>
          <w:p w14:paraId="042574E7" w14:textId="5DF614ED" w:rsidR="00557D8D" w:rsidRDefault="00557D8D" w:rsidP="00557D8D">
            <w:r>
              <w:t>Nexviazyme is for single use in one patient only. Contains no antimicrobial preservative.</w:t>
            </w:r>
          </w:p>
          <w:p w14:paraId="611255AA" w14:textId="77777777" w:rsidR="009F2673" w:rsidRPr="00487162" w:rsidRDefault="009F2673" w:rsidP="009E5A87">
            <w:r w:rsidRPr="00460036">
              <w:t>For further information regarding dosage, refer to the Product Information.</w:t>
            </w:r>
          </w:p>
        </w:tc>
      </w:tr>
      <w:tr w:rsidR="009F2673" w:rsidRPr="003D1E62" w14:paraId="14B62A81" w14:textId="77777777" w:rsidTr="007144B8">
        <w:tc>
          <w:tcPr>
            <w:tcW w:w="1577" w:type="pct"/>
          </w:tcPr>
          <w:p w14:paraId="56A99F2C" w14:textId="77777777" w:rsidR="009F2673" w:rsidRPr="00487162" w:rsidRDefault="009F2673" w:rsidP="009E5A87">
            <w:pPr>
              <w:rPr>
                <w:i/>
              </w:rPr>
            </w:pPr>
            <w:r w:rsidRPr="00460036">
              <w:rPr>
                <w:i/>
              </w:rPr>
              <w:lastRenderedPageBreak/>
              <w:t>Pregnancy category</w:t>
            </w:r>
            <w:r>
              <w:rPr>
                <w:i/>
              </w:rPr>
              <w:t>:</w:t>
            </w:r>
          </w:p>
        </w:tc>
        <w:tc>
          <w:tcPr>
            <w:tcW w:w="3423" w:type="pct"/>
          </w:tcPr>
          <w:p w14:paraId="6A73E1E4" w14:textId="77777777" w:rsidR="00557D8D" w:rsidRPr="00557D8D" w:rsidRDefault="00557D8D" w:rsidP="00557D8D">
            <w:r w:rsidRPr="00557D8D">
              <w:t>Category B1</w:t>
            </w:r>
          </w:p>
          <w:p w14:paraId="7AADD632" w14:textId="77777777" w:rsidR="00557D8D" w:rsidRPr="00557D8D" w:rsidRDefault="00557D8D" w:rsidP="00557D8D">
            <w:r w:rsidRPr="00557D8D">
              <w:t xml:space="preserve">Drugs which have been taken by only a limited number of pregnant women and women of childbearing age, without an increase in the frequency of malformation or other direct or indirect harmful effects on the human </w:t>
            </w:r>
            <w:proofErr w:type="spellStart"/>
            <w:r w:rsidRPr="00557D8D">
              <w:t>fetus</w:t>
            </w:r>
            <w:proofErr w:type="spellEnd"/>
            <w:r w:rsidRPr="00557D8D">
              <w:t xml:space="preserve"> having been observed.</w:t>
            </w:r>
          </w:p>
          <w:p w14:paraId="79FF2B5B" w14:textId="77777777" w:rsidR="00557D8D" w:rsidRPr="00557D8D" w:rsidRDefault="00557D8D" w:rsidP="00557D8D">
            <w:r w:rsidRPr="00557D8D">
              <w:t>Studies in animals have not shown evidence of an increased occurrence of fetal damage.</w:t>
            </w:r>
          </w:p>
          <w:p w14:paraId="1353E649" w14:textId="5668F348" w:rsidR="009F2673" w:rsidRPr="00487162" w:rsidRDefault="009F2673" w:rsidP="009E5A87">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r w:rsidR="00557D8D">
              <w:t>.</w:t>
            </w:r>
          </w:p>
        </w:tc>
      </w:tr>
    </w:tbl>
    <w:p w14:paraId="3386E3DA" w14:textId="77777777" w:rsidR="008E7846" w:rsidRDefault="008E7846" w:rsidP="008E7846">
      <w:pPr>
        <w:pStyle w:val="Heading3"/>
      </w:pPr>
      <w:bookmarkStart w:id="9" w:name="_Toc247691503"/>
      <w:bookmarkStart w:id="10" w:name="_Toc314842484"/>
      <w:bookmarkStart w:id="11" w:name="_Toc117601955"/>
      <w:r>
        <w:lastRenderedPageBreak/>
        <w:t>Product background</w:t>
      </w:r>
      <w:bookmarkEnd w:id="9"/>
      <w:bookmarkEnd w:id="10"/>
      <w:bookmarkEnd w:id="11"/>
    </w:p>
    <w:p w14:paraId="4B80A940" w14:textId="7C5517D1" w:rsidR="009F2673" w:rsidRDefault="009F2673" w:rsidP="009F2673">
      <w:r w:rsidRPr="000A4A42">
        <w:t xml:space="preserve">This AusPAR describes the </w:t>
      </w:r>
      <w:r w:rsidR="001E359E">
        <w:t>submission</w:t>
      </w:r>
      <w:r w:rsidR="00E34C9E">
        <w:t xml:space="preserve"> by Sanofi-Aventis Australia Pty Ltd </w:t>
      </w:r>
      <w:r w:rsidRPr="000A4A42">
        <w:t xml:space="preserve">to register </w:t>
      </w:r>
      <w:r w:rsidR="0080666C" w:rsidRPr="0080666C">
        <w:t xml:space="preserve">Nexviazyme </w:t>
      </w:r>
      <w:r w:rsidR="0080666C">
        <w:t>(</w:t>
      </w:r>
      <w:r w:rsidR="0080666C" w:rsidRPr="0080666C">
        <w:t>avalglucosidase alfa</w:t>
      </w:r>
      <w:r w:rsidR="0080666C">
        <w:t>) 100 mg/10 mL,</w:t>
      </w:r>
      <w:r w:rsidR="0080666C" w:rsidRPr="0080666C">
        <w:t xml:space="preserve"> powder for </w:t>
      </w:r>
      <w:r w:rsidR="0080666C">
        <w:t>injection</w:t>
      </w:r>
      <w:r w:rsidR="0080666C" w:rsidRPr="0080666C">
        <w:t xml:space="preserve"> </w:t>
      </w:r>
      <w:r w:rsidR="0080666C">
        <w:t>(</w:t>
      </w:r>
      <w:r w:rsidR="0080666C" w:rsidRPr="0080666C">
        <w:t>vial</w:t>
      </w:r>
      <w:r w:rsidR="0080666C">
        <w:t>)</w:t>
      </w:r>
      <w:r w:rsidRPr="000A4A42">
        <w:t xml:space="preserve"> for the following proposed indication</w:t>
      </w:r>
      <w:r w:rsidR="0080666C">
        <w:t>:</w:t>
      </w:r>
    </w:p>
    <w:p w14:paraId="04690D20" w14:textId="7AE05F70" w:rsidR="00E34C9E" w:rsidRDefault="00E34C9E" w:rsidP="00E34C9E">
      <w:pPr>
        <w:ind w:left="720"/>
        <w:rPr>
          <w:i/>
        </w:rPr>
      </w:pPr>
      <w:r w:rsidRPr="004001A3">
        <w:rPr>
          <w:i/>
        </w:rPr>
        <w:t xml:space="preserve">for </w:t>
      </w:r>
      <w:r>
        <w:rPr>
          <w:i/>
        </w:rPr>
        <w:t>long-term enzyme replacement therapy for the treatment of patients with Pompe disease (acid α-glucosidase deficiency).</w:t>
      </w:r>
    </w:p>
    <w:p w14:paraId="3CE792E5" w14:textId="12C0CEF0" w:rsidR="00557D8D" w:rsidRDefault="002F143C" w:rsidP="000722C6">
      <w:pPr>
        <w:rPr>
          <w:lang w:eastAsia="ja-JP"/>
        </w:rPr>
      </w:pPr>
      <w:r>
        <w:rPr>
          <w:lang w:eastAsia="ja-JP"/>
        </w:rPr>
        <w:t>G</w:t>
      </w:r>
      <w:r w:rsidR="00557D8D" w:rsidRPr="00557D8D">
        <w:rPr>
          <w:lang w:eastAsia="ja-JP"/>
        </w:rPr>
        <w:t>lycogen storage disease</w:t>
      </w:r>
      <w:r w:rsidR="00557D8D">
        <w:rPr>
          <w:lang w:eastAsia="ja-JP"/>
        </w:rPr>
        <w:t>s (GSD</w:t>
      </w:r>
      <w:r w:rsidR="00557D8D" w:rsidRPr="00557D8D">
        <w:rPr>
          <w:lang w:eastAsia="ja-JP"/>
        </w:rPr>
        <w:t xml:space="preserve">) </w:t>
      </w:r>
      <w:r w:rsidR="00557D8D">
        <w:rPr>
          <w:lang w:eastAsia="ja-JP"/>
        </w:rPr>
        <w:t>are</w:t>
      </w:r>
      <w:r w:rsidR="00557D8D" w:rsidRPr="00557D8D">
        <w:rPr>
          <w:lang w:eastAsia="ja-JP"/>
        </w:rPr>
        <w:t xml:space="preserve"> a </w:t>
      </w:r>
      <w:r w:rsidR="00E204A0">
        <w:rPr>
          <w:lang w:eastAsia="ja-JP"/>
        </w:rPr>
        <w:t xml:space="preserve">group of </w:t>
      </w:r>
      <w:r w:rsidR="00557D8D" w:rsidRPr="00557D8D">
        <w:rPr>
          <w:lang w:eastAsia="ja-JP"/>
        </w:rPr>
        <w:t>metabolic disorder</w:t>
      </w:r>
      <w:r w:rsidR="00557D8D">
        <w:rPr>
          <w:lang w:eastAsia="ja-JP"/>
        </w:rPr>
        <w:t>s</w:t>
      </w:r>
      <w:r w:rsidR="00557D8D" w:rsidRPr="00557D8D">
        <w:rPr>
          <w:lang w:eastAsia="ja-JP"/>
        </w:rPr>
        <w:t xml:space="preserve"> caused by an enzyme </w:t>
      </w:r>
      <w:r w:rsidR="0080666C">
        <w:rPr>
          <w:lang w:eastAsia="ja-JP"/>
        </w:rPr>
        <w:t>abnormality</w:t>
      </w:r>
      <w:r w:rsidR="00557D8D" w:rsidRPr="00557D8D">
        <w:rPr>
          <w:lang w:eastAsia="ja-JP"/>
        </w:rPr>
        <w:t xml:space="preserve"> affecting glycogen synthesis, glycogen breakdown, or glucose breakdown, </w:t>
      </w:r>
      <w:r w:rsidR="00E204A0">
        <w:rPr>
          <w:lang w:eastAsia="ja-JP"/>
        </w:rPr>
        <w:t>most often</w:t>
      </w:r>
      <w:r w:rsidR="00557D8D" w:rsidRPr="00557D8D">
        <w:rPr>
          <w:lang w:eastAsia="ja-JP"/>
        </w:rPr>
        <w:t xml:space="preserve"> in muscles and/or liver cells</w:t>
      </w:r>
      <w:r w:rsidR="00E204A0">
        <w:rPr>
          <w:lang w:eastAsia="ja-JP"/>
        </w:rPr>
        <w:t xml:space="preserve">. Most are genetic in cause, arising from an inborn error in metabolism, a class of congenital disorders </w:t>
      </w:r>
      <w:r w:rsidR="0080666C">
        <w:rPr>
          <w:lang w:eastAsia="ja-JP"/>
        </w:rPr>
        <w:t>affecting</w:t>
      </w:r>
      <w:r w:rsidR="00E204A0">
        <w:rPr>
          <w:lang w:eastAsia="ja-JP"/>
        </w:rPr>
        <w:t xml:space="preserve"> normal enzyme activities.</w:t>
      </w:r>
    </w:p>
    <w:p w14:paraId="0634FD5B" w14:textId="2FF7783E" w:rsidR="00F40DB4" w:rsidRDefault="00F40DB4" w:rsidP="000722C6">
      <w:r>
        <w:t xml:space="preserve">Glycogen, a </w:t>
      </w:r>
      <w:proofErr w:type="gramStart"/>
      <w:r>
        <w:t>carbohydrate</w:t>
      </w:r>
      <w:proofErr w:type="gramEnd"/>
      <w:r>
        <w:t xml:space="preserve"> and form of glucose storage, along with triglycerides (or fats) in adipose tissue together form the main energy stores of the body. In the human body, glycogen is mainly stored in cells of the liver and skeletal muscle. In most states, glycogen in skeletal muscle serves as an energy store for the muscle itself, whilst liver glycogen serves as a store of energy for the rest of the body, particularly the brain and central nervous system. Normally, glycogen can be rapidly broken down enzymatically to maintain blood glucose levels at a stable level</w:t>
      </w:r>
      <w:r w:rsidR="0080666C">
        <w:t>, as and when needed</w:t>
      </w:r>
      <w:r>
        <w:t>.</w:t>
      </w:r>
    </w:p>
    <w:p w14:paraId="7BA15B17" w14:textId="44B13D05" w:rsidR="00DA1A47" w:rsidRDefault="000722C6" w:rsidP="000722C6">
      <w:r>
        <w:rPr>
          <w:lang w:eastAsia="ja-JP"/>
        </w:rPr>
        <w:t>Pompe disease</w:t>
      </w:r>
      <w:r>
        <w:t xml:space="preserve">, also known as </w:t>
      </w:r>
      <w:r w:rsidR="004868D8">
        <w:t>glycogen storage disease type II (GSD2</w:t>
      </w:r>
      <w:r>
        <w:t xml:space="preserve">) or acid maltase deficiency, </w:t>
      </w:r>
      <w:r w:rsidRPr="002975DD">
        <w:t xml:space="preserve">is </w:t>
      </w:r>
      <w:r>
        <w:t xml:space="preserve">a rare </w:t>
      </w:r>
      <w:r w:rsidRPr="002975DD">
        <w:t>autosomal recessive</w:t>
      </w:r>
      <w:r>
        <w:t xml:space="preserve"> neuromuscular </w:t>
      </w:r>
      <w:r w:rsidRPr="0080666C">
        <w:t xml:space="preserve">disease caused by mutations in the </w:t>
      </w:r>
      <w:r w:rsidRPr="0080666C">
        <w:rPr>
          <w:i/>
        </w:rPr>
        <w:t>GAA</w:t>
      </w:r>
      <w:r w:rsidRPr="0080666C">
        <w:t xml:space="preserve"> gene, which encodes</w:t>
      </w:r>
      <w:r w:rsidR="00DA1A47" w:rsidRPr="0080666C">
        <w:t xml:space="preserve"> an enzyme, </w:t>
      </w:r>
      <w:r w:rsidRPr="0080666C">
        <w:t xml:space="preserve">lysosomal hydrolase acid </w:t>
      </w:r>
      <w:r w:rsidR="00E204A0" w:rsidRPr="0080666C">
        <w:t>alpha</w:t>
      </w:r>
      <w:r w:rsidRPr="0080666C">
        <w:t>-glucosidase</w:t>
      </w:r>
      <w:r w:rsidRPr="002975DD">
        <w:t xml:space="preserve"> (GAA</w:t>
      </w:r>
      <w:r>
        <w:t>)</w:t>
      </w:r>
      <w:r w:rsidR="00DA1A47">
        <w:t xml:space="preserve">. </w:t>
      </w:r>
      <w:r w:rsidR="00DA1A47">
        <w:rPr>
          <w:lang w:eastAsia="ja-JP"/>
        </w:rPr>
        <w:t xml:space="preserve">Defects in both alleles of the </w:t>
      </w:r>
      <w:r w:rsidR="00DA1A47" w:rsidRPr="0080666C">
        <w:rPr>
          <w:i/>
          <w:lang w:eastAsia="ja-JP"/>
        </w:rPr>
        <w:t>GAA</w:t>
      </w:r>
      <w:r w:rsidR="00DA1A47">
        <w:rPr>
          <w:lang w:eastAsia="ja-JP"/>
        </w:rPr>
        <w:t xml:space="preserve"> gene </w:t>
      </w:r>
      <w:r w:rsidR="00DA1A47" w:rsidRPr="002975DD">
        <w:t>result in re</w:t>
      </w:r>
      <w:r w:rsidR="00DA1A47">
        <w:t>duced or absent enzyme activity</w:t>
      </w:r>
      <w:r>
        <w:t>.</w:t>
      </w:r>
      <w:bookmarkStart w:id="12" w:name="_Ref110503847"/>
      <w:r>
        <w:rPr>
          <w:rStyle w:val="FootnoteReference"/>
        </w:rPr>
        <w:footnoteReference w:id="2"/>
      </w:r>
      <w:bookmarkEnd w:id="12"/>
      <w:r w:rsidR="00DA1A47">
        <w:t xml:space="preserve"> </w:t>
      </w:r>
    </w:p>
    <w:p w14:paraId="71C7EC9C" w14:textId="69538D2D" w:rsidR="000722C6" w:rsidRDefault="0080666C" w:rsidP="000722C6">
      <w:r>
        <w:t xml:space="preserve">The enzyme </w:t>
      </w:r>
      <w:r w:rsidR="00DA1A47">
        <w:t xml:space="preserve">GAA is essential for the degradation of glycogen to form glucose in the lysosomes of cells. </w:t>
      </w:r>
      <w:r w:rsidR="000722C6" w:rsidRPr="002721D2">
        <w:rPr>
          <w:lang w:eastAsia="ja-JP"/>
        </w:rPr>
        <w:t xml:space="preserve">GAA degrades lysosomal glycogen by catalysing the </w:t>
      </w:r>
      <w:r>
        <w:rPr>
          <w:lang w:eastAsia="ja-JP"/>
        </w:rPr>
        <w:t>hydrolysis of the α</w:t>
      </w:r>
      <w:r>
        <w:rPr>
          <w:lang w:eastAsia="ja-JP"/>
        </w:rPr>
        <w:noBreakHyphen/>
      </w:r>
      <w:r w:rsidR="000722C6">
        <w:rPr>
          <w:lang w:eastAsia="ja-JP"/>
        </w:rPr>
        <w:t>1, 4- and α</w:t>
      </w:r>
      <w:r w:rsidR="000722C6">
        <w:rPr>
          <w:lang w:eastAsia="ja-JP"/>
        </w:rPr>
        <w:noBreakHyphen/>
        <w:t>1,6</w:t>
      </w:r>
      <w:r w:rsidR="000722C6">
        <w:rPr>
          <w:lang w:eastAsia="ja-JP"/>
        </w:rPr>
        <w:noBreakHyphen/>
      </w:r>
      <w:r w:rsidR="000722C6" w:rsidRPr="002721D2">
        <w:rPr>
          <w:lang w:eastAsia="ja-JP"/>
        </w:rPr>
        <w:t>glycosidic linkages.</w:t>
      </w:r>
      <w:r w:rsidR="000722C6">
        <w:rPr>
          <w:lang w:eastAsia="ja-JP"/>
        </w:rPr>
        <w:t xml:space="preserve"> Deficiency of the enzyme results in the progressive accumulation of glycogen in the lysosomes leading to swelling and eventually rupture of the lysosome and subsequent spillage into the cytoplasm. Rupture of the lysosome and its contents results in cellular dysfunction, particularly in muscle tissue.</w:t>
      </w:r>
      <w:r w:rsidR="00D85581">
        <w:rPr>
          <w:lang w:eastAsia="ja-JP"/>
        </w:rPr>
        <w:t xml:space="preserve"> </w:t>
      </w:r>
      <w:r w:rsidR="000722C6">
        <w:rPr>
          <w:lang w:eastAsia="ja-JP"/>
        </w:rPr>
        <w:t>Glycogen accumulation causes damage in a range of organs and tissues, and the symptoms are predominantly owing to damage to muscles including cardiac and skeletal</w:t>
      </w:r>
      <w:r w:rsidR="00D85581">
        <w:rPr>
          <w:lang w:eastAsia="ja-JP"/>
        </w:rPr>
        <w:t xml:space="preserve"> muscle</w:t>
      </w:r>
      <w:r w:rsidR="000722C6">
        <w:rPr>
          <w:lang w:eastAsia="ja-JP"/>
        </w:rPr>
        <w:t>.</w:t>
      </w:r>
      <w:r w:rsidR="00D85581">
        <w:rPr>
          <w:lang w:eastAsia="ja-JP"/>
        </w:rPr>
        <w:t xml:space="preserve"> </w:t>
      </w:r>
      <w:r w:rsidR="000722C6" w:rsidRPr="002975DD">
        <w:t>The resulting damage to affected cells</w:t>
      </w:r>
      <w:r w:rsidR="000722C6">
        <w:t xml:space="preserve"> </w:t>
      </w:r>
      <w:r w:rsidR="000722C6" w:rsidRPr="002975DD">
        <w:t>produces a range of symptoms that characteri</w:t>
      </w:r>
      <w:r w:rsidR="000722C6">
        <w:t>s</w:t>
      </w:r>
      <w:r w:rsidR="000722C6" w:rsidRPr="002975DD">
        <w:t>e Pompe disease, including metabolic myopathy</w:t>
      </w:r>
      <w:r w:rsidR="000722C6">
        <w:t xml:space="preserve"> </w:t>
      </w:r>
      <w:r w:rsidR="000722C6" w:rsidRPr="002975DD">
        <w:t>leading to neuromuscular dysfunction.</w:t>
      </w:r>
      <w:bookmarkStart w:id="13" w:name="_Ref110503851"/>
      <w:r w:rsidR="005814A4">
        <w:rPr>
          <w:rStyle w:val="FootnoteReference"/>
        </w:rPr>
        <w:footnoteReference w:id="3"/>
      </w:r>
      <w:bookmarkEnd w:id="13"/>
    </w:p>
    <w:p w14:paraId="56792ECC" w14:textId="7FD131ED" w:rsidR="00D85581" w:rsidRDefault="00D85581" w:rsidP="00D85581">
      <w:r w:rsidRPr="00F30961">
        <w:t xml:space="preserve">As over 500 mutations of </w:t>
      </w:r>
      <w:r w:rsidRPr="00520DD5">
        <w:rPr>
          <w:i/>
        </w:rPr>
        <w:t>GAA</w:t>
      </w:r>
      <w:r>
        <w:rPr>
          <w:i/>
        </w:rPr>
        <w:t xml:space="preserve"> </w:t>
      </w:r>
      <w:r>
        <w:t>gene have been identified</w:t>
      </w:r>
      <w:r w:rsidRPr="00F30961">
        <w:t>, including missense,</w:t>
      </w:r>
      <w:r>
        <w:t xml:space="preserve"> </w:t>
      </w:r>
      <w:r w:rsidRPr="00F30961">
        <w:t>nonsense, splicing defect, and frameshift mutations, each patient</w:t>
      </w:r>
      <w:r>
        <w:t xml:space="preserve"> </w:t>
      </w:r>
      <w:r w:rsidRPr="00F30961">
        <w:t xml:space="preserve">typically has a combination of </w:t>
      </w:r>
      <w:r>
        <w:t>two</w:t>
      </w:r>
      <w:r w:rsidRPr="00F30961">
        <w:t xml:space="preserve"> different affected alleles</w:t>
      </w:r>
      <w:r>
        <w:t xml:space="preserve">. The resultant </w:t>
      </w:r>
      <w:r w:rsidRPr="00F30961">
        <w:t>clinical presentation of Pompe disease</w:t>
      </w:r>
      <w:r>
        <w:t xml:space="preserve"> </w:t>
      </w:r>
      <w:r w:rsidRPr="00F30961">
        <w:t xml:space="preserve">is heterogeneous in timing, severity, and </w:t>
      </w:r>
      <w:r>
        <w:t xml:space="preserve">the </w:t>
      </w:r>
      <w:r w:rsidRPr="00F30961">
        <w:t>ranges of symptoms observed</w:t>
      </w:r>
      <w:r>
        <w:t>; and Pompe disease encompasses a broad range of clinical presentations, broadly based on the severity of enzyme deficiency.</w:t>
      </w:r>
      <w:r w:rsidR="005814A4" w:rsidRPr="005814A4">
        <w:rPr>
          <w:vertAlign w:val="superscript"/>
        </w:rPr>
        <w:fldChar w:fldCharType="begin"/>
      </w:r>
      <w:r w:rsidR="005814A4" w:rsidRPr="005814A4">
        <w:rPr>
          <w:vertAlign w:val="superscript"/>
        </w:rPr>
        <w:instrText xml:space="preserve"> NOTEREF _Ref110503847 \h </w:instrText>
      </w:r>
      <w:r w:rsidR="005814A4">
        <w:rPr>
          <w:vertAlign w:val="superscript"/>
        </w:rPr>
        <w:instrText xml:space="preserve"> \* MERGEFORMAT </w:instrText>
      </w:r>
      <w:r w:rsidR="005814A4" w:rsidRPr="005814A4">
        <w:rPr>
          <w:vertAlign w:val="superscript"/>
        </w:rPr>
      </w:r>
      <w:r w:rsidR="005814A4" w:rsidRPr="005814A4">
        <w:rPr>
          <w:vertAlign w:val="superscript"/>
        </w:rPr>
        <w:fldChar w:fldCharType="separate"/>
      </w:r>
      <w:r w:rsidR="005814A4" w:rsidRPr="005814A4">
        <w:rPr>
          <w:vertAlign w:val="superscript"/>
        </w:rPr>
        <w:t>1</w:t>
      </w:r>
      <w:r w:rsidR="005814A4" w:rsidRPr="005814A4">
        <w:rPr>
          <w:vertAlign w:val="superscript"/>
        </w:rPr>
        <w:fldChar w:fldCharType="end"/>
      </w:r>
      <w:r w:rsidR="005814A4" w:rsidRPr="005814A4">
        <w:rPr>
          <w:vertAlign w:val="superscript"/>
        </w:rPr>
        <w:t>,</w:t>
      </w:r>
      <w:r w:rsidR="005814A4" w:rsidRPr="005814A4">
        <w:rPr>
          <w:vertAlign w:val="superscript"/>
        </w:rPr>
        <w:fldChar w:fldCharType="begin"/>
      </w:r>
      <w:r w:rsidR="005814A4" w:rsidRPr="005814A4">
        <w:rPr>
          <w:vertAlign w:val="superscript"/>
        </w:rPr>
        <w:instrText xml:space="preserve"> NOTEREF _Ref110503851 \h </w:instrText>
      </w:r>
      <w:r w:rsidR="005814A4">
        <w:rPr>
          <w:vertAlign w:val="superscript"/>
        </w:rPr>
        <w:instrText xml:space="preserve"> \* MERGEFORMAT </w:instrText>
      </w:r>
      <w:r w:rsidR="005814A4" w:rsidRPr="005814A4">
        <w:rPr>
          <w:vertAlign w:val="superscript"/>
        </w:rPr>
      </w:r>
      <w:r w:rsidR="005814A4" w:rsidRPr="005814A4">
        <w:rPr>
          <w:vertAlign w:val="superscript"/>
        </w:rPr>
        <w:fldChar w:fldCharType="separate"/>
      </w:r>
      <w:r w:rsidR="005814A4" w:rsidRPr="005814A4">
        <w:rPr>
          <w:vertAlign w:val="superscript"/>
        </w:rPr>
        <w:t>2</w:t>
      </w:r>
      <w:r w:rsidR="005814A4" w:rsidRPr="005814A4">
        <w:rPr>
          <w:vertAlign w:val="superscript"/>
        </w:rPr>
        <w:fldChar w:fldCharType="end"/>
      </w:r>
    </w:p>
    <w:p w14:paraId="08F6169F" w14:textId="148C0853" w:rsidR="00CD3FD7" w:rsidRDefault="00CD3FD7" w:rsidP="00D85581">
      <w:r w:rsidRPr="00D821B5">
        <w:t>In untreated patients, un</w:t>
      </w:r>
      <w:r w:rsidR="00DA1A47">
        <w:t>-</w:t>
      </w:r>
      <w:r w:rsidRPr="00D821B5">
        <w:t>degraded glycogen</w:t>
      </w:r>
      <w:r>
        <w:t xml:space="preserve"> </w:t>
      </w:r>
      <w:r w:rsidRPr="00D821B5">
        <w:t xml:space="preserve">accumulates in </w:t>
      </w:r>
      <w:r>
        <w:t xml:space="preserve">the </w:t>
      </w:r>
      <w:r w:rsidRPr="00D821B5">
        <w:t>diaphragm and respiratory muscles, and respiratory function declines over time,</w:t>
      </w:r>
      <w:r>
        <w:t xml:space="preserve"> </w:t>
      </w:r>
      <w:r w:rsidRPr="00D821B5">
        <w:t xml:space="preserve">leading to dependence </w:t>
      </w:r>
      <w:r>
        <w:t>on</w:t>
      </w:r>
      <w:r w:rsidRPr="00D821B5">
        <w:t xml:space="preserve"> external ventilation and, ultimately, to respiratory failure</w:t>
      </w:r>
      <w:r>
        <w:t>.</w:t>
      </w:r>
      <w:r w:rsidRPr="00D821B5">
        <w:t xml:space="preserve"> Glycogen also accumulates in</w:t>
      </w:r>
      <w:r>
        <w:t xml:space="preserve"> </w:t>
      </w:r>
      <w:r w:rsidRPr="00D821B5">
        <w:t>skeletal muscles, and motor function declines over time, leading to problems with activities of</w:t>
      </w:r>
      <w:r>
        <w:t xml:space="preserve"> </w:t>
      </w:r>
      <w:r w:rsidRPr="00D821B5">
        <w:t>daily living, reduced mobility, and eventually wheelchair dependence. Quality of life is</w:t>
      </w:r>
      <w:r>
        <w:t xml:space="preserve"> </w:t>
      </w:r>
      <w:r w:rsidRPr="00D821B5">
        <w:t>severely affected by the burden of the disease and patients have higher mortality rates compared</w:t>
      </w:r>
      <w:r>
        <w:t xml:space="preserve"> </w:t>
      </w:r>
      <w:r w:rsidRPr="00D821B5">
        <w:t>with the general age and gender</w:t>
      </w:r>
      <w:r>
        <w:t xml:space="preserve"> </w:t>
      </w:r>
      <w:r w:rsidRPr="00D821B5">
        <w:t>matched healthy population.</w:t>
      </w:r>
      <w:r w:rsidR="005814A4" w:rsidRPr="005814A4">
        <w:rPr>
          <w:vertAlign w:val="superscript"/>
        </w:rPr>
        <w:fldChar w:fldCharType="begin"/>
      </w:r>
      <w:r w:rsidR="005814A4" w:rsidRPr="005814A4">
        <w:rPr>
          <w:vertAlign w:val="superscript"/>
        </w:rPr>
        <w:instrText xml:space="preserve"> NOTEREF _Ref110503851 \h </w:instrText>
      </w:r>
      <w:r w:rsidR="005814A4">
        <w:rPr>
          <w:vertAlign w:val="superscript"/>
        </w:rPr>
        <w:instrText xml:space="preserve"> \* MERGEFORMAT </w:instrText>
      </w:r>
      <w:r w:rsidR="005814A4" w:rsidRPr="005814A4">
        <w:rPr>
          <w:vertAlign w:val="superscript"/>
        </w:rPr>
      </w:r>
      <w:r w:rsidR="005814A4" w:rsidRPr="005814A4">
        <w:rPr>
          <w:vertAlign w:val="superscript"/>
        </w:rPr>
        <w:fldChar w:fldCharType="separate"/>
      </w:r>
      <w:r w:rsidR="005814A4" w:rsidRPr="005814A4">
        <w:rPr>
          <w:vertAlign w:val="superscript"/>
        </w:rPr>
        <w:t>2</w:t>
      </w:r>
      <w:r w:rsidR="005814A4" w:rsidRPr="005814A4">
        <w:rPr>
          <w:vertAlign w:val="superscript"/>
        </w:rPr>
        <w:fldChar w:fldCharType="end"/>
      </w:r>
    </w:p>
    <w:p w14:paraId="527A74D5" w14:textId="57415DC1" w:rsidR="00D85581" w:rsidRDefault="00D85581" w:rsidP="000722C6">
      <w:pPr>
        <w:rPr>
          <w:lang w:eastAsia="ja-JP"/>
        </w:rPr>
      </w:pPr>
      <w:r>
        <w:rPr>
          <w:lang w:eastAsia="ja-JP"/>
        </w:rPr>
        <w:lastRenderedPageBreak/>
        <w:t>Although the disease manifests as a broad spectrum with a continuum of signs and symptoms, t</w:t>
      </w:r>
      <w:r w:rsidR="000722C6">
        <w:rPr>
          <w:lang w:eastAsia="ja-JP"/>
        </w:rPr>
        <w:t>he most common classific</w:t>
      </w:r>
      <w:r w:rsidR="00CD3FD7">
        <w:rPr>
          <w:lang w:eastAsia="ja-JP"/>
        </w:rPr>
        <w:t>ation of the condition splits Pompe disease into</w:t>
      </w:r>
      <w:r>
        <w:rPr>
          <w:lang w:eastAsia="ja-JP"/>
        </w:rPr>
        <w:t xml:space="preserve"> ‘infantile-onset’ Pompe disease (</w:t>
      </w:r>
      <w:r w:rsidR="00DA1A47">
        <w:rPr>
          <w:lang w:eastAsia="ja-JP"/>
        </w:rPr>
        <w:t>IOPD</w:t>
      </w:r>
      <w:r>
        <w:rPr>
          <w:lang w:eastAsia="ja-JP"/>
        </w:rPr>
        <w:t>), characterised by a rapidly progressive infantile onset form; and ‘late-onset’ Pompe disease (</w:t>
      </w:r>
      <w:r w:rsidR="00E00595">
        <w:rPr>
          <w:lang w:eastAsia="ja-JP"/>
        </w:rPr>
        <w:t>late onset Pompe disease</w:t>
      </w:r>
      <w:r>
        <w:rPr>
          <w:lang w:eastAsia="ja-JP"/>
        </w:rPr>
        <w:t>), a more slowly progressive form</w:t>
      </w:r>
      <w:r w:rsidR="00CD3FD7">
        <w:rPr>
          <w:lang w:eastAsia="ja-JP"/>
        </w:rPr>
        <w:t>. Despite this categorisation, there is considerable variation and much overlap between these two extremes.</w:t>
      </w:r>
    </w:p>
    <w:p w14:paraId="61446C1A" w14:textId="002441F9" w:rsidR="00CD3FD7" w:rsidRDefault="00DA1A47" w:rsidP="000722C6">
      <w:pPr>
        <w:rPr>
          <w:lang w:eastAsia="ja-JP"/>
        </w:rPr>
      </w:pPr>
      <w:r>
        <w:t xml:space="preserve">The classical infantile form, </w:t>
      </w:r>
      <w:r w:rsidR="00CD3FD7" w:rsidRPr="00F30961">
        <w:t>which represents up to one third of the cases, presents in the first months</w:t>
      </w:r>
      <w:r w:rsidR="00CD3FD7">
        <w:t xml:space="preserve"> </w:t>
      </w:r>
      <w:r w:rsidR="00CD3FD7" w:rsidRPr="00F30961">
        <w:t>of life and is characteri</w:t>
      </w:r>
      <w:r w:rsidR="00CD3FD7">
        <w:t>s</w:t>
      </w:r>
      <w:r w:rsidR="00CD3FD7" w:rsidRPr="00F30961">
        <w:t>ed by severe</w:t>
      </w:r>
      <w:r w:rsidR="00CD3FD7">
        <w:t xml:space="preserve"> hypertrophic</w:t>
      </w:r>
      <w:r w:rsidR="00CD3FD7" w:rsidRPr="00F30961">
        <w:t xml:space="preserve"> cardiomyopathy</w:t>
      </w:r>
      <w:r w:rsidR="00CD3FD7">
        <w:t>, severe generalised muscular hypotonia</w:t>
      </w:r>
      <w:r w:rsidR="00CD3FD7" w:rsidRPr="00F30961">
        <w:t xml:space="preserve"> and respiratory failure, and without</w:t>
      </w:r>
      <w:r w:rsidR="00CD3FD7">
        <w:t xml:space="preserve"> </w:t>
      </w:r>
      <w:r w:rsidR="00CD3FD7" w:rsidRPr="00F30961">
        <w:t>treatment, leads to death within the first year.</w:t>
      </w:r>
      <w:r w:rsidR="00CD3FD7">
        <w:rPr>
          <w:rStyle w:val="FootnoteReference"/>
        </w:rPr>
        <w:footnoteReference w:id="4"/>
      </w:r>
      <w:r w:rsidR="00CD3FD7">
        <w:t xml:space="preserve"> </w:t>
      </w:r>
      <w:r w:rsidR="000722C6" w:rsidRPr="0044329A">
        <w:rPr>
          <w:lang w:eastAsia="ja-JP"/>
        </w:rPr>
        <w:t>Clinical findings present at a median age of approximately four months, inc</w:t>
      </w:r>
      <w:r w:rsidR="000722C6">
        <w:rPr>
          <w:lang w:eastAsia="ja-JP"/>
        </w:rPr>
        <w:t>luding cardiomegaly</w:t>
      </w:r>
      <w:r w:rsidR="000722C6" w:rsidRPr="0044329A">
        <w:rPr>
          <w:lang w:eastAsia="ja-JP"/>
        </w:rPr>
        <w:t>,</w:t>
      </w:r>
      <w:r w:rsidR="000722C6">
        <w:rPr>
          <w:lang w:eastAsia="ja-JP"/>
        </w:rPr>
        <w:t xml:space="preserve"> respiratory distress, muscle weakness</w:t>
      </w:r>
      <w:r w:rsidR="000722C6" w:rsidRPr="0044329A">
        <w:rPr>
          <w:lang w:eastAsia="ja-JP"/>
        </w:rPr>
        <w:t>, f</w:t>
      </w:r>
      <w:r w:rsidR="000722C6">
        <w:rPr>
          <w:lang w:eastAsia="ja-JP"/>
        </w:rPr>
        <w:t>eeding difficulties</w:t>
      </w:r>
      <w:r w:rsidR="000722C6" w:rsidRPr="0044329A">
        <w:rPr>
          <w:lang w:eastAsia="ja-JP"/>
        </w:rPr>
        <w:t>, and failure t</w:t>
      </w:r>
      <w:r w:rsidR="000722C6">
        <w:rPr>
          <w:lang w:eastAsia="ja-JP"/>
        </w:rPr>
        <w:t>o thrive</w:t>
      </w:r>
      <w:r w:rsidR="00CD3FD7">
        <w:rPr>
          <w:lang w:eastAsia="ja-JP"/>
        </w:rPr>
        <w:t>.</w:t>
      </w:r>
    </w:p>
    <w:p w14:paraId="2B35FA5A" w14:textId="09CF87C9" w:rsidR="000722C6" w:rsidRPr="00A84A57" w:rsidRDefault="000722C6" w:rsidP="000722C6">
      <w:r w:rsidRPr="0044329A">
        <w:rPr>
          <w:lang w:eastAsia="ja-JP"/>
        </w:rPr>
        <w:t xml:space="preserve">Patients with </w:t>
      </w:r>
      <w:r w:rsidR="00DA1A47">
        <w:rPr>
          <w:lang w:eastAsia="ja-JP"/>
        </w:rPr>
        <w:t xml:space="preserve">the late-onset form of </w:t>
      </w:r>
      <w:r w:rsidR="00E00595">
        <w:rPr>
          <w:lang w:eastAsia="ja-JP"/>
        </w:rPr>
        <w:t>Pompe disease</w:t>
      </w:r>
      <w:r>
        <w:rPr>
          <w:lang w:eastAsia="ja-JP"/>
        </w:rPr>
        <w:t xml:space="preserve"> generally</w:t>
      </w:r>
      <w:r w:rsidRPr="0044329A">
        <w:rPr>
          <w:lang w:eastAsia="ja-JP"/>
        </w:rPr>
        <w:t xml:space="preserve"> do not develop cardiomyopathy and may present at any age</w:t>
      </w:r>
      <w:r>
        <w:rPr>
          <w:lang w:eastAsia="ja-JP"/>
        </w:rPr>
        <w:t>, with symptoms of varying severity</w:t>
      </w:r>
      <w:r w:rsidRPr="0044329A">
        <w:rPr>
          <w:lang w:eastAsia="ja-JP"/>
        </w:rPr>
        <w:t>. Affected children usu</w:t>
      </w:r>
      <w:r w:rsidR="00CD3FD7">
        <w:rPr>
          <w:lang w:eastAsia="ja-JP"/>
        </w:rPr>
        <w:t>ally present with delayed gross</w:t>
      </w:r>
      <w:r w:rsidR="00CD3FD7">
        <w:rPr>
          <w:lang w:eastAsia="ja-JP"/>
        </w:rPr>
        <w:noBreakHyphen/>
      </w:r>
      <w:r w:rsidRPr="0044329A">
        <w:rPr>
          <w:lang w:eastAsia="ja-JP"/>
        </w:rPr>
        <w:t>motor development and progressive weakness</w:t>
      </w:r>
      <w:r>
        <w:rPr>
          <w:lang w:eastAsia="ja-JP"/>
        </w:rPr>
        <w:t xml:space="preserve"> in a limb-girdle distribution</w:t>
      </w:r>
      <w:r w:rsidRPr="0044329A">
        <w:rPr>
          <w:lang w:eastAsia="ja-JP"/>
        </w:rPr>
        <w:t>. Early involvement of the diaphragm is a common feature, and sleep-</w:t>
      </w:r>
      <w:r>
        <w:rPr>
          <w:lang w:eastAsia="ja-JP"/>
        </w:rPr>
        <w:t>disordered breathing may occur</w:t>
      </w:r>
      <w:r w:rsidRPr="0044329A">
        <w:rPr>
          <w:lang w:eastAsia="ja-JP"/>
        </w:rPr>
        <w:t>. This usually leads to respiratory failure and death in the second or third decade of life.</w:t>
      </w:r>
      <w:r w:rsidRPr="004A7A9F">
        <w:rPr>
          <w:rFonts w:ascii="Helvetica" w:hAnsi="Helvetica"/>
          <w:color w:val="232323"/>
          <w:shd w:val="clear" w:color="auto" w:fill="FFFFFF"/>
        </w:rPr>
        <w:t xml:space="preserve"> </w:t>
      </w:r>
      <w:r w:rsidRPr="004A7A9F">
        <w:rPr>
          <w:lang w:eastAsia="ja-JP"/>
        </w:rPr>
        <w:t xml:space="preserve">Affected adults with </w:t>
      </w:r>
      <w:r w:rsidR="00E00595">
        <w:rPr>
          <w:lang w:eastAsia="ja-JP"/>
        </w:rPr>
        <w:t>late</w:t>
      </w:r>
      <w:r w:rsidR="00B960DC">
        <w:rPr>
          <w:lang w:eastAsia="ja-JP"/>
        </w:rPr>
        <w:t>-</w:t>
      </w:r>
      <w:r w:rsidR="00E00595">
        <w:rPr>
          <w:lang w:eastAsia="ja-JP"/>
        </w:rPr>
        <w:t xml:space="preserve">onset </w:t>
      </w:r>
      <w:proofErr w:type="spellStart"/>
      <w:r w:rsidR="00E00595">
        <w:rPr>
          <w:lang w:eastAsia="ja-JP"/>
        </w:rPr>
        <w:t>Pompe</w:t>
      </w:r>
      <w:proofErr w:type="spellEnd"/>
      <w:r w:rsidR="00E00595">
        <w:rPr>
          <w:lang w:eastAsia="ja-JP"/>
        </w:rPr>
        <w:t xml:space="preserve"> disease</w:t>
      </w:r>
      <w:r w:rsidRPr="004A7A9F">
        <w:rPr>
          <w:lang w:eastAsia="ja-JP"/>
        </w:rPr>
        <w:t xml:space="preserve"> also present with progressive, proximal weakness in a limb-girdle distribution, particularly the hip flexors in the </w:t>
      </w:r>
      <w:r>
        <w:rPr>
          <w:lang w:eastAsia="ja-JP"/>
        </w:rPr>
        <w:t>earliest stages of the disease</w:t>
      </w:r>
      <w:r w:rsidRPr="004A7A9F">
        <w:rPr>
          <w:lang w:eastAsia="ja-JP"/>
        </w:rPr>
        <w:t>. The weakness is accompanied by diaphragmatic involvement, leading to respiratory insufficiency early in the course of the disease</w:t>
      </w:r>
      <w:r>
        <w:rPr>
          <w:lang w:eastAsia="ja-JP"/>
        </w:rPr>
        <w:t>.</w:t>
      </w:r>
      <w:r w:rsidRPr="004A7A9F">
        <w:rPr>
          <w:lang w:eastAsia="ja-JP"/>
        </w:rPr>
        <w:t> </w:t>
      </w:r>
    </w:p>
    <w:p w14:paraId="1BA59664" w14:textId="6F70AB9D" w:rsidR="0085333D" w:rsidRPr="00520DD5" w:rsidRDefault="0085333D" w:rsidP="005814A4">
      <w:pPr>
        <w:rPr>
          <w:vertAlign w:val="superscript"/>
        </w:rPr>
      </w:pPr>
      <w:proofErr w:type="gramStart"/>
      <w:r w:rsidRPr="00CE669A">
        <w:t>The majority of</w:t>
      </w:r>
      <w:proofErr w:type="gramEnd"/>
      <w:r w:rsidRPr="00CE669A">
        <w:t xml:space="preserve"> patients with Pompe disease</w:t>
      </w:r>
      <w:r>
        <w:t xml:space="preserve"> </w:t>
      </w:r>
      <w:r w:rsidRPr="00CE669A">
        <w:t xml:space="preserve">present after infancy with </w:t>
      </w:r>
      <w:r w:rsidR="00E00595">
        <w:t>late</w:t>
      </w:r>
      <w:r w:rsidR="001D42C4">
        <w:t>-</w:t>
      </w:r>
      <w:r w:rsidR="00E00595">
        <w:t xml:space="preserve">onset </w:t>
      </w:r>
      <w:proofErr w:type="spellStart"/>
      <w:r w:rsidR="00E00595">
        <w:t>Pompe</w:t>
      </w:r>
      <w:proofErr w:type="spellEnd"/>
      <w:r w:rsidR="00E00595">
        <w:t xml:space="preserve"> disease</w:t>
      </w:r>
      <w:r w:rsidRPr="00CE669A">
        <w:t xml:space="preserve"> which takes </w:t>
      </w:r>
      <w:r>
        <w:t xml:space="preserve">a </w:t>
      </w:r>
      <w:r w:rsidRPr="00CE669A">
        <w:t>more variable course as</w:t>
      </w:r>
      <w:r>
        <w:t xml:space="preserve"> </w:t>
      </w:r>
      <w:r w:rsidRPr="00CE669A">
        <w:t xml:space="preserve">compared </w:t>
      </w:r>
      <w:r>
        <w:t>with</w:t>
      </w:r>
      <w:r w:rsidRPr="00CE669A">
        <w:t xml:space="preserve"> </w:t>
      </w:r>
      <w:r w:rsidR="00DA1A47">
        <w:t>infantile</w:t>
      </w:r>
      <w:r w:rsidR="002B42E9">
        <w:t>-</w:t>
      </w:r>
      <w:r w:rsidR="00E00595">
        <w:t xml:space="preserve">onset </w:t>
      </w:r>
      <w:proofErr w:type="spellStart"/>
      <w:r w:rsidR="00E00595">
        <w:t>Pompe</w:t>
      </w:r>
      <w:proofErr w:type="spellEnd"/>
      <w:r w:rsidR="00E00595">
        <w:t xml:space="preserve"> disease</w:t>
      </w:r>
      <w:r w:rsidRPr="00CE669A">
        <w:t>. Although Pompe disease manifestations vary between individuals,</w:t>
      </w:r>
      <w:r>
        <w:t xml:space="preserve"> </w:t>
      </w:r>
      <w:r w:rsidRPr="00CE669A">
        <w:t xml:space="preserve">studies in both </w:t>
      </w:r>
      <w:r w:rsidR="00DA1A47">
        <w:t>infantile</w:t>
      </w:r>
      <w:r w:rsidR="002B42E9">
        <w:t>-</w:t>
      </w:r>
      <w:r w:rsidR="00E00595">
        <w:t xml:space="preserve">onset </w:t>
      </w:r>
      <w:r w:rsidRPr="005814A4">
        <w:t>and</w:t>
      </w:r>
      <w:r w:rsidRPr="00CE669A">
        <w:t xml:space="preserve"> </w:t>
      </w:r>
      <w:r w:rsidR="00E00595">
        <w:t>late</w:t>
      </w:r>
      <w:r w:rsidR="002B42E9">
        <w:t>-</w:t>
      </w:r>
      <w:r w:rsidR="00E00595">
        <w:t xml:space="preserve">onset </w:t>
      </w:r>
      <w:proofErr w:type="spellStart"/>
      <w:r w:rsidR="00E00595">
        <w:t>Pompe</w:t>
      </w:r>
      <w:proofErr w:type="spellEnd"/>
      <w:r w:rsidR="00E00595">
        <w:t xml:space="preserve"> disease</w:t>
      </w:r>
      <w:r w:rsidRPr="00CE669A">
        <w:t xml:space="preserve"> patients</w:t>
      </w:r>
      <w:r>
        <w:t xml:space="preserve"> </w:t>
      </w:r>
      <w:r w:rsidRPr="00CE669A">
        <w:t>have confirmed that respiratory failure precedes death</w:t>
      </w:r>
      <w:r>
        <w:t xml:space="preserve"> </w:t>
      </w:r>
      <w:r w:rsidRPr="00CE669A">
        <w:t>in nearly all subjects. Indeed, the most common cause of death in patients with Pompe disease,</w:t>
      </w:r>
      <w:r>
        <w:t xml:space="preserve"> </w:t>
      </w:r>
      <w:r w:rsidRPr="00CE669A">
        <w:t>regardless of age of disease onset and/or the severity of skeletal muscle weakness, is respiratory</w:t>
      </w:r>
      <w:r>
        <w:t xml:space="preserve"> </w:t>
      </w:r>
      <w:r w:rsidR="00520DD5">
        <w:t>failure.</w:t>
      </w:r>
      <w:bookmarkStart w:id="14" w:name="_Ref110501476"/>
      <w:r w:rsidR="00520DD5">
        <w:rPr>
          <w:rStyle w:val="FootnoteReference"/>
        </w:rPr>
        <w:footnoteReference w:id="5"/>
      </w:r>
      <w:bookmarkEnd w:id="14"/>
      <w:r w:rsidR="00520DD5">
        <w:rPr>
          <w:vertAlign w:val="superscript"/>
        </w:rPr>
        <w:t>,</w:t>
      </w:r>
      <w:r w:rsidR="00520DD5">
        <w:rPr>
          <w:rStyle w:val="FootnoteReference"/>
        </w:rPr>
        <w:footnoteReference w:id="6"/>
      </w:r>
    </w:p>
    <w:p w14:paraId="3A872B1B" w14:textId="58B52FB2" w:rsidR="0085333D" w:rsidRPr="00CD3FD7" w:rsidRDefault="0085333D" w:rsidP="00CD3FD7">
      <w:r w:rsidRPr="005B0646">
        <w:t xml:space="preserve">The estimated global </w:t>
      </w:r>
      <w:r w:rsidR="00CD3FD7">
        <w:t xml:space="preserve">incidence of Pompe disease is 1 in </w:t>
      </w:r>
      <w:r w:rsidRPr="005B0646">
        <w:t>40</w:t>
      </w:r>
      <w:r>
        <w:t>,</w:t>
      </w:r>
      <w:r w:rsidRPr="005B0646">
        <w:t>000, with variations in incidence</w:t>
      </w:r>
      <w:r>
        <w:t xml:space="preserve"> </w:t>
      </w:r>
      <w:r w:rsidRPr="005B0646">
        <w:t>reported between different ethnic groups and clinical forms</w:t>
      </w:r>
      <w:r>
        <w:t>. The highest incidence is in African Am</w:t>
      </w:r>
      <w:r w:rsidR="00520DD5">
        <w:t>erican and Chinese populations.</w:t>
      </w:r>
      <w:r w:rsidR="00520DD5" w:rsidRPr="00520DD5">
        <w:rPr>
          <w:vertAlign w:val="superscript"/>
        </w:rPr>
        <w:fldChar w:fldCharType="begin"/>
      </w:r>
      <w:r w:rsidR="00520DD5" w:rsidRPr="00520DD5">
        <w:rPr>
          <w:vertAlign w:val="superscript"/>
        </w:rPr>
        <w:instrText xml:space="preserve"> NOTEREF _Ref110501476 \h </w:instrText>
      </w:r>
      <w:r w:rsidR="00520DD5">
        <w:rPr>
          <w:vertAlign w:val="superscript"/>
        </w:rPr>
        <w:instrText xml:space="preserve"> \* MERGEFORMAT </w:instrText>
      </w:r>
      <w:r w:rsidR="00520DD5" w:rsidRPr="00520DD5">
        <w:rPr>
          <w:vertAlign w:val="superscript"/>
        </w:rPr>
      </w:r>
      <w:r w:rsidR="00520DD5" w:rsidRPr="00520DD5">
        <w:rPr>
          <w:vertAlign w:val="superscript"/>
        </w:rPr>
        <w:fldChar w:fldCharType="separate"/>
      </w:r>
      <w:r w:rsidR="00520DD5" w:rsidRPr="00520DD5">
        <w:rPr>
          <w:vertAlign w:val="superscript"/>
        </w:rPr>
        <w:t>3</w:t>
      </w:r>
      <w:r w:rsidR="00520DD5" w:rsidRPr="00520DD5">
        <w:rPr>
          <w:vertAlign w:val="superscript"/>
        </w:rPr>
        <w:fldChar w:fldCharType="end"/>
      </w:r>
      <w:r w:rsidR="00CD3FD7">
        <w:rPr>
          <w:vertAlign w:val="superscript"/>
        </w:rPr>
        <w:t xml:space="preserve"> </w:t>
      </w:r>
      <w:r w:rsidR="00CD3FD7">
        <w:t xml:space="preserve">According to the Australian Pompe </w:t>
      </w:r>
      <w:r w:rsidR="005814A4">
        <w:t>Association, there are less than 70 Australians with Pompe disease, and in Australia, three infants are born with Pompe disease each year.</w:t>
      </w:r>
      <w:r w:rsidR="005814A4">
        <w:rPr>
          <w:rStyle w:val="FootnoteReference"/>
        </w:rPr>
        <w:footnoteReference w:id="7"/>
      </w:r>
    </w:p>
    <w:p w14:paraId="6E8D8E29" w14:textId="77777777" w:rsidR="0085333D" w:rsidRDefault="0085333D" w:rsidP="005814A4">
      <w:pPr>
        <w:pStyle w:val="Heading4"/>
      </w:pPr>
      <w:bookmarkStart w:id="15" w:name="_Toc64207565"/>
      <w:r>
        <w:t>Current treatment options</w:t>
      </w:r>
      <w:bookmarkEnd w:id="15"/>
    </w:p>
    <w:p w14:paraId="4793B58D" w14:textId="1BB6B276" w:rsidR="0085333D" w:rsidRDefault="0085333D" w:rsidP="005814A4">
      <w:r w:rsidRPr="00D821B5">
        <w:t xml:space="preserve">Therapeutic options for patients with Pompe disease are limited to </w:t>
      </w:r>
      <w:r>
        <w:t>enzyme replacement therapy</w:t>
      </w:r>
      <w:r w:rsidRPr="00D821B5">
        <w:t xml:space="preserve"> </w:t>
      </w:r>
      <w:r>
        <w:t>(</w:t>
      </w:r>
      <w:r w:rsidRPr="00D821B5">
        <w:t>ERT</w:t>
      </w:r>
      <w:r w:rsidR="0062193F">
        <w:t>) with alglucosidase alfa</w:t>
      </w:r>
      <w:r>
        <w:t xml:space="preserve">. </w:t>
      </w:r>
      <w:r w:rsidRPr="00686D3B">
        <w:t xml:space="preserve">The </w:t>
      </w:r>
      <w:r w:rsidRPr="00520DD5">
        <w:t>rationale</w:t>
      </w:r>
      <w:r w:rsidRPr="00686D3B">
        <w:t xml:space="preserve"> for ERT in lysosomal storage disorders in general, and Pompe </w:t>
      </w:r>
      <w:proofErr w:type="gramStart"/>
      <w:r w:rsidRPr="00686D3B">
        <w:t>disease in particular,</w:t>
      </w:r>
      <w:r>
        <w:t xml:space="preserve"> </w:t>
      </w:r>
      <w:r w:rsidRPr="00686D3B">
        <w:t>is</w:t>
      </w:r>
      <w:proofErr w:type="gramEnd"/>
      <w:r w:rsidRPr="00686D3B">
        <w:t xml:space="preserve"> that lysosomes are accessible to exogenous or extracellular proteins</w:t>
      </w:r>
      <w:r>
        <w:t>.</w:t>
      </w:r>
    </w:p>
    <w:p w14:paraId="2B04369B" w14:textId="50749E5F" w:rsidR="003C31AC" w:rsidRDefault="0062193F" w:rsidP="005814A4">
      <w:r>
        <w:lastRenderedPageBreak/>
        <w:t xml:space="preserve">In </w:t>
      </w:r>
      <w:proofErr w:type="gramStart"/>
      <w:r>
        <w:t xml:space="preserve">Australia, </w:t>
      </w:r>
      <w:r w:rsidR="00A63AF3">
        <w:t xml:space="preserve"> </w:t>
      </w:r>
      <w:r>
        <w:t>Myozyme</w:t>
      </w:r>
      <w:proofErr w:type="gramEnd"/>
      <w:r>
        <w:t xml:space="preserve"> (alglu</w:t>
      </w:r>
      <w:r w:rsidR="00DA1A47">
        <w:t>cosidase alfa</w:t>
      </w:r>
      <w:r w:rsidR="003C31AC">
        <w:t xml:space="preserve">) is </w:t>
      </w:r>
      <w:r w:rsidR="00A63AF3">
        <w:t xml:space="preserve">another product working by the same mechanism (enzyme replacement therapy) and has been </w:t>
      </w:r>
      <w:r w:rsidR="003C31AC">
        <w:t xml:space="preserve">registered on the Australian Register of Therapeutic Goods </w:t>
      </w:r>
      <w:r w:rsidR="00DA1A47">
        <w:t xml:space="preserve">(ARTG) </w:t>
      </w:r>
      <w:r w:rsidR="003C31AC">
        <w:t>for the following approved indication:</w:t>
      </w:r>
      <w:r w:rsidR="003C31AC" w:rsidRPr="003C31AC">
        <w:rPr>
          <w:rStyle w:val="FootnoteReference"/>
          <w:i/>
        </w:rPr>
        <w:t xml:space="preserve"> </w:t>
      </w:r>
      <w:bookmarkStart w:id="16" w:name="_Ref117342450"/>
      <w:r w:rsidR="003C31AC" w:rsidRPr="003C31AC">
        <w:rPr>
          <w:rStyle w:val="FootnoteReference"/>
          <w:i/>
        </w:rPr>
        <w:footnoteReference w:id="8"/>
      </w:r>
      <w:bookmarkEnd w:id="16"/>
    </w:p>
    <w:p w14:paraId="64C7B3BE" w14:textId="63AD05CD" w:rsidR="003C31AC" w:rsidRDefault="003C31AC" w:rsidP="003C31AC">
      <w:pPr>
        <w:ind w:left="720"/>
        <w:rPr>
          <w:i/>
        </w:rPr>
      </w:pPr>
      <w:proofErr w:type="spellStart"/>
      <w:r w:rsidRPr="003C31AC">
        <w:rPr>
          <w:i/>
        </w:rPr>
        <w:t>Myozyme</w:t>
      </w:r>
      <w:proofErr w:type="spellEnd"/>
      <w:r w:rsidRPr="003C31AC">
        <w:rPr>
          <w:i/>
        </w:rPr>
        <w:t xml:space="preserve"> (</w:t>
      </w:r>
      <w:proofErr w:type="spellStart"/>
      <w:r w:rsidRPr="003C31AC">
        <w:rPr>
          <w:i/>
        </w:rPr>
        <w:t>alglucosidase</w:t>
      </w:r>
      <w:proofErr w:type="spellEnd"/>
      <w:r w:rsidRPr="003C31AC">
        <w:rPr>
          <w:i/>
        </w:rPr>
        <w:t xml:space="preserve"> alfa-</w:t>
      </w:r>
      <w:proofErr w:type="spellStart"/>
      <w:r w:rsidRPr="003C31AC">
        <w:rPr>
          <w:i/>
        </w:rPr>
        <w:t>rch</w:t>
      </w:r>
      <w:proofErr w:type="spellEnd"/>
      <w:r w:rsidRPr="003C31AC">
        <w:rPr>
          <w:i/>
        </w:rPr>
        <w:t xml:space="preserve">) is indicated </w:t>
      </w:r>
      <w:r w:rsidR="0062193F" w:rsidRPr="003C31AC">
        <w:rPr>
          <w:i/>
        </w:rPr>
        <w:t>for the long-term treatment of patients with a confirmed diagnosis of Pompe disease (acid alfa-glucosidase deficiency).</w:t>
      </w:r>
    </w:p>
    <w:p w14:paraId="7FC4882C" w14:textId="7B2AC191" w:rsidR="003C31AC" w:rsidRPr="003C31AC" w:rsidRDefault="003C31AC" w:rsidP="003C31AC">
      <w:r>
        <w:t>Myozyme (alglucosidase alfa) received orphan designation in 2003 and was included on the ARTG in March 2007. At the time of this submission, treatment with Myozyme (alglucosidase alfa) is the standard treatment for GAA deficiency in Australia. The recommended dosage regimen of alglucosidase alfa is 20 mg/kg body weight once every two weeks as an intravenous infusion, irrespective of patient age or classification of Pompe disease. Some patients may require additional treatment with immunomodulation, but this is to manage the risk of hypersensitivity or infusion-associated reactions, not for the treatment of the underlying condition. Multi</w:t>
      </w:r>
      <w:r>
        <w:noBreakHyphen/>
        <w:t xml:space="preserve">disciplinary support teams may be engaged to assist with management specifically related to cardiac, respiratory, physical, rehabilitation, nutritional and other needs. </w:t>
      </w:r>
    </w:p>
    <w:p w14:paraId="08A8C967" w14:textId="1DCD6CFE" w:rsidR="0085333D" w:rsidRDefault="0085333D" w:rsidP="00520DD5">
      <w:r w:rsidRPr="00686D3B">
        <w:t xml:space="preserve">Development and approval of </w:t>
      </w:r>
      <w:r w:rsidR="00DA1A47">
        <w:t>enzyme replacement therapy</w:t>
      </w:r>
      <w:r w:rsidRPr="00686D3B">
        <w:t xml:space="preserve"> has profoundly changed the natural course of the disease,</w:t>
      </w:r>
      <w:r>
        <w:t xml:space="preserve"> </w:t>
      </w:r>
      <w:r w:rsidRPr="00686D3B">
        <w:t xml:space="preserve">revealing new phenotypes in patients with classical </w:t>
      </w:r>
      <w:r w:rsidR="00DA1A47">
        <w:t>infantile</w:t>
      </w:r>
      <w:r w:rsidR="00950CB3">
        <w:t>-</w:t>
      </w:r>
      <w:r w:rsidR="00E00595">
        <w:t xml:space="preserve">onset </w:t>
      </w:r>
      <w:proofErr w:type="spellStart"/>
      <w:r w:rsidR="00E00595">
        <w:t>Pompe</w:t>
      </w:r>
      <w:proofErr w:type="spellEnd"/>
      <w:r w:rsidR="00E00595">
        <w:t xml:space="preserve"> disease</w:t>
      </w:r>
      <w:r w:rsidRPr="00686D3B">
        <w:t xml:space="preserve"> who survive with </w:t>
      </w:r>
      <w:r w:rsidR="00DA1A47">
        <w:t>enzyme replacement therapy</w:t>
      </w:r>
      <w:r w:rsidRPr="00686D3B">
        <w:t>, and</w:t>
      </w:r>
      <w:r>
        <w:t xml:space="preserve"> </w:t>
      </w:r>
      <w:r w:rsidRPr="00686D3B">
        <w:t xml:space="preserve">considerably extending productivity and quality </w:t>
      </w:r>
      <w:r>
        <w:t xml:space="preserve">of life for patients with </w:t>
      </w:r>
      <w:r w:rsidR="00E00595">
        <w:t>late</w:t>
      </w:r>
      <w:r w:rsidR="00950CB3">
        <w:t>-</w:t>
      </w:r>
      <w:r w:rsidR="00E00595">
        <w:t xml:space="preserve">onset </w:t>
      </w:r>
      <w:proofErr w:type="spellStart"/>
      <w:r w:rsidR="00E00595">
        <w:t>Pompe</w:t>
      </w:r>
      <w:proofErr w:type="spellEnd"/>
      <w:r w:rsidR="00E00595">
        <w:t xml:space="preserve"> disease</w:t>
      </w:r>
      <w:r>
        <w:t>.</w:t>
      </w:r>
    </w:p>
    <w:p w14:paraId="4E432C77" w14:textId="2B32DC29" w:rsidR="0085333D" w:rsidRDefault="0085333D" w:rsidP="00520DD5">
      <w:r w:rsidRPr="00D821B5">
        <w:t xml:space="preserve">Availability of </w:t>
      </w:r>
      <w:r w:rsidR="00DA1A47">
        <w:t>enzyme replacement therapy</w:t>
      </w:r>
      <w:r w:rsidR="00DA1A47" w:rsidRPr="00686D3B">
        <w:t xml:space="preserve"> </w:t>
      </w:r>
      <w:r w:rsidRPr="00D821B5">
        <w:t xml:space="preserve">has extended survival in </w:t>
      </w:r>
      <w:r w:rsidRPr="00520DD5">
        <w:t>patients</w:t>
      </w:r>
      <w:r w:rsidRPr="00D821B5">
        <w:t xml:space="preserve"> with</w:t>
      </w:r>
      <w:r>
        <w:t xml:space="preserve"> </w:t>
      </w:r>
      <w:r w:rsidRPr="00D821B5">
        <w:t xml:space="preserve">classical </w:t>
      </w:r>
      <w:r w:rsidR="00DA1A47">
        <w:t>infantile</w:t>
      </w:r>
      <w:r w:rsidR="00E04BB7">
        <w:t>-</w:t>
      </w:r>
      <w:r w:rsidR="00E00595">
        <w:t xml:space="preserve">onset </w:t>
      </w:r>
      <w:proofErr w:type="spellStart"/>
      <w:r w:rsidR="00E00595">
        <w:t>Pompe</w:t>
      </w:r>
      <w:proofErr w:type="spellEnd"/>
      <w:r w:rsidR="00E00595">
        <w:t xml:space="preserve"> disease</w:t>
      </w:r>
      <w:r w:rsidRPr="00D821B5">
        <w:t xml:space="preserve"> and improved productivity and quality of life for patients with </w:t>
      </w:r>
      <w:r w:rsidR="00E00595">
        <w:t>late</w:t>
      </w:r>
      <w:r w:rsidR="00E04BB7">
        <w:t>-</w:t>
      </w:r>
      <w:r w:rsidR="00E00595">
        <w:t xml:space="preserve">onset </w:t>
      </w:r>
      <w:proofErr w:type="spellStart"/>
      <w:r w:rsidR="00E00595">
        <w:t>Pompe</w:t>
      </w:r>
      <w:proofErr w:type="spellEnd"/>
      <w:r w:rsidR="00E00595">
        <w:t xml:space="preserve"> disease</w:t>
      </w:r>
      <w:r w:rsidRPr="00D821B5">
        <w:t xml:space="preserve">, and </w:t>
      </w:r>
      <w:r w:rsidR="005814A4" w:rsidRPr="00D821B5">
        <w:t>long</w:t>
      </w:r>
      <w:r w:rsidR="005814A4">
        <w:t>-term</w:t>
      </w:r>
      <w:r>
        <w:t xml:space="preserve"> </w:t>
      </w:r>
      <w:r w:rsidRPr="00D821B5">
        <w:t xml:space="preserve">benefits of </w:t>
      </w:r>
      <w:r w:rsidR="0062193F">
        <w:t>alglucosidase alfa</w:t>
      </w:r>
      <w:r w:rsidR="0062193F" w:rsidRPr="00D821B5">
        <w:t xml:space="preserve"> </w:t>
      </w:r>
      <w:r w:rsidRPr="00D821B5">
        <w:t>established it as the current standard-of-care for patients with</w:t>
      </w:r>
      <w:r>
        <w:t xml:space="preserve"> </w:t>
      </w:r>
      <w:r w:rsidRPr="00D821B5">
        <w:t>Pompe disease. However, progressive decline in muscle and respiratory function is still observed</w:t>
      </w:r>
      <w:r>
        <w:t xml:space="preserve"> </w:t>
      </w:r>
      <w:r w:rsidRPr="00D821B5">
        <w:t xml:space="preserve">in patients receiving </w:t>
      </w:r>
      <w:r w:rsidR="0062193F">
        <w:t>alglucosidase alfa</w:t>
      </w:r>
      <w:r w:rsidRPr="00D821B5">
        <w:t>. This progression is attributed to suboptimal uptake of</w:t>
      </w:r>
      <w:r>
        <w:t xml:space="preserve"> </w:t>
      </w:r>
      <w:r w:rsidR="00DA1A47">
        <w:t>enzyme replacement therapy</w:t>
      </w:r>
      <w:r w:rsidR="00DA1A47" w:rsidRPr="00686D3B">
        <w:t xml:space="preserve"> </w:t>
      </w:r>
      <w:r w:rsidRPr="00D821B5">
        <w:t>in skeletal muscle.</w:t>
      </w:r>
    </w:p>
    <w:p w14:paraId="020DA5FA" w14:textId="77777777" w:rsidR="0085333D" w:rsidRDefault="0085333D" w:rsidP="0062193F">
      <w:pPr>
        <w:pStyle w:val="Heading4"/>
      </w:pPr>
      <w:bookmarkStart w:id="17" w:name="_Toc64207566"/>
      <w:r>
        <w:t>Clinical rationale</w:t>
      </w:r>
      <w:bookmarkEnd w:id="17"/>
    </w:p>
    <w:p w14:paraId="60A52C01" w14:textId="676C25DD" w:rsidR="0085333D" w:rsidRDefault="0085333D" w:rsidP="0062193F">
      <w:r w:rsidRPr="00686D3B">
        <w:t>To maximi</w:t>
      </w:r>
      <w:r>
        <w:t>s</w:t>
      </w:r>
      <w:r w:rsidRPr="00686D3B">
        <w:t xml:space="preserve">e </w:t>
      </w:r>
      <w:r w:rsidR="00DA1A47">
        <w:t xml:space="preserve">the potential </w:t>
      </w:r>
      <w:r w:rsidRPr="0062193F">
        <w:t>benefit</w:t>
      </w:r>
      <w:r w:rsidRPr="00686D3B">
        <w:t xml:space="preserve"> of </w:t>
      </w:r>
      <w:r w:rsidR="00DA1A47">
        <w:t>enzyme replacement therapy</w:t>
      </w:r>
      <w:r w:rsidR="00DA1A47" w:rsidRPr="00686D3B">
        <w:t xml:space="preserve"> </w:t>
      </w:r>
      <w:r w:rsidRPr="00686D3B">
        <w:t xml:space="preserve">for patients with Pompe disease, </w:t>
      </w:r>
      <w:r w:rsidR="0062193F" w:rsidRPr="0062193F">
        <w:t xml:space="preserve">alglucosidase alfa </w:t>
      </w:r>
      <w:r w:rsidRPr="00686D3B">
        <w:t>was</w:t>
      </w:r>
      <w:r>
        <w:t xml:space="preserve"> </w:t>
      </w:r>
      <w:r w:rsidRPr="00686D3B">
        <w:t>modified to create an investigational form of the enzyme with enhanced uptake, avalglucosidase</w:t>
      </w:r>
      <w:r>
        <w:t xml:space="preserve"> </w:t>
      </w:r>
      <w:r w:rsidRPr="00686D3B">
        <w:t>alfa. By conjugating bis-mannose-6-phosphate (M6P) to oxidi</w:t>
      </w:r>
      <w:r>
        <w:t>s</w:t>
      </w:r>
      <w:r w:rsidRPr="00686D3B">
        <w:t>ed sialic acid residues on</w:t>
      </w:r>
      <w:r>
        <w:t xml:space="preserve"> </w:t>
      </w:r>
      <w:r w:rsidR="0062193F">
        <w:t>alglucosidase alfa</w:t>
      </w:r>
      <w:r w:rsidR="0062193F" w:rsidRPr="00686D3B">
        <w:t xml:space="preserve"> </w:t>
      </w:r>
      <w:r w:rsidRPr="00686D3B">
        <w:t>to create avalglucosidase alfa, it is anticipated that cellular uptake of this</w:t>
      </w:r>
      <w:r>
        <w:t xml:space="preserve"> </w:t>
      </w:r>
      <w:r w:rsidRPr="00686D3B">
        <w:t xml:space="preserve">investigational </w:t>
      </w:r>
      <w:r w:rsidR="00DA1A47">
        <w:t>enzyme replacement therapy</w:t>
      </w:r>
      <w:r w:rsidRPr="00686D3B">
        <w:t>, and hence, its efficacy in improving outcomes for patients with Pompe</w:t>
      </w:r>
      <w:r>
        <w:t xml:space="preserve"> </w:t>
      </w:r>
      <w:r w:rsidRPr="00686D3B">
        <w:t xml:space="preserve">disease, </w:t>
      </w:r>
      <w:r>
        <w:t>would</w:t>
      </w:r>
      <w:r w:rsidRPr="00686D3B">
        <w:t xml:space="preserve"> be enhanced relative t</w:t>
      </w:r>
      <w:r>
        <w:t>o the current standard therapy.</w:t>
      </w:r>
    </w:p>
    <w:p w14:paraId="4379AB7F" w14:textId="62BEC41C" w:rsidR="003C31AC" w:rsidRDefault="0085333D" w:rsidP="0085333D">
      <w:r w:rsidRPr="00686D3B">
        <w:t>The clinical development</w:t>
      </w:r>
      <w:r>
        <w:t xml:space="preserve"> </w:t>
      </w:r>
      <w:r w:rsidRPr="0062193F">
        <w:t>program</w:t>
      </w:r>
      <w:r w:rsidRPr="00686D3B">
        <w:t xml:space="preserve"> for </w:t>
      </w:r>
      <w:r w:rsidR="0062193F">
        <w:t>Nexviazyme (</w:t>
      </w:r>
      <w:r w:rsidRPr="00686D3B">
        <w:t>avalglucosidase alfa</w:t>
      </w:r>
      <w:r w:rsidR="0062193F">
        <w:t>)</w:t>
      </w:r>
      <w:r w:rsidRPr="00686D3B">
        <w:t xml:space="preserve"> was therefore designed to demonstrate higher potency of this</w:t>
      </w:r>
      <w:r>
        <w:t xml:space="preserve"> </w:t>
      </w:r>
      <w:r w:rsidRPr="00686D3B">
        <w:t xml:space="preserve">investigational </w:t>
      </w:r>
      <w:r w:rsidR="00DA1A47">
        <w:t xml:space="preserve">enzyme replacement therapy </w:t>
      </w:r>
      <w:r w:rsidRPr="00686D3B">
        <w:t xml:space="preserve">as compared to </w:t>
      </w:r>
      <w:r w:rsidR="0062193F">
        <w:t>alglucosidase alfa</w:t>
      </w:r>
      <w:r w:rsidRPr="00686D3B">
        <w:t>.</w:t>
      </w:r>
    </w:p>
    <w:p w14:paraId="4FD7F67B" w14:textId="048DA1DC" w:rsidR="009F2673" w:rsidRPr="000A4A42" w:rsidRDefault="009F2673" w:rsidP="009F2673">
      <w:bookmarkStart w:id="18" w:name="_Toc314842485"/>
      <w:bookmarkStart w:id="19" w:name="_Toc247691504"/>
      <w:r w:rsidRPr="000A4A42">
        <w:t xml:space="preserve">This </w:t>
      </w:r>
      <w:r w:rsidR="00BB0B78">
        <w:t>submission</w:t>
      </w:r>
      <w:r w:rsidRPr="000A4A42">
        <w:t xml:space="preserve"> was evaluated as part of the </w:t>
      </w:r>
      <w:hyperlink r:id="rId18" w:history="1">
        <w:r>
          <w:rPr>
            <w:rStyle w:val="Hyperlink"/>
          </w:rPr>
          <w:t>Australia-Canada-Singapore-Switzerland-United Kingdom (ACCESS) Consortium</w:t>
        </w:r>
      </w:hyperlink>
      <w:r w:rsidRPr="000A4A42">
        <w:t xml:space="preserve"> </w:t>
      </w:r>
      <w:r w:rsidR="006C3528">
        <w:t>via the</w:t>
      </w:r>
      <w:r w:rsidR="00DA1A47">
        <w:t xml:space="preserve"> </w:t>
      </w:r>
      <w:r w:rsidR="006C3528">
        <w:t>New</w:t>
      </w:r>
      <w:r w:rsidR="006C3528" w:rsidRPr="006C3528">
        <w:t xml:space="preserve"> Active Substance Work Sharing Initiative (NASWSI)</w:t>
      </w:r>
      <w:r w:rsidR="006C3528">
        <w:t>,</w:t>
      </w:r>
      <w:r w:rsidR="006C3528" w:rsidRPr="006C3528">
        <w:t xml:space="preserve"> </w:t>
      </w:r>
      <w:r w:rsidRPr="000A4A42">
        <w:t xml:space="preserve">with </w:t>
      </w:r>
      <w:r w:rsidRPr="006C3528">
        <w:t xml:space="preserve">work-sharing between the TGA, Health Canada, </w:t>
      </w:r>
      <w:r w:rsidR="006C3528" w:rsidRPr="006C3528">
        <w:t>and</w:t>
      </w:r>
      <w:r w:rsidRPr="006C3528">
        <w:t xml:space="preserve"> </w:t>
      </w:r>
      <w:proofErr w:type="spellStart"/>
      <w:r w:rsidRPr="006C3528">
        <w:t>Swissmedic</w:t>
      </w:r>
      <w:proofErr w:type="spellEnd"/>
      <w:r w:rsidRPr="006C3528">
        <w:t xml:space="preserve"> </w:t>
      </w:r>
      <w:r w:rsidR="006C3528" w:rsidRPr="006C3528">
        <w:t>(Switzerland).</w:t>
      </w:r>
      <w:r w:rsidR="006C3528">
        <w:rPr>
          <w:iCs/>
          <w:color w:val="007099"/>
        </w:rPr>
        <w:t xml:space="preserve"> </w:t>
      </w:r>
      <w:r w:rsidRPr="000A4A42">
        <w:t>Each regulator made independent decisions regarding approval (market authorisation) of the new medicine.</w:t>
      </w:r>
    </w:p>
    <w:p w14:paraId="3DD5F9D8" w14:textId="496F1277" w:rsidR="008E7846" w:rsidRDefault="00386150" w:rsidP="008E7846">
      <w:pPr>
        <w:pStyle w:val="Heading3"/>
      </w:pPr>
      <w:bookmarkStart w:id="20" w:name="_Toc117601956"/>
      <w:r>
        <w:lastRenderedPageBreak/>
        <w:t>Regulatory s</w:t>
      </w:r>
      <w:r w:rsidR="008E7846">
        <w:t>tatus</w:t>
      </w:r>
      <w:bookmarkEnd w:id="18"/>
      <w:bookmarkEnd w:id="19"/>
      <w:bookmarkEnd w:id="20"/>
    </w:p>
    <w:p w14:paraId="452437DF" w14:textId="059A9155" w:rsidR="00F86018" w:rsidRPr="00F86018" w:rsidRDefault="00F86018" w:rsidP="00F86018">
      <w:pPr>
        <w:pStyle w:val="Heading4"/>
      </w:pPr>
      <w:r>
        <w:t>Australia regulatory status</w:t>
      </w:r>
    </w:p>
    <w:p w14:paraId="49DF4DA3" w14:textId="59CDF443" w:rsidR="00332715" w:rsidRDefault="00332715" w:rsidP="00332715">
      <w:bookmarkStart w:id="21" w:name="_Toc247691505"/>
      <w:bookmarkStart w:id="22" w:name="_Toc314842486"/>
      <w:r>
        <w:t>This product is considered a new biological entity for Australian regulatory purposes.</w:t>
      </w:r>
    </w:p>
    <w:p w14:paraId="4E1F7877" w14:textId="394B9F10" w:rsidR="00332715" w:rsidRDefault="00332715" w:rsidP="00332715">
      <w:r>
        <w:t xml:space="preserve">This product received </w:t>
      </w:r>
      <w:hyperlink r:id="rId19" w:history="1">
        <w:r>
          <w:rPr>
            <w:rStyle w:val="Hyperlink"/>
          </w:rPr>
          <w:t>orphan drug designation</w:t>
        </w:r>
      </w:hyperlink>
      <w:r w:rsidR="00D80696">
        <w:t xml:space="preserve"> on 15 September 2020</w:t>
      </w:r>
      <w:r>
        <w:t xml:space="preserve"> for the following indication:</w:t>
      </w:r>
    </w:p>
    <w:p w14:paraId="09AB84BE" w14:textId="0BB57EC6" w:rsidR="004246FE" w:rsidRDefault="004868D8" w:rsidP="00D80696">
      <w:pPr>
        <w:ind w:left="720"/>
        <w:rPr>
          <w:i/>
        </w:rPr>
      </w:pPr>
      <w:r>
        <w:rPr>
          <w:i/>
        </w:rPr>
        <w:t>Avalglucosidase alfa i</w:t>
      </w:r>
      <w:r w:rsidR="00D80696" w:rsidRPr="00D80696">
        <w:rPr>
          <w:i/>
        </w:rPr>
        <w:t xml:space="preserve">s intended for long-term enzyme </w:t>
      </w:r>
      <w:r w:rsidR="004246FE" w:rsidRPr="00D80696">
        <w:rPr>
          <w:i/>
        </w:rPr>
        <w:t>replacement therapy (ERT) for the treatment of pa</w:t>
      </w:r>
      <w:r w:rsidR="00D80696" w:rsidRPr="00D80696">
        <w:rPr>
          <w:i/>
        </w:rPr>
        <w:t xml:space="preserve">tients with Pompe disease (acid </w:t>
      </w:r>
      <w:r w:rsidR="004246FE" w:rsidRPr="00D80696">
        <w:rPr>
          <w:i/>
        </w:rPr>
        <w:t>a-glucosidase deficiency).</w:t>
      </w:r>
    </w:p>
    <w:p w14:paraId="35FF4CDC" w14:textId="7363A6DD" w:rsidR="00F86018" w:rsidRPr="00D80696" w:rsidRDefault="00F86018" w:rsidP="00F86018">
      <w:pPr>
        <w:pStyle w:val="Heading4"/>
      </w:pPr>
      <w:r>
        <w:t>Overseas regulatory status</w:t>
      </w:r>
    </w:p>
    <w:p w14:paraId="775D669C" w14:textId="77476F5D" w:rsidR="006C3528" w:rsidRDefault="007A0D1C" w:rsidP="006C3528">
      <w:r>
        <w:t>In the European Union</w:t>
      </w:r>
      <w:r w:rsidR="00153C80">
        <w:t xml:space="preserve"> (EU)</w:t>
      </w:r>
      <w:r>
        <w:t xml:space="preserve">, the European Medicines Agency </w:t>
      </w:r>
      <w:r w:rsidR="004868D8">
        <w:t xml:space="preserve">(EMA) </w:t>
      </w:r>
      <w:r>
        <w:t xml:space="preserve">approved </w:t>
      </w:r>
      <w:proofErr w:type="spellStart"/>
      <w:r>
        <w:t>avalglucosidase</w:t>
      </w:r>
      <w:proofErr w:type="spellEnd"/>
      <w:r>
        <w:t xml:space="preserve"> alfa (tradename </w:t>
      </w:r>
      <w:proofErr w:type="spellStart"/>
      <w:r>
        <w:t>Nexviadyme</w:t>
      </w:r>
      <w:proofErr w:type="spellEnd"/>
      <w:r>
        <w:t>) o</w:t>
      </w:r>
      <w:r w:rsidR="006C3528">
        <w:t xml:space="preserve">n </w:t>
      </w:r>
      <w:r>
        <w:t>24 June 2022</w:t>
      </w:r>
      <w:r w:rsidR="006C3528">
        <w:t xml:space="preserve">, </w:t>
      </w:r>
      <w:r>
        <w:t>for the following indication:</w:t>
      </w:r>
    </w:p>
    <w:p w14:paraId="3662129D" w14:textId="124F09C0" w:rsidR="007A0D1C" w:rsidRPr="007A0D1C" w:rsidRDefault="007A0D1C" w:rsidP="007A0D1C">
      <w:pPr>
        <w:ind w:left="720"/>
        <w:rPr>
          <w:i/>
        </w:rPr>
      </w:pPr>
      <w:proofErr w:type="spellStart"/>
      <w:r w:rsidRPr="007A0D1C">
        <w:rPr>
          <w:i/>
        </w:rPr>
        <w:t>Nexviadyme</w:t>
      </w:r>
      <w:proofErr w:type="spellEnd"/>
      <w:r w:rsidRPr="007A0D1C">
        <w:rPr>
          <w:i/>
        </w:rPr>
        <w:t xml:space="preserve"> (</w:t>
      </w:r>
      <w:proofErr w:type="spellStart"/>
      <w:r w:rsidRPr="007A0D1C">
        <w:rPr>
          <w:i/>
        </w:rPr>
        <w:t>avalglucosidase</w:t>
      </w:r>
      <w:proofErr w:type="spellEnd"/>
      <w:r w:rsidRPr="007A0D1C">
        <w:rPr>
          <w:i/>
        </w:rPr>
        <w:t xml:space="preserve"> alfa) is indicated for long-term enzyme replacement therapy for the treatment of patients with Pompe disease (acid α-glucosidase deficiency).</w:t>
      </w:r>
    </w:p>
    <w:p w14:paraId="2CB24638" w14:textId="6D62ECB1" w:rsidR="00594D33" w:rsidRDefault="00594D33" w:rsidP="006C3528">
      <w:r>
        <w:t xml:space="preserve">In the EU however, based on the </w:t>
      </w:r>
      <w:r w:rsidR="004868D8">
        <w:t xml:space="preserve">EMA’s </w:t>
      </w:r>
      <w:r w:rsidR="004868D8" w:rsidRPr="004868D8">
        <w:t>Committee for Medicinal Products for Human Use</w:t>
      </w:r>
      <w:r w:rsidR="004868D8">
        <w:t xml:space="preserve"> (</w:t>
      </w:r>
      <w:r>
        <w:t>CHMP</w:t>
      </w:r>
      <w:r w:rsidR="004868D8">
        <w:t>)</w:t>
      </w:r>
      <w:r>
        <w:t xml:space="preserve"> review of the available data, </w:t>
      </w:r>
      <w:r w:rsidR="004868D8">
        <w:t>considered</w:t>
      </w:r>
      <w:r>
        <w:t xml:space="preserve"> that avalglucosidase alfa is not to be qualified as a new active </w:t>
      </w:r>
      <w:proofErr w:type="gramStart"/>
      <w:r>
        <w:t>substance in itself</w:t>
      </w:r>
      <w:proofErr w:type="gramEnd"/>
      <w:r>
        <w:t>.</w:t>
      </w:r>
      <w:r>
        <w:rPr>
          <w:rStyle w:val="FootnoteReference"/>
        </w:rPr>
        <w:footnoteReference w:id="9"/>
      </w:r>
    </w:p>
    <w:p w14:paraId="267378ED" w14:textId="5F3747D1" w:rsidR="006C3528" w:rsidRDefault="00594D33" w:rsidP="006C3528">
      <w:r>
        <w:t>In the United States of America (USA), on 6 August 2021, t</w:t>
      </w:r>
      <w:r w:rsidR="004868D8">
        <w:t>he US</w:t>
      </w:r>
      <w:r w:rsidR="006C3528">
        <w:t xml:space="preserve"> Food and Drug Administration (FDA) </w:t>
      </w:r>
      <w:r>
        <w:t xml:space="preserve">approved Nexviazyme (avalglucosidase alfa) for the </w:t>
      </w:r>
      <w:r w:rsidR="006C3528">
        <w:t>following indication</w:t>
      </w:r>
      <w:r>
        <w:t>:</w:t>
      </w:r>
    </w:p>
    <w:p w14:paraId="24BB8C00" w14:textId="30498811" w:rsidR="006C3528" w:rsidRDefault="00594D33" w:rsidP="00594D33">
      <w:pPr>
        <w:ind w:left="720"/>
        <w:rPr>
          <w:i/>
        </w:rPr>
      </w:pPr>
      <w:r w:rsidRPr="00594D33">
        <w:rPr>
          <w:i/>
        </w:rPr>
        <w:t>Nexviazyme is indicated for the treatment of patients 1 year of age and older with late-onset Pompe disease (lysosomal acid alpha-glucosidase [GAA] deficiency).</w:t>
      </w:r>
    </w:p>
    <w:p w14:paraId="2C16B0CA" w14:textId="018C9FFB" w:rsidR="00F86018" w:rsidRDefault="004868D8" w:rsidP="00F86018">
      <w:r>
        <w:t>In the United Kingdom, o</w:t>
      </w:r>
      <w:r w:rsidR="00F86018">
        <w:t>n 6 July 2021, the Medicines and Healthcare products Regulatory Agency approved avalglucosidase alfa for the following indication:</w:t>
      </w:r>
    </w:p>
    <w:p w14:paraId="6E2705DA" w14:textId="3ED2D609" w:rsidR="00F86018" w:rsidRPr="00F86018" w:rsidRDefault="00F86018" w:rsidP="00F86018">
      <w:pPr>
        <w:ind w:left="720"/>
        <w:rPr>
          <w:i/>
        </w:rPr>
      </w:pPr>
      <w:proofErr w:type="spellStart"/>
      <w:r w:rsidRPr="00F86018">
        <w:rPr>
          <w:i/>
        </w:rPr>
        <w:t>Nexviadyme</w:t>
      </w:r>
      <w:proofErr w:type="spellEnd"/>
      <w:r w:rsidRPr="00F86018">
        <w:rPr>
          <w:i/>
        </w:rPr>
        <w:t xml:space="preserve"> (</w:t>
      </w:r>
      <w:proofErr w:type="spellStart"/>
      <w:r w:rsidRPr="00F86018">
        <w:rPr>
          <w:i/>
        </w:rPr>
        <w:t>avalglucosidase</w:t>
      </w:r>
      <w:proofErr w:type="spellEnd"/>
      <w:r w:rsidRPr="00F86018">
        <w:rPr>
          <w:i/>
        </w:rPr>
        <w:t xml:space="preserve"> alfa) is indicated for long-term enzyme replacement therapy for the treatment of patients with Pompe disease (acid α-glucosidase deficiency).</w:t>
      </w:r>
    </w:p>
    <w:p w14:paraId="2138D661" w14:textId="5C8F0C1D" w:rsidR="007A0D1C" w:rsidRDefault="00F86018" w:rsidP="007A0D1C">
      <w:r w:rsidRPr="00F86018">
        <w:t xml:space="preserve">On </w:t>
      </w:r>
      <w:r>
        <w:t xml:space="preserve">12 </w:t>
      </w:r>
      <w:r w:rsidRPr="00F86018">
        <w:t>November 2021, Health Canada</w:t>
      </w:r>
      <w:r>
        <w:t xml:space="preserve"> approved avalglucosidase alfa (with the tradename Nexviazyme) for the following indication:</w:t>
      </w:r>
    </w:p>
    <w:p w14:paraId="76D0A78C" w14:textId="28EBBB14" w:rsidR="00F86018" w:rsidRPr="00F86018" w:rsidRDefault="00F86018" w:rsidP="00F86018">
      <w:pPr>
        <w:ind w:left="720"/>
        <w:rPr>
          <w:i/>
        </w:rPr>
      </w:pPr>
      <w:r w:rsidRPr="00F86018">
        <w:rPr>
          <w:i/>
        </w:rPr>
        <w:t>for the long‑term treatment of patients with late‑onset Pompe disease (acid α‑glucosidase deficiency).</w:t>
      </w:r>
    </w:p>
    <w:p w14:paraId="5F41DF4B" w14:textId="06C07AEF" w:rsidR="007A0D1C" w:rsidRDefault="007A0D1C" w:rsidP="007A0D1C">
      <w:r>
        <w:t xml:space="preserve">On 17 November 2021, Switzerland approved avalglucosidase alfa (with the tradename </w:t>
      </w:r>
      <w:proofErr w:type="spellStart"/>
      <w:r>
        <w:t>Nexviadyme</w:t>
      </w:r>
      <w:proofErr w:type="spellEnd"/>
      <w:r>
        <w:t>) for the following indication:</w:t>
      </w:r>
    </w:p>
    <w:p w14:paraId="0F9AB1C9" w14:textId="4803FFD6" w:rsidR="007A0D1C" w:rsidRPr="007A0D1C" w:rsidRDefault="007A0D1C" w:rsidP="007A0D1C">
      <w:pPr>
        <w:ind w:firstLine="720"/>
        <w:rPr>
          <w:i/>
        </w:rPr>
      </w:pPr>
      <w:r w:rsidRPr="007A0D1C">
        <w:rPr>
          <w:i/>
        </w:rPr>
        <w:t>for the treatment of late-onset Pompe disease (glycogen storage disease type II)</w:t>
      </w:r>
      <w:r>
        <w:rPr>
          <w:i/>
        </w:rPr>
        <w:t>.</w:t>
      </w:r>
    </w:p>
    <w:p w14:paraId="2B52BA83" w14:textId="77777777" w:rsidR="008E7846" w:rsidRDefault="008E7846" w:rsidP="00940A89">
      <w:pPr>
        <w:pStyle w:val="Heading3"/>
      </w:pPr>
      <w:bookmarkStart w:id="23" w:name="_Toc117601957"/>
      <w:r>
        <w:t>Product Information</w:t>
      </w:r>
      <w:bookmarkEnd w:id="21"/>
      <w:bookmarkEnd w:id="22"/>
      <w:bookmarkEnd w:id="23"/>
    </w:p>
    <w:p w14:paraId="38EFB568" w14:textId="77777777" w:rsidR="00332715" w:rsidRDefault="00332715" w:rsidP="00332715">
      <w:bookmarkStart w:id="24" w:name="_Toc504480011"/>
      <w:bookmarkStart w:id="25" w:name="_Toc247691506"/>
      <w:bookmarkStart w:id="26" w:name="_Toc314842487"/>
      <w:r>
        <w:t xml:space="preserve">The Product Information (PI) approved with the submission which is described in this AusPAR can be found as Attachment 1. For the most recent PI, please refer to the TGA </w:t>
      </w:r>
      <w:hyperlink r:id="rId20" w:history="1">
        <w:r>
          <w:rPr>
            <w:rStyle w:val="Hyperlink"/>
          </w:rPr>
          <w:t>PI/CMI search facility.</w:t>
        </w:r>
      </w:hyperlink>
    </w:p>
    <w:p w14:paraId="03C8D302" w14:textId="51E00A5B" w:rsidR="00500337" w:rsidRDefault="00500337" w:rsidP="00500337">
      <w:pPr>
        <w:pStyle w:val="Heading2"/>
      </w:pPr>
      <w:bookmarkStart w:id="27" w:name="_Toc117601958"/>
      <w:r>
        <w:lastRenderedPageBreak/>
        <w:t>Registration timeline</w:t>
      </w:r>
      <w:bookmarkEnd w:id="24"/>
      <w:bookmarkEnd w:id="27"/>
    </w:p>
    <w:p w14:paraId="017FB785" w14:textId="6946D960" w:rsidR="0074163C" w:rsidRPr="00C93EC1" w:rsidRDefault="0074163C" w:rsidP="0074163C">
      <w:r w:rsidRPr="00C93EC1">
        <w:t xml:space="preserve">The following table captures the key steps and dates for this </w:t>
      </w:r>
      <w:r w:rsidR="00804D99">
        <w:t>submission</w:t>
      </w:r>
      <w:r w:rsidRPr="00C93EC1">
        <w:t>.</w:t>
      </w:r>
    </w:p>
    <w:p w14:paraId="16B7DF93" w14:textId="29389A3F" w:rsidR="0074163C" w:rsidRPr="0080666C" w:rsidRDefault="0074163C" w:rsidP="0080666C">
      <w:pPr>
        <w:pStyle w:val="TableTitle"/>
      </w:pPr>
      <w:r>
        <w:t xml:space="preserve">Table </w:t>
      </w:r>
      <w:r>
        <w:fldChar w:fldCharType="begin"/>
      </w:r>
      <w:r>
        <w:instrText>SEQ Table \* ARABIC</w:instrText>
      </w:r>
      <w:r>
        <w:fldChar w:fldCharType="separate"/>
      </w:r>
      <w:r w:rsidR="004A495C">
        <w:rPr>
          <w:noProof/>
        </w:rPr>
        <w:t>2</w:t>
      </w:r>
      <w:r>
        <w:fldChar w:fldCharType="end"/>
      </w:r>
      <w:r>
        <w:t>:</w:t>
      </w:r>
      <w:r w:rsidRPr="006A58A8">
        <w:t xml:space="preserve"> Timeline for Submission </w:t>
      </w:r>
      <w:r w:rsidR="0080666C" w:rsidRPr="0080666C">
        <w:t>PM-2020-05478-1-3</w:t>
      </w:r>
    </w:p>
    <w:tbl>
      <w:tblPr>
        <w:tblStyle w:val="TableTGAblue"/>
        <w:tblW w:w="0" w:type="auto"/>
        <w:tblLook w:val="04A0" w:firstRow="1" w:lastRow="0" w:firstColumn="1" w:lastColumn="0" w:noHBand="0" w:noVBand="1"/>
      </w:tblPr>
      <w:tblGrid>
        <w:gridCol w:w="4255"/>
        <w:gridCol w:w="4239"/>
      </w:tblGrid>
      <w:tr w:rsidR="0074163C" w14:paraId="71577D1F" w14:textId="77777777" w:rsidTr="009E5A87">
        <w:trPr>
          <w:cnfStyle w:val="100000000000" w:firstRow="1" w:lastRow="0" w:firstColumn="0" w:lastColumn="0" w:oddVBand="0" w:evenVBand="0" w:oddHBand="0" w:evenHBand="0" w:firstRowFirstColumn="0" w:firstRowLastColumn="0" w:lastRowFirstColumn="0" w:lastRowLastColumn="0"/>
        </w:trPr>
        <w:tc>
          <w:tcPr>
            <w:tcW w:w="4360" w:type="dxa"/>
            <w:tcBorders>
              <w:top w:val="single" w:sz="4" w:space="0" w:color="auto"/>
              <w:left w:val="single" w:sz="4" w:space="0" w:color="auto"/>
              <w:bottom w:val="single" w:sz="4" w:space="0" w:color="auto"/>
              <w:right w:val="single" w:sz="4" w:space="0" w:color="auto"/>
            </w:tcBorders>
          </w:tcPr>
          <w:p w14:paraId="2708D6D5" w14:textId="77777777" w:rsidR="0074163C" w:rsidRDefault="0074163C" w:rsidP="009E5A87">
            <w:r>
              <w:t>Description</w:t>
            </w:r>
          </w:p>
        </w:tc>
        <w:tc>
          <w:tcPr>
            <w:tcW w:w="4360" w:type="dxa"/>
            <w:tcBorders>
              <w:top w:val="single" w:sz="4" w:space="0" w:color="auto"/>
              <w:left w:val="single" w:sz="4" w:space="0" w:color="auto"/>
              <w:bottom w:val="single" w:sz="4" w:space="0" w:color="auto"/>
              <w:right w:val="single" w:sz="4" w:space="0" w:color="auto"/>
            </w:tcBorders>
          </w:tcPr>
          <w:p w14:paraId="19266759" w14:textId="77777777" w:rsidR="0074163C" w:rsidRDefault="0074163C" w:rsidP="009E5A87">
            <w:r>
              <w:t>Date</w:t>
            </w:r>
          </w:p>
        </w:tc>
      </w:tr>
      <w:tr w:rsidR="00153C80" w14:paraId="50EFBDE6" w14:textId="77777777" w:rsidTr="009E5A87">
        <w:tc>
          <w:tcPr>
            <w:tcW w:w="4360" w:type="dxa"/>
            <w:tcBorders>
              <w:top w:val="single" w:sz="4" w:space="0" w:color="auto"/>
            </w:tcBorders>
          </w:tcPr>
          <w:p w14:paraId="62432254" w14:textId="3FAEAA30" w:rsidR="00153C80" w:rsidRDefault="00153C80" w:rsidP="009E5A87">
            <w:r>
              <w:t>Designation: Orphan</w:t>
            </w:r>
          </w:p>
        </w:tc>
        <w:tc>
          <w:tcPr>
            <w:tcW w:w="4360" w:type="dxa"/>
            <w:tcBorders>
              <w:top w:val="single" w:sz="4" w:space="0" w:color="auto"/>
            </w:tcBorders>
          </w:tcPr>
          <w:p w14:paraId="4488D8BE" w14:textId="60C94C5C" w:rsidR="00153C80" w:rsidRPr="00153C80" w:rsidRDefault="00153C80" w:rsidP="00153C80">
            <w:r w:rsidRPr="00153C80">
              <w:t>15 September 2020</w:t>
            </w:r>
          </w:p>
        </w:tc>
      </w:tr>
      <w:tr w:rsidR="0074163C" w14:paraId="48DAE205" w14:textId="77777777" w:rsidTr="009E5A87">
        <w:tc>
          <w:tcPr>
            <w:tcW w:w="4360" w:type="dxa"/>
            <w:tcBorders>
              <w:top w:val="single" w:sz="4" w:space="0" w:color="auto"/>
            </w:tcBorders>
          </w:tcPr>
          <w:p w14:paraId="44680C84" w14:textId="77777777" w:rsidR="0074163C" w:rsidRDefault="0074163C" w:rsidP="009E5A87">
            <w:r>
              <w:t>Submission dossier accepted and first round evaluation commenced</w:t>
            </w:r>
          </w:p>
        </w:tc>
        <w:tc>
          <w:tcPr>
            <w:tcW w:w="4360" w:type="dxa"/>
            <w:tcBorders>
              <w:top w:val="single" w:sz="4" w:space="0" w:color="auto"/>
            </w:tcBorders>
          </w:tcPr>
          <w:p w14:paraId="66B50056" w14:textId="140F686B" w:rsidR="0074163C" w:rsidRPr="00153C80" w:rsidRDefault="00153C80" w:rsidP="00153C80">
            <w:r w:rsidRPr="00153C80">
              <w:t>30 November 2020</w:t>
            </w:r>
          </w:p>
        </w:tc>
      </w:tr>
      <w:tr w:rsidR="0074163C" w14:paraId="5470C8F9" w14:textId="77777777" w:rsidTr="009E5A87">
        <w:tc>
          <w:tcPr>
            <w:tcW w:w="4360" w:type="dxa"/>
          </w:tcPr>
          <w:p w14:paraId="101DC08C" w14:textId="77777777" w:rsidR="0074163C" w:rsidRDefault="0074163C" w:rsidP="009E5A87">
            <w:r>
              <w:t>First round evaluation completed</w:t>
            </w:r>
          </w:p>
        </w:tc>
        <w:tc>
          <w:tcPr>
            <w:tcW w:w="4360" w:type="dxa"/>
          </w:tcPr>
          <w:p w14:paraId="60706F75" w14:textId="44A78455" w:rsidR="0074163C" w:rsidRPr="00153C80" w:rsidRDefault="00153C80" w:rsidP="00153C80">
            <w:r w:rsidRPr="00153C80">
              <w:t>31 March 2021</w:t>
            </w:r>
          </w:p>
        </w:tc>
      </w:tr>
      <w:tr w:rsidR="0074163C" w14:paraId="01AF9B73" w14:textId="77777777" w:rsidTr="009E5A87">
        <w:tc>
          <w:tcPr>
            <w:tcW w:w="4360" w:type="dxa"/>
          </w:tcPr>
          <w:p w14:paraId="05DAE0C3" w14:textId="77777777" w:rsidR="0074163C" w:rsidRDefault="0074163C" w:rsidP="009E5A87">
            <w:r>
              <w:t>Sponsor provides responses on questions raised in first round evaluation</w:t>
            </w:r>
          </w:p>
        </w:tc>
        <w:tc>
          <w:tcPr>
            <w:tcW w:w="4360" w:type="dxa"/>
          </w:tcPr>
          <w:p w14:paraId="38ED4652" w14:textId="3A7BA70E" w:rsidR="0074163C" w:rsidRPr="00153C80" w:rsidRDefault="00153C80" w:rsidP="00153C80">
            <w:r w:rsidRPr="00153C80">
              <w:t>1 June 2021</w:t>
            </w:r>
          </w:p>
        </w:tc>
      </w:tr>
      <w:tr w:rsidR="0074163C" w14:paraId="4C20FD4F" w14:textId="77777777" w:rsidTr="009E5A87">
        <w:tc>
          <w:tcPr>
            <w:tcW w:w="4360" w:type="dxa"/>
          </w:tcPr>
          <w:p w14:paraId="48EB2E38" w14:textId="77777777" w:rsidR="0074163C" w:rsidRDefault="0074163C" w:rsidP="009E5A87">
            <w:r>
              <w:t>Second round evaluation completed</w:t>
            </w:r>
          </w:p>
        </w:tc>
        <w:tc>
          <w:tcPr>
            <w:tcW w:w="4360" w:type="dxa"/>
          </w:tcPr>
          <w:p w14:paraId="0158F0F8" w14:textId="2455498C" w:rsidR="0074163C" w:rsidRPr="00153C80" w:rsidRDefault="00153C80" w:rsidP="00153C80">
            <w:r w:rsidRPr="00153C80">
              <w:t>19 July 2021</w:t>
            </w:r>
          </w:p>
        </w:tc>
      </w:tr>
      <w:tr w:rsidR="0074163C" w14:paraId="62CA5FAA" w14:textId="77777777" w:rsidTr="009E5A87">
        <w:tc>
          <w:tcPr>
            <w:tcW w:w="4360" w:type="dxa"/>
          </w:tcPr>
          <w:p w14:paraId="28A2A7C7" w14:textId="6F801B62" w:rsidR="0074163C" w:rsidRPr="00DE34BC" w:rsidRDefault="0074163C" w:rsidP="00DE34BC">
            <w:r w:rsidRPr="00DE34BC">
              <w:t>Delegate’s Overall benefit-risk assessment and request</w:t>
            </w:r>
            <w:r w:rsidR="00DE34BC" w:rsidRPr="00DE34BC">
              <w:t xml:space="preserve"> for Advisory Committee advice</w:t>
            </w:r>
          </w:p>
        </w:tc>
        <w:tc>
          <w:tcPr>
            <w:tcW w:w="4360" w:type="dxa"/>
          </w:tcPr>
          <w:p w14:paraId="030B47B3" w14:textId="6270AE1C" w:rsidR="0074163C" w:rsidRPr="00153C80" w:rsidRDefault="00DE34BC" w:rsidP="00153C80">
            <w:r w:rsidRPr="00153C80">
              <w:t>31 August 2021</w:t>
            </w:r>
          </w:p>
        </w:tc>
      </w:tr>
      <w:tr w:rsidR="0074163C" w14:paraId="7FEA49BC" w14:textId="77777777" w:rsidTr="009E5A87">
        <w:tc>
          <w:tcPr>
            <w:tcW w:w="4360" w:type="dxa"/>
          </w:tcPr>
          <w:p w14:paraId="08C4DB19" w14:textId="77777777" w:rsidR="0074163C" w:rsidRDefault="0074163C" w:rsidP="009E5A87">
            <w:r>
              <w:t>Sponsor’s pre-Advisory Committee response</w:t>
            </w:r>
          </w:p>
        </w:tc>
        <w:tc>
          <w:tcPr>
            <w:tcW w:w="4360" w:type="dxa"/>
          </w:tcPr>
          <w:p w14:paraId="03160C80" w14:textId="343782B2" w:rsidR="0074163C" w:rsidRPr="00153C80" w:rsidRDefault="005737BB" w:rsidP="00153C80">
            <w:r>
              <w:t>14 September 2021</w:t>
            </w:r>
          </w:p>
        </w:tc>
      </w:tr>
      <w:tr w:rsidR="0074163C" w14:paraId="2C79699E" w14:textId="77777777" w:rsidTr="009E5A87">
        <w:tc>
          <w:tcPr>
            <w:tcW w:w="4360" w:type="dxa"/>
          </w:tcPr>
          <w:p w14:paraId="5A1BBD30" w14:textId="77777777" w:rsidR="0074163C" w:rsidRDefault="0074163C" w:rsidP="009E5A87">
            <w:r>
              <w:t>Advisory Committee meeting</w:t>
            </w:r>
          </w:p>
        </w:tc>
        <w:tc>
          <w:tcPr>
            <w:tcW w:w="4360" w:type="dxa"/>
          </w:tcPr>
          <w:p w14:paraId="7535CFFF" w14:textId="4B4B5503" w:rsidR="0074163C" w:rsidRPr="00153C80" w:rsidRDefault="005737BB" w:rsidP="00153C80">
            <w:r>
              <w:t xml:space="preserve">31 September and 1 </w:t>
            </w:r>
            <w:r w:rsidR="00153C80" w:rsidRPr="00153C80">
              <w:t>October 2021</w:t>
            </w:r>
          </w:p>
        </w:tc>
      </w:tr>
      <w:tr w:rsidR="0074163C" w14:paraId="558C5431" w14:textId="77777777" w:rsidTr="009E5A87">
        <w:tc>
          <w:tcPr>
            <w:tcW w:w="4360" w:type="dxa"/>
          </w:tcPr>
          <w:p w14:paraId="48D58F2A" w14:textId="77777777" w:rsidR="0074163C" w:rsidRDefault="0074163C" w:rsidP="009E5A87">
            <w:r>
              <w:t>Registration decision (Outcome)</w:t>
            </w:r>
          </w:p>
        </w:tc>
        <w:tc>
          <w:tcPr>
            <w:tcW w:w="4360" w:type="dxa"/>
          </w:tcPr>
          <w:p w14:paraId="43E22403" w14:textId="4376360F" w:rsidR="0074163C" w:rsidRPr="00153C80" w:rsidRDefault="00D81DF8" w:rsidP="00153C80">
            <w:r w:rsidRPr="00153C80">
              <w:t>15 November 2021</w:t>
            </w:r>
          </w:p>
        </w:tc>
      </w:tr>
      <w:tr w:rsidR="0074163C" w14:paraId="0921CDC8" w14:textId="77777777" w:rsidTr="009E5A87">
        <w:tc>
          <w:tcPr>
            <w:tcW w:w="4360" w:type="dxa"/>
          </w:tcPr>
          <w:p w14:paraId="0386B21F" w14:textId="77777777" w:rsidR="0074163C" w:rsidRDefault="0074163C" w:rsidP="009E5A87">
            <w:r w:rsidRPr="005A79F5">
              <w:t>Completion of administrative activities and registration on the ARTG</w:t>
            </w:r>
          </w:p>
        </w:tc>
        <w:tc>
          <w:tcPr>
            <w:tcW w:w="4360" w:type="dxa"/>
          </w:tcPr>
          <w:p w14:paraId="616C0C54" w14:textId="275343DE" w:rsidR="0074163C" w:rsidRPr="00153C80" w:rsidRDefault="00D81DF8" w:rsidP="00153C80">
            <w:r w:rsidRPr="00153C80">
              <w:t>17 November 2021</w:t>
            </w:r>
          </w:p>
        </w:tc>
      </w:tr>
      <w:tr w:rsidR="0074163C" w14:paraId="5D28453B" w14:textId="77777777" w:rsidTr="009E5A87">
        <w:tc>
          <w:tcPr>
            <w:tcW w:w="4360" w:type="dxa"/>
          </w:tcPr>
          <w:p w14:paraId="70E02E45" w14:textId="77777777" w:rsidR="0074163C" w:rsidRDefault="0074163C" w:rsidP="009E5A87">
            <w:r>
              <w:t>Number of working days from submission dossier acceptance to registration decision*</w:t>
            </w:r>
          </w:p>
        </w:tc>
        <w:tc>
          <w:tcPr>
            <w:tcW w:w="4360" w:type="dxa"/>
          </w:tcPr>
          <w:p w14:paraId="635C0B3E" w14:textId="589460E6" w:rsidR="0074163C" w:rsidRPr="00153C80" w:rsidRDefault="00153C80" w:rsidP="00153C80">
            <w:r w:rsidRPr="00153C80">
              <w:t>196 days</w:t>
            </w:r>
          </w:p>
        </w:tc>
      </w:tr>
    </w:tbl>
    <w:p w14:paraId="6CF4BE00" w14:textId="6272BB93" w:rsidR="0074163C" w:rsidRDefault="0074163C" w:rsidP="0074163C">
      <w:pPr>
        <w:pStyle w:val="TableDescription"/>
      </w:pPr>
      <w:r>
        <w:t>*</w:t>
      </w:r>
      <w:r w:rsidRPr="00BF3774">
        <w:t xml:space="preserve">Statutory </w:t>
      </w:r>
      <w:r>
        <w:t xml:space="preserve">timeframe for standard </w:t>
      </w:r>
      <w:r w:rsidR="00BB0B78">
        <w:t>submission</w:t>
      </w:r>
      <w:r>
        <w:t>s is 255 working days</w:t>
      </w:r>
    </w:p>
    <w:p w14:paraId="7FC1EB9F" w14:textId="3F5FAC7A" w:rsidR="008E7846" w:rsidRPr="00792A32" w:rsidRDefault="00006FAB" w:rsidP="008E7846">
      <w:pPr>
        <w:pStyle w:val="Heading2"/>
      </w:pPr>
      <w:bookmarkStart w:id="28" w:name="_Toc196046504"/>
      <w:bookmarkStart w:id="29" w:name="_Toc247691527"/>
      <w:bookmarkStart w:id="30" w:name="_Toc314842510"/>
      <w:bookmarkStart w:id="31" w:name="_Toc117601959"/>
      <w:bookmarkStart w:id="32" w:name="_Toc163441390"/>
      <w:bookmarkEnd w:id="25"/>
      <w:bookmarkEnd w:id="26"/>
      <w:bookmarkEnd w:id="1"/>
      <w:r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8"/>
      <w:bookmarkEnd w:id="29"/>
      <w:bookmarkEnd w:id="30"/>
      <w:bookmarkEnd w:id="31"/>
    </w:p>
    <w:p w14:paraId="1906126F" w14:textId="18FDEA08" w:rsidR="005A79F5" w:rsidRDefault="005A79F5" w:rsidP="0074163C">
      <w:pPr>
        <w:pStyle w:val="Instructions"/>
        <w:rPr>
          <w:i w:val="0"/>
          <w:color w:val="auto"/>
        </w:rPr>
      </w:pPr>
      <w:bookmarkStart w:id="33" w:name="_Toc247691528"/>
      <w:bookmarkStart w:id="34" w:name="_Toc314842511"/>
      <w:r w:rsidRPr="005A79F5">
        <w:rPr>
          <w:i w:val="0"/>
          <w:color w:val="auto"/>
        </w:rPr>
        <w:t>A summary of the TGA’s assessment for this submission is provided below</w:t>
      </w:r>
      <w:r>
        <w:rPr>
          <w:i w:val="0"/>
          <w:color w:val="auto"/>
        </w:rPr>
        <w:t>.</w:t>
      </w:r>
    </w:p>
    <w:p w14:paraId="0A1875E9" w14:textId="22E9329F" w:rsidR="0074163C" w:rsidRDefault="0074163C" w:rsidP="0074163C">
      <w:r>
        <w:t>This section is a TGA summary of wording used in TGA’s evaluation report, which discussed numerous aspects of overseas evaluation reports and included some information that was commercial-in-confidence.</w:t>
      </w:r>
    </w:p>
    <w:p w14:paraId="2226105D" w14:textId="4D051112" w:rsidR="008E7846" w:rsidRDefault="008E7846" w:rsidP="008E7846">
      <w:pPr>
        <w:pStyle w:val="Heading3"/>
      </w:pPr>
      <w:bookmarkStart w:id="35" w:name="_Toc117601960"/>
      <w:r>
        <w:t>Quality</w:t>
      </w:r>
      <w:bookmarkEnd w:id="33"/>
      <w:bookmarkEnd w:id="34"/>
      <w:bookmarkEnd w:id="35"/>
    </w:p>
    <w:p w14:paraId="75844398" w14:textId="5D4389CC" w:rsidR="006C3528" w:rsidRDefault="006C3528" w:rsidP="006C3528">
      <w:r>
        <w:t>Nexviazyme</w:t>
      </w:r>
      <w:r w:rsidRPr="00FE4A93">
        <w:t xml:space="preserve"> (avalglucosidase alfa) is a</w:t>
      </w:r>
      <w:r>
        <w:t xml:space="preserve"> 110 </w:t>
      </w:r>
      <w:proofErr w:type="spellStart"/>
      <w:r>
        <w:t>kDa</w:t>
      </w:r>
      <w:proofErr w:type="spellEnd"/>
      <w:r w:rsidR="004869F2">
        <w:t xml:space="preserve"> recombinant human alpha</w:t>
      </w:r>
      <w:r w:rsidRPr="00FE4A93">
        <w:t>-glucosidase</w:t>
      </w:r>
      <w:r w:rsidR="008F2DD6">
        <w:t xml:space="preserve"> produced in Chinese hamster ovary cells (CHO) by recombinant DNA technology, which is subsequently conjugated with approximately 7 </w:t>
      </w:r>
      <w:proofErr w:type="spellStart"/>
      <w:r w:rsidR="008F2DD6">
        <w:t>hexamannose</w:t>
      </w:r>
      <w:proofErr w:type="spellEnd"/>
      <w:r w:rsidR="008F2DD6">
        <w:t xml:space="preserve"> structures, </w:t>
      </w:r>
      <w:r w:rsidRPr="00FE4A93">
        <w:t xml:space="preserve">multiple copies </w:t>
      </w:r>
      <w:r w:rsidRPr="00FE4A93">
        <w:lastRenderedPageBreak/>
        <w:t xml:space="preserve">of a synthetic bis-mannose-6-phosphate-containing glycan </w:t>
      </w:r>
      <w:r>
        <w:t xml:space="preserve">(M6P) </w:t>
      </w:r>
      <w:r w:rsidRPr="00FE4A93">
        <w:t>at sialic acid residues on the enzyme.</w:t>
      </w:r>
      <w:r>
        <w:t xml:space="preserve"> The </w:t>
      </w:r>
      <w:proofErr w:type="gramStart"/>
      <w:r>
        <w:t>two dimensional</w:t>
      </w:r>
      <w:proofErr w:type="gramEnd"/>
      <w:r>
        <w:t xml:space="preserve"> image in </w:t>
      </w:r>
      <w:r w:rsidR="009660B4">
        <w:fldChar w:fldCharType="begin"/>
      </w:r>
      <w:r w:rsidR="009660B4">
        <w:instrText xml:space="preserve"> REF _Ref110505850 \h </w:instrText>
      </w:r>
      <w:r w:rsidR="009660B4">
        <w:fldChar w:fldCharType="separate"/>
      </w:r>
      <w:r w:rsidR="009660B4">
        <w:t xml:space="preserve">Figure </w:t>
      </w:r>
      <w:r w:rsidR="009660B4">
        <w:rPr>
          <w:noProof/>
        </w:rPr>
        <w:t>1</w:t>
      </w:r>
      <w:r w:rsidR="009660B4">
        <w:fldChar w:fldCharType="end"/>
      </w:r>
      <w:r w:rsidR="009660B4">
        <w:t xml:space="preserve"> </w:t>
      </w:r>
      <w:r>
        <w:t xml:space="preserve">below </w:t>
      </w:r>
      <w:r w:rsidR="00A63AF3">
        <w:t xml:space="preserve">is a skeletal </w:t>
      </w:r>
      <w:r w:rsidR="004238C0">
        <w:t xml:space="preserve">structure diagram illustrating avalglucosidase alfa with one </w:t>
      </w:r>
      <w:proofErr w:type="spellStart"/>
      <w:r>
        <w:t>one</w:t>
      </w:r>
      <w:proofErr w:type="spellEnd"/>
      <w:r>
        <w:t xml:space="preserve"> conjugated glycan, the second image </w:t>
      </w:r>
      <w:r w:rsidR="009660B4">
        <w:t>(</w:t>
      </w:r>
      <w:r w:rsidR="009660B4">
        <w:fldChar w:fldCharType="begin"/>
      </w:r>
      <w:r w:rsidR="009660B4">
        <w:instrText xml:space="preserve"> REF _Ref110505876 \h </w:instrText>
      </w:r>
      <w:r w:rsidR="009660B4">
        <w:fldChar w:fldCharType="separate"/>
      </w:r>
      <w:r w:rsidR="009660B4">
        <w:t>Figure</w:t>
      </w:r>
      <w:r w:rsidR="004238C0">
        <w:t> </w:t>
      </w:r>
      <w:r w:rsidR="009660B4">
        <w:rPr>
          <w:noProof/>
        </w:rPr>
        <w:t>2</w:t>
      </w:r>
      <w:r w:rsidR="009660B4">
        <w:fldChar w:fldCharType="end"/>
      </w:r>
      <w:r w:rsidR="009660B4">
        <w:t>) is a computer-generated model.</w:t>
      </w:r>
    </w:p>
    <w:p w14:paraId="6C909441" w14:textId="4CA69938" w:rsidR="006C3528" w:rsidRDefault="006C3528" w:rsidP="006C3528">
      <w:pPr>
        <w:pStyle w:val="FigureTitle"/>
      </w:pPr>
      <w:bookmarkStart w:id="36" w:name="_Ref110505850"/>
      <w:r>
        <w:t xml:space="preserve">Figure </w:t>
      </w:r>
      <w:r>
        <w:fldChar w:fldCharType="begin"/>
      </w:r>
      <w:r>
        <w:instrText>SEQ Figure \* ARABIC</w:instrText>
      </w:r>
      <w:r>
        <w:fldChar w:fldCharType="separate"/>
      </w:r>
      <w:r>
        <w:rPr>
          <w:noProof/>
        </w:rPr>
        <w:t>1</w:t>
      </w:r>
      <w:r>
        <w:fldChar w:fldCharType="end"/>
      </w:r>
      <w:bookmarkEnd w:id="36"/>
      <w:r>
        <w:t xml:space="preserve">: </w:t>
      </w:r>
      <w:proofErr w:type="spellStart"/>
      <w:r>
        <w:t>Avalglucosidase</w:t>
      </w:r>
      <w:proofErr w:type="spellEnd"/>
      <w:r>
        <w:t xml:space="preserve"> alfa</w:t>
      </w:r>
      <w:r w:rsidR="009660B4">
        <w:t xml:space="preserve"> structure (single conjugated glycan)</w:t>
      </w:r>
    </w:p>
    <w:p w14:paraId="2E50D37C" w14:textId="58424335" w:rsidR="00795255" w:rsidRDefault="00795255" w:rsidP="006C3528">
      <w:pPr>
        <w:pStyle w:val="FigureTitle"/>
      </w:pPr>
      <w:r>
        <w:rPr>
          <w:noProof/>
          <w:lang w:val="en-GB" w:eastAsia="en-GB"/>
        </w:rPr>
        <w:drawing>
          <wp:inline distT="0" distB="0" distL="0" distR="0" wp14:anchorId="0119204C" wp14:editId="7CB87886">
            <wp:extent cx="5400040" cy="3918376"/>
            <wp:effectExtent l="0" t="0" r="0" b="6350"/>
            <wp:docPr id="3" name="Picture 3" descr="Avalglucosidase alfa structure (single conjugated glycan)" title="Avalglucosidase alfa structure (single conjugated gly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0040" cy="3918376"/>
                    </a:xfrm>
                    <a:prstGeom prst="rect">
                      <a:avLst/>
                    </a:prstGeom>
                  </pic:spPr>
                </pic:pic>
              </a:graphicData>
            </a:graphic>
          </wp:inline>
        </w:drawing>
      </w:r>
    </w:p>
    <w:p w14:paraId="67B6F422" w14:textId="030A36CC" w:rsidR="006C3528" w:rsidRDefault="006C3528" w:rsidP="006C3528"/>
    <w:p w14:paraId="70C09B6F" w14:textId="0EE43ECE" w:rsidR="006C3528" w:rsidRDefault="006C3528" w:rsidP="006C3528">
      <w:pPr>
        <w:pStyle w:val="FigureTitle"/>
      </w:pPr>
      <w:bookmarkStart w:id="37" w:name="_Ref110505876"/>
      <w:r>
        <w:lastRenderedPageBreak/>
        <w:t xml:space="preserve">Figure </w:t>
      </w:r>
      <w:r>
        <w:fldChar w:fldCharType="begin"/>
      </w:r>
      <w:r>
        <w:instrText>SEQ Figure \* ARABIC</w:instrText>
      </w:r>
      <w:r>
        <w:fldChar w:fldCharType="separate"/>
      </w:r>
      <w:r>
        <w:rPr>
          <w:noProof/>
        </w:rPr>
        <w:t>2</w:t>
      </w:r>
      <w:r>
        <w:fldChar w:fldCharType="end"/>
      </w:r>
      <w:bookmarkEnd w:id="37"/>
      <w:r>
        <w:t>:</w:t>
      </w:r>
      <w:r w:rsidR="009660B4">
        <w:t xml:space="preserve"> Avalglucosidase alfa structure (computer generated model)</w:t>
      </w:r>
    </w:p>
    <w:p w14:paraId="6E220372" w14:textId="21C893E4" w:rsidR="006C3528" w:rsidRDefault="006C3528" w:rsidP="006C3528">
      <w:r w:rsidRPr="00D81F4C">
        <w:rPr>
          <w:noProof/>
          <w:lang w:val="en-GB" w:eastAsia="en-GB"/>
        </w:rPr>
        <w:drawing>
          <wp:inline distT="0" distB="0" distL="0" distR="0" wp14:anchorId="4BA5D132" wp14:editId="145DA8BC">
            <wp:extent cx="4658264" cy="3704094"/>
            <wp:effectExtent l="0" t="0" r="9525" b="0"/>
            <wp:docPr id="2" name="Picture 2" descr="Figure 2: Avalglucosidase alfa structure (computer generated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Avalglucosidase alfa structure (computer generated mode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00673" cy="3737816"/>
                    </a:xfrm>
                    <a:prstGeom prst="rect">
                      <a:avLst/>
                    </a:prstGeom>
                    <a:noFill/>
                    <a:ln>
                      <a:noFill/>
                    </a:ln>
                  </pic:spPr>
                </pic:pic>
              </a:graphicData>
            </a:graphic>
          </wp:inline>
        </w:drawing>
      </w:r>
    </w:p>
    <w:p w14:paraId="209584C3" w14:textId="77777777" w:rsidR="009660B4" w:rsidRDefault="009660B4" w:rsidP="009660B4">
      <w:pPr>
        <w:pStyle w:val="FigureDescription"/>
      </w:pPr>
      <w:r>
        <w:t>Key to Figure 2:</w:t>
      </w:r>
    </w:p>
    <w:p w14:paraId="1E299632" w14:textId="77777777" w:rsidR="009660B4" w:rsidRDefault="009660B4" w:rsidP="009660B4">
      <w:pPr>
        <w:pStyle w:val="FigureDescription"/>
      </w:pPr>
      <w:r>
        <w:t>Purple: active site of the enzyme.</w:t>
      </w:r>
    </w:p>
    <w:p w14:paraId="5311504D" w14:textId="77777777" w:rsidR="009660B4" w:rsidRDefault="009660B4" w:rsidP="009660B4">
      <w:pPr>
        <w:pStyle w:val="FigureDescription"/>
      </w:pPr>
      <w:r>
        <w:t>Green: multiple N-linked glycosylation sites.</w:t>
      </w:r>
    </w:p>
    <w:p w14:paraId="2304546B" w14:textId="77777777" w:rsidR="009660B4" w:rsidRDefault="009660B4" w:rsidP="009660B4">
      <w:pPr>
        <w:pStyle w:val="FigureDescription"/>
      </w:pPr>
      <w:r>
        <w:t>Blue: amino-oxy linkers.</w:t>
      </w:r>
    </w:p>
    <w:p w14:paraId="26DE4E86" w14:textId="0DFA31C8" w:rsidR="009660B4" w:rsidRDefault="009660B4" w:rsidP="009660B4">
      <w:pPr>
        <w:pStyle w:val="FigureDescription"/>
      </w:pPr>
      <w:r>
        <w:t>Red: terminal glycan phosphates.</w:t>
      </w:r>
    </w:p>
    <w:p w14:paraId="29EB158A" w14:textId="39E4E1DD" w:rsidR="006C3528" w:rsidRDefault="006C3528" w:rsidP="006C3528">
      <w:r>
        <w:t xml:space="preserve">The </w:t>
      </w:r>
      <w:proofErr w:type="spellStart"/>
      <w:r>
        <w:t>avalglucosidase</w:t>
      </w:r>
      <w:proofErr w:type="spellEnd"/>
      <w:r>
        <w:t xml:space="preserve"> alfa drug substance is manufactured as a single process starting from cell bank vial thaw, through the upstream cell culture, downstream purification of alglucosidase alfa, conjugation of synthetic glycan E13 to generate avalglucosidase alfa, subsequent purification, and final formulation to generate the drug substance. In the drug product manufacturing process, the drug substance is sterile filled into vials with direct filtration, lyophilised, </w:t>
      </w:r>
      <w:proofErr w:type="gramStart"/>
      <w:r>
        <w:t>capped</w:t>
      </w:r>
      <w:proofErr w:type="gramEnd"/>
      <w:r>
        <w:t xml:space="preserve"> and labelled into the final product. The final formulation is 100</w:t>
      </w:r>
      <w:r w:rsidR="009660B4">
        <w:t> </w:t>
      </w:r>
      <w:r>
        <w:t>mg powder for inj</w:t>
      </w:r>
      <w:r w:rsidR="008F2DD6">
        <w:t xml:space="preserve">ection, to be made up to 10 </w:t>
      </w:r>
      <w:proofErr w:type="spellStart"/>
      <w:r w:rsidR="008F2DD6">
        <w:t>m</w:t>
      </w:r>
      <w:r w:rsidR="00795255">
        <w:t>L</w:t>
      </w:r>
      <w:r w:rsidR="008F2DD6">
        <w:t>.</w:t>
      </w:r>
      <w:proofErr w:type="spellEnd"/>
    </w:p>
    <w:p w14:paraId="0E386F4F" w14:textId="228FF0F3" w:rsidR="008F2DD6" w:rsidRDefault="008F2DD6" w:rsidP="008F2DD6">
      <w:r>
        <w:t>Each single-use vial contains 100 mg of avalglucosidase alfa as a powder for injection. The powder for injection is reconstituted with 10</w:t>
      </w:r>
      <w:r w:rsidR="004869F2">
        <w:t xml:space="preserve"> mL sterile water for injection</w:t>
      </w:r>
      <w:r>
        <w:t xml:space="preserve">. Each vial contains an overfill to compensate for liquid loss during preparation. Following reconstitution, each vial contains 10.3 mL reconstituted solution and a total extractable volume of 10 </w:t>
      </w:r>
      <w:proofErr w:type="spellStart"/>
      <w:r>
        <w:t>mL.</w:t>
      </w:r>
      <w:proofErr w:type="spellEnd"/>
      <w:r>
        <w:t xml:space="preserve"> Each 1 mL of the reconstituted solution contains 10 mg of avalglucosidase alfa.</w:t>
      </w:r>
    </w:p>
    <w:p w14:paraId="1DEB3A0F" w14:textId="0925DAB9" w:rsidR="008F2DD6" w:rsidRDefault="004C1A84" w:rsidP="008F2DD6">
      <w:r>
        <w:t xml:space="preserve">Along with the active pharmaceutical substance (avalglucosidase alfa), the Nexviazyme drug product is formulated with the </w:t>
      </w:r>
      <w:proofErr w:type="gramStart"/>
      <w:r>
        <w:t>excipients</w:t>
      </w:r>
      <w:proofErr w:type="gramEnd"/>
      <w:r>
        <w:t xml:space="preserve"> histidine, h</w:t>
      </w:r>
      <w:r w:rsidR="008F2DD6">
        <w:t>istidine hydrochloride monohyd</w:t>
      </w:r>
      <w:r>
        <w:t>rate, glycine, mannitol and p</w:t>
      </w:r>
      <w:r w:rsidR="008F2DD6">
        <w:t>olysorbate 80</w:t>
      </w:r>
      <w:r>
        <w:t>.</w:t>
      </w:r>
    </w:p>
    <w:p w14:paraId="0C449B04" w14:textId="7AF274D2" w:rsidR="004C1A84" w:rsidRDefault="004C1A84" w:rsidP="008F2DD6">
      <w:r w:rsidRPr="00186A72">
        <w:t xml:space="preserve">The </w:t>
      </w:r>
      <w:r>
        <w:t>drug product container closure system is a 20</w:t>
      </w:r>
      <w:r w:rsidRPr="00186A72">
        <w:t xml:space="preserve"> mL </w:t>
      </w:r>
      <w:r>
        <w:t>Type I</w:t>
      </w:r>
      <w:r w:rsidRPr="00186A72">
        <w:t xml:space="preserve"> clear glass</w:t>
      </w:r>
      <w:r>
        <w:t xml:space="preserve"> </w:t>
      </w:r>
      <w:r w:rsidRPr="00186A72">
        <w:t>vial closed</w:t>
      </w:r>
      <w:r>
        <w:t xml:space="preserve"> with a</w:t>
      </w:r>
      <w:r w:rsidRPr="00186A72">
        <w:t xml:space="preserve"> </w:t>
      </w:r>
      <w:r w:rsidRPr="00BD063C">
        <w:t>siliconized Type I grey elastomeric stopper. The stoppers are crimped to the vials with an</w:t>
      </w:r>
      <w:r>
        <w:t xml:space="preserve"> </w:t>
      </w:r>
      <w:r w:rsidRPr="00BD063C">
        <w:t xml:space="preserve">aluminium seal </w:t>
      </w:r>
      <w:r w:rsidRPr="00186A72">
        <w:t>with plastic flip-off cover</w:t>
      </w:r>
      <w:r>
        <w:t>.  The stability studies were conducted using the actual container.</w:t>
      </w:r>
    </w:p>
    <w:p w14:paraId="720855C2" w14:textId="064113C3" w:rsidR="000E1709" w:rsidRDefault="1D7E8D7B" w:rsidP="006C3528">
      <w:r>
        <w:t>The proposed shelf life for</w:t>
      </w:r>
      <w:r w:rsidRPr="7335A5F1">
        <w:rPr>
          <w:rFonts w:eastAsiaTheme="majorEastAsia" w:cstheme="majorBidi"/>
        </w:rPr>
        <w:t xml:space="preserve"> the </w:t>
      </w:r>
      <w:r>
        <w:t xml:space="preserve">drug product </w:t>
      </w:r>
      <w:r w:rsidR="266165C7">
        <w:t xml:space="preserve">is </w:t>
      </w:r>
      <w:r w:rsidR="00904D23">
        <w:t>48</w:t>
      </w:r>
      <w:r w:rsidR="266165C7">
        <w:t xml:space="preserve"> months when stored at 2 to </w:t>
      </w:r>
      <w:r w:rsidR="3C5F5170">
        <w:t>8°C</w:t>
      </w:r>
      <w:r w:rsidR="000E1709">
        <w:t>.</w:t>
      </w:r>
    </w:p>
    <w:p w14:paraId="1B3F3572" w14:textId="130E57F5" w:rsidR="000E1709" w:rsidRDefault="000E1709" w:rsidP="006C3528">
      <w:r>
        <w:lastRenderedPageBreak/>
        <w:t>The real time stability summary and conclusions supported the drug product shelf life of 24 months when stored at 2 to 8°C.</w:t>
      </w:r>
    </w:p>
    <w:p w14:paraId="4AB5746B" w14:textId="56351CAC" w:rsidR="004868D8" w:rsidRDefault="000E1709" w:rsidP="006C3528">
      <w:r>
        <w:t>The drug product has the</w:t>
      </w:r>
      <w:r w:rsidR="3C5F5170">
        <w:t xml:space="preserve"> following proposed storage instructions: Do not use Nexviazyme after the expiration date on the vial. The reconstituted and diluted solution should</w:t>
      </w:r>
      <w:r w:rsidR="50AEECA4">
        <w:t xml:space="preserve"> be administered without delay.</w:t>
      </w:r>
    </w:p>
    <w:p w14:paraId="5914E6E2" w14:textId="236A93D1" w:rsidR="004C1A84" w:rsidRDefault="004C1A84" w:rsidP="006C3528">
      <w:r>
        <w:t>The reconstituted product can be stored up to 24 hours when refrigerated at 2°C to 8°C and diluted product can be stored up to 24 hours when refrigerated at 2°C to 8°C and up to 9 hours (including infusion time) when stored at room temperature (up to 27 °C).</w:t>
      </w:r>
    </w:p>
    <w:p w14:paraId="6D172792" w14:textId="7F8A51B7" w:rsidR="004C1A84" w:rsidRDefault="004C1A84" w:rsidP="004C1A84">
      <w:pPr>
        <w:pStyle w:val="Heading4"/>
      </w:pPr>
      <w:r>
        <w:t>Recommendations and conclusions</w:t>
      </w:r>
    </w:p>
    <w:p w14:paraId="771036D2" w14:textId="1EA258DF" w:rsidR="004C1A84" w:rsidRDefault="004C1A84" w:rsidP="004C1A84">
      <w:r w:rsidRPr="000967DD">
        <w:t xml:space="preserve">The administrative, product usage, pharmaceutical, microbiological and biopharmaceutic data submitted in support of this </w:t>
      </w:r>
      <w:r w:rsidR="004868D8">
        <w:t>submission</w:t>
      </w:r>
      <w:r>
        <w:t xml:space="preserve"> have been fully evaluated and the</w:t>
      </w:r>
      <w:r w:rsidRPr="00592B6F">
        <w:t xml:space="preserve"> TGA has confirmed that the product satisfies Australian legislative, </w:t>
      </w:r>
      <w:proofErr w:type="spellStart"/>
      <w:r w:rsidRPr="00592B6F">
        <w:t>pharmacopoeial</w:t>
      </w:r>
      <w:proofErr w:type="spellEnd"/>
      <w:r w:rsidRPr="00592B6F">
        <w:t xml:space="preserve"> and relevant technical requirements.</w:t>
      </w:r>
    </w:p>
    <w:p w14:paraId="786DD64F" w14:textId="6186E14F" w:rsidR="004C1A84" w:rsidRPr="004C1A84" w:rsidRDefault="004C1A84" w:rsidP="004C1A84">
      <w:r>
        <w:t>There are no objections on quality grounds to the registration of Nexviazyme (avalglucosidase alfa).</w:t>
      </w:r>
    </w:p>
    <w:p w14:paraId="07507621" w14:textId="77777777" w:rsidR="006C3528" w:rsidRDefault="006C3528" w:rsidP="006C3528">
      <w:pPr>
        <w:pStyle w:val="Heading4"/>
      </w:pPr>
      <w:bookmarkStart w:id="38" w:name="_Hlk81238414"/>
      <w:r>
        <w:t>Pro</w:t>
      </w:r>
      <w:r w:rsidRPr="00AA53F4">
        <w:t>posed conditions of registration</w:t>
      </w:r>
      <w:bookmarkEnd w:id="38"/>
    </w:p>
    <w:p w14:paraId="34D0803E" w14:textId="52823854" w:rsidR="006C3528" w:rsidRPr="004C1A84" w:rsidRDefault="006C3528" w:rsidP="004C1A84">
      <w:bookmarkStart w:id="39" w:name="_Toc66778840"/>
      <w:bookmarkStart w:id="40" w:name="_Toc75940648"/>
      <w:r w:rsidRPr="004C1A84">
        <w:t>Laboratory testing &amp; compliance with Certified Product Details (CPD)</w:t>
      </w:r>
      <w:bookmarkEnd w:id="39"/>
      <w:bookmarkEnd w:id="40"/>
      <w:r w:rsidR="004C1A84">
        <w:t>:</w:t>
      </w:r>
    </w:p>
    <w:p w14:paraId="3DD4A377" w14:textId="20932A00" w:rsidR="006C3528" w:rsidRPr="004869F2" w:rsidRDefault="006C3528" w:rsidP="004869F2">
      <w:pPr>
        <w:ind w:left="720"/>
        <w:rPr>
          <w:rFonts w:asciiTheme="minorHAnsi" w:hAnsiTheme="minorHAnsi"/>
          <w:i/>
        </w:rPr>
      </w:pPr>
      <w:r w:rsidRPr="004869F2">
        <w:rPr>
          <w:rFonts w:asciiTheme="minorHAnsi" w:hAnsiTheme="minorHAnsi"/>
          <w:i/>
        </w:rPr>
        <w:t xml:space="preserve">All batches of </w:t>
      </w:r>
      <w:r w:rsidR="004869F2" w:rsidRPr="004869F2">
        <w:rPr>
          <w:rFonts w:asciiTheme="minorHAnsi" w:hAnsiTheme="minorHAnsi"/>
          <w:i/>
        </w:rPr>
        <w:t xml:space="preserve">Nexviazyme </w:t>
      </w:r>
      <w:r w:rsidRPr="004869F2">
        <w:rPr>
          <w:rFonts w:asciiTheme="minorHAnsi" w:hAnsiTheme="minorHAnsi"/>
          <w:i/>
        </w:rPr>
        <w:t>supplied in Australia must comply with the product details and specifications approved during evaluation and detailed in the Certified Product Details (CPD).</w:t>
      </w:r>
    </w:p>
    <w:p w14:paraId="566CABBD" w14:textId="7873B6A6" w:rsidR="006C3528" w:rsidRPr="004869F2" w:rsidRDefault="006C3528" w:rsidP="004869F2">
      <w:pPr>
        <w:ind w:left="720"/>
        <w:rPr>
          <w:b/>
          <w:i/>
        </w:rPr>
      </w:pPr>
      <w:r w:rsidRPr="004869F2">
        <w:rPr>
          <w:i/>
        </w:rPr>
        <w:t>When</w:t>
      </w:r>
      <w:r w:rsidR="004869F2" w:rsidRPr="004869F2">
        <w:rPr>
          <w:i/>
        </w:rPr>
        <w:t xml:space="preserve"> requested by the TGA, the s</w:t>
      </w:r>
      <w:r w:rsidRPr="004869F2">
        <w:rPr>
          <w:i/>
        </w:rPr>
        <w:t xml:space="preserve">ponsor should be prepared to provide product samples, specified reference materials and documentary evidence to enable the TGA to conduct laboratory testing on the Product. Outcomes of laboratory testing are published biannually in the TGA Database of Laboratory Testing Results </w:t>
      </w:r>
      <w:r w:rsidRPr="004869F2">
        <w:rPr>
          <w:i/>
          <w:color w:val="0000FF"/>
          <w:u w:val="single"/>
        </w:rPr>
        <w:t>http://www.tga.gov.au/ws-labs-index</w:t>
      </w:r>
      <w:r w:rsidRPr="004869F2">
        <w:rPr>
          <w:i/>
        </w:rPr>
        <w:t xml:space="preserve"> and periodically in testing reports on the TGA website.</w:t>
      </w:r>
    </w:p>
    <w:p w14:paraId="220CBC72" w14:textId="210F1B83" w:rsidR="008E7846" w:rsidRDefault="008E7846" w:rsidP="008E7846">
      <w:pPr>
        <w:pStyle w:val="Heading3"/>
      </w:pPr>
      <w:bookmarkStart w:id="41" w:name="_Toc314842512"/>
      <w:bookmarkStart w:id="42" w:name="_Toc117601961"/>
      <w:r>
        <w:t>Nonclinical</w:t>
      </w:r>
      <w:bookmarkEnd w:id="41"/>
      <w:bookmarkEnd w:id="42"/>
    </w:p>
    <w:p w14:paraId="0184A5D7" w14:textId="665334B6" w:rsidR="006660A7" w:rsidRDefault="006660A7" w:rsidP="004C1A84">
      <w:r>
        <w:t>The following is a summary of the non-clinical evaluation for this submission.</w:t>
      </w:r>
    </w:p>
    <w:p w14:paraId="0119ED48" w14:textId="3D1E53CF" w:rsidR="004C1A84" w:rsidRDefault="004C1A84" w:rsidP="00283F2E">
      <w:r>
        <w:t xml:space="preserve">The </w:t>
      </w:r>
      <w:r w:rsidR="006660A7">
        <w:t>submitted nonclinical data</w:t>
      </w:r>
      <w:r>
        <w:t xml:space="preserve"> was in accordance with the relevant</w:t>
      </w:r>
      <w:r w:rsidR="006660A7">
        <w:t xml:space="preserve"> International Council for Harmonisation</w:t>
      </w:r>
      <w:r>
        <w:t xml:space="preserve"> </w:t>
      </w:r>
      <w:r w:rsidR="006660A7">
        <w:t>(</w:t>
      </w:r>
      <w:r>
        <w:t>ICH</w:t>
      </w:r>
      <w:r w:rsidR="006660A7">
        <w:t>)</w:t>
      </w:r>
      <w:r>
        <w:t xml:space="preserve"> guideline for the nonclinical assessment of biotechnology products.</w:t>
      </w:r>
      <w:r w:rsidR="006660A7">
        <w:rPr>
          <w:rStyle w:val="FootnoteReference"/>
        </w:rPr>
        <w:footnoteReference w:id="10"/>
      </w:r>
      <w:r>
        <w:t xml:space="preserve"> The overall quality of the nonclinical dossier was high, and all pivotal safety</w:t>
      </w:r>
      <w:r w:rsidR="004238C0">
        <w:noBreakHyphen/>
      </w:r>
      <w:r>
        <w:t xml:space="preserve">related studies were </w:t>
      </w:r>
      <w:r w:rsidR="004869F2">
        <w:t>Good Laboratory Practice</w:t>
      </w:r>
      <w:r w:rsidR="006660A7">
        <w:t xml:space="preserve"> (</w:t>
      </w:r>
      <w:r>
        <w:t>GLP</w:t>
      </w:r>
      <w:r w:rsidR="006660A7">
        <w:t>)</w:t>
      </w:r>
      <w:r>
        <w:t xml:space="preserve"> compliant.</w:t>
      </w:r>
      <w:r w:rsidR="004238C0">
        <w:rPr>
          <w:rStyle w:val="FootnoteReference"/>
        </w:rPr>
        <w:footnoteReference w:id="11"/>
      </w:r>
    </w:p>
    <w:p w14:paraId="5AB0932F" w14:textId="5BC09BB8" w:rsidR="004C1A84" w:rsidRDefault="004C1A84" w:rsidP="00283F2E">
      <w:r>
        <w:t xml:space="preserve">Four </w:t>
      </w:r>
      <w:r w:rsidRPr="006660A7">
        <w:rPr>
          <w:i/>
        </w:rPr>
        <w:t xml:space="preserve">in vivo </w:t>
      </w:r>
      <w:r>
        <w:t xml:space="preserve">pharmacology </w:t>
      </w:r>
      <w:r w:rsidR="0045331C">
        <w:t>studies were conducted in acid alpha</w:t>
      </w:r>
      <w:r>
        <w:t>-glucosidase (GAA) knockout mice. Avalglucosidase alfa at 12 and 20 mg/kg IV (</w:t>
      </w:r>
      <w:r w:rsidR="006660A7">
        <w:t xml:space="preserve">that is, </w:t>
      </w:r>
      <w:proofErr w:type="gramStart"/>
      <w:r>
        <w:t>similar to</w:t>
      </w:r>
      <w:proofErr w:type="gramEnd"/>
      <w:r>
        <w:t xml:space="preserve"> the minimum clinical dose) resulted in reduced glycogen content in the heart, skeletal muscle (quadriceps and triceps), diaphragm, and psoas; in contrast, 4 mg/kg doses reduced </w:t>
      </w:r>
      <w:r>
        <w:lastRenderedPageBreak/>
        <w:t xml:space="preserve">glycogen in heart tissues only. The presence of at least three glycan moieties was found to be of sufficient efficacy (glycogen clearance), with inclusion of additional moieties providing no significant improvement in efficacy. </w:t>
      </w:r>
      <w:r w:rsidR="006660A7">
        <w:t>Antidrug antibodies</w:t>
      </w:r>
      <w:r>
        <w:t xml:space="preserve"> and hypersensitivity reactions were seen in all repeat-dose studies. The pharmacology studies support the proposed indication and dose in </w:t>
      </w:r>
      <w:r w:rsidR="00E00595">
        <w:t>late onset Pompe disease</w:t>
      </w:r>
      <w:r>
        <w:t xml:space="preserve"> patients.</w:t>
      </w:r>
    </w:p>
    <w:p w14:paraId="430B67F9" w14:textId="4FD56F9B" w:rsidR="004C1A84" w:rsidRDefault="004C1A84" w:rsidP="00283F2E">
      <w:r>
        <w:t>No secondary pharmacodynamics or pharmacodynamic drug interaction studies were conducted with avalglucosidase alfa, which is reasonable, given it is an enzyme replacement therapy.</w:t>
      </w:r>
    </w:p>
    <w:p w14:paraId="27A08A49" w14:textId="5F0B1069" w:rsidR="004C1A84" w:rsidRDefault="004C1A84" w:rsidP="00283F2E">
      <w:r>
        <w:t>No dedicated safety pharma</w:t>
      </w:r>
      <w:r w:rsidR="006660A7">
        <w:t xml:space="preserve">cology studies were conducted. </w:t>
      </w:r>
      <w:r>
        <w:t xml:space="preserve">Cardiovascular, respiratory, and central nervous system evaluations were included in the 26-week </w:t>
      </w:r>
      <w:r w:rsidRPr="00283F2E">
        <w:t>toxicity</w:t>
      </w:r>
      <w:r>
        <w:t xml:space="preserve"> study in monkeys. No effects on electrocardiogram (ECG), heart rate, body temperature, </w:t>
      </w:r>
      <w:proofErr w:type="spellStart"/>
      <w:r>
        <w:t>neurobehavioural</w:t>
      </w:r>
      <w:proofErr w:type="spellEnd"/>
      <w:r>
        <w:t xml:space="preserve"> and/or respiratory rate parameters w</w:t>
      </w:r>
      <w:r w:rsidR="004869F2">
        <w:t>ere reported at doses up to 200 </w:t>
      </w:r>
      <w:r>
        <w:t xml:space="preserve">mg/kg IV, administered every other week (19-fold the </w:t>
      </w:r>
      <w:r w:rsidR="006660A7">
        <w:t>maximum concentration (</w:t>
      </w:r>
      <w:r>
        <w:t>C</w:t>
      </w:r>
      <w:r w:rsidRPr="006660A7">
        <w:rPr>
          <w:vertAlign w:val="subscript"/>
        </w:rPr>
        <w:t>max</w:t>
      </w:r>
      <w:r w:rsidR="006660A7">
        <w:t>)</w:t>
      </w:r>
      <w:r>
        <w:t xml:space="preserve"> in </w:t>
      </w:r>
      <w:r w:rsidR="00E00595">
        <w:t>late onset Pompe disease</w:t>
      </w:r>
      <w:r>
        <w:t xml:space="preserve"> patients). </w:t>
      </w:r>
    </w:p>
    <w:p w14:paraId="4C99F0F4" w14:textId="63E0D7A8" w:rsidR="00283F2E" w:rsidRDefault="004C1A84" w:rsidP="00283F2E">
      <w:r>
        <w:t>Overall, the avalglucosidase alfa pharmacokinetic</w:t>
      </w:r>
      <w:r w:rsidR="00283F2E">
        <w:t xml:space="preserve"> (PK)</w:t>
      </w:r>
      <w:r>
        <w:t xml:space="preserve"> profile in mice and cynomolgus monkeys was comparable with the PK in humans, charac</w:t>
      </w:r>
      <w:r w:rsidR="006660A7">
        <w:t xml:space="preserve">terised by short </w:t>
      </w:r>
      <w:r w:rsidR="004869F2">
        <w:t>half-life (</w:t>
      </w:r>
      <w:r w:rsidR="006660A7">
        <w:t>t</w:t>
      </w:r>
      <w:r w:rsidR="004869F2">
        <w:rPr>
          <w:vertAlign w:val="subscript"/>
        </w:rPr>
        <w:t>1/2</w:t>
      </w:r>
      <w:r w:rsidR="004869F2">
        <w:t>)</w:t>
      </w:r>
      <w:r w:rsidR="006660A7">
        <w:t xml:space="preserve"> values (0.5 to </w:t>
      </w:r>
      <w:r>
        <w:t>2.7 h</w:t>
      </w:r>
      <w:r w:rsidR="006660A7">
        <w:t>ours</w:t>
      </w:r>
      <w:r>
        <w:t xml:space="preserve">), low clearance, and volume of distribution values lower than total body water. There were no sex differences in PK parameters in mice and monkeys. </w:t>
      </w:r>
      <w:r w:rsidR="00516ECE">
        <w:t xml:space="preserve">the </w:t>
      </w:r>
      <w:r w:rsidR="004869F2">
        <w:t>area under the concentration-time curve (</w:t>
      </w:r>
      <w:r>
        <w:t>AUC</w:t>
      </w:r>
      <w:r w:rsidR="004869F2">
        <w:t>)</w:t>
      </w:r>
      <w:r w:rsidR="00516ECE">
        <w:t xml:space="preserve"> in serum</w:t>
      </w:r>
      <w:r>
        <w:t>, t</w:t>
      </w:r>
      <w:r w:rsidR="004869F2">
        <w:rPr>
          <w:vertAlign w:val="subscript"/>
        </w:rPr>
        <w:t>1/2</w:t>
      </w:r>
      <w:r>
        <w:t xml:space="preserve"> and volume of distribution following a single dose of avalglucosidase alfa were </w:t>
      </w:r>
      <w:r w:rsidR="00283F2E">
        <w:t xml:space="preserve">significantly lower in mice compared with </w:t>
      </w:r>
      <w:proofErr w:type="spellStart"/>
      <w:r>
        <w:t>alglu</w:t>
      </w:r>
      <w:r w:rsidR="00283F2E">
        <w:t>cosidase</w:t>
      </w:r>
      <w:proofErr w:type="spellEnd"/>
      <w:r w:rsidR="00283F2E">
        <w:t xml:space="preserve"> alfa (</w:t>
      </w:r>
      <w:proofErr w:type="spellStart"/>
      <w:r w:rsidR="00283F2E">
        <w:t>Myozyme</w:t>
      </w:r>
      <w:proofErr w:type="spellEnd"/>
      <w:r>
        <w:t>),</w:t>
      </w:r>
      <w:r w:rsidR="004868D8" w:rsidRPr="004868D8">
        <w:rPr>
          <w:vertAlign w:val="superscript"/>
        </w:rPr>
        <w:fldChar w:fldCharType="begin"/>
      </w:r>
      <w:r w:rsidR="004868D8" w:rsidRPr="004868D8">
        <w:rPr>
          <w:vertAlign w:val="superscript"/>
        </w:rPr>
        <w:instrText xml:space="preserve"> NOTEREF _Ref117342450 \h </w:instrText>
      </w:r>
      <w:r w:rsidR="004868D8">
        <w:rPr>
          <w:vertAlign w:val="superscript"/>
        </w:rPr>
        <w:instrText xml:space="preserve"> \* MERGEFORMAT </w:instrText>
      </w:r>
      <w:r w:rsidR="004868D8" w:rsidRPr="004868D8">
        <w:rPr>
          <w:vertAlign w:val="superscript"/>
        </w:rPr>
      </w:r>
      <w:r w:rsidR="004868D8" w:rsidRPr="004868D8">
        <w:rPr>
          <w:vertAlign w:val="superscript"/>
        </w:rPr>
        <w:fldChar w:fldCharType="separate"/>
      </w:r>
      <w:r w:rsidR="004868D8" w:rsidRPr="004868D8">
        <w:rPr>
          <w:vertAlign w:val="superscript"/>
        </w:rPr>
        <w:t>7</w:t>
      </w:r>
      <w:r w:rsidR="004868D8" w:rsidRPr="004868D8">
        <w:rPr>
          <w:vertAlign w:val="superscript"/>
        </w:rPr>
        <w:fldChar w:fldCharType="end"/>
      </w:r>
      <w:r>
        <w:t xml:space="preserve"> possibly owing to increased tissue uptake of the modified enzyme. Tissue distribution of avalglucosidase alfa in mice was largely restricted to the liver, with much lower levels seen in the heart, skeletal </w:t>
      </w:r>
      <w:proofErr w:type="gramStart"/>
      <w:r>
        <w:t>muscle</w:t>
      </w:r>
      <w:proofErr w:type="gramEnd"/>
      <w:r>
        <w:t xml:space="preserve"> and bone marrow. </w:t>
      </w:r>
      <w:r w:rsidRPr="00283F2E">
        <w:rPr>
          <w:i/>
        </w:rPr>
        <w:t>In</w:t>
      </w:r>
      <w:r w:rsidR="00516ECE">
        <w:rPr>
          <w:i/>
        </w:rPr>
        <w:t> </w:t>
      </w:r>
      <w:r w:rsidRPr="00283F2E">
        <w:rPr>
          <w:i/>
        </w:rPr>
        <w:t>vitro</w:t>
      </w:r>
      <w:r>
        <w:t xml:space="preserve">, there was no evidence of cleavage of the linker from the protein component of avalglucosidase alfa. Hydrazine-containing compounds from metabolism of the linker are not expected to occur </w:t>
      </w:r>
      <w:r w:rsidRPr="00283F2E">
        <w:rPr>
          <w:i/>
        </w:rPr>
        <w:t>in vivo</w:t>
      </w:r>
      <w:r>
        <w:t>.</w:t>
      </w:r>
    </w:p>
    <w:p w14:paraId="5A9DFCC3" w14:textId="77777777" w:rsidR="00283F2E" w:rsidRDefault="004C1A84" w:rsidP="00283F2E">
      <w:r>
        <w:t>Single-dose toxicity studies with avalglucosidase alfa were not conducted.</w:t>
      </w:r>
    </w:p>
    <w:p w14:paraId="762141FB" w14:textId="1552B947" w:rsidR="00283F2E" w:rsidRDefault="004C1A84" w:rsidP="004C1A84">
      <w:r>
        <w:t xml:space="preserve">While repeat-dose toxicity studies were conducted in mice and monkeys (2 studies, respectively), only the pivotal 26-week monkey study was GLP-compliant. </w:t>
      </w:r>
      <w:proofErr w:type="gramStart"/>
      <w:r>
        <w:t>With the exception of</w:t>
      </w:r>
      <w:proofErr w:type="gramEnd"/>
      <w:r>
        <w:t xml:space="preserve"> hypersensitivity in mice, which may not be predictive of the clinical response, no organ toxicity was observed at doses up to 120 mg/kg, IV, every other day, or weekly (3.7-fold the mean </w:t>
      </w:r>
      <w:r w:rsidR="00283F2E">
        <w:t>area under the curve over 2 weeks (</w:t>
      </w:r>
      <w:r>
        <w:t>AUC</w:t>
      </w:r>
      <w:r w:rsidR="00283F2E" w:rsidRPr="00283F2E">
        <w:rPr>
          <w:vertAlign w:val="subscript"/>
        </w:rPr>
        <w:t>0-</w:t>
      </w:r>
      <w:r w:rsidRPr="00283F2E">
        <w:rPr>
          <w:vertAlign w:val="subscript"/>
        </w:rPr>
        <w:t>2w</w:t>
      </w:r>
      <w:r w:rsidR="00283F2E" w:rsidRPr="00283F2E">
        <w:rPr>
          <w:vertAlign w:val="subscript"/>
        </w:rPr>
        <w:t>k</w:t>
      </w:r>
      <w:r w:rsidR="00283F2E">
        <w:t>)</w:t>
      </w:r>
      <w:r>
        <w:t xml:space="preserve"> in </w:t>
      </w:r>
      <w:r w:rsidR="00E00595">
        <w:t>late onset Pompe disease</w:t>
      </w:r>
      <w:r>
        <w:t xml:space="preserve"> patients). No avalglucosidase alfa-related toxicological findings were observed in the pivotal monkey study up to 200 mg/kg, IV, fortnightly (23-fold the mean AUC</w:t>
      </w:r>
      <w:r w:rsidR="00283F2E" w:rsidRPr="00283F2E">
        <w:rPr>
          <w:vertAlign w:val="subscript"/>
        </w:rPr>
        <w:t>0-</w:t>
      </w:r>
      <w:r w:rsidRPr="00283F2E">
        <w:rPr>
          <w:vertAlign w:val="subscript"/>
        </w:rPr>
        <w:t>2w</w:t>
      </w:r>
      <w:r w:rsidR="00283F2E" w:rsidRPr="00283F2E">
        <w:rPr>
          <w:vertAlign w:val="subscript"/>
        </w:rPr>
        <w:t>k</w:t>
      </w:r>
      <w:r>
        <w:t xml:space="preserve"> in </w:t>
      </w:r>
      <w:r w:rsidR="00E00595">
        <w:t>late onset Pompe disease</w:t>
      </w:r>
      <w:r>
        <w:t xml:space="preserve"> patients). Lower heart weights were seen in some animals, which may be associated with the pharmacological activity of avalglucosidase alfa (</w:t>
      </w:r>
      <w:r w:rsidR="00283F2E">
        <w:t>depletion of glycogen content).</w:t>
      </w:r>
    </w:p>
    <w:p w14:paraId="37A41A81" w14:textId="0C87A5EE" w:rsidR="004C1A84" w:rsidRDefault="004C1A84" w:rsidP="004C1A84">
      <w:r>
        <w:t>No dedicated genotoxicity and carcinogenicity studies with avalglucosidase alfa were conducted; this is consistent with the relevant ICH guideline.</w:t>
      </w:r>
      <w:r w:rsidR="00283F2E">
        <w:rPr>
          <w:rStyle w:val="FootnoteReference"/>
        </w:rPr>
        <w:footnoteReference w:id="12"/>
      </w:r>
      <w:r>
        <w:t xml:space="preserve"> However, an exploratory micronucleus study in </w:t>
      </w:r>
      <w:r w:rsidRPr="0015647C">
        <w:rPr>
          <w:i/>
        </w:rPr>
        <w:t>GAA</w:t>
      </w:r>
      <w:r>
        <w:t xml:space="preserve"> knockout mice revealed no increase in </w:t>
      </w:r>
      <w:proofErr w:type="spellStart"/>
      <w:r>
        <w:t>micronucleated</w:t>
      </w:r>
      <w:proofErr w:type="spellEnd"/>
      <w:r>
        <w:t xml:space="preserve"> reticulocytes or </w:t>
      </w:r>
      <w:proofErr w:type="spellStart"/>
      <w:r>
        <w:t>no</w:t>
      </w:r>
      <w:r w:rsidR="00283F2E">
        <w:t>rmochromatic</w:t>
      </w:r>
      <w:proofErr w:type="spellEnd"/>
      <w:r w:rsidR="00283F2E">
        <w:t xml:space="preserve"> erythrocyte compared w</w:t>
      </w:r>
      <w:r w:rsidR="004869F2">
        <w:t>ith</w:t>
      </w:r>
      <w:r>
        <w:t xml:space="preserve"> controls, and a carcinogenicity risk assessment</w:t>
      </w:r>
      <w:r w:rsidR="00283F2E">
        <w:t xml:space="preserve"> was conducted based on </w:t>
      </w:r>
      <w:proofErr w:type="spellStart"/>
      <w:r w:rsidR="00283F2E">
        <w:t>Myozyme</w:t>
      </w:r>
      <w:proofErr w:type="spellEnd"/>
      <w:r w:rsidR="00283F2E">
        <w:t xml:space="preserve"> and </w:t>
      </w:r>
      <w:proofErr w:type="spellStart"/>
      <w:r w:rsidR="00283F2E">
        <w:t>Lumizyme</w:t>
      </w:r>
      <w:proofErr w:type="spellEnd"/>
      <w:r w:rsidR="00283F2E">
        <w:t xml:space="preserve"> (both </w:t>
      </w:r>
      <w:proofErr w:type="spellStart"/>
      <w:r w:rsidR="00283F2E">
        <w:t>a</w:t>
      </w:r>
      <w:r w:rsidR="00283F2E" w:rsidRPr="00283F2E">
        <w:t>lglucosidase</w:t>
      </w:r>
      <w:proofErr w:type="spellEnd"/>
      <w:r w:rsidR="00283F2E" w:rsidRPr="00283F2E">
        <w:t xml:space="preserve"> alfa</w:t>
      </w:r>
      <w:r>
        <w:t xml:space="preserve"> </w:t>
      </w:r>
      <w:r w:rsidR="00283F2E">
        <w:t>drug products)</w:t>
      </w:r>
      <w:r w:rsidR="004868D8">
        <w:t>;</w:t>
      </w:r>
      <w:r w:rsidR="004868D8" w:rsidRPr="004868D8">
        <w:rPr>
          <w:vertAlign w:val="superscript"/>
        </w:rPr>
        <w:fldChar w:fldCharType="begin"/>
      </w:r>
      <w:r w:rsidR="004868D8" w:rsidRPr="004868D8">
        <w:rPr>
          <w:vertAlign w:val="superscript"/>
        </w:rPr>
        <w:instrText xml:space="preserve"> NOTEREF _Ref117342450 \h </w:instrText>
      </w:r>
      <w:r w:rsidR="004868D8">
        <w:rPr>
          <w:vertAlign w:val="superscript"/>
        </w:rPr>
        <w:instrText xml:space="preserve"> \* MERGEFORMAT </w:instrText>
      </w:r>
      <w:r w:rsidR="004868D8" w:rsidRPr="004868D8">
        <w:rPr>
          <w:vertAlign w:val="superscript"/>
        </w:rPr>
      </w:r>
      <w:r w:rsidR="004868D8" w:rsidRPr="004868D8">
        <w:rPr>
          <w:vertAlign w:val="superscript"/>
        </w:rPr>
        <w:fldChar w:fldCharType="separate"/>
      </w:r>
      <w:r w:rsidR="004868D8" w:rsidRPr="004868D8">
        <w:rPr>
          <w:vertAlign w:val="superscript"/>
        </w:rPr>
        <w:t>7</w:t>
      </w:r>
      <w:r w:rsidR="004868D8" w:rsidRPr="004868D8">
        <w:rPr>
          <w:vertAlign w:val="superscript"/>
        </w:rPr>
        <w:fldChar w:fldCharType="end"/>
      </w:r>
      <w:r w:rsidR="00283F2E">
        <w:t xml:space="preserve"> </w:t>
      </w:r>
      <w:r>
        <w:t xml:space="preserve">data review and literature searches, and through evaluating the potential release of the linker moiety of Genz-669342 (Bis-M6P-Man6 hydroxylamine) and other hydrazine compounds in avalglucosidase alfa. Taken together, the carcinogenicity potential of avalglucosidase alfa appears minimal. </w:t>
      </w:r>
    </w:p>
    <w:p w14:paraId="2D99911E" w14:textId="73AFB0F1" w:rsidR="004C1A84" w:rsidRDefault="004C1A84" w:rsidP="004C1A84">
      <w:r>
        <w:t>Fertility was unaffected in mice treated with avalglucosi</w:t>
      </w:r>
      <w:r w:rsidR="00283F2E">
        <w:t>dase alfa at exposure levels 50 </w:t>
      </w:r>
      <w:r>
        <w:t xml:space="preserve">mg/kg IV, every </w:t>
      </w:r>
      <w:r w:rsidR="00283F2E">
        <w:t>second</w:t>
      </w:r>
      <w:r>
        <w:t xml:space="preserve"> day (9.4-fold the clinical dose for </w:t>
      </w:r>
      <w:r w:rsidR="00E00595">
        <w:t>late onset Pompe disease</w:t>
      </w:r>
      <w:r>
        <w:t xml:space="preserve"> patients). In a mouse embryofetal development study, a higher incidence of </w:t>
      </w:r>
      <w:r>
        <w:lastRenderedPageBreak/>
        <w:t>post</w:t>
      </w:r>
      <w:r w:rsidR="00516ECE">
        <w:noBreakHyphen/>
      </w:r>
      <w:r>
        <w:t>implantation loss was noted at doses &gt;</w:t>
      </w:r>
      <w:r w:rsidR="007A3E00">
        <w:t> </w:t>
      </w:r>
      <w:r>
        <w:t xml:space="preserve">20 mg/kg/day IV (subclinical exposures). However, since placental transfer of avalglucosidase alfa was not evident in mice, the effect </w:t>
      </w:r>
      <w:proofErr w:type="gramStart"/>
      <w:r w:rsidR="005A29E4">
        <w:t xml:space="preserve">was </w:t>
      </w:r>
      <w:r>
        <w:t>considered to be</w:t>
      </w:r>
      <w:proofErr w:type="gramEnd"/>
      <w:r>
        <w:t xml:space="preserve"> secondary to maternal toxicity arising from the immunological response. There was no evidence of fetal damage at 50</w:t>
      </w:r>
      <w:r w:rsidR="00153C80">
        <w:t xml:space="preserve"> mg/kg/day IV (17</w:t>
      </w:r>
      <w:r w:rsidR="00153C80">
        <w:noBreakHyphen/>
      </w:r>
      <w:r w:rsidR="007A3E00">
        <w:t>fold the AUC</w:t>
      </w:r>
      <w:r w:rsidR="007A3E00" w:rsidRPr="007A3E00">
        <w:rPr>
          <w:vertAlign w:val="subscript"/>
        </w:rPr>
        <w:t>0-2wk</w:t>
      </w:r>
      <w:r w:rsidRPr="007A3E00">
        <w:rPr>
          <w:vertAlign w:val="subscript"/>
        </w:rPr>
        <w:t xml:space="preserve"> </w:t>
      </w:r>
      <w:r>
        <w:t xml:space="preserve">in </w:t>
      </w:r>
      <w:r w:rsidR="00E00595">
        <w:t>late onset Pompe disease</w:t>
      </w:r>
      <w:r>
        <w:t xml:space="preserve"> patients. In rabbits, embryofetal development was unaffected at doses up to 100 mg/k</w:t>
      </w:r>
      <w:r w:rsidR="007A3E00">
        <w:t>g/day IV (91-fold the mean AUC</w:t>
      </w:r>
      <w:r w:rsidR="007A3E00" w:rsidRPr="007A3E00">
        <w:rPr>
          <w:vertAlign w:val="subscript"/>
        </w:rPr>
        <w:t>0-2wk</w:t>
      </w:r>
      <w:r>
        <w:t xml:space="preserve"> in </w:t>
      </w:r>
      <w:r w:rsidR="00E00595">
        <w:t>late onset Pompe disease</w:t>
      </w:r>
      <w:r>
        <w:t xml:space="preserve"> patients). No pre-/postnatal developmental effects were observed in mice at do</w:t>
      </w:r>
      <w:r w:rsidR="007A3E00">
        <w:t>ses up to 50 mg/kg IV, every second</w:t>
      </w:r>
      <w:r>
        <w:t xml:space="preserve"> day (9.4-fold the clinical dose for </w:t>
      </w:r>
      <w:r w:rsidR="00E00595">
        <w:t>late onset Pompe disease</w:t>
      </w:r>
      <w:r>
        <w:t xml:space="preserve"> patien</w:t>
      </w:r>
      <w:r w:rsidR="007A3E00">
        <w:t>ts). A </w:t>
      </w:r>
      <w:r>
        <w:t>pregnancy category of B</w:t>
      </w:r>
      <w:r w:rsidR="007A3E00">
        <w:t>1;</w:t>
      </w:r>
      <w:r w:rsidR="007A3E00">
        <w:rPr>
          <w:rStyle w:val="FootnoteReference"/>
        </w:rPr>
        <w:footnoteReference w:id="13"/>
      </w:r>
      <w:r w:rsidR="007A3E00">
        <w:t xml:space="preserve"> the same category as Myozyme</w:t>
      </w:r>
      <w:r>
        <w:t>,</w:t>
      </w:r>
      <w:r w:rsidR="00256387" w:rsidRPr="004868D8">
        <w:rPr>
          <w:vertAlign w:val="superscript"/>
        </w:rPr>
        <w:fldChar w:fldCharType="begin"/>
      </w:r>
      <w:r w:rsidR="00256387" w:rsidRPr="004868D8">
        <w:rPr>
          <w:vertAlign w:val="superscript"/>
        </w:rPr>
        <w:instrText xml:space="preserve"> NOTEREF _Ref117342450 \h </w:instrText>
      </w:r>
      <w:r w:rsidR="00256387">
        <w:rPr>
          <w:vertAlign w:val="superscript"/>
        </w:rPr>
        <w:instrText xml:space="preserve"> \* MERGEFORMAT </w:instrText>
      </w:r>
      <w:r w:rsidR="00256387" w:rsidRPr="004868D8">
        <w:rPr>
          <w:vertAlign w:val="superscript"/>
        </w:rPr>
      </w:r>
      <w:r w:rsidR="00256387" w:rsidRPr="004868D8">
        <w:rPr>
          <w:vertAlign w:val="superscript"/>
        </w:rPr>
        <w:fldChar w:fldCharType="separate"/>
      </w:r>
      <w:r w:rsidR="00256387" w:rsidRPr="004868D8">
        <w:rPr>
          <w:vertAlign w:val="superscript"/>
        </w:rPr>
        <w:t>7</w:t>
      </w:r>
      <w:r w:rsidR="00256387" w:rsidRPr="004868D8">
        <w:rPr>
          <w:vertAlign w:val="superscript"/>
        </w:rPr>
        <w:fldChar w:fldCharType="end"/>
      </w:r>
      <w:r w:rsidR="00256387">
        <w:t xml:space="preserve"> </w:t>
      </w:r>
      <w:r>
        <w:t xml:space="preserve"> was proposed by the sponsor, which is acceptable. </w:t>
      </w:r>
    </w:p>
    <w:p w14:paraId="776105F6" w14:textId="7F6909C5" w:rsidR="004C1A84" w:rsidRDefault="004C1A84" w:rsidP="004C1A84">
      <w:r>
        <w:t>A juvenile toxicity study was conducted in mice aged fro</w:t>
      </w:r>
      <w:r w:rsidR="004869F2">
        <w:t xml:space="preserve">m postnatal Day 21 to </w:t>
      </w:r>
      <w:r w:rsidR="007A3E00">
        <w:t>D</w:t>
      </w:r>
      <w:r w:rsidR="004869F2">
        <w:t>ay</w:t>
      </w:r>
      <w:r w:rsidR="007A3E00">
        <w:t> </w:t>
      </w:r>
      <w:r>
        <w:t xml:space="preserve">77 or </w:t>
      </w:r>
      <w:r w:rsidR="00256387">
        <w:t>Day </w:t>
      </w:r>
      <w:r>
        <w:t xml:space="preserve">91 (corresponds to children/adolescents of </w:t>
      </w:r>
      <w:r w:rsidR="007A3E00">
        <w:t xml:space="preserve">between 2 and </w:t>
      </w:r>
      <w:r>
        <w:t>16 years). At doses up to 1</w:t>
      </w:r>
      <w:r w:rsidR="004869F2">
        <w:t>00 </w:t>
      </w:r>
      <w:r w:rsidR="007A3E00">
        <w:t>mg/kg IV every other week (2 to 3-fold the highest mean AUC</w:t>
      </w:r>
      <w:r w:rsidR="007A3E00" w:rsidRPr="007A3E00">
        <w:rPr>
          <w:vertAlign w:val="subscript"/>
        </w:rPr>
        <w:t>0-2wk</w:t>
      </w:r>
      <w:r w:rsidRPr="007A3E00">
        <w:rPr>
          <w:vertAlign w:val="subscript"/>
        </w:rPr>
        <w:t xml:space="preserve"> </w:t>
      </w:r>
      <w:r>
        <w:t xml:space="preserve">value in </w:t>
      </w:r>
      <w:r w:rsidR="00256387">
        <w:t>infantile</w:t>
      </w:r>
      <w:r w:rsidR="00E00595">
        <w:t xml:space="preserve"> onset Pompe disease</w:t>
      </w:r>
      <w:r>
        <w:t xml:space="preserve"> patients), no significant growth or development effects were reported. The only notable finding was an immunological response, </w:t>
      </w:r>
      <w:proofErr w:type="gramStart"/>
      <w:r>
        <w:t>similar to</w:t>
      </w:r>
      <w:proofErr w:type="gramEnd"/>
      <w:r>
        <w:t xml:space="preserve"> that seen in adult mice. </w:t>
      </w:r>
    </w:p>
    <w:p w14:paraId="602E94F1" w14:textId="5FA2EABE" w:rsidR="004C1A84" w:rsidRDefault="004C1A84" w:rsidP="004C1A84">
      <w:r>
        <w:t>The limit for glycan is above the ICH Q3B qualification threshold of 0.15% (15 µg/mL).</w:t>
      </w:r>
      <w:r w:rsidR="007A3E00">
        <w:rPr>
          <w:rStyle w:val="FootnoteReference"/>
        </w:rPr>
        <w:footnoteReference w:id="14"/>
      </w:r>
      <w:r>
        <w:t xml:space="preserve"> The limit was qualified using genotoxicity studies (Ames test and chromosome aberration) and a 13-week repeat-dose toxicity study in monkeys (up to 5-fold the maximum amount of residual glycan at specification limit). The impurity, E11, was classified as potentially mutagenic (ICH M7 Class 3)</w:t>
      </w:r>
      <w:r w:rsidR="007A3E00">
        <w:t>;</w:t>
      </w:r>
      <w:r w:rsidR="007A3E00">
        <w:rPr>
          <w:rStyle w:val="FootnoteReference"/>
        </w:rPr>
        <w:footnoteReference w:id="15"/>
      </w:r>
      <w:r w:rsidR="00ED275D">
        <w:rPr>
          <w:vertAlign w:val="superscript"/>
        </w:rPr>
        <w:t>,</w:t>
      </w:r>
      <w:r w:rsidR="00ED275D">
        <w:rPr>
          <w:rStyle w:val="FootnoteReference"/>
        </w:rPr>
        <w:footnoteReference w:id="16"/>
      </w:r>
      <w:r>
        <w:t xml:space="preserve"> due to a hydrazine structural alert. However, the proposed limit is considered acceptable based on the </w:t>
      </w:r>
      <w:r w:rsidR="00ED275D" w:rsidRPr="00ED275D">
        <w:t>permissible daily exposure</w:t>
      </w:r>
      <w:r w:rsidR="00ED275D">
        <w:t xml:space="preserve"> </w:t>
      </w:r>
      <w:r>
        <w:t xml:space="preserve">for hydrazine. </w:t>
      </w:r>
    </w:p>
    <w:p w14:paraId="7614D503" w14:textId="13B04408" w:rsidR="004C1A84" w:rsidRDefault="004C1A84" w:rsidP="004C1A84">
      <w:r>
        <w:t xml:space="preserve">Results and conclusions drawn from the nonclinical program for avalglucosidase </w:t>
      </w:r>
      <w:r w:rsidR="00ED275D">
        <w:t>alfa detailed in the sponsor’s risk management p</w:t>
      </w:r>
      <w:r>
        <w:t xml:space="preserve">lan are in general concordance with those of the </w:t>
      </w:r>
      <w:r w:rsidR="00ED275D">
        <w:t>TGA’s nonclinical evaluation</w:t>
      </w:r>
    </w:p>
    <w:p w14:paraId="183CD0C6" w14:textId="0E09C1D5" w:rsidR="004C1A84" w:rsidRDefault="004C1A84" w:rsidP="004C1A84">
      <w:r>
        <w:t>There were no major deficiencies identified. Hypersensitivity reactions may be seen in patients.</w:t>
      </w:r>
    </w:p>
    <w:p w14:paraId="5B9F2497" w14:textId="570E67CE" w:rsidR="004C1A84" w:rsidRPr="004C1A84" w:rsidRDefault="00ED275D" w:rsidP="004C1A84">
      <w:r>
        <w:t xml:space="preserve">The TGA review </w:t>
      </w:r>
      <w:r w:rsidR="004C1A84">
        <w:t>made recommendations specific to</w:t>
      </w:r>
      <w:r w:rsidR="0015647C">
        <w:t xml:space="preserve"> the wording of the Australian Product I</w:t>
      </w:r>
      <w:r w:rsidR="004C1A84">
        <w:t xml:space="preserve">nformation, which were accepted by the sponsor. Changes were made in </w:t>
      </w:r>
      <w:r w:rsidR="0015647C">
        <w:t>S</w:t>
      </w:r>
      <w:r w:rsidR="004C1A84">
        <w:t>ection 4.6 Use in pregnancy, to specify the avalglucosidase alfa exposure ratios for the developmental and reproductive toxicity studies.</w:t>
      </w:r>
    </w:p>
    <w:p w14:paraId="3EA11E58" w14:textId="03A5602C" w:rsidR="006660A7" w:rsidRDefault="006660A7" w:rsidP="006660A7">
      <w:pPr>
        <w:pStyle w:val="Heading4"/>
      </w:pPr>
      <w:r>
        <w:t>Conclusion</w:t>
      </w:r>
    </w:p>
    <w:p w14:paraId="317DB0F3" w14:textId="77777777" w:rsidR="0045331C" w:rsidRDefault="006660A7" w:rsidP="006660A7">
      <w:r>
        <w:t xml:space="preserve">The </w:t>
      </w:r>
      <w:r w:rsidR="0045331C">
        <w:t>nonclinical</w:t>
      </w:r>
      <w:r>
        <w:t xml:space="preserve"> </w:t>
      </w:r>
      <w:r w:rsidR="0045331C">
        <w:t>data submitted</w:t>
      </w:r>
      <w:r>
        <w:t xml:space="preserve"> was in accordance with the relevant ICH guideline for the nonclinical assess</w:t>
      </w:r>
      <w:r w:rsidR="0045331C">
        <w:t>ment of biotechnology products.</w:t>
      </w:r>
    </w:p>
    <w:p w14:paraId="4A614AED" w14:textId="56205585" w:rsidR="006660A7" w:rsidRDefault="006660A7" w:rsidP="006660A7">
      <w:r>
        <w:t>The overall quality of the nonclinical dossier was high, and all pivotal safety-related studies were GLP compliant.</w:t>
      </w:r>
    </w:p>
    <w:p w14:paraId="7A671AE6" w14:textId="30E7A4BC" w:rsidR="006660A7" w:rsidRPr="006660A7" w:rsidRDefault="006660A7" w:rsidP="006660A7">
      <w:r>
        <w:lastRenderedPageBreak/>
        <w:t xml:space="preserve">There were no objections to the </w:t>
      </w:r>
      <w:r w:rsidR="0045331C">
        <w:t>registration of Nexviazyme (avalglucosidase</w:t>
      </w:r>
      <w:r w:rsidR="0045331C">
        <w:noBreakHyphen/>
      </w:r>
      <w:r>
        <w:t>alfa</w:t>
      </w:r>
      <w:r w:rsidR="0045331C">
        <w:t>) on non</w:t>
      </w:r>
      <w:r>
        <w:t>clinical grounds.</w:t>
      </w:r>
    </w:p>
    <w:p w14:paraId="49DA0A99" w14:textId="234C4085" w:rsidR="008E7846" w:rsidRDefault="008E7846" w:rsidP="008E7846">
      <w:pPr>
        <w:pStyle w:val="Heading3"/>
      </w:pPr>
      <w:bookmarkStart w:id="43" w:name="_Toc247691530"/>
      <w:bookmarkStart w:id="44" w:name="_Toc314842513"/>
      <w:bookmarkStart w:id="45" w:name="_Toc117601962"/>
      <w:r>
        <w:t>Clinical</w:t>
      </w:r>
      <w:bookmarkEnd w:id="43"/>
      <w:bookmarkEnd w:id="44"/>
      <w:bookmarkEnd w:id="45"/>
    </w:p>
    <w:p w14:paraId="74A8B4F9" w14:textId="077EA9D9" w:rsidR="004E7071" w:rsidRDefault="004E7071" w:rsidP="0074163C">
      <w:pPr>
        <w:pStyle w:val="Heading4"/>
      </w:pPr>
      <w:bookmarkStart w:id="46" w:name="_Toc98931928"/>
      <w:r>
        <w:t>Summary of clinical data</w:t>
      </w:r>
    </w:p>
    <w:p w14:paraId="2849B0B2" w14:textId="3048D1E3" w:rsidR="0074163C" w:rsidRDefault="0074163C" w:rsidP="004E7071">
      <w:pPr>
        <w:pStyle w:val="Heading5"/>
      </w:pPr>
      <w:r>
        <w:t>Summary of clinical studies</w:t>
      </w:r>
      <w:bookmarkEnd w:id="46"/>
    </w:p>
    <w:p w14:paraId="1D4E1538" w14:textId="07263FD1" w:rsidR="00D75DD8" w:rsidRPr="0045331C" w:rsidRDefault="0045331C" w:rsidP="0045331C">
      <w:r>
        <w:t>This</w:t>
      </w:r>
      <w:r w:rsidR="00D75DD8" w:rsidRPr="0045331C">
        <w:t xml:space="preserve"> </w:t>
      </w:r>
      <w:r w:rsidRPr="0045331C">
        <w:t>submission</w:t>
      </w:r>
      <w:r w:rsidR="00D75DD8" w:rsidRPr="0045331C">
        <w:t xml:space="preserve"> documented a full clinical development program of pharmacology, efficacy and safety studies appropriate for an orphan drug.</w:t>
      </w:r>
    </w:p>
    <w:p w14:paraId="5790B586" w14:textId="36241386" w:rsidR="00D75DD8" w:rsidRPr="00D75DD8" w:rsidRDefault="00D75DD8" w:rsidP="00D75DD8">
      <w:r>
        <w:t>The submission contained the following:</w:t>
      </w:r>
    </w:p>
    <w:p w14:paraId="55149349" w14:textId="3E0ECC9F" w:rsidR="00D75DD8" w:rsidRPr="0045331C" w:rsidRDefault="0015647C" w:rsidP="00D75DD8">
      <w:pPr>
        <w:pStyle w:val="ListBullet"/>
      </w:pPr>
      <w:r>
        <w:t>three</w:t>
      </w:r>
      <w:r w:rsidR="0045331C">
        <w:t xml:space="preserve"> </w:t>
      </w:r>
      <w:r w:rsidR="00D75DD8" w:rsidRPr="0045331C">
        <w:t>clinical p</w:t>
      </w:r>
      <w:r w:rsidR="0045331C" w:rsidRPr="0045331C">
        <w:t>harmacology studies providing pharmacokinetic</w:t>
      </w:r>
      <w:r w:rsidR="00D75DD8" w:rsidRPr="0045331C">
        <w:t xml:space="preserve">, </w:t>
      </w:r>
      <w:r w:rsidR="0045331C" w:rsidRPr="0045331C">
        <w:t>pharmacodyn</w:t>
      </w:r>
      <w:r w:rsidR="00B35D18">
        <w:t>a</w:t>
      </w:r>
      <w:r w:rsidR="0045331C" w:rsidRPr="0045331C">
        <w:t>mic</w:t>
      </w:r>
      <w:r w:rsidR="00D75DD8" w:rsidRPr="0045331C">
        <w:t xml:space="preserve"> and safety pharmacology data</w:t>
      </w:r>
      <w:r w:rsidR="0045331C" w:rsidRPr="0045331C">
        <w:t>: Study</w:t>
      </w:r>
      <w:r w:rsidR="00D75DD8" w:rsidRPr="0045331C">
        <w:t xml:space="preserve"> TDR12857, </w:t>
      </w:r>
      <w:r w:rsidR="0045331C" w:rsidRPr="0045331C">
        <w:t xml:space="preserve">Study </w:t>
      </w:r>
      <w:r w:rsidR="00D75DD8" w:rsidRPr="0045331C">
        <w:t xml:space="preserve">ACT14132 including </w:t>
      </w:r>
      <w:r w:rsidR="00A54FA3">
        <w:t>one </w:t>
      </w:r>
      <w:r w:rsidR="0045331C" w:rsidRPr="0045331C">
        <w:t>pharmacokinetic and pharmacokineti</w:t>
      </w:r>
      <w:r w:rsidR="00A54FA3">
        <w:t xml:space="preserve">c, </w:t>
      </w:r>
      <w:r w:rsidR="0045331C" w:rsidRPr="0045331C">
        <w:t>R</w:t>
      </w:r>
      <w:r w:rsidR="00D75DD8" w:rsidRPr="0045331C">
        <w:t>eport POH0817</w:t>
      </w:r>
      <w:r w:rsidR="00A54FA3">
        <w:t xml:space="preserve">, an </w:t>
      </w:r>
      <w:r w:rsidR="0045331C" w:rsidRPr="0045331C">
        <w:t>analysis of data from Study </w:t>
      </w:r>
      <w:r w:rsidR="00A54FA3">
        <w:t>EFC14028</w:t>
      </w:r>
      <w:r w:rsidR="00D75DD8" w:rsidRPr="0045331C">
        <w:t>.</w:t>
      </w:r>
    </w:p>
    <w:p w14:paraId="062A495B" w14:textId="3D056750" w:rsidR="00D75DD8" w:rsidRDefault="0015647C" w:rsidP="00D75DD8">
      <w:pPr>
        <w:pStyle w:val="ListBullet"/>
      </w:pPr>
      <w:r>
        <w:t>o</w:t>
      </w:r>
      <w:r w:rsidR="00D75DD8">
        <w:t>ne p</w:t>
      </w:r>
      <w:r w:rsidR="00D75DD8" w:rsidRPr="00A55675">
        <w:t>opulation PK (</w:t>
      </w:r>
      <w:proofErr w:type="spellStart"/>
      <w:r w:rsidR="00D75DD8" w:rsidRPr="00A55675">
        <w:t>popPK</w:t>
      </w:r>
      <w:proofErr w:type="spellEnd"/>
      <w:r w:rsidR="00D75DD8" w:rsidRPr="00A55675">
        <w:t xml:space="preserve">) </w:t>
      </w:r>
      <w:r w:rsidR="00D75DD8" w:rsidRPr="0045331C">
        <w:t>analysis</w:t>
      </w:r>
      <w:r w:rsidR="0045331C">
        <w:t>, Report</w:t>
      </w:r>
      <w:r w:rsidR="00D75DD8" w:rsidRPr="0045331C">
        <w:t xml:space="preserve"> POH0703</w:t>
      </w:r>
    </w:p>
    <w:p w14:paraId="3FB5A27A" w14:textId="17C68C7B" w:rsidR="00D75DD8" w:rsidRPr="0045331C" w:rsidRDefault="0015647C" w:rsidP="00D75DD8">
      <w:pPr>
        <w:pStyle w:val="ListBullet"/>
      </w:pPr>
      <w:r>
        <w:t>o</w:t>
      </w:r>
      <w:r w:rsidR="00D75DD8" w:rsidRPr="0045331C">
        <w:t>ne pivotal efficacy/safety stud</w:t>
      </w:r>
      <w:r w:rsidR="0045331C" w:rsidRPr="0045331C">
        <w:t xml:space="preserve">y: </w:t>
      </w:r>
      <w:r w:rsidR="00D75DD8" w:rsidRPr="0045331C">
        <w:t xml:space="preserve">Study EFC14028 (also called </w:t>
      </w:r>
      <w:r>
        <w:t xml:space="preserve">the </w:t>
      </w:r>
      <w:r w:rsidR="00D75DD8" w:rsidRPr="0045331C">
        <w:t>COMET</w:t>
      </w:r>
      <w:r>
        <w:t xml:space="preserve"> trial</w:t>
      </w:r>
      <w:r w:rsidR="00D75DD8" w:rsidRPr="0045331C">
        <w:t xml:space="preserve">) in </w:t>
      </w:r>
      <w:r w:rsidR="0045331C">
        <w:t>late</w:t>
      </w:r>
      <w:r w:rsidR="009E0086">
        <w:t>-</w:t>
      </w:r>
      <w:r w:rsidR="0045331C">
        <w:t xml:space="preserve">onset </w:t>
      </w:r>
      <w:proofErr w:type="spellStart"/>
      <w:r w:rsidR="0045331C">
        <w:t>Pompe</w:t>
      </w:r>
      <w:proofErr w:type="spellEnd"/>
      <w:r w:rsidR="0045331C">
        <w:t xml:space="preserve"> disease</w:t>
      </w:r>
      <w:r w:rsidR="00D75DD8" w:rsidRPr="0045331C">
        <w:t xml:space="preserve"> patients</w:t>
      </w:r>
    </w:p>
    <w:p w14:paraId="57FB3466" w14:textId="3707FBFD" w:rsidR="00D75DD8" w:rsidRDefault="0015647C" w:rsidP="00D75DD8">
      <w:pPr>
        <w:pStyle w:val="ListBullet"/>
      </w:pPr>
      <w:r>
        <w:t>two</w:t>
      </w:r>
      <w:r w:rsidR="0045331C">
        <w:t xml:space="preserve"> </w:t>
      </w:r>
      <w:r w:rsidR="00D75DD8" w:rsidRPr="00A55675">
        <w:t>other efficacy/safety stud</w:t>
      </w:r>
      <w:r w:rsidR="0045331C">
        <w:t xml:space="preserve">ies: </w:t>
      </w:r>
      <w:r w:rsidR="00D75DD8">
        <w:t xml:space="preserve">Study </w:t>
      </w:r>
      <w:r w:rsidR="0045331C">
        <w:t>LTS13769, an extension study to Study TDR</w:t>
      </w:r>
      <w:r w:rsidR="00D75DD8" w:rsidRPr="0045331C">
        <w:t>12857</w:t>
      </w:r>
      <w:r w:rsidR="0045331C">
        <w:t>,</w:t>
      </w:r>
      <w:r w:rsidR="00D75DD8" w:rsidRPr="0045331C">
        <w:t xml:space="preserve"> and </w:t>
      </w:r>
      <w:r w:rsidR="0045331C">
        <w:t xml:space="preserve">Study </w:t>
      </w:r>
      <w:r w:rsidR="00D75DD8" w:rsidRPr="0045331C">
        <w:t xml:space="preserve">ACT14132 </w:t>
      </w:r>
      <w:r>
        <w:t>(</w:t>
      </w:r>
      <w:r w:rsidR="00D75DD8" w:rsidRPr="0045331C">
        <w:t xml:space="preserve">also called </w:t>
      </w:r>
      <w:r>
        <w:t xml:space="preserve">the </w:t>
      </w:r>
      <w:r w:rsidR="00D75DD8" w:rsidRPr="0045331C">
        <w:t>mini-COMET</w:t>
      </w:r>
      <w:r w:rsidR="0045331C">
        <w:t xml:space="preserve"> trial</w:t>
      </w:r>
      <w:r>
        <w:t>)</w:t>
      </w:r>
      <w:r w:rsidR="00D75DD8" w:rsidRPr="0045331C">
        <w:t xml:space="preserve">, </w:t>
      </w:r>
      <w:r w:rsidR="0045331C">
        <w:t>in infantile</w:t>
      </w:r>
      <w:r w:rsidR="009E0086">
        <w:t>-</w:t>
      </w:r>
      <w:r w:rsidR="0045331C">
        <w:t xml:space="preserve">onset </w:t>
      </w:r>
      <w:proofErr w:type="spellStart"/>
      <w:r w:rsidR="0045331C">
        <w:t>Pompe</w:t>
      </w:r>
      <w:proofErr w:type="spellEnd"/>
      <w:r w:rsidR="0045331C">
        <w:t xml:space="preserve"> disease</w:t>
      </w:r>
      <w:r w:rsidR="00D75DD8" w:rsidRPr="0045331C">
        <w:t xml:space="preserve"> patients</w:t>
      </w:r>
      <w:r w:rsidR="0045331C">
        <w:t>)</w:t>
      </w:r>
    </w:p>
    <w:p w14:paraId="5B9D417D" w14:textId="69A4F0EE" w:rsidR="00D75DD8" w:rsidRDefault="0015647C" w:rsidP="00D75DD8">
      <w:pPr>
        <w:pStyle w:val="ListBullet"/>
      </w:pPr>
      <w:r>
        <w:t>six</w:t>
      </w:r>
      <w:r w:rsidR="0045331C">
        <w:t xml:space="preserve"> </w:t>
      </w:r>
      <w:r w:rsidR="00D75DD8">
        <w:t>o</w:t>
      </w:r>
      <w:r w:rsidR="00D75DD8" w:rsidRPr="00A55675">
        <w:t>ther reports</w:t>
      </w:r>
      <w:r w:rsidR="0045331C">
        <w:t>: an integrated summary of efficacy and safety, a h</w:t>
      </w:r>
      <w:r w:rsidR="00D75DD8">
        <w:t xml:space="preserve">ome infusion study, literature review of immunology for </w:t>
      </w:r>
      <w:r w:rsidR="00D75DD8" w:rsidRPr="0045331C">
        <w:t xml:space="preserve">Study </w:t>
      </w:r>
      <w:r w:rsidR="0045331C" w:rsidRPr="0045331C">
        <w:t>EFC14028</w:t>
      </w:r>
      <w:r w:rsidR="0045331C">
        <w:t xml:space="preserve"> </w:t>
      </w:r>
      <w:r w:rsidR="00D75DD8">
        <w:t xml:space="preserve">and updated tabulated data for efficacy outcomes for Study </w:t>
      </w:r>
      <w:r w:rsidR="00D75DD8" w:rsidRPr="0045331C">
        <w:t>EFC14028</w:t>
      </w:r>
    </w:p>
    <w:p w14:paraId="04A8ADF6" w14:textId="5FA61287" w:rsidR="00D75DD8" w:rsidRDefault="00D75DD8" w:rsidP="00D75DD8">
      <w:pPr>
        <w:pStyle w:val="ListBullet"/>
      </w:pPr>
      <w:r>
        <w:t>Literature references</w:t>
      </w:r>
    </w:p>
    <w:p w14:paraId="23E66CEF" w14:textId="32157504" w:rsidR="00D75DD8" w:rsidRDefault="00D75DD8" w:rsidP="00D75DD8">
      <w:pPr>
        <w:pStyle w:val="Heading5"/>
      </w:pPr>
      <w:bookmarkStart w:id="47" w:name="_Toc64207573"/>
      <w:r>
        <w:t>Paediatric data</w:t>
      </w:r>
      <w:bookmarkEnd w:id="47"/>
    </w:p>
    <w:p w14:paraId="59EDD19B" w14:textId="480C7FF3" w:rsidR="00D75DD8" w:rsidRPr="004E7071" w:rsidRDefault="00D75DD8" w:rsidP="004E7071">
      <w:r w:rsidRPr="004E7071">
        <w:t>Paediatric data was p</w:t>
      </w:r>
      <w:r w:rsidR="004E7071">
        <w:t xml:space="preserve">rovided for </w:t>
      </w:r>
      <w:r w:rsidR="00354C39">
        <w:t>patients from the age of one year and older, up to the age of 17 years</w:t>
      </w:r>
      <w:r w:rsidR="00904D23">
        <w:t>.</w:t>
      </w:r>
    </w:p>
    <w:p w14:paraId="138F1DC6" w14:textId="5C99B002" w:rsidR="00D75DD8" w:rsidRPr="004E7071" w:rsidRDefault="004E7071" w:rsidP="004E7071">
      <w:r>
        <w:t>The s</w:t>
      </w:r>
      <w:r w:rsidR="00D75DD8" w:rsidRPr="004E7071">
        <w:t xml:space="preserve">ponsor indicated that there is a proposed </w:t>
      </w:r>
      <w:r w:rsidR="00DE34BC" w:rsidRPr="004E7071">
        <w:t>study that</w:t>
      </w:r>
      <w:r w:rsidR="00D75DD8" w:rsidRPr="004E7071">
        <w:t xml:space="preserve"> has not yet been started for the age ranges:</w:t>
      </w:r>
      <w:r>
        <w:t xml:space="preserve"> infants and toddlers (28 days to</w:t>
      </w:r>
      <w:r w:rsidR="00D75DD8" w:rsidRPr="004E7071">
        <w:t xml:space="preserve"> 23 months) and preterm and term newborn infants (less than 28 days).</w:t>
      </w:r>
    </w:p>
    <w:p w14:paraId="69571607" w14:textId="500F65C5" w:rsidR="00354C39" w:rsidRPr="004E7071" w:rsidRDefault="004E7071" w:rsidP="004E7071">
      <w:r>
        <w:t>The s</w:t>
      </w:r>
      <w:r w:rsidR="00D75DD8" w:rsidRPr="004E7071">
        <w:t>ponsor indicated that they have an agreed Paediatric Investigation Plan (PIP) in Europe</w:t>
      </w:r>
      <w:r w:rsidR="00AF450C">
        <w:t xml:space="preserve">. </w:t>
      </w:r>
      <w:r w:rsidR="00354C39">
        <w:rPr>
          <w:sz w:val="23"/>
          <w:szCs w:val="23"/>
        </w:rPr>
        <w:t xml:space="preserve">The sponsor indicated that there is a proposed study which has not yet started, </w:t>
      </w:r>
      <w:r w:rsidR="00534D20">
        <w:rPr>
          <w:sz w:val="23"/>
          <w:szCs w:val="23"/>
        </w:rPr>
        <w:t>Study EFC14462 (also called the Baby-</w:t>
      </w:r>
      <w:r w:rsidR="00354C39">
        <w:rPr>
          <w:sz w:val="23"/>
          <w:szCs w:val="23"/>
        </w:rPr>
        <w:t>COMET</w:t>
      </w:r>
      <w:r w:rsidR="00534D20">
        <w:rPr>
          <w:sz w:val="23"/>
          <w:szCs w:val="23"/>
        </w:rPr>
        <w:t xml:space="preserve"> trial)</w:t>
      </w:r>
      <w:r w:rsidR="00354C39">
        <w:rPr>
          <w:sz w:val="23"/>
          <w:szCs w:val="23"/>
        </w:rPr>
        <w:t xml:space="preserve">. The study is part of the EU agreed PIP and will include naive </w:t>
      </w:r>
      <w:r w:rsidR="00534D20">
        <w:rPr>
          <w:sz w:val="23"/>
          <w:szCs w:val="23"/>
        </w:rPr>
        <w:t>infantile-onset Pompe disease</w:t>
      </w:r>
      <w:r w:rsidR="00354C39">
        <w:rPr>
          <w:sz w:val="23"/>
          <w:szCs w:val="23"/>
        </w:rPr>
        <w:t xml:space="preserve"> patients less than or equal to 6 months of age with </w:t>
      </w:r>
      <w:r w:rsidR="00534D20">
        <w:rPr>
          <w:sz w:val="23"/>
          <w:szCs w:val="23"/>
        </w:rPr>
        <w:t xml:space="preserve">infantile-onset Pompe disease </w:t>
      </w:r>
      <w:r w:rsidR="00354C39">
        <w:rPr>
          <w:sz w:val="23"/>
          <w:szCs w:val="23"/>
        </w:rPr>
        <w:t>(IOPD). A PI</w:t>
      </w:r>
      <w:r w:rsidR="00534D20">
        <w:rPr>
          <w:sz w:val="23"/>
          <w:szCs w:val="23"/>
        </w:rPr>
        <w:t>P modification to also include two</w:t>
      </w:r>
      <w:r w:rsidR="00354C39">
        <w:rPr>
          <w:sz w:val="23"/>
          <w:szCs w:val="23"/>
        </w:rPr>
        <w:t xml:space="preserve"> patients age</w:t>
      </w:r>
      <w:r w:rsidR="00534D20">
        <w:rPr>
          <w:sz w:val="23"/>
          <w:szCs w:val="23"/>
        </w:rPr>
        <w:t>d from</w:t>
      </w:r>
      <w:r w:rsidR="00354C39">
        <w:rPr>
          <w:sz w:val="23"/>
          <w:szCs w:val="23"/>
        </w:rPr>
        <w:t xml:space="preserve"> 7 to 12</w:t>
      </w:r>
      <w:r w:rsidR="00534D20">
        <w:rPr>
          <w:sz w:val="23"/>
          <w:szCs w:val="23"/>
        </w:rPr>
        <w:t xml:space="preserve"> </w:t>
      </w:r>
      <w:r w:rsidR="00354C39">
        <w:rPr>
          <w:sz w:val="23"/>
          <w:szCs w:val="23"/>
        </w:rPr>
        <w:t>m</w:t>
      </w:r>
      <w:r w:rsidR="00534D20">
        <w:rPr>
          <w:sz w:val="23"/>
          <w:szCs w:val="23"/>
        </w:rPr>
        <w:t>onths into S</w:t>
      </w:r>
      <w:r w:rsidR="00AF450C">
        <w:rPr>
          <w:sz w:val="23"/>
          <w:szCs w:val="23"/>
        </w:rPr>
        <w:t>tudy </w:t>
      </w:r>
      <w:r w:rsidR="00354C39">
        <w:rPr>
          <w:sz w:val="23"/>
          <w:szCs w:val="23"/>
        </w:rPr>
        <w:t>EFC14462</w:t>
      </w:r>
      <w:r w:rsidR="00516ECE">
        <w:rPr>
          <w:sz w:val="23"/>
          <w:szCs w:val="23"/>
        </w:rPr>
        <w:t>;</w:t>
      </w:r>
      <w:bookmarkStart w:id="48" w:name="_Ref121307698"/>
      <w:r w:rsidR="00516ECE">
        <w:rPr>
          <w:rStyle w:val="FootnoteReference"/>
          <w:sz w:val="23"/>
          <w:szCs w:val="23"/>
        </w:rPr>
        <w:footnoteReference w:id="17"/>
      </w:r>
      <w:bookmarkEnd w:id="48"/>
      <w:r w:rsidR="00354C39">
        <w:rPr>
          <w:sz w:val="23"/>
          <w:szCs w:val="23"/>
        </w:rPr>
        <w:t xml:space="preserve"> was agreed by </w:t>
      </w:r>
      <w:r w:rsidR="00534D20">
        <w:rPr>
          <w:sz w:val="23"/>
          <w:szCs w:val="23"/>
        </w:rPr>
        <w:t>the EMA’s paediatric committee (</w:t>
      </w:r>
      <w:r w:rsidR="00354C39">
        <w:rPr>
          <w:sz w:val="23"/>
          <w:szCs w:val="23"/>
        </w:rPr>
        <w:t>PDCO</w:t>
      </w:r>
      <w:r w:rsidR="00534D20">
        <w:rPr>
          <w:sz w:val="23"/>
          <w:szCs w:val="23"/>
        </w:rPr>
        <w:t>)</w:t>
      </w:r>
      <w:r w:rsidR="00354C39">
        <w:rPr>
          <w:sz w:val="23"/>
          <w:szCs w:val="23"/>
        </w:rPr>
        <w:t xml:space="preserve"> on 23</w:t>
      </w:r>
      <w:r w:rsidR="00AF450C">
        <w:rPr>
          <w:sz w:val="23"/>
          <w:szCs w:val="23"/>
        </w:rPr>
        <w:t> </w:t>
      </w:r>
      <w:r w:rsidR="00354C39">
        <w:rPr>
          <w:sz w:val="23"/>
          <w:szCs w:val="23"/>
        </w:rPr>
        <w:t>July</w:t>
      </w:r>
      <w:r w:rsidR="00AF450C">
        <w:rPr>
          <w:sz w:val="23"/>
          <w:szCs w:val="23"/>
        </w:rPr>
        <w:t> </w:t>
      </w:r>
      <w:r w:rsidR="00534D20">
        <w:rPr>
          <w:sz w:val="23"/>
          <w:szCs w:val="23"/>
        </w:rPr>
        <w:t>2020</w:t>
      </w:r>
      <w:r w:rsidR="00354C39">
        <w:rPr>
          <w:sz w:val="23"/>
          <w:szCs w:val="23"/>
        </w:rPr>
        <w:t xml:space="preserve">. The clinical trial protocol will therefore be amended in the very near future to allow inclusion of these patients. </w:t>
      </w:r>
      <w:r w:rsidR="00AF450C">
        <w:rPr>
          <w:sz w:val="23"/>
          <w:szCs w:val="23"/>
        </w:rPr>
        <w:t>First patient enrolment</w:t>
      </w:r>
      <w:r w:rsidR="00354C39">
        <w:rPr>
          <w:sz w:val="23"/>
          <w:szCs w:val="23"/>
        </w:rPr>
        <w:t xml:space="preserve"> is expected before end of 2021.</w:t>
      </w:r>
    </w:p>
    <w:p w14:paraId="6B6183F1" w14:textId="70CD4E8A" w:rsidR="00D75DD8" w:rsidRPr="004E7071" w:rsidRDefault="004E7071" w:rsidP="004E7071">
      <w:r>
        <w:lastRenderedPageBreak/>
        <w:t>The s</w:t>
      </w:r>
      <w:r w:rsidR="00D75DD8" w:rsidRPr="004E7071">
        <w:t>ponsor stated that they do not have an agreed Paediatric Plan under the Paediatric Research Equity Act (PREA) in the USA as this legislation does not apply to any drug for an indication for which orphan designation has been granted.</w:t>
      </w:r>
    </w:p>
    <w:p w14:paraId="170F9EE0" w14:textId="3B494752" w:rsidR="00D75DD8" w:rsidRDefault="004E7071" w:rsidP="001C6B42">
      <w:pPr>
        <w:pStyle w:val="Heading5"/>
      </w:pPr>
      <w:bookmarkStart w:id="49" w:name="_Toc64207574"/>
      <w:r>
        <w:t>Good Clinical P</w:t>
      </w:r>
      <w:r w:rsidR="00D75DD8">
        <w:t>ractice</w:t>
      </w:r>
      <w:bookmarkEnd w:id="49"/>
    </w:p>
    <w:p w14:paraId="4E81BD47" w14:textId="77777777" w:rsidR="004E7071" w:rsidRDefault="004E7071" w:rsidP="004E7071">
      <w:pPr>
        <w:rPr>
          <w:lang w:eastAsia="ja-JP"/>
        </w:rPr>
      </w:pPr>
      <w:r>
        <w:rPr>
          <w:lang w:eastAsia="ja-JP"/>
        </w:rPr>
        <w:t>The s</w:t>
      </w:r>
      <w:r w:rsidR="00D75DD8">
        <w:rPr>
          <w:lang w:eastAsia="ja-JP"/>
        </w:rPr>
        <w:t>ponsor states t</w:t>
      </w:r>
      <w:r>
        <w:rPr>
          <w:lang w:eastAsia="ja-JP"/>
        </w:rPr>
        <w:t>hat all studies were conducted:</w:t>
      </w:r>
    </w:p>
    <w:p w14:paraId="72E4F307" w14:textId="4FF957B1" w:rsidR="004E7071" w:rsidRDefault="004E7071" w:rsidP="004E7071">
      <w:pPr>
        <w:ind w:left="720"/>
        <w:rPr>
          <w:lang w:eastAsia="ja-JP"/>
        </w:rPr>
      </w:pPr>
      <w:r>
        <w:rPr>
          <w:i/>
          <w:lang w:eastAsia="ja-JP"/>
        </w:rPr>
        <w:t>I</w:t>
      </w:r>
      <w:r w:rsidR="00D75DD8" w:rsidRPr="00262A6A">
        <w:rPr>
          <w:i/>
          <w:lang w:eastAsia="ja-JP"/>
        </w:rPr>
        <w:t>n accordance with consensus ethics principles derived from international ethics guidelines, including the Declaration of Helsinki, and the ICH guidelines for Good Clinical Practice</w:t>
      </w:r>
      <w:r w:rsidR="00D75DD8">
        <w:rPr>
          <w:i/>
          <w:lang w:eastAsia="ja-JP"/>
        </w:rPr>
        <w:t xml:space="preserve"> (GCP)</w:t>
      </w:r>
      <w:r w:rsidR="00D75DD8" w:rsidRPr="00262A6A">
        <w:rPr>
          <w:i/>
          <w:lang w:eastAsia="ja-JP"/>
        </w:rPr>
        <w:t xml:space="preserve">, all applicable laws, </w:t>
      </w:r>
      <w:proofErr w:type="gramStart"/>
      <w:r w:rsidR="00D75DD8" w:rsidRPr="00262A6A">
        <w:rPr>
          <w:i/>
          <w:lang w:eastAsia="ja-JP"/>
        </w:rPr>
        <w:t>rules</w:t>
      </w:r>
      <w:proofErr w:type="gramEnd"/>
      <w:r w:rsidR="00D75DD8" w:rsidRPr="00262A6A">
        <w:rPr>
          <w:i/>
          <w:lang w:eastAsia="ja-JP"/>
        </w:rPr>
        <w:t xml:space="preserve"> and regulations</w:t>
      </w:r>
      <w:r>
        <w:rPr>
          <w:lang w:eastAsia="ja-JP"/>
        </w:rPr>
        <w:t>.</w:t>
      </w:r>
    </w:p>
    <w:p w14:paraId="4D4EC79F" w14:textId="03A52E11" w:rsidR="00D75DD8" w:rsidRDefault="00D75DD8" w:rsidP="004E7071">
      <w:pPr>
        <w:rPr>
          <w:lang w:eastAsia="ja-JP"/>
        </w:rPr>
      </w:pPr>
      <w:r>
        <w:rPr>
          <w:lang w:eastAsia="ja-JP"/>
        </w:rPr>
        <w:t>All studies were reviewed by appropriate ethics committees and informed consent from adults and assent for children was obtained prior to the conduct of any study related procedures.</w:t>
      </w:r>
    </w:p>
    <w:p w14:paraId="624D0D34" w14:textId="33D6A5D2" w:rsidR="00D75DD8" w:rsidRDefault="00D75DD8" w:rsidP="004E7071">
      <w:pPr>
        <w:rPr>
          <w:lang w:eastAsia="ja-JP"/>
        </w:rPr>
      </w:pPr>
      <w:r>
        <w:rPr>
          <w:lang w:eastAsia="ja-JP"/>
        </w:rPr>
        <w:t xml:space="preserve">No notable </w:t>
      </w:r>
      <w:r w:rsidR="004E7071">
        <w:rPr>
          <w:lang w:eastAsia="ja-JP"/>
        </w:rPr>
        <w:t>Good Clinical Practice (GCP)</w:t>
      </w:r>
      <w:r>
        <w:rPr>
          <w:lang w:eastAsia="ja-JP"/>
        </w:rPr>
        <w:t xml:space="preserve"> deviations were noted in any of the study documentation.</w:t>
      </w:r>
    </w:p>
    <w:p w14:paraId="4229D613" w14:textId="77777777" w:rsidR="00DE34BC" w:rsidRDefault="00DE34BC" w:rsidP="00DE34BC">
      <w:pPr>
        <w:pStyle w:val="Heading5"/>
        <w:rPr>
          <w:lang w:eastAsia="ja-JP"/>
        </w:rPr>
      </w:pPr>
      <w:r>
        <w:rPr>
          <w:lang w:eastAsia="ja-JP"/>
        </w:rPr>
        <w:t>Guidance</w:t>
      </w:r>
    </w:p>
    <w:p w14:paraId="5A0660B5" w14:textId="3A5F9B3C" w:rsidR="00DE34BC" w:rsidRPr="00DE34BC" w:rsidRDefault="00DE34BC" w:rsidP="00DE34BC">
      <w:pPr>
        <w:rPr>
          <w:lang w:eastAsia="ja-JP"/>
        </w:rPr>
      </w:pPr>
      <w:r>
        <w:rPr>
          <w:lang w:eastAsia="ja-JP"/>
        </w:rPr>
        <w:t>The Delegate listed the following guidance as being applicable to this submission:</w:t>
      </w:r>
    </w:p>
    <w:p w14:paraId="1618A5A4" w14:textId="77777777" w:rsidR="00DE34BC" w:rsidRDefault="00DE34BC" w:rsidP="00DE34BC">
      <w:pPr>
        <w:pStyle w:val="ListBullet"/>
        <w:rPr>
          <w:lang w:eastAsia="ja-JP"/>
        </w:rPr>
      </w:pPr>
      <w:r>
        <w:rPr>
          <w:lang w:eastAsia="ja-JP"/>
        </w:rPr>
        <w:t>Guideline on the Role of Pharmacokinetics in the Development of Medicinal Products in the Paediatric Population. EMEA/CHMP/EWP/147013/2004 Corr.</w:t>
      </w:r>
    </w:p>
    <w:p w14:paraId="4B0B3034" w14:textId="77777777" w:rsidR="00DE34BC" w:rsidRDefault="00DE34BC" w:rsidP="00DE34BC">
      <w:pPr>
        <w:pStyle w:val="ListBullet"/>
        <w:numPr>
          <w:ilvl w:val="0"/>
          <w:numId w:val="0"/>
        </w:numPr>
        <w:ind w:left="360"/>
        <w:rPr>
          <w:lang w:eastAsia="ja-JP"/>
        </w:rPr>
      </w:pPr>
      <w:r>
        <w:rPr>
          <w:lang w:eastAsia="ja-JP"/>
        </w:rPr>
        <w:t>Effective from 24 August 2009</w:t>
      </w:r>
    </w:p>
    <w:p w14:paraId="71A4FFC6" w14:textId="77777777" w:rsidR="00DE34BC" w:rsidRDefault="00DE34BC" w:rsidP="00DE34BC">
      <w:pPr>
        <w:pStyle w:val="ListBullet"/>
        <w:rPr>
          <w:lang w:eastAsia="ja-JP"/>
        </w:rPr>
      </w:pPr>
      <w:r>
        <w:rPr>
          <w:lang w:eastAsia="ja-JP"/>
        </w:rPr>
        <w:t>Note for Guidance on Clinical Investigation of Medicinal Products in the Paediatric Population. CPMP/ICH/2711/99.</w:t>
      </w:r>
    </w:p>
    <w:p w14:paraId="3330D3EC" w14:textId="6FD3CA00" w:rsidR="00DE34BC" w:rsidRDefault="00DE34BC" w:rsidP="00DE34BC">
      <w:pPr>
        <w:pStyle w:val="ListBullet"/>
        <w:numPr>
          <w:ilvl w:val="0"/>
          <w:numId w:val="0"/>
        </w:numPr>
        <w:ind w:left="360"/>
        <w:rPr>
          <w:lang w:eastAsia="ja-JP"/>
        </w:rPr>
      </w:pPr>
      <w:r>
        <w:rPr>
          <w:lang w:eastAsia="ja-JP"/>
        </w:rPr>
        <w:t>Effective from 19 April 2001</w:t>
      </w:r>
    </w:p>
    <w:p w14:paraId="24F34C5C" w14:textId="77777777" w:rsidR="00DE34BC" w:rsidRDefault="00DE34BC" w:rsidP="00DE34BC">
      <w:pPr>
        <w:pStyle w:val="ListBullet"/>
        <w:rPr>
          <w:lang w:eastAsia="ja-JP"/>
        </w:rPr>
      </w:pPr>
      <w:r>
        <w:rPr>
          <w:lang w:eastAsia="ja-JP"/>
        </w:rPr>
        <w:t>Reflection Paper on the Use of Extrapolation in the Development of Medicines for Paediatrics. EMA/189724/2018.</w:t>
      </w:r>
    </w:p>
    <w:p w14:paraId="40F552F1" w14:textId="77777777" w:rsidR="00DE34BC" w:rsidRDefault="00DE34BC" w:rsidP="00DE34BC">
      <w:pPr>
        <w:pStyle w:val="ListBullet"/>
        <w:numPr>
          <w:ilvl w:val="0"/>
          <w:numId w:val="0"/>
        </w:numPr>
        <w:ind w:left="360"/>
        <w:rPr>
          <w:lang w:eastAsia="ja-JP"/>
        </w:rPr>
      </w:pPr>
      <w:r>
        <w:rPr>
          <w:lang w:eastAsia="ja-JP"/>
        </w:rPr>
        <w:t>Effective from 1 August 2014</w:t>
      </w:r>
    </w:p>
    <w:p w14:paraId="352FBF3A" w14:textId="77777777" w:rsidR="00DE34BC" w:rsidRDefault="00DE34BC" w:rsidP="00DE34BC">
      <w:pPr>
        <w:pStyle w:val="ListBullet"/>
        <w:rPr>
          <w:lang w:eastAsia="ja-JP"/>
        </w:rPr>
      </w:pPr>
      <w:r>
        <w:rPr>
          <w:lang w:eastAsia="ja-JP"/>
        </w:rPr>
        <w:t>Guideline on Clinical Trials in Small Populations. CHMP/ICH/375/95.</w:t>
      </w:r>
    </w:p>
    <w:p w14:paraId="49CBAEAA" w14:textId="13DDF5E8" w:rsidR="00DE34BC" w:rsidRDefault="00DE34BC" w:rsidP="00DE34BC">
      <w:pPr>
        <w:pStyle w:val="ListBullet"/>
        <w:numPr>
          <w:ilvl w:val="0"/>
          <w:numId w:val="0"/>
        </w:numPr>
        <w:ind w:left="360"/>
        <w:rPr>
          <w:lang w:eastAsia="ja-JP"/>
        </w:rPr>
      </w:pPr>
      <w:r>
        <w:rPr>
          <w:lang w:eastAsia="ja-JP"/>
        </w:rPr>
        <w:t>Effective from 1 December 2006</w:t>
      </w:r>
    </w:p>
    <w:p w14:paraId="3CDE2E14" w14:textId="77777777" w:rsidR="00DE34BC" w:rsidRDefault="00DE34BC" w:rsidP="00DE34BC">
      <w:pPr>
        <w:pStyle w:val="ListBullet"/>
        <w:rPr>
          <w:lang w:eastAsia="ja-JP"/>
        </w:rPr>
      </w:pPr>
      <w:r>
        <w:rPr>
          <w:lang w:eastAsia="ja-JP"/>
        </w:rPr>
        <w:t>Note for Guidance on Population Exposure: The extent of Population Exposure to Assess Clinical Safety. CHMP/ICH/375/95.</w:t>
      </w:r>
    </w:p>
    <w:p w14:paraId="4DC5E198" w14:textId="0DE7B353" w:rsidR="00DE34BC" w:rsidRDefault="00DE34BC" w:rsidP="00DE34BC">
      <w:pPr>
        <w:pStyle w:val="ListBullet"/>
        <w:numPr>
          <w:ilvl w:val="0"/>
          <w:numId w:val="0"/>
        </w:numPr>
        <w:ind w:left="360"/>
        <w:rPr>
          <w:lang w:eastAsia="ja-JP"/>
        </w:rPr>
      </w:pPr>
      <w:r>
        <w:rPr>
          <w:lang w:eastAsia="ja-JP"/>
        </w:rPr>
        <w:t>Effective from 12 February 2002</w:t>
      </w:r>
    </w:p>
    <w:p w14:paraId="71DCE846" w14:textId="77777777" w:rsidR="00DE34BC" w:rsidRDefault="00DE34BC" w:rsidP="00DE34BC">
      <w:pPr>
        <w:pStyle w:val="ListBullet"/>
        <w:rPr>
          <w:lang w:eastAsia="ja-JP"/>
        </w:rPr>
      </w:pPr>
      <w:r>
        <w:rPr>
          <w:lang w:eastAsia="ja-JP"/>
        </w:rPr>
        <w:t>Guideline on Immunogenicity Assessment of Biotechnology Derived Therapeutic Proteins. EMEA/CHMP/BMWP/14327/2006.</w:t>
      </w:r>
    </w:p>
    <w:p w14:paraId="4CA4350B" w14:textId="3CD2D1FB" w:rsidR="00DE34BC" w:rsidRDefault="00DE34BC" w:rsidP="00DE34BC">
      <w:pPr>
        <w:pStyle w:val="ListBullet"/>
        <w:numPr>
          <w:ilvl w:val="0"/>
          <w:numId w:val="0"/>
        </w:numPr>
        <w:ind w:left="360"/>
        <w:rPr>
          <w:lang w:eastAsia="ja-JP"/>
        </w:rPr>
      </w:pPr>
      <w:r>
        <w:rPr>
          <w:lang w:eastAsia="ja-JP"/>
        </w:rPr>
        <w:t>Effective from 22 June 2009</w:t>
      </w:r>
    </w:p>
    <w:p w14:paraId="53746D58" w14:textId="702D5522" w:rsidR="00D75DD8" w:rsidRDefault="004E7071" w:rsidP="004E7071">
      <w:pPr>
        <w:pStyle w:val="Heading4"/>
      </w:pPr>
      <w:r>
        <w:t>Pharmacology</w:t>
      </w:r>
    </w:p>
    <w:p w14:paraId="1627E913" w14:textId="02502492" w:rsidR="00E00595" w:rsidRPr="00E00595" w:rsidRDefault="00E00595" w:rsidP="00E00595">
      <w:pPr>
        <w:pStyle w:val="Heading5"/>
      </w:pPr>
      <w:r>
        <w:t>Pharmacokinetics</w:t>
      </w:r>
    </w:p>
    <w:p w14:paraId="7E9711B5" w14:textId="56C770E8" w:rsidR="004E7071" w:rsidRDefault="004E7071" w:rsidP="004E7071">
      <w:r>
        <w:t>Studies providing pharmacokinetic data included Studies TDR12857/LTS13769, Study EFC14028 and Study ACT14132. The pharmacokinetic (PK) studies separately reported data for patients naïve to enzyme-replacement therapy (ERT) and patients who had previously been treated with alglucosidase alfa. Two population pharmacokinetic (</w:t>
      </w:r>
      <w:proofErr w:type="spellStart"/>
      <w:r>
        <w:t>PopPK</w:t>
      </w:r>
      <w:proofErr w:type="spellEnd"/>
      <w:r>
        <w:t>) models were provided by the sponsor: one included data collected only from children and adults with late</w:t>
      </w:r>
      <w:r w:rsidR="004465CD">
        <w:t>-</w:t>
      </w:r>
      <w:r>
        <w:t xml:space="preserve">onset </w:t>
      </w:r>
      <w:proofErr w:type="spellStart"/>
      <w:r>
        <w:t>Pompe</w:t>
      </w:r>
      <w:proofErr w:type="spellEnd"/>
      <w:r>
        <w:t xml:space="preserve"> disease (Study POH0703); the second, which was prepared on request of the US FDA, included data from patients with infantile</w:t>
      </w:r>
      <w:r w:rsidR="004465CD">
        <w:t>-</w:t>
      </w:r>
      <w:r>
        <w:t xml:space="preserve">onset </w:t>
      </w:r>
      <w:proofErr w:type="spellStart"/>
      <w:r>
        <w:t>Pompe</w:t>
      </w:r>
      <w:proofErr w:type="spellEnd"/>
      <w:r>
        <w:t xml:space="preserve"> disease.</w:t>
      </w:r>
    </w:p>
    <w:p w14:paraId="048F5760" w14:textId="01A11BE8" w:rsidR="004E7071" w:rsidRDefault="004E7071" w:rsidP="004E7071">
      <w:r>
        <w:lastRenderedPageBreak/>
        <w:t>Avalglucosidase alfa is administered as an intravenous solution and predominantly cleared by cellular uptake and subsequent catabolism. There is unlikely to be significant hepatic or renal clearance. The pharmacokinetics appear to be linear over the dose range of 5</w:t>
      </w:r>
      <w:r w:rsidR="00E00595">
        <w:t xml:space="preserve"> </w:t>
      </w:r>
      <w:r>
        <w:t>mg/kg to 40</w:t>
      </w:r>
      <w:r w:rsidR="00E00595">
        <w:t xml:space="preserve"> </w:t>
      </w:r>
      <w:r>
        <w:t xml:space="preserve">mg/kg. There was no evidence of accumulation with multiple doses in studies up to 48 weeks, and there was no obvious effect of previous exposure to alglucosidase alfa on avalglucosidase alfa pharmacokinetics. </w:t>
      </w:r>
    </w:p>
    <w:p w14:paraId="2C07841C" w14:textId="1668AC4E" w:rsidR="00E00595" w:rsidRDefault="00E00595" w:rsidP="00E00595">
      <w:r>
        <w:t>At the usual late</w:t>
      </w:r>
      <w:r w:rsidR="000B1865">
        <w:t>-</w:t>
      </w:r>
      <w:r w:rsidR="004E7071">
        <w:t xml:space="preserve">onset </w:t>
      </w:r>
      <w:proofErr w:type="spellStart"/>
      <w:r w:rsidR="004E7071">
        <w:t>Pompe</w:t>
      </w:r>
      <w:proofErr w:type="spellEnd"/>
      <w:r w:rsidR="004E7071">
        <w:t xml:space="preserve"> disease dose of 20mg/kg every second week, the </w:t>
      </w:r>
      <w:proofErr w:type="spellStart"/>
      <w:r w:rsidR="004E7071">
        <w:t>PopPK</w:t>
      </w:r>
      <w:proofErr w:type="spellEnd"/>
      <w:r w:rsidR="004E7071">
        <w:t xml:space="preserve"> studies estimated a mean maximum concentration (C</w:t>
      </w:r>
      <w:r w:rsidR="004E7071" w:rsidRPr="004E7071">
        <w:rPr>
          <w:vertAlign w:val="subscript"/>
        </w:rPr>
        <w:t>max</w:t>
      </w:r>
      <w:r w:rsidR="004E7071">
        <w:t>) of 273 µg/mL and the area under the concentration versus time curve from time zero to 2 weeks (AUC</w:t>
      </w:r>
      <w:r w:rsidR="004E7071" w:rsidRPr="004E7071">
        <w:rPr>
          <w:vertAlign w:val="subscript"/>
        </w:rPr>
        <w:t>0-2w</w:t>
      </w:r>
      <w:r w:rsidR="004E7071">
        <w:rPr>
          <w:vertAlign w:val="subscript"/>
        </w:rPr>
        <w:t>k</w:t>
      </w:r>
      <w:r w:rsidR="004E7071">
        <w:t>) of 1220 µ</w:t>
      </w:r>
      <w:proofErr w:type="spellStart"/>
      <w:r w:rsidR="004E7071">
        <w:t>g.h</w:t>
      </w:r>
      <w:proofErr w:type="spellEnd"/>
      <w:r w:rsidR="004E7071">
        <w:t>/mL, an average central volume of distribution of 3.4 L, and linear clearance</w:t>
      </w:r>
      <w:r>
        <w:t xml:space="preserve"> following each dose of 0.87</w:t>
      </w:r>
      <w:r w:rsidR="00516ECE">
        <w:t xml:space="preserve"> </w:t>
      </w:r>
      <w:r>
        <w:t xml:space="preserve">L/h. There was no apparent effect of age on the pharmacokinetics of </w:t>
      </w:r>
      <w:proofErr w:type="spellStart"/>
      <w:r>
        <w:t>avalglucosidase</w:t>
      </w:r>
      <w:proofErr w:type="spellEnd"/>
      <w:r>
        <w:t xml:space="preserve"> alfa in patients with late</w:t>
      </w:r>
      <w:r w:rsidR="000B1865">
        <w:t>-</w:t>
      </w:r>
      <w:r>
        <w:t xml:space="preserve">onset </w:t>
      </w:r>
      <w:proofErr w:type="spellStart"/>
      <w:r>
        <w:t>Pompe</w:t>
      </w:r>
      <w:proofErr w:type="spellEnd"/>
      <w:r>
        <w:t xml:space="preserve"> disease, noting that only one treated patient was aged less than 18 years, and 10 were 65 years or older.</w:t>
      </w:r>
    </w:p>
    <w:p w14:paraId="53D0DA85" w14:textId="75DFC04E" w:rsidR="00E00595" w:rsidRDefault="00E00595" w:rsidP="00E00595">
      <w:r>
        <w:t>The pharmacometrics evaluation confirmed that the modelling supported extrapolation of PK data from adult patients to children with late</w:t>
      </w:r>
      <w:r w:rsidR="000B1865">
        <w:t>-</w:t>
      </w:r>
      <w:r>
        <w:t xml:space="preserve">onset </w:t>
      </w:r>
      <w:proofErr w:type="spellStart"/>
      <w:r>
        <w:t>Pompe</w:t>
      </w:r>
      <w:proofErr w:type="spellEnd"/>
      <w:r>
        <w:t xml:space="preserve"> disease.</w:t>
      </w:r>
    </w:p>
    <w:p w14:paraId="5EA24B9C" w14:textId="47E61852" w:rsidR="005D0167" w:rsidRDefault="00E00595" w:rsidP="00E00595">
      <w:r>
        <w:t>In the infantile</w:t>
      </w:r>
      <w:r w:rsidR="000B1865">
        <w:t>-</w:t>
      </w:r>
      <w:r>
        <w:t xml:space="preserve">onset </w:t>
      </w:r>
      <w:proofErr w:type="spellStart"/>
      <w:r>
        <w:t>Pompe</w:t>
      </w:r>
      <w:proofErr w:type="spellEnd"/>
      <w:r>
        <w:t xml:space="preserve"> disease patients, PK parameters for avalglucosidase alfa were derived from studies with patients who had either suboptimal response or declining response to previous treatment with alglucosidase alfa (Study ACT14132). Five patients with declining responses were treated with</w:t>
      </w:r>
      <w:r w:rsidR="0015647C">
        <w:t xml:space="preserve"> 20 mg/kg avalglucosidase alfa </w:t>
      </w:r>
      <w:r>
        <w:t>every second week, and five patients with declining responses were treated wit</w:t>
      </w:r>
      <w:r w:rsidR="00256387">
        <w:t>h 40 mg/kg avalglucosidase alfa</w:t>
      </w:r>
      <w:r>
        <w:t xml:space="preserve"> every second week. A third group of five patients with suboptimal responses to alglucosidase alfa were treated with 40mg/kg avalglucosidase alfa every second week. At the lower dose of 20mg/</w:t>
      </w:r>
      <w:r w:rsidR="0015647C">
        <w:t xml:space="preserve">kg avalglucosidase alfa </w:t>
      </w:r>
      <w:r>
        <w:t>every other week, the pharmacokinetics in patients with infantile</w:t>
      </w:r>
      <w:r w:rsidR="00087D2C">
        <w:t>-</w:t>
      </w:r>
      <w:r>
        <w:t xml:space="preserve">onset </w:t>
      </w:r>
      <w:proofErr w:type="spellStart"/>
      <w:r>
        <w:t>Pompe</w:t>
      </w:r>
      <w:proofErr w:type="spellEnd"/>
      <w:r>
        <w:t xml:space="preserve"> disease demonstrated both lower clearance and lower exposure to </w:t>
      </w:r>
      <w:proofErr w:type="spellStart"/>
      <w:r>
        <w:t>avalglucosidase</w:t>
      </w:r>
      <w:proofErr w:type="spellEnd"/>
      <w:r>
        <w:t xml:space="preserve"> alfa compared to patients with late</w:t>
      </w:r>
      <w:r w:rsidR="00087D2C">
        <w:t>-</w:t>
      </w:r>
      <w:r>
        <w:t xml:space="preserve">onset </w:t>
      </w:r>
      <w:proofErr w:type="spellStart"/>
      <w:r>
        <w:t>Pompe</w:t>
      </w:r>
      <w:proofErr w:type="spellEnd"/>
      <w:r>
        <w:t xml:space="preserve"> disease who were alglucosidase alfa experienced. Mean C</w:t>
      </w:r>
      <w:r>
        <w:rPr>
          <w:vertAlign w:val="subscript"/>
        </w:rPr>
        <w:t>max</w:t>
      </w:r>
      <w:r>
        <w:t xml:space="preserve"> was 175 to 189 µg/mL, </w:t>
      </w:r>
      <w:r w:rsidR="005D0167">
        <w:t>area under the concentration versus time curve up until the last measurable concentration (</w:t>
      </w:r>
      <w:proofErr w:type="spellStart"/>
      <w:r>
        <w:t>AUC</w:t>
      </w:r>
      <w:r w:rsidR="005D0167">
        <w:rPr>
          <w:vertAlign w:val="subscript"/>
        </w:rPr>
        <w:t>last</w:t>
      </w:r>
      <w:proofErr w:type="spellEnd"/>
      <w:r w:rsidR="005D0167">
        <w:t>) was 805 to 923 µ</w:t>
      </w:r>
      <w:proofErr w:type="spellStart"/>
      <w:r w:rsidR="005D0167">
        <w:t>g.h</w:t>
      </w:r>
      <w:proofErr w:type="spellEnd"/>
      <w:r w:rsidR="005D0167">
        <w:t xml:space="preserve">/mL, volume at steady state of 3.5 to </w:t>
      </w:r>
      <w:r>
        <w:t xml:space="preserve">3.6 L and </w:t>
      </w:r>
      <w:r w:rsidR="005D0167">
        <w:t xml:space="preserve">clearance was 0.67 to </w:t>
      </w:r>
      <w:r>
        <w:t xml:space="preserve">0.70 L/h in the small </w:t>
      </w:r>
      <w:r w:rsidR="005D0167">
        <w:t>infantile</w:t>
      </w:r>
      <w:r>
        <w:t xml:space="preserve"> onset Pompe disease population. At the higher dose, in declining responders the mean C</w:t>
      </w:r>
      <w:r>
        <w:rPr>
          <w:vertAlign w:val="subscript"/>
        </w:rPr>
        <w:t>max</w:t>
      </w:r>
      <w:r>
        <w:t xml:space="preserve"> was 297</w:t>
      </w:r>
      <w:r w:rsidR="00516ECE">
        <w:t xml:space="preserve"> to </w:t>
      </w:r>
      <w:r>
        <w:t xml:space="preserve">403 µg/mL, </w:t>
      </w:r>
      <w:proofErr w:type="spellStart"/>
      <w:r>
        <w:t>AUC</w:t>
      </w:r>
      <w:r>
        <w:rPr>
          <w:vertAlign w:val="subscript"/>
        </w:rPr>
        <w:t>last</w:t>
      </w:r>
      <w:proofErr w:type="spellEnd"/>
      <w:r>
        <w:rPr>
          <w:vertAlign w:val="subscript"/>
        </w:rPr>
        <w:t xml:space="preserve"> </w:t>
      </w:r>
      <w:r w:rsidR="005D0167">
        <w:t xml:space="preserve">was 1930 to </w:t>
      </w:r>
      <w:r>
        <w:t>2630 µ</w:t>
      </w:r>
      <w:proofErr w:type="spellStart"/>
      <w:r>
        <w:t>g.h</w:t>
      </w:r>
      <w:proofErr w:type="spellEnd"/>
      <w:r>
        <w:t xml:space="preserve">/mL, </w:t>
      </w:r>
      <w:r w:rsidR="005D0167">
        <w:t xml:space="preserve">volume at steady state was 4.5 to </w:t>
      </w:r>
      <w:r>
        <w:t xml:space="preserve">5.3 L and </w:t>
      </w:r>
      <w:r w:rsidR="005D0167">
        <w:t>clearance</w:t>
      </w:r>
      <w:r w:rsidR="00256387">
        <w:t xml:space="preserve"> was 0.56 to </w:t>
      </w:r>
      <w:r>
        <w:t>0.68 L/h, and in suboptimal responders mean C</w:t>
      </w:r>
      <w:r>
        <w:rPr>
          <w:vertAlign w:val="subscript"/>
        </w:rPr>
        <w:t>max</w:t>
      </w:r>
      <w:r w:rsidR="005D0167">
        <w:t xml:space="preserve"> was 250 to </w:t>
      </w:r>
      <w:r>
        <w:t xml:space="preserve">356 µg/mL, </w:t>
      </w:r>
      <w:proofErr w:type="spellStart"/>
      <w:r>
        <w:t>AUC</w:t>
      </w:r>
      <w:r>
        <w:rPr>
          <w:vertAlign w:val="subscript"/>
        </w:rPr>
        <w:t>last</w:t>
      </w:r>
      <w:proofErr w:type="spellEnd"/>
      <w:r>
        <w:rPr>
          <w:vertAlign w:val="subscript"/>
        </w:rPr>
        <w:t xml:space="preserve"> </w:t>
      </w:r>
      <w:r w:rsidR="005D0167">
        <w:t>was 1720 to 2200 </w:t>
      </w:r>
      <w:r>
        <w:t>µ</w:t>
      </w:r>
      <w:proofErr w:type="spellStart"/>
      <w:r>
        <w:t>g.h</w:t>
      </w:r>
      <w:proofErr w:type="spellEnd"/>
      <w:r>
        <w:t xml:space="preserve">/mL, </w:t>
      </w:r>
      <w:r w:rsidR="005D0167">
        <w:t xml:space="preserve">volume at steady state was 4.0 to </w:t>
      </w:r>
      <w:r>
        <w:t xml:space="preserve">4.3 L and </w:t>
      </w:r>
      <w:r w:rsidR="005D0167">
        <w:t>clearance</w:t>
      </w:r>
      <w:r>
        <w:t xml:space="preserve"> was 0.53 L/h. </w:t>
      </w:r>
    </w:p>
    <w:p w14:paraId="0E5C1116" w14:textId="53256F04" w:rsidR="00E00595" w:rsidRDefault="00E00595" w:rsidP="00E00595">
      <w:r>
        <w:t xml:space="preserve">The </w:t>
      </w:r>
      <w:proofErr w:type="spellStart"/>
      <w:r w:rsidR="00516ECE">
        <w:t>Pop</w:t>
      </w:r>
      <w:r>
        <w:t>PK</w:t>
      </w:r>
      <w:proofErr w:type="spellEnd"/>
      <w:r>
        <w:t xml:space="preserve"> analysis that included </w:t>
      </w:r>
      <w:r w:rsidR="005D0167">
        <w:t>infantile</w:t>
      </w:r>
      <w:r w:rsidR="009A5A2F">
        <w:t>-</w:t>
      </w:r>
      <w:r>
        <w:t xml:space="preserve">onset </w:t>
      </w:r>
      <w:proofErr w:type="spellStart"/>
      <w:r>
        <w:t>Pompe</w:t>
      </w:r>
      <w:proofErr w:type="spellEnd"/>
      <w:r>
        <w:t xml:space="preserve"> disease patient data was not able to support extrapolation of PK data from adults with late</w:t>
      </w:r>
      <w:r w:rsidR="00DC3CA6">
        <w:t>-</w:t>
      </w:r>
      <w:r>
        <w:t xml:space="preserve">onset </w:t>
      </w:r>
      <w:proofErr w:type="spellStart"/>
      <w:r>
        <w:t>Pompe</w:t>
      </w:r>
      <w:proofErr w:type="spellEnd"/>
      <w:r>
        <w:t xml:space="preserve"> disease to infants with </w:t>
      </w:r>
      <w:r w:rsidR="005D0167">
        <w:t>infantile</w:t>
      </w:r>
      <w:r w:rsidR="00AD0118">
        <w:t>-</w:t>
      </w:r>
      <w:r>
        <w:t xml:space="preserve">onset </w:t>
      </w:r>
      <w:proofErr w:type="spellStart"/>
      <w:r>
        <w:t>Pompe</w:t>
      </w:r>
      <w:proofErr w:type="spellEnd"/>
      <w:r>
        <w:t xml:space="preserve"> disease.</w:t>
      </w:r>
    </w:p>
    <w:p w14:paraId="7D083AA0" w14:textId="48D9B080" w:rsidR="00E00595" w:rsidRDefault="00E00595" w:rsidP="00E00595">
      <w:r>
        <w:t xml:space="preserve">No studies have been completed in patients with </w:t>
      </w:r>
      <w:r w:rsidR="005D0167">
        <w:t>infantile</w:t>
      </w:r>
      <w:r w:rsidR="00AD0118">
        <w:t>-</w:t>
      </w:r>
      <w:r>
        <w:t xml:space="preserve">onset </w:t>
      </w:r>
      <w:proofErr w:type="spellStart"/>
      <w:r>
        <w:t>Pompe</w:t>
      </w:r>
      <w:proofErr w:type="spellEnd"/>
      <w:r>
        <w:t xml:space="preserve"> disease naïve to alglucosidase alfa. The sponsor states that an efficacy/safety/PK study in treatment</w:t>
      </w:r>
      <w:r w:rsidR="00516ECE">
        <w:t>-</w:t>
      </w:r>
      <w:r>
        <w:t xml:space="preserve">naïve infants, less than or equal to 6 months of age, with </w:t>
      </w:r>
      <w:r w:rsidR="005D0167">
        <w:t>infantile</w:t>
      </w:r>
      <w:r w:rsidR="00AD0118">
        <w:t>-</w:t>
      </w:r>
      <w:r>
        <w:t xml:space="preserve">onset </w:t>
      </w:r>
      <w:proofErr w:type="spellStart"/>
      <w:r>
        <w:t>Pompe</w:t>
      </w:r>
      <w:proofErr w:type="spellEnd"/>
      <w:r>
        <w:t xml:space="preserve"> disease (</w:t>
      </w:r>
      <w:r w:rsidR="005D0167">
        <w:t>Study </w:t>
      </w:r>
      <w:r>
        <w:t xml:space="preserve">EFC14462, also called </w:t>
      </w:r>
      <w:r w:rsidR="005D0167">
        <w:t xml:space="preserve">the </w:t>
      </w:r>
      <w:r>
        <w:t>Baby-COMET</w:t>
      </w:r>
      <w:r w:rsidR="005D0167">
        <w:t xml:space="preserve"> trial</w:t>
      </w:r>
      <w:r>
        <w:t>)</w:t>
      </w:r>
      <w:r w:rsidR="006A466E" w:rsidRPr="00904D23">
        <w:rPr>
          <w:vertAlign w:val="superscript"/>
        </w:rPr>
        <w:fldChar w:fldCharType="begin"/>
      </w:r>
      <w:r w:rsidR="006A466E" w:rsidRPr="00904D23">
        <w:rPr>
          <w:vertAlign w:val="superscript"/>
        </w:rPr>
        <w:instrText xml:space="preserve"> NOTEREF _Ref121307698 \h </w:instrText>
      </w:r>
      <w:r w:rsidR="006A466E">
        <w:rPr>
          <w:vertAlign w:val="superscript"/>
        </w:rPr>
        <w:instrText xml:space="preserve"> \* MERGEFORMAT </w:instrText>
      </w:r>
      <w:r w:rsidR="006A466E" w:rsidRPr="00904D23">
        <w:rPr>
          <w:vertAlign w:val="superscript"/>
        </w:rPr>
      </w:r>
      <w:r w:rsidR="006A466E" w:rsidRPr="00904D23">
        <w:rPr>
          <w:vertAlign w:val="superscript"/>
        </w:rPr>
        <w:fldChar w:fldCharType="separate"/>
      </w:r>
      <w:r w:rsidR="006A466E" w:rsidRPr="00904D23">
        <w:rPr>
          <w:vertAlign w:val="superscript"/>
        </w:rPr>
        <w:t>16</w:t>
      </w:r>
      <w:r w:rsidR="006A466E" w:rsidRPr="00904D23">
        <w:rPr>
          <w:vertAlign w:val="superscript"/>
        </w:rPr>
        <w:fldChar w:fldCharType="end"/>
      </w:r>
      <w:r>
        <w:t xml:space="preserve"> is planned, from which they expect to report final clinical results in 2027.</w:t>
      </w:r>
    </w:p>
    <w:p w14:paraId="3FBE10D3" w14:textId="625504ED" w:rsidR="00E00595" w:rsidRPr="0070349D" w:rsidRDefault="00E00595" w:rsidP="00E00595">
      <w:r>
        <w:t>No PK studies were conducted in patients with significantly impaired hepatic or renal function. Only six patients with mild renal impairment (</w:t>
      </w:r>
      <w:r w:rsidR="005D0167">
        <w:t>estimate glomerular filtration rate (</w:t>
      </w:r>
      <w:r>
        <w:t>eGFR</w:t>
      </w:r>
      <w:r w:rsidR="005D0167">
        <w:t xml:space="preserve">) of 60 to </w:t>
      </w:r>
      <w:r>
        <w:t>89 mL/min) were included in the late</w:t>
      </w:r>
      <w:r w:rsidR="00104DC7">
        <w:t>-</w:t>
      </w:r>
      <w:r>
        <w:t xml:space="preserve">onset </w:t>
      </w:r>
      <w:proofErr w:type="spellStart"/>
      <w:r>
        <w:t>Pompe</w:t>
      </w:r>
      <w:proofErr w:type="spellEnd"/>
      <w:r>
        <w:t xml:space="preserve"> disease studies and there was insufficient data to conclude a clinical effect.</w:t>
      </w:r>
    </w:p>
    <w:p w14:paraId="79983C80" w14:textId="3FE82557" w:rsidR="00E00595" w:rsidRDefault="00E00595" w:rsidP="00E00595">
      <w:pPr>
        <w:pStyle w:val="Heading5"/>
      </w:pPr>
      <w:r>
        <w:t>Pharmacodynamics</w:t>
      </w:r>
    </w:p>
    <w:p w14:paraId="4FD70B60" w14:textId="11A3AF71" w:rsidR="00256387" w:rsidRDefault="00E00595" w:rsidP="00E00595">
      <w:pPr>
        <w:rPr>
          <w:rFonts w:asciiTheme="minorHAnsi" w:eastAsiaTheme="minorHAnsi" w:hAnsiTheme="minorHAnsi" w:cs="Calibri"/>
          <w:color w:val="000000"/>
        </w:rPr>
      </w:pPr>
      <w:r>
        <w:t xml:space="preserve">Limited </w:t>
      </w:r>
      <w:r w:rsidR="00256387">
        <w:t>pharmacodynamic</w:t>
      </w:r>
      <w:r w:rsidR="005D0167">
        <w:t xml:space="preserve"> (PD)</w:t>
      </w:r>
      <w:r>
        <w:t xml:space="preserve"> data was collected in the efficacy and safet</w:t>
      </w:r>
      <w:r w:rsidR="00256387">
        <w:t>y studies. A</w:t>
      </w:r>
      <w:r w:rsidR="005D0167">
        <w:t>valglucosidase alfa</w:t>
      </w:r>
      <w:r>
        <w:t xml:space="preserve"> was developed as a modification of alglucosidase alfa, with additional </w:t>
      </w:r>
      <w:r w:rsidR="005D0167">
        <w:t>mannose</w:t>
      </w:r>
      <w:r w:rsidR="005D0167">
        <w:noBreakHyphen/>
        <w:t>6</w:t>
      </w:r>
      <w:r w:rsidR="005D0167">
        <w:noBreakHyphen/>
        <w:t>phosphate (</w:t>
      </w:r>
      <w:r>
        <w:t>M6P</w:t>
      </w:r>
      <w:r w:rsidR="005D0167">
        <w:t>)</w:t>
      </w:r>
      <w:r>
        <w:t xml:space="preserve"> moieties to increase cellular uptake of the active protein. </w:t>
      </w:r>
      <w:r>
        <w:rPr>
          <w:rFonts w:asciiTheme="minorHAnsi" w:eastAsiaTheme="minorHAnsi" w:hAnsiTheme="minorHAnsi" w:cs="Calibri"/>
          <w:color w:val="000000"/>
        </w:rPr>
        <w:t xml:space="preserve">Urinary hexose </w:t>
      </w:r>
      <w:proofErr w:type="spellStart"/>
      <w:r>
        <w:rPr>
          <w:rFonts w:asciiTheme="minorHAnsi" w:eastAsiaTheme="minorHAnsi" w:hAnsiTheme="minorHAnsi" w:cs="Calibri"/>
          <w:color w:val="000000"/>
        </w:rPr>
        <w:t>tetrasaccharide</w:t>
      </w:r>
      <w:proofErr w:type="spellEnd"/>
      <w:r>
        <w:rPr>
          <w:rFonts w:asciiTheme="minorHAnsi" w:eastAsiaTheme="minorHAnsi" w:hAnsiTheme="minorHAnsi" w:cs="Calibri"/>
          <w:color w:val="000000"/>
        </w:rPr>
        <w:t xml:space="preserve"> (Hex4) levels</w:t>
      </w:r>
      <w:r w:rsidR="006A466E">
        <w:rPr>
          <w:rFonts w:asciiTheme="minorHAnsi" w:eastAsiaTheme="minorHAnsi" w:hAnsiTheme="minorHAnsi" w:cs="Calibri"/>
          <w:color w:val="000000"/>
        </w:rPr>
        <w:t xml:space="preserve"> (</w:t>
      </w:r>
      <w:r w:rsidR="006A466E" w:rsidRPr="006A466E">
        <w:rPr>
          <w:rFonts w:asciiTheme="minorHAnsi" w:eastAsiaTheme="minorHAnsi" w:hAnsiTheme="minorHAnsi" w:cs="Calibri"/>
          <w:color w:val="000000"/>
        </w:rPr>
        <w:t xml:space="preserve">used as a biomarker for glycogen storage in </w:t>
      </w:r>
      <w:r w:rsidR="006A466E" w:rsidRPr="006A466E">
        <w:rPr>
          <w:rFonts w:asciiTheme="minorHAnsi" w:eastAsiaTheme="minorHAnsi" w:hAnsiTheme="minorHAnsi" w:cs="Calibri"/>
          <w:color w:val="000000"/>
        </w:rPr>
        <w:lastRenderedPageBreak/>
        <w:t>skeletal and cardiac muscle</w:t>
      </w:r>
      <w:r w:rsidR="006A466E">
        <w:rPr>
          <w:rFonts w:asciiTheme="minorHAnsi" w:eastAsiaTheme="minorHAnsi" w:hAnsiTheme="minorHAnsi" w:cs="Calibri"/>
          <w:color w:val="000000"/>
        </w:rPr>
        <w:t xml:space="preserve">) </w:t>
      </w:r>
      <w:r>
        <w:rPr>
          <w:rFonts w:asciiTheme="minorHAnsi" w:eastAsiaTheme="minorHAnsi" w:hAnsiTheme="minorHAnsi" w:cs="Calibri"/>
          <w:color w:val="000000"/>
        </w:rPr>
        <w:t xml:space="preserve">were measured to assess glycogen accumulation, whereas creatinine kinase (CK), alanine aminotransferase (ALT) and aspartate aminotransferase (AST) were used as PD measures of muscle damage. A small number of patients had muscle biopsies taken. Urinary Hex4 levels declined and remained low with regular </w:t>
      </w:r>
      <w:proofErr w:type="spellStart"/>
      <w:r>
        <w:rPr>
          <w:rFonts w:asciiTheme="minorHAnsi" w:eastAsiaTheme="minorHAnsi" w:hAnsiTheme="minorHAnsi" w:cs="Calibri"/>
          <w:color w:val="000000"/>
        </w:rPr>
        <w:t>avalglucosidase</w:t>
      </w:r>
      <w:proofErr w:type="spellEnd"/>
      <w:r>
        <w:rPr>
          <w:rFonts w:asciiTheme="minorHAnsi" w:eastAsiaTheme="minorHAnsi" w:hAnsiTheme="minorHAnsi" w:cs="Calibri"/>
          <w:color w:val="000000"/>
        </w:rPr>
        <w:t xml:space="preserve"> alfa treatment in patients with late</w:t>
      </w:r>
      <w:r w:rsidR="00D46FD7">
        <w:rPr>
          <w:rFonts w:asciiTheme="minorHAnsi" w:eastAsiaTheme="minorHAnsi" w:hAnsiTheme="minorHAnsi" w:cs="Calibri"/>
          <w:color w:val="000000"/>
        </w:rPr>
        <w:t>-</w:t>
      </w:r>
      <w:r>
        <w:rPr>
          <w:rFonts w:asciiTheme="minorHAnsi" w:eastAsiaTheme="minorHAnsi" w:hAnsiTheme="minorHAnsi" w:cs="Calibri"/>
          <w:color w:val="000000"/>
        </w:rPr>
        <w:t xml:space="preserve">onset </w:t>
      </w:r>
      <w:proofErr w:type="spellStart"/>
      <w:r>
        <w:rPr>
          <w:rFonts w:asciiTheme="minorHAnsi" w:eastAsiaTheme="minorHAnsi" w:hAnsiTheme="minorHAnsi" w:cs="Calibri"/>
          <w:color w:val="000000"/>
        </w:rPr>
        <w:t>Pompe</w:t>
      </w:r>
      <w:proofErr w:type="spellEnd"/>
      <w:r>
        <w:rPr>
          <w:rFonts w:asciiTheme="minorHAnsi" w:eastAsiaTheme="minorHAnsi" w:hAnsiTheme="minorHAnsi" w:cs="Calibri"/>
          <w:color w:val="000000"/>
        </w:rPr>
        <w:t xml:space="preserve"> disease both naïve to alglucosidase alfa and in patients who had previously been treat</w:t>
      </w:r>
      <w:r w:rsidR="00256387">
        <w:rPr>
          <w:rFonts w:asciiTheme="minorHAnsi" w:eastAsiaTheme="minorHAnsi" w:hAnsiTheme="minorHAnsi" w:cs="Calibri"/>
          <w:color w:val="000000"/>
        </w:rPr>
        <w:t>ed with alglucosidase alfa.</w:t>
      </w:r>
    </w:p>
    <w:p w14:paraId="6055F023" w14:textId="3358C9DC" w:rsidR="00E00595" w:rsidRDefault="005D0167" w:rsidP="00E00595">
      <w:pPr>
        <w:rPr>
          <w:rFonts w:asciiTheme="minorHAnsi" w:eastAsiaTheme="minorHAnsi" w:hAnsiTheme="minorHAnsi" w:cs="Calibri"/>
          <w:color w:val="000000"/>
        </w:rPr>
      </w:pPr>
      <w:r>
        <w:rPr>
          <w:rFonts w:asciiTheme="minorHAnsi" w:eastAsiaTheme="minorHAnsi" w:hAnsiTheme="minorHAnsi" w:cs="Calibri"/>
          <w:color w:val="000000"/>
        </w:rPr>
        <w:t>In S</w:t>
      </w:r>
      <w:r w:rsidR="00E00595">
        <w:rPr>
          <w:rFonts w:asciiTheme="minorHAnsi" w:eastAsiaTheme="minorHAnsi" w:hAnsiTheme="minorHAnsi" w:cs="Calibri"/>
          <w:color w:val="000000"/>
        </w:rPr>
        <w:t>tudy EFC14028, the decrease in urinary Hex4 after 48 weeks of treatment was some five-fold gre</w:t>
      </w:r>
      <w:r w:rsidR="00256387">
        <w:rPr>
          <w:rFonts w:asciiTheme="minorHAnsi" w:eastAsiaTheme="minorHAnsi" w:hAnsiTheme="minorHAnsi" w:cs="Calibri"/>
          <w:color w:val="000000"/>
        </w:rPr>
        <w:t xml:space="preserve">ater with avalglucosidase alfa </w:t>
      </w:r>
      <w:r w:rsidR="00E00595">
        <w:rPr>
          <w:rFonts w:asciiTheme="minorHAnsi" w:eastAsiaTheme="minorHAnsi" w:hAnsiTheme="minorHAnsi" w:cs="Calibri"/>
          <w:color w:val="000000"/>
        </w:rPr>
        <w:t>than with alglucosidase alfa at the same dose of 20</w:t>
      </w:r>
      <w:r>
        <w:rPr>
          <w:rFonts w:asciiTheme="minorHAnsi" w:eastAsiaTheme="minorHAnsi" w:hAnsiTheme="minorHAnsi" w:cs="Calibri"/>
          <w:color w:val="000000"/>
        </w:rPr>
        <w:t xml:space="preserve"> </w:t>
      </w:r>
      <w:r w:rsidR="00E00595">
        <w:rPr>
          <w:rFonts w:asciiTheme="minorHAnsi" w:eastAsiaTheme="minorHAnsi" w:hAnsiTheme="minorHAnsi" w:cs="Calibri"/>
          <w:color w:val="000000"/>
        </w:rPr>
        <w:t>mg/kg every two weeks. Similarly, CK levels declined to a greater ex</w:t>
      </w:r>
      <w:r>
        <w:rPr>
          <w:rFonts w:asciiTheme="minorHAnsi" w:eastAsiaTheme="minorHAnsi" w:hAnsiTheme="minorHAnsi" w:cs="Calibri"/>
          <w:color w:val="000000"/>
        </w:rPr>
        <w:t xml:space="preserve">tent with avalglucosidase alfa </w:t>
      </w:r>
      <w:r w:rsidR="00E00595">
        <w:rPr>
          <w:rFonts w:asciiTheme="minorHAnsi" w:eastAsiaTheme="minorHAnsi" w:hAnsiTheme="minorHAnsi" w:cs="Calibri"/>
          <w:color w:val="000000"/>
        </w:rPr>
        <w:t xml:space="preserve">than with alglucosidase alfa given at the same dose. </w:t>
      </w:r>
    </w:p>
    <w:p w14:paraId="5BEA4F72" w14:textId="4F8E4496" w:rsidR="00E00595" w:rsidRPr="00B17811" w:rsidRDefault="00E00595" w:rsidP="00E00595">
      <w:pPr>
        <w:rPr>
          <w:rFonts w:asciiTheme="minorHAnsi" w:eastAsiaTheme="minorHAnsi" w:hAnsiTheme="minorHAnsi" w:cs="Calibri"/>
          <w:color w:val="000000"/>
        </w:rPr>
      </w:pPr>
      <w:r>
        <w:rPr>
          <w:rFonts w:asciiTheme="minorHAnsi" w:eastAsiaTheme="minorHAnsi" w:hAnsiTheme="minorHAnsi" w:cs="Calibri"/>
          <w:color w:val="000000"/>
        </w:rPr>
        <w:t xml:space="preserve">In </w:t>
      </w:r>
      <w:r w:rsidR="005D0167">
        <w:rPr>
          <w:rFonts w:asciiTheme="minorHAnsi" w:eastAsiaTheme="minorHAnsi" w:hAnsiTheme="minorHAnsi" w:cs="Calibri"/>
          <w:color w:val="000000"/>
        </w:rPr>
        <w:t>the infantile</w:t>
      </w:r>
      <w:r w:rsidR="00A3158E">
        <w:rPr>
          <w:rFonts w:asciiTheme="minorHAnsi" w:eastAsiaTheme="minorHAnsi" w:hAnsiTheme="minorHAnsi" w:cs="Calibri"/>
          <w:color w:val="000000"/>
        </w:rPr>
        <w:t>-</w:t>
      </w:r>
      <w:r w:rsidR="005D0167">
        <w:rPr>
          <w:rFonts w:asciiTheme="minorHAnsi" w:eastAsiaTheme="minorHAnsi" w:hAnsiTheme="minorHAnsi" w:cs="Calibri"/>
          <w:color w:val="000000"/>
        </w:rPr>
        <w:t xml:space="preserve">onset </w:t>
      </w:r>
      <w:proofErr w:type="spellStart"/>
      <w:r w:rsidR="005D0167">
        <w:rPr>
          <w:rFonts w:asciiTheme="minorHAnsi" w:eastAsiaTheme="minorHAnsi" w:hAnsiTheme="minorHAnsi" w:cs="Calibri"/>
          <w:color w:val="000000"/>
        </w:rPr>
        <w:t>Pompe</w:t>
      </w:r>
      <w:proofErr w:type="spellEnd"/>
      <w:r w:rsidR="005D0167">
        <w:rPr>
          <w:rFonts w:asciiTheme="minorHAnsi" w:eastAsiaTheme="minorHAnsi" w:hAnsiTheme="minorHAnsi" w:cs="Calibri"/>
          <w:color w:val="000000"/>
        </w:rPr>
        <w:t xml:space="preserve"> disease </w:t>
      </w:r>
      <w:r w:rsidR="00256387">
        <w:rPr>
          <w:rFonts w:asciiTheme="minorHAnsi" w:eastAsiaTheme="minorHAnsi" w:hAnsiTheme="minorHAnsi" w:cs="Calibri"/>
          <w:color w:val="000000"/>
        </w:rPr>
        <w:t>study (</w:t>
      </w:r>
      <w:r w:rsidR="005D0167">
        <w:rPr>
          <w:rFonts w:asciiTheme="minorHAnsi" w:eastAsiaTheme="minorHAnsi" w:hAnsiTheme="minorHAnsi" w:cs="Calibri"/>
          <w:color w:val="000000"/>
        </w:rPr>
        <w:t>S</w:t>
      </w:r>
      <w:r>
        <w:rPr>
          <w:rFonts w:asciiTheme="minorHAnsi" w:eastAsiaTheme="minorHAnsi" w:hAnsiTheme="minorHAnsi" w:cs="Calibri"/>
          <w:color w:val="000000"/>
        </w:rPr>
        <w:t>tudy ACT14132</w:t>
      </w:r>
      <w:r w:rsidR="00256387">
        <w:rPr>
          <w:rFonts w:asciiTheme="minorHAnsi" w:eastAsiaTheme="minorHAnsi" w:hAnsiTheme="minorHAnsi" w:cs="Calibri"/>
          <w:color w:val="000000"/>
        </w:rPr>
        <w:t>)</w:t>
      </w:r>
      <w:r>
        <w:rPr>
          <w:rFonts w:asciiTheme="minorHAnsi" w:eastAsiaTheme="minorHAnsi" w:hAnsiTheme="minorHAnsi" w:cs="Calibri"/>
          <w:color w:val="000000"/>
        </w:rPr>
        <w:t>, patients who had suboptimal responses or declining responses to alglucosidase alfa subsequently tre</w:t>
      </w:r>
      <w:r w:rsidR="005D0167">
        <w:rPr>
          <w:rFonts w:asciiTheme="minorHAnsi" w:eastAsiaTheme="minorHAnsi" w:hAnsiTheme="minorHAnsi" w:cs="Calibri"/>
          <w:color w:val="000000"/>
        </w:rPr>
        <w:t xml:space="preserve">ated with avalglucosidase alfa </w:t>
      </w:r>
      <w:r>
        <w:rPr>
          <w:rFonts w:asciiTheme="minorHAnsi" w:eastAsiaTheme="minorHAnsi" w:hAnsiTheme="minorHAnsi" w:cs="Calibri"/>
          <w:color w:val="000000"/>
        </w:rPr>
        <w:t>40</w:t>
      </w:r>
      <w:r w:rsidR="005D0167">
        <w:rPr>
          <w:rFonts w:asciiTheme="minorHAnsi" w:eastAsiaTheme="minorHAnsi" w:hAnsiTheme="minorHAnsi" w:cs="Calibri"/>
          <w:color w:val="000000"/>
        </w:rPr>
        <w:t xml:space="preserve"> </w:t>
      </w:r>
      <w:r>
        <w:rPr>
          <w:rFonts w:asciiTheme="minorHAnsi" w:eastAsiaTheme="minorHAnsi" w:hAnsiTheme="minorHAnsi" w:cs="Calibri"/>
          <w:color w:val="000000"/>
        </w:rPr>
        <w:t>mg/kg every other week had numerically greater decreases in urinary Hex4 over 25 weeks than did patients tre</w:t>
      </w:r>
      <w:r w:rsidR="005D0167">
        <w:rPr>
          <w:rFonts w:asciiTheme="minorHAnsi" w:eastAsiaTheme="minorHAnsi" w:hAnsiTheme="minorHAnsi" w:cs="Calibri"/>
          <w:color w:val="000000"/>
        </w:rPr>
        <w:t xml:space="preserve">ated with avalglucosidase alfa </w:t>
      </w:r>
      <w:r>
        <w:rPr>
          <w:rFonts w:asciiTheme="minorHAnsi" w:eastAsiaTheme="minorHAnsi" w:hAnsiTheme="minorHAnsi" w:cs="Calibri"/>
          <w:color w:val="000000"/>
        </w:rPr>
        <w:t>20</w:t>
      </w:r>
      <w:r w:rsidR="005D0167">
        <w:rPr>
          <w:rFonts w:asciiTheme="minorHAnsi" w:eastAsiaTheme="minorHAnsi" w:hAnsiTheme="minorHAnsi" w:cs="Calibri"/>
          <w:color w:val="000000"/>
        </w:rPr>
        <w:t xml:space="preserve"> </w:t>
      </w:r>
      <w:r>
        <w:rPr>
          <w:rFonts w:asciiTheme="minorHAnsi" w:eastAsiaTheme="minorHAnsi" w:hAnsiTheme="minorHAnsi" w:cs="Calibri"/>
          <w:color w:val="000000"/>
        </w:rPr>
        <w:t>mg/kg every other week or patients with declining responses to alglucosidase alfa who remained on treatment with alglucosidase alfa. Similar trends to improvement were seen in blood CK, ALT and AST levels. Owing to the small numbers in the studies, confidence intervals were overlapping.</w:t>
      </w:r>
    </w:p>
    <w:p w14:paraId="089DF802" w14:textId="2C2F8794" w:rsidR="004E7071" w:rsidRDefault="00E00595" w:rsidP="00E00595">
      <w:pPr>
        <w:pStyle w:val="Heading4"/>
      </w:pPr>
      <w:r>
        <w:t>Efficacy</w:t>
      </w:r>
    </w:p>
    <w:p w14:paraId="367101AC" w14:textId="48E055FB" w:rsidR="005D0167" w:rsidRDefault="005D0167" w:rsidP="005D0167">
      <w:pPr>
        <w:pStyle w:val="Heading5"/>
      </w:pPr>
      <w:r>
        <w:t>Study EFC14028</w:t>
      </w:r>
    </w:p>
    <w:p w14:paraId="614F69DB" w14:textId="04EF3522" w:rsidR="00256387" w:rsidRPr="00256387" w:rsidRDefault="00256387" w:rsidP="00256387">
      <w:r>
        <w:t xml:space="preserve">Study EFC14028 </w:t>
      </w:r>
      <w:proofErr w:type="gramStart"/>
      <w:r>
        <w:t>was considered to be</w:t>
      </w:r>
      <w:proofErr w:type="gramEnd"/>
      <w:r>
        <w:t xml:space="preserve"> the pivotal efficacy trial for this submission.</w:t>
      </w:r>
    </w:p>
    <w:p w14:paraId="6893A159" w14:textId="1FEA13B9" w:rsidR="00256387" w:rsidRDefault="00E00595" w:rsidP="00E00595">
      <w:r>
        <w:t>Study EFC14028 was a Ph</w:t>
      </w:r>
      <w:r w:rsidR="005D0167">
        <w:t>ase III</w:t>
      </w:r>
      <w:r>
        <w:t xml:space="preserve"> randomised, multicentre, multinational, double blinded study comparing the efficacy and safety of repeated in</w:t>
      </w:r>
      <w:r w:rsidR="005D0167">
        <w:t xml:space="preserve">fusion of avalglucosidase alfa </w:t>
      </w:r>
      <w:r>
        <w:t>and alglucosidase alfa in 100 treatment-naïve patients with lat</w:t>
      </w:r>
      <w:r w:rsidR="00256387">
        <w:t>e</w:t>
      </w:r>
      <w:r w:rsidR="00881093">
        <w:t>-</w:t>
      </w:r>
      <w:r w:rsidR="00256387">
        <w:t xml:space="preserve">onset </w:t>
      </w:r>
      <w:proofErr w:type="spellStart"/>
      <w:r w:rsidR="00256387">
        <w:t>Pompe</w:t>
      </w:r>
      <w:proofErr w:type="spellEnd"/>
      <w:r w:rsidR="00256387">
        <w:t xml:space="preserve"> disease.</w:t>
      </w:r>
    </w:p>
    <w:p w14:paraId="05CB69CF" w14:textId="70E83B5D" w:rsidR="00047D78" w:rsidRDefault="005D0167" w:rsidP="00E00595">
      <w:r>
        <w:t>Patients </w:t>
      </w:r>
      <w:r w:rsidR="00E00595">
        <w:t>were randomised in a 1:1 ratio w</w:t>
      </w:r>
      <w:r>
        <w:t>ith stratification by baseline forced vital capacity (</w:t>
      </w:r>
      <w:r w:rsidR="00E00595">
        <w:t>FVC</w:t>
      </w:r>
      <w:r w:rsidR="0023715B">
        <w:t>)</w:t>
      </w:r>
      <w:r w:rsidR="0023715B" w:rsidRPr="0023715B">
        <w:t xml:space="preserve"> </w:t>
      </w:r>
      <w:r w:rsidR="0023715B">
        <w:t>percentage predicted</w:t>
      </w:r>
      <w:r>
        <w:t>;</w:t>
      </w:r>
      <w:r>
        <w:rPr>
          <w:rStyle w:val="FootnoteReference"/>
        </w:rPr>
        <w:footnoteReference w:id="18"/>
      </w:r>
      <w:r w:rsidR="00E00595">
        <w:t xml:space="preserve"> </w:t>
      </w:r>
      <w:r>
        <w:t xml:space="preserve">(less than </w:t>
      </w:r>
      <w:r w:rsidR="00E00595" w:rsidRPr="00B33655">
        <w:t>55%</w:t>
      </w:r>
      <w:r>
        <w:t xml:space="preserve">, or </w:t>
      </w:r>
      <w:r w:rsidR="00E00595" w:rsidRPr="00B33655">
        <w:t>55%</w:t>
      </w:r>
      <w:r>
        <w:t xml:space="preserve"> or more</w:t>
      </w:r>
      <w:r w:rsidR="00E00595" w:rsidRPr="00B33655">
        <w:t xml:space="preserve">), gender, </w:t>
      </w:r>
      <w:r w:rsidR="00E00595">
        <w:t xml:space="preserve">and </w:t>
      </w:r>
      <w:r>
        <w:t>age (under</w:t>
      </w:r>
      <w:r w:rsidR="006A466E">
        <w:t> </w:t>
      </w:r>
      <w:r>
        <w:t>18</w:t>
      </w:r>
      <w:r w:rsidR="006A466E">
        <w:t> </w:t>
      </w:r>
      <w:r>
        <w:t xml:space="preserve">years, or </w:t>
      </w:r>
      <w:r w:rsidR="00E00595" w:rsidRPr="00B33655">
        <w:t>18 years</w:t>
      </w:r>
      <w:r>
        <w:t xml:space="preserve"> and older</w:t>
      </w:r>
      <w:r w:rsidR="00E00595" w:rsidRPr="00B33655">
        <w:t>)</w:t>
      </w:r>
      <w:r w:rsidR="00E00595">
        <w:t xml:space="preserve">. Statistical analysis methods were appropriate, and a hierarchical testing strategy was applied. Treatment groups were reasonably well balanced </w:t>
      </w:r>
      <w:proofErr w:type="gramStart"/>
      <w:r w:rsidR="00E00595">
        <w:t>with regard to</w:t>
      </w:r>
      <w:proofErr w:type="gramEnd"/>
      <w:r w:rsidR="00E00595">
        <w:t xml:space="preserve"> demographic factors at baseline, although patients with Hispanic or Latino ethnicity contributed to 24.5% of the alglucosidase alfa treatment arm, and only 5.</w:t>
      </w:r>
      <w:r w:rsidR="00047D78">
        <w:t xml:space="preserve">9% in the avalglucosidase alfa </w:t>
      </w:r>
      <w:r w:rsidR="00E00595">
        <w:t>arm. There was no evidence that this imbalance in the patient population influenced the outcomes. All but one</w:t>
      </w:r>
      <w:r w:rsidR="00047D78">
        <w:t xml:space="preserve"> patient (aged 16) were adults.</w:t>
      </w:r>
    </w:p>
    <w:p w14:paraId="7EF24B9F" w14:textId="654EE2B1" w:rsidR="00E00595" w:rsidRDefault="00E00595" w:rsidP="00E00595">
      <w:r>
        <w:t>The mean time from diagnosis to first infusion of study drug was 15.60 (</w:t>
      </w:r>
      <w:r w:rsidR="00047D78">
        <w:t>standard deviation (</w:t>
      </w:r>
      <w:r>
        <w:t>SD</w:t>
      </w:r>
      <w:r w:rsidR="00047D78">
        <w:t>)</w:t>
      </w:r>
      <w:r>
        <w:t xml:space="preserve"> 32.06) months in the avalglucosidase </w:t>
      </w:r>
      <w:proofErr w:type="gramStart"/>
      <w:r>
        <w:t>alfa  arm</w:t>
      </w:r>
      <w:proofErr w:type="gramEnd"/>
      <w:r>
        <w:t xml:space="preserve"> and 26.52 (SD 59.86) months in the alglucosidase alfa arm, and the difference in duration from first symptom of Pompe disease to first infusion of study drug was 160.36</w:t>
      </w:r>
      <w:r w:rsidR="00047D78">
        <w:t xml:space="preserve"> </w:t>
      </w:r>
      <w:r>
        <w:t>±131.71 months in the avalglucosidase alfa  arm, compared to 151.78</w:t>
      </w:r>
      <w:r w:rsidR="00047D78">
        <w:t xml:space="preserve"> </w:t>
      </w:r>
      <w:r>
        <w:t>±120.90 months in the alglucosidase group.</w:t>
      </w:r>
    </w:p>
    <w:p w14:paraId="304C09F9" w14:textId="55A6B7D1" w:rsidR="00E00595" w:rsidRDefault="00E00595" w:rsidP="00E00595">
      <w:pPr>
        <w:rPr>
          <w:lang w:eastAsia="ja-JP"/>
        </w:rPr>
      </w:pPr>
      <w:r>
        <w:rPr>
          <w:lang w:eastAsia="ja-JP"/>
        </w:rPr>
        <w:t>The least square mean (LSM) change (±</w:t>
      </w:r>
      <w:r w:rsidR="00047D78">
        <w:rPr>
          <w:lang w:eastAsia="ja-JP"/>
        </w:rPr>
        <w:t xml:space="preserve"> standard error (</w:t>
      </w:r>
      <w:r>
        <w:rPr>
          <w:lang w:eastAsia="ja-JP"/>
        </w:rPr>
        <w:t>SE</w:t>
      </w:r>
      <w:r w:rsidR="00047D78">
        <w:rPr>
          <w:lang w:eastAsia="ja-JP"/>
        </w:rPr>
        <w:t xml:space="preserve">)) from Baseline to Week 49 in FVC </w:t>
      </w:r>
      <w:r w:rsidR="00955A64">
        <w:rPr>
          <w:lang w:eastAsia="ja-JP"/>
        </w:rPr>
        <w:t xml:space="preserve">percentage predicted </w:t>
      </w:r>
      <w:r w:rsidR="00047D78">
        <w:rPr>
          <w:lang w:eastAsia="ja-JP"/>
        </w:rPr>
        <w:t>in the modified intention</w:t>
      </w:r>
      <w:r w:rsidR="00047D78">
        <w:rPr>
          <w:lang w:eastAsia="ja-JP"/>
        </w:rPr>
        <w:noBreakHyphen/>
        <w:t>to</w:t>
      </w:r>
      <w:r w:rsidR="00047D78">
        <w:rPr>
          <w:lang w:eastAsia="ja-JP"/>
        </w:rPr>
        <w:noBreakHyphen/>
      </w:r>
      <w:r>
        <w:rPr>
          <w:lang w:eastAsia="ja-JP"/>
        </w:rPr>
        <w:t>treat (</w:t>
      </w:r>
      <w:proofErr w:type="spellStart"/>
      <w:r>
        <w:rPr>
          <w:lang w:eastAsia="ja-JP"/>
        </w:rPr>
        <w:t>mITT</w:t>
      </w:r>
      <w:proofErr w:type="spellEnd"/>
      <w:r>
        <w:rPr>
          <w:lang w:eastAsia="ja-JP"/>
        </w:rPr>
        <w:t xml:space="preserve">) population was 2.89 (0.88) in the avalglucosidase </w:t>
      </w:r>
      <w:proofErr w:type="gramStart"/>
      <w:r>
        <w:rPr>
          <w:lang w:eastAsia="ja-JP"/>
        </w:rPr>
        <w:t>alfa  group</w:t>
      </w:r>
      <w:proofErr w:type="gramEnd"/>
      <w:r>
        <w:rPr>
          <w:lang w:eastAsia="ja-JP"/>
        </w:rPr>
        <w:t xml:space="preserve"> and 0.46 (0.93) in the alglucosidase alfa group. The difference of 2.43 with lower boundary of 95% </w:t>
      </w:r>
      <w:r w:rsidR="00047D78">
        <w:rPr>
          <w:lang w:eastAsia="ja-JP"/>
        </w:rPr>
        <w:t>confidence interval (</w:t>
      </w:r>
      <w:r>
        <w:rPr>
          <w:lang w:eastAsia="ja-JP"/>
        </w:rPr>
        <w:t>CI</w:t>
      </w:r>
      <w:r w:rsidR="00047D78">
        <w:rPr>
          <w:lang w:eastAsia="ja-JP"/>
        </w:rPr>
        <w:t>)</w:t>
      </w:r>
      <w:r>
        <w:rPr>
          <w:lang w:eastAsia="ja-JP"/>
        </w:rPr>
        <w:t xml:space="preserve"> of -0.13 </w:t>
      </w:r>
      <w:r>
        <w:rPr>
          <w:lang w:eastAsia="ja-JP"/>
        </w:rPr>
        <w:lastRenderedPageBreak/>
        <w:t>exceeded the predefined non-inferiority margin of -1.1 an</w:t>
      </w:r>
      <w:r w:rsidR="00047D78">
        <w:rPr>
          <w:lang w:eastAsia="ja-JP"/>
        </w:rPr>
        <w:t>d thus achieved statistical non</w:t>
      </w:r>
      <w:r w:rsidR="00047D78">
        <w:rPr>
          <w:lang w:eastAsia="ja-JP"/>
        </w:rPr>
        <w:noBreakHyphen/>
      </w:r>
      <w:r>
        <w:rPr>
          <w:lang w:eastAsia="ja-JP"/>
        </w:rPr>
        <w:t>inferiority (p</w:t>
      </w:r>
      <w:r w:rsidR="00047D78">
        <w:rPr>
          <w:lang w:eastAsia="ja-JP"/>
        </w:rPr>
        <w:t xml:space="preserve"> </w:t>
      </w:r>
      <w:r>
        <w:rPr>
          <w:lang w:eastAsia="ja-JP"/>
        </w:rPr>
        <w:t>=</w:t>
      </w:r>
      <w:r w:rsidR="00047D78">
        <w:rPr>
          <w:lang w:eastAsia="ja-JP"/>
        </w:rPr>
        <w:t xml:space="preserve"> </w:t>
      </w:r>
      <w:r>
        <w:rPr>
          <w:lang w:eastAsia="ja-JP"/>
        </w:rPr>
        <w:t>0.0074), meeting the primary objective.</w:t>
      </w:r>
    </w:p>
    <w:p w14:paraId="70276EFE" w14:textId="77E6C0B0" w:rsidR="00E00595" w:rsidRDefault="00E00595" w:rsidP="00E00595">
      <w:pPr>
        <w:rPr>
          <w:lang w:eastAsia="ja-JP"/>
        </w:rPr>
      </w:pPr>
      <w:r>
        <w:rPr>
          <w:lang w:eastAsia="ja-JP"/>
        </w:rPr>
        <w:t>The test for super</w:t>
      </w:r>
      <w:r w:rsidR="00047D78">
        <w:rPr>
          <w:lang w:eastAsia="ja-JP"/>
        </w:rPr>
        <w:t xml:space="preserve">iority of avalglucosidase alfa </w:t>
      </w:r>
      <w:r w:rsidR="00256387">
        <w:rPr>
          <w:lang w:eastAsia="ja-JP"/>
        </w:rPr>
        <w:t>over alglucosidase alfa at W</w:t>
      </w:r>
      <w:r>
        <w:rPr>
          <w:lang w:eastAsia="ja-JP"/>
        </w:rPr>
        <w:t>eek 49 was not statistical</w:t>
      </w:r>
      <w:r w:rsidR="00047D78">
        <w:rPr>
          <w:lang w:eastAsia="ja-JP"/>
        </w:rPr>
        <w:t>ly significant (p = 0.0626). The s</w:t>
      </w:r>
      <w:r>
        <w:rPr>
          <w:lang w:eastAsia="ja-JP"/>
        </w:rPr>
        <w:t>ponsor claims the difference between the two treatments is clinically meaningful based on the greater valu</w:t>
      </w:r>
      <w:r w:rsidR="00047D78">
        <w:rPr>
          <w:lang w:eastAsia="ja-JP"/>
        </w:rPr>
        <w:t xml:space="preserve">es of change from </w:t>
      </w:r>
      <w:r w:rsidR="00405389">
        <w:rPr>
          <w:lang w:eastAsia="ja-JP"/>
        </w:rPr>
        <w:t>B</w:t>
      </w:r>
      <w:r w:rsidR="00047D78">
        <w:rPr>
          <w:lang w:eastAsia="ja-JP"/>
        </w:rPr>
        <w:t xml:space="preserve">aseline in percent </w:t>
      </w:r>
      <w:r>
        <w:rPr>
          <w:lang w:eastAsia="ja-JP"/>
        </w:rPr>
        <w:t>predicted FVC being observed at each time point.</w:t>
      </w:r>
    </w:p>
    <w:p w14:paraId="7E42B88A" w14:textId="7EB9D789" w:rsidR="004A18BF" w:rsidRDefault="004A18BF" w:rsidP="00E00595">
      <w:pPr>
        <w:rPr>
          <w:lang w:eastAsia="ja-JP"/>
        </w:rPr>
      </w:pPr>
      <w:r>
        <w:rPr>
          <w:lang w:eastAsia="ja-JP"/>
        </w:rPr>
        <w:br w:type="page"/>
      </w:r>
    </w:p>
    <w:p w14:paraId="0F08B1ED" w14:textId="0882878F" w:rsidR="00047D78" w:rsidRDefault="00047D78" w:rsidP="00047D78">
      <w:pPr>
        <w:pStyle w:val="Tabletitle0"/>
      </w:pPr>
      <w:r>
        <w:lastRenderedPageBreak/>
        <w:t xml:space="preserve">Table </w:t>
      </w:r>
      <w:r>
        <w:fldChar w:fldCharType="begin"/>
      </w:r>
      <w:r>
        <w:instrText>SEQ Table \* ARABIC</w:instrText>
      </w:r>
      <w:r>
        <w:fldChar w:fldCharType="separate"/>
      </w:r>
      <w:r w:rsidR="004A495C">
        <w:rPr>
          <w:noProof/>
        </w:rPr>
        <w:t>3</w:t>
      </w:r>
      <w:r>
        <w:fldChar w:fldCharType="end"/>
      </w:r>
      <w:r>
        <w:t xml:space="preserve">: Study EFC14028 </w:t>
      </w:r>
      <w:r w:rsidRPr="00C31059">
        <w:t>F</w:t>
      </w:r>
      <w:r>
        <w:t>orced vital capacity (percent (%) predicted)</w:t>
      </w:r>
      <w:r w:rsidRPr="00C31059">
        <w:t xml:space="preserve"> in upright </w:t>
      </w:r>
      <w:r>
        <w:t xml:space="preserve">body </w:t>
      </w:r>
      <w:r w:rsidRPr="00C31059">
        <w:t>position: Estimates and h</w:t>
      </w:r>
      <w:r>
        <w:t xml:space="preserve">ypothesis tests of change from Baseline by visit (Primary analysis, in PAP, using </w:t>
      </w:r>
      <w:r w:rsidRPr="00C31059">
        <w:t>m</w:t>
      </w:r>
      <w:r>
        <w:t>odified intention to treat</w:t>
      </w:r>
      <w:r w:rsidRPr="00C31059">
        <w:t xml:space="preserve"> population</w:t>
      </w:r>
      <w:r>
        <w:t>)</w:t>
      </w:r>
    </w:p>
    <w:tbl>
      <w:tblPr>
        <w:tblStyle w:val="TableTGAblue"/>
        <w:tblW w:w="8928" w:type="dxa"/>
        <w:tblLayout w:type="fixed"/>
        <w:tblLook w:val="04A0" w:firstRow="1" w:lastRow="0" w:firstColumn="1" w:lastColumn="0" w:noHBand="0" w:noVBand="1"/>
      </w:tblPr>
      <w:tblGrid>
        <w:gridCol w:w="850"/>
        <w:gridCol w:w="3398"/>
        <w:gridCol w:w="1800"/>
        <w:gridCol w:w="1530"/>
        <w:gridCol w:w="1350"/>
      </w:tblGrid>
      <w:tr w:rsidR="00E00595" w14:paraId="7DAF5EC4" w14:textId="77777777" w:rsidTr="00047D78">
        <w:trPr>
          <w:cnfStyle w:val="100000000000" w:firstRow="1" w:lastRow="0" w:firstColumn="0" w:lastColumn="0" w:oddVBand="0" w:evenVBand="0" w:oddHBand="0" w:evenHBand="0" w:firstRowFirstColumn="0" w:firstRowLastColumn="0" w:lastRowFirstColumn="0" w:lastRowLastColumn="0"/>
          <w:trHeight w:hRule="exact" w:val="743"/>
        </w:trPr>
        <w:tc>
          <w:tcPr>
            <w:tcW w:w="850" w:type="dxa"/>
          </w:tcPr>
          <w:p w14:paraId="4E906422" w14:textId="77777777" w:rsidR="00E00595" w:rsidRDefault="00E00595" w:rsidP="00047D78">
            <w:pPr>
              <w:autoSpaceDE w:val="0"/>
              <w:autoSpaceDN w:val="0"/>
              <w:adjustRightInd w:val="0"/>
              <w:spacing w:before="0" w:after="0" w:line="240" w:lineRule="auto"/>
              <w:ind w:left="0" w:right="0"/>
              <w:rPr>
                <w:rFonts w:ascii="Calibri" w:eastAsiaTheme="minorHAnsi" w:hAnsi="Calibri" w:cs="Calibri"/>
                <w:spacing w:val="-2"/>
                <w:sz w:val="20"/>
                <w:szCs w:val="20"/>
              </w:rPr>
            </w:pPr>
          </w:p>
        </w:tc>
        <w:tc>
          <w:tcPr>
            <w:tcW w:w="3398" w:type="dxa"/>
            <w:hideMark/>
          </w:tcPr>
          <w:p w14:paraId="145E4705" w14:textId="3EF9F5DF" w:rsidR="00E00595" w:rsidRPr="00047D78" w:rsidRDefault="00047D78" w:rsidP="00047D78">
            <w:pPr>
              <w:ind w:left="0" w:right="0"/>
              <w:rPr>
                <w:sz w:val="20"/>
              </w:rPr>
            </w:pPr>
            <w:proofErr w:type="spellStart"/>
            <w:r>
              <w:rPr>
                <w:sz w:val="20"/>
              </w:rPr>
              <w:t>Statistics</w:t>
            </w:r>
            <w:r w:rsidR="00E00595" w:rsidRPr="00047D78">
              <w:rPr>
                <w:sz w:val="20"/>
                <w:vertAlign w:val="superscript"/>
              </w:rPr>
              <w:t>a</w:t>
            </w:r>
            <w:proofErr w:type="spellEnd"/>
          </w:p>
        </w:tc>
        <w:tc>
          <w:tcPr>
            <w:tcW w:w="1800" w:type="dxa"/>
            <w:hideMark/>
          </w:tcPr>
          <w:p w14:paraId="7E416324" w14:textId="6C77EA8C" w:rsidR="00E00595" w:rsidRPr="00047D78" w:rsidRDefault="00E00595" w:rsidP="00047D78">
            <w:pPr>
              <w:ind w:left="0" w:right="0"/>
              <w:rPr>
                <w:sz w:val="20"/>
              </w:rPr>
            </w:pPr>
            <w:r w:rsidRPr="00047D78">
              <w:rPr>
                <w:sz w:val="20"/>
              </w:rPr>
              <w:t>Avalglucosidase alfa</w:t>
            </w:r>
            <w:r w:rsidR="00047D78">
              <w:rPr>
                <w:sz w:val="20"/>
              </w:rPr>
              <w:t xml:space="preserve"> </w:t>
            </w:r>
            <w:r w:rsidRPr="00047D78">
              <w:rPr>
                <w:sz w:val="20"/>
              </w:rPr>
              <w:t>(N</w:t>
            </w:r>
            <w:r w:rsidR="00047D78">
              <w:rPr>
                <w:sz w:val="20"/>
              </w:rPr>
              <w:t xml:space="preserve"> </w:t>
            </w:r>
            <w:r w:rsidRPr="00047D78">
              <w:rPr>
                <w:sz w:val="20"/>
              </w:rPr>
              <w:t>=</w:t>
            </w:r>
            <w:r w:rsidR="00047D78">
              <w:rPr>
                <w:sz w:val="20"/>
              </w:rPr>
              <w:t xml:space="preserve"> </w:t>
            </w:r>
            <w:r w:rsidRPr="00047D78">
              <w:rPr>
                <w:sz w:val="20"/>
              </w:rPr>
              <w:t>51)</w:t>
            </w:r>
          </w:p>
        </w:tc>
        <w:tc>
          <w:tcPr>
            <w:tcW w:w="1530" w:type="dxa"/>
            <w:hideMark/>
          </w:tcPr>
          <w:p w14:paraId="6F1294D5" w14:textId="2B549BB6" w:rsidR="00E00595" w:rsidRPr="00047D78" w:rsidRDefault="00E00595" w:rsidP="00047D78">
            <w:pPr>
              <w:ind w:left="0" w:right="0"/>
              <w:rPr>
                <w:sz w:val="20"/>
              </w:rPr>
            </w:pPr>
            <w:r w:rsidRPr="00047D78">
              <w:rPr>
                <w:sz w:val="20"/>
              </w:rPr>
              <w:t>Alglucosidase alfa</w:t>
            </w:r>
            <w:r w:rsidR="00047D78">
              <w:rPr>
                <w:sz w:val="20"/>
              </w:rPr>
              <w:t xml:space="preserve"> </w:t>
            </w:r>
            <w:r w:rsidRPr="00047D78">
              <w:rPr>
                <w:sz w:val="20"/>
              </w:rPr>
              <w:t>(N</w:t>
            </w:r>
            <w:r w:rsidR="00047D78">
              <w:rPr>
                <w:sz w:val="20"/>
              </w:rPr>
              <w:t xml:space="preserve"> </w:t>
            </w:r>
            <w:r w:rsidRPr="00047D78">
              <w:rPr>
                <w:sz w:val="20"/>
              </w:rPr>
              <w:t>=</w:t>
            </w:r>
            <w:r w:rsidR="00047D78">
              <w:rPr>
                <w:sz w:val="20"/>
              </w:rPr>
              <w:t xml:space="preserve"> </w:t>
            </w:r>
            <w:r w:rsidRPr="00047D78">
              <w:rPr>
                <w:sz w:val="20"/>
              </w:rPr>
              <w:t>49)</w:t>
            </w:r>
          </w:p>
        </w:tc>
        <w:tc>
          <w:tcPr>
            <w:tcW w:w="1350" w:type="dxa"/>
            <w:hideMark/>
          </w:tcPr>
          <w:p w14:paraId="36E4AC36" w14:textId="77777777" w:rsidR="00E00595" w:rsidRPr="00047D78" w:rsidRDefault="00E00595" w:rsidP="00047D78">
            <w:pPr>
              <w:ind w:left="0" w:right="0"/>
              <w:rPr>
                <w:sz w:val="20"/>
              </w:rPr>
            </w:pPr>
            <w:r w:rsidRPr="00047D78">
              <w:rPr>
                <w:sz w:val="20"/>
              </w:rPr>
              <w:t>Difference</w:t>
            </w:r>
          </w:p>
        </w:tc>
      </w:tr>
      <w:tr w:rsidR="00E00595" w14:paraId="660B5922" w14:textId="77777777" w:rsidTr="00343C4C">
        <w:trPr>
          <w:trHeight w:val="432"/>
        </w:trPr>
        <w:tc>
          <w:tcPr>
            <w:tcW w:w="850" w:type="dxa"/>
            <w:vMerge w:val="restart"/>
            <w:vAlign w:val="center"/>
            <w:hideMark/>
          </w:tcPr>
          <w:p w14:paraId="4BD38C86" w14:textId="77777777" w:rsidR="00E00595" w:rsidRPr="00933DC0" w:rsidRDefault="00E00595" w:rsidP="00047D78">
            <w:pPr>
              <w:autoSpaceDE w:val="0"/>
              <w:autoSpaceDN w:val="0"/>
              <w:adjustRightInd w:val="0"/>
              <w:spacing w:before="0" w:after="0" w:line="240" w:lineRule="auto"/>
              <w:ind w:left="0" w:right="0"/>
              <w:jc w:val="center"/>
              <w:rPr>
                <w:rFonts w:asciiTheme="minorHAnsi" w:eastAsiaTheme="minorHAnsi" w:hAnsiTheme="minorHAnsi" w:cs="Calibri"/>
                <w:b/>
                <w:sz w:val="20"/>
                <w:szCs w:val="20"/>
              </w:rPr>
            </w:pPr>
            <w:r w:rsidRPr="00933DC0">
              <w:rPr>
                <w:rFonts w:asciiTheme="minorHAnsi" w:eastAsiaTheme="minorHAnsi" w:hAnsiTheme="minorHAnsi" w:cs="Calibri"/>
                <w:b/>
                <w:spacing w:val="-2"/>
                <w:sz w:val="20"/>
                <w:szCs w:val="20"/>
              </w:rPr>
              <w:t>W</w:t>
            </w:r>
            <w:r w:rsidRPr="00933DC0">
              <w:rPr>
                <w:rFonts w:asciiTheme="minorHAnsi" w:eastAsiaTheme="minorHAnsi" w:hAnsiTheme="minorHAnsi" w:cs="Calibri"/>
                <w:b/>
                <w:spacing w:val="-1"/>
                <w:sz w:val="20"/>
                <w:szCs w:val="20"/>
              </w:rPr>
              <w:t>e</w:t>
            </w:r>
            <w:r w:rsidRPr="00933DC0">
              <w:rPr>
                <w:rFonts w:asciiTheme="minorHAnsi" w:eastAsiaTheme="minorHAnsi" w:hAnsiTheme="minorHAnsi" w:cs="Calibri"/>
                <w:b/>
                <w:spacing w:val="1"/>
                <w:sz w:val="20"/>
                <w:szCs w:val="20"/>
              </w:rPr>
              <w:t>e</w:t>
            </w:r>
            <w:r w:rsidRPr="00933DC0">
              <w:rPr>
                <w:rFonts w:asciiTheme="minorHAnsi" w:eastAsiaTheme="minorHAnsi" w:hAnsiTheme="minorHAnsi" w:cs="Calibri"/>
                <w:b/>
                <w:sz w:val="20"/>
                <w:szCs w:val="20"/>
              </w:rPr>
              <w:t>k</w:t>
            </w:r>
            <w:r w:rsidRPr="00933DC0">
              <w:rPr>
                <w:rFonts w:asciiTheme="minorHAnsi" w:eastAsiaTheme="minorHAnsi" w:hAnsiTheme="minorHAnsi" w:cs="Calibri"/>
                <w:b/>
                <w:spacing w:val="-4"/>
                <w:sz w:val="20"/>
                <w:szCs w:val="20"/>
              </w:rPr>
              <w:t xml:space="preserve"> </w:t>
            </w:r>
            <w:r w:rsidRPr="00933DC0">
              <w:rPr>
                <w:rFonts w:asciiTheme="minorHAnsi" w:eastAsiaTheme="minorHAnsi" w:hAnsiTheme="minorHAnsi" w:cs="Calibri"/>
                <w:b/>
                <w:spacing w:val="1"/>
                <w:sz w:val="20"/>
                <w:szCs w:val="20"/>
              </w:rPr>
              <w:t>1</w:t>
            </w:r>
            <w:r w:rsidRPr="00933DC0">
              <w:rPr>
                <w:rFonts w:asciiTheme="minorHAnsi" w:eastAsiaTheme="minorHAnsi" w:hAnsiTheme="minorHAnsi" w:cs="Calibri"/>
                <w:b/>
                <w:sz w:val="20"/>
                <w:szCs w:val="20"/>
              </w:rPr>
              <w:t>3</w:t>
            </w:r>
          </w:p>
        </w:tc>
        <w:tc>
          <w:tcPr>
            <w:tcW w:w="3398" w:type="dxa"/>
            <w:vAlign w:val="center"/>
            <w:hideMark/>
          </w:tcPr>
          <w:p w14:paraId="0DC2CC52"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z w:val="20"/>
                <w:szCs w:val="20"/>
              </w:rPr>
            </w:pPr>
            <w:r w:rsidRPr="00933DC0">
              <w:rPr>
                <w:rFonts w:asciiTheme="minorHAnsi" w:eastAsiaTheme="minorHAnsi" w:hAnsiTheme="minorHAnsi" w:cs="Calibri"/>
                <w:sz w:val="20"/>
                <w:szCs w:val="20"/>
              </w:rPr>
              <w:t>Est</w:t>
            </w:r>
            <w:r w:rsidRPr="00933DC0">
              <w:rPr>
                <w:rFonts w:asciiTheme="minorHAnsi" w:eastAsiaTheme="minorHAnsi" w:hAnsiTheme="minorHAnsi" w:cs="Calibri"/>
                <w:spacing w:val="1"/>
                <w:sz w:val="20"/>
                <w:szCs w:val="20"/>
              </w:rPr>
              <w:t>i</w:t>
            </w:r>
            <w:r w:rsidRPr="00933DC0">
              <w:rPr>
                <w:rFonts w:asciiTheme="minorHAnsi" w:eastAsiaTheme="minorHAnsi" w:hAnsiTheme="minorHAnsi" w:cs="Calibri"/>
                <w:spacing w:val="-3"/>
                <w:sz w:val="20"/>
                <w:szCs w:val="20"/>
              </w:rPr>
              <w:t>m</w:t>
            </w:r>
            <w:r w:rsidRPr="00933DC0">
              <w:rPr>
                <w:rFonts w:asciiTheme="minorHAnsi" w:eastAsiaTheme="minorHAnsi" w:hAnsiTheme="minorHAnsi" w:cs="Calibri"/>
                <w:spacing w:val="-1"/>
                <w:sz w:val="20"/>
                <w:szCs w:val="20"/>
              </w:rPr>
              <w:t>a</w:t>
            </w:r>
            <w:r w:rsidRPr="00933DC0">
              <w:rPr>
                <w:rFonts w:asciiTheme="minorHAnsi" w:eastAsiaTheme="minorHAnsi" w:hAnsiTheme="minorHAnsi" w:cs="Calibri"/>
                <w:spacing w:val="3"/>
                <w:sz w:val="20"/>
                <w:szCs w:val="20"/>
              </w:rPr>
              <w:t>t</w:t>
            </w:r>
            <w:r w:rsidRPr="00933DC0">
              <w:rPr>
                <w:rFonts w:asciiTheme="minorHAnsi" w:eastAsiaTheme="minorHAnsi" w:hAnsiTheme="minorHAnsi" w:cs="Calibri"/>
                <w:sz w:val="20"/>
                <w:szCs w:val="20"/>
              </w:rPr>
              <w:t>e</w:t>
            </w:r>
          </w:p>
        </w:tc>
        <w:tc>
          <w:tcPr>
            <w:tcW w:w="1800" w:type="dxa"/>
            <w:vAlign w:val="center"/>
            <w:hideMark/>
          </w:tcPr>
          <w:p w14:paraId="05251EE3"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z w:val="20"/>
                <w:szCs w:val="20"/>
              </w:rPr>
            </w:pPr>
            <w:r w:rsidRPr="00933DC0">
              <w:rPr>
                <w:rFonts w:asciiTheme="minorHAnsi" w:eastAsiaTheme="minorHAnsi" w:hAnsiTheme="minorHAnsi" w:cs="Calibri"/>
                <w:spacing w:val="1"/>
                <w:sz w:val="20"/>
                <w:szCs w:val="20"/>
              </w:rPr>
              <w:t>3</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0</w:t>
            </w:r>
            <w:r w:rsidRPr="00933DC0">
              <w:rPr>
                <w:rFonts w:asciiTheme="minorHAnsi" w:eastAsiaTheme="minorHAnsi" w:hAnsiTheme="minorHAnsi" w:cs="Calibri"/>
                <w:sz w:val="20"/>
                <w:szCs w:val="20"/>
              </w:rPr>
              <w:t>5</w:t>
            </w:r>
          </w:p>
        </w:tc>
        <w:tc>
          <w:tcPr>
            <w:tcW w:w="1530" w:type="dxa"/>
            <w:vAlign w:val="center"/>
            <w:hideMark/>
          </w:tcPr>
          <w:p w14:paraId="7C1EADAC"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z w:val="20"/>
                <w:szCs w:val="20"/>
              </w:rPr>
            </w:pPr>
            <w:r w:rsidRPr="00933DC0">
              <w:rPr>
                <w:rFonts w:asciiTheme="minorHAnsi" w:eastAsiaTheme="minorHAnsi" w:hAnsiTheme="minorHAnsi" w:cs="Calibri"/>
                <w:spacing w:val="1"/>
                <w:sz w:val="20"/>
                <w:szCs w:val="20"/>
              </w:rPr>
              <w:t>0</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6</w:t>
            </w:r>
            <w:r w:rsidRPr="00933DC0">
              <w:rPr>
                <w:rFonts w:asciiTheme="minorHAnsi" w:eastAsiaTheme="minorHAnsi" w:hAnsiTheme="minorHAnsi" w:cs="Calibri"/>
                <w:sz w:val="20"/>
                <w:szCs w:val="20"/>
              </w:rPr>
              <w:t>5</w:t>
            </w:r>
          </w:p>
        </w:tc>
        <w:tc>
          <w:tcPr>
            <w:tcW w:w="1350" w:type="dxa"/>
            <w:vAlign w:val="center"/>
            <w:hideMark/>
          </w:tcPr>
          <w:p w14:paraId="3FF99D11"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z w:val="20"/>
                <w:szCs w:val="20"/>
              </w:rPr>
            </w:pPr>
            <w:r w:rsidRPr="00933DC0">
              <w:rPr>
                <w:rFonts w:asciiTheme="minorHAnsi" w:eastAsiaTheme="minorHAnsi" w:hAnsiTheme="minorHAnsi" w:cs="Calibri"/>
                <w:spacing w:val="1"/>
                <w:sz w:val="20"/>
                <w:szCs w:val="20"/>
              </w:rPr>
              <w:t>2</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4</w:t>
            </w:r>
            <w:r w:rsidRPr="00933DC0">
              <w:rPr>
                <w:rFonts w:asciiTheme="minorHAnsi" w:eastAsiaTheme="minorHAnsi" w:hAnsiTheme="minorHAnsi" w:cs="Calibri"/>
                <w:sz w:val="20"/>
                <w:szCs w:val="20"/>
              </w:rPr>
              <w:t>0</w:t>
            </w:r>
          </w:p>
        </w:tc>
      </w:tr>
      <w:tr w:rsidR="00E00595" w14:paraId="668CF288" w14:textId="77777777" w:rsidTr="00343C4C">
        <w:trPr>
          <w:trHeight w:val="432"/>
        </w:trPr>
        <w:tc>
          <w:tcPr>
            <w:tcW w:w="850" w:type="dxa"/>
            <w:vMerge/>
            <w:vAlign w:val="center"/>
            <w:hideMark/>
          </w:tcPr>
          <w:p w14:paraId="5C6763E3" w14:textId="77777777" w:rsidR="00E00595" w:rsidRPr="00933DC0" w:rsidRDefault="00E00595" w:rsidP="00047D78">
            <w:pPr>
              <w:spacing w:before="0" w:after="0" w:line="0" w:lineRule="auto"/>
              <w:ind w:left="0" w:right="0"/>
              <w:jc w:val="center"/>
              <w:rPr>
                <w:rFonts w:asciiTheme="minorHAnsi" w:eastAsiaTheme="minorHAnsi" w:hAnsiTheme="minorHAnsi" w:cs="Calibri"/>
                <w:b/>
                <w:sz w:val="20"/>
                <w:szCs w:val="20"/>
              </w:rPr>
            </w:pPr>
          </w:p>
        </w:tc>
        <w:tc>
          <w:tcPr>
            <w:tcW w:w="3398" w:type="dxa"/>
            <w:vAlign w:val="center"/>
            <w:hideMark/>
          </w:tcPr>
          <w:p w14:paraId="056FE2F2"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z w:val="20"/>
                <w:szCs w:val="20"/>
              </w:rPr>
            </w:pPr>
            <w:r w:rsidRPr="00933DC0">
              <w:rPr>
                <w:rFonts w:asciiTheme="minorHAnsi" w:eastAsiaTheme="minorHAnsi" w:hAnsiTheme="minorHAnsi" w:cs="Calibri"/>
                <w:spacing w:val="1"/>
                <w:sz w:val="20"/>
                <w:szCs w:val="20"/>
              </w:rPr>
              <w:t>SE</w:t>
            </w:r>
          </w:p>
        </w:tc>
        <w:tc>
          <w:tcPr>
            <w:tcW w:w="1800" w:type="dxa"/>
            <w:vAlign w:val="center"/>
            <w:hideMark/>
          </w:tcPr>
          <w:p w14:paraId="30620B79"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z w:val="20"/>
                <w:szCs w:val="20"/>
              </w:rPr>
            </w:pPr>
            <w:r w:rsidRPr="00933DC0">
              <w:rPr>
                <w:rFonts w:asciiTheme="minorHAnsi" w:eastAsiaTheme="minorHAnsi" w:hAnsiTheme="minorHAnsi" w:cs="Calibri"/>
                <w:spacing w:val="1"/>
                <w:sz w:val="20"/>
                <w:szCs w:val="20"/>
              </w:rPr>
              <w:t>0</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7</w:t>
            </w:r>
            <w:r w:rsidRPr="00933DC0">
              <w:rPr>
                <w:rFonts w:asciiTheme="minorHAnsi" w:eastAsiaTheme="minorHAnsi" w:hAnsiTheme="minorHAnsi" w:cs="Calibri"/>
                <w:sz w:val="20"/>
                <w:szCs w:val="20"/>
              </w:rPr>
              <w:t>8</w:t>
            </w:r>
          </w:p>
        </w:tc>
        <w:tc>
          <w:tcPr>
            <w:tcW w:w="1530" w:type="dxa"/>
            <w:vAlign w:val="center"/>
            <w:hideMark/>
          </w:tcPr>
          <w:p w14:paraId="3C5EE538"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z w:val="20"/>
                <w:szCs w:val="20"/>
              </w:rPr>
            </w:pPr>
            <w:r w:rsidRPr="00933DC0">
              <w:rPr>
                <w:rFonts w:asciiTheme="minorHAnsi" w:eastAsiaTheme="minorHAnsi" w:hAnsiTheme="minorHAnsi" w:cs="Calibri"/>
                <w:spacing w:val="1"/>
                <w:sz w:val="20"/>
                <w:szCs w:val="20"/>
              </w:rPr>
              <w:t>0</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8</w:t>
            </w:r>
            <w:r w:rsidRPr="00933DC0">
              <w:rPr>
                <w:rFonts w:asciiTheme="minorHAnsi" w:eastAsiaTheme="minorHAnsi" w:hAnsiTheme="minorHAnsi" w:cs="Calibri"/>
                <w:sz w:val="20"/>
                <w:szCs w:val="20"/>
              </w:rPr>
              <w:t>1</w:t>
            </w:r>
          </w:p>
        </w:tc>
        <w:tc>
          <w:tcPr>
            <w:tcW w:w="1350" w:type="dxa"/>
            <w:vAlign w:val="center"/>
            <w:hideMark/>
          </w:tcPr>
          <w:p w14:paraId="1F8C5B08"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z w:val="20"/>
                <w:szCs w:val="20"/>
              </w:rPr>
            </w:pPr>
            <w:r w:rsidRPr="00933DC0">
              <w:rPr>
                <w:rFonts w:asciiTheme="minorHAnsi" w:eastAsiaTheme="minorHAnsi" w:hAnsiTheme="minorHAnsi" w:cs="Calibri"/>
                <w:spacing w:val="1"/>
                <w:sz w:val="20"/>
                <w:szCs w:val="20"/>
              </w:rPr>
              <w:t>1</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1</w:t>
            </w:r>
            <w:r w:rsidRPr="00933DC0">
              <w:rPr>
                <w:rFonts w:asciiTheme="minorHAnsi" w:eastAsiaTheme="minorHAnsi" w:hAnsiTheme="minorHAnsi" w:cs="Calibri"/>
                <w:sz w:val="20"/>
                <w:szCs w:val="20"/>
              </w:rPr>
              <w:t>3</w:t>
            </w:r>
          </w:p>
        </w:tc>
      </w:tr>
      <w:tr w:rsidR="00E00595" w14:paraId="05CC18F3" w14:textId="77777777" w:rsidTr="00343C4C">
        <w:trPr>
          <w:trHeight w:val="432"/>
        </w:trPr>
        <w:tc>
          <w:tcPr>
            <w:tcW w:w="850" w:type="dxa"/>
            <w:vMerge/>
            <w:vAlign w:val="center"/>
            <w:hideMark/>
          </w:tcPr>
          <w:p w14:paraId="48414730" w14:textId="77777777" w:rsidR="00E00595" w:rsidRPr="00933DC0" w:rsidRDefault="00E00595" w:rsidP="00047D78">
            <w:pPr>
              <w:spacing w:before="0" w:after="0" w:line="0" w:lineRule="auto"/>
              <w:ind w:left="0" w:right="0"/>
              <w:jc w:val="center"/>
              <w:rPr>
                <w:rFonts w:asciiTheme="minorHAnsi" w:eastAsiaTheme="minorHAnsi" w:hAnsiTheme="minorHAnsi" w:cs="Calibri"/>
                <w:b/>
                <w:sz w:val="20"/>
                <w:szCs w:val="20"/>
              </w:rPr>
            </w:pPr>
          </w:p>
        </w:tc>
        <w:tc>
          <w:tcPr>
            <w:tcW w:w="3398" w:type="dxa"/>
            <w:vAlign w:val="center"/>
            <w:hideMark/>
          </w:tcPr>
          <w:p w14:paraId="0B54D8FA"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z w:val="20"/>
                <w:szCs w:val="20"/>
              </w:rPr>
            </w:pPr>
            <w:r w:rsidRPr="00933DC0">
              <w:rPr>
                <w:rFonts w:asciiTheme="minorHAnsi" w:eastAsiaTheme="minorHAnsi" w:hAnsiTheme="minorHAnsi" w:cs="Calibri"/>
                <w:spacing w:val="1"/>
                <w:position w:val="-1"/>
                <w:sz w:val="20"/>
                <w:szCs w:val="20"/>
              </w:rPr>
              <w:t>95</w:t>
            </w:r>
            <w:r w:rsidRPr="00933DC0">
              <w:rPr>
                <w:rFonts w:asciiTheme="minorHAnsi" w:eastAsiaTheme="minorHAnsi" w:hAnsiTheme="minorHAnsi" w:cs="Calibri"/>
                <w:position w:val="-1"/>
                <w:sz w:val="20"/>
                <w:szCs w:val="20"/>
              </w:rPr>
              <w:t>%</w:t>
            </w:r>
            <w:r w:rsidRPr="00933DC0">
              <w:rPr>
                <w:rFonts w:asciiTheme="minorHAnsi" w:eastAsiaTheme="minorHAnsi" w:hAnsiTheme="minorHAnsi" w:cs="Calibri"/>
                <w:spacing w:val="-1"/>
                <w:position w:val="-1"/>
                <w:sz w:val="20"/>
                <w:szCs w:val="20"/>
              </w:rPr>
              <w:t xml:space="preserve"> </w:t>
            </w:r>
            <w:r w:rsidRPr="00933DC0">
              <w:rPr>
                <w:rFonts w:asciiTheme="minorHAnsi" w:eastAsiaTheme="minorHAnsi" w:hAnsiTheme="minorHAnsi" w:cs="Calibri"/>
                <w:position w:val="-1"/>
                <w:sz w:val="20"/>
                <w:szCs w:val="20"/>
              </w:rPr>
              <w:t>CI</w:t>
            </w:r>
          </w:p>
        </w:tc>
        <w:tc>
          <w:tcPr>
            <w:tcW w:w="1800" w:type="dxa"/>
            <w:vAlign w:val="center"/>
            <w:hideMark/>
          </w:tcPr>
          <w:p w14:paraId="5114AECF"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z w:val="20"/>
                <w:szCs w:val="20"/>
              </w:rPr>
            </w:pPr>
            <w:r w:rsidRPr="00933DC0">
              <w:rPr>
                <w:rFonts w:asciiTheme="minorHAnsi" w:eastAsiaTheme="minorHAnsi" w:hAnsiTheme="minorHAnsi" w:cs="Calibri"/>
                <w:spacing w:val="1"/>
                <w:position w:val="-1"/>
                <w:sz w:val="20"/>
                <w:szCs w:val="20"/>
              </w:rPr>
              <w:t>1</w:t>
            </w:r>
            <w:r w:rsidRPr="00933DC0">
              <w:rPr>
                <w:rFonts w:asciiTheme="minorHAnsi" w:eastAsiaTheme="minorHAnsi" w:hAnsiTheme="minorHAnsi" w:cs="Calibri"/>
                <w:position w:val="-1"/>
                <w:sz w:val="20"/>
                <w:szCs w:val="20"/>
              </w:rPr>
              <w:t>.</w:t>
            </w:r>
            <w:r w:rsidRPr="00933DC0">
              <w:rPr>
                <w:rFonts w:asciiTheme="minorHAnsi" w:eastAsiaTheme="minorHAnsi" w:hAnsiTheme="minorHAnsi" w:cs="Calibri"/>
                <w:spacing w:val="-1"/>
                <w:position w:val="-1"/>
                <w:sz w:val="20"/>
                <w:szCs w:val="20"/>
              </w:rPr>
              <w:t>5</w:t>
            </w:r>
            <w:r w:rsidRPr="00933DC0">
              <w:rPr>
                <w:rFonts w:asciiTheme="minorHAnsi" w:eastAsiaTheme="minorHAnsi" w:hAnsiTheme="minorHAnsi" w:cs="Calibri"/>
                <w:spacing w:val="1"/>
                <w:position w:val="-1"/>
                <w:sz w:val="20"/>
                <w:szCs w:val="20"/>
              </w:rPr>
              <w:t>0</w:t>
            </w:r>
            <w:r w:rsidRPr="00933DC0">
              <w:rPr>
                <w:rFonts w:asciiTheme="minorHAnsi" w:eastAsiaTheme="minorHAnsi" w:hAnsiTheme="minorHAnsi" w:cs="Calibri"/>
                <w:position w:val="-1"/>
                <w:sz w:val="20"/>
                <w:szCs w:val="20"/>
              </w:rPr>
              <w:t>,</w:t>
            </w:r>
            <w:r w:rsidRPr="00933DC0">
              <w:rPr>
                <w:rFonts w:asciiTheme="minorHAnsi" w:eastAsiaTheme="minorHAnsi" w:hAnsiTheme="minorHAnsi" w:cs="Calibri"/>
                <w:spacing w:val="-1"/>
                <w:position w:val="-1"/>
                <w:sz w:val="20"/>
                <w:szCs w:val="20"/>
              </w:rPr>
              <w:t xml:space="preserve"> </w:t>
            </w:r>
            <w:r w:rsidRPr="00933DC0">
              <w:rPr>
                <w:rFonts w:asciiTheme="minorHAnsi" w:eastAsiaTheme="minorHAnsi" w:hAnsiTheme="minorHAnsi" w:cs="Calibri"/>
                <w:spacing w:val="1"/>
                <w:position w:val="-1"/>
                <w:sz w:val="20"/>
                <w:szCs w:val="20"/>
              </w:rPr>
              <w:t>4</w:t>
            </w:r>
            <w:r w:rsidRPr="00933DC0">
              <w:rPr>
                <w:rFonts w:asciiTheme="minorHAnsi" w:eastAsiaTheme="minorHAnsi" w:hAnsiTheme="minorHAnsi" w:cs="Calibri"/>
                <w:position w:val="-1"/>
                <w:sz w:val="20"/>
                <w:szCs w:val="20"/>
              </w:rPr>
              <w:t>.</w:t>
            </w:r>
            <w:r w:rsidRPr="00933DC0">
              <w:rPr>
                <w:rFonts w:asciiTheme="minorHAnsi" w:eastAsiaTheme="minorHAnsi" w:hAnsiTheme="minorHAnsi" w:cs="Calibri"/>
                <w:spacing w:val="-1"/>
                <w:position w:val="-1"/>
                <w:sz w:val="20"/>
                <w:szCs w:val="20"/>
              </w:rPr>
              <w:t>5</w:t>
            </w:r>
            <w:r w:rsidRPr="00933DC0">
              <w:rPr>
                <w:rFonts w:asciiTheme="minorHAnsi" w:eastAsiaTheme="minorHAnsi" w:hAnsiTheme="minorHAnsi" w:cs="Calibri"/>
                <w:position w:val="-1"/>
                <w:sz w:val="20"/>
                <w:szCs w:val="20"/>
              </w:rPr>
              <w:t>9</w:t>
            </w:r>
          </w:p>
        </w:tc>
        <w:tc>
          <w:tcPr>
            <w:tcW w:w="1530" w:type="dxa"/>
            <w:vAlign w:val="center"/>
            <w:hideMark/>
          </w:tcPr>
          <w:p w14:paraId="218319B0"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z w:val="20"/>
                <w:szCs w:val="20"/>
              </w:rPr>
            </w:pPr>
            <w:r w:rsidRPr="00933DC0">
              <w:rPr>
                <w:rFonts w:asciiTheme="minorHAnsi" w:eastAsiaTheme="minorHAnsi" w:hAnsiTheme="minorHAnsi" w:cs="Calibri"/>
                <w:position w:val="-1"/>
                <w:sz w:val="20"/>
                <w:szCs w:val="20"/>
              </w:rPr>
              <w:t>-</w:t>
            </w:r>
            <w:r w:rsidRPr="00933DC0">
              <w:rPr>
                <w:rFonts w:asciiTheme="minorHAnsi" w:eastAsiaTheme="minorHAnsi" w:hAnsiTheme="minorHAnsi" w:cs="Calibri"/>
                <w:spacing w:val="1"/>
                <w:position w:val="-1"/>
                <w:sz w:val="20"/>
                <w:szCs w:val="20"/>
              </w:rPr>
              <w:t>0</w:t>
            </w:r>
            <w:r w:rsidRPr="00933DC0">
              <w:rPr>
                <w:rFonts w:asciiTheme="minorHAnsi" w:eastAsiaTheme="minorHAnsi" w:hAnsiTheme="minorHAnsi" w:cs="Calibri"/>
                <w:position w:val="-1"/>
                <w:sz w:val="20"/>
                <w:szCs w:val="20"/>
              </w:rPr>
              <w:t>.</w:t>
            </w:r>
            <w:r w:rsidRPr="00933DC0">
              <w:rPr>
                <w:rFonts w:asciiTheme="minorHAnsi" w:eastAsiaTheme="minorHAnsi" w:hAnsiTheme="minorHAnsi" w:cs="Calibri"/>
                <w:spacing w:val="-1"/>
                <w:position w:val="-1"/>
                <w:sz w:val="20"/>
                <w:szCs w:val="20"/>
              </w:rPr>
              <w:t>9</w:t>
            </w:r>
            <w:r w:rsidRPr="00933DC0">
              <w:rPr>
                <w:rFonts w:asciiTheme="minorHAnsi" w:eastAsiaTheme="minorHAnsi" w:hAnsiTheme="minorHAnsi" w:cs="Calibri"/>
                <w:spacing w:val="1"/>
                <w:position w:val="-1"/>
                <w:sz w:val="20"/>
                <w:szCs w:val="20"/>
              </w:rPr>
              <w:t>5</w:t>
            </w:r>
            <w:r w:rsidRPr="00933DC0">
              <w:rPr>
                <w:rFonts w:asciiTheme="minorHAnsi" w:eastAsiaTheme="minorHAnsi" w:hAnsiTheme="minorHAnsi" w:cs="Calibri"/>
                <w:position w:val="-1"/>
                <w:sz w:val="20"/>
                <w:szCs w:val="20"/>
              </w:rPr>
              <w:t>,</w:t>
            </w:r>
            <w:r w:rsidRPr="00933DC0">
              <w:rPr>
                <w:rFonts w:asciiTheme="minorHAnsi" w:eastAsiaTheme="minorHAnsi" w:hAnsiTheme="minorHAnsi" w:cs="Calibri"/>
                <w:spacing w:val="-1"/>
                <w:position w:val="-1"/>
                <w:sz w:val="20"/>
                <w:szCs w:val="20"/>
              </w:rPr>
              <w:t xml:space="preserve"> </w:t>
            </w:r>
            <w:r w:rsidRPr="00933DC0">
              <w:rPr>
                <w:rFonts w:asciiTheme="minorHAnsi" w:eastAsiaTheme="minorHAnsi" w:hAnsiTheme="minorHAnsi" w:cs="Calibri"/>
                <w:spacing w:val="1"/>
                <w:position w:val="-1"/>
                <w:sz w:val="20"/>
                <w:szCs w:val="20"/>
              </w:rPr>
              <w:t>2</w:t>
            </w:r>
            <w:r w:rsidRPr="00933DC0">
              <w:rPr>
                <w:rFonts w:asciiTheme="minorHAnsi" w:eastAsiaTheme="minorHAnsi" w:hAnsiTheme="minorHAnsi" w:cs="Calibri"/>
                <w:spacing w:val="-2"/>
                <w:position w:val="-1"/>
                <w:sz w:val="20"/>
                <w:szCs w:val="20"/>
              </w:rPr>
              <w:t>.</w:t>
            </w:r>
            <w:r w:rsidRPr="00933DC0">
              <w:rPr>
                <w:rFonts w:asciiTheme="minorHAnsi" w:eastAsiaTheme="minorHAnsi" w:hAnsiTheme="minorHAnsi" w:cs="Calibri"/>
                <w:spacing w:val="1"/>
                <w:position w:val="-1"/>
                <w:sz w:val="20"/>
                <w:szCs w:val="20"/>
              </w:rPr>
              <w:t>2</w:t>
            </w:r>
            <w:r w:rsidRPr="00933DC0">
              <w:rPr>
                <w:rFonts w:asciiTheme="minorHAnsi" w:eastAsiaTheme="minorHAnsi" w:hAnsiTheme="minorHAnsi" w:cs="Calibri"/>
                <w:position w:val="-1"/>
                <w:sz w:val="20"/>
                <w:szCs w:val="20"/>
              </w:rPr>
              <w:t>6</w:t>
            </w:r>
          </w:p>
        </w:tc>
        <w:tc>
          <w:tcPr>
            <w:tcW w:w="1350" w:type="dxa"/>
            <w:vAlign w:val="center"/>
            <w:hideMark/>
          </w:tcPr>
          <w:p w14:paraId="3D7D2A49"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z w:val="20"/>
                <w:szCs w:val="20"/>
              </w:rPr>
            </w:pPr>
            <w:r w:rsidRPr="00933DC0">
              <w:rPr>
                <w:rFonts w:asciiTheme="minorHAnsi" w:eastAsiaTheme="minorHAnsi" w:hAnsiTheme="minorHAnsi" w:cs="Calibri"/>
                <w:spacing w:val="1"/>
                <w:position w:val="-1"/>
                <w:sz w:val="20"/>
                <w:szCs w:val="20"/>
              </w:rPr>
              <w:t>0</w:t>
            </w:r>
            <w:r w:rsidRPr="00933DC0">
              <w:rPr>
                <w:rFonts w:asciiTheme="minorHAnsi" w:eastAsiaTheme="minorHAnsi" w:hAnsiTheme="minorHAnsi" w:cs="Calibri"/>
                <w:position w:val="-1"/>
                <w:sz w:val="20"/>
                <w:szCs w:val="20"/>
              </w:rPr>
              <w:t>.</w:t>
            </w:r>
            <w:r w:rsidRPr="00933DC0">
              <w:rPr>
                <w:rFonts w:asciiTheme="minorHAnsi" w:eastAsiaTheme="minorHAnsi" w:hAnsiTheme="minorHAnsi" w:cs="Calibri"/>
                <w:spacing w:val="-1"/>
                <w:position w:val="-1"/>
                <w:sz w:val="20"/>
                <w:szCs w:val="20"/>
              </w:rPr>
              <w:t>1</w:t>
            </w:r>
            <w:r w:rsidRPr="00933DC0">
              <w:rPr>
                <w:rFonts w:asciiTheme="minorHAnsi" w:eastAsiaTheme="minorHAnsi" w:hAnsiTheme="minorHAnsi" w:cs="Calibri"/>
                <w:spacing w:val="1"/>
                <w:position w:val="-1"/>
                <w:sz w:val="20"/>
                <w:szCs w:val="20"/>
              </w:rPr>
              <w:t>6</w:t>
            </w:r>
            <w:r w:rsidRPr="00933DC0">
              <w:rPr>
                <w:rFonts w:asciiTheme="minorHAnsi" w:eastAsiaTheme="minorHAnsi" w:hAnsiTheme="minorHAnsi" w:cs="Calibri"/>
                <w:position w:val="-1"/>
                <w:sz w:val="20"/>
                <w:szCs w:val="20"/>
              </w:rPr>
              <w:t>,</w:t>
            </w:r>
            <w:r w:rsidRPr="00933DC0">
              <w:rPr>
                <w:rFonts w:asciiTheme="minorHAnsi" w:eastAsiaTheme="minorHAnsi" w:hAnsiTheme="minorHAnsi" w:cs="Calibri"/>
                <w:spacing w:val="-1"/>
                <w:position w:val="-1"/>
                <w:sz w:val="20"/>
                <w:szCs w:val="20"/>
              </w:rPr>
              <w:t xml:space="preserve"> </w:t>
            </w:r>
            <w:r w:rsidRPr="00933DC0">
              <w:rPr>
                <w:rFonts w:asciiTheme="minorHAnsi" w:eastAsiaTheme="minorHAnsi" w:hAnsiTheme="minorHAnsi" w:cs="Calibri"/>
                <w:spacing w:val="1"/>
                <w:position w:val="-1"/>
                <w:sz w:val="20"/>
                <w:szCs w:val="20"/>
              </w:rPr>
              <w:t>4</w:t>
            </w:r>
            <w:r w:rsidRPr="00933DC0">
              <w:rPr>
                <w:rFonts w:asciiTheme="minorHAnsi" w:eastAsiaTheme="minorHAnsi" w:hAnsiTheme="minorHAnsi" w:cs="Calibri"/>
                <w:position w:val="-1"/>
                <w:sz w:val="20"/>
                <w:szCs w:val="20"/>
              </w:rPr>
              <w:t>.</w:t>
            </w:r>
            <w:r w:rsidRPr="00933DC0">
              <w:rPr>
                <w:rFonts w:asciiTheme="minorHAnsi" w:eastAsiaTheme="minorHAnsi" w:hAnsiTheme="minorHAnsi" w:cs="Calibri"/>
                <w:spacing w:val="-1"/>
                <w:position w:val="-1"/>
                <w:sz w:val="20"/>
                <w:szCs w:val="20"/>
              </w:rPr>
              <w:t>6</w:t>
            </w:r>
            <w:r w:rsidRPr="00933DC0">
              <w:rPr>
                <w:rFonts w:asciiTheme="minorHAnsi" w:eastAsiaTheme="minorHAnsi" w:hAnsiTheme="minorHAnsi" w:cs="Calibri"/>
                <w:position w:val="-1"/>
                <w:sz w:val="20"/>
                <w:szCs w:val="20"/>
              </w:rPr>
              <w:t>3</w:t>
            </w:r>
          </w:p>
        </w:tc>
      </w:tr>
      <w:tr w:rsidR="00E00595" w14:paraId="34EC7D81" w14:textId="77777777" w:rsidTr="00343C4C">
        <w:trPr>
          <w:trHeight w:val="432"/>
        </w:trPr>
        <w:tc>
          <w:tcPr>
            <w:tcW w:w="850" w:type="dxa"/>
            <w:vMerge/>
            <w:vAlign w:val="center"/>
            <w:hideMark/>
          </w:tcPr>
          <w:p w14:paraId="01E5E15F" w14:textId="77777777" w:rsidR="00E00595" w:rsidRPr="00933DC0" w:rsidRDefault="00E00595" w:rsidP="00047D78">
            <w:pPr>
              <w:spacing w:before="0" w:after="0" w:line="0" w:lineRule="auto"/>
              <w:ind w:left="0" w:right="0"/>
              <w:jc w:val="center"/>
              <w:rPr>
                <w:rFonts w:asciiTheme="minorHAnsi" w:eastAsiaTheme="minorHAnsi" w:hAnsiTheme="minorHAnsi" w:cs="Calibri"/>
                <w:b/>
                <w:sz w:val="20"/>
                <w:szCs w:val="20"/>
              </w:rPr>
            </w:pPr>
          </w:p>
        </w:tc>
        <w:tc>
          <w:tcPr>
            <w:tcW w:w="3398" w:type="dxa"/>
            <w:vAlign w:val="center"/>
            <w:hideMark/>
          </w:tcPr>
          <w:p w14:paraId="6B03AABD"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pacing w:val="1"/>
                <w:sz w:val="20"/>
                <w:szCs w:val="20"/>
              </w:rPr>
              <w:t>p</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va</w:t>
            </w:r>
            <w:r w:rsidRPr="00933DC0">
              <w:rPr>
                <w:rFonts w:asciiTheme="minorHAnsi" w:eastAsiaTheme="minorHAnsi" w:hAnsiTheme="minorHAnsi" w:cs="Calibri"/>
                <w:sz w:val="20"/>
                <w:szCs w:val="20"/>
              </w:rPr>
              <w:t>l</w:t>
            </w:r>
            <w:r w:rsidRPr="00933DC0">
              <w:rPr>
                <w:rFonts w:asciiTheme="minorHAnsi" w:eastAsiaTheme="minorHAnsi" w:hAnsiTheme="minorHAnsi" w:cs="Calibri"/>
                <w:spacing w:val="1"/>
                <w:sz w:val="20"/>
                <w:szCs w:val="20"/>
              </w:rPr>
              <w:t>u</w:t>
            </w:r>
            <w:r w:rsidRPr="00933DC0">
              <w:rPr>
                <w:rFonts w:asciiTheme="minorHAnsi" w:eastAsiaTheme="minorHAnsi" w:hAnsiTheme="minorHAnsi" w:cs="Calibri"/>
                <w:sz w:val="20"/>
                <w:szCs w:val="20"/>
              </w:rPr>
              <w:t>e</w:t>
            </w:r>
            <w:r w:rsidRPr="00933DC0">
              <w:rPr>
                <w:rFonts w:asciiTheme="minorHAnsi" w:eastAsiaTheme="minorHAnsi" w:hAnsiTheme="minorHAnsi" w:cs="Calibri"/>
                <w:spacing w:val="-3"/>
                <w:sz w:val="20"/>
                <w:szCs w:val="20"/>
              </w:rPr>
              <w:t xml:space="preserve"> </w:t>
            </w:r>
            <w:r w:rsidRPr="00933DC0">
              <w:rPr>
                <w:rFonts w:asciiTheme="minorHAnsi" w:eastAsiaTheme="minorHAnsi" w:hAnsiTheme="minorHAnsi" w:cs="Calibri"/>
                <w:spacing w:val="-2"/>
                <w:sz w:val="20"/>
                <w:szCs w:val="20"/>
              </w:rPr>
              <w:t>f</w:t>
            </w:r>
            <w:r w:rsidRPr="00933DC0">
              <w:rPr>
                <w:rFonts w:asciiTheme="minorHAnsi" w:eastAsiaTheme="minorHAnsi" w:hAnsiTheme="minorHAnsi" w:cs="Calibri"/>
                <w:spacing w:val="1"/>
                <w:sz w:val="20"/>
                <w:szCs w:val="20"/>
              </w:rPr>
              <w:t>o</w:t>
            </w:r>
            <w:r w:rsidRPr="00933DC0">
              <w:rPr>
                <w:rFonts w:asciiTheme="minorHAnsi" w:eastAsiaTheme="minorHAnsi" w:hAnsiTheme="minorHAnsi" w:cs="Calibri"/>
                <w:sz w:val="20"/>
                <w:szCs w:val="20"/>
              </w:rPr>
              <w:t>r</w:t>
            </w:r>
            <w:r w:rsidRPr="00933DC0">
              <w:rPr>
                <w:rFonts w:asciiTheme="minorHAnsi" w:eastAsiaTheme="minorHAnsi" w:hAnsiTheme="minorHAnsi" w:cs="Calibri"/>
                <w:spacing w:val="1"/>
                <w:sz w:val="20"/>
                <w:szCs w:val="20"/>
              </w:rPr>
              <w:t xml:space="preserve"> </w:t>
            </w:r>
            <w:r w:rsidRPr="00933DC0">
              <w:rPr>
                <w:rFonts w:asciiTheme="minorHAnsi" w:eastAsiaTheme="minorHAnsi" w:hAnsiTheme="minorHAnsi" w:cs="Calibri"/>
                <w:spacing w:val="-3"/>
                <w:sz w:val="20"/>
                <w:szCs w:val="20"/>
              </w:rPr>
              <w:t xml:space="preserve">non-inferiority </w:t>
            </w:r>
            <w:r w:rsidRPr="00933DC0">
              <w:rPr>
                <w:rFonts w:asciiTheme="minorHAnsi" w:eastAsiaTheme="minorHAnsi" w:hAnsiTheme="minorHAnsi" w:cs="Calibri"/>
                <w:spacing w:val="-3"/>
                <w:sz w:val="20"/>
                <w:szCs w:val="20"/>
                <w:vertAlign w:val="superscript"/>
              </w:rPr>
              <w:t>b</w:t>
            </w:r>
          </w:p>
        </w:tc>
        <w:tc>
          <w:tcPr>
            <w:tcW w:w="1800" w:type="dxa"/>
            <w:vAlign w:val="center"/>
          </w:tcPr>
          <w:p w14:paraId="06B9FB78"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p>
        </w:tc>
        <w:tc>
          <w:tcPr>
            <w:tcW w:w="1530" w:type="dxa"/>
            <w:vAlign w:val="center"/>
          </w:tcPr>
          <w:p w14:paraId="27F0D6E1"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p>
        </w:tc>
        <w:tc>
          <w:tcPr>
            <w:tcW w:w="1350" w:type="dxa"/>
            <w:vAlign w:val="center"/>
            <w:hideMark/>
          </w:tcPr>
          <w:p w14:paraId="5D7036A0"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color w:val="000000"/>
                <w:spacing w:val="1"/>
                <w:position w:val="6"/>
                <w:sz w:val="20"/>
                <w:szCs w:val="20"/>
              </w:rPr>
              <w:t>0</w:t>
            </w:r>
            <w:r w:rsidRPr="00933DC0">
              <w:rPr>
                <w:rFonts w:asciiTheme="minorHAnsi" w:eastAsiaTheme="minorHAnsi" w:hAnsiTheme="minorHAnsi" w:cs="Calibri"/>
                <w:color w:val="000000"/>
                <w:position w:val="6"/>
                <w:sz w:val="20"/>
                <w:szCs w:val="20"/>
              </w:rPr>
              <w:t>.</w:t>
            </w:r>
            <w:r w:rsidRPr="00933DC0">
              <w:rPr>
                <w:rFonts w:asciiTheme="minorHAnsi" w:eastAsiaTheme="minorHAnsi" w:hAnsiTheme="minorHAnsi" w:cs="Calibri"/>
                <w:color w:val="000000"/>
                <w:spacing w:val="-1"/>
                <w:position w:val="6"/>
                <w:sz w:val="20"/>
                <w:szCs w:val="20"/>
              </w:rPr>
              <w:t>0</w:t>
            </w:r>
            <w:r w:rsidRPr="00933DC0">
              <w:rPr>
                <w:rFonts w:asciiTheme="minorHAnsi" w:eastAsiaTheme="minorHAnsi" w:hAnsiTheme="minorHAnsi" w:cs="Calibri"/>
                <w:color w:val="000000"/>
                <w:spacing w:val="1"/>
                <w:position w:val="6"/>
                <w:sz w:val="20"/>
                <w:szCs w:val="20"/>
              </w:rPr>
              <w:t>0</w:t>
            </w:r>
            <w:r w:rsidRPr="00933DC0">
              <w:rPr>
                <w:rFonts w:asciiTheme="minorHAnsi" w:eastAsiaTheme="minorHAnsi" w:hAnsiTheme="minorHAnsi" w:cs="Calibri"/>
                <w:color w:val="000000"/>
                <w:spacing w:val="-1"/>
                <w:position w:val="6"/>
                <w:sz w:val="20"/>
                <w:szCs w:val="20"/>
              </w:rPr>
              <w:t>2</w:t>
            </w:r>
            <w:r w:rsidRPr="00933DC0">
              <w:rPr>
                <w:rFonts w:asciiTheme="minorHAnsi" w:eastAsiaTheme="minorHAnsi" w:hAnsiTheme="minorHAnsi" w:cs="Calibri"/>
                <w:color w:val="000000"/>
                <w:position w:val="6"/>
                <w:sz w:val="20"/>
                <w:szCs w:val="20"/>
              </w:rPr>
              <w:t>6</w:t>
            </w:r>
          </w:p>
        </w:tc>
      </w:tr>
      <w:tr w:rsidR="00E00595" w14:paraId="0A9DC15C" w14:textId="77777777" w:rsidTr="00343C4C">
        <w:trPr>
          <w:trHeight w:val="432"/>
        </w:trPr>
        <w:tc>
          <w:tcPr>
            <w:tcW w:w="850" w:type="dxa"/>
            <w:vMerge/>
            <w:vAlign w:val="center"/>
            <w:hideMark/>
          </w:tcPr>
          <w:p w14:paraId="6F978E7C" w14:textId="77777777" w:rsidR="00E00595" w:rsidRPr="00933DC0" w:rsidRDefault="00E00595" w:rsidP="00047D78">
            <w:pPr>
              <w:spacing w:before="0" w:after="0" w:line="0" w:lineRule="auto"/>
              <w:ind w:left="0" w:right="0"/>
              <w:jc w:val="center"/>
              <w:rPr>
                <w:rFonts w:asciiTheme="minorHAnsi" w:eastAsiaTheme="minorHAnsi" w:hAnsiTheme="minorHAnsi" w:cs="Calibri"/>
                <w:b/>
                <w:sz w:val="20"/>
                <w:szCs w:val="20"/>
              </w:rPr>
            </w:pPr>
          </w:p>
        </w:tc>
        <w:tc>
          <w:tcPr>
            <w:tcW w:w="3398" w:type="dxa"/>
            <w:vAlign w:val="center"/>
            <w:hideMark/>
          </w:tcPr>
          <w:p w14:paraId="244215F9"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pacing w:val="1"/>
                <w:sz w:val="20"/>
                <w:szCs w:val="20"/>
              </w:rPr>
              <w:t>p</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va</w:t>
            </w:r>
            <w:r w:rsidRPr="00933DC0">
              <w:rPr>
                <w:rFonts w:asciiTheme="minorHAnsi" w:eastAsiaTheme="minorHAnsi" w:hAnsiTheme="minorHAnsi" w:cs="Calibri"/>
                <w:sz w:val="20"/>
                <w:szCs w:val="20"/>
              </w:rPr>
              <w:t>l</w:t>
            </w:r>
            <w:r w:rsidRPr="00933DC0">
              <w:rPr>
                <w:rFonts w:asciiTheme="minorHAnsi" w:eastAsiaTheme="minorHAnsi" w:hAnsiTheme="minorHAnsi" w:cs="Calibri"/>
                <w:spacing w:val="1"/>
                <w:sz w:val="20"/>
                <w:szCs w:val="20"/>
              </w:rPr>
              <w:t>u</w:t>
            </w:r>
            <w:r w:rsidRPr="00933DC0">
              <w:rPr>
                <w:rFonts w:asciiTheme="minorHAnsi" w:eastAsiaTheme="minorHAnsi" w:hAnsiTheme="minorHAnsi" w:cs="Calibri"/>
                <w:sz w:val="20"/>
                <w:szCs w:val="20"/>
              </w:rPr>
              <w:t>e</w:t>
            </w:r>
            <w:r w:rsidRPr="00933DC0">
              <w:rPr>
                <w:rFonts w:asciiTheme="minorHAnsi" w:eastAsiaTheme="minorHAnsi" w:hAnsiTheme="minorHAnsi" w:cs="Calibri"/>
                <w:spacing w:val="-3"/>
                <w:sz w:val="20"/>
                <w:szCs w:val="20"/>
              </w:rPr>
              <w:t xml:space="preserve"> </w:t>
            </w:r>
            <w:r w:rsidRPr="00933DC0">
              <w:rPr>
                <w:rFonts w:asciiTheme="minorHAnsi" w:eastAsiaTheme="minorHAnsi" w:hAnsiTheme="minorHAnsi" w:cs="Calibri"/>
                <w:spacing w:val="-2"/>
                <w:sz w:val="20"/>
                <w:szCs w:val="20"/>
              </w:rPr>
              <w:t>f</w:t>
            </w:r>
            <w:r w:rsidRPr="00933DC0">
              <w:rPr>
                <w:rFonts w:asciiTheme="minorHAnsi" w:eastAsiaTheme="minorHAnsi" w:hAnsiTheme="minorHAnsi" w:cs="Calibri"/>
                <w:spacing w:val="1"/>
                <w:sz w:val="20"/>
                <w:szCs w:val="20"/>
              </w:rPr>
              <w:t>o</w:t>
            </w:r>
            <w:r w:rsidRPr="00933DC0">
              <w:rPr>
                <w:rFonts w:asciiTheme="minorHAnsi" w:eastAsiaTheme="minorHAnsi" w:hAnsiTheme="minorHAnsi" w:cs="Calibri"/>
                <w:sz w:val="20"/>
                <w:szCs w:val="20"/>
              </w:rPr>
              <w:t>r</w:t>
            </w:r>
            <w:r w:rsidRPr="00933DC0">
              <w:rPr>
                <w:rFonts w:asciiTheme="minorHAnsi" w:eastAsiaTheme="minorHAnsi" w:hAnsiTheme="minorHAnsi" w:cs="Calibri"/>
                <w:spacing w:val="1"/>
                <w:sz w:val="20"/>
                <w:szCs w:val="20"/>
              </w:rPr>
              <w:t xml:space="preserve"> </w:t>
            </w:r>
            <w:r w:rsidRPr="00933DC0">
              <w:rPr>
                <w:rFonts w:asciiTheme="minorHAnsi" w:eastAsiaTheme="minorHAnsi" w:hAnsiTheme="minorHAnsi" w:cs="Calibri"/>
                <w:sz w:val="20"/>
                <w:szCs w:val="20"/>
              </w:rPr>
              <w:t>s</w:t>
            </w:r>
            <w:r w:rsidRPr="00933DC0">
              <w:rPr>
                <w:rFonts w:asciiTheme="minorHAnsi" w:eastAsiaTheme="minorHAnsi" w:hAnsiTheme="minorHAnsi" w:cs="Calibri"/>
                <w:spacing w:val="1"/>
                <w:sz w:val="20"/>
                <w:szCs w:val="20"/>
              </w:rPr>
              <w:t>up</w:t>
            </w:r>
            <w:r w:rsidRPr="00933DC0">
              <w:rPr>
                <w:rFonts w:asciiTheme="minorHAnsi" w:eastAsiaTheme="minorHAnsi" w:hAnsiTheme="minorHAnsi" w:cs="Calibri"/>
                <w:spacing w:val="-1"/>
                <w:sz w:val="20"/>
                <w:szCs w:val="20"/>
              </w:rPr>
              <w:t>e</w:t>
            </w:r>
            <w:r w:rsidRPr="00933DC0">
              <w:rPr>
                <w:rFonts w:asciiTheme="minorHAnsi" w:eastAsiaTheme="minorHAnsi" w:hAnsiTheme="minorHAnsi" w:cs="Calibri"/>
                <w:sz w:val="20"/>
                <w:szCs w:val="20"/>
              </w:rPr>
              <w:t>ri</w:t>
            </w:r>
            <w:r w:rsidRPr="00933DC0">
              <w:rPr>
                <w:rFonts w:asciiTheme="minorHAnsi" w:eastAsiaTheme="minorHAnsi" w:hAnsiTheme="minorHAnsi" w:cs="Calibri"/>
                <w:spacing w:val="1"/>
                <w:sz w:val="20"/>
                <w:szCs w:val="20"/>
              </w:rPr>
              <w:t>o</w:t>
            </w:r>
            <w:r w:rsidRPr="00933DC0">
              <w:rPr>
                <w:rFonts w:asciiTheme="minorHAnsi" w:eastAsiaTheme="minorHAnsi" w:hAnsiTheme="minorHAnsi" w:cs="Calibri"/>
                <w:sz w:val="20"/>
                <w:szCs w:val="20"/>
              </w:rPr>
              <w:t>r</w:t>
            </w:r>
            <w:r w:rsidRPr="00933DC0">
              <w:rPr>
                <w:rFonts w:asciiTheme="minorHAnsi" w:eastAsiaTheme="minorHAnsi" w:hAnsiTheme="minorHAnsi" w:cs="Calibri"/>
                <w:spacing w:val="-2"/>
                <w:sz w:val="20"/>
                <w:szCs w:val="20"/>
              </w:rPr>
              <w:t>i</w:t>
            </w:r>
            <w:r w:rsidRPr="00933DC0">
              <w:rPr>
                <w:rFonts w:asciiTheme="minorHAnsi" w:eastAsiaTheme="minorHAnsi" w:hAnsiTheme="minorHAnsi" w:cs="Calibri"/>
                <w:sz w:val="20"/>
                <w:szCs w:val="20"/>
              </w:rPr>
              <w:t>ty</w:t>
            </w:r>
          </w:p>
        </w:tc>
        <w:tc>
          <w:tcPr>
            <w:tcW w:w="1800" w:type="dxa"/>
            <w:vAlign w:val="center"/>
          </w:tcPr>
          <w:p w14:paraId="1651ACBA"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p>
        </w:tc>
        <w:tc>
          <w:tcPr>
            <w:tcW w:w="1530" w:type="dxa"/>
            <w:vAlign w:val="center"/>
          </w:tcPr>
          <w:p w14:paraId="565C290C"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p>
        </w:tc>
        <w:tc>
          <w:tcPr>
            <w:tcW w:w="1350" w:type="dxa"/>
            <w:vAlign w:val="center"/>
            <w:hideMark/>
          </w:tcPr>
          <w:p w14:paraId="289F8428"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pacing w:val="1"/>
                <w:sz w:val="20"/>
                <w:szCs w:val="20"/>
              </w:rPr>
              <w:t>0</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0</w:t>
            </w:r>
            <w:r w:rsidRPr="00933DC0">
              <w:rPr>
                <w:rFonts w:asciiTheme="minorHAnsi" w:eastAsiaTheme="minorHAnsi" w:hAnsiTheme="minorHAnsi" w:cs="Calibri"/>
                <w:spacing w:val="1"/>
                <w:sz w:val="20"/>
                <w:szCs w:val="20"/>
              </w:rPr>
              <w:t>3</w:t>
            </w:r>
            <w:r w:rsidRPr="00933DC0">
              <w:rPr>
                <w:rFonts w:asciiTheme="minorHAnsi" w:eastAsiaTheme="minorHAnsi" w:hAnsiTheme="minorHAnsi" w:cs="Calibri"/>
                <w:spacing w:val="-1"/>
                <w:sz w:val="20"/>
                <w:szCs w:val="20"/>
              </w:rPr>
              <w:t>6</w:t>
            </w:r>
            <w:r w:rsidRPr="00933DC0">
              <w:rPr>
                <w:rFonts w:asciiTheme="minorHAnsi" w:eastAsiaTheme="minorHAnsi" w:hAnsiTheme="minorHAnsi" w:cs="Calibri"/>
                <w:sz w:val="20"/>
                <w:szCs w:val="20"/>
              </w:rPr>
              <w:t>3</w:t>
            </w:r>
          </w:p>
        </w:tc>
      </w:tr>
      <w:tr w:rsidR="00E00595" w14:paraId="1FB9D6D2" w14:textId="77777777" w:rsidTr="00343C4C">
        <w:trPr>
          <w:trHeight w:val="432"/>
        </w:trPr>
        <w:tc>
          <w:tcPr>
            <w:tcW w:w="850" w:type="dxa"/>
            <w:vMerge w:val="restart"/>
            <w:vAlign w:val="center"/>
            <w:hideMark/>
          </w:tcPr>
          <w:p w14:paraId="610F9D31" w14:textId="77777777" w:rsidR="00E00595" w:rsidRPr="00933DC0" w:rsidRDefault="00E00595" w:rsidP="00047D78">
            <w:pPr>
              <w:autoSpaceDE w:val="0"/>
              <w:autoSpaceDN w:val="0"/>
              <w:adjustRightInd w:val="0"/>
              <w:spacing w:before="0" w:after="0" w:line="240" w:lineRule="auto"/>
              <w:ind w:left="0" w:right="0"/>
              <w:jc w:val="center"/>
              <w:rPr>
                <w:rFonts w:asciiTheme="minorHAnsi" w:eastAsiaTheme="minorHAnsi" w:hAnsiTheme="minorHAnsi" w:cs="Calibri"/>
                <w:b/>
                <w:sz w:val="20"/>
                <w:szCs w:val="20"/>
              </w:rPr>
            </w:pPr>
            <w:r w:rsidRPr="00933DC0">
              <w:rPr>
                <w:rFonts w:asciiTheme="minorHAnsi" w:eastAsiaTheme="minorHAnsi" w:hAnsiTheme="minorHAnsi" w:cs="Calibri"/>
                <w:b/>
                <w:spacing w:val="-2"/>
                <w:sz w:val="20"/>
                <w:szCs w:val="20"/>
              </w:rPr>
              <w:t>W</w:t>
            </w:r>
            <w:r w:rsidRPr="00933DC0">
              <w:rPr>
                <w:rFonts w:asciiTheme="minorHAnsi" w:eastAsiaTheme="minorHAnsi" w:hAnsiTheme="minorHAnsi" w:cs="Calibri"/>
                <w:b/>
                <w:spacing w:val="-1"/>
                <w:sz w:val="20"/>
                <w:szCs w:val="20"/>
              </w:rPr>
              <w:t>e</w:t>
            </w:r>
            <w:r w:rsidRPr="00933DC0">
              <w:rPr>
                <w:rFonts w:asciiTheme="minorHAnsi" w:eastAsiaTheme="minorHAnsi" w:hAnsiTheme="minorHAnsi" w:cs="Calibri"/>
                <w:b/>
                <w:spacing w:val="1"/>
                <w:sz w:val="20"/>
                <w:szCs w:val="20"/>
              </w:rPr>
              <w:t>e</w:t>
            </w:r>
            <w:r w:rsidRPr="00933DC0">
              <w:rPr>
                <w:rFonts w:asciiTheme="minorHAnsi" w:eastAsiaTheme="minorHAnsi" w:hAnsiTheme="minorHAnsi" w:cs="Calibri"/>
                <w:b/>
                <w:sz w:val="20"/>
                <w:szCs w:val="20"/>
              </w:rPr>
              <w:t>k</w:t>
            </w:r>
            <w:r w:rsidRPr="00933DC0">
              <w:rPr>
                <w:rFonts w:asciiTheme="minorHAnsi" w:eastAsiaTheme="minorHAnsi" w:hAnsiTheme="minorHAnsi" w:cs="Calibri"/>
                <w:b/>
                <w:spacing w:val="-4"/>
                <w:sz w:val="20"/>
                <w:szCs w:val="20"/>
              </w:rPr>
              <w:t xml:space="preserve"> </w:t>
            </w:r>
            <w:r w:rsidRPr="00933DC0">
              <w:rPr>
                <w:rFonts w:asciiTheme="minorHAnsi" w:eastAsiaTheme="minorHAnsi" w:hAnsiTheme="minorHAnsi" w:cs="Calibri"/>
                <w:b/>
                <w:spacing w:val="1"/>
                <w:sz w:val="20"/>
                <w:szCs w:val="20"/>
              </w:rPr>
              <w:t>2</w:t>
            </w:r>
            <w:r w:rsidRPr="00933DC0">
              <w:rPr>
                <w:rFonts w:asciiTheme="minorHAnsi" w:eastAsiaTheme="minorHAnsi" w:hAnsiTheme="minorHAnsi" w:cs="Calibri"/>
                <w:b/>
                <w:sz w:val="20"/>
                <w:szCs w:val="20"/>
              </w:rPr>
              <w:t>5</w:t>
            </w:r>
          </w:p>
        </w:tc>
        <w:tc>
          <w:tcPr>
            <w:tcW w:w="3398" w:type="dxa"/>
            <w:vAlign w:val="center"/>
            <w:hideMark/>
          </w:tcPr>
          <w:p w14:paraId="2F0E588A"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z w:val="20"/>
                <w:szCs w:val="20"/>
              </w:rPr>
              <w:t>Est</w:t>
            </w:r>
            <w:r w:rsidRPr="00933DC0">
              <w:rPr>
                <w:rFonts w:asciiTheme="minorHAnsi" w:eastAsiaTheme="minorHAnsi" w:hAnsiTheme="minorHAnsi" w:cs="Calibri"/>
                <w:spacing w:val="1"/>
                <w:sz w:val="20"/>
                <w:szCs w:val="20"/>
              </w:rPr>
              <w:t>i</w:t>
            </w:r>
            <w:r w:rsidRPr="00933DC0">
              <w:rPr>
                <w:rFonts w:asciiTheme="minorHAnsi" w:eastAsiaTheme="minorHAnsi" w:hAnsiTheme="minorHAnsi" w:cs="Calibri"/>
                <w:spacing w:val="-3"/>
                <w:sz w:val="20"/>
                <w:szCs w:val="20"/>
              </w:rPr>
              <w:t>m</w:t>
            </w:r>
            <w:r w:rsidRPr="00933DC0">
              <w:rPr>
                <w:rFonts w:asciiTheme="minorHAnsi" w:eastAsiaTheme="minorHAnsi" w:hAnsiTheme="minorHAnsi" w:cs="Calibri"/>
                <w:spacing w:val="-1"/>
                <w:sz w:val="20"/>
                <w:szCs w:val="20"/>
              </w:rPr>
              <w:t>a</w:t>
            </w:r>
            <w:r w:rsidRPr="00933DC0">
              <w:rPr>
                <w:rFonts w:asciiTheme="minorHAnsi" w:eastAsiaTheme="minorHAnsi" w:hAnsiTheme="minorHAnsi" w:cs="Calibri"/>
                <w:spacing w:val="3"/>
                <w:sz w:val="20"/>
                <w:szCs w:val="20"/>
              </w:rPr>
              <w:t>t</w:t>
            </w:r>
            <w:r w:rsidRPr="00933DC0">
              <w:rPr>
                <w:rFonts w:asciiTheme="minorHAnsi" w:eastAsiaTheme="minorHAnsi" w:hAnsiTheme="minorHAnsi" w:cs="Calibri"/>
                <w:sz w:val="20"/>
                <w:szCs w:val="20"/>
              </w:rPr>
              <w:t>e</w:t>
            </w:r>
          </w:p>
        </w:tc>
        <w:tc>
          <w:tcPr>
            <w:tcW w:w="1800" w:type="dxa"/>
            <w:vAlign w:val="center"/>
            <w:hideMark/>
          </w:tcPr>
          <w:p w14:paraId="546763A6"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pacing w:val="1"/>
                <w:sz w:val="20"/>
                <w:szCs w:val="20"/>
              </w:rPr>
              <w:t>3</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2</w:t>
            </w:r>
            <w:r w:rsidRPr="00933DC0">
              <w:rPr>
                <w:rFonts w:asciiTheme="minorHAnsi" w:eastAsiaTheme="minorHAnsi" w:hAnsiTheme="minorHAnsi" w:cs="Calibri"/>
                <w:sz w:val="20"/>
                <w:szCs w:val="20"/>
              </w:rPr>
              <w:t>1</w:t>
            </w:r>
          </w:p>
        </w:tc>
        <w:tc>
          <w:tcPr>
            <w:tcW w:w="1530" w:type="dxa"/>
            <w:vAlign w:val="center"/>
            <w:hideMark/>
          </w:tcPr>
          <w:p w14:paraId="1D66B604"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pacing w:val="1"/>
                <w:sz w:val="20"/>
                <w:szCs w:val="20"/>
              </w:rPr>
              <w:t>0</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5</w:t>
            </w:r>
            <w:r w:rsidRPr="00933DC0">
              <w:rPr>
                <w:rFonts w:asciiTheme="minorHAnsi" w:eastAsiaTheme="minorHAnsi" w:hAnsiTheme="minorHAnsi" w:cs="Calibri"/>
                <w:sz w:val="20"/>
                <w:szCs w:val="20"/>
              </w:rPr>
              <w:t>7</w:t>
            </w:r>
          </w:p>
        </w:tc>
        <w:tc>
          <w:tcPr>
            <w:tcW w:w="1350" w:type="dxa"/>
            <w:vAlign w:val="center"/>
            <w:hideMark/>
          </w:tcPr>
          <w:p w14:paraId="086181B6"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pacing w:val="1"/>
                <w:sz w:val="20"/>
                <w:szCs w:val="20"/>
              </w:rPr>
              <w:t>2</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6</w:t>
            </w:r>
            <w:r w:rsidRPr="00933DC0">
              <w:rPr>
                <w:rFonts w:asciiTheme="minorHAnsi" w:eastAsiaTheme="minorHAnsi" w:hAnsiTheme="minorHAnsi" w:cs="Calibri"/>
                <w:sz w:val="20"/>
                <w:szCs w:val="20"/>
              </w:rPr>
              <w:t>4</w:t>
            </w:r>
          </w:p>
        </w:tc>
      </w:tr>
      <w:tr w:rsidR="00E00595" w14:paraId="518ABD8D" w14:textId="77777777" w:rsidTr="00343C4C">
        <w:trPr>
          <w:trHeight w:val="432"/>
        </w:trPr>
        <w:tc>
          <w:tcPr>
            <w:tcW w:w="850" w:type="dxa"/>
            <w:vMerge/>
            <w:vAlign w:val="center"/>
            <w:hideMark/>
          </w:tcPr>
          <w:p w14:paraId="3772F681" w14:textId="77777777" w:rsidR="00E00595" w:rsidRPr="00933DC0" w:rsidRDefault="00E00595" w:rsidP="00047D78">
            <w:pPr>
              <w:spacing w:before="0" w:after="0" w:line="0" w:lineRule="auto"/>
              <w:ind w:left="0" w:right="0"/>
              <w:jc w:val="center"/>
              <w:rPr>
                <w:rFonts w:asciiTheme="minorHAnsi" w:eastAsiaTheme="minorHAnsi" w:hAnsiTheme="minorHAnsi" w:cs="Calibri"/>
                <w:b/>
                <w:sz w:val="20"/>
                <w:szCs w:val="20"/>
              </w:rPr>
            </w:pPr>
          </w:p>
        </w:tc>
        <w:tc>
          <w:tcPr>
            <w:tcW w:w="3398" w:type="dxa"/>
            <w:vAlign w:val="center"/>
            <w:hideMark/>
          </w:tcPr>
          <w:p w14:paraId="50677FE4"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pacing w:val="1"/>
                <w:sz w:val="20"/>
                <w:szCs w:val="20"/>
              </w:rPr>
              <w:t>S</w:t>
            </w:r>
            <w:r w:rsidRPr="00933DC0">
              <w:rPr>
                <w:rFonts w:asciiTheme="minorHAnsi" w:eastAsiaTheme="minorHAnsi" w:hAnsiTheme="minorHAnsi" w:cs="Calibri"/>
                <w:sz w:val="20"/>
                <w:szCs w:val="20"/>
              </w:rPr>
              <w:t>E</w:t>
            </w:r>
          </w:p>
        </w:tc>
        <w:tc>
          <w:tcPr>
            <w:tcW w:w="1800" w:type="dxa"/>
            <w:vAlign w:val="center"/>
            <w:hideMark/>
          </w:tcPr>
          <w:p w14:paraId="2DA21D2E"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pacing w:val="1"/>
                <w:sz w:val="20"/>
                <w:szCs w:val="20"/>
              </w:rPr>
              <w:t>0</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8</w:t>
            </w:r>
            <w:r w:rsidRPr="00933DC0">
              <w:rPr>
                <w:rFonts w:asciiTheme="minorHAnsi" w:eastAsiaTheme="minorHAnsi" w:hAnsiTheme="minorHAnsi" w:cs="Calibri"/>
                <w:sz w:val="20"/>
                <w:szCs w:val="20"/>
              </w:rPr>
              <w:t>0</w:t>
            </w:r>
          </w:p>
        </w:tc>
        <w:tc>
          <w:tcPr>
            <w:tcW w:w="1530" w:type="dxa"/>
            <w:vAlign w:val="center"/>
            <w:hideMark/>
          </w:tcPr>
          <w:p w14:paraId="3F462EE6"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pacing w:val="1"/>
                <w:sz w:val="20"/>
                <w:szCs w:val="20"/>
              </w:rPr>
              <w:t>0</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8</w:t>
            </w:r>
            <w:r w:rsidRPr="00933DC0">
              <w:rPr>
                <w:rFonts w:asciiTheme="minorHAnsi" w:eastAsiaTheme="minorHAnsi" w:hAnsiTheme="minorHAnsi" w:cs="Calibri"/>
                <w:sz w:val="20"/>
                <w:szCs w:val="20"/>
              </w:rPr>
              <w:t>4</w:t>
            </w:r>
          </w:p>
        </w:tc>
        <w:tc>
          <w:tcPr>
            <w:tcW w:w="1350" w:type="dxa"/>
            <w:vAlign w:val="center"/>
            <w:hideMark/>
          </w:tcPr>
          <w:p w14:paraId="02820872"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pacing w:val="1"/>
                <w:sz w:val="20"/>
                <w:szCs w:val="20"/>
              </w:rPr>
              <w:t>1</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1</w:t>
            </w:r>
            <w:r w:rsidRPr="00933DC0">
              <w:rPr>
                <w:rFonts w:asciiTheme="minorHAnsi" w:eastAsiaTheme="minorHAnsi" w:hAnsiTheme="minorHAnsi" w:cs="Calibri"/>
                <w:sz w:val="20"/>
                <w:szCs w:val="20"/>
              </w:rPr>
              <w:t>7</w:t>
            </w:r>
          </w:p>
        </w:tc>
      </w:tr>
      <w:tr w:rsidR="00E00595" w14:paraId="1C238EC5" w14:textId="77777777" w:rsidTr="00343C4C">
        <w:trPr>
          <w:trHeight w:val="432"/>
        </w:trPr>
        <w:tc>
          <w:tcPr>
            <w:tcW w:w="850" w:type="dxa"/>
            <w:vMerge/>
            <w:vAlign w:val="center"/>
            <w:hideMark/>
          </w:tcPr>
          <w:p w14:paraId="5296B6A5" w14:textId="77777777" w:rsidR="00E00595" w:rsidRPr="00933DC0" w:rsidRDefault="00E00595" w:rsidP="00047D78">
            <w:pPr>
              <w:spacing w:before="0" w:after="0" w:line="0" w:lineRule="auto"/>
              <w:ind w:left="0" w:right="0"/>
              <w:jc w:val="center"/>
              <w:rPr>
                <w:rFonts w:asciiTheme="minorHAnsi" w:eastAsiaTheme="minorHAnsi" w:hAnsiTheme="minorHAnsi" w:cs="Calibri"/>
                <w:b/>
                <w:sz w:val="20"/>
                <w:szCs w:val="20"/>
              </w:rPr>
            </w:pPr>
          </w:p>
        </w:tc>
        <w:tc>
          <w:tcPr>
            <w:tcW w:w="3398" w:type="dxa"/>
            <w:vAlign w:val="center"/>
            <w:hideMark/>
          </w:tcPr>
          <w:p w14:paraId="7AE9C269"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pacing w:val="1"/>
                <w:sz w:val="20"/>
                <w:szCs w:val="20"/>
              </w:rPr>
              <w:t>95</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 xml:space="preserve"> </w:t>
            </w:r>
            <w:r w:rsidRPr="00933DC0">
              <w:rPr>
                <w:rFonts w:asciiTheme="minorHAnsi" w:eastAsiaTheme="minorHAnsi" w:hAnsiTheme="minorHAnsi" w:cs="Calibri"/>
                <w:sz w:val="20"/>
                <w:szCs w:val="20"/>
              </w:rPr>
              <w:t>CI</w:t>
            </w:r>
          </w:p>
        </w:tc>
        <w:tc>
          <w:tcPr>
            <w:tcW w:w="1800" w:type="dxa"/>
            <w:vAlign w:val="center"/>
            <w:hideMark/>
          </w:tcPr>
          <w:p w14:paraId="74D43A9D"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pacing w:val="1"/>
                <w:sz w:val="20"/>
                <w:szCs w:val="20"/>
              </w:rPr>
              <w:t>1</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6</w:t>
            </w:r>
            <w:r w:rsidRPr="00933DC0">
              <w:rPr>
                <w:rFonts w:asciiTheme="minorHAnsi" w:eastAsiaTheme="minorHAnsi" w:hAnsiTheme="minorHAnsi" w:cs="Calibri"/>
                <w:spacing w:val="1"/>
                <w:sz w:val="20"/>
                <w:szCs w:val="20"/>
              </w:rPr>
              <w:t>2</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 xml:space="preserve"> </w:t>
            </w:r>
            <w:r w:rsidRPr="00933DC0">
              <w:rPr>
                <w:rFonts w:asciiTheme="minorHAnsi" w:eastAsiaTheme="minorHAnsi" w:hAnsiTheme="minorHAnsi" w:cs="Calibri"/>
                <w:spacing w:val="1"/>
                <w:sz w:val="20"/>
                <w:szCs w:val="20"/>
              </w:rPr>
              <w:t>4</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8</w:t>
            </w:r>
            <w:r w:rsidRPr="00933DC0">
              <w:rPr>
                <w:rFonts w:asciiTheme="minorHAnsi" w:eastAsiaTheme="minorHAnsi" w:hAnsiTheme="minorHAnsi" w:cs="Calibri"/>
                <w:sz w:val="20"/>
                <w:szCs w:val="20"/>
              </w:rPr>
              <w:t>0</w:t>
            </w:r>
          </w:p>
        </w:tc>
        <w:tc>
          <w:tcPr>
            <w:tcW w:w="1530" w:type="dxa"/>
            <w:vAlign w:val="center"/>
            <w:hideMark/>
          </w:tcPr>
          <w:p w14:paraId="0CD99EA3"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1</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1</w:t>
            </w:r>
            <w:r w:rsidRPr="00933DC0">
              <w:rPr>
                <w:rFonts w:asciiTheme="minorHAnsi" w:eastAsiaTheme="minorHAnsi" w:hAnsiTheme="minorHAnsi" w:cs="Calibri"/>
                <w:spacing w:val="1"/>
                <w:sz w:val="20"/>
                <w:szCs w:val="20"/>
              </w:rPr>
              <w:t>0</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 xml:space="preserve"> </w:t>
            </w:r>
            <w:r w:rsidRPr="00933DC0">
              <w:rPr>
                <w:rFonts w:asciiTheme="minorHAnsi" w:eastAsiaTheme="minorHAnsi" w:hAnsiTheme="minorHAnsi" w:cs="Calibri"/>
                <w:spacing w:val="1"/>
                <w:sz w:val="20"/>
                <w:szCs w:val="20"/>
              </w:rPr>
              <w:t>2</w:t>
            </w:r>
            <w:r w:rsidRPr="00933DC0">
              <w:rPr>
                <w:rFonts w:asciiTheme="minorHAnsi" w:eastAsiaTheme="minorHAnsi" w:hAnsiTheme="minorHAnsi" w:cs="Calibri"/>
                <w:spacing w:val="-2"/>
                <w:sz w:val="20"/>
                <w:szCs w:val="20"/>
              </w:rPr>
              <w:t>.</w:t>
            </w:r>
            <w:r w:rsidRPr="00933DC0">
              <w:rPr>
                <w:rFonts w:asciiTheme="minorHAnsi" w:eastAsiaTheme="minorHAnsi" w:hAnsiTheme="minorHAnsi" w:cs="Calibri"/>
                <w:spacing w:val="1"/>
                <w:sz w:val="20"/>
                <w:szCs w:val="20"/>
              </w:rPr>
              <w:t>2</w:t>
            </w:r>
            <w:r w:rsidRPr="00933DC0">
              <w:rPr>
                <w:rFonts w:asciiTheme="minorHAnsi" w:eastAsiaTheme="minorHAnsi" w:hAnsiTheme="minorHAnsi" w:cs="Calibri"/>
                <w:sz w:val="20"/>
                <w:szCs w:val="20"/>
              </w:rPr>
              <w:t>4</w:t>
            </w:r>
          </w:p>
        </w:tc>
        <w:tc>
          <w:tcPr>
            <w:tcW w:w="1350" w:type="dxa"/>
            <w:vAlign w:val="center"/>
            <w:hideMark/>
          </w:tcPr>
          <w:p w14:paraId="13A78199"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pacing w:val="1"/>
                <w:sz w:val="20"/>
                <w:szCs w:val="20"/>
              </w:rPr>
              <w:t>0</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3</w:t>
            </w:r>
            <w:r w:rsidRPr="00933DC0">
              <w:rPr>
                <w:rFonts w:asciiTheme="minorHAnsi" w:eastAsiaTheme="minorHAnsi" w:hAnsiTheme="minorHAnsi" w:cs="Calibri"/>
                <w:spacing w:val="1"/>
                <w:sz w:val="20"/>
                <w:szCs w:val="20"/>
              </w:rPr>
              <w:t>2</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 xml:space="preserve"> </w:t>
            </w:r>
            <w:r w:rsidRPr="00933DC0">
              <w:rPr>
                <w:rFonts w:asciiTheme="minorHAnsi" w:eastAsiaTheme="minorHAnsi" w:hAnsiTheme="minorHAnsi" w:cs="Calibri"/>
                <w:spacing w:val="1"/>
                <w:sz w:val="20"/>
                <w:szCs w:val="20"/>
              </w:rPr>
              <w:t>4</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9</w:t>
            </w:r>
            <w:r w:rsidRPr="00933DC0">
              <w:rPr>
                <w:rFonts w:asciiTheme="minorHAnsi" w:eastAsiaTheme="minorHAnsi" w:hAnsiTheme="minorHAnsi" w:cs="Calibri"/>
                <w:sz w:val="20"/>
                <w:szCs w:val="20"/>
              </w:rPr>
              <w:t>6</w:t>
            </w:r>
          </w:p>
        </w:tc>
      </w:tr>
      <w:tr w:rsidR="00E00595" w14:paraId="6A94EA27" w14:textId="77777777" w:rsidTr="00343C4C">
        <w:trPr>
          <w:trHeight w:val="432"/>
        </w:trPr>
        <w:tc>
          <w:tcPr>
            <w:tcW w:w="850" w:type="dxa"/>
            <w:vMerge/>
            <w:vAlign w:val="center"/>
            <w:hideMark/>
          </w:tcPr>
          <w:p w14:paraId="1B28DA49" w14:textId="77777777" w:rsidR="00E00595" w:rsidRPr="00933DC0" w:rsidRDefault="00E00595" w:rsidP="00047D78">
            <w:pPr>
              <w:spacing w:before="0" w:after="0" w:line="0" w:lineRule="auto"/>
              <w:ind w:left="0" w:right="0"/>
              <w:jc w:val="center"/>
              <w:rPr>
                <w:rFonts w:asciiTheme="minorHAnsi" w:eastAsiaTheme="minorHAnsi" w:hAnsiTheme="minorHAnsi" w:cs="Calibri"/>
                <w:b/>
                <w:sz w:val="20"/>
                <w:szCs w:val="20"/>
              </w:rPr>
            </w:pPr>
          </w:p>
        </w:tc>
        <w:tc>
          <w:tcPr>
            <w:tcW w:w="3398" w:type="dxa"/>
            <w:vAlign w:val="center"/>
            <w:hideMark/>
          </w:tcPr>
          <w:p w14:paraId="094AD746"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pacing w:val="1"/>
                <w:sz w:val="20"/>
                <w:szCs w:val="20"/>
              </w:rPr>
              <w:t>p</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va</w:t>
            </w:r>
            <w:r w:rsidRPr="00933DC0">
              <w:rPr>
                <w:rFonts w:asciiTheme="minorHAnsi" w:eastAsiaTheme="minorHAnsi" w:hAnsiTheme="minorHAnsi" w:cs="Calibri"/>
                <w:sz w:val="20"/>
                <w:szCs w:val="20"/>
              </w:rPr>
              <w:t>l</w:t>
            </w:r>
            <w:r w:rsidRPr="00933DC0">
              <w:rPr>
                <w:rFonts w:asciiTheme="minorHAnsi" w:eastAsiaTheme="minorHAnsi" w:hAnsiTheme="minorHAnsi" w:cs="Calibri"/>
                <w:spacing w:val="1"/>
                <w:sz w:val="20"/>
                <w:szCs w:val="20"/>
              </w:rPr>
              <w:t>u</w:t>
            </w:r>
            <w:r w:rsidRPr="00933DC0">
              <w:rPr>
                <w:rFonts w:asciiTheme="minorHAnsi" w:eastAsiaTheme="minorHAnsi" w:hAnsiTheme="minorHAnsi" w:cs="Calibri"/>
                <w:sz w:val="20"/>
                <w:szCs w:val="20"/>
              </w:rPr>
              <w:t>e</w:t>
            </w:r>
            <w:r w:rsidRPr="00933DC0">
              <w:rPr>
                <w:rFonts w:asciiTheme="minorHAnsi" w:eastAsiaTheme="minorHAnsi" w:hAnsiTheme="minorHAnsi" w:cs="Calibri"/>
                <w:spacing w:val="-3"/>
                <w:sz w:val="20"/>
                <w:szCs w:val="20"/>
              </w:rPr>
              <w:t xml:space="preserve"> </w:t>
            </w:r>
            <w:r w:rsidRPr="00933DC0">
              <w:rPr>
                <w:rFonts w:asciiTheme="minorHAnsi" w:eastAsiaTheme="minorHAnsi" w:hAnsiTheme="minorHAnsi" w:cs="Calibri"/>
                <w:spacing w:val="-1"/>
                <w:sz w:val="20"/>
                <w:szCs w:val="20"/>
              </w:rPr>
              <w:t xml:space="preserve">for non-inferiority </w:t>
            </w:r>
            <w:r w:rsidRPr="00933DC0">
              <w:rPr>
                <w:rFonts w:asciiTheme="minorHAnsi" w:eastAsiaTheme="minorHAnsi" w:hAnsiTheme="minorHAnsi" w:cs="Calibri"/>
                <w:spacing w:val="-1"/>
                <w:sz w:val="20"/>
                <w:szCs w:val="20"/>
                <w:vertAlign w:val="superscript"/>
              </w:rPr>
              <w:t>b</w:t>
            </w:r>
          </w:p>
        </w:tc>
        <w:tc>
          <w:tcPr>
            <w:tcW w:w="1800" w:type="dxa"/>
            <w:vAlign w:val="center"/>
          </w:tcPr>
          <w:p w14:paraId="1731471D"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p>
        </w:tc>
        <w:tc>
          <w:tcPr>
            <w:tcW w:w="1530" w:type="dxa"/>
            <w:vAlign w:val="center"/>
          </w:tcPr>
          <w:p w14:paraId="5881DD3B"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p>
        </w:tc>
        <w:tc>
          <w:tcPr>
            <w:tcW w:w="1350" w:type="dxa"/>
            <w:vAlign w:val="center"/>
            <w:hideMark/>
          </w:tcPr>
          <w:p w14:paraId="0910F508"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pacing w:val="-1"/>
                <w:sz w:val="20"/>
                <w:szCs w:val="20"/>
              </w:rPr>
              <w:t>0.0018</w:t>
            </w:r>
          </w:p>
        </w:tc>
      </w:tr>
      <w:tr w:rsidR="00E00595" w14:paraId="1D2610D4" w14:textId="77777777" w:rsidTr="00343C4C">
        <w:trPr>
          <w:trHeight w:val="432"/>
        </w:trPr>
        <w:tc>
          <w:tcPr>
            <w:tcW w:w="850" w:type="dxa"/>
            <w:vMerge/>
            <w:vAlign w:val="center"/>
            <w:hideMark/>
          </w:tcPr>
          <w:p w14:paraId="6DE7C77C" w14:textId="77777777" w:rsidR="00E00595" w:rsidRPr="00933DC0" w:rsidRDefault="00E00595" w:rsidP="00047D78">
            <w:pPr>
              <w:spacing w:before="0" w:after="0" w:line="0" w:lineRule="auto"/>
              <w:ind w:left="0" w:right="0"/>
              <w:jc w:val="center"/>
              <w:rPr>
                <w:rFonts w:asciiTheme="minorHAnsi" w:eastAsiaTheme="minorHAnsi" w:hAnsiTheme="minorHAnsi" w:cs="Calibri"/>
                <w:b/>
                <w:sz w:val="20"/>
                <w:szCs w:val="20"/>
              </w:rPr>
            </w:pPr>
          </w:p>
        </w:tc>
        <w:tc>
          <w:tcPr>
            <w:tcW w:w="3398" w:type="dxa"/>
            <w:vAlign w:val="center"/>
            <w:hideMark/>
          </w:tcPr>
          <w:p w14:paraId="6FDCE0C5"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color w:val="000000"/>
                <w:spacing w:val="1"/>
                <w:sz w:val="20"/>
                <w:szCs w:val="20"/>
              </w:rPr>
              <w:t>p</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va</w:t>
            </w:r>
            <w:r w:rsidRPr="00933DC0">
              <w:rPr>
                <w:rFonts w:asciiTheme="minorHAnsi" w:eastAsiaTheme="minorHAnsi" w:hAnsiTheme="minorHAnsi" w:cs="Calibri"/>
                <w:color w:val="000000"/>
                <w:sz w:val="20"/>
                <w:szCs w:val="20"/>
              </w:rPr>
              <w:t>l</w:t>
            </w:r>
            <w:r w:rsidRPr="00933DC0">
              <w:rPr>
                <w:rFonts w:asciiTheme="minorHAnsi" w:eastAsiaTheme="minorHAnsi" w:hAnsiTheme="minorHAnsi" w:cs="Calibri"/>
                <w:color w:val="000000"/>
                <w:spacing w:val="1"/>
                <w:sz w:val="20"/>
                <w:szCs w:val="20"/>
              </w:rPr>
              <w:t>u</w:t>
            </w:r>
            <w:r w:rsidRPr="00933DC0">
              <w:rPr>
                <w:rFonts w:asciiTheme="minorHAnsi" w:eastAsiaTheme="minorHAnsi" w:hAnsiTheme="minorHAnsi" w:cs="Calibri"/>
                <w:color w:val="000000"/>
                <w:sz w:val="20"/>
                <w:szCs w:val="20"/>
              </w:rPr>
              <w:t>e</w:t>
            </w:r>
            <w:r w:rsidRPr="00933DC0">
              <w:rPr>
                <w:rFonts w:asciiTheme="minorHAnsi" w:eastAsiaTheme="minorHAnsi" w:hAnsiTheme="minorHAnsi" w:cs="Calibri"/>
                <w:color w:val="000000"/>
                <w:spacing w:val="-3"/>
                <w:sz w:val="20"/>
                <w:szCs w:val="20"/>
              </w:rPr>
              <w:t xml:space="preserve"> </w:t>
            </w:r>
            <w:r w:rsidRPr="00933DC0">
              <w:rPr>
                <w:rFonts w:asciiTheme="minorHAnsi" w:eastAsiaTheme="minorHAnsi" w:hAnsiTheme="minorHAnsi" w:cs="Calibri"/>
                <w:color w:val="000000"/>
                <w:spacing w:val="-2"/>
                <w:sz w:val="20"/>
                <w:szCs w:val="20"/>
              </w:rPr>
              <w:t>f</w:t>
            </w:r>
            <w:r w:rsidRPr="00933DC0">
              <w:rPr>
                <w:rFonts w:asciiTheme="minorHAnsi" w:eastAsiaTheme="minorHAnsi" w:hAnsiTheme="minorHAnsi" w:cs="Calibri"/>
                <w:color w:val="000000"/>
                <w:spacing w:val="1"/>
                <w:sz w:val="20"/>
                <w:szCs w:val="20"/>
              </w:rPr>
              <w:t>o</w:t>
            </w:r>
            <w:r w:rsidRPr="00933DC0">
              <w:rPr>
                <w:rFonts w:asciiTheme="minorHAnsi" w:eastAsiaTheme="minorHAnsi" w:hAnsiTheme="minorHAnsi" w:cs="Calibri"/>
                <w:color w:val="000000"/>
                <w:sz w:val="20"/>
                <w:szCs w:val="20"/>
              </w:rPr>
              <w:t>r</w:t>
            </w:r>
            <w:r w:rsidRPr="00933DC0">
              <w:rPr>
                <w:rFonts w:asciiTheme="minorHAnsi" w:eastAsiaTheme="minorHAnsi" w:hAnsiTheme="minorHAnsi" w:cs="Calibri"/>
                <w:color w:val="000000"/>
                <w:spacing w:val="1"/>
                <w:sz w:val="20"/>
                <w:szCs w:val="20"/>
              </w:rPr>
              <w:t xml:space="preserve"> </w:t>
            </w:r>
            <w:r w:rsidRPr="00933DC0">
              <w:rPr>
                <w:rFonts w:asciiTheme="minorHAnsi" w:eastAsiaTheme="minorHAnsi" w:hAnsiTheme="minorHAnsi" w:cs="Calibri"/>
                <w:color w:val="000000"/>
                <w:sz w:val="20"/>
                <w:szCs w:val="20"/>
              </w:rPr>
              <w:t>s</w:t>
            </w:r>
            <w:r w:rsidRPr="00933DC0">
              <w:rPr>
                <w:rFonts w:asciiTheme="minorHAnsi" w:eastAsiaTheme="minorHAnsi" w:hAnsiTheme="minorHAnsi" w:cs="Calibri"/>
                <w:color w:val="000000"/>
                <w:spacing w:val="1"/>
                <w:sz w:val="20"/>
                <w:szCs w:val="20"/>
              </w:rPr>
              <w:t>up</w:t>
            </w:r>
            <w:r w:rsidRPr="00933DC0">
              <w:rPr>
                <w:rFonts w:asciiTheme="minorHAnsi" w:eastAsiaTheme="minorHAnsi" w:hAnsiTheme="minorHAnsi" w:cs="Calibri"/>
                <w:color w:val="000000"/>
                <w:spacing w:val="-1"/>
                <w:sz w:val="20"/>
                <w:szCs w:val="20"/>
              </w:rPr>
              <w:t>e</w:t>
            </w:r>
            <w:r w:rsidRPr="00933DC0">
              <w:rPr>
                <w:rFonts w:asciiTheme="minorHAnsi" w:eastAsiaTheme="minorHAnsi" w:hAnsiTheme="minorHAnsi" w:cs="Calibri"/>
                <w:color w:val="000000"/>
                <w:sz w:val="20"/>
                <w:szCs w:val="20"/>
              </w:rPr>
              <w:t>ri</w:t>
            </w:r>
            <w:r w:rsidRPr="00933DC0">
              <w:rPr>
                <w:rFonts w:asciiTheme="minorHAnsi" w:eastAsiaTheme="minorHAnsi" w:hAnsiTheme="minorHAnsi" w:cs="Calibri"/>
                <w:color w:val="000000"/>
                <w:spacing w:val="1"/>
                <w:sz w:val="20"/>
                <w:szCs w:val="20"/>
              </w:rPr>
              <w:t>o</w:t>
            </w:r>
            <w:r w:rsidRPr="00933DC0">
              <w:rPr>
                <w:rFonts w:asciiTheme="minorHAnsi" w:eastAsiaTheme="minorHAnsi" w:hAnsiTheme="minorHAnsi" w:cs="Calibri"/>
                <w:color w:val="000000"/>
                <w:sz w:val="20"/>
                <w:szCs w:val="20"/>
              </w:rPr>
              <w:t>r</w:t>
            </w:r>
            <w:r w:rsidRPr="00933DC0">
              <w:rPr>
                <w:rFonts w:asciiTheme="minorHAnsi" w:eastAsiaTheme="minorHAnsi" w:hAnsiTheme="minorHAnsi" w:cs="Calibri"/>
                <w:color w:val="000000"/>
                <w:spacing w:val="-2"/>
                <w:sz w:val="20"/>
                <w:szCs w:val="20"/>
              </w:rPr>
              <w:t>i</w:t>
            </w:r>
            <w:r w:rsidRPr="00933DC0">
              <w:rPr>
                <w:rFonts w:asciiTheme="minorHAnsi" w:eastAsiaTheme="minorHAnsi" w:hAnsiTheme="minorHAnsi" w:cs="Calibri"/>
                <w:color w:val="000000"/>
                <w:sz w:val="20"/>
                <w:szCs w:val="20"/>
              </w:rPr>
              <w:t>ty</w:t>
            </w:r>
          </w:p>
        </w:tc>
        <w:tc>
          <w:tcPr>
            <w:tcW w:w="1800" w:type="dxa"/>
            <w:vAlign w:val="center"/>
          </w:tcPr>
          <w:p w14:paraId="07A7E82C"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p>
        </w:tc>
        <w:tc>
          <w:tcPr>
            <w:tcW w:w="1530" w:type="dxa"/>
            <w:vAlign w:val="center"/>
          </w:tcPr>
          <w:p w14:paraId="4F82842D"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p>
        </w:tc>
        <w:tc>
          <w:tcPr>
            <w:tcW w:w="1350" w:type="dxa"/>
            <w:vAlign w:val="center"/>
            <w:hideMark/>
          </w:tcPr>
          <w:p w14:paraId="5D1581EC"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color w:val="000000"/>
                <w:spacing w:val="1"/>
                <w:sz w:val="20"/>
                <w:szCs w:val="20"/>
              </w:rPr>
              <w:t>0</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0</w:t>
            </w:r>
            <w:r w:rsidRPr="00933DC0">
              <w:rPr>
                <w:rFonts w:asciiTheme="minorHAnsi" w:eastAsiaTheme="minorHAnsi" w:hAnsiTheme="minorHAnsi" w:cs="Calibri"/>
                <w:color w:val="000000"/>
                <w:spacing w:val="1"/>
                <w:sz w:val="20"/>
                <w:szCs w:val="20"/>
              </w:rPr>
              <w:t>2</w:t>
            </w:r>
            <w:r w:rsidRPr="00933DC0">
              <w:rPr>
                <w:rFonts w:asciiTheme="minorHAnsi" w:eastAsiaTheme="minorHAnsi" w:hAnsiTheme="minorHAnsi" w:cs="Calibri"/>
                <w:color w:val="000000"/>
                <w:spacing w:val="-1"/>
                <w:sz w:val="20"/>
                <w:szCs w:val="20"/>
              </w:rPr>
              <w:t>5</w:t>
            </w:r>
            <w:r w:rsidRPr="00933DC0">
              <w:rPr>
                <w:rFonts w:asciiTheme="minorHAnsi" w:eastAsiaTheme="minorHAnsi" w:hAnsiTheme="minorHAnsi" w:cs="Calibri"/>
                <w:color w:val="000000"/>
                <w:sz w:val="20"/>
                <w:szCs w:val="20"/>
              </w:rPr>
              <w:t>9</w:t>
            </w:r>
          </w:p>
        </w:tc>
      </w:tr>
      <w:tr w:rsidR="00E00595" w14:paraId="3F93F2E1" w14:textId="77777777" w:rsidTr="00343C4C">
        <w:trPr>
          <w:trHeight w:val="432"/>
        </w:trPr>
        <w:tc>
          <w:tcPr>
            <w:tcW w:w="850" w:type="dxa"/>
            <w:vMerge w:val="restart"/>
            <w:vAlign w:val="center"/>
            <w:hideMark/>
          </w:tcPr>
          <w:p w14:paraId="5860638A" w14:textId="77777777" w:rsidR="00E00595" w:rsidRPr="00933DC0" w:rsidRDefault="00E00595" w:rsidP="00047D78">
            <w:pPr>
              <w:autoSpaceDE w:val="0"/>
              <w:autoSpaceDN w:val="0"/>
              <w:adjustRightInd w:val="0"/>
              <w:spacing w:before="0" w:after="0" w:line="240" w:lineRule="auto"/>
              <w:ind w:left="0" w:right="0"/>
              <w:jc w:val="center"/>
              <w:rPr>
                <w:rFonts w:asciiTheme="minorHAnsi" w:eastAsiaTheme="minorHAnsi" w:hAnsiTheme="minorHAnsi" w:cs="Calibri"/>
                <w:b/>
                <w:sz w:val="20"/>
                <w:szCs w:val="20"/>
              </w:rPr>
            </w:pPr>
            <w:r w:rsidRPr="00933DC0">
              <w:rPr>
                <w:rFonts w:asciiTheme="minorHAnsi" w:eastAsiaTheme="minorHAnsi" w:hAnsiTheme="minorHAnsi" w:cs="Calibri"/>
                <w:b/>
                <w:color w:val="000000"/>
                <w:spacing w:val="-2"/>
                <w:sz w:val="20"/>
                <w:szCs w:val="20"/>
              </w:rPr>
              <w:t>W</w:t>
            </w:r>
            <w:r w:rsidRPr="00933DC0">
              <w:rPr>
                <w:rFonts w:asciiTheme="minorHAnsi" w:eastAsiaTheme="minorHAnsi" w:hAnsiTheme="minorHAnsi" w:cs="Calibri"/>
                <w:b/>
                <w:color w:val="000000"/>
                <w:spacing w:val="-1"/>
                <w:sz w:val="20"/>
                <w:szCs w:val="20"/>
              </w:rPr>
              <w:t>e</w:t>
            </w:r>
            <w:r w:rsidRPr="00933DC0">
              <w:rPr>
                <w:rFonts w:asciiTheme="minorHAnsi" w:eastAsiaTheme="minorHAnsi" w:hAnsiTheme="minorHAnsi" w:cs="Calibri"/>
                <w:b/>
                <w:color w:val="000000"/>
                <w:spacing w:val="1"/>
                <w:sz w:val="20"/>
                <w:szCs w:val="20"/>
              </w:rPr>
              <w:t>e</w:t>
            </w:r>
            <w:r w:rsidRPr="00933DC0">
              <w:rPr>
                <w:rFonts w:asciiTheme="minorHAnsi" w:eastAsiaTheme="minorHAnsi" w:hAnsiTheme="minorHAnsi" w:cs="Calibri"/>
                <w:b/>
                <w:color w:val="000000"/>
                <w:sz w:val="20"/>
                <w:szCs w:val="20"/>
              </w:rPr>
              <w:t>k</w:t>
            </w:r>
            <w:r w:rsidRPr="00933DC0">
              <w:rPr>
                <w:rFonts w:asciiTheme="minorHAnsi" w:eastAsiaTheme="minorHAnsi" w:hAnsiTheme="minorHAnsi" w:cs="Calibri"/>
                <w:b/>
                <w:color w:val="000000"/>
                <w:spacing w:val="-4"/>
                <w:sz w:val="20"/>
                <w:szCs w:val="20"/>
              </w:rPr>
              <w:t xml:space="preserve"> </w:t>
            </w:r>
            <w:r w:rsidRPr="00933DC0">
              <w:rPr>
                <w:rFonts w:asciiTheme="minorHAnsi" w:eastAsiaTheme="minorHAnsi" w:hAnsiTheme="minorHAnsi" w:cs="Calibri"/>
                <w:b/>
                <w:color w:val="000000"/>
                <w:spacing w:val="1"/>
                <w:sz w:val="20"/>
                <w:szCs w:val="20"/>
              </w:rPr>
              <w:t>3</w:t>
            </w:r>
            <w:r w:rsidRPr="00933DC0">
              <w:rPr>
                <w:rFonts w:asciiTheme="minorHAnsi" w:eastAsiaTheme="minorHAnsi" w:hAnsiTheme="minorHAnsi" w:cs="Calibri"/>
                <w:b/>
                <w:color w:val="000000"/>
                <w:sz w:val="20"/>
                <w:szCs w:val="20"/>
              </w:rPr>
              <w:t>7</w:t>
            </w:r>
          </w:p>
        </w:tc>
        <w:tc>
          <w:tcPr>
            <w:tcW w:w="3398" w:type="dxa"/>
            <w:vAlign w:val="center"/>
            <w:hideMark/>
          </w:tcPr>
          <w:p w14:paraId="04D78CC3"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z w:val="20"/>
                <w:szCs w:val="20"/>
              </w:rPr>
              <w:t>Est</w:t>
            </w:r>
            <w:r w:rsidRPr="00933DC0">
              <w:rPr>
                <w:rFonts w:asciiTheme="minorHAnsi" w:eastAsiaTheme="minorHAnsi" w:hAnsiTheme="minorHAnsi" w:cs="Calibri"/>
                <w:spacing w:val="1"/>
                <w:sz w:val="20"/>
                <w:szCs w:val="20"/>
              </w:rPr>
              <w:t>i</w:t>
            </w:r>
            <w:r w:rsidRPr="00933DC0">
              <w:rPr>
                <w:rFonts w:asciiTheme="minorHAnsi" w:eastAsiaTheme="minorHAnsi" w:hAnsiTheme="minorHAnsi" w:cs="Calibri"/>
                <w:spacing w:val="-3"/>
                <w:sz w:val="20"/>
                <w:szCs w:val="20"/>
              </w:rPr>
              <w:t>m</w:t>
            </w:r>
            <w:r w:rsidRPr="00933DC0">
              <w:rPr>
                <w:rFonts w:asciiTheme="minorHAnsi" w:eastAsiaTheme="minorHAnsi" w:hAnsiTheme="minorHAnsi" w:cs="Calibri"/>
                <w:spacing w:val="-1"/>
                <w:sz w:val="20"/>
                <w:szCs w:val="20"/>
              </w:rPr>
              <w:t>a</w:t>
            </w:r>
            <w:r w:rsidRPr="00933DC0">
              <w:rPr>
                <w:rFonts w:asciiTheme="minorHAnsi" w:eastAsiaTheme="minorHAnsi" w:hAnsiTheme="minorHAnsi" w:cs="Calibri"/>
                <w:spacing w:val="3"/>
                <w:sz w:val="20"/>
                <w:szCs w:val="20"/>
              </w:rPr>
              <w:t>t</w:t>
            </w:r>
            <w:r w:rsidRPr="00933DC0">
              <w:rPr>
                <w:rFonts w:asciiTheme="minorHAnsi" w:eastAsiaTheme="minorHAnsi" w:hAnsiTheme="minorHAnsi" w:cs="Calibri"/>
                <w:sz w:val="20"/>
                <w:szCs w:val="20"/>
              </w:rPr>
              <w:t>e</w:t>
            </w:r>
          </w:p>
        </w:tc>
        <w:tc>
          <w:tcPr>
            <w:tcW w:w="1800" w:type="dxa"/>
            <w:vAlign w:val="center"/>
            <w:hideMark/>
          </w:tcPr>
          <w:p w14:paraId="5C3FD055"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color w:val="000000"/>
                <w:spacing w:val="1"/>
                <w:sz w:val="20"/>
                <w:szCs w:val="20"/>
              </w:rPr>
              <w:t>2</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2</w:t>
            </w:r>
            <w:r w:rsidRPr="00933DC0">
              <w:rPr>
                <w:rFonts w:asciiTheme="minorHAnsi" w:eastAsiaTheme="minorHAnsi" w:hAnsiTheme="minorHAnsi" w:cs="Calibri"/>
                <w:color w:val="000000"/>
                <w:sz w:val="20"/>
                <w:szCs w:val="20"/>
              </w:rPr>
              <w:t>1</w:t>
            </w:r>
          </w:p>
        </w:tc>
        <w:tc>
          <w:tcPr>
            <w:tcW w:w="1530" w:type="dxa"/>
            <w:vAlign w:val="center"/>
            <w:hideMark/>
          </w:tcPr>
          <w:p w14:paraId="17282F43"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color w:val="000000"/>
                <w:spacing w:val="1"/>
                <w:sz w:val="20"/>
                <w:szCs w:val="20"/>
              </w:rPr>
              <w:t>0</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5</w:t>
            </w:r>
            <w:r w:rsidRPr="00933DC0">
              <w:rPr>
                <w:rFonts w:asciiTheme="minorHAnsi" w:eastAsiaTheme="minorHAnsi" w:hAnsiTheme="minorHAnsi" w:cs="Calibri"/>
                <w:color w:val="000000"/>
                <w:sz w:val="20"/>
                <w:szCs w:val="20"/>
              </w:rPr>
              <w:t>5</w:t>
            </w:r>
          </w:p>
        </w:tc>
        <w:tc>
          <w:tcPr>
            <w:tcW w:w="1350" w:type="dxa"/>
            <w:vAlign w:val="center"/>
            <w:hideMark/>
          </w:tcPr>
          <w:p w14:paraId="7BA9E3C5"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color w:val="000000"/>
                <w:spacing w:val="1"/>
                <w:sz w:val="20"/>
                <w:szCs w:val="20"/>
              </w:rPr>
            </w:pPr>
            <w:r w:rsidRPr="00933DC0">
              <w:rPr>
                <w:rFonts w:asciiTheme="minorHAnsi" w:eastAsiaTheme="minorHAnsi" w:hAnsiTheme="minorHAnsi" w:cs="Calibri"/>
                <w:color w:val="000000"/>
                <w:spacing w:val="1"/>
                <w:sz w:val="20"/>
                <w:szCs w:val="20"/>
              </w:rPr>
              <w:t>1</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6</w:t>
            </w:r>
            <w:r w:rsidRPr="00933DC0">
              <w:rPr>
                <w:rFonts w:asciiTheme="minorHAnsi" w:eastAsiaTheme="minorHAnsi" w:hAnsiTheme="minorHAnsi" w:cs="Calibri"/>
                <w:color w:val="000000"/>
                <w:sz w:val="20"/>
                <w:szCs w:val="20"/>
              </w:rPr>
              <w:t>6</w:t>
            </w:r>
          </w:p>
        </w:tc>
      </w:tr>
      <w:tr w:rsidR="00E00595" w14:paraId="3EB2F601" w14:textId="77777777" w:rsidTr="00343C4C">
        <w:trPr>
          <w:trHeight w:val="432"/>
        </w:trPr>
        <w:tc>
          <w:tcPr>
            <w:tcW w:w="850" w:type="dxa"/>
            <w:vMerge/>
            <w:vAlign w:val="center"/>
            <w:hideMark/>
          </w:tcPr>
          <w:p w14:paraId="29D97463" w14:textId="77777777" w:rsidR="00E00595" w:rsidRPr="00933DC0" w:rsidRDefault="00E00595" w:rsidP="00047D78">
            <w:pPr>
              <w:spacing w:before="0" w:after="0" w:line="0" w:lineRule="auto"/>
              <w:ind w:left="0" w:right="0"/>
              <w:jc w:val="center"/>
              <w:rPr>
                <w:rFonts w:asciiTheme="minorHAnsi" w:eastAsiaTheme="minorHAnsi" w:hAnsiTheme="minorHAnsi" w:cs="Calibri"/>
                <w:b/>
                <w:sz w:val="20"/>
                <w:szCs w:val="20"/>
              </w:rPr>
            </w:pPr>
          </w:p>
        </w:tc>
        <w:tc>
          <w:tcPr>
            <w:tcW w:w="3398" w:type="dxa"/>
            <w:vAlign w:val="center"/>
            <w:hideMark/>
          </w:tcPr>
          <w:p w14:paraId="1652BADB"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pacing w:val="1"/>
                <w:sz w:val="20"/>
                <w:szCs w:val="20"/>
              </w:rPr>
              <w:t>S</w:t>
            </w:r>
            <w:r w:rsidRPr="00933DC0">
              <w:rPr>
                <w:rFonts w:asciiTheme="minorHAnsi" w:eastAsiaTheme="minorHAnsi" w:hAnsiTheme="minorHAnsi" w:cs="Calibri"/>
                <w:sz w:val="20"/>
                <w:szCs w:val="20"/>
              </w:rPr>
              <w:t>E</w:t>
            </w:r>
          </w:p>
        </w:tc>
        <w:tc>
          <w:tcPr>
            <w:tcW w:w="1800" w:type="dxa"/>
            <w:vAlign w:val="center"/>
            <w:hideMark/>
          </w:tcPr>
          <w:p w14:paraId="7ED72292"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color w:val="000000"/>
                <w:spacing w:val="1"/>
                <w:sz w:val="20"/>
                <w:szCs w:val="20"/>
              </w:rPr>
              <w:t>1</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0</w:t>
            </w:r>
            <w:r w:rsidRPr="00933DC0">
              <w:rPr>
                <w:rFonts w:asciiTheme="minorHAnsi" w:eastAsiaTheme="minorHAnsi" w:hAnsiTheme="minorHAnsi" w:cs="Calibri"/>
                <w:color w:val="000000"/>
                <w:sz w:val="20"/>
                <w:szCs w:val="20"/>
              </w:rPr>
              <w:t>0</w:t>
            </w:r>
          </w:p>
        </w:tc>
        <w:tc>
          <w:tcPr>
            <w:tcW w:w="1530" w:type="dxa"/>
            <w:vAlign w:val="center"/>
            <w:hideMark/>
          </w:tcPr>
          <w:p w14:paraId="1E563207"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color w:val="000000"/>
                <w:spacing w:val="1"/>
                <w:sz w:val="20"/>
                <w:szCs w:val="20"/>
              </w:rPr>
              <w:t>1</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0</w:t>
            </w:r>
            <w:r w:rsidRPr="00933DC0">
              <w:rPr>
                <w:rFonts w:asciiTheme="minorHAnsi" w:eastAsiaTheme="minorHAnsi" w:hAnsiTheme="minorHAnsi" w:cs="Calibri"/>
                <w:color w:val="000000"/>
                <w:sz w:val="20"/>
                <w:szCs w:val="20"/>
              </w:rPr>
              <w:t>5</w:t>
            </w:r>
          </w:p>
        </w:tc>
        <w:tc>
          <w:tcPr>
            <w:tcW w:w="1350" w:type="dxa"/>
            <w:vAlign w:val="center"/>
            <w:hideMark/>
          </w:tcPr>
          <w:p w14:paraId="6BC9FB1A"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color w:val="000000"/>
                <w:spacing w:val="1"/>
                <w:sz w:val="20"/>
                <w:szCs w:val="20"/>
              </w:rPr>
            </w:pPr>
            <w:r w:rsidRPr="00933DC0">
              <w:rPr>
                <w:rFonts w:asciiTheme="minorHAnsi" w:eastAsiaTheme="minorHAnsi" w:hAnsiTheme="minorHAnsi" w:cs="Calibri"/>
                <w:color w:val="000000"/>
                <w:spacing w:val="1"/>
                <w:sz w:val="20"/>
                <w:szCs w:val="20"/>
              </w:rPr>
              <w:t>1</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4</w:t>
            </w:r>
            <w:r w:rsidRPr="00933DC0">
              <w:rPr>
                <w:rFonts w:asciiTheme="minorHAnsi" w:eastAsiaTheme="minorHAnsi" w:hAnsiTheme="minorHAnsi" w:cs="Calibri"/>
                <w:color w:val="000000"/>
                <w:sz w:val="20"/>
                <w:szCs w:val="20"/>
              </w:rPr>
              <w:t>5</w:t>
            </w:r>
          </w:p>
        </w:tc>
      </w:tr>
      <w:tr w:rsidR="00E00595" w14:paraId="41931381" w14:textId="77777777" w:rsidTr="00343C4C">
        <w:trPr>
          <w:trHeight w:val="432"/>
        </w:trPr>
        <w:tc>
          <w:tcPr>
            <w:tcW w:w="850" w:type="dxa"/>
            <w:vMerge/>
            <w:vAlign w:val="center"/>
            <w:hideMark/>
          </w:tcPr>
          <w:p w14:paraId="72944B05" w14:textId="77777777" w:rsidR="00E00595" w:rsidRPr="00933DC0" w:rsidRDefault="00E00595" w:rsidP="00047D78">
            <w:pPr>
              <w:spacing w:before="0" w:after="0" w:line="0" w:lineRule="auto"/>
              <w:ind w:left="0" w:right="0"/>
              <w:jc w:val="center"/>
              <w:rPr>
                <w:rFonts w:asciiTheme="minorHAnsi" w:eastAsiaTheme="minorHAnsi" w:hAnsiTheme="minorHAnsi" w:cs="Calibri"/>
                <w:b/>
                <w:sz w:val="20"/>
                <w:szCs w:val="20"/>
              </w:rPr>
            </w:pPr>
          </w:p>
        </w:tc>
        <w:tc>
          <w:tcPr>
            <w:tcW w:w="3398" w:type="dxa"/>
            <w:vAlign w:val="center"/>
            <w:hideMark/>
          </w:tcPr>
          <w:p w14:paraId="3E0EE3AC"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pacing w:val="1"/>
                <w:sz w:val="20"/>
                <w:szCs w:val="20"/>
              </w:rPr>
              <w:t>95</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 xml:space="preserve"> </w:t>
            </w:r>
            <w:r w:rsidRPr="00933DC0">
              <w:rPr>
                <w:rFonts w:asciiTheme="minorHAnsi" w:eastAsiaTheme="minorHAnsi" w:hAnsiTheme="minorHAnsi" w:cs="Calibri"/>
                <w:sz w:val="20"/>
                <w:szCs w:val="20"/>
              </w:rPr>
              <w:t>CI</w:t>
            </w:r>
          </w:p>
        </w:tc>
        <w:tc>
          <w:tcPr>
            <w:tcW w:w="1800" w:type="dxa"/>
            <w:vAlign w:val="center"/>
            <w:hideMark/>
          </w:tcPr>
          <w:p w14:paraId="5C4103D7"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color w:val="000000"/>
                <w:spacing w:val="1"/>
                <w:sz w:val="20"/>
                <w:szCs w:val="20"/>
              </w:rPr>
              <w:t>0</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2</w:t>
            </w:r>
            <w:r w:rsidRPr="00933DC0">
              <w:rPr>
                <w:rFonts w:asciiTheme="minorHAnsi" w:eastAsiaTheme="minorHAnsi" w:hAnsiTheme="minorHAnsi" w:cs="Calibri"/>
                <w:color w:val="000000"/>
                <w:spacing w:val="1"/>
                <w:sz w:val="20"/>
                <w:szCs w:val="20"/>
              </w:rPr>
              <w:t>3</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 xml:space="preserve"> </w:t>
            </w:r>
            <w:r w:rsidRPr="00933DC0">
              <w:rPr>
                <w:rFonts w:asciiTheme="minorHAnsi" w:eastAsiaTheme="minorHAnsi" w:hAnsiTheme="minorHAnsi" w:cs="Calibri"/>
                <w:color w:val="000000"/>
                <w:spacing w:val="1"/>
                <w:sz w:val="20"/>
                <w:szCs w:val="20"/>
              </w:rPr>
              <w:t>4</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1</w:t>
            </w:r>
            <w:r w:rsidRPr="00933DC0">
              <w:rPr>
                <w:rFonts w:asciiTheme="minorHAnsi" w:eastAsiaTheme="minorHAnsi" w:hAnsiTheme="minorHAnsi" w:cs="Calibri"/>
                <w:color w:val="000000"/>
                <w:sz w:val="20"/>
                <w:szCs w:val="20"/>
              </w:rPr>
              <w:t>9</w:t>
            </w:r>
          </w:p>
        </w:tc>
        <w:tc>
          <w:tcPr>
            <w:tcW w:w="1530" w:type="dxa"/>
            <w:vAlign w:val="center"/>
            <w:hideMark/>
          </w:tcPr>
          <w:p w14:paraId="453D3E73"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1</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5</w:t>
            </w:r>
            <w:r w:rsidRPr="00933DC0">
              <w:rPr>
                <w:rFonts w:asciiTheme="minorHAnsi" w:eastAsiaTheme="minorHAnsi" w:hAnsiTheme="minorHAnsi" w:cs="Calibri"/>
                <w:color w:val="000000"/>
                <w:spacing w:val="1"/>
                <w:sz w:val="20"/>
                <w:szCs w:val="20"/>
              </w:rPr>
              <w:t>3</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 xml:space="preserve"> </w:t>
            </w:r>
            <w:r w:rsidRPr="00933DC0">
              <w:rPr>
                <w:rFonts w:asciiTheme="minorHAnsi" w:eastAsiaTheme="minorHAnsi" w:hAnsiTheme="minorHAnsi" w:cs="Calibri"/>
                <w:color w:val="000000"/>
                <w:spacing w:val="1"/>
                <w:sz w:val="20"/>
                <w:szCs w:val="20"/>
              </w:rPr>
              <w:t>2</w:t>
            </w:r>
            <w:r w:rsidRPr="00933DC0">
              <w:rPr>
                <w:rFonts w:asciiTheme="minorHAnsi" w:eastAsiaTheme="minorHAnsi" w:hAnsiTheme="minorHAnsi" w:cs="Calibri"/>
                <w:color w:val="000000"/>
                <w:spacing w:val="-2"/>
                <w:sz w:val="20"/>
                <w:szCs w:val="20"/>
              </w:rPr>
              <w:t>.</w:t>
            </w:r>
            <w:r w:rsidRPr="00933DC0">
              <w:rPr>
                <w:rFonts w:asciiTheme="minorHAnsi" w:eastAsiaTheme="minorHAnsi" w:hAnsiTheme="minorHAnsi" w:cs="Calibri"/>
                <w:color w:val="000000"/>
                <w:spacing w:val="1"/>
                <w:sz w:val="20"/>
                <w:szCs w:val="20"/>
              </w:rPr>
              <w:t>6</w:t>
            </w:r>
            <w:r w:rsidRPr="00933DC0">
              <w:rPr>
                <w:rFonts w:asciiTheme="minorHAnsi" w:eastAsiaTheme="minorHAnsi" w:hAnsiTheme="minorHAnsi" w:cs="Calibri"/>
                <w:color w:val="000000"/>
                <w:sz w:val="20"/>
                <w:szCs w:val="20"/>
              </w:rPr>
              <w:t>4</w:t>
            </w:r>
          </w:p>
        </w:tc>
        <w:tc>
          <w:tcPr>
            <w:tcW w:w="1350" w:type="dxa"/>
            <w:vAlign w:val="center"/>
            <w:hideMark/>
          </w:tcPr>
          <w:p w14:paraId="59919878"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color w:val="000000"/>
                <w:spacing w:val="1"/>
                <w:sz w:val="20"/>
                <w:szCs w:val="20"/>
              </w:rPr>
            </w:pP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1</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2</w:t>
            </w:r>
            <w:r w:rsidRPr="00933DC0">
              <w:rPr>
                <w:rFonts w:asciiTheme="minorHAnsi" w:eastAsiaTheme="minorHAnsi" w:hAnsiTheme="minorHAnsi" w:cs="Calibri"/>
                <w:color w:val="000000"/>
                <w:spacing w:val="1"/>
                <w:sz w:val="20"/>
                <w:szCs w:val="20"/>
              </w:rPr>
              <w:t>2</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 xml:space="preserve"> </w:t>
            </w:r>
            <w:r w:rsidRPr="00933DC0">
              <w:rPr>
                <w:rFonts w:asciiTheme="minorHAnsi" w:eastAsiaTheme="minorHAnsi" w:hAnsiTheme="minorHAnsi" w:cs="Calibri"/>
                <w:spacing w:val="-1"/>
                <w:sz w:val="20"/>
                <w:szCs w:val="20"/>
              </w:rPr>
              <w:t>4.54</w:t>
            </w:r>
          </w:p>
        </w:tc>
      </w:tr>
      <w:tr w:rsidR="00E00595" w14:paraId="5C9BBE7C" w14:textId="77777777" w:rsidTr="00343C4C">
        <w:trPr>
          <w:trHeight w:val="432"/>
        </w:trPr>
        <w:tc>
          <w:tcPr>
            <w:tcW w:w="850" w:type="dxa"/>
            <w:vMerge/>
            <w:vAlign w:val="center"/>
            <w:hideMark/>
          </w:tcPr>
          <w:p w14:paraId="42600285" w14:textId="77777777" w:rsidR="00E00595" w:rsidRPr="00933DC0" w:rsidRDefault="00E00595" w:rsidP="00047D78">
            <w:pPr>
              <w:spacing w:before="0" w:after="0" w:line="0" w:lineRule="auto"/>
              <w:ind w:left="0" w:right="0"/>
              <w:jc w:val="center"/>
              <w:rPr>
                <w:rFonts w:asciiTheme="minorHAnsi" w:eastAsiaTheme="minorHAnsi" w:hAnsiTheme="minorHAnsi" w:cs="Calibri"/>
                <w:b/>
                <w:sz w:val="20"/>
                <w:szCs w:val="20"/>
              </w:rPr>
            </w:pPr>
          </w:p>
        </w:tc>
        <w:tc>
          <w:tcPr>
            <w:tcW w:w="3398" w:type="dxa"/>
            <w:vAlign w:val="center"/>
            <w:hideMark/>
          </w:tcPr>
          <w:p w14:paraId="784D8D2B"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spacing w:val="1"/>
                <w:sz w:val="20"/>
                <w:szCs w:val="20"/>
              </w:rPr>
              <w:t>p</w:t>
            </w:r>
            <w:r w:rsidRPr="00933DC0">
              <w:rPr>
                <w:rFonts w:asciiTheme="minorHAnsi" w:eastAsiaTheme="minorHAnsi" w:hAnsiTheme="minorHAnsi" w:cs="Calibri"/>
                <w:sz w:val="20"/>
                <w:szCs w:val="20"/>
              </w:rPr>
              <w:t>-</w:t>
            </w:r>
            <w:r w:rsidRPr="00933DC0">
              <w:rPr>
                <w:rFonts w:asciiTheme="minorHAnsi" w:eastAsiaTheme="minorHAnsi" w:hAnsiTheme="minorHAnsi" w:cs="Calibri"/>
                <w:spacing w:val="-1"/>
                <w:sz w:val="20"/>
                <w:szCs w:val="20"/>
              </w:rPr>
              <w:t>va</w:t>
            </w:r>
            <w:r w:rsidRPr="00933DC0">
              <w:rPr>
                <w:rFonts w:asciiTheme="minorHAnsi" w:eastAsiaTheme="minorHAnsi" w:hAnsiTheme="minorHAnsi" w:cs="Calibri"/>
                <w:sz w:val="20"/>
                <w:szCs w:val="20"/>
              </w:rPr>
              <w:t>l</w:t>
            </w:r>
            <w:r w:rsidRPr="00933DC0">
              <w:rPr>
                <w:rFonts w:asciiTheme="minorHAnsi" w:eastAsiaTheme="minorHAnsi" w:hAnsiTheme="minorHAnsi" w:cs="Calibri"/>
                <w:spacing w:val="1"/>
                <w:sz w:val="20"/>
                <w:szCs w:val="20"/>
              </w:rPr>
              <w:t>u</w:t>
            </w:r>
            <w:r w:rsidRPr="00933DC0">
              <w:rPr>
                <w:rFonts w:asciiTheme="minorHAnsi" w:eastAsiaTheme="minorHAnsi" w:hAnsiTheme="minorHAnsi" w:cs="Calibri"/>
                <w:sz w:val="20"/>
                <w:szCs w:val="20"/>
              </w:rPr>
              <w:t>e</w:t>
            </w:r>
            <w:r w:rsidRPr="00933DC0">
              <w:rPr>
                <w:rFonts w:asciiTheme="minorHAnsi" w:eastAsiaTheme="minorHAnsi" w:hAnsiTheme="minorHAnsi" w:cs="Calibri"/>
                <w:spacing w:val="-3"/>
                <w:sz w:val="20"/>
                <w:szCs w:val="20"/>
              </w:rPr>
              <w:t xml:space="preserve"> </w:t>
            </w:r>
            <w:r w:rsidRPr="00933DC0">
              <w:rPr>
                <w:rFonts w:asciiTheme="minorHAnsi" w:eastAsiaTheme="minorHAnsi" w:hAnsiTheme="minorHAnsi" w:cs="Calibri"/>
                <w:spacing w:val="-1"/>
                <w:sz w:val="20"/>
                <w:szCs w:val="20"/>
              </w:rPr>
              <w:t xml:space="preserve">for non-inferiority </w:t>
            </w:r>
            <w:r w:rsidRPr="00933DC0">
              <w:rPr>
                <w:rFonts w:asciiTheme="minorHAnsi" w:eastAsiaTheme="minorHAnsi" w:hAnsiTheme="minorHAnsi" w:cs="Calibri"/>
                <w:spacing w:val="-1"/>
                <w:sz w:val="20"/>
                <w:szCs w:val="20"/>
                <w:vertAlign w:val="superscript"/>
              </w:rPr>
              <w:t>b</w:t>
            </w:r>
          </w:p>
        </w:tc>
        <w:tc>
          <w:tcPr>
            <w:tcW w:w="1800" w:type="dxa"/>
            <w:vAlign w:val="center"/>
          </w:tcPr>
          <w:p w14:paraId="522D9731"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p>
        </w:tc>
        <w:tc>
          <w:tcPr>
            <w:tcW w:w="1530" w:type="dxa"/>
            <w:vAlign w:val="center"/>
          </w:tcPr>
          <w:p w14:paraId="3A0E1448"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p>
        </w:tc>
        <w:tc>
          <w:tcPr>
            <w:tcW w:w="1350" w:type="dxa"/>
            <w:vAlign w:val="center"/>
            <w:hideMark/>
          </w:tcPr>
          <w:p w14:paraId="492CF40F"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color w:val="000000"/>
                <w:spacing w:val="1"/>
                <w:sz w:val="20"/>
                <w:szCs w:val="20"/>
              </w:rPr>
            </w:pPr>
            <w:r w:rsidRPr="00933DC0">
              <w:rPr>
                <w:rFonts w:asciiTheme="minorHAnsi" w:eastAsiaTheme="minorHAnsi" w:hAnsiTheme="minorHAnsi" w:cs="Calibri"/>
                <w:color w:val="000000"/>
                <w:spacing w:val="1"/>
                <w:position w:val="6"/>
                <w:sz w:val="20"/>
                <w:szCs w:val="20"/>
              </w:rPr>
              <w:t>0</w:t>
            </w:r>
            <w:r w:rsidRPr="00933DC0">
              <w:rPr>
                <w:rFonts w:asciiTheme="minorHAnsi" w:eastAsiaTheme="minorHAnsi" w:hAnsiTheme="minorHAnsi" w:cs="Calibri"/>
                <w:color w:val="000000"/>
                <w:position w:val="6"/>
                <w:sz w:val="20"/>
                <w:szCs w:val="20"/>
              </w:rPr>
              <w:t>.</w:t>
            </w:r>
            <w:r w:rsidRPr="00933DC0">
              <w:rPr>
                <w:rFonts w:asciiTheme="minorHAnsi" w:eastAsiaTheme="minorHAnsi" w:hAnsiTheme="minorHAnsi" w:cs="Calibri"/>
                <w:color w:val="000000"/>
                <w:spacing w:val="-1"/>
                <w:position w:val="6"/>
                <w:sz w:val="20"/>
                <w:szCs w:val="20"/>
              </w:rPr>
              <w:t>0</w:t>
            </w:r>
            <w:r w:rsidRPr="00933DC0">
              <w:rPr>
                <w:rFonts w:asciiTheme="minorHAnsi" w:eastAsiaTheme="minorHAnsi" w:hAnsiTheme="minorHAnsi" w:cs="Calibri"/>
                <w:color w:val="000000"/>
                <w:spacing w:val="1"/>
                <w:position w:val="6"/>
                <w:sz w:val="20"/>
                <w:szCs w:val="20"/>
              </w:rPr>
              <w:t>6</w:t>
            </w:r>
            <w:r w:rsidRPr="00933DC0">
              <w:rPr>
                <w:rFonts w:asciiTheme="minorHAnsi" w:eastAsiaTheme="minorHAnsi" w:hAnsiTheme="minorHAnsi" w:cs="Calibri"/>
                <w:color w:val="000000"/>
                <w:spacing w:val="-1"/>
                <w:position w:val="6"/>
                <w:sz w:val="20"/>
                <w:szCs w:val="20"/>
              </w:rPr>
              <w:t>0</w:t>
            </w:r>
            <w:r w:rsidRPr="00933DC0">
              <w:rPr>
                <w:rFonts w:asciiTheme="minorHAnsi" w:eastAsiaTheme="minorHAnsi" w:hAnsiTheme="minorHAnsi" w:cs="Calibri"/>
                <w:color w:val="000000"/>
                <w:position w:val="6"/>
                <w:sz w:val="20"/>
                <w:szCs w:val="20"/>
              </w:rPr>
              <w:t>3</w:t>
            </w:r>
          </w:p>
        </w:tc>
      </w:tr>
      <w:tr w:rsidR="00E00595" w14:paraId="4192BDF0" w14:textId="77777777" w:rsidTr="00343C4C">
        <w:trPr>
          <w:trHeight w:val="432"/>
        </w:trPr>
        <w:tc>
          <w:tcPr>
            <w:tcW w:w="850" w:type="dxa"/>
            <w:vMerge/>
            <w:vAlign w:val="center"/>
            <w:hideMark/>
          </w:tcPr>
          <w:p w14:paraId="5DE78F7C" w14:textId="77777777" w:rsidR="00E00595" w:rsidRPr="00933DC0" w:rsidRDefault="00E00595" w:rsidP="00047D78">
            <w:pPr>
              <w:spacing w:before="0" w:after="0" w:line="0" w:lineRule="auto"/>
              <w:ind w:left="0" w:right="0"/>
              <w:jc w:val="center"/>
              <w:rPr>
                <w:rFonts w:asciiTheme="minorHAnsi" w:eastAsiaTheme="minorHAnsi" w:hAnsiTheme="minorHAnsi" w:cs="Calibri"/>
                <w:b/>
                <w:sz w:val="20"/>
                <w:szCs w:val="20"/>
              </w:rPr>
            </w:pPr>
          </w:p>
        </w:tc>
        <w:tc>
          <w:tcPr>
            <w:tcW w:w="3398" w:type="dxa"/>
            <w:vAlign w:val="center"/>
            <w:hideMark/>
          </w:tcPr>
          <w:p w14:paraId="17786C3B"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color w:val="000000"/>
                <w:spacing w:val="1"/>
                <w:sz w:val="20"/>
                <w:szCs w:val="20"/>
              </w:rPr>
              <w:t>p</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va</w:t>
            </w:r>
            <w:r w:rsidRPr="00933DC0">
              <w:rPr>
                <w:rFonts w:asciiTheme="minorHAnsi" w:eastAsiaTheme="minorHAnsi" w:hAnsiTheme="minorHAnsi" w:cs="Calibri"/>
                <w:color w:val="000000"/>
                <w:sz w:val="20"/>
                <w:szCs w:val="20"/>
              </w:rPr>
              <w:t>l</w:t>
            </w:r>
            <w:r w:rsidRPr="00933DC0">
              <w:rPr>
                <w:rFonts w:asciiTheme="minorHAnsi" w:eastAsiaTheme="minorHAnsi" w:hAnsiTheme="minorHAnsi" w:cs="Calibri"/>
                <w:color w:val="000000"/>
                <w:spacing w:val="1"/>
                <w:sz w:val="20"/>
                <w:szCs w:val="20"/>
              </w:rPr>
              <w:t>u</w:t>
            </w:r>
            <w:r w:rsidRPr="00933DC0">
              <w:rPr>
                <w:rFonts w:asciiTheme="minorHAnsi" w:eastAsiaTheme="minorHAnsi" w:hAnsiTheme="minorHAnsi" w:cs="Calibri"/>
                <w:color w:val="000000"/>
                <w:sz w:val="20"/>
                <w:szCs w:val="20"/>
              </w:rPr>
              <w:t>e</w:t>
            </w:r>
            <w:r w:rsidRPr="00933DC0">
              <w:rPr>
                <w:rFonts w:asciiTheme="minorHAnsi" w:eastAsiaTheme="minorHAnsi" w:hAnsiTheme="minorHAnsi" w:cs="Calibri"/>
                <w:color w:val="000000"/>
                <w:spacing w:val="-3"/>
                <w:sz w:val="20"/>
                <w:szCs w:val="20"/>
              </w:rPr>
              <w:t xml:space="preserve"> </w:t>
            </w:r>
            <w:r w:rsidRPr="00933DC0">
              <w:rPr>
                <w:rFonts w:asciiTheme="minorHAnsi" w:eastAsiaTheme="minorHAnsi" w:hAnsiTheme="minorHAnsi" w:cs="Calibri"/>
                <w:color w:val="000000"/>
                <w:spacing w:val="-2"/>
                <w:sz w:val="20"/>
                <w:szCs w:val="20"/>
              </w:rPr>
              <w:t>f</w:t>
            </w:r>
            <w:r w:rsidRPr="00933DC0">
              <w:rPr>
                <w:rFonts w:asciiTheme="minorHAnsi" w:eastAsiaTheme="minorHAnsi" w:hAnsiTheme="minorHAnsi" w:cs="Calibri"/>
                <w:color w:val="000000"/>
                <w:spacing w:val="1"/>
                <w:sz w:val="20"/>
                <w:szCs w:val="20"/>
              </w:rPr>
              <w:t>o</w:t>
            </w:r>
            <w:r w:rsidRPr="00933DC0">
              <w:rPr>
                <w:rFonts w:asciiTheme="minorHAnsi" w:eastAsiaTheme="minorHAnsi" w:hAnsiTheme="minorHAnsi" w:cs="Calibri"/>
                <w:color w:val="000000"/>
                <w:sz w:val="20"/>
                <w:szCs w:val="20"/>
              </w:rPr>
              <w:t>r</w:t>
            </w:r>
            <w:r w:rsidRPr="00933DC0">
              <w:rPr>
                <w:rFonts w:asciiTheme="minorHAnsi" w:eastAsiaTheme="minorHAnsi" w:hAnsiTheme="minorHAnsi" w:cs="Calibri"/>
                <w:color w:val="000000"/>
                <w:spacing w:val="1"/>
                <w:sz w:val="20"/>
                <w:szCs w:val="20"/>
              </w:rPr>
              <w:t xml:space="preserve"> </w:t>
            </w:r>
            <w:r w:rsidRPr="00933DC0">
              <w:rPr>
                <w:rFonts w:asciiTheme="minorHAnsi" w:eastAsiaTheme="minorHAnsi" w:hAnsiTheme="minorHAnsi" w:cs="Calibri"/>
                <w:color w:val="000000"/>
                <w:sz w:val="20"/>
                <w:szCs w:val="20"/>
              </w:rPr>
              <w:t>s</w:t>
            </w:r>
            <w:r w:rsidRPr="00933DC0">
              <w:rPr>
                <w:rFonts w:asciiTheme="minorHAnsi" w:eastAsiaTheme="minorHAnsi" w:hAnsiTheme="minorHAnsi" w:cs="Calibri"/>
                <w:color w:val="000000"/>
                <w:spacing w:val="1"/>
                <w:sz w:val="20"/>
                <w:szCs w:val="20"/>
              </w:rPr>
              <w:t>up</w:t>
            </w:r>
            <w:r w:rsidRPr="00933DC0">
              <w:rPr>
                <w:rFonts w:asciiTheme="minorHAnsi" w:eastAsiaTheme="minorHAnsi" w:hAnsiTheme="minorHAnsi" w:cs="Calibri"/>
                <w:color w:val="000000"/>
                <w:spacing w:val="-1"/>
                <w:sz w:val="20"/>
                <w:szCs w:val="20"/>
              </w:rPr>
              <w:t>e</w:t>
            </w:r>
            <w:r w:rsidRPr="00933DC0">
              <w:rPr>
                <w:rFonts w:asciiTheme="minorHAnsi" w:eastAsiaTheme="minorHAnsi" w:hAnsiTheme="minorHAnsi" w:cs="Calibri"/>
                <w:color w:val="000000"/>
                <w:sz w:val="20"/>
                <w:szCs w:val="20"/>
              </w:rPr>
              <w:t>ri</w:t>
            </w:r>
            <w:r w:rsidRPr="00933DC0">
              <w:rPr>
                <w:rFonts w:asciiTheme="minorHAnsi" w:eastAsiaTheme="minorHAnsi" w:hAnsiTheme="minorHAnsi" w:cs="Calibri"/>
                <w:color w:val="000000"/>
                <w:spacing w:val="1"/>
                <w:sz w:val="20"/>
                <w:szCs w:val="20"/>
              </w:rPr>
              <w:t>o</w:t>
            </w:r>
            <w:r w:rsidRPr="00933DC0">
              <w:rPr>
                <w:rFonts w:asciiTheme="minorHAnsi" w:eastAsiaTheme="minorHAnsi" w:hAnsiTheme="minorHAnsi" w:cs="Calibri"/>
                <w:color w:val="000000"/>
                <w:sz w:val="20"/>
                <w:szCs w:val="20"/>
              </w:rPr>
              <w:t>r</w:t>
            </w:r>
            <w:r w:rsidRPr="00933DC0">
              <w:rPr>
                <w:rFonts w:asciiTheme="minorHAnsi" w:eastAsiaTheme="minorHAnsi" w:hAnsiTheme="minorHAnsi" w:cs="Calibri"/>
                <w:color w:val="000000"/>
                <w:spacing w:val="-2"/>
                <w:sz w:val="20"/>
                <w:szCs w:val="20"/>
              </w:rPr>
              <w:t>i</w:t>
            </w:r>
            <w:r w:rsidRPr="00933DC0">
              <w:rPr>
                <w:rFonts w:asciiTheme="minorHAnsi" w:eastAsiaTheme="minorHAnsi" w:hAnsiTheme="minorHAnsi" w:cs="Calibri"/>
                <w:color w:val="000000"/>
                <w:sz w:val="20"/>
                <w:szCs w:val="20"/>
              </w:rPr>
              <w:t>ty</w:t>
            </w:r>
          </w:p>
        </w:tc>
        <w:tc>
          <w:tcPr>
            <w:tcW w:w="1800" w:type="dxa"/>
            <w:vAlign w:val="center"/>
          </w:tcPr>
          <w:p w14:paraId="01DCC14B"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p>
        </w:tc>
        <w:tc>
          <w:tcPr>
            <w:tcW w:w="1530" w:type="dxa"/>
            <w:vAlign w:val="center"/>
          </w:tcPr>
          <w:p w14:paraId="0CF01405"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p>
        </w:tc>
        <w:tc>
          <w:tcPr>
            <w:tcW w:w="1350" w:type="dxa"/>
            <w:vAlign w:val="center"/>
            <w:hideMark/>
          </w:tcPr>
          <w:p w14:paraId="713CB904"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color w:val="000000"/>
                <w:spacing w:val="1"/>
                <w:sz w:val="20"/>
                <w:szCs w:val="20"/>
              </w:rPr>
            </w:pPr>
            <w:r w:rsidRPr="00933DC0">
              <w:rPr>
                <w:rFonts w:asciiTheme="minorHAnsi" w:eastAsiaTheme="minorHAnsi" w:hAnsiTheme="minorHAnsi" w:cs="Calibri"/>
                <w:color w:val="000000"/>
                <w:spacing w:val="1"/>
                <w:sz w:val="20"/>
                <w:szCs w:val="20"/>
              </w:rPr>
              <w:t>0</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2</w:t>
            </w:r>
            <w:r w:rsidRPr="00933DC0">
              <w:rPr>
                <w:rFonts w:asciiTheme="minorHAnsi" w:eastAsiaTheme="minorHAnsi" w:hAnsiTheme="minorHAnsi" w:cs="Calibri"/>
                <w:color w:val="000000"/>
                <w:spacing w:val="1"/>
                <w:sz w:val="20"/>
                <w:szCs w:val="20"/>
              </w:rPr>
              <w:t>5</w:t>
            </w:r>
            <w:r w:rsidRPr="00933DC0">
              <w:rPr>
                <w:rFonts w:asciiTheme="minorHAnsi" w:eastAsiaTheme="minorHAnsi" w:hAnsiTheme="minorHAnsi" w:cs="Calibri"/>
                <w:color w:val="000000"/>
                <w:spacing w:val="-1"/>
                <w:sz w:val="20"/>
                <w:szCs w:val="20"/>
              </w:rPr>
              <w:t>5</w:t>
            </w:r>
            <w:r w:rsidRPr="00933DC0">
              <w:rPr>
                <w:rFonts w:asciiTheme="minorHAnsi" w:eastAsiaTheme="minorHAnsi" w:hAnsiTheme="minorHAnsi" w:cs="Calibri"/>
                <w:color w:val="000000"/>
                <w:sz w:val="20"/>
                <w:szCs w:val="20"/>
              </w:rPr>
              <w:t>6</w:t>
            </w:r>
          </w:p>
        </w:tc>
      </w:tr>
      <w:tr w:rsidR="00E00595" w14:paraId="2789E8EA" w14:textId="77777777" w:rsidTr="00343C4C">
        <w:trPr>
          <w:trHeight w:val="432"/>
        </w:trPr>
        <w:tc>
          <w:tcPr>
            <w:tcW w:w="850" w:type="dxa"/>
            <w:vMerge w:val="restart"/>
            <w:vAlign w:val="center"/>
            <w:hideMark/>
          </w:tcPr>
          <w:p w14:paraId="358D75AF" w14:textId="77777777" w:rsidR="00E00595" w:rsidRPr="00933DC0" w:rsidRDefault="00E00595" w:rsidP="00047D78">
            <w:pPr>
              <w:autoSpaceDE w:val="0"/>
              <w:autoSpaceDN w:val="0"/>
              <w:adjustRightInd w:val="0"/>
              <w:spacing w:before="0" w:after="0" w:line="240" w:lineRule="auto"/>
              <w:ind w:left="0" w:right="0"/>
              <w:jc w:val="center"/>
              <w:rPr>
                <w:rFonts w:asciiTheme="minorHAnsi" w:eastAsiaTheme="minorHAnsi" w:hAnsiTheme="minorHAnsi" w:cs="Calibri"/>
                <w:b/>
                <w:color w:val="000000"/>
                <w:spacing w:val="-2"/>
                <w:sz w:val="20"/>
                <w:szCs w:val="20"/>
              </w:rPr>
            </w:pPr>
            <w:r w:rsidRPr="00933DC0">
              <w:rPr>
                <w:rFonts w:asciiTheme="minorHAnsi" w:eastAsiaTheme="minorHAnsi" w:hAnsiTheme="minorHAnsi" w:cs="Calibri"/>
                <w:b/>
                <w:color w:val="000000"/>
                <w:spacing w:val="-2"/>
                <w:sz w:val="20"/>
                <w:szCs w:val="20"/>
              </w:rPr>
              <w:t>W</w:t>
            </w:r>
            <w:r w:rsidRPr="00933DC0">
              <w:rPr>
                <w:rFonts w:asciiTheme="minorHAnsi" w:eastAsiaTheme="minorHAnsi" w:hAnsiTheme="minorHAnsi" w:cs="Calibri"/>
                <w:b/>
                <w:color w:val="000000"/>
                <w:spacing w:val="-1"/>
                <w:sz w:val="20"/>
                <w:szCs w:val="20"/>
              </w:rPr>
              <w:t>e</w:t>
            </w:r>
            <w:r w:rsidRPr="00933DC0">
              <w:rPr>
                <w:rFonts w:asciiTheme="minorHAnsi" w:eastAsiaTheme="minorHAnsi" w:hAnsiTheme="minorHAnsi" w:cs="Calibri"/>
                <w:b/>
                <w:color w:val="000000"/>
                <w:spacing w:val="1"/>
                <w:sz w:val="20"/>
                <w:szCs w:val="20"/>
              </w:rPr>
              <w:t>e</w:t>
            </w:r>
            <w:r w:rsidRPr="00933DC0">
              <w:rPr>
                <w:rFonts w:asciiTheme="minorHAnsi" w:eastAsiaTheme="minorHAnsi" w:hAnsiTheme="minorHAnsi" w:cs="Calibri"/>
                <w:b/>
                <w:color w:val="000000"/>
                <w:sz w:val="20"/>
                <w:szCs w:val="20"/>
              </w:rPr>
              <w:t>k</w:t>
            </w:r>
            <w:r w:rsidRPr="00933DC0">
              <w:rPr>
                <w:rFonts w:asciiTheme="minorHAnsi" w:eastAsiaTheme="minorHAnsi" w:hAnsiTheme="minorHAnsi" w:cs="Calibri"/>
                <w:b/>
                <w:color w:val="000000"/>
                <w:spacing w:val="-4"/>
                <w:sz w:val="20"/>
                <w:szCs w:val="20"/>
              </w:rPr>
              <w:t xml:space="preserve"> </w:t>
            </w:r>
            <w:r w:rsidRPr="00933DC0">
              <w:rPr>
                <w:rFonts w:asciiTheme="minorHAnsi" w:eastAsiaTheme="minorHAnsi" w:hAnsiTheme="minorHAnsi" w:cs="Calibri"/>
                <w:b/>
                <w:color w:val="000000"/>
                <w:spacing w:val="1"/>
                <w:sz w:val="20"/>
                <w:szCs w:val="20"/>
              </w:rPr>
              <w:t>4</w:t>
            </w:r>
            <w:r w:rsidRPr="00933DC0">
              <w:rPr>
                <w:rFonts w:asciiTheme="minorHAnsi" w:eastAsiaTheme="minorHAnsi" w:hAnsiTheme="minorHAnsi" w:cs="Calibri"/>
                <w:b/>
                <w:color w:val="000000"/>
                <w:sz w:val="20"/>
                <w:szCs w:val="20"/>
              </w:rPr>
              <w:t>9</w:t>
            </w:r>
          </w:p>
        </w:tc>
        <w:tc>
          <w:tcPr>
            <w:tcW w:w="3398" w:type="dxa"/>
            <w:vAlign w:val="center"/>
            <w:hideMark/>
          </w:tcPr>
          <w:p w14:paraId="0EE877B8"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color w:val="000000"/>
                <w:spacing w:val="1"/>
                <w:sz w:val="20"/>
                <w:szCs w:val="20"/>
              </w:rPr>
            </w:pPr>
            <w:r w:rsidRPr="00933DC0">
              <w:rPr>
                <w:rFonts w:asciiTheme="minorHAnsi" w:eastAsiaTheme="minorHAnsi" w:hAnsiTheme="minorHAnsi" w:cs="Calibri"/>
                <w:color w:val="000000"/>
                <w:sz w:val="20"/>
                <w:szCs w:val="20"/>
              </w:rPr>
              <w:t>Est</w:t>
            </w:r>
            <w:r w:rsidRPr="00933DC0">
              <w:rPr>
                <w:rFonts w:asciiTheme="minorHAnsi" w:eastAsiaTheme="minorHAnsi" w:hAnsiTheme="minorHAnsi" w:cs="Calibri"/>
                <w:color w:val="000000"/>
                <w:spacing w:val="1"/>
                <w:sz w:val="20"/>
                <w:szCs w:val="20"/>
              </w:rPr>
              <w:t>i</w:t>
            </w:r>
            <w:r w:rsidRPr="00933DC0">
              <w:rPr>
                <w:rFonts w:asciiTheme="minorHAnsi" w:eastAsiaTheme="minorHAnsi" w:hAnsiTheme="minorHAnsi" w:cs="Calibri"/>
                <w:color w:val="000000"/>
                <w:spacing w:val="-3"/>
                <w:sz w:val="20"/>
                <w:szCs w:val="20"/>
              </w:rPr>
              <w:t>m</w:t>
            </w:r>
            <w:r w:rsidRPr="00933DC0">
              <w:rPr>
                <w:rFonts w:asciiTheme="minorHAnsi" w:eastAsiaTheme="minorHAnsi" w:hAnsiTheme="minorHAnsi" w:cs="Calibri"/>
                <w:color w:val="000000"/>
                <w:spacing w:val="-1"/>
                <w:sz w:val="20"/>
                <w:szCs w:val="20"/>
              </w:rPr>
              <w:t>a</w:t>
            </w:r>
            <w:r w:rsidRPr="00933DC0">
              <w:rPr>
                <w:rFonts w:asciiTheme="minorHAnsi" w:eastAsiaTheme="minorHAnsi" w:hAnsiTheme="minorHAnsi" w:cs="Calibri"/>
                <w:color w:val="000000"/>
                <w:spacing w:val="3"/>
                <w:sz w:val="20"/>
                <w:szCs w:val="20"/>
              </w:rPr>
              <w:t>t</w:t>
            </w:r>
            <w:r w:rsidRPr="00933DC0">
              <w:rPr>
                <w:rFonts w:asciiTheme="minorHAnsi" w:eastAsiaTheme="minorHAnsi" w:hAnsiTheme="minorHAnsi" w:cs="Calibri"/>
                <w:color w:val="000000"/>
                <w:sz w:val="20"/>
                <w:szCs w:val="20"/>
              </w:rPr>
              <w:t>e</w:t>
            </w:r>
          </w:p>
        </w:tc>
        <w:tc>
          <w:tcPr>
            <w:tcW w:w="1800" w:type="dxa"/>
            <w:vAlign w:val="center"/>
            <w:hideMark/>
          </w:tcPr>
          <w:p w14:paraId="074589B7"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color w:val="000000"/>
                <w:spacing w:val="1"/>
                <w:sz w:val="20"/>
                <w:szCs w:val="20"/>
              </w:rPr>
              <w:t>2</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8</w:t>
            </w:r>
            <w:r w:rsidRPr="00933DC0">
              <w:rPr>
                <w:rFonts w:asciiTheme="minorHAnsi" w:eastAsiaTheme="minorHAnsi" w:hAnsiTheme="minorHAnsi" w:cs="Calibri"/>
                <w:color w:val="000000"/>
                <w:sz w:val="20"/>
                <w:szCs w:val="20"/>
              </w:rPr>
              <w:t>9</w:t>
            </w:r>
          </w:p>
        </w:tc>
        <w:tc>
          <w:tcPr>
            <w:tcW w:w="1530" w:type="dxa"/>
            <w:vAlign w:val="center"/>
            <w:hideMark/>
          </w:tcPr>
          <w:p w14:paraId="11C0E9FB"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color w:val="000000"/>
                <w:spacing w:val="1"/>
                <w:sz w:val="20"/>
                <w:szCs w:val="20"/>
              </w:rPr>
              <w:t>0</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4</w:t>
            </w:r>
            <w:r w:rsidRPr="00933DC0">
              <w:rPr>
                <w:rFonts w:asciiTheme="minorHAnsi" w:eastAsiaTheme="minorHAnsi" w:hAnsiTheme="minorHAnsi" w:cs="Calibri"/>
                <w:color w:val="000000"/>
                <w:sz w:val="20"/>
                <w:szCs w:val="20"/>
              </w:rPr>
              <w:t>6</w:t>
            </w:r>
          </w:p>
        </w:tc>
        <w:tc>
          <w:tcPr>
            <w:tcW w:w="1350" w:type="dxa"/>
            <w:vAlign w:val="center"/>
            <w:hideMark/>
          </w:tcPr>
          <w:p w14:paraId="30DCF403"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color w:val="000000"/>
                <w:spacing w:val="1"/>
                <w:sz w:val="20"/>
                <w:szCs w:val="20"/>
              </w:rPr>
            </w:pPr>
            <w:r w:rsidRPr="00933DC0">
              <w:rPr>
                <w:rFonts w:asciiTheme="minorHAnsi" w:eastAsiaTheme="minorHAnsi" w:hAnsiTheme="minorHAnsi" w:cs="Calibri"/>
                <w:color w:val="000000"/>
                <w:spacing w:val="1"/>
                <w:sz w:val="20"/>
                <w:szCs w:val="20"/>
              </w:rPr>
              <w:t>2</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4</w:t>
            </w:r>
            <w:r w:rsidRPr="00933DC0">
              <w:rPr>
                <w:rFonts w:asciiTheme="minorHAnsi" w:eastAsiaTheme="minorHAnsi" w:hAnsiTheme="minorHAnsi" w:cs="Calibri"/>
                <w:color w:val="000000"/>
                <w:sz w:val="20"/>
                <w:szCs w:val="20"/>
              </w:rPr>
              <w:t>3</w:t>
            </w:r>
          </w:p>
        </w:tc>
      </w:tr>
      <w:tr w:rsidR="00E00595" w14:paraId="049F3F5F" w14:textId="77777777" w:rsidTr="00343C4C">
        <w:trPr>
          <w:trHeight w:val="432"/>
        </w:trPr>
        <w:tc>
          <w:tcPr>
            <w:tcW w:w="850" w:type="dxa"/>
            <w:vMerge/>
            <w:hideMark/>
          </w:tcPr>
          <w:p w14:paraId="70B919F8" w14:textId="77777777" w:rsidR="00E00595" w:rsidRPr="00933DC0" w:rsidRDefault="00E00595" w:rsidP="00047D78">
            <w:pPr>
              <w:spacing w:before="0" w:after="0" w:line="0" w:lineRule="auto"/>
              <w:ind w:left="0" w:right="0"/>
              <w:rPr>
                <w:rFonts w:asciiTheme="minorHAnsi" w:eastAsiaTheme="minorHAnsi" w:hAnsiTheme="minorHAnsi" w:cs="Calibri"/>
                <w:color w:val="000000"/>
                <w:spacing w:val="-2"/>
                <w:sz w:val="20"/>
                <w:szCs w:val="20"/>
              </w:rPr>
            </w:pPr>
          </w:p>
        </w:tc>
        <w:tc>
          <w:tcPr>
            <w:tcW w:w="3398" w:type="dxa"/>
            <w:vAlign w:val="center"/>
            <w:hideMark/>
          </w:tcPr>
          <w:p w14:paraId="08262B72"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color w:val="000000"/>
                <w:spacing w:val="1"/>
                <w:sz w:val="20"/>
                <w:szCs w:val="20"/>
              </w:rPr>
            </w:pPr>
            <w:r w:rsidRPr="00933DC0">
              <w:rPr>
                <w:rFonts w:asciiTheme="minorHAnsi" w:eastAsiaTheme="minorHAnsi" w:hAnsiTheme="minorHAnsi" w:cs="Calibri"/>
                <w:color w:val="000000"/>
                <w:spacing w:val="1"/>
                <w:sz w:val="20"/>
                <w:szCs w:val="20"/>
              </w:rPr>
              <w:t>S</w:t>
            </w:r>
            <w:r w:rsidRPr="00933DC0">
              <w:rPr>
                <w:rFonts w:asciiTheme="minorHAnsi" w:eastAsiaTheme="minorHAnsi" w:hAnsiTheme="minorHAnsi" w:cs="Calibri"/>
                <w:color w:val="000000"/>
                <w:sz w:val="20"/>
                <w:szCs w:val="20"/>
              </w:rPr>
              <w:t>E</w:t>
            </w:r>
          </w:p>
        </w:tc>
        <w:tc>
          <w:tcPr>
            <w:tcW w:w="1800" w:type="dxa"/>
            <w:vAlign w:val="center"/>
            <w:hideMark/>
          </w:tcPr>
          <w:p w14:paraId="3B5D5AB4"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color w:val="000000"/>
                <w:spacing w:val="1"/>
                <w:sz w:val="20"/>
                <w:szCs w:val="20"/>
              </w:rPr>
              <w:t>0</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8</w:t>
            </w:r>
            <w:r w:rsidRPr="00933DC0">
              <w:rPr>
                <w:rFonts w:asciiTheme="minorHAnsi" w:eastAsiaTheme="minorHAnsi" w:hAnsiTheme="minorHAnsi" w:cs="Calibri"/>
                <w:color w:val="000000"/>
                <w:sz w:val="20"/>
                <w:szCs w:val="20"/>
              </w:rPr>
              <w:t>8</w:t>
            </w:r>
          </w:p>
        </w:tc>
        <w:tc>
          <w:tcPr>
            <w:tcW w:w="1530" w:type="dxa"/>
            <w:vAlign w:val="center"/>
            <w:hideMark/>
          </w:tcPr>
          <w:p w14:paraId="076D7E44"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color w:val="000000"/>
                <w:spacing w:val="1"/>
                <w:sz w:val="20"/>
                <w:szCs w:val="20"/>
              </w:rPr>
              <w:t>0</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9</w:t>
            </w:r>
            <w:r w:rsidRPr="00933DC0">
              <w:rPr>
                <w:rFonts w:asciiTheme="minorHAnsi" w:eastAsiaTheme="minorHAnsi" w:hAnsiTheme="minorHAnsi" w:cs="Calibri"/>
                <w:color w:val="000000"/>
                <w:sz w:val="20"/>
                <w:szCs w:val="20"/>
              </w:rPr>
              <w:t>3</w:t>
            </w:r>
          </w:p>
        </w:tc>
        <w:tc>
          <w:tcPr>
            <w:tcW w:w="1350" w:type="dxa"/>
            <w:vAlign w:val="center"/>
            <w:hideMark/>
          </w:tcPr>
          <w:p w14:paraId="0E91A623"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color w:val="000000"/>
                <w:spacing w:val="1"/>
                <w:sz w:val="20"/>
                <w:szCs w:val="20"/>
              </w:rPr>
            </w:pPr>
            <w:r w:rsidRPr="00933DC0">
              <w:rPr>
                <w:rFonts w:asciiTheme="minorHAnsi" w:eastAsiaTheme="minorHAnsi" w:hAnsiTheme="minorHAnsi" w:cs="Calibri"/>
                <w:color w:val="000000"/>
                <w:spacing w:val="1"/>
                <w:sz w:val="20"/>
                <w:szCs w:val="20"/>
              </w:rPr>
              <w:t>1</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2</w:t>
            </w:r>
            <w:r w:rsidRPr="00933DC0">
              <w:rPr>
                <w:rFonts w:asciiTheme="minorHAnsi" w:eastAsiaTheme="minorHAnsi" w:hAnsiTheme="minorHAnsi" w:cs="Calibri"/>
                <w:color w:val="000000"/>
                <w:sz w:val="20"/>
                <w:szCs w:val="20"/>
              </w:rPr>
              <w:t>9</w:t>
            </w:r>
          </w:p>
        </w:tc>
      </w:tr>
      <w:tr w:rsidR="00E00595" w14:paraId="25B17BBD" w14:textId="77777777" w:rsidTr="00343C4C">
        <w:trPr>
          <w:trHeight w:val="432"/>
        </w:trPr>
        <w:tc>
          <w:tcPr>
            <w:tcW w:w="850" w:type="dxa"/>
            <w:vMerge/>
            <w:hideMark/>
          </w:tcPr>
          <w:p w14:paraId="6C4ECAE5" w14:textId="77777777" w:rsidR="00E00595" w:rsidRPr="00933DC0" w:rsidRDefault="00E00595" w:rsidP="00047D78">
            <w:pPr>
              <w:spacing w:before="0" w:after="0" w:line="0" w:lineRule="auto"/>
              <w:ind w:left="0" w:right="0"/>
              <w:rPr>
                <w:rFonts w:asciiTheme="minorHAnsi" w:eastAsiaTheme="minorHAnsi" w:hAnsiTheme="minorHAnsi" w:cs="Calibri"/>
                <w:color w:val="000000"/>
                <w:spacing w:val="-2"/>
                <w:sz w:val="20"/>
                <w:szCs w:val="20"/>
              </w:rPr>
            </w:pPr>
          </w:p>
        </w:tc>
        <w:tc>
          <w:tcPr>
            <w:tcW w:w="3398" w:type="dxa"/>
            <w:vAlign w:val="center"/>
            <w:hideMark/>
          </w:tcPr>
          <w:p w14:paraId="25CA938D"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color w:val="000000"/>
                <w:spacing w:val="1"/>
                <w:sz w:val="20"/>
                <w:szCs w:val="20"/>
              </w:rPr>
            </w:pPr>
            <w:r w:rsidRPr="00933DC0">
              <w:rPr>
                <w:rFonts w:asciiTheme="minorHAnsi" w:eastAsiaTheme="minorHAnsi" w:hAnsiTheme="minorHAnsi" w:cs="Calibri"/>
                <w:color w:val="000000"/>
                <w:spacing w:val="1"/>
                <w:sz w:val="20"/>
                <w:szCs w:val="20"/>
              </w:rPr>
              <w:t>95</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 xml:space="preserve"> </w:t>
            </w:r>
            <w:r w:rsidRPr="00933DC0">
              <w:rPr>
                <w:rFonts w:asciiTheme="minorHAnsi" w:eastAsiaTheme="minorHAnsi" w:hAnsiTheme="minorHAnsi" w:cs="Calibri"/>
                <w:color w:val="000000"/>
                <w:sz w:val="20"/>
                <w:szCs w:val="20"/>
              </w:rPr>
              <w:t>CI</w:t>
            </w:r>
          </w:p>
        </w:tc>
        <w:tc>
          <w:tcPr>
            <w:tcW w:w="1800" w:type="dxa"/>
            <w:vAlign w:val="center"/>
            <w:hideMark/>
          </w:tcPr>
          <w:p w14:paraId="678B5279"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color w:val="000000"/>
                <w:spacing w:val="1"/>
                <w:sz w:val="20"/>
                <w:szCs w:val="20"/>
              </w:rPr>
              <w:t>1</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1</w:t>
            </w:r>
            <w:r w:rsidRPr="00933DC0">
              <w:rPr>
                <w:rFonts w:asciiTheme="minorHAnsi" w:eastAsiaTheme="minorHAnsi" w:hAnsiTheme="minorHAnsi" w:cs="Calibri"/>
                <w:color w:val="000000"/>
                <w:spacing w:val="1"/>
                <w:sz w:val="20"/>
                <w:szCs w:val="20"/>
              </w:rPr>
              <w:t>3</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 xml:space="preserve"> </w:t>
            </w:r>
            <w:r w:rsidRPr="00933DC0">
              <w:rPr>
                <w:rFonts w:asciiTheme="minorHAnsi" w:eastAsiaTheme="minorHAnsi" w:hAnsiTheme="minorHAnsi" w:cs="Calibri"/>
                <w:color w:val="000000"/>
                <w:spacing w:val="1"/>
                <w:sz w:val="20"/>
                <w:szCs w:val="20"/>
              </w:rPr>
              <w:t>4</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6</w:t>
            </w:r>
            <w:r w:rsidRPr="00933DC0">
              <w:rPr>
                <w:rFonts w:asciiTheme="minorHAnsi" w:eastAsiaTheme="minorHAnsi" w:hAnsiTheme="minorHAnsi" w:cs="Calibri"/>
                <w:color w:val="000000"/>
                <w:sz w:val="20"/>
                <w:szCs w:val="20"/>
              </w:rPr>
              <w:t>5</w:t>
            </w:r>
          </w:p>
        </w:tc>
        <w:tc>
          <w:tcPr>
            <w:tcW w:w="1530" w:type="dxa"/>
            <w:vAlign w:val="center"/>
            <w:hideMark/>
          </w:tcPr>
          <w:p w14:paraId="66E7EC62"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1</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3</w:t>
            </w:r>
            <w:r w:rsidRPr="00933DC0">
              <w:rPr>
                <w:rFonts w:asciiTheme="minorHAnsi" w:eastAsiaTheme="minorHAnsi" w:hAnsiTheme="minorHAnsi" w:cs="Calibri"/>
                <w:color w:val="000000"/>
                <w:spacing w:val="1"/>
                <w:sz w:val="20"/>
                <w:szCs w:val="20"/>
              </w:rPr>
              <w:t>9</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 xml:space="preserve"> </w:t>
            </w:r>
            <w:r w:rsidRPr="00933DC0">
              <w:rPr>
                <w:rFonts w:asciiTheme="minorHAnsi" w:eastAsiaTheme="minorHAnsi" w:hAnsiTheme="minorHAnsi" w:cs="Calibri"/>
                <w:color w:val="000000"/>
                <w:spacing w:val="1"/>
                <w:sz w:val="20"/>
                <w:szCs w:val="20"/>
              </w:rPr>
              <w:t>2</w:t>
            </w:r>
            <w:r w:rsidRPr="00933DC0">
              <w:rPr>
                <w:rFonts w:asciiTheme="minorHAnsi" w:eastAsiaTheme="minorHAnsi" w:hAnsiTheme="minorHAnsi" w:cs="Calibri"/>
                <w:color w:val="000000"/>
                <w:spacing w:val="-2"/>
                <w:sz w:val="20"/>
                <w:szCs w:val="20"/>
              </w:rPr>
              <w:t>.</w:t>
            </w:r>
            <w:r w:rsidRPr="00933DC0">
              <w:rPr>
                <w:rFonts w:asciiTheme="minorHAnsi" w:eastAsiaTheme="minorHAnsi" w:hAnsiTheme="minorHAnsi" w:cs="Calibri"/>
                <w:color w:val="000000"/>
                <w:spacing w:val="1"/>
                <w:sz w:val="20"/>
                <w:szCs w:val="20"/>
              </w:rPr>
              <w:t>3</w:t>
            </w:r>
            <w:r w:rsidRPr="00933DC0">
              <w:rPr>
                <w:rFonts w:asciiTheme="minorHAnsi" w:eastAsiaTheme="minorHAnsi" w:hAnsiTheme="minorHAnsi" w:cs="Calibri"/>
                <w:color w:val="000000"/>
                <w:sz w:val="20"/>
                <w:szCs w:val="20"/>
              </w:rPr>
              <w:t>1</w:t>
            </w:r>
          </w:p>
        </w:tc>
        <w:tc>
          <w:tcPr>
            <w:tcW w:w="1350" w:type="dxa"/>
            <w:vAlign w:val="center"/>
            <w:hideMark/>
          </w:tcPr>
          <w:p w14:paraId="6A64522D"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color w:val="000000"/>
                <w:spacing w:val="1"/>
                <w:sz w:val="20"/>
                <w:szCs w:val="20"/>
              </w:rPr>
            </w:pP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0</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1</w:t>
            </w:r>
            <w:r w:rsidRPr="00933DC0">
              <w:rPr>
                <w:rFonts w:asciiTheme="minorHAnsi" w:eastAsiaTheme="minorHAnsi" w:hAnsiTheme="minorHAnsi" w:cs="Calibri"/>
                <w:color w:val="000000"/>
                <w:spacing w:val="1"/>
                <w:sz w:val="20"/>
                <w:szCs w:val="20"/>
              </w:rPr>
              <w:t>3</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 xml:space="preserve"> 4.99</w:t>
            </w:r>
          </w:p>
        </w:tc>
      </w:tr>
      <w:tr w:rsidR="00E00595" w14:paraId="1DC6FD7F" w14:textId="77777777" w:rsidTr="00343C4C">
        <w:trPr>
          <w:trHeight w:val="432"/>
        </w:trPr>
        <w:tc>
          <w:tcPr>
            <w:tcW w:w="850" w:type="dxa"/>
            <w:vMerge/>
            <w:hideMark/>
          </w:tcPr>
          <w:p w14:paraId="24E4D103" w14:textId="77777777" w:rsidR="00E00595" w:rsidRPr="00933DC0" w:rsidRDefault="00E00595" w:rsidP="00047D78">
            <w:pPr>
              <w:spacing w:before="0" w:after="0" w:line="0" w:lineRule="auto"/>
              <w:ind w:left="0" w:right="0"/>
              <w:rPr>
                <w:rFonts w:asciiTheme="minorHAnsi" w:eastAsiaTheme="minorHAnsi" w:hAnsiTheme="minorHAnsi" w:cs="Calibri"/>
                <w:color w:val="000000"/>
                <w:spacing w:val="-2"/>
                <w:sz w:val="20"/>
                <w:szCs w:val="20"/>
              </w:rPr>
            </w:pPr>
          </w:p>
        </w:tc>
        <w:tc>
          <w:tcPr>
            <w:tcW w:w="3398" w:type="dxa"/>
            <w:vAlign w:val="center"/>
            <w:hideMark/>
          </w:tcPr>
          <w:p w14:paraId="79332146"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color w:val="000000"/>
                <w:spacing w:val="1"/>
                <w:sz w:val="20"/>
                <w:szCs w:val="20"/>
              </w:rPr>
            </w:pPr>
            <w:r w:rsidRPr="00933DC0">
              <w:rPr>
                <w:rFonts w:asciiTheme="minorHAnsi" w:eastAsiaTheme="minorHAnsi" w:hAnsiTheme="minorHAnsi" w:cs="Calibri"/>
                <w:color w:val="000000"/>
                <w:spacing w:val="-1"/>
                <w:sz w:val="20"/>
                <w:szCs w:val="20"/>
              </w:rPr>
              <w:t xml:space="preserve">p-value for non-inferiority </w:t>
            </w:r>
            <w:r w:rsidRPr="00933DC0">
              <w:rPr>
                <w:rFonts w:asciiTheme="minorHAnsi" w:eastAsiaTheme="minorHAnsi" w:hAnsiTheme="minorHAnsi" w:cs="Calibri"/>
                <w:color w:val="000000"/>
                <w:spacing w:val="-1"/>
                <w:sz w:val="20"/>
                <w:szCs w:val="20"/>
                <w:vertAlign w:val="superscript"/>
              </w:rPr>
              <w:t>b</w:t>
            </w:r>
          </w:p>
        </w:tc>
        <w:tc>
          <w:tcPr>
            <w:tcW w:w="1800" w:type="dxa"/>
            <w:vAlign w:val="center"/>
          </w:tcPr>
          <w:p w14:paraId="39907BAF"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p>
        </w:tc>
        <w:tc>
          <w:tcPr>
            <w:tcW w:w="1530" w:type="dxa"/>
            <w:vAlign w:val="center"/>
          </w:tcPr>
          <w:p w14:paraId="76E5A8C9"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p>
        </w:tc>
        <w:tc>
          <w:tcPr>
            <w:tcW w:w="1350" w:type="dxa"/>
            <w:vAlign w:val="center"/>
            <w:hideMark/>
          </w:tcPr>
          <w:p w14:paraId="63891A68"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color w:val="000000"/>
                <w:spacing w:val="1"/>
                <w:sz w:val="20"/>
                <w:szCs w:val="20"/>
              </w:rPr>
            </w:pPr>
            <w:r w:rsidRPr="00933DC0">
              <w:rPr>
                <w:rFonts w:asciiTheme="minorHAnsi" w:eastAsiaTheme="minorHAnsi" w:hAnsiTheme="minorHAnsi" w:cs="Calibri"/>
                <w:color w:val="000000"/>
                <w:spacing w:val="1"/>
                <w:position w:val="6"/>
                <w:sz w:val="20"/>
                <w:szCs w:val="20"/>
              </w:rPr>
              <w:t>0</w:t>
            </w:r>
            <w:r w:rsidRPr="00933DC0">
              <w:rPr>
                <w:rFonts w:asciiTheme="minorHAnsi" w:eastAsiaTheme="minorHAnsi" w:hAnsiTheme="minorHAnsi" w:cs="Calibri"/>
                <w:color w:val="000000"/>
                <w:position w:val="6"/>
                <w:sz w:val="20"/>
                <w:szCs w:val="20"/>
              </w:rPr>
              <w:t>.</w:t>
            </w:r>
            <w:r w:rsidRPr="00933DC0">
              <w:rPr>
                <w:rFonts w:asciiTheme="minorHAnsi" w:eastAsiaTheme="minorHAnsi" w:hAnsiTheme="minorHAnsi" w:cs="Calibri"/>
                <w:color w:val="000000"/>
                <w:spacing w:val="-1"/>
                <w:position w:val="6"/>
                <w:sz w:val="20"/>
                <w:szCs w:val="20"/>
              </w:rPr>
              <w:t>0</w:t>
            </w:r>
            <w:r w:rsidRPr="00933DC0">
              <w:rPr>
                <w:rFonts w:asciiTheme="minorHAnsi" w:eastAsiaTheme="minorHAnsi" w:hAnsiTheme="minorHAnsi" w:cs="Calibri"/>
                <w:color w:val="000000"/>
                <w:spacing w:val="1"/>
                <w:position w:val="6"/>
                <w:sz w:val="20"/>
                <w:szCs w:val="20"/>
              </w:rPr>
              <w:t>0</w:t>
            </w:r>
            <w:r w:rsidRPr="00933DC0">
              <w:rPr>
                <w:rFonts w:asciiTheme="minorHAnsi" w:eastAsiaTheme="minorHAnsi" w:hAnsiTheme="minorHAnsi" w:cs="Calibri"/>
                <w:color w:val="000000"/>
                <w:spacing w:val="-1"/>
                <w:position w:val="6"/>
                <w:sz w:val="20"/>
                <w:szCs w:val="20"/>
              </w:rPr>
              <w:t>7</w:t>
            </w:r>
            <w:r w:rsidRPr="00933DC0">
              <w:rPr>
                <w:rFonts w:asciiTheme="minorHAnsi" w:eastAsiaTheme="minorHAnsi" w:hAnsiTheme="minorHAnsi" w:cs="Calibri"/>
                <w:color w:val="000000"/>
                <w:position w:val="6"/>
                <w:sz w:val="20"/>
                <w:szCs w:val="20"/>
              </w:rPr>
              <w:t>4</w:t>
            </w:r>
          </w:p>
        </w:tc>
      </w:tr>
      <w:tr w:rsidR="00E00595" w14:paraId="749ED8CE" w14:textId="77777777" w:rsidTr="00343C4C">
        <w:trPr>
          <w:trHeight w:val="432"/>
        </w:trPr>
        <w:tc>
          <w:tcPr>
            <w:tcW w:w="850" w:type="dxa"/>
            <w:vMerge/>
            <w:hideMark/>
          </w:tcPr>
          <w:p w14:paraId="75F7B252" w14:textId="77777777" w:rsidR="00E00595" w:rsidRPr="00933DC0" w:rsidRDefault="00E00595" w:rsidP="00047D78">
            <w:pPr>
              <w:spacing w:before="0" w:after="0" w:line="0" w:lineRule="auto"/>
              <w:ind w:left="0" w:right="0"/>
              <w:rPr>
                <w:rFonts w:asciiTheme="minorHAnsi" w:eastAsiaTheme="minorHAnsi" w:hAnsiTheme="minorHAnsi" w:cs="Calibri"/>
                <w:color w:val="000000"/>
                <w:spacing w:val="-2"/>
                <w:sz w:val="20"/>
                <w:szCs w:val="20"/>
              </w:rPr>
            </w:pPr>
          </w:p>
        </w:tc>
        <w:tc>
          <w:tcPr>
            <w:tcW w:w="3398" w:type="dxa"/>
            <w:vAlign w:val="center"/>
            <w:hideMark/>
          </w:tcPr>
          <w:p w14:paraId="3A80F50B"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color w:val="000000"/>
                <w:spacing w:val="1"/>
                <w:sz w:val="20"/>
                <w:szCs w:val="20"/>
              </w:rPr>
            </w:pPr>
            <w:r w:rsidRPr="00933DC0">
              <w:rPr>
                <w:rFonts w:asciiTheme="minorHAnsi" w:eastAsiaTheme="minorHAnsi" w:hAnsiTheme="minorHAnsi" w:cs="Calibri"/>
                <w:color w:val="000000"/>
                <w:spacing w:val="1"/>
                <w:sz w:val="20"/>
                <w:szCs w:val="20"/>
              </w:rPr>
              <w:t>p</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va</w:t>
            </w:r>
            <w:r w:rsidRPr="00933DC0">
              <w:rPr>
                <w:rFonts w:asciiTheme="minorHAnsi" w:eastAsiaTheme="minorHAnsi" w:hAnsiTheme="minorHAnsi" w:cs="Calibri"/>
                <w:color w:val="000000"/>
                <w:sz w:val="20"/>
                <w:szCs w:val="20"/>
              </w:rPr>
              <w:t>l</w:t>
            </w:r>
            <w:r w:rsidRPr="00933DC0">
              <w:rPr>
                <w:rFonts w:asciiTheme="minorHAnsi" w:eastAsiaTheme="minorHAnsi" w:hAnsiTheme="minorHAnsi" w:cs="Calibri"/>
                <w:color w:val="000000"/>
                <w:spacing w:val="1"/>
                <w:sz w:val="20"/>
                <w:szCs w:val="20"/>
              </w:rPr>
              <w:t>u</w:t>
            </w:r>
            <w:r w:rsidRPr="00933DC0">
              <w:rPr>
                <w:rFonts w:asciiTheme="minorHAnsi" w:eastAsiaTheme="minorHAnsi" w:hAnsiTheme="minorHAnsi" w:cs="Calibri"/>
                <w:color w:val="000000"/>
                <w:sz w:val="20"/>
                <w:szCs w:val="20"/>
              </w:rPr>
              <w:t>e</w:t>
            </w:r>
            <w:r w:rsidRPr="00933DC0">
              <w:rPr>
                <w:rFonts w:asciiTheme="minorHAnsi" w:eastAsiaTheme="minorHAnsi" w:hAnsiTheme="minorHAnsi" w:cs="Calibri"/>
                <w:color w:val="000000"/>
                <w:spacing w:val="-3"/>
                <w:sz w:val="20"/>
                <w:szCs w:val="20"/>
              </w:rPr>
              <w:t xml:space="preserve"> </w:t>
            </w:r>
            <w:r w:rsidRPr="00933DC0">
              <w:rPr>
                <w:rFonts w:asciiTheme="minorHAnsi" w:eastAsiaTheme="minorHAnsi" w:hAnsiTheme="minorHAnsi" w:cs="Calibri"/>
                <w:color w:val="000000"/>
                <w:spacing w:val="-2"/>
                <w:sz w:val="20"/>
                <w:szCs w:val="20"/>
              </w:rPr>
              <w:t>f</w:t>
            </w:r>
            <w:r w:rsidRPr="00933DC0">
              <w:rPr>
                <w:rFonts w:asciiTheme="minorHAnsi" w:eastAsiaTheme="minorHAnsi" w:hAnsiTheme="minorHAnsi" w:cs="Calibri"/>
                <w:color w:val="000000"/>
                <w:spacing w:val="1"/>
                <w:sz w:val="20"/>
                <w:szCs w:val="20"/>
              </w:rPr>
              <w:t>o</w:t>
            </w:r>
            <w:r w:rsidRPr="00933DC0">
              <w:rPr>
                <w:rFonts w:asciiTheme="minorHAnsi" w:eastAsiaTheme="minorHAnsi" w:hAnsiTheme="minorHAnsi" w:cs="Calibri"/>
                <w:color w:val="000000"/>
                <w:sz w:val="20"/>
                <w:szCs w:val="20"/>
              </w:rPr>
              <w:t>r</w:t>
            </w:r>
            <w:r w:rsidRPr="00933DC0">
              <w:rPr>
                <w:rFonts w:asciiTheme="minorHAnsi" w:eastAsiaTheme="minorHAnsi" w:hAnsiTheme="minorHAnsi" w:cs="Calibri"/>
                <w:color w:val="000000"/>
                <w:spacing w:val="1"/>
                <w:sz w:val="20"/>
                <w:szCs w:val="20"/>
              </w:rPr>
              <w:t xml:space="preserve"> </w:t>
            </w:r>
            <w:r w:rsidRPr="00933DC0">
              <w:rPr>
                <w:rFonts w:asciiTheme="minorHAnsi" w:eastAsiaTheme="minorHAnsi" w:hAnsiTheme="minorHAnsi" w:cs="Calibri"/>
                <w:color w:val="000000"/>
                <w:sz w:val="20"/>
                <w:szCs w:val="20"/>
              </w:rPr>
              <w:t>s</w:t>
            </w:r>
            <w:r w:rsidRPr="00933DC0">
              <w:rPr>
                <w:rFonts w:asciiTheme="minorHAnsi" w:eastAsiaTheme="minorHAnsi" w:hAnsiTheme="minorHAnsi" w:cs="Calibri"/>
                <w:color w:val="000000"/>
                <w:spacing w:val="1"/>
                <w:sz w:val="20"/>
                <w:szCs w:val="20"/>
              </w:rPr>
              <w:t>up</w:t>
            </w:r>
            <w:r w:rsidRPr="00933DC0">
              <w:rPr>
                <w:rFonts w:asciiTheme="minorHAnsi" w:eastAsiaTheme="minorHAnsi" w:hAnsiTheme="minorHAnsi" w:cs="Calibri"/>
                <w:color w:val="000000"/>
                <w:spacing w:val="-1"/>
                <w:sz w:val="20"/>
                <w:szCs w:val="20"/>
              </w:rPr>
              <w:t>e</w:t>
            </w:r>
            <w:r w:rsidRPr="00933DC0">
              <w:rPr>
                <w:rFonts w:asciiTheme="minorHAnsi" w:eastAsiaTheme="minorHAnsi" w:hAnsiTheme="minorHAnsi" w:cs="Calibri"/>
                <w:color w:val="000000"/>
                <w:sz w:val="20"/>
                <w:szCs w:val="20"/>
              </w:rPr>
              <w:t>ri</w:t>
            </w:r>
            <w:r w:rsidRPr="00933DC0">
              <w:rPr>
                <w:rFonts w:asciiTheme="minorHAnsi" w:eastAsiaTheme="minorHAnsi" w:hAnsiTheme="minorHAnsi" w:cs="Calibri"/>
                <w:color w:val="000000"/>
                <w:spacing w:val="1"/>
                <w:sz w:val="20"/>
                <w:szCs w:val="20"/>
              </w:rPr>
              <w:t>o</w:t>
            </w:r>
            <w:r w:rsidRPr="00933DC0">
              <w:rPr>
                <w:rFonts w:asciiTheme="minorHAnsi" w:eastAsiaTheme="minorHAnsi" w:hAnsiTheme="minorHAnsi" w:cs="Calibri"/>
                <w:color w:val="000000"/>
                <w:sz w:val="20"/>
                <w:szCs w:val="20"/>
              </w:rPr>
              <w:t>r</w:t>
            </w:r>
            <w:r w:rsidRPr="00933DC0">
              <w:rPr>
                <w:rFonts w:asciiTheme="minorHAnsi" w:eastAsiaTheme="minorHAnsi" w:hAnsiTheme="minorHAnsi" w:cs="Calibri"/>
                <w:color w:val="000000"/>
                <w:spacing w:val="-2"/>
                <w:sz w:val="20"/>
                <w:szCs w:val="20"/>
              </w:rPr>
              <w:t>i</w:t>
            </w:r>
            <w:r w:rsidRPr="00933DC0">
              <w:rPr>
                <w:rFonts w:asciiTheme="minorHAnsi" w:eastAsiaTheme="minorHAnsi" w:hAnsiTheme="minorHAnsi" w:cs="Calibri"/>
                <w:color w:val="000000"/>
                <w:sz w:val="20"/>
                <w:szCs w:val="20"/>
              </w:rPr>
              <w:t>ty</w:t>
            </w:r>
          </w:p>
        </w:tc>
        <w:tc>
          <w:tcPr>
            <w:tcW w:w="1800" w:type="dxa"/>
            <w:vAlign w:val="center"/>
          </w:tcPr>
          <w:p w14:paraId="00456737"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p>
        </w:tc>
        <w:tc>
          <w:tcPr>
            <w:tcW w:w="1530" w:type="dxa"/>
            <w:vAlign w:val="center"/>
          </w:tcPr>
          <w:p w14:paraId="01954FA6"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spacing w:val="1"/>
                <w:sz w:val="20"/>
                <w:szCs w:val="20"/>
              </w:rPr>
            </w:pPr>
          </w:p>
        </w:tc>
        <w:tc>
          <w:tcPr>
            <w:tcW w:w="1350" w:type="dxa"/>
            <w:vAlign w:val="center"/>
            <w:hideMark/>
          </w:tcPr>
          <w:p w14:paraId="581D3C4A" w14:textId="77777777" w:rsidR="00E00595" w:rsidRPr="00933DC0" w:rsidRDefault="00E00595" w:rsidP="00343C4C">
            <w:pPr>
              <w:autoSpaceDE w:val="0"/>
              <w:autoSpaceDN w:val="0"/>
              <w:adjustRightInd w:val="0"/>
              <w:spacing w:before="0" w:after="0" w:line="240" w:lineRule="auto"/>
              <w:ind w:left="0" w:right="0"/>
              <w:rPr>
                <w:rFonts w:asciiTheme="minorHAnsi" w:eastAsiaTheme="minorHAnsi" w:hAnsiTheme="minorHAnsi" w:cs="Calibri"/>
                <w:color w:val="000000"/>
                <w:spacing w:val="1"/>
                <w:sz w:val="20"/>
                <w:szCs w:val="20"/>
              </w:rPr>
            </w:pPr>
            <w:r w:rsidRPr="00933DC0">
              <w:rPr>
                <w:rFonts w:asciiTheme="minorHAnsi" w:eastAsiaTheme="minorHAnsi" w:hAnsiTheme="minorHAnsi" w:cs="Calibri"/>
                <w:color w:val="000000"/>
                <w:spacing w:val="1"/>
                <w:sz w:val="20"/>
                <w:szCs w:val="20"/>
              </w:rPr>
              <w:t>0</w:t>
            </w:r>
            <w:r w:rsidRPr="00933DC0">
              <w:rPr>
                <w:rFonts w:asciiTheme="minorHAnsi" w:eastAsiaTheme="minorHAnsi" w:hAnsiTheme="minorHAnsi" w:cs="Calibri"/>
                <w:color w:val="000000"/>
                <w:sz w:val="20"/>
                <w:szCs w:val="20"/>
              </w:rPr>
              <w:t>.</w:t>
            </w:r>
            <w:r w:rsidRPr="00933DC0">
              <w:rPr>
                <w:rFonts w:asciiTheme="minorHAnsi" w:eastAsiaTheme="minorHAnsi" w:hAnsiTheme="minorHAnsi" w:cs="Calibri"/>
                <w:color w:val="000000"/>
                <w:spacing w:val="-1"/>
                <w:sz w:val="20"/>
                <w:szCs w:val="20"/>
              </w:rPr>
              <w:t>0</w:t>
            </w:r>
            <w:r w:rsidRPr="00933DC0">
              <w:rPr>
                <w:rFonts w:asciiTheme="minorHAnsi" w:eastAsiaTheme="minorHAnsi" w:hAnsiTheme="minorHAnsi" w:cs="Calibri"/>
                <w:color w:val="000000"/>
                <w:spacing w:val="1"/>
                <w:sz w:val="20"/>
                <w:szCs w:val="20"/>
              </w:rPr>
              <w:t>6</w:t>
            </w:r>
            <w:r w:rsidRPr="00933DC0">
              <w:rPr>
                <w:rFonts w:asciiTheme="minorHAnsi" w:eastAsiaTheme="minorHAnsi" w:hAnsiTheme="minorHAnsi" w:cs="Calibri"/>
                <w:color w:val="000000"/>
                <w:spacing w:val="-1"/>
                <w:sz w:val="20"/>
                <w:szCs w:val="20"/>
              </w:rPr>
              <w:t>2</w:t>
            </w:r>
            <w:r w:rsidRPr="00933DC0">
              <w:rPr>
                <w:rFonts w:asciiTheme="minorHAnsi" w:eastAsiaTheme="minorHAnsi" w:hAnsiTheme="minorHAnsi" w:cs="Calibri"/>
                <w:color w:val="000000"/>
                <w:sz w:val="20"/>
                <w:szCs w:val="20"/>
              </w:rPr>
              <w:t>6</w:t>
            </w:r>
          </w:p>
        </w:tc>
      </w:tr>
    </w:tbl>
    <w:p w14:paraId="49E10020" w14:textId="60E2945A" w:rsidR="00047D78" w:rsidRDefault="00047D78" w:rsidP="00047D78">
      <w:pPr>
        <w:pStyle w:val="TableDescription"/>
      </w:pPr>
      <w:r>
        <w:t xml:space="preserve">Abbreviations: </w:t>
      </w:r>
      <w:r w:rsidR="00933DC0">
        <w:t xml:space="preserve">CI = confidence intervals; FVC = forced vital capacity; </w:t>
      </w:r>
      <w:r>
        <w:t xml:space="preserve">SE = standard </w:t>
      </w:r>
      <w:proofErr w:type="gramStart"/>
      <w:r>
        <w:t>error;</w:t>
      </w:r>
      <w:proofErr w:type="gramEnd"/>
    </w:p>
    <w:p w14:paraId="0CF047E8" w14:textId="3075C511" w:rsidR="00E00595" w:rsidRDefault="00047D78" w:rsidP="00047D78">
      <w:pPr>
        <w:pStyle w:val="TableDescription"/>
      </w:pPr>
      <w:r>
        <w:t>a) B</w:t>
      </w:r>
      <w:r w:rsidR="00E00595">
        <w:t xml:space="preserve">ased on </w:t>
      </w:r>
      <w:r w:rsidR="00933DC0">
        <w:t>mixed model repeats model (</w:t>
      </w:r>
      <w:r w:rsidR="00E00595">
        <w:t>MMRM</w:t>
      </w:r>
      <w:r w:rsidR="00933DC0">
        <w:t>)</w:t>
      </w:r>
      <w:r w:rsidR="00E00595">
        <w:t xml:space="preserve"> model, the model includes baseline FVC (% predicted, as continuous), sex, age (in years at baseline), treatment group, visit, interaction term between treatment group and visit as fixed effects.</w:t>
      </w:r>
    </w:p>
    <w:p w14:paraId="0DB497AF" w14:textId="36358215" w:rsidR="00E00595" w:rsidRDefault="00E00595" w:rsidP="00047D78">
      <w:pPr>
        <w:pStyle w:val="TableDescription"/>
      </w:pPr>
      <w:r>
        <w:t>b</w:t>
      </w:r>
      <w:r w:rsidR="00047D78">
        <w:t>)</w:t>
      </w:r>
      <w:r>
        <w:t xml:space="preserve"> </w:t>
      </w:r>
      <w:r w:rsidR="00047D78">
        <w:t>Non-inferiority margin is -1.1%</w:t>
      </w:r>
    </w:p>
    <w:p w14:paraId="642BDFBA" w14:textId="78A80395" w:rsidR="00E00595" w:rsidRDefault="00E00595" w:rsidP="00E00595">
      <w:r>
        <w:t>Secondary effi</w:t>
      </w:r>
      <w:r w:rsidR="00933DC0">
        <w:t>cacy outcomes, except the SF-12 questionnaire;</w:t>
      </w:r>
      <w:r w:rsidR="00933DC0">
        <w:rPr>
          <w:rStyle w:val="FootnoteReference"/>
        </w:rPr>
        <w:footnoteReference w:id="19"/>
      </w:r>
      <w:r>
        <w:t xml:space="preserve"> showed similar improvements or trends to improve</w:t>
      </w:r>
      <w:r w:rsidR="00933DC0">
        <w:t xml:space="preserve">ment with avalglucosidase alfa </w:t>
      </w:r>
      <w:r>
        <w:t>over th</w:t>
      </w:r>
      <w:r w:rsidR="00933DC0">
        <w:t xml:space="preserve">ose with </w:t>
      </w:r>
      <w:r w:rsidR="00933DC0">
        <w:lastRenderedPageBreak/>
        <w:t>alglucosidase alfa at W</w:t>
      </w:r>
      <w:r>
        <w:t>eek 49, supporting the primary efficacy outcome. Patients who switched from alglucosida</w:t>
      </w:r>
      <w:r w:rsidR="00933DC0">
        <w:t>se alfa to avalglucosidase alfa</w:t>
      </w:r>
      <w:r>
        <w:t xml:space="preserve"> in the extended treatmen</w:t>
      </w:r>
      <w:r w:rsidR="00933DC0">
        <w:t xml:space="preserve">t period demonstrated improved </w:t>
      </w:r>
      <w:r>
        <w:t>FVC</w:t>
      </w:r>
      <w:r w:rsidR="00D90BB6" w:rsidRPr="00D90BB6">
        <w:t xml:space="preserve"> </w:t>
      </w:r>
      <w:r w:rsidR="00D90BB6">
        <w:t>percent-predicted</w:t>
      </w:r>
      <w:r>
        <w:t>, which was comparable to that in</w:t>
      </w:r>
      <w:r w:rsidR="00933DC0">
        <w:t xml:space="preserve"> the avalglucosidase alfa arm, by W</w:t>
      </w:r>
      <w:r>
        <w:t>eek 97.</w:t>
      </w:r>
    </w:p>
    <w:p w14:paraId="0232C388" w14:textId="609E6662" w:rsidR="00E00595" w:rsidRDefault="00E00595" w:rsidP="00E00595">
      <w:r>
        <w:t xml:space="preserve">Study ACT14132 was the only study submitted for patients with </w:t>
      </w:r>
      <w:r w:rsidR="00933DC0">
        <w:t>infantile</w:t>
      </w:r>
      <w:r w:rsidR="005073D7">
        <w:t>-</w:t>
      </w:r>
      <w:r>
        <w:t xml:space="preserve">onset </w:t>
      </w:r>
      <w:proofErr w:type="spellStart"/>
      <w:r>
        <w:t>Pompe</w:t>
      </w:r>
      <w:proofErr w:type="spellEnd"/>
      <w:r>
        <w:t xml:space="preserve"> disease, enrolling 22 patients who had demonstrated clinical decline or sub-optimal clinical response to treatment with alglucosidase alfa. There were some notable demographic imbalances in the different cohorts, which could be partially attributed to the small group sizes.  Most notable was that in Cohort 3, one patient </w:t>
      </w:r>
      <w:r w:rsidR="00933DC0">
        <w:t xml:space="preserve">receiving avalglucosidase alfa </w:t>
      </w:r>
      <w:r>
        <w:t xml:space="preserve">was diagnosed at 15.9 months and commenced treatment considerably later than the remaining patients in the </w:t>
      </w:r>
      <w:r w:rsidR="00933DC0">
        <w:t>cohort (who were diagnosed at ≤ 6.5 </w:t>
      </w:r>
      <w:r>
        <w:t xml:space="preserve">months and commenced treatment between 1.94 and 4.63 months later). Although the study was primarily a safety study, some secondary efficacy outcomes are presented here. The data are derived from an interim report with outcomes for all enrolled patients </w:t>
      </w:r>
      <w:r w:rsidR="00933DC0">
        <w:t>after six months of treatment (W</w:t>
      </w:r>
      <w:r>
        <w:t>eek 25).</w:t>
      </w:r>
      <w:r w:rsidRPr="00DF7417">
        <w:t xml:space="preserve"> Following treatment for 25 weeks, all patients could continue </w:t>
      </w:r>
      <w:r w:rsidR="008D3427" w:rsidRPr="00DF7417">
        <w:t>long-term</w:t>
      </w:r>
      <w:r w:rsidRPr="00DF7417">
        <w:t xml:space="preserve"> </w:t>
      </w:r>
      <w:r w:rsidR="00933DC0">
        <w:t>avalglucosidase alfa</w:t>
      </w:r>
      <w:r w:rsidRPr="00DF7417">
        <w:t xml:space="preserve"> treatment with follow-up for up to 7 years in an extended treatment period.</w:t>
      </w:r>
      <w:r>
        <w:t xml:space="preserve"> </w:t>
      </w:r>
      <w:r w:rsidR="00933DC0">
        <w:t xml:space="preserve">A summary of </w:t>
      </w:r>
      <w:r>
        <w:t>the efficacy outcomes as</w:t>
      </w:r>
      <w:r w:rsidR="00933DC0">
        <w:t xml:space="preserve"> evaluated during evaluation are given</w:t>
      </w:r>
      <w:r>
        <w:t xml:space="preserve"> below</w:t>
      </w:r>
      <w:r w:rsidR="00933DC0">
        <w:t>.</w:t>
      </w:r>
    </w:p>
    <w:p w14:paraId="7083ED87" w14:textId="0F7E36CA" w:rsidR="00E00595" w:rsidRPr="00006128" w:rsidRDefault="00E00595" w:rsidP="00933DC0">
      <w:pPr>
        <w:pStyle w:val="ListBullet"/>
      </w:pPr>
      <w:r w:rsidRPr="00006128">
        <w:t>Five patients were receiving ventilation at baseline and few changes were observed in ventilation use during the timeframe</w:t>
      </w:r>
      <w:r w:rsidR="00933DC0">
        <w:t>.</w:t>
      </w:r>
    </w:p>
    <w:p w14:paraId="103C4BEF" w14:textId="05CCF063" w:rsidR="00E00595" w:rsidRPr="00006128" w:rsidRDefault="00E00595" w:rsidP="00933DC0">
      <w:pPr>
        <w:pStyle w:val="ListBullet"/>
      </w:pPr>
      <w:r w:rsidRPr="00006128">
        <w:t>Despite heterogeneity of functional levels at baseline within and across cohorts, a trend of improvement in GMFM-88</w:t>
      </w:r>
      <w:r>
        <w:t xml:space="preserve"> </w:t>
      </w:r>
      <w:r w:rsidR="00933DC0">
        <w:t>total percent s</w:t>
      </w:r>
      <w:r w:rsidRPr="00006128">
        <w:t>core</w:t>
      </w:r>
      <w:r w:rsidR="00933DC0">
        <w:t>;</w:t>
      </w:r>
      <w:r w:rsidR="00933DC0">
        <w:rPr>
          <w:rStyle w:val="FootnoteReference"/>
        </w:rPr>
        <w:footnoteReference w:id="20"/>
      </w:r>
      <w:r w:rsidRPr="00006128">
        <w:t xml:space="preserve"> was observed across all cohorts. All patients showed unchanged score or improved score, except 2 patients in Cohort 1 who demonstrated a worsening in this score.</w:t>
      </w:r>
    </w:p>
    <w:p w14:paraId="7439CBFD" w14:textId="77777777" w:rsidR="00E00595" w:rsidRPr="00006128" w:rsidRDefault="00E00595" w:rsidP="00933DC0">
      <w:pPr>
        <w:pStyle w:val="ListBullet"/>
      </w:pPr>
      <w:r w:rsidRPr="00006128">
        <w:t xml:space="preserve">The greatest degree of change on the GMFM-88 was observed in the </w:t>
      </w:r>
      <w:r>
        <w:t xml:space="preserve">alglucosidase alfa </w:t>
      </w:r>
      <w:r w:rsidRPr="00006128">
        <w:t xml:space="preserve">group. This may be attributed to younger patient age and a smaller proportion of subjects within the group with suboptimal motor response at baseline. </w:t>
      </w:r>
      <w:r>
        <w:t>Three of six</w:t>
      </w:r>
      <w:r w:rsidRPr="00006128">
        <w:t xml:space="preserve"> patients were included in Cohort 3 based on the sole inclusion criterion of new onset of ptosis.</w:t>
      </w:r>
    </w:p>
    <w:p w14:paraId="6853A3A4" w14:textId="38363660" w:rsidR="00E00595" w:rsidRPr="00006128" w:rsidRDefault="00E00595" w:rsidP="00933DC0">
      <w:pPr>
        <w:pStyle w:val="ListBullet"/>
      </w:pPr>
      <w:r w:rsidRPr="00006128">
        <w:t>All cohorts except Cohort 1 showed improvement in QM</w:t>
      </w:r>
      <w:r>
        <w:t>FT</w:t>
      </w:r>
      <w:r w:rsidR="00940A6B">
        <w:t xml:space="preserve"> total score;</w:t>
      </w:r>
      <w:r w:rsidR="00940A6B">
        <w:rPr>
          <w:rStyle w:val="FootnoteReference"/>
        </w:rPr>
        <w:footnoteReference w:id="21"/>
      </w:r>
      <w:r w:rsidRPr="00006128">
        <w:t xml:space="preserve"> whi</w:t>
      </w:r>
      <w:r w:rsidR="00940A6B">
        <w:t xml:space="preserve">le the mean score in Cohort 1 (that is, the </w:t>
      </w:r>
      <w:r w:rsidRPr="00006128">
        <w:t>20 mg/kg group) remained stable. In general, correlation between the GMFM-8</w:t>
      </w:r>
      <w:r w:rsidR="008D3427">
        <w:t>8 and the 16</w:t>
      </w:r>
      <w:r w:rsidR="008D3427">
        <w:noBreakHyphen/>
      </w:r>
      <w:r w:rsidRPr="00006128">
        <w:t>item QMFT, which is more specific to Pompe disease, were nominally significant.</w:t>
      </w:r>
    </w:p>
    <w:p w14:paraId="6BB9B8CC" w14:textId="061F0F99" w:rsidR="00E00595" w:rsidRPr="00006128" w:rsidRDefault="00E00595" w:rsidP="00933DC0">
      <w:pPr>
        <w:pStyle w:val="ListBullet"/>
      </w:pPr>
      <w:r w:rsidRPr="00006128">
        <w:t>Despite high inter-patient variabil</w:t>
      </w:r>
      <w:r w:rsidR="00940A6B">
        <w:t>ity in the 6MWT distance walked;</w:t>
      </w:r>
      <w:r w:rsidR="00940A6B">
        <w:rPr>
          <w:rStyle w:val="FootnoteReference"/>
        </w:rPr>
        <w:footnoteReference w:id="22"/>
      </w:r>
      <w:r w:rsidRPr="00006128">
        <w:t xml:space="preserve"> the plot of means by cohort showed more improvement in the </w:t>
      </w:r>
      <w:r>
        <w:t>patients treated with 40</w:t>
      </w:r>
      <w:r w:rsidR="00940A6B">
        <w:t xml:space="preserve"> </w:t>
      </w:r>
      <w:r>
        <w:t>mg/kg avalglucosidase alfa every other week</w:t>
      </w:r>
      <w:r w:rsidRPr="00006128">
        <w:t>. For the 5 patients with reliable tests (</w:t>
      </w:r>
      <w:r w:rsidR="00940A6B">
        <w:t>that is,</w:t>
      </w:r>
      <w:r w:rsidRPr="00006128">
        <w:t xml:space="preserve"> &gt;</w:t>
      </w:r>
      <w:r w:rsidR="00940A6B">
        <w:t> 5 </w:t>
      </w:r>
      <w:r w:rsidRPr="00006128">
        <w:t xml:space="preserve">years of age) from Cohort 2 and Cohort 3 </w:t>
      </w:r>
      <w:r w:rsidR="00940A6B">
        <w:t xml:space="preserve">avalglucosidase alfa </w:t>
      </w:r>
      <w:r>
        <w:t>arm</w:t>
      </w:r>
      <w:r w:rsidRPr="00006128">
        <w:t>, all improved.</w:t>
      </w:r>
    </w:p>
    <w:p w14:paraId="4EF34B5E" w14:textId="37CAB629" w:rsidR="00E00595" w:rsidRDefault="008D3427" w:rsidP="00933DC0">
      <w:pPr>
        <w:pStyle w:val="ListBullet"/>
      </w:pPr>
      <w:r>
        <w:lastRenderedPageBreak/>
        <w:t>Assessment of Health</w:t>
      </w:r>
      <w:r w:rsidR="0030765B">
        <w:t>-</w:t>
      </w:r>
      <w:r>
        <w:t>related quality of l</w:t>
      </w:r>
      <w:r w:rsidR="00E00595" w:rsidRPr="00006128">
        <w:t>ife through PedsQL</w:t>
      </w:r>
      <w:r w:rsidR="00E00595">
        <w:rPr>
          <w:rStyle w:val="FootnoteReference"/>
          <w:kern w:val="2"/>
          <w:szCs w:val="20"/>
        </w:rPr>
        <w:footnoteReference w:id="23"/>
      </w:r>
      <w:r w:rsidR="00E00595">
        <w:t xml:space="preserve">, </w:t>
      </w:r>
      <w:r w:rsidR="00E00595" w:rsidRPr="00006128">
        <w:t xml:space="preserve">and </w:t>
      </w:r>
      <w:r w:rsidR="00E00595">
        <w:t>p</w:t>
      </w:r>
      <w:r w:rsidR="00E00595" w:rsidRPr="00006128">
        <w:t xml:space="preserve">ain through PedsQL and </w:t>
      </w:r>
      <w:r w:rsidR="00E00595">
        <w:t xml:space="preserve">a </w:t>
      </w:r>
      <w:r w:rsidR="00E00595" w:rsidRPr="00006128">
        <w:t xml:space="preserve">Pain </w:t>
      </w:r>
      <w:r w:rsidR="00E00595">
        <w:t xml:space="preserve">visual analogue score (VAS) </w:t>
      </w:r>
      <w:r w:rsidR="00E00595" w:rsidRPr="00006128">
        <w:t xml:space="preserve">reflected </w:t>
      </w:r>
      <w:r w:rsidR="00E00595">
        <w:t xml:space="preserve">the </w:t>
      </w:r>
      <w:r w:rsidR="00E00595" w:rsidRPr="00006128">
        <w:t>impact of the underlying chronic disease, with trends of stable or improved assessments up to last available time points in most patients, although inter-individual high variability.</w:t>
      </w:r>
    </w:p>
    <w:p w14:paraId="669F264B" w14:textId="76BB26B2" w:rsidR="00E00595" w:rsidRPr="00940A6B" w:rsidRDefault="00E00595" w:rsidP="00940A6B">
      <w:r w:rsidRPr="00940A6B">
        <w:t>Based on the limited exploratory data and the mechanism of action, it is possible that further stu</w:t>
      </w:r>
      <w:r w:rsidR="00940A6B" w:rsidRPr="00940A6B">
        <w:t xml:space="preserve">dies with </w:t>
      </w:r>
      <w:proofErr w:type="spellStart"/>
      <w:r w:rsidR="00940A6B" w:rsidRPr="00940A6B">
        <w:t>avalglucosidase</w:t>
      </w:r>
      <w:proofErr w:type="spellEnd"/>
      <w:r w:rsidR="00940A6B" w:rsidRPr="00940A6B">
        <w:t xml:space="preserve"> alfa </w:t>
      </w:r>
      <w:r w:rsidRPr="00940A6B">
        <w:t xml:space="preserve">in </w:t>
      </w:r>
      <w:r w:rsidR="00940A6B" w:rsidRPr="00940A6B">
        <w:t>infantile</w:t>
      </w:r>
      <w:r w:rsidR="00E16B28">
        <w:t>-</w:t>
      </w:r>
      <w:r w:rsidRPr="00940A6B">
        <w:t xml:space="preserve">onset </w:t>
      </w:r>
      <w:proofErr w:type="spellStart"/>
      <w:r w:rsidRPr="00940A6B">
        <w:t>Pompe</w:t>
      </w:r>
      <w:proofErr w:type="spellEnd"/>
      <w:r w:rsidRPr="00940A6B">
        <w:t xml:space="preserve"> disease may confirm comparable efficacy outcomes to those reported for alglucosidase alfa.</w:t>
      </w:r>
    </w:p>
    <w:p w14:paraId="028D0096" w14:textId="77777777" w:rsidR="00E00595" w:rsidRDefault="00E00595" w:rsidP="00E00595">
      <w:pPr>
        <w:pStyle w:val="Heading4"/>
      </w:pPr>
      <w:r w:rsidRPr="00AA53F4">
        <w:t>Safety</w:t>
      </w:r>
    </w:p>
    <w:p w14:paraId="765C3F33" w14:textId="1AED0848" w:rsidR="00E00595" w:rsidRPr="00940A6B" w:rsidRDefault="00E00595" w:rsidP="00940A6B">
      <w:r w:rsidRPr="00940A6B">
        <w:t>Safety inform</w:t>
      </w:r>
      <w:r w:rsidR="00940A6B" w:rsidRPr="00940A6B">
        <w:t xml:space="preserve">ation for avalglucosidase alfa </w:t>
      </w:r>
      <w:r w:rsidRPr="00940A6B">
        <w:t>w</w:t>
      </w:r>
      <w:r w:rsidR="00940A6B" w:rsidRPr="00940A6B">
        <w:t xml:space="preserve">as collected and reported from Studies EFC14028 and </w:t>
      </w:r>
      <w:r w:rsidRPr="00940A6B">
        <w:t>TDR12857/LTS13769</w:t>
      </w:r>
      <w:r w:rsidR="00940A6B" w:rsidRPr="00940A6B">
        <w:t>, and S</w:t>
      </w:r>
      <w:r w:rsidRPr="00940A6B">
        <w:t>tudy ACT14132 separat</w:t>
      </w:r>
      <w:r w:rsidR="00A54FA3">
        <w:t>ely. Furthermore, a</w:t>
      </w:r>
      <w:r w:rsidRPr="00940A6B">
        <w:t xml:space="preserve"> combined summary of clinical safety for five patient populations</w:t>
      </w:r>
      <w:r w:rsidR="00A54FA3">
        <w:t xml:space="preserve"> as follows</w:t>
      </w:r>
      <w:r w:rsidRPr="00940A6B">
        <w:t>:</w:t>
      </w:r>
    </w:p>
    <w:p w14:paraId="4BF17706" w14:textId="2374793C" w:rsidR="00E00595" w:rsidRDefault="00A54FA3" w:rsidP="00940A6B">
      <w:pPr>
        <w:pStyle w:val="ListBullet"/>
      </w:pPr>
      <w:r>
        <w:t>a</w:t>
      </w:r>
      <w:r w:rsidR="00E00595">
        <w:t xml:space="preserve">ll </w:t>
      </w:r>
      <w:proofErr w:type="gramStart"/>
      <w:r w:rsidR="00E00595">
        <w:t>patients</w:t>
      </w:r>
      <w:r>
        <w:t>;</w:t>
      </w:r>
      <w:proofErr w:type="gramEnd"/>
    </w:p>
    <w:p w14:paraId="096FF687" w14:textId="194C88D2" w:rsidR="00E00595" w:rsidRDefault="00A54FA3" w:rsidP="00940A6B">
      <w:pPr>
        <w:pStyle w:val="ListBullet"/>
      </w:pPr>
      <w:r>
        <w:t>alglucosidase alfa</w:t>
      </w:r>
      <w:r>
        <w:noBreakHyphen/>
      </w:r>
      <w:r w:rsidR="00E00595">
        <w:t xml:space="preserve">naïve </w:t>
      </w:r>
      <w:proofErr w:type="gramStart"/>
      <w:r w:rsidR="00E00595">
        <w:t>patients</w:t>
      </w:r>
      <w:r>
        <w:t>;</w:t>
      </w:r>
      <w:proofErr w:type="gramEnd"/>
    </w:p>
    <w:p w14:paraId="27514840" w14:textId="01B0B8A6" w:rsidR="00E00595" w:rsidRDefault="00A54FA3" w:rsidP="00940A6B">
      <w:pPr>
        <w:pStyle w:val="ListBullet"/>
      </w:pPr>
      <w:r>
        <w:t>p</w:t>
      </w:r>
      <w:r w:rsidR="00E00595">
        <w:t xml:space="preserve">atients previously treated with alglucosidase </w:t>
      </w:r>
      <w:proofErr w:type="gramStart"/>
      <w:r w:rsidR="00E00595">
        <w:t>alfa</w:t>
      </w:r>
      <w:r>
        <w:t>;</w:t>
      </w:r>
      <w:proofErr w:type="gramEnd"/>
    </w:p>
    <w:p w14:paraId="744D835B" w14:textId="59E5495B" w:rsidR="00E00595" w:rsidRDefault="00A54FA3" w:rsidP="00940A6B">
      <w:pPr>
        <w:pStyle w:val="ListBullet"/>
      </w:pPr>
      <w:r>
        <w:t>a</w:t>
      </w:r>
      <w:r w:rsidR="00E00595">
        <w:t>dult patients</w:t>
      </w:r>
      <w:r>
        <w:t>; and</w:t>
      </w:r>
    </w:p>
    <w:p w14:paraId="5CB53E88" w14:textId="64AA6E8E" w:rsidR="00E00595" w:rsidRDefault="00A54FA3" w:rsidP="00940A6B">
      <w:pPr>
        <w:pStyle w:val="ListBullet"/>
      </w:pPr>
      <w:r>
        <w:t>p</w:t>
      </w:r>
      <w:r w:rsidR="00E00595">
        <w:t>aediatric patients</w:t>
      </w:r>
    </w:p>
    <w:p w14:paraId="302CC6A4" w14:textId="45CB1EFC" w:rsidR="00E00595" w:rsidRPr="00940A6B" w:rsidRDefault="00E00595" w:rsidP="00940A6B">
      <w:r w:rsidRPr="00940A6B">
        <w:t>There was no placebo-controlled compar</w:t>
      </w:r>
      <w:r w:rsidR="00940A6B" w:rsidRPr="00940A6B">
        <w:t>ative data available, although S</w:t>
      </w:r>
      <w:r w:rsidRPr="00940A6B">
        <w:t>tudies EFC14028 and TDR12857 provided some comparisons against alglucosidase alfa.</w:t>
      </w:r>
    </w:p>
    <w:p w14:paraId="40CD563F" w14:textId="19CDEC05" w:rsidR="00E00595" w:rsidRDefault="00E00595" w:rsidP="00940A6B">
      <w:r w:rsidRPr="00940A6B">
        <w:t xml:space="preserve">As may be expected for a rare disease such as </w:t>
      </w:r>
      <w:r w:rsidR="00940A6B">
        <w:t>Pompe disease</w:t>
      </w:r>
      <w:r w:rsidRPr="00940A6B">
        <w:t>, the total duration of ex</w:t>
      </w:r>
      <w:r w:rsidR="00940A6B">
        <w:t xml:space="preserve">posure to avalglucosidase alfa </w:t>
      </w:r>
      <w:r w:rsidRPr="00940A6B">
        <w:t>in the clinical trials was re</w:t>
      </w:r>
      <w:r w:rsidR="00A54FA3">
        <w:t>latively low. The</w:t>
      </w:r>
      <w:r w:rsidRPr="00940A6B">
        <w:t xml:space="preserve"> total exposure time for the 19 patients tre</w:t>
      </w:r>
      <w:r w:rsidR="00940A6B">
        <w:t xml:space="preserve">ated with avalglucosidase alfa </w:t>
      </w:r>
      <w:r w:rsidRPr="00940A6B">
        <w:t xml:space="preserve">in the </w:t>
      </w:r>
      <w:r w:rsidR="00940A6B" w:rsidRPr="00940A6B">
        <w:t>infantile</w:t>
      </w:r>
      <w:r w:rsidR="00355053">
        <w:t>-</w:t>
      </w:r>
      <w:r w:rsidR="00A54FA3">
        <w:t xml:space="preserve">onset </w:t>
      </w:r>
      <w:proofErr w:type="spellStart"/>
      <w:r w:rsidR="00A54FA3">
        <w:t>Pompe</w:t>
      </w:r>
      <w:proofErr w:type="spellEnd"/>
      <w:r w:rsidR="00A54FA3">
        <w:t xml:space="preserve"> disease study was</w:t>
      </w:r>
      <w:r w:rsidRPr="00940A6B">
        <w:t xml:space="preserve"> 1120.6 person-weeks, and for the 119 patients tr</w:t>
      </w:r>
      <w:r w:rsidR="00A54FA3">
        <w:t>eated with avalglucosidase alfa</w:t>
      </w:r>
      <w:r w:rsidRPr="00940A6B">
        <w:t xml:space="preserve"> in the late</w:t>
      </w:r>
      <w:r w:rsidR="00355053">
        <w:t>-</w:t>
      </w:r>
      <w:r w:rsidRPr="00940A6B">
        <w:t xml:space="preserve">onset </w:t>
      </w:r>
      <w:proofErr w:type="spellStart"/>
      <w:r w:rsidRPr="00940A6B">
        <w:t>Pompe</w:t>
      </w:r>
      <w:proofErr w:type="spellEnd"/>
      <w:r w:rsidRPr="00940A6B">
        <w:t xml:space="preserve"> disease stud</w:t>
      </w:r>
      <w:r w:rsidR="00A54FA3">
        <w:t>ies was</w:t>
      </w:r>
      <w:r w:rsidRPr="00940A6B">
        <w:t xml:space="preserve"> 13182.9 person-weeks.</w:t>
      </w:r>
    </w:p>
    <w:p w14:paraId="48D33E96" w14:textId="30E2E14F" w:rsidR="00343C4C" w:rsidRPr="00940A6B" w:rsidRDefault="00343C4C" w:rsidP="00940A6B">
      <w:r>
        <w:br w:type="page"/>
      </w:r>
    </w:p>
    <w:p w14:paraId="5A7E4D02" w14:textId="7B697BE6" w:rsidR="00940A6B" w:rsidRDefault="00940A6B" w:rsidP="00940A6B">
      <w:pPr>
        <w:pStyle w:val="Tabletitle0"/>
      </w:pPr>
      <w:r>
        <w:lastRenderedPageBreak/>
        <w:t xml:space="preserve">Table </w:t>
      </w:r>
      <w:r>
        <w:fldChar w:fldCharType="begin"/>
      </w:r>
      <w:r>
        <w:instrText>SEQ Table \* ARABIC</w:instrText>
      </w:r>
      <w:r>
        <w:fldChar w:fldCharType="separate"/>
      </w:r>
      <w:r w:rsidR="004A495C">
        <w:rPr>
          <w:noProof/>
        </w:rPr>
        <w:t>4</w:t>
      </w:r>
      <w:r>
        <w:fldChar w:fldCharType="end"/>
      </w:r>
      <w:r>
        <w:t>: Duration of exposure, and b</w:t>
      </w:r>
      <w:r w:rsidR="00A54FA3">
        <w:t>y disease subtype across four</w:t>
      </w:r>
      <w:r>
        <w:t xml:space="preserve"> studies</w:t>
      </w:r>
    </w:p>
    <w:tbl>
      <w:tblPr>
        <w:tblStyle w:val="TableTGAblue"/>
        <w:tblW w:w="8658" w:type="dxa"/>
        <w:tblLayout w:type="fixed"/>
        <w:tblLook w:val="04A0" w:firstRow="1" w:lastRow="0" w:firstColumn="1" w:lastColumn="0" w:noHBand="0" w:noVBand="1"/>
      </w:tblPr>
      <w:tblGrid>
        <w:gridCol w:w="2205"/>
        <w:gridCol w:w="1456"/>
        <w:gridCol w:w="1766"/>
        <w:gridCol w:w="1527"/>
        <w:gridCol w:w="1704"/>
      </w:tblGrid>
      <w:tr w:rsidR="000301DE" w:rsidRPr="000301DE" w14:paraId="74C62285" w14:textId="77777777" w:rsidTr="00904D23">
        <w:trPr>
          <w:cnfStyle w:val="100000000000" w:firstRow="1" w:lastRow="0" w:firstColumn="0" w:lastColumn="0" w:oddVBand="0" w:evenVBand="0" w:oddHBand="0" w:evenHBand="0" w:firstRowFirstColumn="0" w:firstRowLastColumn="0" w:lastRowFirstColumn="0" w:lastRowLastColumn="0"/>
          <w:trHeight w:hRule="exact" w:val="581"/>
        </w:trPr>
        <w:tc>
          <w:tcPr>
            <w:tcW w:w="2205" w:type="dxa"/>
            <w:vMerge w:val="restart"/>
            <w:tcBorders>
              <w:top w:val="single" w:sz="4" w:space="0" w:color="auto"/>
              <w:left w:val="single" w:sz="4" w:space="0" w:color="auto"/>
              <w:bottom w:val="single" w:sz="4" w:space="0" w:color="auto"/>
              <w:right w:val="single" w:sz="4" w:space="0" w:color="auto"/>
            </w:tcBorders>
            <w:hideMark/>
          </w:tcPr>
          <w:p w14:paraId="6669C86E" w14:textId="77777777" w:rsidR="00E00595" w:rsidRPr="00904D23" w:rsidRDefault="00E00595" w:rsidP="000301DE">
            <w:pPr>
              <w:ind w:left="0" w:right="0"/>
              <w:rPr>
                <w:sz w:val="20"/>
                <w:szCs w:val="20"/>
              </w:rPr>
            </w:pPr>
            <w:r w:rsidRPr="00904D23">
              <w:rPr>
                <w:sz w:val="20"/>
                <w:szCs w:val="20"/>
              </w:rPr>
              <w:t>Duration of exposure</w:t>
            </w:r>
          </w:p>
        </w:tc>
        <w:tc>
          <w:tcPr>
            <w:tcW w:w="3222" w:type="dxa"/>
            <w:gridSpan w:val="2"/>
            <w:tcBorders>
              <w:top w:val="single" w:sz="4" w:space="0" w:color="auto"/>
              <w:left w:val="single" w:sz="4" w:space="0" w:color="auto"/>
              <w:bottom w:val="single" w:sz="4" w:space="0" w:color="auto"/>
              <w:right w:val="single" w:sz="4" w:space="0" w:color="auto"/>
            </w:tcBorders>
            <w:hideMark/>
          </w:tcPr>
          <w:p w14:paraId="033AFEB4" w14:textId="52A4879F" w:rsidR="00E00595" w:rsidRPr="00904D23" w:rsidRDefault="000301DE" w:rsidP="000301DE">
            <w:pPr>
              <w:ind w:left="0" w:right="0"/>
              <w:rPr>
                <w:sz w:val="20"/>
                <w:szCs w:val="20"/>
              </w:rPr>
            </w:pPr>
            <w:r w:rsidRPr="00904D23">
              <w:rPr>
                <w:sz w:val="20"/>
                <w:szCs w:val="20"/>
              </w:rPr>
              <w:t>Inf</w:t>
            </w:r>
            <w:r w:rsidR="00E00595" w:rsidRPr="00904D23">
              <w:rPr>
                <w:sz w:val="20"/>
                <w:szCs w:val="20"/>
              </w:rPr>
              <w:t>antile onset Pompe disease</w:t>
            </w:r>
          </w:p>
        </w:tc>
        <w:tc>
          <w:tcPr>
            <w:tcW w:w="3231" w:type="dxa"/>
            <w:gridSpan w:val="2"/>
            <w:tcBorders>
              <w:top w:val="single" w:sz="4" w:space="0" w:color="auto"/>
              <w:left w:val="single" w:sz="4" w:space="0" w:color="auto"/>
              <w:bottom w:val="single" w:sz="4" w:space="0" w:color="auto"/>
              <w:right w:val="single" w:sz="4" w:space="0" w:color="auto"/>
            </w:tcBorders>
            <w:hideMark/>
          </w:tcPr>
          <w:p w14:paraId="0949F199" w14:textId="0C7FA67A" w:rsidR="00E00595" w:rsidRPr="00904D23" w:rsidRDefault="000301DE" w:rsidP="000301DE">
            <w:pPr>
              <w:ind w:left="0" w:right="0"/>
              <w:rPr>
                <w:sz w:val="20"/>
                <w:szCs w:val="20"/>
              </w:rPr>
            </w:pPr>
            <w:r w:rsidRPr="00904D23">
              <w:rPr>
                <w:sz w:val="20"/>
                <w:szCs w:val="20"/>
              </w:rPr>
              <w:t>L</w:t>
            </w:r>
            <w:r w:rsidR="00E00595" w:rsidRPr="00904D23">
              <w:rPr>
                <w:sz w:val="20"/>
                <w:szCs w:val="20"/>
              </w:rPr>
              <w:t>ate onset Pompe disease</w:t>
            </w:r>
          </w:p>
        </w:tc>
      </w:tr>
      <w:tr w:rsidR="000301DE" w:rsidRPr="000301DE" w14:paraId="64C80610" w14:textId="77777777" w:rsidTr="00904D23">
        <w:trPr>
          <w:trHeight w:hRule="exact" w:val="806"/>
        </w:trPr>
        <w:tc>
          <w:tcPr>
            <w:tcW w:w="2205" w:type="dxa"/>
            <w:vMerge/>
            <w:tcBorders>
              <w:top w:val="single" w:sz="4" w:space="0" w:color="auto"/>
              <w:left w:val="single" w:sz="4" w:space="0" w:color="auto"/>
              <w:bottom w:val="single" w:sz="4" w:space="0" w:color="auto"/>
              <w:right w:val="single" w:sz="4" w:space="0" w:color="auto"/>
            </w:tcBorders>
            <w:shd w:val="clear" w:color="auto" w:fill="006DA7"/>
            <w:hideMark/>
          </w:tcPr>
          <w:p w14:paraId="70273207" w14:textId="77777777" w:rsidR="00E00595" w:rsidRPr="00904D23" w:rsidRDefault="00E00595" w:rsidP="000301DE">
            <w:pPr>
              <w:ind w:left="0" w:right="0"/>
              <w:rPr>
                <w:color w:val="FFFFFF" w:themeColor="background1"/>
                <w:sz w:val="20"/>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006DA7"/>
            <w:hideMark/>
          </w:tcPr>
          <w:p w14:paraId="2AB732DA" w14:textId="77777777" w:rsidR="00E00595" w:rsidRPr="00904D23" w:rsidRDefault="00E00595" w:rsidP="000301DE">
            <w:pPr>
              <w:ind w:left="0" w:right="0"/>
              <w:rPr>
                <w:color w:val="FFFFFF" w:themeColor="background1"/>
                <w:sz w:val="20"/>
                <w:szCs w:val="20"/>
              </w:rPr>
            </w:pPr>
            <w:r w:rsidRPr="00904D23">
              <w:rPr>
                <w:color w:val="FFFFFF" w:themeColor="background1"/>
                <w:sz w:val="20"/>
                <w:szCs w:val="20"/>
              </w:rPr>
              <w:t>Patients</w:t>
            </w:r>
          </w:p>
          <w:p w14:paraId="512695DC" w14:textId="77777777" w:rsidR="00E00595" w:rsidRPr="00904D23" w:rsidRDefault="00E00595" w:rsidP="000301DE">
            <w:pPr>
              <w:ind w:left="0" w:right="0"/>
              <w:rPr>
                <w:color w:val="FFFFFF" w:themeColor="background1"/>
                <w:sz w:val="20"/>
                <w:szCs w:val="20"/>
              </w:rPr>
            </w:pPr>
            <w:r w:rsidRPr="00904D23">
              <w:rPr>
                <w:color w:val="FFFFFF" w:themeColor="background1"/>
                <w:sz w:val="20"/>
                <w:szCs w:val="20"/>
              </w:rPr>
              <w:t>n (%)</w:t>
            </w:r>
          </w:p>
        </w:tc>
        <w:tc>
          <w:tcPr>
            <w:tcW w:w="1766" w:type="dxa"/>
            <w:tcBorders>
              <w:top w:val="single" w:sz="4" w:space="0" w:color="auto"/>
              <w:left w:val="single" w:sz="4" w:space="0" w:color="auto"/>
              <w:bottom w:val="single" w:sz="4" w:space="0" w:color="auto"/>
              <w:right w:val="single" w:sz="4" w:space="0" w:color="auto"/>
            </w:tcBorders>
            <w:shd w:val="clear" w:color="auto" w:fill="006DA7"/>
            <w:hideMark/>
          </w:tcPr>
          <w:p w14:paraId="504FE965" w14:textId="77777777" w:rsidR="00E00595" w:rsidRPr="00904D23" w:rsidRDefault="00E00595" w:rsidP="000301DE">
            <w:pPr>
              <w:ind w:left="0" w:right="0"/>
              <w:rPr>
                <w:color w:val="FFFFFF" w:themeColor="background1"/>
                <w:sz w:val="20"/>
                <w:szCs w:val="20"/>
              </w:rPr>
            </w:pPr>
            <w:r w:rsidRPr="00904D23">
              <w:rPr>
                <w:color w:val="FFFFFF" w:themeColor="background1"/>
                <w:sz w:val="20"/>
                <w:szCs w:val="20"/>
              </w:rPr>
              <w:t>Person time</w:t>
            </w:r>
          </w:p>
          <w:p w14:paraId="24B9A4AE" w14:textId="77777777" w:rsidR="00E00595" w:rsidRPr="00904D23" w:rsidRDefault="00E00595" w:rsidP="000301DE">
            <w:pPr>
              <w:ind w:left="0" w:right="0"/>
              <w:rPr>
                <w:color w:val="FFFFFF" w:themeColor="background1"/>
                <w:sz w:val="20"/>
                <w:szCs w:val="20"/>
              </w:rPr>
            </w:pPr>
            <w:r w:rsidRPr="00904D23">
              <w:rPr>
                <w:color w:val="FFFFFF" w:themeColor="background1"/>
                <w:sz w:val="20"/>
                <w:szCs w:val="20"/>
              </w:rPr>
              <w:t>(</w:t>
            </w:r>
            <w:proofErr w:type="gramStart"/>
            <w:r w:rsidRPr="00904D23">
              <w:rPr>
                <w:color w:val="FFFFFF" w:themeColor="background1"/>
                <w:sz w:val="20"/>
                <w:szCs w:val="20"/>
              </w:rPr>
              <w:t>person</w:t>
            </w:r>
            <w:proofErr w:type="gramEnd"/>
            <w:r w:rsidRPr="00904D23">
              <w:rPr>
                <w:color w:val="FFFFFF" w:themeColor="background1"/>
                <w:sz w:val="20"/>
                <w:szCs w:val="20"/>
              </w:rPr>
              <w:t>-weeks)</w:t>
            </w:r>
          </w:p>
        </w:tc>
        <w:tc>
          <w:tcPr>
            <w:tcW w:w="1527" w:type="dxa"/>
            <w:tcBorders>
              <w:top w:val="single" w:sz="4" w:space="0" w:color="auto"/>
              <w:left w:val="single" w:sz="4" w:space="0" w:color="auto"/>
              <w:bottom w:val="single" w:sz="4" w:space="0" w:color="auto"/>
              <w:right w:val="single" w:sz="4" w:space="0" w:color="auto"/>
            </w:tcBorders>
            <w:shd w:val="clear" w:color="auto" w:fill="006DA7"/>
            <w:hideMark/>
          </w:tcPr>
          <w:p w14:paraId="00EF6AA7" w14:textId="77777777" w:rsidR="00E00595" w:rsidRPr="00904D23" w:rsidRDefault="00E00595" w:rsidP="000301DE">
            <w:pPr>
              <w:ind w:left="0" w:right="0"/>
              <w:rPr>
                <w:color w:val="FFFFFF" w:themeColor="background1"/>
                <w:sz w:val="20"/>
                <w:szCs w:val="20"/>
              </w:rPr>
            </w:pPr>
            <w:r w:rsidRPr="00904D23">
              <w:rPr>
                <w:color w:val="FFFFFF" w:themeColor="background1"/>
                <w:sz w:val="20"/>
                <w:szCs w:val="20"/>
              </w:rPr>
              <w:t>Patients</w:t>
            </w:r>
          </w:p>
          <w:p w14:paraId="7BDB280F" w14:textId="77777777" w:rsidR="00E00595" w:rsidRPr="00904D23" w:rsidRDefault="00E00595" w:rsidP="000301DE">
            <w:pPr>
              <w:ind w:left="0" w:right="0"/>
              <w:rPr>
                <w:color w:val="FFFFFF" w:themeColor="background1"/>
                <w:sz w:val="20"/>
                <w:szCs w:val="20"/>
              </w:rPr>
            </w:pPr>
            <w:r w:rsidRPr="00904D23">
              <w:rPr>
                <w:color w:val="FFFFFF" w:themeColor="background1"/>
                <w:sz w:val="20"/>
                <w:szCs w:val="20"/>
              </w:rPr>
              <w:t>n (%)</w:t>
            </w:r>
          </w:p>
        </w:tc>
        <w:tc>
          <w:tcPr>
            <w:tcW w:w="1704" w:type="dxa"/>
            <w:tcBorders>
              <w:top w:val="single" w:sz="4" w:space="0" w:color="auto"/>
              <w:left w:val="single" w:sz="4" w:space="0" w:color="auto"/>
              <w:bottom w:val="single" w:sz="4" w:space="0" w:color="auto"/>
              <w:right w:val="single" w:sz="4" w:space="0" w:color="auto"/>
            </w:tcBorders>
            <w:shd w:val="clear" w:color="auto" w:fill="006DA7"/>
            <w:hideMark/>
          </w:tcPr>
          <w:p w14:paraId="219CCBC7" w14:textId="77777777" w:rsidR="00E00595" w:rsidRPr="00904D23" w:rsidRDefault="00E00595" w:rsidP="000301DE">
            <w:pPr>
              <w:ind w:left="0" w:right="0"/>
              <w:rPr>
                <w:color w:val="FFFFFF" w:themeColor="background1"/>
                <w:sz w:val="20"/>
                <w:szCs w:val="20"/>
              </w:rPr>
            </w:pPr>
            <w:r w:rsidRPr="00904D23">
              <w:rPr>
                <w:color w:val="FFFFFF" w:themeColor="background1"/>
                <w:sz w:val="20"/>
                <w:szCs w:val="20"/>
              </w:rPr>
              <w:t>Person time</w:t>
            </w:r>
          </w:p>
          <w:p w14:paraId="174247C5" w14:textId="77777777" w:rsidR="00E00595" w:rsidRPr="00904D23" w:rsidRDefault="00E00595" w:rsidP="000301DE">
            <w:pPr>
              <w:ind w:left="0" w:right="0"/>
              <w:rPr>
                <w:color w:val="FFFFFF" w:themeColor="background1"/>
                <w:sz w:val="20"/>
                <w:szCs w:val="20"/>
              </w:rPr>
            </w:pPr>
            <w:r w:rsidRPr="00904D23">
              <w:rPr>
                <w:color w:val="FFFFFF" w:themeColor="background1"/>
                <w:sz w:val="20"/>
                <w:szCs w:val="20"/>
              </w:rPr>
              <w:t>(</w:t>
            </w:r>
            <w:proofErr w:type="gramStart"/>
            <w:r w:rsidRPr="00904D23">
              <w:rPr>
                <w:color w:val="FFFFFF" w:themeColor="background1"/>
                <w:sz w:val="20"/>
                <w:szCs w:val="20"/>
              </w:rPr>
              <w:t>person</w:t>
            </w:r>
            <w:proofErr w:type="gramEnd"/>
            <w:r w:rsidRPr="00904D23">
              <w:rPr>
                <w:color w:val="FFFFFF" w:themeColor="background1"/>
                <w:sz w:val="20"/>
                <w:szCs w:val="20"/>
              </w:rPr>
              <w:t>-weeks)</w:t>
            </w:r>
          </w:p>
        </w:tc>
      </w:tr>
      <w:tr w:rsidR="000301DE" w:rsidRPr="000301DE" w14:paraId="4DD20B61" w14:textId="77777777" w:rsidTr="00904D23">
        <w:trPr>
          <w:trHeight w:val="283"/>
        </w:trPr>
        <w:tc>
          <w:tcPr>
            <w:tcW w:w="2205" w:type="dxa"/>
            <w:tcBorders>
              <w:top w:val="single" w:sz="4" w:space="0" w:color="auto"/>
            </w:tcBorders>
            <w:hideMark/>
          </w:tcPr>
          <w:p w14:paraId="689D882D" w14:textId="6E7A4C1C" w:rsidR="00E00595" w:rsidRPr="000301DE" w:rsidRDefault="00E00595" w:rsidP="00A54FA3">
            <w:pPr>
              <w:ind w:left="0" w:right="0"/>
              <w:rPr>
                <w:sz w:val="20"/>
                <w:szCs w:val="20"/>
              </w:rPr>
            </w:pPr>
            <w:r w:rsidRPr="000301DE">
              <w:rPr>
                <w:sz w:val="20"/>
                <w:szCs w:val="20"/>
              </w:rPr>
              <w:t>&lt;</w:t>
            </w:r>
            <w:r w:rsidR="000301DE" w:rsidRPr="000301DE">
              <w:rPr>
                <w:sz w:val="20"/>
                <w:szCs w:val="20"/>
              </w:rPr>
              <w:t> </w:t>
            </w:r>
            <w:r w:rsidRPr="000301DE">
              <w:rPr>
                <w:sz w:val="20"/>
                <w:szCs w:val="20"/>
              </w:rPr>
              <w:t>12 weeks</w:t>
            </w:r>
          </w:p>
        </w:tc>
        <w:tc>
          <w:tcPr>
            <w:tcW w:w="1456" w:type="dxa"/>
            <w:tcBorders>
              <w:top w:val="single" w:sz="4" w:space="0" w:color="auto"/>
            </w:tcBorders>
            <w:hideMark/>
          </w:tcPr>
          <w:p w14:paraId="7E7E038E" w14:textId="77777777" w:rsidR="00E00595" w:rsidRPr="000301DE" w:rsidRDefault="00E00595" w:rsidP="000301DE">
            <w:pPr>
              <w:ind w:left="0" w:right="0"/>
              <w:rPr>
                <w:sz w:val="20"/>
                <w:szCs w:val="20"/>
              </w:rPr>
            </w:pPr>
            <w:r w:rsidRPr="000301DE">
              <w:rPr>
                <w:sz w:val="20"/>
                <w:szCs w:val="20"/>
              </w:rPr>
              <w:t>0</w:t>
            </w:r>
          </w:p>
        </w:tc>
        <w:tc>
          <w:tcPr>
            <w:tcW w:w="1766" w:type="dxa"/>
            <w:tcBorders>
              <w:top w:val="single" w:sz="4" w:space="0" w:color="auto"/>
            </w:tcBorders>
            <w:hideMark/>
          </w:tcPr>
          <w:p w14:paraId="435B5D4A" w14:textId="0BE4361D" w:rsidR="00E00595" w:rsidRPr="000301DE" w:rsidRDefault="00AF450C" w:rsidP="000301DE">
            <w:pPr>
              <w:ind w:left="0" w:right="0"/>
              <w:rPr>
                <w:sz w:val="20"/>
                <w:szCs w:val="20"/>
              </w:rPr>
            </w:pPr>
            <w:r>
              <w:rPr>
                <w:sz w:val="20"/>
                <w:szCs w:val="20"/>
              </w:rPr>
              <w:t xml:space="preserve">0 </w:t>
            </w:r>
          </w:p>
        </w:tc>
        <w:tc>
          <w:tcPr>
            <w:tcW w:w="1527" w:type="dxa"/>
            <w:tcBorders>
              <w:top w:val="single" w:sz="4" w:space="0" w:color="auto"/>
            </w:tcBorders>
            <w:hideMark/>
          </w:tcPr>
          <w:p w14:paraId="2316BFB8" w14:textId="77777777" w:rsidR="00E00595" w:rsidRPr="000301DE" w:rsidRDefault="00E00595" w:rsidP="000301DE">
            <w:pPr>
              <w:ind w:left="0" w:right="0"/>
              <w:rPr>
                <w:sz w:val="20"/>
                <w:szCs w:val="20"/>
              </w:rPr>
            </w:pPr>
            <w:r w:rsidRPr="000301DE">
              <w:rPr>
                <w:sz w:val="20"/>
                <w:szCs w:val="20"/>
              </w:rPr>
              <w:t>9 (7.6)</w:t>
            </w:r>
          </w:p>
        </w:tc>
        <w:tc>
          <w:tcPr>
            <w:tcW w:w="1704" w:type="dxa"/>
            <w:tcBorders>
              <w:top w:val="single" w:sz="4" w:space="0" w:color="auto"/>
            </w:tcBorders>
            <w:hideMark/>
          </w:tcPr>
          <w:p w14:paraId="3AC5B589" w14:textId="4CFCB626" w:rsidR="00E00595" w:rsidRPr="000301DE" w:rsidRDefault="00E00595" w:rsidP="000301DE">
            <w:pPr>
              <w:ind w:left="0" w:right="0"/>
              <w:rPr>
                <w:sz w:val="20"/>
                <w:szCs w:val="20"/>
              </w:rPr>
            </w:pPr>
            <w:r w:rsidRPr="000301DE">
              <w:rPr>
                <w:sz w:val="20"/>
                <w:szCs w:val="20"/>
              </w:rPr>
              <w:t>37.3</w:t>
            </w:r>
          </w:p>
        </w:tc>
      </w:tr>
      <w:tr w:rsidR="00AF450C" w:rsidRPr="000301DE" w14:paraId="41627999" w14:textId="77777777" w:rsidTr="00AF450C">
        <w:trPr>
          <w:trHeight w:val="283"/>
        </w:trPr>
        <w:tc>
          <w:tcPr>
            <w:tcW w:w="2205" w:type="dxa"/>
            <w:hideMark/>
          </w:tcPr>
          <w:p w14:paraId="0E0B7470" w14:textId="7890549B" w:rsidR="00AF450C" w:rsidRPr="000301DE" w:rsidRDefault="00AF450C" w:rsidP="00AF450C">
            <w:pPr>
              <w:ind w:left="0" w:right="0"/>
              <w:rPr>
                <w:sz w:val="20"/>
                <w:szCs w:val="20"/>
              </w:rPr>
            </w:pPr>
            <w:r w:rsidRPr="000301DE">
              <w:rPr>
                <w:sz w:val="20"/>
                <w:szCs w:val="20"/>
              </w:rPr>
              <w:t>≥ 12 to &lt; 24 weeks</w:t>
            </w:r>
          </w:p>
        </w:tc>
        <w:tc>
          <w:tcPr>
            <w:tcW w:w="1456" w:type="dxa"/>
            <w:hideMark/>
          </w:tcPr>
          <w:p w14:paraId="687EAB40" w14:textId="77777777" w:rsidR="00AF450C" w:rsidRPr="000301DE" w:rsidRDefault="00AF450C" w:rsidP="00AF450C">
            <w:pPr>
              <w:ind w:left="0" w:right="0"/>
              <w:rPr>
                <w:sz w:val="20"/>
                <w:szCs w:val="20"/>
              </w:rPr>
            </w:pPr>
            <w:r w:rsidRPr="000301DE">
              <w:rPr>
                <w:sz w:val="20"/>
                <w:szCs w:val="20"/>
              </w:rPr>
              <w:t>3 (15.8)</w:t>
            </w:r>
          </w:p>
        </w:tc>
        <w:tc>
          <w:tcPr>
            <w:tcW w:w="1766" w:type="dxa"/>
            <w:hideMark/>
          </w:tcPr>
          <w:p w14:paraId="5E7CA9CA" w14:textId="65F60055" w:rsidR="00AF450C" w:rsidRPr="000301DE" w:rsidRDefault="00AF450C" w:rsidP="00AF450C">
            <w:pPr>
              <w:ind w:left="0" w:right="0"/>
              <w:rPr>
                <w:sz w:val="20"/>
                <w:szCs w:val="20"/>
              </w:rPr>
            </w:pPr>
            <w:r w:rsidRPr="000301DE">
              <w:rPr>
                <w:sz w:val="20"/>
                <w:szCs w:val="20"/>
              </w:rPr>
              <w:t>39.3</w:t>
            </w:r>
            <w:r>
              <w:rPr>
                <w:sz w:val="20"/>
                <w:szCs w:val="20"/>
              </w:rPr>
              <w:t xml:space="preserve"> </w:t>
            </w:r>
          </w:p>
        </w:tc>
        <w:tc>
          <w:tcPr>
            <w:tcW w:w="1527" w:type="dxa"/>
            <w:hideMark/>
          </w:tcPr>
          <w:p w14:paraId="6F8A87AA" w14:textId="77777777" w:rsidR="00AF450C" w:rsidRPr="000301DE" w:rsidRDefault="00AF450C" w:rsidP="00AF450C">
            <w:pPr>
              <w:ind w:left="0" w:right="0"/>
              <w:rPr>
                <w:sz w:val="20"/>
                <w:szCs w:val="20"/>
              </w:rPr>
            </w:pPr>
            <w:r w:rsidRPr="000301DE">
              <w:rPr>
                <w:sz w:val="20"/>
                <w:szCs w:val="20"/>
              </w:rPr>
              <w:t>6 (5.0)</w:t>
            </w:r>
          </w:p>
        </w:tc>
        <w:tc>
          <w:tcPr>
            <w:tcW w:w="1704" w:type="dxa"/>
            <w:hideMark/>
          </w:tcPr>
          <w:p w14:paraId="30838A6E" w14:textId="01864285" w:rsidR="00AF450C" w:rsidRPr="000301DE" w:rsidRDefault="00AF450C" w:rsidP="00AF450C">
            <w:pPr>
              <w:ind w:left="0" w:right="0"/>
              <w:rPr>
                <w:sz w:val="20"/>
                <w:szCs w:val="20"/>
              </w:rPr>
            </w:pPr>
            <w:r w:rsidRPr="000301DE">
              <w:rPr>
                <w:sz w:val="20"/>
                <w:szCs w:val="20"/>
              </w:rPr>
              <w:t>94.1</w:t>
            </w:r>
          </w:p>
        </w:tc>
      </w:tr>
      <w:tr w:rsidR="00AF450C" w:rsidRPr="000301DE" w14:paraId="36869F2D" w14:textId="77777777" w:rsidTr="00AF450C">
        <w:trPr>
          <w:trHeight w:val="283"/>
        </w:trPr>
        <w:tc>
          <w:tcPr>
            <w:tcW w:w="2205" w:type="dxa"/>
            <w:hideMark/>
          </w:tcPr>
          <w:p w14:paraId="79DFC20A" w14:textId="7F65152F" w:rsidR="00AF450C" w:rsidRPr="000301DE" w:rsidRDefault="00AF450C" w:rsidP="00AF450C">
            <w:pPr>
              <w:ind w:left="0" w:right="0"/>
              <w:rPr>
                <w:sz w:val="20"/>
                <w:szCs w:val="20"/>
              </w:rPr>
            </w:pPr>
            <w:proofErr w:type="gramStart"/>
            <w:r w:rsidRPr="000301DE">
              <w:rPr>
                <w:sz w:val="20"/>
                <w:szCs w:val="20"/>
              </w:rPr>
              <w:t xml:space="preserve">≥  </w:t>
            </w:r>
            <w:r>
              <w:rPr>
                <w:sz w:val="20"/>
                <w:szCs w:val="20"/>
              </w:rPr>
              <w:t>to</w:t>
            </w:r>
            <w:proofErr w:type="gramEnd"/>
            <w:r w:rsidRPr="000301DE">
              <w:rPr>
                <w:sz w:val="20"/>
                <w:szCs w:val="20"/>
              </w:rPr>
              <w:t xml:space="preserve"> &lt;</w:t>
            </w:r>
            <w:r>
              <w:rPr>
                <w:sz w:val="20"/>
                <w:szCs w:val="20"/>
              </w:rPr>
              <w:t> </w:t>
            </w:r>
            <w:r w:rsidRPr="000301DE">
              <w:rPr>
                <w:sz w:val="20"/>
                <w:szCs w:val="20"/>
              </w:rPr>
              <w:t>48 weeks</w:t>
            </w:r>
          </w:p>
        </w:tc>
        <w:tc>
          <w:tcPr>
            <w:tcW w:w="1456" w:type="dxa"/>
            <w:hideMark/>
          </w:tcPr>
          <w:p w14:paraId="1823E336" w14:textId="77777777" w:rsidR="00AF450C" w:rsidRPr="000301DE" w:rsidRDefault="00AF450C" w:rsidP="00AF450C">
            <w:pPr>
              <w:ind w:left="0" w:right="0"/>
              <w:rPr>
                <w:sz w:val="20"/>
                <w:szCs w:val="20"/>
              </w:rPr>
            </w:pPr>
            <w:r w:rsidRPr="000301DE">
              <w:rPr>
                <w:sz w:val="20"/>
                <w:szCs w:val="20"/>
              </w:rPr>
              <w:t>5 (26.3)</w:t>
            </w:r>
          </w:p>
        </w:tc>
        <w:tc>
          <w:tcPr>
            <w:tcW w:w="1766" w:type="dxa"/>
            <w:hideMark/>
          </w:tcPr>
          <w:p w14:paraId="33D03F8C" w14:textId="2977978B" w:rsidR="00AF450C" w:rsidRPr="000301DE" w:rsidRDefault="00AF450C" w:rsidP="00AF450C">
            <w:pPr>
              <w:ind w:left="0" w:right="0"/>
              <w:rPr>
                <w:sz w:val="20"/>
                <w:szCs w:val="20"/>
              </w:rPr>
            </w:pPr>
            <w:r w:rsidRPr="000301DE">
              <w:rPr>
                <w:sz w:val="20"/>
                <w:szCs w:val="20"/>
              </w:rPr>
              <w:t>177.6</w:t>
            </w:r>
            <w:r>
              <w:rPr>
                <w:sz w:val="20"/>
                <w:szCs w:val="20"/>
              </w:rPr>
              <w:t xml:space="preserve"> </w:t>
            </w:r>
          </w:p>
        </w:tc>
        <w:tc>
          <w:tcPr>
            <w:tcW w:w="1527" w:type="dxa"/>
            <w:hideMark/>
          </w:tcPr>
          <w:p w14:paraId="5722A8C9" w14:textId="77777777" w:rsidR="00AF450C" w:rsidRPr="000301DE" w:rsidRDefault="00AF450C" w:rsidP="00AF450C">
            <w:pPr>
              <w:ind w:left="0" w:right="0"/>
              <w:rPr>
                <w:sz w:val="20"/>
                <w:szCs w:val="20"/>
              </w:rPr>
            </w:pPr>
            <w:r w:rsidRPr="000301DE">
              <w:rPr>
                <w:sz w:val="20"/>
                <w:szCs w:val="20"/>
              </w:rPr>
              <w:t>14 (11.8)</w:t>
            </w:r>
          </w:p>
        </w:tc>
        <w:tc>
          <w:tcPr>
            <w:tcW w:w="1704" w:type="dxa"/>
            <w:hideMark/>
          </w:tcPr>
          <w:p w14:paraId="67B2196F" w14:textId="5EAA99ED" w:rsidR="00AF450C" w:rsidRPr="000301DE" w:rsidRDefault="00AF450C" w:rsidP="00AF450C">
            <w:pPr>
              <w:ind w:left="0" w:right="0"/>
              <w:rPr>
                <w:sz w:val="20"/>
                <w:szCs w:val="20"/>
              </w:rPr>
            </w:pPr>
            <w:r w:rsidRPr="000301DE">
              <w:rPr>
                <w:sz w:val="20"/>
                <w:szCs w:val="20"/>
              </w:rPr>
              <w:t>464.4</w:t>
            </w:r>
          </w:p>
        </w:tc>
      </w:tr>
      <w:tr w:rsidR="00AF450C" w:rsidRPr="000301DE" w14:paraId="1FE3B23C" w14:textId="77777777" w:rsidTr="00AF450C">
        <w:trPr>
          <w:trHeight w:val="283"/>
        </w:trPr>
        <w:tc>
          <w:tcPr>
            <w:tcW w:w="2205" w:type="dxa"/>
            <w:hideMark/>
          </w:tcPr>
          <w:p w14:paraId="659551BE" w14:textId="516B8448" w:rsidR="00AF450C" w:rsidRPr="000301DE" w:rsidRDefault="00AF450C" w:rsidP="00AF450C">
            <w:pPr>
              <w:ind w:left="0" w:right="0"/>
              <w:rPr>
                <w:sz w:val="20"/>
                <w:szCs w:val="20"/>
              </w:rPr>
            </w:pPr>
            <w:r w:rsidRPr="000301DE">
              <w:rPr>
                <w:sz w:val="20"/>
                <w:szCs w:val="20"/>
              </w:rPr>
              <w:t>≥</w:t>
            </w:r>
            <w:r>
              <w:rPr>
                <w:sz w:val="20"/>
                <w:szCs w:val="20"/>
              </w:rPr>
              <w:t xml:space="preserve"> </w:t>
            </w:r>
            <w:r w:rsidRPr="000301DE">
              <w:rPr>
                <w:sz w:val="20"/>
                <w:szCs w:val="20"/>
              </w:rPr>
              <w:t xml:space="preserve">48 </w:t>
            </w:r>
            <w:r>
              <w:rPr>
                <w:sz w:val="20"/>
                <w:szCs w:val="20"/>
              </w:rPr>
              <w:t>to</w:t>
            </w:r>
            <w:r w:rsidRPr="000301DE">
              <w:rPr>
                <w:sz w:val="20"/>
                <w:szCs w:val="20"/>
              </w:rPr>
              <w:t xml:space="preserve"> &lt;</w:t>
            </w:r>
            <w:r>
              <w:rPr>
                <w:sz w:val="20"/>
                <w:szCs w:val="20"/>
              </w:rPr>
              <w:t xml:space="preserve"> </w:t>
            </w:r>
            <w:r w:rsidRPr="000301DE">
              <w:rPr>
                <w:sz w:val="20"/>
                <w:szCs w:val="20"/>
              </w:rPr>
              <w:t>96 weeks</w:t>
            </w:r>
          </w:p>
        </w:tc>
        <w:tc>
          <w:tcPr>
            <w:tcW w:w="1456" w:type="dxa"/>
            <w:hideMark/>
          </w:tcPr>
          <w:p w14:paraId="2C6DE268" w14:textId="77777777" w:rsidR="00AF450C" w:rsidRPr="000301DE" w:rsidRDefault="00AF450C" w:rsidP="00AF450C">
            <w:pPr>
              <w:ind w:left="0" w:right="0"/>
              <w:rPr>
                <w:sz w:val="20"/>
                <w:szCs w:val="20"/>
              </w:rPr>
            </w:pPr>
            <w:r w:rsidRPr="000301DE">
              <w:rPr>
                <w:sz w:val="20"/>
                <w:szCs w:val="20"/>
              </w:rPr>
              <w:t>8 (42.1)</w:t>
            </w:r>
          </w:p>
        </w:tc>
        <w:tc>
          <w:tcPr>
            <w:tcW w:w="1766" w:type="dxa"/>
            <w:hideMark/>
          </w:tcPr>
          <w:p w14:paraId="0E937757" w14:textId="6BFD8117" w:rsidR="00AF450C" w:rsidRPr="000301DE" w:rsidRDefault="00AF450C" w:rsidP="00AF450C">
            <w:pPr>
              <w:ind w:left="0" w:right="0"/>
              <w:rPr>
                <w:sz w:val="20"/>
                <w:szCs w:val="20"/>
              </w:rPr>
            </w:pPr>
            <w:r w:rsidRPr="000301DE">
              <w:rPr>
                <w:sz w:val="20"/>
                <w:szCs w:val="20"/>
              </w:rPr>
              <w:t>605.3</w:t>
            </w:r>
            <w:r>
              <w:rPr>
                <w:sz w:val="20"/>
                <w:szCs w:val="20"/>
              </w:rPr>
              <w:t xml:space="preserve"> </w:t>
            </w:r>
          </w:p>
        </w:tc>
        <w:tc>
          <w:tcPr>
            <w:tcW w:w="1527" w:type="dxa"/>
            <w:hideMark/>
          </w:tcPr>
          <w:p w14:paraId="4A5609FD" w14:textId="77777777" w:rsidR="00AF450C" w:rsidRPr="000301DE" w:rsidRDefault="00AF450C" w:rsidP="00AF450C">
            <w:pPr>
              <w:ind w:left="0" w:right="0"/>
              <w:rPr>
                <w:sz w:val="20"/>
                <w:szCs w:val="20"/>
              </w:rPr>
            </w:pPr>
            <w:r w:rsidRPr="000301DE">
              <w:rPr>
                <w:sz w:val="20"/>
                <w:szCs w:val="20"/>
              </w:rPr>
              <w:t>37 (31.1)</w:t>
            </w:r>
          </w:p>
        </w:tc>
        <w:tc>
          <w:tcPr>
            <w:tcW w:w="1704" w:type="dxa"/>
            <w:hideMark/>
          </w:tcPr>
          <w:p w14:paraId="61CA1064" w14:textId="170BE7AD" w:rsidR="00AF450C" w:rsidRPr="000301DE" w:rsidRDefault="00AF450C" w:rsidP="00AF450C">
            <w:pPr>
              <w:ind w:left="0" w:right="0"/>
              <w:rPr>
                <w:sz w:val="20"/>
                <w:szCs w:val="20"/>
              </w:rPr>
            </w:pPr>
            <w:r w:rsidRPr="000301DE">
              <w:rPr>
                <w:sz w:val="20"/>
                <w:szCs w:val="20"/>
              </w:rPr>
              <w:t>2615.6</w:t>
            </w:r>
          </w:p>
        </w:tc>
      </w:tr>
      <w:tr w:rsidR="00AF450C" w:rsidRPr="000301DE" w14:paraId="470DABB8" w14:textId="77777777" w:rsidTr="00AF450C">
        <w:trPr>
          <w:trHeight w:val="283"/>
        </w:trPr>
        <w:tc>
          <w:tcPr>
            <w:tcW w:w="2205" w:type="dxa"/>
            <w:hideMark/>
          </w:tcPr>
          <w:p w14:paraId="7D395C78" w14:textId="1B88C660" w:rsidR="00AF450C" w:rsidRPr="000301DE" w:rsidRDefault="00AF450C" w:rsidP="00AF450C">
            <w:pPr>
              <w:ind w:left="0" w:right="0"/>
              <w:rPr>
                <w:sz w:val="20"/>
                <w:szCs w:val="20"/>
              </w:rPr>
            </w:pPr>
            <w:r w:rsidRPr="000301DE">
              <w:rPr>
                <w:sz w:val="20"/>
                <w:szCs w:val="20"/>
              </w:rPr>
              <w:t>≥</w:t>
            </w:r>
            <w:r>
              <w:rPr>
                <w:sz w:val="20"/>
                <w:szCs w:val="20"/>
              </w:rPr>
              <w:t xml:space="preserve"> </w:t>
            </w:r>
            <w:r w:rsidRPr="000301DE">
              <w:rPr>
                <w:sz w:val="20"/>
                <w:szCs w:val="20"/>
              </w:rPr>
              <w:t xml:space="preserve">96 </w:t>
            </w:r>
            <w:r>
              <w:rPr>
                <w:sz w:val="20"/>
                <w:szCs w:val="20"/>
              </w:rPr>
              <w:t>to</w:t>
            </w:r>
            <w:r w:rsidRPr="000301DE">
              <w:rPr>
                <w:sz w:val="20"/>
                <w:szCs w:val="20"/>
              </w:rPr>
              <w:t xml:space="preserve"> &lt;</w:t>
            </w:r>
            <w:r>
              <w:rPr>
                <w:sz w:val="20"/>
                <w:szCs w:val="20"/>
              </w:rPr>
              <w:t xml:space="preserve"> </w:t>
            </w:r>
            <w:r w:rsidRPr="000301DE">
              <w:rPr>
                <w:sz w:val="20"/>
                <w:szCs w:val="20"/>
              </w:rPr>
              <w:t>144 weeks</w:t>
            </w:r>
          </w:p>
        </w:tc>
        <w:tc>
          <w:tcPr>
            <w:tcW w:w="1456" w:type="dxa"/>
            <w:hideMark/>
          </w:tcPr>
          <w:p w14:paraId="1C9D5C09" w14:textId="77777777" w:rsidR="00AF450C" w:rsidRPr="000301DE" w:rsidRDefault="00AF450C" w:rsidP="00AF450C">
            <w:pPr>
              <w:ind w:left="0" w:right="0"/>
              <w:rPr>
                <w:sz w:val="20"/>
                <w:szCs w:val="20"/>
              </w:rPr>
            </w:pPr>
            <w:r w:rsidRPr="000301DE">
              <w:rPr>
                <w:sz w:val="20"/>
                <w:szCs w:val="20"/>
              </w:rPr>
              <w:t>3 (15.8)</w:t>
            </w:r>
          </w:p>
        </w:tc>
        <w:tc>
          <w:tcPr>
            <w:tcW w:w="1766" w:type="dxa"/>
          </w:tcPr>
          <w:p w14:paraId="5BE0833C" w14:textId="5A0E9F32" w:rsidR="00AF450C" w:rsidRPr="000301DE" w:rsidRDefault="00AF450C" w:rsidP="00AF450C">
            <w:pPr>
              <w:ind w:left="0" w:right="0"/>
              <w:rPr>
                <w:sz w:val="20"/>
                <w:szCs w:val="20"/>
              </w:rPr>
            </w:pPr>
            <w:r w:rsidRPr="000301DE">
              <w:rPr>
                <w:sz w:val="20"/>
                <w:szCs w:val="20"/>
              </w:rPr>
              <w:t>298.4</w:t>
            </w:r>
          </w:p>
        </w:tc>
        <w:tc>
          <w:tcPr>
            <w:tcW w:w="1527" w:type="dxa"/>
            <w:hideMark/>
          </w:tcPr>
          <w:p w14:paraId="4F1776F4" w14:textId="77777777" w:rsidR="00AF450C" w:rsidRPr="000301DE" w:rsidRDefault="00AF450C" w:rsidP="00AF450C">
            <w:pPr>
              <w:ind w:left="0" w:right="0"/>
              <w:rPr>
                <w:sz w:val="20"/>
                <w:szCs w:val="20"/>
              </w:rPr>
            </w:pPr>
            <w:r w:rsidRPr="000301DE">
              <w:rPr>
                <w:sz w:val="20"/>
                <w:szCs w:val="20"/>
              </w:rPr>
              <w:t>24 (20.2)</w:t>
            </w:r>
          </w:p>
        </w:tc>
        <w:tc>
          <w:tcPr>
            <w:tcW w:w="1704" w:type="dxa"/>
            <w:hideMark/>
          </w:tcPr>
          <w:p w14:paraId="523B4688" w14:textId="46708717" w:rsidR="00AF450C" w:rsidRPr="000301DE" w:rsidRDefault="00AF450C" w:rsidP="00AF450C">
            <w:pPr>
              <w:ind w:left="0" w:right="0"/>
              <w:rPr>
                <w:sz w:val="20"/>
                <w:szCs w:val="20"/>
              </w:rPr>
            </w:pPr>
            <w:r w:rsidRPr="000301DE">
              <w:rPr>
                <w:sz w:val="20"/>
                <w:szCs w:val="20"/>
              </w:rPr>
              <w:t>2754.6</w:t>
            </w:r>
          </w:p>
        </w:tc>
      </w:tr>
      <w:tr w:rsidR="00AF450C" w:rsidRPr="000301DE" w14:paraId="29F28ECB" w14:textId="77777777" w:rsidTr="00AF450C">
        <w:trPr>
          <w:trHeight w:val="283"/>
        </w:trPr>
        <w:tc>
          <w:tcPr>
            <w:tcW w:w="2205" w:type="dxa"/>
            <w:hideMark/>
          </w:tcPr>
          <w:p w14:paraId="7281834A" w14:textId="3202C3A8" w:rsidR="00AF450C" w:rsidRPr="000301DE" w:rsidRDefault="00AF450C" w:rsidP="00AF450C">
            <w:pPr>
              <w:ind w:left="0" w:right="0"/>
              <w:rPr>
                <w:sz w:val="20"/>
                <w:szCs w:val="20"/>
              </w:rPr>
            </w:pPr>
            <w:r w:rsidRPr="000301DE">
              <w:rPr>
                <w:sz w:val="20"/>
                <w:szCs w:val="20"/>
              </w:rPr>
              <w:t>≥</w:t>
            </w:r>
            <w:r>
              <w:rPr>
                <w:sz w:val="20"/>
                <w:szCs w:val="20"/>
              </w:rPr>
              <w:t xml:space="preserve"> </w:t>
            </w:r>
            <w:r w:rsidRPr="000301DE">
              <w:rPr>
                <w:sz w:val="20"/>
                <w:szCs w:val="20"/>
              </w:rPr>
              <w:t xml:space="preserve">144 </w:t>
            </w:r>
            <w:r>
              <w:rPr>
                <w:sz w:val="20"/>
                <w:szCs w:val="20"/>
              </w:rPr>
              <w:t>to</w:t>
            </w:r>
            <w:r w:rsidRPr="000301DE">
              <w:rPr>
                <w:sz w:val="20"/>
                <w:szCs w:val="20"/>
              </w:rPr>
              <w:t xml:space="preserve"> &lt;</w:t>
            </w:r>
            <w:r>
              <w:rPr>
                <w:sz w:val="20"/>
                <w:szCs w:val="20"/>
              </w:rPr>
              <w:t xml:space="preserve"> </w:t>
            </w:r>
            <w:r w:rsidRPr="000301DE">
              <w:rPr>
                <w:sz w:val="20"/>
                <w:szCs w:val="20"/>
              </w:rPr>
              <w:t>192 weeks</w:t>
            </w:r>
          </w:p>
        </w:tc>
        <w:tc>
          <w:tcPr>
            <w:tcW w:w="1456" w:type="dxa"/>
            <w:hideMark/>
          </w:tcPr>
          <w:p w14:paraId="6D9698BA" w14:textId="77777777" w:rsidR="00AF450C" w:rsidRPr="000301DE" w:rsidRDefault="00AF450C" w:rsidP="00AF450C">
            <w:pPr>
              <w:ind w:left="0" w:right="0"/>
              <w:rPr>
                <w:sz w:val="20"/>
                <w:szCs w:val="20"/>
              </w:rPr>
            </w:pPr>
            <w:r w:rsidRPr="000301DE">
              <w:rPr>
                <w:sz w:val="20"/>
                <w:szCs w:val="20"/>
              </w:rPr>
              <w:t>0</w:t>
            </w:r>
          </w:p>
        </w:tc>
        <w:tc>
          <w:tcPr>
            <w:tcW w:w="1766" w:type="dxa"/>
          </w:tcPr>
          <w:p w14:paraId="456E18AC" w14:textId="77777777" w:rsidR="00AF450C" w:rsidRPr="000301DE" w:rsidRDefault="00AF450C" w:rsidP="00AF450C">
            <w:pPr>
              <w:ind w:left="0" w:right="0"/>
              <w:rPr>
                <w:sz w:val="20"/>
                <w:szCs w:val="20"/>
              </w:rPr>
            </w:pPr>
          </w:p>
        </w:tc>
        <w:tc>
          <w:tcPr>
            <w:tcW w:w="1527" w:type="dxa"/>
            <w:hideMark/>
          </w:tcPr>
          <w:p w14:paraId="2BB55720" w14:textId="77777777" w:rsidR="00AF450C" w:rsidRPr="000301DE" w:rsidRDefault="00AF450C" w:rsidP="00AF450C">
            <w:pPr>
              <w:ind w:left="0" w:right="0"/>
              <w:rPr>
                <w:sz w:val="20"/>
                <w:szCs w:val="20"/>
              </w:rPr>
            </w:pPr>
            <w:r w:rsidRPr="000301DE">
              <w:rPr>
                <w:sz w:val="20"/>
                <w:szCs w:val="20"/>
              </w:rPr>
              <w:t>12 (10.1)</w:t>
            </w:r>
          </w:p>
        </w:tc>
        <w:tc>
          <w:tcPr>
            <w:tcW w:w="1704" w:type="dxa"/>
            <w:hideMark/>
          </w:tcPr>
          <w:p w14:paraId="66DC3BE4" w14:textId="73AF28F7" w:rsidR="00AF450C" w:rsidRPr="000301DE" w:rsidRDefault="00AF450C" w:rsidP="00AF450C">
            <w:pPr>
              <w:ind w:left="0" w:right="0"/>
              <w:rPr>
                <w:sz w:val="20"/>
                <w:szCs w:val="20"/>
              </w:rPr>
            </w:pPr>
            <w:r w:rsidRPr="000301DE">
              <w:rPr>
                <w:sz w:val="20"/>
                <w:szCs w:val="20"/>
              </w:rPr>
              <w:t>1936.3</w:t>
            </w:r>
          </w:p>
        </w:tc>
      </w:tr>
      <w:tr w:rsidR="00AF450C" w:rsidRPr="000301DE" w14:paraId="29A9FBDC" w14:textId="77777777" w:rsidTr="00AF450C">
        <w:trPr>
          <w:trHeight w:val="283"/>
        </w:trPr>
        <w:tc>
          <w:tcPr>
            <w:tcW w:w="2205" w:type="dxa"/>
            <w:hideMark/>
          </w:tcPr>
          <w:p w14:paraId="595CC9FA" w14:textId="499D0CF0" w:rsidR="00AF450C" w:rsidRPr="000301DE" w:rsidRDefault="00AF450C" w:rsidP="00AF450C">
            <w:pPr>
              <w:ind w:left="0" w:right="0"/>
              <w:rPr>
                <w:sz w:val="20"/>
                <w:szCs w:val="20"/>
              </w:rPr>
            </w:pPr>
            <w:r w:rsidRPr="000301DE">
              <w:rPr>
                <w:sz w:val="20"/>
                <w:szCs w:val="20"/>
              </w:rPr>
              <w:t>≥</w:t>
            </w:r>
            <w:r>
              <w:rPr>
                <w:sz w:val="20"/>
                <w:szCs w:val="20"/>
              </w:rPr>
              <w:t xml:space="preserve"> </w:t>
            </w:r>
            <w:r w:rsidRPr="000301DE">
              <w:rPr>
                <w:sz w:val="20"/>
                <w:szCs w:val="20"/>
              </w:rPr>
              <w:t xml:space="preserve">192 </w:t>
            </w:r>
            <w:r>
              <w:rPr>
                <w:sz w:val="20"/>
                <w:szCs w:val="20"/>
              </w:rPr>
              <w:t>to</w:t>
            </w:r>
            <w:r w:rsidRPr="000301DE">
              <w:rPr>
                <w:sz w:val="20"/>
                <w:szCs w:val="20"/>
              </w:rPr>
              <w:t xml:space="preserve"> &lt;</w:t>
            </w:r>
            <w:r>
              <w:rPr>
                <w:sz w:val="20"/>
                <w:szCs w:val="20"/>
              </w:rPr>
              <w:t xml:space="preserve"> </w:t>
            </w:r>
            <w:r w:rsidRPr="000301DE">
              <w:rPr>
                <w:sz w:val="20"/>
                <w:szCs w:val="20"/>
              </w:rPr>
              <w:t>240 weeks</w:t>
            </w:r>
          </w:p>
        </w:tc>
        <w:tc>
          <w:tcPr>
            <w:tcW w:w="1456" w:type="dxa"/>
            <w:hideMark/>
          </w:tcPr>
          <w:p w14:paraId="57BD598E" w14:textId="77777777" w:rsidR="00AF450C" w:rsidRPr="000301DE" w:rsidRDefault="00AF450C" w:rsidP="00AF450C">
            <w:pPr>
              <w:ind w:left="0" w:right="0"/>
              <w:rPr>
                <w:sz w:val="20"/>
                <w:szCs w:val="20"/>
              </w:rPr>
            </w:pPr>
            <w:r w:rsidRPr="000301DE">
              <w:rPr>
                <w:sz w:val="20"/>
                <w:szCs w:val="20"/>
              </w:rPr>
              <w:t>0</w:t>
            </w:r>
          </w:p>
        </w:tc>
        <w:tc>
          <w:tcPr>
            <w:tcW w:w="1766" w:type="dxa"/>
          </w:tcPr>
          <w:p w14:paraId="16217F58" w14:textId="77777777" w:rsidR="00AF450C" w:rsidRPr="000301DE" w:rsidRDefault="00AF450C" w:rsidP="00AF450C">
            <w:pPr>
              <w:ind w:left="0" w:right="0"/>
              <w:rPr>
                <w:sz w:val="20"/>
                <w:szCs w:val="20"/>
              </w:rPr>
            </w:pPr>
          </w:p>
        </w:tc>
        <w:tc>
          <w:tcPr>
            <w:tcW w:w="1527" w:type="dxa"/>
            <w:hideMark/>
          </w:tcPr>
          <w:p w14:paraId="1E1F15E2" w14:textId="77777777" w:rsidR="00AF450C" w:rsidRPr="000301DE" w:rsidRDefault="00AF450C" w:rsidP="00AF450C">
            <w:pPr>
              <w:ind w:left="0" w:right="0"/>
              <w:rPr>
                <w:sz w:val="20"/>
                <w:szCs w:val="20"/>
              </w:rPr>
            </w:pPr>
            <w:r w:rsidRPr="000301DE">
              <w:rPr>
                <w:sz w:val="20"/>
                <w:szCs w:val="20"/>
              </w:rPr>
              <w:t>0</w:t>
            </w:r>
          </w:p>
        </w:tc>
        <w:tc>
          <w:tcPr>
            <w:tcW w:w="1704" w:type="dxa"/>
          </w:tcPr>
          <w:p w14:paraId="29973A72" w14:textId="21C38C9C" w:rsidR="00AF450C" w:rsidRPr="000301DE" w:rsidRDefault="00AF450C" w:rsidP="00AF450C">
            <w:pPr>
              <w:ind w:left="0" w:right="0"/>
              <w:rPr>
                <w:sz w:val="20"/>
                <w:szCs w:val="20"/>
              </w:rPr>
            </w:pPr>
          </w:p>
        </w:tc>
      </w:tr>
      <w:tr w:rsidR="000301DE" w:rsidRPr="000301DE" w14:paraId="36AD3CAD" w14:textId="77777777" w:rsidTr="00AF450C">
        <w:trPr>
          <w:trHeight w:val="283"/>
        </w:trPr>
        <w:tc>
          <w:tcPr>
            <w:tcW w:w="2205" w:type="dxa"/>
            <w:hideMark/>
          </w:tcPr>
          <w:p w14:paraId="792FF598" w14:textId="4F726148" w:rsidR="00E00595" w:rsidRPr="000301DE" w:rsidRDefault="00E00595" w:rsidP="00A54FA3">
            <w:pPr>
              <w:ind w:left="0" w:right="0"/>
              <w:rPr>
                <w:sz w:val="20"/>
                <w:szCs w:val="20"/>
              </w:rPr>
            </w:pPr>
            <w:r w:rsidRPr="000301DE">
              <w:rPr>
                <w:sz w:val="20"/>
                <w:szCs w:val="20"/>
              </w:rPr>
              <w:t>≥</w:t>
            </w:r>
            <w:r w:rsidR="000301DE">
              <w:rPr>
                <w:sz w:val="20"/>
                <w:szCs w:val="20"/>
              </w:rPr>
              <w:t xml:space="preserve"> </w:t>
            </w:r>
            <w:r w:rsidRPr="000301DE">
              <w:rPr>
                <w:sz w:val="20"/>
                <w:szCs w:val="20"/>
              </w:rPr>
              <w:t>240 weeks</w:t>
            </w:r>
          </w:p>
        </w:tc>
        <w:tc>
          <w:tcPr>
            <w:tcW w:w="1456" w:type="dxa"/>
            <w:hideMark/>
          </w:tcPr>
          <w:p w14:paraId="3FEDBDC8" w14:textId="77777777" w:rsidR="00E00595" w:rsidRPr="000301DE" w:rsidRDefault="00E00595" w:rsidP="000301DE">
            <w:pPr>
              <w:ind w:left="0" w:right="0"/>
              <w:rPr>
                <w:sz w:val="20"/>
                <w:szCs w:val="20"/>
              </w:rPr>
            </w:pPr>
            <w:r w:rsidRPr="000301DE">
              <w:rPr>
                <w:sz w:val="20"/>
                <w:szCs w:val="20"/>
              </w:rPr>
              <w:t>0</w:t>
            </w:r>
          </w:p>
        </w:tc>
        <w:tc>
          <w:tcPr>
            <w:tcW w:w="1766" w:type="dxa"/>
          </w:tcPr>
          <w:p w14:paraId="1E967B59" w14:textId="77777777" w:rsidR="00E00595" w:rsidRPr="000301DE" w:rsidRDefault="00E00595" w:rsidP="000301DE">
            <w:pPr>
              <w:ind w:left="0" w:right="0"/>
              <w:rPr>
                <w:sz w:val="20"/>
                <w:szCs w:val="20"/>
              </w:rPr>
            </w:pPr>
          </w:p>
        </w:tc>
        <w:tc>
          <w:tcPr>
            <w:tcW w:w="1527" w:type="dxa"/>
            <w:hideMark/>
          </w:tcPr>
          <w:p w14:paraId="0E06C912" w14:textId="77777777" w:rsidR="00E00595" w:rsidRPr="000301DE" w:rsidRDefault="00E00595" w:rsidP="000301DE">
            <w:pPr>
              <w:ind w:left="0" w:right="0"/>
              <w:rPr>
                <w:sz w:val="20"/>
                <w:szCs w:val="20"/>
              </w:rPr>
            </w:pPr>
            <w:r w:rsidRPr="000301DE">
              <w:rPr>
                <w:sz w:val="20"/>
                <w:szCs w:val="20"/>
              </w:rPr>
              <w:t>17 (14.3)</w:t>
            </w:r>
          </w:p>
        </w:tc>
        <w:tc>
          <w:tcPr>
            <w:tcW w:w="1704" w:type="dxa"/>
            <w:hideMark/>
          </w:tcPr>
          <w:p w14:paraId="355C72CF" w14:textId="77777777" w:rsidR="00E00595" w:rsidRPr="000301DE" w:rsidRDefault="00E00595" w:rsidP="000301DE">
            <w:pPr>
              <w:ind w:left="0" w:right="0"/>
              <w:rPr>
                <w:sz w:val="20"/>
                <w:szCs w:val="20"/>
              </w:rPr>
            </w:pPr>
            <w:r w:rsidRPr="000301DE">
              <w:rPr>
                <w:sz w:val="20"/>
                <w:szCs w:val="20"/>
              </w:rPr>
              <w:t>5280.6</w:t>
            </w:r>
          </w:p>
        </w:tc>
      </w:tr>
      <w:tr w:rsidR="000301DE" w:rsidRPr="000301DE" w14:paraId="63E970BC" w14:textId="77777777" w:rsidTr="00AF450C">
        <w:trPr>
          <w:trHeight w:val="283"/>
        </w:trPr>
        <w:tc>
          <w:tcPr>
            <w:tcW w:w="2205" w:type="dxa"/>
            <w:hideMark/>
          </w:tcPr>
          <w:p w14:paraId="2EFD8BA5" w14:textId="77777777" w:rsidR="00E00595" w:rsidRPr="000301DE" w:rsidRDefault="00E00595" w:rsidP="00A54FA3">
            <w:pPr>
              <w:ind w:left="0" w:right="0"/>
              <w:rPr>
                <w:sz w:val="20"/>
                <w:szCs w:val="20"/>
              </w:rPr>
            </w:pPr>
            <w:r w:rsidRPr="000301DE">
              <w:rPr>
                <w:sz w:val="20"/>
                <w:szCs w:val="20"/>
              </w:rPr>
              <w:t>Total</w:t>
            </w:r>
          </w:p>
        </w:tc>
        <w:tc>
          <w:tcPr>
            <w:tcW w:w="1456" w:type="dxa"/>
            <w:hideMark/>
          </w:tcPr>
          <w:p w14:paraId="4FE307C4" w14:textId="77777777" w:rsidR="00E00595" w:rsidRPr="000301DE" w:rsidRDefault="00E00595" w:rsidP="000301DE">
            <w:pPr>
              <w:ind w:left="0" w:right="0"/>
              <w:rPr>
                <w:sz w:val="20"/>
                <w:szCs w:val="20"/>
              </w:rPr>
            </w:pPr>
            <w:r w:rsidRPr="000301DE">
              <w:rPr>
                <w:sz w:val="20"/>
                <w:szCs w:val="20"/>
              </w:rPr>
              <w:t>19 (100.0)</w:t>
            </w:r>
          </w:p>
        </w:tc>
        <w:tc>
          <w:tcPr>
            <w:tcW w:w="1766" w:type="dxa"/>
            <w:hideMark/>
          </w:tcPr>
          <w:p w14:paraId="53ADC757" w14:textId="77777777" w:rsidR="00E00595" w:rsidRPr="000301DE" w:rsidRDefault="00E00595" w:rsidP="000301DE">
            <w:pPr>
              <w:ind w:left="0" w:right="0"/>
              <w:rPr>
                <w:sz w:val="20"/>
                <w:szCs w:val="20"/>
              </w:rPr>
            </w:pPr>
            <w:r w:rsidRPr="000301DE">
              <w:rPr>
                <w:sz w:val="20"/>
                <w:szCs w:val="20"/>
              </w:rPr>
              <w:t>1120.6</w:t>
            </w:r>
          </w:p>
        </w:tc>
        <w:tc>
          <w:tcPr>
            <w:tcW w:w="1527" w:type="dxa"/>
            <w:hideMark/>
          </w:tcPr>
          <w:p w14:paraId="4CC525FA" w14:textId="77777777" w:rsidR="00E00595" w:rsidRPr="000301DE" w:rsidRDefault="00E00595" w:rsidP="000301DE">
            <w:pPr>
              <w:ind w:left="0" w:right="0"/>
              <w:rPr>
                <w:sz w:val="20"/>
                <w:szCs w:val="20"/>
              </w:rPr>
            </w:pPr>
            <w:r w:rsidRPr="000301DE">
              <w:rPr>
                <w:sz w:val="20"/>
                <w:szCs w:val="20"/>
              </w:rPr>
              <w:t>119 (100.0)</w:t>
            </w:r>
          </w:p>
        </w:tc>
        <w:tc>
          <w:tcPr>
            <w:tcW w:w="1704" w:type="dxa"/>
            <w:hideMark/>
          </w:tcPr>
          <w:p w14:paraId="424ECBB3" w14:textId="77777777" w:rsidR="00E00595" w:rsidRPr="000301DE" w:rsidRDefault="00E00595" w:rsidP="000301DE">
            <w:pPr>
              <w:ind w:left="0" w:right="0"/>
              <w:rPr>
                <w:sz w:val="20"/>
                <w:szCs w:val="20"/>
              </w:rPr>
            </w:pPr>
            <w:r w:rsidRPr="000301DE">
              <w:rPr>
                <w:sz w:val="20"/>
                <w:szCs w:val="20"/>
              </w:rPr>
              <w:t>13182.9</w:t>
            </w:r>
          </w:p>
        </w:tc>
      </w:tr>
    </w:tbl>
    <w:p w14:paraId="0D96CCEB" w14:textId="1365CC6F" w:rsidR="00E00595" w:rsidRDefault="00E00595" w:rsidP="000301DE">
      <w:pPr>
        <w:pStyle w:val="TableDescription"/>
        <w:rPr>
          <w:lang w:eastAsia="ja-JP"/>
        </w:rPr>
      </w:pPr>
      <w:r>
        <w:rPr>
          <w:lang w:eastAsia="ja-JP"/>
        </w:rPr>
        <w:t xml:space="preserve">Note: </w:t>
      </w:r>
      <w:r w:rsidR="000301DE">
        <w:rPr>
          <w:lang w:eastAsia="ja-JP"/>
        </w:rPr>
        <w:t xml:space="preserve">Study </w:t>
      </w:r>
      <w:r>
        <w:rPr>
          <w:lang w:eastAsia="ja-JP"/>
        </w:rPr>
        <w:t>TDR12857 is completed. For the other 3 on-going studies, only data up to cut</w:t>
      </w:r>
      <w:r w:rsidR="000301DE">
        <w:rPr>
          <w:lang w:eastAsia="ja-JP"/>
        </w:rPr>
        <w:t xml:space="preserve">-off dates will be included: 30 September </w:t>
      </w:r>
      <w:r>
        <w:rPr>
          <w:lang w:eastAsia="ja-JP"/>
        </w:rPr>
        <w:t xml:space="preserve">2019 for </w:t>
      </w:r>
      <w:r w:rsidR="000301DE">
        <w:rPr>
          <w:lang w:eastAsia="ja-JP"/>
        </w:rPr>
        <w:t xml:space="preserve">Study ACT14132; 27 February </w:t>
      </w:r>
      <w:r>
        <w:rPr>
          <w:lang w:eastAsia="ja-JP"/>
        </w:rPr>
        <w:t xml:space="preserve">2020 for </w:t>
      </w:r>
      <w:r w:rsidR="000301DE">
        <w:rPr>
          <w:lang w:eastAsia="ja-JP"/>
        </w:rPr>
        <w:t>Study LTS13769 and 19 </w:t>
      </w:r>
      <w:r>
        <w:rPr>
          <w:lang w:eastAsia="ja-JP"/>
        </w:rPr>
        <w:t>Mar</w:t>
      </w:r>
      <w:r w:rsidR="000301DE">
        <w:rPr>
          <w:lang w:eastAsia="ja-JP"/>
        </w:rPr>
        <w:t xml:space="preserve">ch </w:t>
      </w:r>
      <w:r>
        <w:rPr>
          <w:lang w:eastAsia="ja-JP"/>
        </w:rPr>
        <w:t xml:space="preserve">2020 for </w:t>
      </w:r>
      <w:r w:rsidR="000301DE">
        <w:rPr>
          <w:lang w:eastAsia="ja-JP"/>
        </w:rPr>
        <w:t xml:space="preserve">Study </w:t>
      </w:r>
      <w:r>
        <w:rPr>
          <w:lang w:eastAsia="ja-JP"/>
        </w:rPr>
        <w:t>EFC14028</w:t>
      </w:r>
      <w:r w:rsidR="000301DE">
        <w:rPr>
          <w:lang w:eastAsia="ja-JP"/>
        </w:rPr>
        <w:t>.</w:t>
      </w:r>
    </w:p>
    <w:p w14:paraId="0C4770A0" w14:textId="774E4823" w:rsidR="000301DE" w:rsidRDefault="000301DE" w:rsidP="000301DE">
      <w:pPr>
        <w:pStyle w:val="TableDescription"/>
        <w:rPr>
          <w:lang w:eastAsia="ja-JP"/>
        </w:rPr>
      </w:pPr>
      <w:r>
        <w:rPr>
          <w:lang w:eastAsia="ja-JP"/>
        </w:rPr>
        <w:t>Infantile</w:t>
      </w:r>
      <w:r w:rsidR="00287E21">
        <w:rPr>
          <w:lang w:eastAsia="ja-JP"/>
        </w:rPr>
        <w:t>-</w:t>
      </w:r>
      <w:r>
        <w:rPr>
          <w:lang w:eastAsia="ja-JP"/>
        </w:rPr>
        <w:t xml:space="preserve">onset </w:t>
      </w:r>
      <w:proofErr w:type="spellStart"/>
      <w:r>
        <w:rPr>
          <w:lang w:eastAsia="ja-JP"/>
        </w:rPr>
        <w:t>Pompe</w:t>
      </w:r>
      <w:proofErr w:type="spellEnd"/>
      <w:r>
        <w:rPr>
          <w:lang w:eastAsia="ja-JP"/>
        </w:rPr>
        <w:t xml:space="preserve"> disease: S</w:t>
      </w:r>
      <w:r w:rsidR="00E00595">
        <w:rPr>
          <w:lang w:eastAsia="ja-JP"/>
        </w:rPr>
        <w:t>tudy ACT14</w:t>
      </w:r>
      <w:r>
        <w:rPr>
          <w:lang w:eastAsia="ja-JP"/>
        </w:rPr>
        <w:t>132.</w:t>
      </w:r>
    </w:p>
    <w:p w14:paraId="6D400712" w14:textId="11325F6D" w:rsidR="00E00595" w:rsidRDefault="000301DE" w:rsidP="000301DE">
      <w:pPr>
        <w:pStyle w:val="TableDescription"/>
        <w:rPr>
          <w:lang w:eastAsia="ja-JP"/>
        </w:rPr>
      </w:pPr>
      <w:r>
        <w:rPr>
          <w:lang w:eastAsia="ja-JP"/>
        </w:rPr>
        <w:t>Late</w:t>
      </w:r>
      <w:r w:rsidR="00287E21">
        <w:rPr>
          <w:lang w:eastAsia="ja-JP"/>
        </w:rPr>
        <w:t>-</w:t>
      </w:r>
      <w:r>
        <w:rPr>
          <w:lang w:eastAsia="ja-JP"/>
        </w:rPr>
        <w:t xml:space="preserve">onset </w:t>
      </w:r>
      <w:proofErr w:type="spellStart"/>
      <w:r>
        <w:rPr>
          <w:lang w:eastAsia="ja-JP"/>
        </w:rPr>
        <w:t>Pompe</w:t>
      </w:r>
      <w:proofErr w:type="spellEnd"/>
      <w:r>
        <w:rPr>
          <w:lang w:eastAsia="ja-JP"/>
        </w:rPr>
        <w:t xml:space="preserve"> disease: Studies </w:t>
      </w:r>
      <w:r w:rsidR="00E00595">
        <w:rPr>
          <w:lang w:eastAsia="ja-JP"/>
        </w:rPr>
        <w:t xml:space="preserve">TDR12857/LTS13769 and </w:t>
      </w:r>
      <w:r>
        <w:rPr>
          <w:lang w:eastAsia="ja-JP"/>
        </w:rPr>
        <w:t xml:space="preserve">Study </w:t>
      </w:r>
      <w:r w:rsidR="00E00595">
        <w:rPr>
          <w:lang w:eastAsia="ja-JP"/>
        </w:rPr>
        <w:t>EFC14028</w:t>
      </w:r>
    </w:p>
    <w:p w14:paraId="4C5C241E" w14:textId="77777777" w:rsidR="00E00595" w:rsidRDefault="00E00595" w:rsidP="000301DE">
      <w:pPr>
        <w:pStyle w:val="TableDescription"/>
        <w:rPr>
          <w:lang w:eastAsia="ja-JP"/>
        </w:rPr>
      </w:pPr>
      <w:r>
        <w:rPr>
          <w:lang w:eastAsia="ja-JP"/>
        </w:rPr>
        <w:t xml:space="preserve">Note: Only exposure to avalglucosidase alfa data </w:t>
      </w:r>
      <w:proofErr w:type="gramStart"/>
      <w:r>
        <w:rPr>
          <w:lang w:eastAsia="ja-JP"/>
        </w:rPr>
        <w:t>are</w:t>
      </w:r>
      <w:proofErr w:type="gramEnd"/>
      <w:r>
        <w:rPr>
          <w:lang w:eastAsia="ja-JP"/>
        </w:rPr>
        <w:t xml:space="preserve"> included. </w:t>
      </w:r>
    </w:p>
    <w:p w14:paraId="05E26001" w14:textId="77777777" w:rsidR="00E00595" w:rsidRDefault="00E00595" w:rsidP="000301DE">
      <w:pPr>
        <w:pStyle w:val="TableDescription"/>
        <w:rPr>
          <w:lang w:eastAsia="ja-JP"/>
        </w:rPr>
      </w:pPr>
      <w:r>
        <w:rPr>
          <w:lang w:eastAsia="ja-JP"/>
        </w:rPr>
        <w:t>Person time is defined as the sum of the treatment exposure of all patients in each category.</w:t>
      </w:r>
    </w:p>
    <w:p w14:paraId="325104FC" w14:textId="77777777" w:rsidR="00256387" w:rsidRDefault="00E00595" w:rsidP="000301DE">
      <w:r w:rsidRPr="000301DE">
        <w:t xml:space="preserve">In the pooled studies, the proportion of treatment-emergent adverse events (TEAE) potentially related to avalglucosidase </w:t>
      </w:r>
      <w:proofErr w:type="gramStart"/>
      <w:r w:rsidRPr="000301DE">
        <w:t>alfa  ranged</w:t>
      </w:r>
      <w:proofErr w:type="gramEnd"/>
      <w:r w:rsidRPr="000301DE">
        <w:t xml:space="preserve"> between 30% in all paediatric patients to 50% in all adult patients (47.1% overall), and treatment-emergent severe adverse events potentially related to avalglucosidase alfa  were reported only in alglucosidase alfa-naïve adult p</w:t>
      </w:r>
      <w:r w:rsidR="00256387">
        <w:t>atients (3.6% of all patients).</w:t>
      </w:r>
    </w:p>
    <w:p w14:paraId="362424DB" w14:textId="00F42C38" w:rsidR="00E00595" w:rsidRPr="000301DE" w:rsidRDefault="00E00595" w:rsidP="000301DE">
      <w:r w:rsidRPr="000301DE">
        <w:t>One patient was reported to have a TEAE resulting in death, not related to avalglucosidase alfa  (pancreatic adenocarcinoma), and four patients were reported to have permanently dis</w:t>
      </w:r>
      <w:r w:rsidR="000301DE">
        <w:t xml:space="preserve">continued avalglucosidase alfa </w:t>
      </w:r>
      <w:r w:rsidRPr="000301DE">
        <w:t xml:space="preserve">owing to a TEAE: respiratory distress and chest discomfort in one patient, and ocular hyperaemia and erythema in a second patient were considered related to study drug; whereas acute myocardial infarction in the third patient, and pregnancy in a fourth patient were not considered related to the study drug. </w:t>
      </w:r>
    </w:p>
    <w:p w14:paraId="23A6C0D3" w14:textId="59395D30" w:rsidR="00E00595" w:rsidRPr="000301DE" w:rsidRDefault="000301DE" w:rsidP="000301DE">
      <w:r>
        <w:t>Treatment-emergent adverse events (TEAEs)</w:t>
      </w:r>
      <w:r w:rsidR="00E00595" w:rsidRPr="000301DE">
        <w:t xml:space="preserve"> reported in ≥</w:t>
      </w:r>
      <w:r>
        <w:t xml:space="preserve"> </w:t>
      </w:r>
      <w:r w:rsidR="00E00595" w:rsidRPr="000301DE">
        <w:t xml:space="preserve">20% of all patients included nasopharyngitis, headache, diarrhoea, back pain, fall and nausea. In the much smaller paediatric cohort, upper respiratory tract infection (30%), rash (30%), pyrexia (30%), fall (25%) and pneumonia (25%) were most frequently recorded. TEAE were comparable between </w:t>
      </w:r>
      <w:proofErr w:type="spellStart"/>
      <w:r w:rsidR="00E00595" w:rsidRPr="000301DE">
        <w:t>avalglucosidase</w:t>
      </w:r>
      <w:proofErr w:type="spellEnd"/>
      <w:r w:rsidR="00E00595" w:rsidRPr="000301DE">
        <w:t xml:space="preserve"> alfa and </w:t>
      </w:r>
      <w:proofErr w:type="spellStart"/>
      <w:r w:rsidR="00E00595" w:rsidRPr="000301DE">
        <w:t>alglucosidase</w:t>
      </w:r>
      <w:proofErr w:type="spellEnd"/>
      <w:r w:rsidR="00E00595" w:rsidRPr="000301DE">
        <w:t xml:space="preserve"> alfa treated arms where comparative data was </w:t>
      </w:r>
      <w:r>
        <w:t xml:space="preserve">collected. </w:t>
      </w:r>
      <w:r w:rsidR="002B6B1B">
        <w:t>The m</w:t>
      </w:r>
      <w:r>
        <w:t>ost common TEAE in S</w:t>
      </w:r>
      <w:r w:rsidR="00E00595" w:rsidRPr="000301DE">
        <w:t>tudy ACT14132 Co</w:t>
      </w:r>
      <w:r>
        <w:t>hort 3 (avalglucosidase alfa versus</w:t>
      </w:r>
      <w:r w:rsidR="00E00595" w:rsidRPr="000301DE">
        <w:t xml:space="preserve"> alglucosidase alfa) are tabulated below.</w:t>
      </w:r>
    </w:p>
    <w:p w14:paraId="4F401B45" w14:textId="77777777" w:rsidR="00E00595" w:rsidRPr="000301DE" w:rsidRDefault="00E00595" w:rsidP="000301DE">
      <w:bookmarkStart w:id="50" w:name="_Toc75163470"/>
      <w:r w:rsidRPr="000301DE">
        <w:br w:type="page"/>
      </w:r>
    </w:p>
    <w:bookmarkEnd w:id="50"/>
    <w:p w14:paraId="2A9B62F8" w14:textId="53C5C558" w:rsidR="000301DE" w:rsidRDefault="000301DE" w:rsidP="000301DE">
      <w:pPr>
        <w:pStyle w:val="Tabletitle0"/>
      </w:pPr>
      <w:r>
        <w:lastRenderedPageBreak/>
        <w:t xml:space="preserve">Table </w:t>
      </w:r>
      <w:r>
        <w:fldChar w:fldCharType="begin"/>
      </w:r>
      <w:r>
        <w:instrText>SEQ Table \* ARABIC</w:instrText>
      </w:r>
      <w:r>
        <w:fldChar w:fldCharType="separate"/>
      </w:r>
      <w:r w:rsidR="004A495C">
        <w:rPr>
          <w:noProof/>
        </w:rPr>
        <w:t>5</w:t>
      </w:r>
      <w:r>
        <w:fldChar w:fldCharType="end"/>
      </w:r>
      <w:r>
        <w:t>: Study ACT14132 Most common treatment-emergent adverse events, in PAP, by primary System Organ Class and Preferred Term (safety population)</w:t>
      </w:r>
    </w:p>
    <w:tbl>
      <w:tblPr>
        <w:tblStyle w:val="TableTGAblue"/>
        <w:tblW w:w="8810" w:type="dxa"/>
        <w:tblLayout w:type="fixed"/>
        <w:tblLook w:val="0020" w:firstRow="1" w:lastRow="0" w:firstColumn="0" w:lastColumn="0" w:noHBand="0" w:noVBand="0"/>
      </w:tblPr>
      <w:tblGrid>
        <w:gridCol w:w="2825"/>
        <w:gridCol w:w="2977"/>
        <w:gridCol w:w="3008"/>
      </w:tblGrid>
      <w:tr w:rsidR="00E00595" w:rsidRPr="000301DE" w14:paraId="7D26DC24" w14:textId="77777777" w:rsidTr="00904D23">
        <w:trPr>
          <w:cnfStyle w:val="100000000000" w:firstRow="1" w:lastRow="0" w:firstColumn="0" w:lastColumn="0" w:oddVBand="0" w:evenVBand="0" w:oddHBand="0" w:evenHBand="0" w:firstRowFirstColumn="0" w:firstRowLastColumn="0" w:lastRowFirstColumn="0" w:lastRowLastColumn="0"/>
          <w:trHeight w:val="283"/>
        </w:trPr>
        <w:tc>
          <w:tcPr>
            <w:tcW w:w="2825" w:type="dxa"/>
            <w:vMerge w:val="restart"/>
            <w:tcBorders>
              <w:top w:val="single" w:sz="4" w:space="0" w:color="auto"/>
              <w:left w:val="single" w:sz="4" w:space="0" w:color="auto"/>
              <w:bottom w:val="single" w:sz="4" w:space="0" w:color="auto"/>
              <w:right w:val="single" w:sz="4" w:space="0" w:color="auto"/>
            </w:tcBorders>
          </w:tcPr>
          <w:p w14:paraId="15B29C73" w14:textId="027A773A" w:rsidR="00E00595" w:rsidRPr="00904D23" w:rsidRDefault="000301DE" w:rsidP="000301DE">
            <w:pPr>
              <w:ind w:left="0"/>
            </w:pPr>
            <w:r w:rsidRPr="00904D23">
              <w:t>Primary System Organ Class</w:t>
            </w:r>
          </w:p>
          <w:p w14:paraId="002896FD" w14:textId="1951DC1C" w:rsidR="00E00595" w:rsidRPr="00904D23" w:rsidRDefault="00E00595" w:rsidP="000301DE">
            <w:pPr>
              <w:ind w:left="0"/>
            </w:pPr>
            <w:r w:rsidRPr="00904D23">
              <w:t>Preferred Term n</w:t>
            </w:r>
            <w:r w:rsidR="00343C4C" w:rsidRPr="00904D23">
              <w:t xml:space="preserve"> </w:t>
            </w:r>
            <w:r w:rsidRPr="00904D23">
              <w:t>(%)</w:t>
            </w:r>
          </w:p>
        </w:tc>
        <w:tc>
          <w:tcPr>
            <w:tcW w:w="5985" w:type="dxa"/>
            <w:gridSpan w:val="2"/>
            <w:tcBorders>
              <w:top w:val="single" w:sz="4" w:space="0" w:color="auto"/>
              <w:left w:val="single" w:sz="4" w:space="0" w:color="auto"/>
              <w:bottom w:val="single" w:sz="4" w:space="0" w:color="auto"/>
              <w:right w:val="single" w:sz="4" w:space="0" w:color="auto"/>
            </w:tcBorders>
          </w:tcPr>
          <w:p w14:paraId="303505A8" w14:textId="77777777" w:rsidR="00E00595" w:rsidRPr="00904D23" w:rsidRDefault="00E00595" w:rsidP="000301DE">
            <w:pPr>
              <w:ind w:left="0"/>
            </w:pPr>
            <w:r w:rsidRPr="00904D23">
              <w:t>Cohort 3</w:t>
            </w:r>
          </w:p>
        </w:tc>
      </w:tr>
      <w:tr w:rsidR="00E00595" w:rsidRPr="000301DE" w14:paraId="09D2FB1B" w14:textId="77777777" w:rsidTr="00904D23">
        <w:trPr>
          <w:trHeight w:val="567"/>
        </w:trPr>
        <w:tc>
          <w:tcPr>
            <w:tcW w:w="2825" w:type="dxa"/>
            <w:vMerge/>
            <w:tcBorders>
              <w:top w:val="single" w:sz="4" w:space="0" w:color="auto"/>
              <w:left w:val="single" w:sz="4" w:space="0" w:color="auto"/>
              <w:bottom w:val="single" w:sz="4" w:space="0" w:color="auto"/>
              <w:right w:val="single" w:sz="4" w:space="0" w:color="auto"/>
            </w:tcBorders>
            <w:shd w:val="clear" w:color="auto" w:fill="006DA7"/>
          </w:tcPr>
          <w:p w14:paraId="56D83EB2" w14:textId="77777777" w:rsidR="00E00595" w:rsidRPr="00904D23" w:rsidRDefault="00E00595" w:rsidP="000301DE">
            <w:pPr>
              <w:ind w:left="0"/>
              <w:rPr>
                <w:color w:val="FFFFFF" w:themeColor="background1"/>
              </w:rPr>
            </w:pPr>
          </w:p>
        </w:tc>
        <w:tc>
          <w:tcPr>
            <w:tcW w:w="2977" w:type="dxa"/>
            <w:tcBorders>
              <w:top w:val="single" w:sz="4" w:space="0" w:color="auto"/>
              <w:left w:val="single" w:sz="4" w:space="0" w:color="auto"/>
              <w:bottom w:val="single" w:sz="4" w:space="0" w:color="auto"/>
              <w:right w:val="single" w:sz="4" w:space="0" w:color="auto"/>
            </w:tcBorders>
            <w:shd w:val="clear" w:color="auto" w:fill="006DA7"/>
          </w:tcPr>
          <w:p w14:paraId="40EA28FA" w14:textId="77777777" w:rsidR="00E00595" w:rsidRPr="00904D23" w:rsidRDefault="00E00595" w:rsidP="000301DE">
            <w:pPr>
              <w:ind w:left="0"/>
              <w:rPr>
                <w:color w:val="FFFFFF" w:themeColor="background1"/>
              </w:rPr>
            </w:pPr>
            <w:r w:rsidRPr="00904D23">
              <w:rPr>
                <w:color w:val="FFFFFF" w:themeColor="background1"/>
              </w:rPr>
              <w:t>Avalglucosidase alfa</w:t>
            </w:r>
          </w:p>
          <w:p w14:paraId="7232D163" w14:textId="788A34E7" w:rsidR="00E00595" w:rsidRPr="00904D23" w:rsidRDefault="00E00595" w:rsidP="000301DE">
            <w:pPr>
              <w:ind w:left="0"/>
              <w:rPr>
                <w:color w:val="FFFFFF" w:themeColor="background1"/>
              </w:rPr>
            </w:pPr>
            <w:r w:rsidRPr="00904D23">
              <w:rPr>
                <w:color w:val="FFFFFF" w:themeColor="background1"/>
              </w:rPr>
              <w:t>(N</w:t>
            </w:r>
            <w:r w:rsidR="00343C4C" w:rsidRPr="00904D23">
              <w:rPr>
                <w:color w:val="FFFFFF" w:themeColor="background1"/>
              </w:rPr>
              <w:t xml:space="preserve"> </w:t>
            </w:r>
            <w:r w:rsidRPr="00904D23">
              <w:rPr>
                <w:color w:val="FFFFFF" w:themeColor="background1"/>
              </w:rPr>
              <w:t>=</w:t>
            </w:r>
            <w:r w:rsidR="00343C4C" w:rsidRPr="00904D23">
              <w:rPr>
                <w:color w:val="FFFFFF" w:themeColor="background1"/>
              </w:rPr>
              <w:t xml:space="preserve"> </w:t>
            </w:r>
            <w:r w:rsidRPr="00904D23">
              <w:rPr>
                <w:color w:val="FFFFFF" w:themeColor="background1"/>
              </w:rPr>
              <w:t>5)</w:t>
            </w:r>
          </w:p>
        </w:tc>
        <w:tc>
          <w:tcPr>
            <w:tcW w:w="3008" w:type="dxa"/>
            <w:tcBorders>
              <w:top w:val="single" w:sz="4" w:space="0" w:color="auto"/>
              <w:left w:val="single" w:sz="4" w:space="0" w:color="auto"/>
              <w:bottom w:val="single" w:sz="4" w:space="0" w:color="auto"/>
              <w:right w:val="single" w:sz="4" w:space="0" w:color="auto"/>
            </w:tcBorders>
            <w:shd w:val="clear" w:color="auto" w:fill="006DA7"/>
          </w:tcPr>
          <w:p w14:paraId="2297C99D" w14:textId="77777777" w:rsidR="00E00595" w:rsidRPr="00904D23" w:rsidRDefault="00E00595" w:rsidP="000301DE">
            <w:pPr>
              <w:ind w:left="0"/>
              <w:rPr>
                <w:color w:val="FFFFFF" w:themeColor="background1"/>
              </w:rPr>
            </w:pPr>
            <w:r w:rsidRPr="00904D23">
              <w:rPr>
                <w:color w:val="FFFFFF" w:themeColor="background1"/>
              </w:rPr>
              <w:t>Alglucosidase alfa</w:t>
            </w:r>
          </w:p>
          <w:p w14:paraId="341E4F3F" w14:textId="545E4647" w:rsidR="00E00595" w:rsidRPr="00904D23" w:rsidRDefault="00E00595" w:rsidP="000301DE">
            <w:pPr>
              <w:ind w:left="0"/>
              <w:rPr>
                <w:color w:val="FFFFFF" w:themeColor="background1"/>
              </w:rPr>
            </w:pPr>
            <w:r w:rsidRPr="00904D23">
              <w:rPr>
                <w:color w:val="FFFFFF" w:themeColor="background1"/>
              </w:rPr>
              <w:t>(N</w:t>
            </w:r>
            <w:r w:rsidR="00343C4C" w:rsidRPr="00904D23">
              <w:rPr>
                <w:color w:val="FFFFFF" w:themeColor="background1"/>
              </w:rPr>
              <w:t xml:space="preserve"> </w:t>
            </w:r>
            <w:r w:rsidRPr="00904D23">
              <w:rPr>
                <w:color w:val="FFFFFF" w:themeColor="background1"/>
              </w:rPr>
              <w:t>=</w:t>
            </w:r>
            <w:r w:rsidR="00343C4C" w:rsidRPr="00904D23">
              <w:rPr>
                <w:color w:val="FFFFFF" w:themeColor="background1"/>
              </w:rPr>
              <w:t xml:space="preserve"> </w:t>
            </w:r>
            <w:r w:rsidRPr="00904D23">
              <w:rPr>
                <w:color w:val="FFFFFF" w:themeColor="background1"/>
              </w:rPr>
              <w:t>6)</w:t>
            </w:r>
          </w:p>
        </w:tc>
      </w:tr>
      <w:tr w:rsidR="00E00595" w:rsidRPr="000301DE" w14:paraId="25F39761" w14:textId="77777777" w:rsidTr="00904D23">
        <w:trPr>
          <w:trHeight w:val="283"/>
        </w:trPr>
        <w:tc>
          <w:tcPr>
            <w:tcW w:w="2825" w:type="dxa"/>
            <w:tcBorders>
              <w:top w:val="single" w:sz="4" w:space="0" w:color="auto"/>
            </w:tcBorders>
          </w:tcPr>
          <w:p w14:paraId="7DF7FEC4" w14:textId="74EBC35A" w:rsidR="00E00595" w:rsidRPr="000301DE" w:rsidRDefault="00E00595" w:rsidP="000301DE">
            <w:pPr>
              <w:ind w:left="0"/>
            </w:pPr>
            <w:r w:rsidRPr="000301DE">
              <w:t>Patient</w:t>
            </w:r>
            <w:r w:rsidR="00343C4C">
              <w:t>s</w:t>
            </w:r>
            <w:r w:rsidRPr="000301DE">
              <w:t xml:space="preserve"> with at least one TEAE</w:t>
            </w:r>
          </w:p>
        </w:tc>
        <w:tc>
          <w:tcPr>
            <w:tcW w:w="2977" w:type="dxa"/>
            <w:tcBorders>
              <w:top w:val="single" w:sz="4" w:space="0" w:color="auto"/>
            </w:tcBorders>
          </w:tcPr>
          <w:p w14:paraId="2DF59BBE" w14:textId="77777777" w:rsidR="00E00595" w:rsidRPr="000301DE" w:rsidRDefault="00E00595" w:rsidP="000301DE">
            <w:pPr>
              <w:ind w:left="0"/>
            </w:pPr>
            <w:r w:rsidRPr="000301DE">
              <w:t>5 (100)</w:t>
            </w:r>
          </w:p>
        </w:tc>
        <w:tc>
          <w:tcPr>
            <w:tcW w:w="3008" w:type="dxa"/>
            <w:tcBorders>
              <w:top w:val="single" w:sz="4" w:space="0" w:color="auto"/>
            </w:tcBorders>
          </w:tcPr>
          <w:p w14:paraId="42648949" w14:textId="77777777" w:rsidR="00E00595" w:rsidRPr="000301DE" w:rsidRDefault="00E00595" w:rsidP="000301DE">
            <w:pPr>
              <w:ind w:left="0"/>
            </w:pPr>
            <w:r w:rsidRPr="000301DE">
              <w:t>5 (83.3)</w:t>
            </w:r>
          </w:p>
        </w:tc>
      </w:tr>
      <w:tr w:rsidR="00E00595" w:rsidRPr="000301DE" w14:paraId="1994614B" w14:textId="77777777" w:rsidTr="00904D23">
        <w:trPr>
          <w:trHeight w:val="283"/>
        </w:trPr>
        <w:tc>
          <w:tcPr>
            <w:tcW w:w="2825" w:type="dxa"/>
          </w:tcPr>
          <w:p w14:paraId="0D032042" w14:textId="3BD0906C" w:rsidR="00E00595" w:rsidRPr="000301DE" w:rsidRDefault="000301DE" w:rsidP="000301DE">
            <w:pPr>
              <w:ind w:left="0"/>
              <w:rPr>
                <w:b/>
              </w:rPr>
            </w:pPr>
            <w:r w:rsidRPr="000301DE">
              <w:rPr>
                <w:b/>
              </w:rPr>
              <w:t>Infections and Infestations</w:t>
            </w:r>
          </w:p>
        </w:tc>
        <w:tc>
          <w:tcPr>
            <w:tcW w:w="2977" w:type="dxa"/>
          </w:tcPr>
          <w:p w14:paraId="4BF94A69" w14:textId="77777777" w:rsidR="00E00595" w:rsidRPr="000301DE" w:rsidRDefault="00E00595" w:rsidP="000301DE">
            <w:pPr>
              <w:ind w:left="0"/>
            </w:pPr>
            <w:r w:rsidRPr="000301DE">
              <w:t>2 (40.0)</w:t>
            </w:r>
          </w:p>
        </w:tc>
        <w:tc>
          <w:tcPr>
            <w:tcW w:w="3008" w:type="dxa"/>
          </w:tcPr>
          <w:p w14:paraId="35A86E18" w14:textId="77777777" w:rsidR="00E00595" w:rsidRPr="000301DE" w:rsidRDefault="00E00595" w:rsidP="000301DE">
            <w:pPr>
              <w:ind w:left="0"/>
            </w:pPr>
            <w:r w:rsidRPr="000301DE">
              <w:t>3 (50.0)</w:t>
            </w:r>
          </w:p>
        </w:tc>
      </w:tr>
      <w:tr w:rsidR="00E00595" w:rsidRPr="000301DE" w14:paraId="76FD99A6" w14:textId="77777777" w:rsidTr="00904D23">
        <w:trPr>
          <w:trHeight w:val="283"/>
        </w:trPr>
        <w:tc>
          <w:tcPr>
            <w:tcW w:w="2825" w:type="dxa"/>
          </w:tcPr>
          <w:p w14:paraId="6C65342A" w14:textId="77777777" w:rsidR="00E00595" w:rsidRPr="000301DE" w:rsidRDefault="00E00595" w:rsidP="000301DE">
            <w:pPr>
              <w:ind w:left="0"/>
            </w:pPr>
            <w:r w:rsidRPr="000301DE">
              <w:t>Upper respiratory tract infection</w:t>
            </w:r>
          </w:p>
        </w:tc>
        <w:tc>
          <w:tcPr>
            <w:tcW w:w="2977" w:type="dxa"/>
          </w:tcPr>
          <w:p w14:paraId="018F18C3" w14:textId="77777777" w:rsidR="00E00595" w:rsidRPr="000301DE" w:rsidRDefault="00E00595" w:rsidP="000301DE">
            <w:pPr>
              <w:ind w:left="0"/>
            </w:pPr>
            <w:r w:rsidRPr="000301DE">
              <w:t>2 (40.0)</w:t>
            </w:r>
          </w:p>
        </w:tc>
        <w:tc>
          <w:tcPr>
            <w:tcW w:w="3008" w:type="dxa"/>
          </w:tcPr>
          <w:p w14:paraId="69B59AB9" w14:textId="77777777" w:rsidR="00E00595" w:rsidRPr="000301DE" w:rsidRDefault="00E00595" w:rsidP="000301DE">
            <w:pPr>
              <w:ind w:left="0"/>
            </w:pPr>
            <w:r w:rsidRPr="000301DE">
              <w:t>1 (16.7)</w:t>
            </w:r>
          </w:p>
        </w:tc>
      </w:tr>
      <w:tr w:rsidR="00E00595" w:rsidRPr="000301DE" w14:paraId="0148BEA6" w14:textId="77777777" w:rsidTr="00904D23">
        <w:trPr>
          <w:trHeight w:val="283"/>
        </w:trPr>
        <w:tc>
          <w:tcPr>
            <w:tcW w:w="2825" w:type="dxa"/>
          </w:tcPr>
          <w:p w14:paraId="79FC76ED" w14:textId="77777777" w:rsidR="00E00595" w:rsidRPr="000301DE" w:rsidRDefault="00E00595" w:rsidP="000301DE">
            <w:pPr>
              <w:ind w:left="0"/>
            </w:pPr>
            <w:r w:rsidRPr="000301DE">
              <w:t>Urinary tract infection</w:t>
            </w:r>
          </w:p>
        </w:tc>
        <w:tc>
          <w:tcPr>
            <w:tcW w:w="2977" w:type="dxa"/>
          </w:tcPr>
          <w:p w14:paraId="656B6B97" w14:textId="77777777" w:rsidR="00E00595" w:rsidRPr="000301DE" w:rsidRDefault="00E00595" w:rsidP="000301DE">
            <w:pPr>
              <w:ind w:left="0"/>
            </w:pPr>
            <w:r w:rsidRPr="000301DE">
              <w:t>0</w:t>
            </w:r>
          </w:p>
        </w:tc>
        <w:tc>
          <w:tcPr>
            <w:tcW w:w="3008" w:type="dxa"/>
          </w:tcPr>
          <w:p w14:paraId="650B65AE" w14:textId="77777777" w:rsidR="00E00595" w:rsidRPr="000301DE" w:rsidRDefault="00E00595" w:rsidP="000301DE">
            <w:pPr>
              <w:ind w:left="0"/>
            </w:pPr>
            <w:r w:rsidRPr="000301DE">
              <w:t>1 (16.7)</w:t>
            </w:r>
          </w:p>
        </w:tc>
      </w:tr>
      <w:tr w:rsidR="00E00595" w:rsidRPr="000301DE" w14:paraId="295A540B" w14:textId="77777777" w:rsidTr="00904D23">
        <w:trPr>
          <w:trHeight w:val="283"/>
        </w:trPr>
        <w:tc>
          <w:tcPr>
            <w:tcW w:w="2825" w:type="dxa"/>
          </w:tcPr>
          <w:p w14:paraId="5EC69223" w14:textId="77777777" w:rsidR="00E00595" w:rsidRPr="000301DE" w:rsidRDefault="00E00595" w:rsidP="000301DE">
            <w:pPr>
              <w:ind w:left="0"/>
            </w:pPr>
            <w:r w:rsidRPr="000301DE">
              <w:t>Otitis media</w:t>
            </w:r>
          </w:p>
        </w:tc>
        <w:tc>
          <w:tcPr>
            <w:tcW w:w="2977" w:type="dxa"/>
          </w:tcPr>
          <w:p w14:paraId="02E12C86" w14:textId="77777777" w:rsidR="00E00595" w:rsidRPr="000301DE" w:rsidRDefault="00E00595" w:rsidP="000301DE">
            <w:pPr>
              <w:ind w:left="0"/>
            </w:pPr>
            <w:r w:rsidRPr="000301DE">
              <w:t>0</w:t>
            </w:r>
          </w:p>
        </w:tc>
        <w:tc>
          <w:tcPr>
            <w:tcW w:w="3008" w:type="dxa"/>
          </w:tcPr>
          <w:p w14:paraId="1375CD86" w14:textId="77777777" w:rsidR="00E00595" w:rsidRPr="000301DE" w:rsidRDefault="00E00595" w:rsidP="000301DE">
            <w:pPr>
              <w:ind w:left="0"/>
            </w:pPr>
            <w:r w:rsidRPr="000301DE">
              <w:t>1 (16.7)</w:t>
            </w:r>
          </w:p>
        </w:tc>
      </w:tr>
      <w:tr w:rsidR="00E00595" w:rsidRPr="000301DE" w14:paraId="2712C798" w14:textId="77777777" w:rsidTr="00904D23">
        <w:trPr>
          <w:trHeight w:val="283"/>
        </w:trPr>
        <w:tc>
          <w:tcPr>
            <w:tcW w:w="2825" w:type="dxa"/>
          </w:tcPr>
          <w:p w14:paraId="0956E39F" w14:textId="77777777" w:rsidR="00E00595" w:rsidRPr="000301DE" w:rsidRDefault="00E00595" w:rsidP="000301DE">
            <w:pPr>
              <w:ind w:left="0"/>
            </w:pPr>
            <w:r w:rsidRPr="000301DE">
              <w:t>Pneumonia</w:t>
            </w:r>
          </w:p>
        </w:tc>
        <w:tc>
          <w:tcPr>
            <w:tcW w:w="2977" w:type="dxa"/>
          </w:tcPr>
          <w:p w14:paraId="6566F206" w14:textId="77777777" w:rsidR="00E00595" w:rsidRPr="000301DE" w:rsidRDefault="00E00595" w:rsidP="000301DE">
            <w:pPr>
              <w:ind w:left="0"/>
            </w:pPr>
            <w:r w:rsidRPr="000301DE">
              <w:t>0</w:t>
            </w:r>
          </w:p>
        </w:tc>
        <w:tc>
          <w:tcPr>
            <w:tcW w:w="3008" w:type="dxa"/>
          </w:tcPr>
          <w:p w14:paraId="395FB0EA" w14:textId="77777777" w:rsidR="00E00595" w:rsidRPr="000301DE" w:rsidRDefault="00E00595" w:rsidP="000301DE">
            <w:pPr>
              <w:ind w:left="0"/>
            </w:pPr>
            <w:r w:rsidRPr="000301DE">
              <w:t>1 (16.7)</w:t>
            </w:r>
          </w:p>
        </w:tc>
      </w:tr>
      <w:tr w:rsidR="00E00595" w:rsidRPr="000301DE" w14:paraId="14EE1307" w14:textId="77777777" w:rsidTr="00904D23">
        <w:trPr>
          <w:trHeight w:val="283"/>
        </w:trPr>
        <w:tc>
          <w:tcPr>
            <w:tcW w:w="2825" w:type="dxa"/>
          </w:tcPr>
          <w:p w14:paraId="167FC9BE" w14:textId="77777777" w:rsidR="00E00595" w:rsidRPr="000301DE" w:rsidRDefault="00E00595" w:rsidP="000301DE">
            <w:pPr>
              <w:ind w:left="0"/>
            </w:pPr>
            <w:r w:rsidRPr="000301DE">
              <w:t>Viral infection</w:t>
            </w:r>
          </w:p>
        </w:tc>
        <w:tc>
          <w:tcPr>
            <w:tcW w:w="2977" w:type="dxa"/>
          </w:tcPr>
          <w:p w14:paraId="3F6B485A" w14:textId="77777777" w:rsidR="00E00595" w:rsidRPr="000301DE" w:rsidRDefault="00E00595" w:rsidP="000301DE">
            <w:pPr>
              <w:ind w:left="0"/>
            </w:pPr>
            <w:r w:rsidRPr="000301DE">
              <w:t>0</w:t>
            </w:r>
          </w:p>
        </w:tc>
        <w:tc>
          <w:tcPr>
            <w:tcW w:w="3008" w:type="dxa"/>
          </w:tcPr>
          <w:p w14:paraId="11C385BB" w14:textId="77777777" w:rsidR="00E00595" w:rsidRPr="000301DE" w:rsidRDefault="00E00595" w:rsidP="000301DE">
            <w:pPr>
              <w:ind w:left="0"/>
            </w:pPr>
            <w:r w:rsidRPr="000301DE">
              <w:t>2 (33.3)</w:t>
            </w:r>
          </w:p>
        </w:tc>
      </w:tr>
      <w:tr w:rsidR="00E00595" w:rsidRPr="000301DE" w14:paraId="50BBCCDB" w14:textId="77777777" w:rsidTr="00904D23">
        <w:trPr>
          <w:trHeight w:val="283"/>
        </w:trPr>
        <w:tc>
          <w:tcPr>
            <w:tcW w:w="2825" w:type="dxa"/>
          </w:tcPr>
          <w:p w14:paraId="0C5CC0F3" w14:textId="7C87A06F" w:rsidR="00E00595" w:rsidRPr="000301DE" w:rsidRDefault="000301DE" w:rsidP="000301DE">
            <w:pPr>
              <w:ind w:left="0"/>
              <w:rPr>
                <w:b/>
              </w:rPr>
            </w:pPr>
            <w:r w:rsidRPr="000301DE">
              <w:rPr>
                <w:b/>
              </w:rPr>
              <w:t>Nervous System Disorders</w:t>
            </w:r>
          </w:p>
        </w:tc>
        <w:tc>
          <w:tcPr>
            <w:tcW w:w="2977" w:type="dxa"/>
          </w:tcPr>
          <w:p w14:paraId="5D62CFBD" w14:textId="77777777" w:rsidR="00E00595" w:rsidRPr="000301DE" w:rsidRDefault="00E00595" w:rsidP="000301DE">
            <w:pPr>
              <w:ind w:left="0"/>
            </w:pPr>
            <w:r w:rsidRPr="000301DE">
              <w:t>2 (40.0)</w:t>
            </w:r>
          </w:p>
        </w:tc>
        <w:tc>
          <w:tcPr>
            <w:tcW w:w="3008" w:type="dxa"/>
          </w:tcPr>
          <w:p w14:paraId="32C87EF8" w14:textId="77777777" w:rsidR="00E00595" w:rsidRPr="000301DE" w:rsidRDefault="00E00595" w:rsidP="000301DE">
            <w:pPr>
              <w:ind w:left="0"/>
            </w:pPr>
            <w:r w:rsidRPr="000301DE">
              <w:t>0</w:t>
            </w:r>
          </w:p>
        </w:tc>
      </w:tr>
      <w:tr w:rsidR="00E00595" w:rsidRPr="000301DE" w14:paraId="37C42349" w14:textId="77777777" w:rsidTr="00904D23">
        <w:trPr>
          <w:trHeight w:val="283"/>
        </w:trPr>
        <w:tc>
          <w:tcPr>
            <w:tcW w:w="2825" w:type="dxa"/>
          </w:tcPr>
          <w:p w14:paraId="4FAEC274" w14:textId="77777777" w:rsidR="00E00595" w:rsidRPr="000301DE" w:rsidRDefault="00E00595" w:rsidP="000301DE">
            <w:pPr>
              <w:ind w:left="0"/>
            </w:pPr>
            <w:r w:rsidRPr="000301DE">
              <w:t>Headache</w:t>
            </w:r>
          </w:p>
        </w:tc>
        <w:tc>
          <w:tcPr>
            <w:tcW w:w="2977" w:type="dxa"/>
          </w:tcPr>
          <w:p w14:paraId="7E66AE42" w14:textId="77777777" w:rsidR="00E00595" w:rsidRPr="000301DE" w:rsidRDefault="00E00595" w:rsidP="000301DE">
            <w:pPr>
              <w:ind w:left="0"/>
            </w:pPr>
            <w:r w:rsidRPr="000301DE">
              <w:t>2 (40.0)</w:t>
            </w:r>
          </w:p>
        </w:tc>
        <w:tc>
          <w:tcPr>
            <w:tcW w:w="3008" w:type="dxa"/>
          </w:tcPr>
          <w:p w14:paraId="44381D2D" w14:textId="77777777" w:rsidR="00E00595" w:rsidRPr="000301DE" w:rsidRDefault="00E00595" w:rsidP="000301DE">
            <w:pPr>
              <w:ind w:left="0"/>
            </w:pPr>
            <w:r w:rsidRPr="000301DE">
              <w:t>0</w:t>
            </w:r>
          </w:p>
        </w:tc>
      </w:tr>
      <w:tr w:rsidR="00E00595" w:rsidRPr="000301DE" w14:paraId="08682517" w14:textId="77777777" w:rsidTr="00904D23">
        <w:trPr>
          <w:trHeight w:val="283"/>
        </w:trPr>
        <w:tc>
          <w:tcPr>
            <w:tcW w:w="2825" w:type="dxa"/>
          </w:tcPr>
          <w:p w14:paraId="7A8A7C7C" w14:textId="15FE551A" w:rsidR="00E00595" w:rsidRPr="000301DE" w:rsidRDefault="000301DE" w:rsidP="000301DE">
            <w:pPr>
              <w:ind w:left="0"/>
              <w:rPr>
                <w:b/>
              </w:rPr>
            </w:pPr>
            <w:r w:rsidRPr="000301DE">
              <w:rPr>
                <w:b/>
              </w:rPr>
              <w:t>Eye Disorders</w:t>
            </w:r>
          </w:p>
        </w:tc>
        <w:tc>
          <w:tcPr>
            <w:tcW w:w="2977" w:type="dxa"/>
          </w:tcPr>
          <w:p w14:paraId="2DD6A080" w14:textId="77777777" w:rsidR="00E00595" w:rsidRPr="000301DE" w:rsidRDefault="00E00595" w:rsidP="000301DE">
            <w:pPr>
              <w:ind w:left="0"/>
            </w:pPr>
            <w:r w:rsidRPr="000301DE">
              <w:t>2 (40.0)</w:t>
            </w:r>
          </w:p>
        </w:tc>
        <w:tc>
          <w:tcPr>
            <w:tcW w:w="3008" w:type="dxa"/>
          </w:tcPr>
          <w:p w14:paraId="1DD8274B" w14:textId="77777777" w:rsidR="00E00595" w:rsidRPr="000301DE" w:rsidRDefault="00E00595" w:rsidP="000301DE">
            <w:pPr>
              <w:ind w:left="0"/>
            </w:pPr>
            <w:r w:rsidRPr="000301DE">
              <w:t>0</w:t>
            </w:r>
          </w:p>
        </w:tc>
      </w:tr>
      <w:tr w:rsidR="00E00595" w:rsidRPr="000301DE" w14:paraId="48A388EF" w14:textId="77777777" w:rsidTr="00904D23">
        <w:trPr>
          <w:trHeight w:val="283"/>
        </w:trPr>
        <w:tc>
          <w:tcPr>
            <w:tcW w:w="2825" w:type="dxa"/>
          </w:tcPr>
          <w:p w14:paraId="1E63A9B7" w14:textId="77777777" w:rsidR="00E00595" w:rsidRPr="000301DE" w:rsidRDefault="00E00595" w:rsidP="000301DE">
            <w:pPr>
              <w:ind w:left="0"/>
            </w:pPr>
            <w:r w:rsidRPr="000301DE">
              <w:t>Eye irritation</w:t>
            </w:r>
          </w:p>
        </w:tc>
        <w:tc>
          <w:tcPr>
            <w:tcW w:w="2977" w:type="dxa"/>
          </w:tcPr>
          <w:p w14:paraId="70729A75" w14:textId="77777777" w:rsidR="00E00595" w:rsidRPr="000301DE" w:rsidRDefault="00E00595" w:rsidP="000301DE">
            <w:pPr>
              <w:ind w:left="0"/>
            </w:pPr>
            <w:r w:rsidRPr="000301DE">
              <w:t>2 (40.0)</w:t>
            </w:r>
          </w:p>
        </w:tc>
        <w:tc>
          <w:tcPr>
            <w:tcW w:w="3008" w:type="dxa"/>
          </w:tcPr>
          <w:p w14:paraId="779C778E" w14:textId="77777777" w:rsidR="00E00595" w:rsidRPr="000301DE" w:rsidRDefault="00E00595" w:rsidP="000301DE">
            <w:pPr>
              <w:ind w:left="0"/>
            </w:pPr>
            <w:r w:rsidRPr="000301DE">
              <w:t>0</w:t>
            </w:r>
          </w:p>
        </w:tc>
      </w:tr>
      <w:tr w:rsidR="00E00595" w:rsidRPr="000301DE" w14:paraId="0882A827" w14:textId="77777777" w:rsidTr="00904D23">
        <w:trPr>
          <w:trHeight w:val="283"/>
        </w:trPr>
        <w:tc>
          <w:tcPr>
            <w:tcW w:w="2825" w:type="dxa"/>
          </w:tcPr>
          <w:p w14:paraId="44C90686" w14:textId="77777777" w:rsidR="00E00595" w:rsidRPr="000301DE" w:rsidRDefault="00E00595" w:rsidP="000301DE">
            <w:pPr>
              <w:ind w:left="0"/>
            </w:pPr>
            <w:r w:rsidRPr="000301DE">
              <w:t>Eyelid ptosis</w:t>
            </w:r>
          </w:p>
        </w:tc>
        <w:tc>
          <w:tcPr>
            <w:tcW w:w="2977" w:type="dxa"/>
          </w:tcPr>
          <w:p w14:paraId="6F0C2A61" w14:textId="77777777" w:rsidR="00E00595" w:rsidRPr="000301DE" w:rsidRDefault="00E00595" w:rsidP="000301DE">
            <w:pPr>
              <w:ind w:left="0"/>
            </w:pPr>
            <w:r w:rsidRPr="000301DE">
              <w:t>0</w:t>
            </w:r>
          </w:p>
        </w:tc>
        <w:tc>
          <w:tcPr>
            <w:tcW w:w="3008" w:type="dxa"/>
          </w:tcPr>
          <w:p w14:paraId="40C2B410" w14:textId="77777777" w:rsidR="00E00595" w:rsidRPr="000301DE" w:rsidRDefault="00E00595" w:rsidP="000301DE">
            <w:pPr>
              <w:ind w:left="0"/>
            </w:pPr>
            <w:r w:rsidRPr="000301DE">
              <w:t>0</w:t>
            </w:r>
          </w:p>
        </w:tc>
      </w:tr>
      <w:tr w:rsidR="00E00595" w:rsidRPr="000301DE" w14:paraId="20E6952E" w14:textId="77777777" w:rsidTr="00904D23">
        <w:trPr>
          <w:trHeight w:val="283"/>
        </w:trPr>
        <w:tc>
          <w:tcPr>
            <w:tcW w:w="2825" w:type="dxa"/>
          </w:tcPr>
          <w:p w14:paraId="17798795" w14:textId="54597685" w:rsidR="00E00595" w:rsidRPr="000301DE" w:rsidRDefault="000301DE" w:rsidP="000301DE">
            <w:pPr>
              <w:ind w:left="0"/>
              <w:rPr>
                <w:b/>
              </w:rPr>
            </w:pPr>
            <w:r w:rsidRPr="000301DE">
              <w:rPr>
                <w:b/>
              </w:rPr>
              <w:t>Ear and labyrinth disorders</w:t>
            </w:r>
          </w:p>
        </w:tc>
        <w:tc>
          <w:tcPr>
            <w:tcW w:w="2977" w:type="dxa"/>
          </w:tcPr>
          <w:p w14:paraId="2C532770" w14:textId="77777777" w:rsidR="00E00595" w:rsidRPr="000301DE" w:rsidRDefault="00E00595" w:rsidP="000301DE">
            <w:pPr>
              <w:ind w:left="0"/>
            </w:pPr>
            <w:r w:rsidRPr="000301DE">
              <w:t>1 (20.0)</w:t>
            </w:r>
          </w:p>
        </w:tc>
        <w:tc>
          <w:tcPr>
            <w:tcW w:w="3008" w:type="dxa"/>
          </w:tcPr>
          <w:p w14:paraId="0D1CB208" w14:textId="77777777" w:rsidR="00E00595" w:rsidRPr="000301DE" w:rsidRDefault="00E00595" w:rsidP="000301DE">
            <w:pPr>
              <w:ind w:left="0"/>
            </w:pPr>
            <w:r w:rsidRPr="000301DE">
              <w:t>2 (33.3)</w:t>
            </w:r>
          </w:p>
        </w:tc>
      </w:tr>
      <w:tr w:rsidR="00E00595" w:rsidRPr="000301DE" w14:paraId="561D7452" w14:textId="77777777" w:rsidTr="00904D23">
        <w:trPr>
          <w:trHeight w:val="283"/>
        </w:trPr>
        <w:tc>
          <w:tcPr>
            <w:tcW w:w="2825" w:type="dxa"/>
          </w:tcPr>
          <w:p w14:paraId="48F5C8FF" w14:textId="77777777" w:rsidR="00E00595" w:rsidRPr="000301DE" w:rsidRDefault="00E00595" w:rsidP="000301DE">
            <w:pPr>
              <w:ind w:left="0"/>
            </w:pPr>
            <w:r w:rsidRPr="000301DE">
              <w:t>Excessive cerumen production</w:t>
            </w:r>
          </w:p>
        </w:tc>
        <w:tc>
          <w:tcPr>
            <w:tcW w:w="2977" w:type="dxa"/>
          </w:tcPr>
          <w:p w14:paraId="182CBCD3" w14:textId="77777777" w:rsidR="00E00595" w:rsidRPr="000301DE" w:rsidRDefault="00E00595" w:rsidP="000301DE">
            <w:pPr>
              <w:ind w:left="0"/>
            </w:pPr>
            <w:r w:rsidRPr="000301DE">
              <w:t>0</w:t>
            </w:r>
          </w:p>
        </w:tc>
        <w:tc>
          <w:tcPr>
            <w:tcW w:w="3008" w:type="dxa"/>
          </w:tcPr>
          <w:p w14:paraId="0754AA7F" w14:textId="77777777" w:rsidR="00E00595" w:rsidRPr="000301DE" w:rsidRDefault="00E00595" w:rsidP="000301DE">
            <w:pPr>
              <w:ind w:left="0"/>
            </w:pPr>
            <w:r w:rsidRPr="000301DE">
              <w:t>1 (16.7)</w:t>
            </w:r>
          </w:p>
        </w:tc>
      </w:tr>
      <w:tr w:rsidR="00E00595" w:rsidRPr="000301DE" w14:paraId="5029B51E" w14:textId="77777777" w:rsidTr="00904D23">
        <w:trPr>
          <w:trHeight w:val="283"/>
        </w:trPr>
        <w:tc>
          <w:tcPr>
            <w:tcW w:w="2825" w:type="dxa"/>
          </w:tcPr>
          <w:p w14:paraId="430451BE" w14:textId="77777777" w:rsidR="00E00595" w:rsidRPr="000301DE" w:rsidRDefault="00E00595" w:rsidP="000301DE">
            <w:pPr>
              <w:ind w:left="0"/>
            </w:pPr>
            <w:r w:rsidRPr="000301DE">
              <w:t>Middle ear effusion</w:t>
            </w:r>
          </w:p>
        </w:tc>
        <w:tc>
          <w:tcPr>
            <w:tcW w:w="2977" w:type="dxa"/>
          </w:tcPr>
          <w:p w14:paraId="17C0CBB4" w14:textId="77777777" w:rsidR="00E00595" w:rsidRPr="000301DE" w:rsidRDefault="00E00595" w:rsidP="000301DE">
            <w:pPr>
              <w:ind w:left="0"/>
            </w:pPr>
            <w:r w:rsidRPr="000301DE">
              <w:t>1 (20.0)</w:t>
            </w:r>
          </w:p>
        </w:tc>
        <w:tc>
          <w:tcPr>
            <w:tcW w:w="3008" w:type="dxa"/>
          </w:tcPr>
          <w:p w14:paraId="5A537E86" w14:textId="77777777" w:rsidR="00E00595" w:rsidRPr="000301DE" w:rsidRDefault="00E00595" w:rsidP="000301DE">
            <w:pPr>
              <w:ind w:left="0"/>
            </w:pPr>
            <w:r w:rsidRPr="000301DE">
              <w:t>1 (16.7)</w:t>
            </w:r>
          </w:p>
        </w:tc>
      </w:tr>
      <w:tr w:rsidR="00E00595" w:rsidRPr="000301DE" w14:paraId="5A2BCD1A" w14:textId="77777777" w:rsidTr="00904D23">
        <w:trPr>
          <w:trHeight w:val="283"/>
        </w:trPr>
        <w:tc>
          <w:tcPr>
            <w:tcW w:w="2825" w:type="dxa"/>
          </w:tcPr>
          <w:p w14:paraId="6B1622F4" w14:textId="3F443DB1" w:rsidR="00E00595" w:rsidRPr="000301DE" w:rsidRDefault="000301DE" w:rsidP="000301DE">
            <w:pPr>
              <w:ind w:left="0"/>
              <w:rPr>
                <w:b/>
              </w:rPr>
            </w:pPr>
            <w:r w:rsidRPr="000301DE">
              <w:rPr>
                <w:b/>
              </w:rPr>
              <w:t xml:space="preserve">Respiratory, </w:t>
            </w:r>
            <w:proofErr w:type="gramStart"/>
            <w:r w:rsidRPr="000301DE">
              <w:rPr>
                <w:b/>
              </w:rPr>
              <w:t>thoracic</w:t>
            </w:r>
            <w:proofErr w:type="gramEnd"/>
            <w:r w:rsidRPr="000301DE">
              <w:rPr>
                <w:b/>
              </w:rPr>
              <w:t xml:space="preserve"> and mediastinal disorders</w:t>
            </w:r>
          </w:p>
        </w:tc>
        <w:tc>
          <w:tcPr>
            <w:tcW w:w="2977" w:type="dxa"/>
          </w:tcPr>
          <w:p w14:paraId="4B47C96D" w14:textId="77777777" w:rsidR="00E00595" w:rsidRPr="000301DE" w:rsidRDefault="00E00595" w:rsidP="000301DE">
            <w:pPr>
              <w:ind w:left="0"/>
            </w:pPr>
            <w:r w:rsidRPr="000301DE">
              <w:t>2 (40.0)</w:t>
            </w:r>
          </w:p>
        </w:tc>
        <w:tc>
          <w:tcPr>
            <w:tcW w:w="3008" w:type="dxa"/>
          </w:tcPr>
          <w:p w14:paraId="1C072BE6" w14:textId="77777777" w:rsidR="00E00595" w:rsidRPr="000301DE" w:rsidRDefault="00E00595" w:rsidP="000301DE">
            <w:pPr>
              <w:ind w:left="0"/>
            </w:pPr>
            <w:r w:rsidRPr="000301DE">
              <w:t>1 (16.7)</w:t>
            </w:r>
          </w:p>
        </w:tc>
      </w:tr>
      <w:tr w:rsidR="00E00595" w:rsidRPr="000301DE" w14:paraId="711FF55B" w14:textId="77777777" w:rsidTr="00904D23">
        <w:trPr>
          <w:trHeight w:val="283"/>
        </w:trPr>
        <w:tc>
          <w:tcPr>
            <w:tcW w:w="2825" w:type="dxa"/>
          </w:tcPr>
          <w:p w14:paraId="5D684146" w14:textId="77777777" w:rsidR="00E00595" w:rsidRPr="000301DE" w:rsidRDefault="00E00595" w:rsidP="000301DE">
            <w:pPr>
              <w:ind w:left="0"/>
            </w:pPr>
            <w:r w:rsidRPr="000301DE">
              <w:t>Cough</w:t>
            </w:r>
          </w:p>
        </w:tc>
        <w:tc>
          <w:tcPr>
            <w:tcW w:w="2977" w:type="dxa"/>
          </w:tcPr>
          <w:p w14:paraId="039D0AAD" w14:textId="77777777" w:rsidR="00E00595" w:rsidRPr="000301DE" w:rsidRDefault="00E00595" w:rsidP="000301DE">
            <w:pPr>
              <w:ind w:left="0"/>
            </w:pPr>
            <w:r w:rsidRPr="000301DE">
              <w:t>2 (40.0)</w:t>
            </w:r>
          </w:p>
        </w:tc>
        <w:tc>
          <w:tcPr>
            <w:tcW w:w="3008" w:type="dxa"/>
          </w:tcPr>
          <w:p w14:paraId="3AAF4612" w14:textId="77777777" w:rsidR="00E00595" w:rsidRPr="000301DE" w:rsidRDefault="00E00595" w:rsidP="000301DE">
            <w:pPr>
              <w:ind w:left="0"/>
            </w:pPr>
            <w:r w:rsidRPr="000301DE">
              <w:t>0</w:t>
            </w:r>
          </w:p>
        </w:tc>
      </w:tr>
      <w:tr w:rsidR="00E00595" w:rsidRPr="000301DE" w14:paraId="1FFDAAEE" w14:textId="77777777" w:rsidTr="00904D23">
        <w:trPr>
          <w:trHeight w:val="283"/>
        </w:trPr>
        <w:tc>
          <w:tcPr>
            <w:tcW w:w="2825" w:type="dxa"/>
          </w:tcPr>
          <w:p w14:paraId="72149592" w14:textId="77777777" w:rsidR="00E00595" w:rsidRPr="000301DE" w:rsidRDefault="00E00595" w:rsidP="000301DE">
            <w:pPr>
              <w:ind w:left="0"/>
            </w:pPr>
            <w:r w:rsidRPr="000301DE">
              <w:t>Oropharyngeal pain</w:t>
            </w:r>
          </w:p>
        </w:tc>
        <w:tc>
          <w:tcPr>
            <w:tcW w:w="2977" w:type="dxa"/>
          </w:tcPr>
          <w:p w14:paraId="1ABB0970" w14:textId="77777777" w:rsidR="00E00595" w:rsidRPr="000301DE" w:rsidRDefault="00E00595" w:rsidP="000301DE">
            <w:pPr>
              <w:ind w:left="0"/>
            </w:pPr>
            <w:r w:rsidRPr="000301DE">
              <w:t>0</w:t>
            </w:r>
          </w:p>
        </w:tc>
        <w:tc>
          <w:tcPr>
            <w:tcW w:w="3008" w:type="dxa"/>
          </w:tcPr>
          <w:p w14:paraId="1465C9DC" w14:textId="77777777" w:rsidR="00E00595" w:rsidRPr="000301DE" w:rsidRDefault="00E00595" w:rsidP="000301DE">
            <w:pPr>
              <w:ind w:left="0"/>
            </w:pPr>
            <w:r w:rsidRPr="000301DE">
              <w:t>0</w:t>
            </w:r>
          </w:p>
        </w:tc>
      </w:tr>
      <w:tr w:rsidR="00E00595" w:rsidRPr="000301DE" w14:paraId="3C4CF209" w14:textId="77777777" w:rsidTr="00904D23">
        <w:trPr>
          <w:trHeight w:val="283"/>
        </w:trPr>
        <w:tc>
          <w:tcPr>
            <w:tcW w:w="2825" w:type="dxa"/>
          </w:tcPr>
          <w:p w14:paraId="6193342A" w14:textId="77777777" w:rsidR="00E00595" w:rsidRPr="000301DE" w:rsidRDefault="00E00595" w:rsidP="000301DE">
            <w:pPr>
              <w:ind w:left="0"/>
            </w:pPr>
            <w:r w:rsidRPr="000301DE">
              <w:t>Rhinorrhoea</w:t>
            </w:r>
          </w:p>
        </w:tc>
        <w:tc>
          <w:tcPr>
            <w:tcW w:w="2977" w:type="dxa"/>
          </w:tcPr>
          <w:p w14:paraId="674528F0" w14:textId="77777777" w:rsidR="00E00595" w:rsidRPr="000301DE" w:rsidRDefault="00E00595" w:rsidP="000301DE">
            <w:pPr>
              <w:ind w:left="0"/>
            </w:pPr>
            <w:r w:rsidRPr="000301DE">
              <w:t>2 (40.0)</w:t>
            </w:r>
          </w:p>
        </w:tc>
        <w:tc>
          <w:tcPr>
            <w:tcW w:w="3008" w:type="dxa"/>
          </w:tcPr>
          <w:p w14:paraId="63407ECA" w14:textId="77777777" w:rsidR="00E00595" w:rsidRPr="000301DE" w:rsidRDefault="00E00595" w:rsidP="000301DE">
            <w:pPr>
              <w:ind w:left="0"/>
            </w:pPr>
            <w:r w:rsidRPr="000301DE">
              <w:t>1 (16.7)</w:t>
            </w:r>
          </w:p>
        </w:tc>
      </w:tr>
      <w:tr w:rsidR="00E00595" w:rsidRPr="000301DE" w14:paraId="54653D55" w14:textId="77777777" w:rsidTr="00904D23">
        <w:trPr>
          <w:trHeight w:val="283"/>
        </w:trPr>
        <w:tc>
          <w:tcPr>
            <w:tcW w:w="2825" w:type="dxa"/>
          </w:tcPr>
          <w:p w14:paraId="6EEE1743" w14:textId="074E4BA6" w:rsidR="00E00595" w:rsidRPr="008D3427" w:rsidRDefault="008D3427" w:rsidP="000301DE">
            <w:pPr>
              <w:ind w:left="0"/>
              <w:rPr>
                <w:b/>
              </w:rPr>
            </w:pPr>
            <w:r>
              <w:rPr>
                <w:b/>
              </w:rPr>
              <w:lastRenderedPageBreak/>
              <w:t>Gastrointestinal d</w:t>
            </w:r>
            <w:r w:rsidRPr="008D3427">
              <w:rPr>
                <w:b/>
              </w:rPr>
              <w:t>isorders</w:t>
            </w:r>
          </w:p>
        </w:tc>
        <w:tc>
          <w:tcPr>
            <w:tcW w:w="2977" w:type="dxa"/>
          </w:tcPr>
          <w:p w14:paraId="3EFF56EE" w14:textId="77777777" w:rsidR="00E00595" w:rsidRPr="000301DE" w:rsidRDefault="00E00595" w:rsidP="000301DE">
            <w:pPr>
              <w:ind w:left="0"/>
            </w:pPr>
            <w:r w:rsidRPr="000301DE">
              <w:t>3 (60.0)</w:t>
            </w:r>
          </w:p>
        </w:tc>
        <w:tc>
          <w:tcPr>
            <w:tcW w:w="3008" w:type="dxa"/>
          </w:tcPr>
          <w:p w14:paraId="64B6D062" w14:textId="77777777" w:rsidR="00E00595" w:rsidRPr="000301DE" w:rsidRDefault="00E00595" w:rsidP="000301DE">
            <w:pPr>
              <w:ind w:left="0"/>
            </w:pPr>
            <w:r w:rsidRPr="000301DE">
              <w:t>3 (50.0)</w:t>
            </w:r>
          </w:p>
        </w:tc>
      </w:tr>
      <w:tr w:rsidR="00E00595" w:rsidRPr="000301DE" w14:paraId="19AD84B4" w14:textId="77777777" w:rsidTr="00904D23">
        <w:trPr>
          <w:trHeight w:val="283"/>
        </w:trPr>
        <w:tc>
          <w:tcPr>
            <w:tcW w:w="2825" w:type="dxa"/>
          </w:tcPr>
          <w:p w14:paraId="4AEEB7C6" w14:textId="77777777" w:rsidR="00E00595" w:rsidRPr="000301DE" w:rsidRDefault="00E00595" w:rsidP="000301DE">
            <w:pPr>
              <w:ind w:left="0"/>
            </w:pPr>
            <w:r w:rsidRPr="000301DE">
              <w:t>Diarrhoea</w:t>
            </w:r>
          </w:p>
        </w:tc>
        <w:tc>
          <w:tcPr>
            <w:tcW w:w="2977" w:type="dxa"/>
          </w:tcPr>
          <w:p w14:paraId="430D1539" w14:textId="77777777" w:rsidR="00E00595" w:rsidRPr="000301DE" w:rsidRDefault="00E00595" w:rsidP="000301DE">
            <w:pPr>
              <w:ind w:left="0"/>
            </w:pPr>
            <w:r w:rsidRPr="000301DE">
              <w:t>2 (40.0)</w:t>
            </w:r>
          </w:p>
        </w:tc>
        <w:tc>
          <w:tcPr>
            <w:tcW w:w="3008" w:type="dxa"/>
          </w:tcPr>
          <w:p w14:paraId="67F413EE" w14:textId="77777777" w:rsidR="00E00595" w:rsidRPr="000301DE" w:rsidRDefault="00E00595" w:rsidP="000301DE">
            <w:pPr>
              <w:ind w:left="0"/>
            </w:pPr>
            <w:r w:rsidRPr="000301DE">
              <w:t>0</w:t>
            </w:r>
          </w:p>
        </w:tc>
      </w:tr>
      <w:tr w:rsidR="00E00595" w:rsidRPr="000301DE" w14:paraId="6C3215A6" w14:textId="77777777" w:rsidTr="00904D23">
        <w:trPr>
          <w:trHeight w:val="283"/>
        </w:trPr>
        <w:tc>
          <w:tcPr>
            <w:tcW w:w="2825" w:type="dxa"/>
          </w:tcPr>
          <w:p w14:paraId="30C8AECE" w14:textId="77777777" w:rsidR="00E00595" w:rsidRPr="000301DE" w:rsidRDefault="00E00595" w:rsidP="000301DE">
            <w:pPr>
              <w:ind w:left="0"/>
            </w:pPr>
            <w:r w:rsidRPr="000301DE">
              <w:t>Vomiting</w:t>
            </w:r>
          </w:p>
        </w:tc>
        <w:tc>
          <w:tcPr>
            <w:tcW w:w="2977" w:type="dxa"/>
          </w:tcPr>
          <w:p w14:paraId="1DE6DE45" w14:textId="77777777" w:rsidR="00E00595" w:rsidRPr="000301DE" w:rsidRDefault="00E00595" w:rsidP="000301DE">
            <w:pPr>
              <w:ind w:left="0"/>
            </w:pPr>
            <w:r w:rsidRPr="000301DE">
              <w:t>2 (40.0)</w:t>
            </w:r>
          </w:p>
        </w:tc>
        <w:tc>
          <w:tcPr>
            <w:tcW w:w="3008" w:type="dxa"/>
          </w:tcPr>
          <w:p w14:paraId="3CE9B0D8" w14:textId="77777777" w:rsidR="00E00595" w:rsidRPr="000301DE" w:rsidRDefault="00E00595" w:rsidP="000301DE">
            <w:pPr>
              <w:ind w:left="0"/>
            </w:pPr>
            <w:r w:rsidRPr="000301DE">
              <w:t>3 (50.0)</w:t>
            </w:r>
          </w:p>
        </w:tc>
      </w:tr>
      <w:tr w:rsidR="00E00595" w:rsidRPr="000301DE" w14:paraId="38B3EF35" w14:textId="77777777" w:rsidTr="00904D23">
        <w:trPr>
          <w:trHeight w:val="283"/>
        </w:trPr>
        <w:tc>
          <w:tcPr>
            <w:tcW w:w="2825" w:type="dxa"/>
          </w:tcPr>
          <w:p w14:paraId="58757092" w14:textId="77777777" w:rsidR="00E00595" w:rsidRPr="000301DE" w:rsidRDefault="00E00595" w:rsidP="000301DE">
            <w:pPr>
              <w:ind w:left="0"/>
            </w:pPr>
            <w:r w:rsidRPr="000301DE">
              <w:t>Abdominal pain</w:t>
            </w:r>
          </w:p>
        </w:tc>
        <w:tc>
          <w:tcPr>
            <w:tcW w:w="2977" w:type="dxa"/>
          </w:tcPr>
          <w:p w14:paraId="2C6C8734" w14:textId="77777777" w:rsidR="00E00595" w:rsidRPr="000301DE" w:rsidRDefault="00E00595" w:rsidP="000301DE">
            <w:pPr>
              <w:ind w:left="0"/>
            </w:pPr>
            <w:r w:rsidRPr="000301DE">
              <w:t>1 (20.0)</w:t>
            </w:r>
          </w:p>
        </w:tc>
        <w:tc>
          <w:tcPr>
            <w:tcW w:w="3008" w:type="dxa"/>
          </w:tcPr>
          <w:p w14:paraId="5A8B9A86" w14:textId="77777777" w:rsidR="00E00595" w:rsidRPr="000301DE" w:rsidRDefault="00E00595" w:rsidP="000301DE">
            <w:pPr>
              <w:ind w:left="0"/>
            </w:pPr>
            <w:r w:rsidRPr="000301DE">
              <w:t>0</w:t>
            </w:r>
          </w:p>
        </w:tc>
      </w:tr>
      <w:tr w:rsidR="00E00595" w:rsidRPr="000301DE" w14:paraId="28C9029B" w14:textId="77777777" w:rsidTr="00904D23">
        <w:trPr>
          <w:trHeight w:val="283"/>
        </w:trPr>
        <w:tc>
          <w:tcPr>
            <w:tcW w:w="2825" w:type="dxa"/>
          </w:tcPr>
          <w:p w14:paraId="69EC86A3" w14:textId="77777777" w:rsidR="00E00595" w:rsidRPr="000301DE" w:rsidRDefault="00E00595" w:rsidP="000301DE">
            <w:pPr>
              <w:ind w:left="0"/>
            </w:pPr>
            <w:r w:rsidRPr="000301DE">
              <w:t>Toothache</w:t>
            </w:r>
          </w:p>
        </w:tc>
        <w:tc>
          <w:tcPr>
            <w:tcW w:w="2977" w:type="dxa"/>
          </w:tcPr>
          <w:p w14:paraId="31F618DF" w14:textId="77777777" w:rsidR="00E00595" w:rsidRPr="000301DE" w:rsidRDefault="00E00595" w:rsidP="000301DE">
            <w:pPr>
              <w:ind w:left="0"/>
            </w:pPr>
            <w:r w:rsidRPr="000301DE">
              <w:t>0</w:t>
            </w:r>
          </w:p>
        </w:tc>
        <w:tc>
          <w:tcPr>
            <w:tcW w:w="3008" w:type="dxa"/>
          </w:tcPr>
          <w:p w14:paraId="4924EDF1" w14:textId="77777777" w:rsidR="00E00595" w:rsidRPr="000301DE" w:rsidRDefault="00E00595" w:rsidP="000301DE">
            <w:pPr>
              <w:ind w:left="0"/>
            </w:pPr>
            <w:r w:rsidRPr="000301DE">
              <w:t>0</w:t>
            </w:r>
          </w:p>
        </w:tc>
      </w:tr>
      <w:tr w:rsidR="00E00595" w:rsidRPr="000301DE" w14:paraId="2CF82072" w14:textId="77777777" w:rsidTr="00904D23">
        <w:trPr>
          <w:trHeight w:val="283"/>
        </w:trPr>
        <w:tc>
          <w:tcPr>
            <w:tcW w:w="2825" w:type="dxa"/>
          </w:tcPr>
          <w:p w14:paraId="4275B5CC" w14:textId="77777777" w:rsidR="00E00595" w:rsidRPr="000301DE" w:rsidRDefault="00E00595" w:rsidP="000301DE">
            <w:pPr>
              <w:ind w:left="0"/>
            </w:pPr>
            <w:r w:rsidRPr="000301DE">
              <w:t>Nausea</w:t>
            </w:r>
          </w:p>
        </w:tc>
        <w:tc>
          <w:tcPr>
            <w:tcW w:w="2977" w:type="dxa"/>
          </w:tcPr>
          <w:p w14:paraId="38CC2382" w14:textId="77777777" w:rsidR="00E00595" w:rsidRPr="000301DE" w:rsidRDefault="00E00595" w:rsidP="000301DE">
            <w:pPr>
              <w:ind w:left="0"/>
            </w:pPr>
            <w:r w:rsidRPr="000301DE">
              <w:t>1 (20.0)</w:t>
            </w:r>
          </w:p>
        </w:tc>
        <w:tc>
          <w:tcPr>
            <w:tcW w:w="3008" w:type="dxa"/>
          </w:tcPr>
          <w:p w14:paraId="0A7B083F" w14:textId="77777777" w:rsidR="00E00595" w:rsidRPr="000301DE" w:rsidRDefault="00E00595" w:rsidP="000301DE">
            <w:pPr>
              <w:ind w:left="0"/>
            </w:pPr>
            <w:r w:rsidRPr="000301DE">
              <w:t>1 (16.7)</w:t>
            </w:r>
          </w:p>
        </w:tc>
      </w:tr>
      <w:tr w:rsidR="00E00595" w:rsidRPr="000301DE" w14:paraId="06514885" w14:textId="77777777" w:rsidTr="00904D23">
        <w:trPr>
          <w:trHeight w:val="283"/>
        </w:trPr>
        <w:tc>
          <w:tcPr>
            <w:tcW w:w="2825" w:type="dxa"/>
          </w:tcPr>
          <w:p w14:paraId="46017ACC" w14:textId="711FE1D8" w:rsidR="00E00595" w:rsidRPr="000301DE" w:rsidRDefault="000301DE" w:rsidP="000301DE">
            <w:pPr>
              <w:ind w:left="0"/>
              <w:rPr>
                <w:b/>
              </w:rPr>
            </w:pPr>
            <w:r w:rsidRPr="000301DE">
              <w:rPr>
                <w:b/>
              </w:rPr>
              <w:t>Skin and subcutaneous tissue disorders</w:t>
            </w:r>
          </w:p>
        </w:tc>
        <w:tc>
          <w:tcPr>
            <w:tcW w:w="2977" w:type="dxa"/>
          </w:tcPr>
          <w:p w14:paraId="41D0C597" w14:textId="77777777" w:rsidR="00E00595" w:rsidRPr="000301DE" w:rsidRDefault="00E00595" w:rsidP="000301DE">
            <w:pPr>
              <w:ind w:left="0"/>
            </w:pPr>
            <w:r w:rsidRPr="000301DE">
              <w:t>2 (40.0)</w:t>
            </w:r>
          </w:p>
        </w:tc>
        <w:tc>
          <w:tcPr>
            <w:tcW w:w="3008" w:type="dxa"/>
          </w:tcPr>
          <w:p w14:paraId="013917C3" w14:textId="77777777" w:rsidR="00E00595" w:rsidRPr="000301DE" w:rsidRDefault="00E00595" w:rsidP="000301DE">
            <w:pPr>
              <w:ind w:left="0"/>
            </w:pPr>
            <w:r w:rsidRPr="000301DE">
              <w:t>1 (16.7)</w:t>
            </w:r>
          </w:p>
        </w:tc>
      </w:tr>
      <w:tr w:rsidR="00E00595" w:rsidRPr="000301DE" w14:paraId="2966723C" w14:textId="77777777" w:rsidTr="00904D23">
        <w:trPr>
          <w:trHeight w:val="283"/>
        </w:trPr>
        <w:tc>
          <w:tcPr>
            <w:tcW w:w="2825" w:type="dxa"/>
          </w:tcPr>
          <w:p w14:paraId="7757BE07" w14:textId="77777777" w:rsidR="00E00595" w:rsidRPr="000301DE" w:rsidRDefault="00E00595" w:rsidP="000301DE">
            <w:pPr>
              <w:ind w:left="0"/>
            </w:pPr>
            <w:r w:rsidRPr="000301DE">
              <w:t>Rash</w:t>
            </w:r>
          </w:p>
        </w:tc>
        <w:tc>
          <w:tcPr>
            <w:tcW w:w="2977" w:type="dxa"/>
          </w:tcPr>
          <w:p w14:paraId="7C220237" w14:textId="77777777" w:rsidR="00E00595" w:rsidRPr="000301DE" w:rsidRDefault="00E00595" w:rsidP="000301DE">
            <w:pPr>
              <w:ind w:left="0"/>
            </w:pPr>
            <w:r w:rsidRPr="000301DE">
              <w:t>2 (40.0)</w:t>
            </w:r>
          </w:p>
        </w:tc>
        <w:tc>
          <w:tcPr>
            <w:tcW w:w="3008" w:type="dxa"/>
          </w:tcPr>
          <w:p w14:paraId="3FBBF9AF" w14:textId="77777777" w:rsidR="00E00595" w:rsidRPr="000301DE" w:rsidRDefault="00E00595" w:rsidP="000301DE">
            <w:pPr>
              <w:ind w:left="0"/>
            </w:pPr>
            <w:r w:rsidRPr="000301DE">
              <w:t>1 (16.7)</w:t>
            </w:r>
          </w:p>
        </w:tc>
      </w:tr>
      <w:tr w:rsidR="00E00595" w:rsidRPr="000301DE" w14:paraId="36334E04" w14:textId="77777777" w:rsidTr="00904D23">
        <w:trPr>
          <w:trHeight w:val="283"/>
        </w:trPr>
        <w:tc>
          <w:tcPr>
            <w:tcW w:w="2825" w:type="dxa"/>
          </w:tcPr>
          <w:p w14:paraId="5A394275" w14:textId="7C8F3D8D" w:rsidR="00E00595" w:rsidRPr="000301DE" w:rsidRDefault="000301DE" w:rsidP="000301DE">
            <w:pPr>
              <w:ind w:left="0"/>
              <w:rPr>
                <w:b/>
              </w:rPr>
            </w:pPr>
            <w:r>
              <w:rPr>
                <w:b/>
              </w:rPr>
              <w:t>M</w:t>
            </w:r>
            <w:r w:rsidRPr="000301DE">
              <w:rPr>
                <w:b/>
              </w:rPr>
              <w:t>usculoskeletal and connective tissue disorders</w:t>
            </w:r>
          </w:p>
        </w:tc>
        <w:tc>
          <w:tcPr>
            <w:tcW w:w="2977" w:type="dxa"/>
          </w:tcPr>
          <w:p w14:paraId="61B77A76" w14:textId="77777777" w:rsidR="00E00595" w:rsidRPr="000301DE" w:rsidRDefault="00E00595" w:rsidP="000301DE">
            <w:pPr>
              <w:ind w:left="0"/>
            </w:pPr>
            <w:r w:rsidRPr="000301DE">
              <w:t>1 (20.0)</w:t>
            </w:r>
          </w:p>
        </w:tc>
        <w:tc>
          <w:tcPr>
            <w:tcW w:w="3008" w:type="dxa"/>
          </w:tcPr>
          <w:p w14:paraId="56E1F9A7" w14:textId="77777777" w:rsidR="00E00595" w:rsidRPr="000301DE" w:rsidRDefault="00E00595" w:rsidP="000301DE">
            <w:pPr>
              <w:ind w:left="0"/>
            </w:pPr>
            <w:r w:rsidRPr="000301DE">
              <w:t>0</w:t>
            </w:r>
          </w:p>
        </w:tc>
      </w:tr>
      <w:tr w:rsidR="00E00595" w:rsidRPr="000301DE" w14:paraId="12104AEF" w14:textId="77777777" w:rsidTr="00904D23">
        <w:trPr>
          <w:trHeight w:val="283"/>
        </w:trPr>
        <w:tc>
          <w:tcPr>
            <w:tcW w:w="2825" w:type="dxa"/>
          </w:tcPr>
          <w:p w14:paraId="6944BAD4" w14:textId="77777777" w:rsidR="00E00595" w:rsidRPr="000301DE" w:rsidRDefault="00E00595" w:rsidP="000301DE">
            <w:pPr>
              <w:ind w:left="0"/>
            </w:pPr>
            <w:r w:rsidRPr="000301DE">
              <w:t>Pain in extremity</w:t>
            </w:r>
          </w:p>
        </w:tc>
        <w:tc>
          <w:tcPr>
            <w:tcW w:w="2977" w:type="dxa"/>
          </w:tcPr>
          <w:p w14:paraId="0CC04CE2" w14:textId="77777777" w:rsidR="00E00595" w:rsidRPr="000301DE" w:rsidRDefault="00E00595" w:rsidP="000301DE">
            <w:pPr>
              <w:ind w:left="0"/>
            </w:pPr>
            <w:r w:rsidRPr="000301DE">
              <w:t>1 (20.0)</w:t>
            </w:r>
          </w:p>
        </w:tc>
        <w:tc>
          <w:tcPr>
            <w:tcW w:w="3008" w:type="dxa"/>
          </w:tcPr>
          <w:p w14:paraId="485222DD" w14:textId="77777777" w:rsidR="00E00595" w:rsidRPr="000301DE" w:rsidRDefault="00E00595" w:rsidP="000301DE">
            <w:pPr>
              <w:ind w:left="0"/>
            </w:pPr>
            <w:r w:rsidRPr="000301DE">
              <w:t>0</w:t>
            </w:r>
          </w:p>
        </w:tc>
      </w:tr>
      <w:tr w:rsidR="00E00595" w:rsidRPr="000301DE" w14:paraId="48617766" w14:textId="77777777" w:rsidTr="00904D23">
        <w:trPr>
          <w:trHeight w:val="283"/>
        </w:trPr>
        <w:tc>
          <w:tcPr>
            <w:tcW w:w="2825" w:type="dxa"/>
          </w:tcPr>
          <w:p w14:paraId="161773B7" w14:textId="71734A93" w:rsidR="00E00595" w:rsidRPr="000301DE" w:rsidRDefault="000301DE" w:rsidP="000301DE">
            <w:pPr>
              <w:ind w:left="0"/>
              <w:rPr>
                <w:b/>
              </w:rPr>
            </w:pPr>
            <w:r w:rsidRPr="000301DE">
              <w:rPr>
                <w:b/>
              </w:rPr>
              <w:t>General disorders and administration site conditions</w:t>
            </w:r>
          </w:p>
        </w:tc>
        <w:tc>
          <w:tcPr>
            <w:tcW w:w="2977" w:type="dxa"/>
          </w:tcPr>
          <w:p w14:paraId="1CBEF27F" w14:textId="77777777" w:rsidR="00E00595" w:rsidRPr="000301DE" w:rsidRDefault="00E00595" w:rsidP="000301DE">
            <w:pPr>
              <w:ind w:left="0"/>
            </w:pPr>
            <w:r w:rsidRPr="000301DE">
              <w:t>2 (40.0)</w:t>
            </w:r>
          </w:p>
        </w:tc>
        <w:tc>
          <w:tcPr>
            <w:tcW w:w="3008" w:type="dxa"/>
          </w:tcPr>
          <w:p w14:paraId="6469C2C2" w14:textId="77777777" w:rsidR="00E00595" w:rsidRPr="000301DE" w:rsidRDefault="00E00595" w:rsidP="000301DE">
            <w:pPr>
              <w:ind w:left="0"/>
            </w:pPr>
            <w:r w:rsidRPr="000301DE">
              <w:t>1 (16.7)</w:t>
            </w:r>
          </w:p>
        </w:tc>
      </w:tr>
      <w:tr w:rsidR="00E00595" w:rsidRPr="000301DE" w14:paraId="59E33DF5" w14:textId="77777777" w:rsidTr="00904D23">
        <w:trPr>
          <w:trHeight w:val="283"/>
        </w:trPr>
        <w:tc>
          <w:tcPr>
            <w:tcW w:w="2825" w:type="dxa"/>
          </w:tcPr>
          <w:p w14:paraId="5E2E659C" w14:textId="77777777" w:rsidR="00E00595" w:rsidRPr="000301DE" w:rsidRDefault="00E00595" w:rsidP="000301DE">
            <w:pPr>
              <w:ind w:left="0"/>
            </w:pPr>
            <w:r w:rsidRPr="000301DE">
              <w:t>Pyrexia</w:t>
            </w:r>
          </w:p>
        </w:tc>
        <w:tc>
          <w:tcPr>
            <w:tcW w:w="2977" w:type="dxa"/>
          </w:tcPr>
          <w:p w14:paraId="34FCFE8B" w14:textId="77777777" w:rsidR="00E00595" w:rsidRPr="000301DE" w:rsidRDefault="00E00595" w:rsidP="000301DE">
            <w:pPr>
              <w:ind w:left="0"/>
            </w:pPr>
            <w:r w:rsidRPr="000301DE">
              <w:t>2 (40.0)</w:t>
            </w:r>
          </w:p>
        </w:tc>
        <w:tc>
          <w:tcPr>
            <w:tcW w:w="3008" w:type="dxa"/>
          </w:tcPr>
          <w:p w14:paraId="68BDF169" w14:textId="77777777" w:rsidR="00E00595" w:rsidRPr="000301DE" w:rsidRDefault="00E00595" w:rsidP="000301DE">
            <w:pPr>
              <w:ind w:left="0"/>
            </w:pPr>
            <w:r w:rsidRPr="000301DE">
              <w:t>1 (16.7)</w:t>
            </w:r>
          </w:p>
        </w:tc>
      </w:tr>
      <w:tr w:rsidR="00E00595" w:rsidRPr="000301DE" w14:paraId="3588FF24" w14:textId="77777777" w:rsidTr="00904D23">
        <w:trPr>
          <w:trHeight w:val="283"/>
        </w:trPr>
        <w:tc>
          <w:tcPr>
            <w:tcW w:w="2825" w:type="dxa"/>
          </w:tcPr>
          <w:p w14:paraId="7DCCC0A8" w14:textId="46AF7C35" w:rsidR="00E00595" w:rsidRPr="003F52B8" w:rsidRDefault="003F52B8" w:rsidP="000301DE">
            <w:pPr>
              <w:ind w:left="0"/>
              <w:rPr>
                <w:b/>
              </w:rPr>
            </w:pPr>
            <w:r w:rsidRPr="003F52B8">
              <w:rPr>
                <w:b/>
              </w:rPr>
              <w:t>I</w:t>
            </w:r>
            <w:r w:rsidR="000301DE" w:rsidRPr="003F52B8">
              <w:rPr>
                <w:b/>
              </w:rPr>
              <w:t>njury, poisoning and procedural complications</w:t>
            </w:r>
          </w:p>
        </w:tc>
        <w:tc>
          <w:tcPr>
            <w:tcW w:w="2977" w:type="dxa"/>
          </w:tcPr>
          <w:p w14:paraId="3307F960" w14:textId="77777777" w:rsidR="00E00595" w:rsidRPr="000301DE" w:rsidRDefault="00E00595" w:rsidP="000301DE">
            <w:pPr>
              <w:ind w:left="0"/>
            </w:pPr>
            <w:r w:rsidRPr="000301DE">
              <w:t>0</w:t>
            </w:r>
          </w:p>
        </w:tc>
        <w:tc>
          <w:tcPr>
            <w:tcW w:w="3008" w:type="dxa"/>
          </w:tcPr>
          <w:p w14:paraId="53F69398" w14:textId="77777777" w:rsidR="00E00595" w:rsidRPr="000301DE" w:rsidRDefault="00E00595" w:rsidP="000301DE">
            <w:pPr>
              <w:ind w:left="0"/>
            </w:pPr>
            <w:r w:rsidRPr="000301DE">
              <w:t>0</w:t>
            </w:r>
          </w:p>
        </w:tc>
      </w:tr>
      <w:tr w:rsidR="00E00595" w:rsidRPr="000301DE" w14:paraId="540DCF08" w14:textId="77777777" w:rsidTr="00904D23">
        <w:trPr>
          <w:trHeight w:val="283"/>
        </w:trPr>
        <w:tc>
          <w:tcPr>
            <w:tcW w:w="2825" w:type="dxa"/>
          </w:tcPr>
          <w:p w14:paraId="63B0E882" w14:textId="77777777" w:rsidR="00E00595" w:rsidRPr="000301DE" w:rsidRDefault="00E00595" w:rsidP="000301DE">
            <w:pPr>
              <w:ind w:left="0"/>
            </w:pPr>
            <w:r w:rsidRPr="000301DE">
              <w:t>Fall</w:t>
            </w:r>
          </w:p>
        </w:tc>
        <w:tc>
          <w:tcPr>
            <w:tcW w:w="2977" w:type="dxa"/>
          </w:tcPr>
          <w:p w14:paraId="14D4BAAA" w14:textId="77777777" w:rsidR="00E00595" w:rsidRPr="000301DE" w:rsidRDefault="00E00595" w:rsidP="000301DE">
            <w:pPr>
              <w:ind w:left="0"/>
            </w:pPr>
            <w:r w:rsidRPr="000301DE">
              <w:t>0</w:t>
            </w:r>
          </w:p>
        </w:tc>
        <w:tc>
          <w:tcPr>
            <w:tcW w:w="3008" w:type="dxa"/>
          </w:tcPr>
          <w:p w14:paraId="4009D3C4" w14:textId="77777777" w:rsidR="00E00595" w:rsidRPr="000301DE" w:rsidRDefault="00E00595" w:rsidP="000301DE">
            <w:pPr>
              <w:ind w:left="0"/>
            </w:pPr>
            <w:r w:rsidRPr="000301DE">
              <w:t>0</w:t>
            </w:r>
          </w:p>
        </w:tc>
      </w:tr>
      <w:tr w:rsidR="00E00595" w:rsidRPr="000301DE" w14:paraId="030DABEC" w14:textId="77777777" w:rsidTr="00904D23">
        <w:trPr>
          <w:trHeight w:val="283"/>
        </w:trPr>
        <w:tc>
          <w:tcPr>
            <w:tcW w:w="2825" w:type="dxa"/>
          </w:tcPr>
          <w:p w14:paraId="30CC5507" w14:textId="43BFF705" w:rsidR="00E00595" w:rsidRPr="003F52B8" w:rsidRDefault="003F52B8" w:rsidP="000301DE">
            <w:pPr>
              <w:ind w:left="0"/>
              <w:rPr>
                <w:b/>
              </w:rPr>
            </w:pPr>
            <w:r w:rsidRPr="003F52B8">
              <w:rPr>
                <w:b/>
              </w:rPr>
              <w:t>Product issues</w:t>
            </w:r>
          </w:p>
        </w:tc>
        <w:tc>
          <w:tcPr>
            <w:tcW w:w="2977" w:type="dxa"/>
          </w:tcPr>
          <w:p w14:paraId="29E6AF55" w14:textId="77777777" w:rsidR="00E00595" w:rsidRPr="000301DE" w:rsidRDefault="00E00595" w:rsidP="000301DE">
            <w:pPr>
              <w:ind w:left="0"/>
            </w:pPr>
            <w:r w:rsidRPr="000301DE">
              <w:t>2 (40.0)</w:t>
            </w:r>
          </w:p>
        </w:tc>
        <w:tc>
          <w:tcPr>
            <w:tcW w:w="3008" w:type="dxa"/>
          </w:tcPr>
          <w:p w14:paraId="11E115CA" w14:textId="77777777" w:rsidR="00E00595" w:rsidRPr="000301DE" w:rsidRDefault="00E00595" w:rsidP="000301DE">
            <w:pPr>
              <w:ind w:left="0"/>
            </w:pPr>
            <w:r w:rsidRPr="000301DE">
              <w:t>0</w:t>
            </w:r>
          </w:p>
        </w:tc>
      </w:tr>
      <w:tr w:rsidR="00E00595" w:rsidRPr="000301DE" w14:paraId="21B3A789" w14:textId="77777777" w:rsidTr="00904D23">
        <w:trPr>
          <w:trHeight w:val="283"/>
        </w:trPr>
        <w:tc>
          <w:tcPr>
            <w:tcW w:w="2825" w:type="dxa"/>
          </w:tcPr>
          <w:p w14:paraId="3E891F6D" w14:textId="77777777" w:rsidR="00E00595" w:rsidRPr="000301DE" w:rsidRDefault="00E00595" w:rsidP="000301DE">
            <w:pPr>
              <w:ind w:left="0"/>
            </w:pPr>
            <w:r w:rsidRPr="000301DE">
              <w:t>Device occlusion</w:t>
            </w:r>
          </w:p>
        </w:tc>
        <w:tc>
          <w:tcPr>
            <w:tcW w:w="2977" w:type="dxa"/>
          </w:tcPr>
          <w:p w14:paraId="2D877643" w14:textId="77777777" w:rsidR="00E00595" w:rsidRPr="000301DE" w:rsidRDefault="00E00595" w:rsidP="000301DE">
            <w:pPr>
              <w:ind w:left="0"/>
            </w:pPr>
            <w:r w:rsidRPr="000301DE">
              <w:t>2 (40.0)</w:t>
            </w:r>
          </w:p>
        </w:tc>
        <w:tc>
          <w:tcPr>
            <w:tcW w:w="3008" w:type="dxa"/>
          </w:tcPr>
          <w:p w14:paraId="40D0B4C4" w14:textId="77777777" w:rsidR="00E00595" w:rsidRPr="000301DE" w:rsidRDefault="00E00595" w:rsidP="000301DE">
            <w:pPr>
              <w:ind w:left="0"/>
            </w:pPr>
            <w:r w:rsidRPr="000301DE">
              <w:t>0</w:t>
            </w:r>
          </w:p>
        </w:tc>
      </w:tr>
    </w:tbl>
    <w:p w14:paraId="77E0A714" w14:textId="37C8E9B4" w:rsidR="003F52B8" w:rsidRDefault="003F52B8" w:rsidP="003F52B8">
      <w:pPr>
        <w:pStyle w:val="TableDescription"/>
      </w:pPr>
      <w:r>
        <w:t xml:space="preserve">Abbreviations: MedDRA = Medical Dictionary for Regulatory Activities; PT = Preferred Term; SOC = System Organ Class; TEAE = treatment-emergent adverse </w:t>
      </w:r>
      <w:proofErr w:type="gramStart"/>
      <w:r>
        <w:t>event;</w:t>
      </w:r>
      <w:proofErr w:type="gramEnd"/>
    </w:p>
    <w:p w14:paraId="042EEE91" w14:textId="6A346A58" w:rsidR="00E00595" w:rsidRPr="007131EB" w:rsidRDefault="00E00595" w:rsidP="003F52B8">
      <w:pPr>
        <w:pStyle w:val="TableDescription"/>
      </w:pPr>
      <w:r w:rsidRPr="007131EB">
        <w:t xml:space="preserve">Note: Most common TEAEs are defined as those preferred terms </w:t>
      </w:r>
      <w:r>
        <w:t xml:space="preserve">which </w:t>
      </w:r>
      <w:r w:rsidRPr="007131EB">
        <w:t>occur in at least 2 patients</w:t>
      </w:r>
    </w:p>
    <w:p w14:paraId="1782E235" w14:textId="03EB8601" w:rsidR="00E00595" w:rsidRPr="007131EB" w:rsidRDefault="00E00595" w:rsidP="003F52B8">
      <w:pPr>
        <w:pStyle w:val="TableDescription"/>
      </w:pPr>
      <w:r w:rsidRPr="007131EB">
        <w:t>Adverse Eve</w:t>
      </w:r>
      <w:r w:rsidR="003F52B8">
        <w:t>nts are coded using MedDRA = Med</w:t>
      </w:r>
      <w:r w:rsidRPr="007131EB">
        <w:t>DRA 22.0</w:t>
      </w:r>
    </w:p>
    <w:p w14:paraId="132CC135" w14:textId="77777777" w:rsidR="00E00595" w:rsidRPr="007131EB" w:rsidRDefault="00E00595" w:rsidP="003F52B8">
      <w:pPr>
        <w:pStyle w:val="TableDescription"/>
      </w:pPr>
      <w:r w:rsidRPr="007131EB">
        <w:t>Note: Sorted by SOC internationally agreed order and decreasing frequency of PT within a SOC in the groups of avalglucosidase</w:t>
      </w:r>
      <w:r>
        <w:t xml:space="preserve"> </w:t>
      </w:r>
      <w:r w:rsidRPr="007131EB">
        <w:t>patients (Cohort 1, Cohort2 and Cohort 3 avalglucosidase arm).</w:t>
      </w:r>
    </w:p>
    <w:p w14:paraId="36FCB957" w14:textId="77777777" w:rsidR="00E00595" w:rsidRDefault="00E00595" w:rsidP="003F52B8">
      <w:pPr>
        <w:pStyle w:val="TableDescription"/>
        <w:rPr>
          <w:lang w:eastAsia="ja-JP"/>
        </w:rPr>
      </w:pPr>
      <w:r>
        <w:t>Source: Study ACT14132 CSR Table 22 (amended to include only Cohort 3).</w:t>
      </w:r>
    </w:p>
    <w:p w14:paraId="6FF35796" w14:textId="58905D27" w:rsidR="003F52B8" w:rsidRDefault="00E00595" w:rsidP="00E00595">
      <w:pPr>
        <w:rPr>
          <w:rFonts w:asciiTheme="minorHAnsi" w:hAnsiTheme="minorHAnsi" w:cs="Calibri"/>
          <w:lang w:eastAsia="ja-JP"/>
        </w:rPr>
      </w:pPr>
      <w:r>
        <w:rPr>
          <w:rFonts w:asciiTheme="minorHAnsi" w:hAnsiTheme="minorHAnsi" w:cs="Calibri"/>
          <w:lang w:eastAsia="ja-JP"/>
        </w:rPr>
        <w:lastRenderedPageBreak/>
        <w:t>Adverse events of special interest (AESI) included a long list of protocol-defined infu</w:t>
      </w:r>
      <w:r w:rsidR="004A18BF">
        <w:rPr>
          <w:rFonts w:asciiTheme="minorHAnsi" w:hAnsiTheme="minorHAnsi" w:cs="Calibri"/>
          <w:lang w:eastAsia="ja-JP"/>
        </w:rPr>
        <w:t>sion-associated reactions (IARs</w:t>
      </w:r>
      <w:r>
        <w:rPr>
          <w:rFonts w:asciiTheme="minorHAnsi" w:hAnsiTheme="minorHAnsi" w:cs="Calibri"/>
          <w:lang w:eastAsia="ja-JP"/>
        </w:rPr>
        <w:t>), inc</w:t>
      </w:r>
      <w:r w:rsidR="003F52B8">
        <w:rPr>
          <w:rFonts w:asciiTheme="minorHAnsi" w:hAnsiTheme="minorHAnsi" w:cs="Calibri"/>
          <w:lang w:eastAsia="ja-JP"/>
        </w:rPr>
        <w:t>reases in liver transaminases (aspartate and alanine aminotransaminase (A</w:t>
      </w:r>
      <w:r>
        <w:rPr>
          <w:rFonts w:asciiTheme="minorHAnsi" w:hAnsiTheme="minorHAnsi" w:cs="Calibri"/>
          <w:lang w:eastAsia="ja-JP"/>
        </w:rPr>
        <w:t>ST and ALT</w:t>
      </w:r>
      <w:r w:rsidR="003F52B8">
        <w:rPr>
          <w:rFonts w:asciiTheme="minorHAnsi" w:hAnsiTheme="minorHAnsi" w:cs="Calibri"/>
          <w:lang w:eastAsia="ja-JP"/>
        </w:rPr>
        <w:t>)</w:t>
      </w:r>
      <w:r>
        <w:rPr>
          <w:rFonts w:asciiTheme="minorHAnsi" w:hAnsiTheme="minorHAnsi" w:cs="Calibri"/>
          <w:lang w:eastAsia="ja-JP"/>
        </w:rPr>
        <w:t>) and increases in serum creatinine. The most frequent IAR</w:t>
      </w:r>
      <w:r w:rsidR="002B6B1B">
        <w:rPr>
          <w:rFonts w:asciiTheme="minorHAnsi" w:hAnsiTheme="minorHAnsi" w:cs="Calibri"/>
          <w:lang w:eastAsia="ja-JP"/>
        </w:rPr>
        <w:t>s</w:t>
      </w:r>
      <w:r>
        <w:rPr>
          <w:rFonts w:asciiTheme="minorHAnsi" w:hAnsiTheme="minorHAnsi" w:cs="Calibri"/>
          <w:lang w:eastAsia="ja-JP"/>
        </w:rPr>
        <w:t xml:space="preserve"> reported in the poole</w:t>
      </w:r>
      <w:r w:rsidR="003F52B8">
        <w:rPr>
          <w:rFonts w:asciiTheme="minorHAnsi" w:hAnsiTheme="minorHAnsi" w:cs="Calibri"/>
          <w:lang w:eastAsia="ja-JP"/>
        </w:rPr>
        <w:t>d studies were pruritis (13/138 </w:t>
      </w:r>
      <w:r>
        <w:rPr>
          <w:rFonts w:asciiTheme="minorHAnsi" w:hAnsiTheme="minorHAnsi" w:cs="Calibri"/>
          <w:lang w:eastAsia="ja-JP"/>
        </w:rPr>
        <w:t xml:space="preserve">patients), </w:t>
      </w:r>
      <w:r w:rsidR="004A18BF">
        <w:rPr>
          <w:rFonts w:asciiTheme="minorHAnsi" w:hAnsiTheme="minorHAnsi" w:cs="Calibri"/>
          <w:lang w:eastAsia="ja-JP"/>
        </w:rPr>
        <w:t>rash (10/138, and 2 </w:t>
      </w:r>
      <w:r w:rsidR="003F52B8">
        <w:rPr>
          <w:rFonts w:asciiTheme="minorHAnsi" w:hAnsiTheme="minorHAnsi" w:cs="Calibri"/>
          <w:lang w:eastAsia="ja-JP"/>
        </w:rPr>
        <w:t>additional ‘rash erythematous’</w:t>
      </w:r>
      <w:r>
        <w:rPr>
          <w:rFonts w:asciiTheme="minorHAnsi" w:hAnsiTheme="minorHAnsi" w:cs="Calibri"/>
          <w:lang w:eastAsia="ja-JP"/>
        </w:rPr>
        <w:t>), urticari</w:t>
      </w:r>
      <w:r w:rsidR="003F52B8">
        <w:rPr>
          <w:rFonts w:asciiTheme="minorHAnsi" w:hAnsiTheme="minorHAnsi" w:cs="Calibri"/>
          <w:lang w:eastAsia="ja-JP"/>
        </w:rPr>
        <w:t>a (8/138) and headache (8/138).</w:t>
      </w:r>
    </w:p>
    <w:p w14:paraId="185F0318" w14:textId="71006341" w:rsidR="00E00595" w:rsidRDefault="00E00595" w:rsidP="00E00595">
      <w:pPr>
        <w:rPr>
          <w:rFonts w:asciiTheme="minorHAnsi" w:hAnsiTheme="minorHAnsi" w:cs="Calibri"/>
          <w:lang w:eastAsia="ja-JP"/>
        </w:rPr>
      </w:pPr>
      <w:r>
        <w:rPr>
          <w:rFonts w:asciiTheme="minorHAnsi" w:hAnsiTheme="minorHAnsi" w:cs="Calibri"/>
          <w:lang w:eastAsia="ja-JP"/>
        </w:rPr>
        <w:t>Pregnancy was also considered an event of special interest. Two pregnancies in wom</w:t>
      </w:r>
      <w:r w:rsidR="003F52B8">
        <w:rPr>
          <w:rFonts w:asciiTheme="minorHAnsi" w:hAnsiTheme="minorHAnsi" w:cs="Calibri"/>
          <w:lang w:eastAsia="ja-JP"/>
        </w:rPr>
        <w:t xml:space="preserve">en taking avalglucosidase alfa </w:t>
      </w:r>
      <w:r>
        <w:rPr>
          <w:rFonts w:asciiTheme="minorHAnsi" w:hAnsiTheme="minorHAnsi" w:cs="Calibri"/>
          <w:lang w:eastAsia="ja-JP"/>
        </w:rPr>
        <w:t>were reported, both resulting in live births with no further information provided. Three pregnancies in two partners were reported with no further information provided.</w:t>
      </w:r>
    </w:p>
    <w:p w14:paraId="100663F2" w14:textId="1F3E5528" w:rsidR="00E00595" w:rsidRDefault="00E00595" w:rsidP="00E00595">
      <w:pPr>
        <w:rPr>
          <w:rFonts w:asciiTheme="minorHAnsi" w:hAnsiTheme="minorHAnsi" w:cs="Calibri"/>
          <w:lang w:eastAsia="ja-JP"/>
        </w:rPr>
      </w:pPr>
      <w:r>
        <w:rPr>
          <w:rFonts w:asciiTheme="minorHAnsi" w:hAnsiTheme="minorHAnsi" w:cs="Calibri"/>
          <w:lang w:eastAsia="ja-JP"/>
        </w:rPr>
        <w:t xml:space="preserve">Eight reports of anaphylactic reactions were identified across the studies, of which two patients were considered to satisfy the clinical diagnosis of anaphylaxis. A </w:t>
      </w:r>
      <w:proofErr w:type="gramStart"/>
      <w:r>
        <w:rPr>
          <w:rFonts w:asciiTheme="minorHAnsi" w:hAnsiTheme="minorHAnsi" w:cs="Calibri"/>
          <w:lang w:eastAsia="ja-JP"/>
        </w:rPr>
        <w:t>51 year</w:t>
      </w:r>
      <w:r w:rsidR="002B6B1B">
        <w:rPr>
          <w:rFonts w:asciiTheme="minorHAnsi" w:hAnsiTheme="minorHAnsi" w:cs="Calibri"/>
          <w:lang w:eastAsia="ja-JP"/>
        </w:rPr>
        <w:t>-</w:t>
      </w:r>
      <w:r>
        <w:rPr>
          <w:rFonts w:asciiTheme="minorHAnsi" w:hAnsiTheme="minorHAnsi" w:cs="Calibri"/>
          <w:lang w:eastAsia="ja-JP"/>
        </w:rPr>
        <w:t>old</w:t>
      </w:r>
      <w:proofErr w:type="gramEnd"/>
      <w:r>
        <w:rPr>
          <w:rFonts w:asciiTheme="minorHAnsi" w:hAnsiTheme="minorHAnsi" w:cs="Calibri"/>
          <w:lang w:eastAsia="ja-JP"/>
        </w:rPr>
        <w:t xml:space="preserve"> woman discontinued the study after experiencing Grade 2 respiratory distress, chest pressure, flushing, cough, dizziness and nausea three minutes into an infusion of </w:t>
      </w:r>
      <w:proofErr w:type="spellStart"/>
      <w:r>
        <w:rPr>
          <w:rFonts w:asciiTheme="minorHAnsi" w:hAnsiTheme="minorHAnsi" w:cs="Calibri"/>
          <w:lang w:eastAsia="ja-JP"/>
        </w:rPr>
        <w:t>avalglucosidase</w:t>
      </w:r>
      <w:proofErr w:type="spellEnd"/>
      <w:r>
        <w:rPr>
          <w:rFonts w:asciiTheme="minorHAnsi" w:hAnsiTheme="minorHAnsi" w:cs="Calibri"/>
          <w:lang w:eastAsia="ja-JP"/>
        </w:rPr>
        <w:t xml:space="preserve"> alfa. She recovered with standard treatment for anaphylaxis. A</w:t>
      </w:r>
      <w:r w:rsidR="002B6B1B">
        <w:rPr>
          <w:rFonts w:asciiTheme="minorHAnsi" w:hAnsiTheme="minorHAnsi" w:cs="Calibri"/>
          <w:lang w:eastAsia="ja-JP"/>
        </w:rPr>
        <w:t> </w:t>
      </w:r>
      <w:r>
        <w:rPr>
          <w:rFonts w:asciiTheme="minorHAnsi" w:hAnsiTheme="minorHAnsi" w:cs="Calibri"/>
          <w:lang w:eastAsia="ja-JP"/>
        </w:rPr>
        <w:t>44</w:t>
      </w:r>
      <w:r w:rsidR="002B6B1B">
        <w:rPr>
          <w:rFonts w:asciiTheme="minorHAnsi" w:hAnsiTheme="minorHAnsi" w:cs="Calibri"/>
          <w:lang w:eastAsia="ja-JP"/>
        </w:rPr>
        <w:t> </w:t>
      </w:r>
      <w:r>
        <w:rPr>
          <w:rFonts w:asciiTheme="minorHAnsi" w:hAnsiTheme="minorHAnsi" w:cs="Calibri"/>
          <w:lang w:eastAsia="ja-JP"/>
        </w:rPr>
        <w:t>year</w:t>
      </w:r>
      <w:r w:rsidR="002B6B1B">
        <w:rPr>
          <w:rFonts w:asciiTheme="minorHAnsi" w:hAnsiTheme="minorHAnsi" w:cs="Calibri"/>
          <w:lang w:eastAsia="ja-JP"/>
        </w:rPr>
        <w:noBreakHyphen/>
      </w:r>
      <w:r>
        <w:rPr>
          <w:rFonts w:asciiTheme="minorHAnsi" w:hAnsiTheme="minorHAnsi" w:cs="Calibri"/>
          <w:lang w:eastAsia="ja-JP"/>
        </w:rPr>
        <w:t>old female experienced two episodes of symptoms including erythema, angioedema, flushing and oxygen desaturation, and was treated with standard treatment for anaphylaxis although not requiring adrenalin.</w:t>
      </w:r>
    </w:p>
    <w:p w14:paraId="6035058A" w14:textId="77777777" w:rsidR="00E00595" w:rsidRDefault="00E00595" w:rsidP="00E00595">
      <w:pPr>
        <w:rPr>
          <w:rFonts w:asciiTheme="minorHAnsi" w:hAnsiTheme="minorHAnsi" w:cs="Calibri"/>
          <w:lang w:eastAsia="ja-JP"/>
        </w:rPr>
      </w:pPr>
      <w:r>
        <w:rPr>
          <w:rFonts w:asciiTheme="minorHAnsi" w:hAnsiTheme="minorHAnsi" w:cs="Calibri"/>
          <w:lang w:eastAsia="ja-JP"/>
        </w:rPr>
        <w:t xml:space="preserve">Hypersensitivity reactions included rash, pruritus, erythema, urticaria, respiratory failure, seasonal allergy, rhinitis allergic and infusion site rashes, with one or more symptoms reported by a total of 60 patients. In six patients the events were considered serious and/or severe, including respiratory failure, respiratory </w:t>
      </w:r>
      <w:proofErr w:type="gramStart"/>
      <w:r>
        <w:rPr>
          <w:rFonts w:asciiTheme="minorHAnsi" w:hAnsiTheme="minorHAnsi" w:cs="Calibri"/>
          <w:lang w:eastAsia="ja-JP"/>
        </w:rPr>
        <w:t>distress</w:t>
      </w:r>
      <w:proofErr w:type="gramEnd"/>
      <w:r>
        <w:rPr>
          <w:rFonts w:asciiTheme="minorHAnsi" w:hAnsiTheme="minorHAnsi" w:cs="Calibri"/>
          <w:lang w:eastAsia="ja-JP"/>
        </w:rPr>
        <w:t xml:space="preserve"> or severe rash. No event </w:t>
      </w:r>
      <w:proofErr w:type="gramStart"/>
      <w:r>
        <w:rPr>
          <w:rFonts w:asciiTheme="minorHAnsi" w:hAnsiTheme="minorHAnsi" w:cs="Calibri"/>
          <w:lang w:eastAsia="ja-JP"/>
        </w:rPr>
        <w:t>was considered to be</w:t>
      </w:r>
      <w:proofErr w:type="gramEnd"/>
      <w:r>
        <w:rPr>
          <w:rFonts w:asciiTheme="minorHAnsi" w:hAnsiTheme="minorHAnsi" w:cs="Calibri"/>
          <w:lang w:eastAsia="ja-JP"/>
        </w:rPr>
        <w:t xml:space="preserve"> consistent with immune-complex mediated disease.</w:t>
      </w:r>
    </w:p>
    <w:p w14:paraId="6D227C09" w14:textId="7D293B1B" w:rsidR="00E00595" w:rsidRDefault="00E00595" w:rsidP="00E00595">
      <w:pPr>
        <w:rPr>
          <w:rFonts w:asciiTheme="minorHAnsi" w:hAnsiTheme="minorHAnsi" w:cs="Calibri"/>
          <w:lang w:eastAsia="ja-JP"/>
        </w:rPr>
      </w:pPr>
      <w:r>
        <w:rPr>
          <w:rFonts w:asciiTheme="minorHAnsi" w:hAnsiTheme="minorHAnsi" w:cs="Calibri"/>
          <w:lang w:eastAsia="ja-JP"/>
        </w:rPr>
        <w:t>Reports of anti-drug antibody (ADA) developmen</w:t>
      </w:r>
      <w:r w:rsidR="003F52B8">
        <w:rPr>
          <w:rFonts w:asciiTheme="minorHAnsi" w:hAnsiTheme="minorHAnsi" w:cs="Calibri"/>
          <w:lang w:eastAsia="ja-JP"/>
        </w:rPr>
        <w:t xml:space="preserve">t against avalglucosidase alfa </w:t>
      </w:r>
      <w:r>
        <w:rPr>
          <w:rFonts w:asciiTheme="minorHAnsi" w:hAnsiTheme="minorHAnsi" w:cs="Calibri"/>
          <w:lang w:eastAsia="ja-JP"/>
        </w:rPr>
        <w:t xml:space="preserve">were recorded in both adult and paediatric populations and occurred in treatment-naïve and alglucosidase alfa experienced patients. </w:t>
      </w:r>
    </w:p>
    <w:p w14:paraId="4580BEFA" w14:textId="1C547FFE" w:rsidR="003F52B8" w:rsidRDefault="003F52B8" w:rsidP="003F52B8">
      <w:pPr>
        <w:pStyle w:val="Tabletitle0"/>
      </w:pPr>
      <w:r>
        <w:t xml:space="preserve">Table </w:t>
      </w:r>
      <w:r>
        <w:fldChar w:fldCharType="begin"/>
      </w:r>
      <w:r>
        <w:instrText>SEQ Table \* ARABIC</w:instrText>
      </w:r>
      <w:r>
        <w:fldChar w:fldCharType="separate"/>
      </w:r>
      <w:r w:rsidR="004A495C">
        <w:rPr>
          <w:noProof/>
        </w:rPr>
        <w:t>6</w:t>
      </w:r>
      <w:r>
        <w:fldChar w:fldCharType="end"/>
      </w:r>
      <w:r>
        <w:t xml:space="preserve">: Anti-avalglucosidase alfa antibody response for </w:t>
      </w:r>
      <w:r w:rsidR="00501D3A">
        <w:rPr>
          <w:rFonts w:asciiTheme="minorHAnsi" w:hAnsiTheme="minorHAnsi" w:cs="Calibri"/>
          <w:lang w:eastAsia="ja-JP"/>
        </w:rPr>
        <w:t>alglucosidase alfa-</w:t>
      </w:r>
      <w:r>
        <w:t>naïve</w:t>
      </w:r>
      <w:r w:rsidR="00501D3A">
        <w:t xml:space="preserve"> </w:t>
      </w:r>
      <w:r>
        <w:t>patients (antidru</w:t>
      </w:r>
      <w:r w:rsidR="004A18BF">
        <w:t>g antibody evaluable population)</w:t>
      </w:r>
    </w:p>
    <w:tbl>
      <w:tblPr>
        <w:tblStyle w:val="TableTGAblue"/>
        <w:tblW w:w="0" w:type="auto"/>
        <w:tblLayout w:type="fixed"/>
        <w:tblLook w:val="04A0" w:firstRow="1" w:lastRow="0" w:firstColumn="1" w:lastColumn="0" w:noHBand="0" w:noVBand="1"/>
      </w:tblPr>
      <w:tblGrid>
        <w:gridCol w:w="4560"/>
        <w:gridCol w:w="2991"/>
      </w:tblGrid>
      <w:tr w:rsidR="00E00595" w:rsidRPr="003F52B8" w14:paraId="33482025" w14:textId="77777777" w:rsidTr="003F52B8">
        <w:trPr>
          <w:cnfStyle w:val="100000000000" w:firstRow="1" w:lastRow="0" w:firstColumn="0" w:lastColumn="0" w:oddVBand="0" w:evenVBand="0" w:oddHBand="0" w:evenHBand="0" w:firstRowFirstColumn="0" w:firstRowLastColumn="0" w:lastRowFirstColumn="0" w:lastRowLastColumn="0"/>
          <w:trHeight w:val="901"/>
        </w:trPr>
        <w:tc>
          <w:tcPr>
            <w:tcW w:w="4560" w:type="dxa"/>
          </w:tcPr>
          <w:p w14:paraId="38FCD25C" w14:textId="40D4DFDB" w:rsidR="00E00595" w:rsidRPr="003F52B8" w:rsidRDefault="00E00595" w:rsidP="003F52B8">
            <w:pPr>
              <w:ind w:left="0" w:right="0"/>
              <w:rPr>
                <w:sz w:val="20"/>
              </w:rPr>
            </w:pPr>
          </w:p>
        </w:tc>
        <w:tc>
          <w:tcPr>
            <w:tcW w:w="2991" w:type="dxa"/>
            <w:hideMark/>
          </w:tcPr>
          <w:p w14:paraId="561EDF19" w14:textId="0E70CBBD" w:rsidR="00E00595" w:rsidRPr="00501D3A" w:rsidRDefault="00501D3A" w:rsidP="003F52B8">
            <w:pPr>
              <w:ind w:left="0" w:right="0"/>
              <w:rPr>
                <w:sz w:val="20"/>
                <w:szCs w:val="20"/>
              </w:rPr>
            </w:pPr>
            <w:r>
              <w:rPr>
                <w:rFonts w:asciiTheme="minorHAnsi" w:hAnsiTheme="minorHAnsi" w:cs="Calibri"/>
                <w:sz w:val="20"/>
                <w:szCs w:val="20"/>
                <w:lang w:eastAsia="ja-JP"/>
              </w:rPr>
              <w:t>A</w:t>
            </w:r>
            <w:r w:rsidR="007C4063">
              <w:rPr>
                <w:rFonts w:asciiTheme="minorHAnsi" w:hAnsiTheme="minorHAnsi" w:cs="Calibri"/>
                <w:sz w:val="20"/>
                <w:szCs w:val="20"/>
                <w:lang w:eastAsia="ja-JP"/>
              </w:rPr>
              <w:t>lglucosidase alfa-</w:t>
            </w:r>
            <w:r w:rsidR="003F52B8" w:rsidRPr="00501D3A">
              <w:rPr>
                <w:sz w:val="20"/>
                <w:szCs w:val="20"/>
              </w:rPr>
              <w:t>n</w:t>
            </w:r>
            <w:r w:rsidR="00E00595" w:rsidRPr="00501D3A">
              <w:rPr>
                <w:sz w:val="20"/>
                <w:szCs w:val="20"/>
              </w:rPr>
              <w:t>aïve patients</w:t>
            </w:r>
          </w:p>
          <w:p w14:paraId="7961AD73" w14:textId="543A10CE" w:rsidR="00E00595" w:rsidRPr="003F52B8" w:rsidRDefault="00E00595" w:rsidP="003F52B8">
            <w:pPr>
              <w:ind w:left="0" w:right="0"/>
              <w:rPr>
                <w:sz w:val="20"/>
              </w:rPr>
            </w:pPr>
            <w:r w:rsidRPr="003F52B8">
              <w:rPr>
                <w:sz w:val="20"/>
              </w:rPr>
              <w:t>(N</w:t>
            </w:r>
            <w:r w:rsidR="004A18BF">
              <w:rPr>
                <w:sz w:val="20"/>
              </w:rPr>
              <w:t xml:space="preserve"> </w:t>
            </w:r>
            <w:r w:rsidRPr="003F52B8">
              <w:rPr>
                <w:sz w:val="20"/>
              </w:rPr>
              <w:t>=</w:t>
            </w:r>
            <w:r w:rsidR="004A18BF">
              <w:rPr>
                <w:sz w:val="20"/>
              </w:rPr>
              <w:t xml:space="preserve"> </w:t>
            </w:r>
            <w:r w:rsidRPr="003F52B8">
              <w:rPr>
                <w:sz w:val="20"/>
              </w:rPr>
              <w:t>61)</w:t>
            </w:r>
          </w:p>
        </w:tc>
      </w:tr>
      <w:tr w:rsidR="00E00595" w:rsidRPr="003F52B8" w14:paraId="21456ADE" w14:textId="77777777" w:rsidTr="003F52B8">
        <w:trPr>
          <w:trHeight w:val="144"/>
        </w:trPr>
        <w:tc>
          <w:tcPr>
            <w:tcW w:w="4560" w:type="dxa"/>
            <w:hideMark/>
          </w:tcPr>
          <w:p w14:paraId="7105FF95" w14:textId="70E48F61" w:rsidR="00E00595" w:rsidRPr="003F52B8" w:rsidRDefault="003F52B8" w:rsidP="003F52B8">
            <w:pPr>
              <w:rPr>
                <w:sz w:val="20"/>
              </w:rPr>
            </w:pPr>
            <w:r>
              <w:rPr>
                <w:sz w:val="20"/>
              </w:rPr>
              <w:t>Antidrug antibody</w:t>
            </w:r>
            <w:r w:rsidR="00E00595" w:rsidRPr="003F52B8">
              <w:rPr>
                <w:sz w:val="20"/>
              </w:rPr>
              <w:t xml:space="preserve"> status, n</w:t>
            </w:r>
            <w:r>
              <w:rPr>
                <w:sz w:val="20"/>
              </w:rPr>
              <w:t xml:space="preserve"> </w:t>
            </w:r>
            <w:r w:rsidR="00E00595" w:rsidRPr="003F52B8">
              <w:rPr>
                <w:sz w:val="20"/>
              </w:rPr>
              <w:t>(%)</w:t>
            </w:r>
          </w:p>
        </w:tc>
        <w:tc>
          <w:tcPr>
            <w:tcW w:w="2991" w:type="dxa"/>
          </w:tcPr>
          <w:p w14:paraId="0E2AF6A9" w14:textId="77777777" w:rsidR="00E00595" w:rsidRPr="003F52B8" w:rsidRDefault="00E00595" w:rsidP="003F52B8">
            <w:pPr>
              <w:rPr>
                <w:sz w:val="20"/>
              </w:rPr>
            </w:pPr>
          </w:p>
        </w:tc>
      </w:tr>
      <w:tr w:rsidR="00E00595" w:rsidRPr="003F52B8" w14:paraId="52FC7C40" w14:textId="77777777" w:rsidTr="003F52B8">
        <w:trPr>
          <w:trHeight w:val="144"/>
        </w:trPr>
        <w:tc>
          <w:tcPr>
            <w:tcW w:w="4560" w:type="dxa"/>
            <w:hideMark/>
          </w:tcPr>
          <w:p w14:paraId="7F218655" w14:textId="77777777" w:rsidR="00E00595" w:rsidRPr="003F52B8" w:rsidRDefault="00E00595" w:rsidP="003F52B8">
            <w:pPr>
              <w:rPr>
                <w:sz w:val="20"/>
              </w:rPr>
            </w:pPr>
            <w:r w:rsidRPr="003F52B8">
              <w:rPr>
                <w:sz w:val="20"/>
              </w:rPr>
              <w:t>Always negative</w:t>
            </w:r>
          </w:p>
        </w:tc>
        <w:tc>
          <w:tcPr>
            <w:tcW w:w="2991" w:type="dxa"/>
            <w:hideMark/>
          </w:tcPr>
          <w:p w14:paraId="442B7A38" w14:textId="77777777" w:rsidR="00E00595" w:rsidRPr="003F52B8" w:rsidRDefault="00E00595" w:rsidP="003F52B8">
            <w:pPr>
              <w:rPr>
                <w:sz w:val="20"/>
              </w:rPr>
            </w:pPr>
            <w:r w:rsidRPr="003F52B8">
              <w:rPr>
                <w:sz w:val="20"/>
              </w:rPr>
              <w:t>3 (4.9)</w:t>
            </w:r>
          </w:p>
        </w:tc>
      </w:tr>
      <w:tr w:rsidR="00E00595" w:rsidRPr="003F52B8" w14:paraId="63326E95" w14:textId="77777777" w:rsidTr="003F52B8">
        <w:trPr>
          <w:trHeight w:val="144"/>
        </w:trPr>
        <w:tc>
          <w:tcPr>
            <w:tcW w:w="4560" w:type="dxa"/>
            <w:hideMark/>
          </w:tcPr>
          <w:p w14:paraId="3B378F26" w14:textId="4F67325B" w:rsidR="00E00595" w:rsidRPr="003F52B8" w:rsidRDefault="00E00595" w:rsidP="003F52B8">
            <w:pPr>
              <w:rPr>
                <w:sz w:val="20"/>
              </w:rPr>
            </w:pPr>
            <w:r w:rsidRPr="003F52B8">
              <w:rPr>
                <w:sz w:val="20"/>
              </w:rPr>
              <w:t xml:space="preserve">Positive at </w:t>
            </w:r>
            <w:r w:rsidR="003F52B8">
              <w:rPr>
                <w:sz w:val="20"/>
              </w:rPr>
              <w:t>B</w:t>
            </w:r>
            <w:r w:rsidRPr="003F52B8">
              <w:rPr>
                <w:sz w:val="20"/>
              </w:rPr>
              <w:t>aseline</w:t>
            </w:r>
          </w:p>
        </w:tc>
        <w:tc>
          <w:tcPr>
            <w:tcW w:w="2991" w:type="dxa"/>
            <w:hideMark/>
          </w:tcPr>
          <w:p w14:paraId="5D7B6DDC" w14:textId="77777777" w:rsidR="00E00595" w:rsidRPr="003F52B8" w:rsidRDefault="00E00595" w:rsidP="003F52B8">
            <w:pPr>
              <w:rPr>
                <w:sz w:val="20"/>
              </w:rPr>
            </w:pPr>
            <w:r w:rsidRPr="003F52B8">
              <w:rPr>
                <w:sz w:val="20"/>
              </w:rPr>
              <w:t>2 (3.3)</w:t>
            </w:r>
          </w:p>
        </w:tc>
      </w:tr>
      <w:tr w:rsidR="00E00595" w:rsidRPr="003F52B8" w14:paraId="747EA3BF" w14:textId="77777777" w:rsidTr="003F52B8">
        <w:trPr>
          <w:trHeight w:val="144"/>
        </w:trPr>
        <w:tc>
          <w:tcPr>
            <w:tcW w:w="4560" w:type="dxa"/>
            <w:hideMark/>
          </w:tcPr>
          <w:p w14:paraId="20C925EB" w14:textId="656DA8B2" w:rsidR="00E00595" w:rsidRPr="003F52B8" w:rsidRDefault="00E00595" w:rsidP="003F52B8">
            <w:pPr>
              <w:rPr>
                <w:sz w:val="20"/>
              </w:rPr>
            </w:pPr>
            <w:r w:rsidRPr="003F52B8">
              <w:rPr>
                <w:sz w:val="20"/>
              </w:rPr>
              <w:t>Positive post</w:t>
            </w:r>
            <w:r w:rsidR="003F52B8">
              <w:rPr>
                <w:sz w:val="20"/>
              </w:rPr>
              <w:t>-B</w:t>
            </w:r>
            <w:r w:rsidRPr="003F52B8">
              <w:rPr>
                <w:sz w:val="20"/>
              </w:rPr>
              <w:t>aseline</w:t>
            </w:r>
          </w:p>
        </w:tc>
        <w:tc>
          <w:tcPr>
            <w:tcW w:w="2991" w:type="dxa"/>
            <w:hideMark/>
          </w:tcPr>
          <w:p w14:paraId="5FC06F67" w14:textId="77777777" w:rsidR="00E00595" w:rsidRPr="003F52B8" w:rsidRDefault="00E00595" w:rsidP="003F52B8">
            <w:pPr>
              <w:rPr>
                <w:sz w:val="20"/>
              </w:rPr>
            </w:pPr>
            <w:r w:rsidRPr="003F52B8">
              <w:rPr>
                <w:sz w:val="20"/>
              </w:rPr>
              <w:t>56 (91.8)</w:t>
            </w:r>
          </w:p>
        </w:tc>
      </w:tr>
      <w:tr w:rsidR="00E00595" w:rsidRPr="003F52B8" w14:paraId="32F4ECE9" w14:textId="77777777" w:rsidTr="003F52B8">
        <w:trPr>
          <w:trHeight w:val="144"/>
        </w:trPr>
        <w:tc>
          <w:tcPr>
            <w:tcW w:w="4560" w:type="dxa"/>
            <w:hideMark/>
          </w:tcPr>
          <w:p w14:paraId="395CD4B7" w14:textId="3E791CA6" w:rsidR="00E00595" w:rsidRPr="003F52B8" w:rsidRDefault="00E00595" w:rsidP="003F52B8">
            <w:pPr>
              <w:rPr>
                <w:sz w:val="20"/>
              </w:rPr>
            </w:pPr>
            <w:r w:rsidRPr="003F52B8">
              <w:rPr>
                <w:sz w:val="20"/>
              </w:rPr>
              <w:t xml:space="preserve">Treatment-induced </w:t>
            </w:r>
            <w:proofErr w:type="spellStart"/>
            <w:r w:rsidRPr="003F52B8">
              <w:rPr>
                <w:sz w:val="20"/>
              </w:rPr>
              <w:t>ADA</w:t>
            </w:r>
            <w:r w:rsidRPr="003F52B8">
              <w:rPr>
                <w:sz w:val="20"/>
                <w:vertAlign w:val="superscript"/>
              </w:rPr>
              <w:t>a</w:t>
            </w:r>
            <w:proofErr w:type="spellEnd"/>
            <w:r w:rsidRPr="003F52B8">
              <w:rPr>
                <w:sz w:val="20"/>
              </w:rPr>
              <w:t xml:space="preserve"> n</w:t>
            </w:r>
            <w:r w:rsidR="003F52B8">
              <w:rPr>
                <w:sz w:val="20"/>
              </w:rPr>
              <w:t xml:space="preserve"> </w:t>
            </w:r>
            <w:r w:rsidRPr="003F52B8">
              <w:rPr>
                <w:sz w:val="20"/>
              </w:rPr>
              <w:t>(%)</w:t>
            </w:r>
          </w:p>
        </w:tc>
        <w:tc>
          <w:tcPr>
            <w:tcW w:w="2991" w:type="dxa"/>
            <w:hideMark/>
          </w:tcPr>
          <w:p w14:paraId="395953E9" w14:textId="77777777" w:rsidR="00E00595" w:rsidRPr="003F52B8" w:rsidRDefault="00E00595" w:rsidP="003F52B8">
            <w:pPr>
              <w:rPr>
                <w:sz w:val="20"/>
              </w:rPr>
            </w:pPr>
            <w:r w:rsidRPr="003F52B8">
              <w:rPr>
                <w:sz w:val="20"/>
              </w:rPr>
              <w:t>56 (94.9)</w:t>
            </w:r>
          </w:p>
        </w:tc>
      </w:tr>
      <w:tr w:rsidR="00E00595" w:rsidRPr="003F52B8" w14:paraId="52CCA8E0" w14:textId="77777777" w:rsidTr="003F52B8">
        <w:trPr>
          <w:trHeight w:val="144"/>
        </w:trPr>
        <w:tc>
          <w:tcPr>
            <w:tcW w:w="4560" w:type="dxa"/>
            <w:hideMark/>
          </w:tcPr>
          <w:p w14:paraId="79316342" w14:textId="77777777" w:rsidR="00E00595" w:rsidRPr="003F52B8" w:rsidRDefault="00E00595" w:rsidP="003F52B8">
            <w:pPr>
              <w:rPr>
                <w:sz w:val="20"/>
              </w:rPr>
            </w:pPr>
            <w:r w:rsidRPr="003F52B8">
              <w:rPr>
                <w:sz w:val="20"/>
              </w:rPr>
              <w:t>Transient response</w:t>
            </w:r>
          </w:p>
        </w:tc>
        <w:tc>
          <w:tcPr>
            <w:tcW w:w="2991" w:type="dxa"/>
            <w:hideMark/>
          </w:tcPr>
          <w:p w14:paraId="76B9D927" w14:textId="35559F5F" w:rsidR="00E00595" w:rsidRPr="003F52B8" w:rsidRDefault="00AF450C" w:rsidP="00AF450C">
            <w:pPr>
              <w:rPr>
                <w:sz w:val="20"/>
              </w:rPr>
            </w:pPr>
            <w:r>
              <w:rPr>
                <w:sz w:val="20"/>
              </w:rPr>
              <w:t xml:space="preserve">1 (1.7) </w:t>
            </w:r>
          </w:p>
        </w:tc>
      </w:tr>
      <w:tr w:rsidR="00E00595" w:rsidRPr="003F52B8" w14:paraId="5D4F742E" w14:textId="77777777" w:rsidTr="003F52B8">
        <w:trPr>
          <w:trHeight w:val="144"/>
        </w:trPr>
        <w:tc>
          <w:tcPr>
            <w:tcW w:w="4560" w:type="dxa"/>
            <w:hideMark/>
          </w:tcPr>
          <w:p w14:paraId="10776F05" w14:textId="77777777" w:rsidR="00E00595" w:rsidRPr="003F52B8" w:rsidRDefault="00E00595" w:rsidP="003F52B8">
            <w:pPr>
              <w:rPr>
                <w:sz w:val="20"/>
              </w:rPr>
            </w:pPr>
            <w:r w:rsidRPr="003F52B8">
              <w:rPr>
                <w:sz w:val="20"/>
              </w:rPr>
              <w:t>Persistent response</w:t>
            </w:r>
          </w:p>
        </w:tc>
        <w:tc>
          <w:tcPr>
            <w:tcW w:w="2991" w:type="dxa"/>
            <w:hideMark/>
          </w:tcPr>
          <w:p w14:paraId="50EADDE5" w14:textId="30CFD010" w:rsidR="00E00595" w:rsidRPr="003F52B8" w:rsidRDefault="00AF450C" w:rsidP="00AF450C">
            <w:pPr>
              <w:rPr>
                <w:sz w:val="20"/>
              </w:rPr>
            </w:pPr>
            <w:r>
              <w:rPr>
                <w:sz w:val="20"/>
              </w:rPr>
              <w:t xml:space="preserve">49 (83,1) </w:t>
            </w:r>
          </w:p>
        </w:tc>
      </w:tr>
      <w:tr w:rsidR="00E00595" w:rsidRPr="003F52B8" w14:paraId="44916029" w14:textId="77777777" w:rsidTr="003F52B8">
        <w:trPr>
          <w:trHeight w:val="144"/>
        </w:trPr>
        <w:tc>
          <w:tcPr>
            <w:tcW w:w="4560" w:type="dxa"/>
            <w:hideMark/>
          </w:tcPr>
          <w:p w14:paraId="4C28E852" w14:textId="77777777" w:rsidR="00E00595" w:rsidRPr="003F52B8" w:rsidRDefault="00E00595" w:rsidP="003F52B8">
            <w:pPr>
              <w:rPr>
                <w:sz w:val="20"/>
              </w:rPr>
            </w:pPr>
            <w:r w:rsidRPr="003F52B8">
              <w:rPr>
                <w:sz w:val="20"/>
              </w:rPr>
              <w:t>Low response</w:t>
            </w:r>
          </w:p>
        </w:tc>
        <w:tc>
          <w:tcPr>
            <w:tcW w:w="2991" w:type="dxa"/>
            <w:hideMark/>
          </w:tcPr>
          <w:p w14:paraId="586562EF" w14:textId="77777777" w:rsidR="00E00595" w:rsidRPr="003F52B8" w:rsidRDefault="00E00595" w:rsidP="003F52B8">
            <w:pPr>
              <w:rPr>
                <w:sz w:val="20"/>
              </w:rPr>
            </w:pPr>
            <w:r w:rsidRPr="003F52B8">
              <w:rPr>
                <w:sz w:val="20"/>
              </w:rPr>
              <w:t>8 (13.6)</w:t>
            </w:r>
          </w:p>
        </w:tc>
      </w:tr>
      <w:tr w:rsidR="00E00595" w:rsidRPr="003F52B8" w14:paraId="752D5D55" w14:textId="77777777" w:rsidTr="003F52B8">
        <w:trPr>
          <w:trHeight w:val="144"/>
        </w:trPr>
        <w:tc>
          <w:tcPr>
            <w:tcW w:w="4560" w:type="dxa"/>
            <w:hideMark/>
          </w:tcPr>
          <w:p w14:paraId="1822EFF8" w14:textId="77777777" w:rsidR="00E00595" w:rsidRPr="003F52B8" w:rsidRDefault="00E00595" w:rsidP="003F52B8">
            <w:pPr>
              <w:rPr>
                <w:sz w:val="20"/>
              </w:rPr>
            </w:pPr>
            <w:r w:rsidRPr="003F52B8">
              <w:rPr>
                <w:sz w:val="20"/>
              </w:rPr>
              <w:t>Intermediate response</w:t>
            </w:r>
          </w:p>
        </w:tc>
        <w:tc>
          <w:tcPr>
            <w:tcW w:w="2991" w:type="dxa"/>
            <w:hideMark/>
          </w:tcPr>
          <w:p w14:paraId="0F5CC63A" w14:textId="77777777" w:rsidR="00E00595" w:rsidRPr="003F52B8" w:rsidRDefault="00E00595" w:rsidP="003F52B8">
            <w:pPr>
              <w:rPr>
                <w:sz w:val="20"/>
              </w:rPr>
            </w:pPr>
            <w:r w:rsidRPr="003F52B8">
              <w:rPr>
                <w:sz w:val="20"/>
              </w:rPr>
              <w:t>28 (47.5)</w:t>
            </w:r>
          </w:p>
        </w:tc>
      </w:tr>
      <w:tr w:rsidR="00E00595" w:rsidRPr="003F52B8" w14:paraId="7CE41545" w14:textId="77777777" w:rsidTr="003F52B8">
        <w:trPr>
          <w:trHeight w:val="144"/>
        </w:trPr>
        <w:tc>
          <w:tcPr>
            <w:tcW w:w="4560" w:type="dxa"/>
            <w:hideMark/>
          </w:tcPr>
          <w:p w14:paraId="686283E8" w14:textId="77777777" w:rsidR="00E00595" w:rsidRPr="003F52B8" w:rsidRDefault="00E00595" w:rsidP="003F52B8">
            <w:pPr>
              <w:rPr>
                <w:sz w:val="20"/>
              </w:rPr>
            </w:pPr>
            <w:r w:rsidRPr="003F52B8">
              <w:rPr>
                <w:sz w:val="20"/>
              </w:rPr>
              <w:t>High response</w:t>
            </w:r>
          </w:p>
        </w:tc>
        <w:tc>
          <w:tcPr>
            <w:tcW w:w="2991" w:type="dxa"/>
            <w:hideMark/>
          </w:tcPr>
          <w:p w14:paraId="266B4934" w14:textId="77777777" w:rsidR="00E00595" w:rsidRPr="003F52B8" w:rsidRDefault="00E00595" w:rsidP="003F52B8">
            <w:pPr>
              <w:rPr>
                <w:sz w:val="20"/>
              </w:rPr>
            </w:pPr>
            <w:r w:rsidRPr="003F52B8">
              <w:rPr>
                <w:sz w:val="20"/>
              </w:rPr>
              <w:t>13 (22.0)</w:t>
            </w:r>
          </w:p>
        </w:tc>
      </w:tr>
      <w:tr w:rsidR="00E00595" w:rsidRPr="003F52B8" w14:paraId="2BFE7CC5" w14:textId="77777777" w:rsidTr="003F52B8">
        <w:trPr>
          <w:trHeight w:val="144"/>
        </w:trPr>
        <w:tc>
          <w:tcPr>
            <w:tcW w:w="4560" w:type="dxa"/>
            <w:hideMark/>
          </w:tcPr>
          <w:p w14:paraId="5510FFE9" w14:textId="77777777" w:rsidR="00E00595" w:rsidRPr="003F52B8" w:rsidRDefault="00E00595" w:rsidP="003F52B8">
            <w:pPr>
              <w:rPr>
                <w:sz w:val="20"/>
              </w:rPr>
            </w:pPr>
            <w:r w:rsidRPr="003F52B8">
              <w:rPr>
                <w:sz w:val="20"/>
              </w:rPr>
              <w:lastRenderedPageBreak/>
              <w:t>Tolerised</w:t>
            </w:r>
          </w:p>
        </w:tc>
        <w:tc>
          <w:tcPr>
            <w:tcW w:w="2991" w:type="dxa"/>
            <w:hideMark/>
          </w:tcPr>
          <w:p w14:paraId="083673A0" w14:textId="77777777" w:rsidR="00E00595" w:rsidRPr="003F52B8" w:rsidRDefault="00E00595" w:rsidP="003F52B8">
            <w:pPr>
              <w:rPr>
                <w:sz w:val="20"/>
              </w:rPr>
            </w:pPr>
            <w:r w:rsidRPr="003F52B8">
              <w:rPr>
                <w:sz w:val="20"/>
              </w:rPr>
              <w:t>6 (10.2)</w:t>
            </w:r>
          </w:p>
        </w:tc>
      </w:tr>
      <w:tr w:rsidR="00E00595" w:rsidRPr="003F52B8" w14:paraId="37A9F8B6" w14:textId="77777777" w:rsidTr="003F52B8">
        <w:trPr>
          <w:trHeight w:val="144"/>
        </w:trPr>
        <w:tc>
          <w:tcPr>
            <w:tcW w:w="4560" w:type="dxa"/>
            <w:hideMark/>
          </w:tcPr>
          <w:p w14:paraId="5D055B85" w14:textId="77777777" w:rsidR="00E00595" w:rsidRPr="003F52B8" w:rsidRDefault="00E00595" w:rsidP="003F52B8">
            <w:pPr>
              <w:rPr>
                <w:sz w:val="20"/>
              </w:rPr>
            </w:pPr>
            <w:r w:rsidRPr="003F52B8">
              <w:rPr>
                <w:sz w:val="20"/>
              </w:rPr>
              <w:t>Indeterminate response</w:t>
            </w:r>
          </w:p>
        </w:tc>
        <w:tc>
          <w:tcPr>
            <w:tcW w:w="2991" w:type="dxa"/>
            <w:hideMark/>
          </w:tcPr>
          <w:p w14:paraId="3194E1DF" w14:textId="77777777" w:rsidR="00E00595" w:rsidRPr="003F52B8" w:rsidRDefault="00E00595" w:rsidP="003F52B8">
            <w:pPr>
              <w:rPr>
                <w:sz w:val="20"/>
              </w:rPr>
            </w:pPr>
            <w:r w:rsidRPr="003F52B8">
              <w:rPr>
                <w:sz w:val="20"/>
              </w:rPr>
              <w:t>0</w:t>
            </w:r>
          </w:p>
        </w:tc>
      </w:tr>
      <w:tr w:rsidR="00E00595" w:rsidRPr="003F52B8" w14:paraId="6A415C1E" w14:textId="77777777" w:rsidTr="003F52B8">
        <w:trPr>
          <w:trHeight w:val="144"/>
        </w:trPr>
        <w:tc>
          <w:tcPr>
            <w:tcW w:w="4560" w:type="dxa"/>
            <w:hideMark/>
          </w:tcPr>
          <w:p w14:paraId="0EB729A6" w14:textId="2D7ED3D8" w:rsidR="00E00595" w:rsidRPr="003F52B8" w:rsidRDefault="00E00595" w:rsidP="003F52B8">
            <w:pPr>
              <w:rPr>
                <w:sz w:val="20"/>
              </w:rPr>
            </w:pPr>
            <w:r w:rsidRPr="003F52B8">
              <w:rPr>
                <w:sz w:val="20"/>
              </w:rPr>
              <w:t xml:space="preserve">Treatment-boosted </w:t>
            </w:r>
            <w:proofErr w:type="spellStart"/>
            <w:r w:rsidRPr="003F52B8">
              <w:rPr>
                <w:sz w:val="20"/>
              </w:rPr>
              <w:t>ADA</w:t>
            </w:r>
            <w:r w:rsidRPr="003F52B8">
              <w:rPr>
                <w:sz w:val="20"/>
                <w:vertAlign w:val="superscript"/>
              </w:rPr>
              <w:t>b</w:t>
            </w:r>
            <w:proofErr w:type="spellEnd"/>
            <w:r w:rsidRPr="003F52B8">
              <w:rPr>
                <w:sz w:val="20"/>
              </w:rPr>
              <w:t>, n</w:t>
            </w:r>
            <w:r w:rsidR="003F52B8">
              <w:rPr>
                <w:sz w:val="20"/>
              </w:rPr>
              <w:t xml:space="preserve"> </w:t>
            </w:r>
            <w:r w:rsidRPr="003F52B8">
              <w:rPr>
                <w:sz w:val="20"/>
              </w:rPr>
              <w:t>(%)</w:t>
            </w:r>
          </w:p>
        </w:tc>
        <w:tc>
          <w:tcPr>
            <w:tcW w:w="2991" w:type="dxa"/>
            <w:hideMark/>
          </w:tcPr>
          <w:p w14:paraId="23C57C61" w14:textId="77777777" w:rsidR="00E00595" w:rsidRPr="003F52B8" w:rsidRDefault="00E00595" w:rsidP="003F52B8">
            <w:pPr>
              <w:rPr>
                <w:sz w:val="20"/>
              </w:rPr>
            </w:pPr>
            <w:r w:rsidRPr="003F52B8">
              <w:rPr>
                <w:sz w:val="20"/>
              </w:rPr>
              <w:t>2 (100)</w:t>
            </w:r>
          </w:p>
        </w:tc>
      </w:tr>
      <w:tr w:rsidR="00E00595" w:rsidRPr="003F52B8" w14:paraId="434CC3B1" w14:textId="77777777" w:rsidTr="003F52B8">
        <w:trPr>
          <w:trHeight w:val="144"/>
        </w:trPr>
        <w:tc>
          <w:tcPr>
            <w:tcW w:w="4560" w:type="dxa"/>
            <w:hideMark/>
          </w:tcPr>
          <w:p w14:paraId="6877E4A8" w14:textId="79E9B414" w:rsidR="00E00595" w:rsidRPr="003F52B8" w:rsidRDefault="00E00595" w:rsidP="003F52B8">
            <w:pPr>
              <w:rPr>
                <w:sz w:val="20"/>
              </w:rPr>
            </w:pPr>
            <w:r w:rsidRPr="003F52B8">
              <w:rPr>
                <w:sz w:val="20"/>
              </w:rPr>
              <w:t xml:space="preserve">Treatment emergent </w:t>
            </w:r>
            <w:proofErr w:type="spellStart"/>
            <w:r w:rsidRPr="003F52B8">
              <w:rPr>
                <w:sz w:val="20"/>
              </w:rPr>
              <w:t>ADA</w:t>
            </w:r>
            <w:r w:rsidRPr="003F52B8">
              <w:rPr>
                <w:sz w:val="20"/>
                <w:vertAlign w:val="superscript"/>
              </w:rPr>
              <w:t>c</w:t>
            </w:r>
            <w:proofErr w:type="spellEnd"/>
            <w:r w:rsidRPr="003F52B8">
              <w:rPr>
                <w:sz w:val="20"/>
              </w:rPr>
              <w:t>, n</w:t>
            </w:r>
            <w:r w:rsidR="003F52B8">
              <w:rPr>
                <w:sz w:val="20"/>
              </w:rPr>
              <w:t xml:space="preserve"> </w:t>
            </w:r>
            <w:r w:rsidRPr="003F52B8">
              <w:rPr>
                <w:sz w:val="20"/>
              </w:rPr>
              <w:t>(%)</w:t>
            </w:r>
          </w:p>
        </w:tc>
        <w:tc>
          <w:tcPr>
            <w:tcW w:w="2991" w:type="dxa"/>
            <w:hideMark/>
          </w:tcPr>
          <w:p w14:paraId="5A8BE13D" w14:textId="77777777" w:rsidR="00E00595" w:rsidRPr="003F52B8" w:rsidRDefault="00E00595" w:rsidP="003F52B8">
            <w:pPr>
              <w:rPr>
                <w:sz w:val="20"/>
              </w:rPr>
            </w:pPr>
            <w:r w:rsidRPr="003F52B8">
              <w:rPr>
                <w:sz w:val="20"/>
              </w:rPr>
              <w:t>58 (95.1)</w:t>
            </w:r>
          </w:p>
        </w:tc>
      </w:tr>
    </w:tbl>
    <w:p w14:paraId="63BB9F79" w14:textId="676D9571" w:rsidR="004A495C" w:rsidRDefault="004A495C" w:rsidP="003F52B8">
      <w:pPr>
        <w:pStyle w:val="TableDescription"/>
      </w:pPr>
      <w:r>
        <w:t>Abbreviation: ADA = antidrug antibody.</w:t>
      </w:r>
    </w:p>
    <w:p w14:paraId="72FC31AB" w14:textId="4814DEFE" w:rsidR="00E00595" w:rsidRDefault="00E00595" w:rsidP="003F52B8">
      <w:pPr>
        <w:pStyle w:val="TableDescription"/>
      </w:pPr>
      <w:r>
        <w:t>The percentage calculations are based on denominator of total number of patients in ADA evaluable population of each group if not specified.</w:t>
      </w:r>
    </w:p>
    <w:p w14:paraId="500A5B31" w14:textId="4FFA1F89" w:rsidR="00E00595" w:rsidRDefault="004A495C" w:rsidP="003F52B8">
      <w:pPr>
        <w:pStyle w:val="TableDescription"/>
      </w:pPr>
      <w:r>
        <w:t>a) </w:t>
      </w:r>
      <w:r w:rsidR="00E00595">
        <w:t>Treatment induced ADA incidence is defined as 100 x (treatment induced ADA positive patients)</w:t>
      </w:r>
      <w:r>
        <w:t xml:space="preserve"> </w:t>
      </w:r>
      <w:r w:rsidR="00E00595">
        <w:t>/</w:t>
      </w:r>
      <w:r>
        <w:t xml:space="preserve"> </w:t>
      </w:r>
      <w:r w:rsidR="00E00595">
        <w:t>(number of evaluable patients with ADA negative at baseline).</w:t>
      </w:r>
    </w:p>
    <w:p w14:paraId="38593A32" w14:textId="5E64685E" w:rsidR="00E00595" w:rsidRDefault="00E00595" w:rsidP="003F52B8">
      <w:pPr>
        <w:pStyle w:val="TableDescription"/>
      </w:pPr>
      <w:r>
        <w:t>b</w:t>
      </w:r>
      <w:r w:rsidR="004A495C">
        <w:t>)</w:t>
      </w:r>
      <w:r>
        <w:t xml:space="preserve"> Treatment boosted ADA incidence is defined as 100 x (treatment boosted ADA positive patients)/</w:t>
      </w:r>
      <w:r w:rsidR="004A495C">
        <w:t xml:space="preserve"> </w:t>
      </w:r>
      <w:r>
        <w:t>(number of evaluable patients with ADA positive at baseline).</w:t>
      </w:r>
    </w:p>
    <w:p w14:paraId="521A705F" w14:textId="3DF41DE5" w:rsidR="00E00595" w:rsidRDefault="00E00595" w:rsidP="003F52B8">
      <w:pPr>
        <w:pStyle w:val="TableDescription"/>
      </w:pPr>
      <w:r>
        <w:t>c</w:t>
      </w:r>
      <w:r w:rsidR="004A495C">
        <w:t>)</w:t>
      </w:r>
      <w:r>
        <w:t xml:space="preserve"> Treatment emergent ADA incidence is defined as 100 x (treatment boosted + treatment induced ADA positive patients)/</w:t>
      </w:r>
      <w:r w:rsidR="004A495C">
        <w:t xml:space="preserve"> </w:t>
      </w:r>
      <w:r>
        <w:t>(number of evaluable patients).</w:t>
      </w:r>
    </w:p>
    <w:p w14:paraId="5B55CF0B" w14:textId="7041F136" w:rsidR="00E00595" w:rsidRDefault="00E00595" w:rsidP="003F52B8">
      <w:pPr>
        <w:pStyle w:val="TableDescription"/>
      </w:pPr>
      <w:r>
        <w:t xml:space="preserve">Positive at baseline = pre-existing ADA and Positive post baseline = negative at baseline, and seroconverted ADA evaluable population in avalglucosidase alfa safety set will be used for the immunogenicity analyses. It is defined as all randomised or enrolled patients who received at least </w:t>
      </w:r>
      <w:r w:rsidR="002B6B1B">
        <w:t>one </w:t>
      </w:r>
      <w:r>
        <w:t xml:space="preserve">infusion (partial or completed) of avalglucosidase </w:t>
      </w:r>
      <w:proofErr w:type="gramStart"/>
      <w:r>
        <w:t>alfa</w:t>
      </w:r>
      <w:proofErr w:type="gramEnd"/>
      <w:r>
        <w:t xml:space="preserve"> and had at least one ADA sample taken post</w:t>
      </w:r>
      <w:r w:rsidR="002B6B1B">
        <w:noBreakHyphen/>
      </w:r>
      <w:r>
        <w:t xml:space="preserve">baseline after </w:t>
      </w:r>
      <w:proofErr w:type="spellStart"/>
      <w:r>
        <w:t>avalglucosidase</w:t>
      </w:r>
      <w:proofErr w:type="spellEnd"/>
      <w:r>
        <w:t xml:space="preserve"> alfa infusion that is appropriate for ADA testing with a reportable result.</w:t>
      </w:r>
    </w:p>
    <w:p w14:paraId="1D4B0AFB" w14:textId="41341719" w:rsidR="00E00595" w:rsidRDefault="004A495C" w:rsidP="004A495C">
      <w:pPr>
        <w:pStyle w:val="TableDescription"/>
      </w:pPr>
      <w:proofErr w:type="gramStart"/>
      <w:r>
        <w:t>Naïve-patients</w:t>
      </w:r>
      <w:proofErr w:type="gramEnd"/>
      <w:r>
        <w:t xml:space="preserve"> (from Studies</w:t>
      </w:r>
      <w:r w:rsidR="00E00595">
        <w:t xml:space="preserve"> TDR</w:t>
      </w:r>
      <w:r>
        <w:t>12857, LTS13769, and EFC14028).</w:t>
      </w:r>
    </w:p>
    <w:p w14:paraId="4889037B" w14:textId="058EF54A" w:rsidR="004A495C" w:rsidRDefault="004A495C" w:rsidP="004A495C">
      <w:pPr>
        <w:pStyle w:val="Tabletitle0"/>
      </w:pPr>
      <w:r>
        <w:t xml:space="preserve">Table </w:t>
      </w:r>
      <w:r>
        <w:fldChar w:fldCharType="begin"/>
      </w:r>
      <w:r>
        <w:instrText>SEQ Table \* ARABIC</w:instrText>
      </w:r>
      <w:r>
        <w:fldChar w:fldCharType="separate"/>
      </w:r>
      <w:r>
        <w:rPr>
          <w:noProof/>
        </w:rPr>
        <w:t>7</w:t>
      </w:r>
      <w:r>
        <w:fldChar w:fldCharType="end"/>
      </w:r>
      <w:r>
        <w:t xml:space="preserve">: </w:t>
      </w:r>
      <w:r>
        <w:rPr>
          <w:lang w:eastAsia="ja-JP"/>
        </w:rPr>
        <w:t xml:space="preserve">Anti-avalglucosidase alfa antibody response for </w:t>
      </w:r>
      <w:r w:rsidR="00501D3A">
        <w:rPr>
          <w:rFonts w:asciiTheme="minorHAnsi" w:hAnsiTheme="minorHAnsi" w:cs="Calibri"/>
          <w:lang w:eastAsia="ja-JP"/>
        </w:rPr>
        <w:t xml:space="preserve">alglucosidase alfa </w:t>
      </w:r>
      <w:r>
        <w:rPr>
          <w:lang w:eastAsia="ja-JP"/>
        </w:rPr>
        <w:t>experienced patients (antidrug antibody evaluable population)</w:t>
      </w:r>
    </w:p>
    <w:tbl>
      <w:tblPr>
        <w:tblStyle w:val="TableTGAblue"/>
        <w:tblW w:w="8658" w:type="dxa"/>
        <w:tblLook w:val="04A0" w:firstRow="1" w:lastRow="0" w:firstColumn="1" w:lastColumn="0" w:noHBand="0" w:noVBand="1"/>
      </w:tblPr>
      <w:tblGrid>
        <w:gridCol w:w="3258"/>
        <w:gridCol w:w="1731"/>
        <w:gridCol w:w="2041"/>
        <w:gridCol w:w="1628"/>
      </w:tblGrid>
      <w:tr w:rsidR="002B6B1B" w:rsidRPr="002F4F6B" w14:paraId="6A4993DE" w14:textId="77777777" w:rsidTr="00904D23">
        <w:trPr>
          <w:cnfStyle w:val="100000000000" w:firstRow="1" w:lastRow="0" w:firstColumn="0" w:lastColumn="0" w:oddVBand="0" w:evenVBand="0" w:oddHBand="0" w:evenHBand="0" w:firstRowFirstColumn="0" w:firstRowLastColumn="0" w:lastRowFirstColumn="0" w:lastRowLastColumn="0"/>
          <w:trHeight w:val="283"/>
        </w:trPr>
        <w:tc>
          <w:tcPr>
            <w:tcW w:w="3258" w:type="dxa"/>
            <w:vMerge w:val="restart"/>
            <w:tcBorders>
              <w:top w:val="single" w:sz="4" w:space="0" w:color="auto"/>
              <w:left w:val="single" w:sz="4" w:space="0" w:color="auto"/>
              <w:bottom w:val="single" w:sz="4" w:space="0" w:color="auto"/>
              <w:right w:val="single" w:sz="4" w:space="0" w:color="auto"/>
            </w:tcBorders>
          </w:tcPr>
          <w:p w14:paraId="485C5A82" w14:textId="77777777" w:rsidR="002B6B1B" w:rsidRPr="002F4F6B" w:rsidRDefault="002B6B1B" w:rsidP="002F4F6B">
            <w:pPr>
              <w:ind w:left="0"/>
              <w:rPr>
                <w:b w:val="0"/>
                <w:sz w:val="20"/>
                <w:szCs w:val="20"/>
              </w:rPr>
            </w:pPr>
            <w:r w:rsidRPr="002F4F6B">
              <w:rPr>
                <w:sz w:val="20"/>
                <w:szCs w:val="20"/>
              </w:rPr>
              <w:t>ADA status</w:t>
            </w:r>
          </w:p>
          <w:p w14:paraId="62F0FF78" w14:textId="28BE6F37" w:rsidR="002B6B1B" w:rsidRPr="002F4F6B" w:rsidRDefault="002B6B1B" w:rsidP="002B6B1B">
            <w:pPr>
              <w:ind w:left="0"/>
              <w:rPr>
                <w:sz w:val="20"/>
                <w:szCs w:val="20"/>
              </w:rPr>
            </w:pPr>
          </w:p>
        </w:tc>
        <w:tc>
          <w:tcPr>
            <w:tcW w:w="5400" w:type="dxa"/>
            <w:gridSpan w:val="3"/>
            <w:tcBorders>
              <w:top w:val="single" w:sz="4" w:space="0" w:color="auto"/>
              <w:left w:val="single" w:sz="4" w:space="0" w:color="auto"/>
              <w:bottom w:val="single" w:sz="4" w:space="0" w:color="auto"/>
              <w:right w:val="single" w:sz="4" w:space="0" w:color="auto"/>
            </w:tcBorders>
            <w:hideMark/>
          </w:tcPr>
          <w:p w14:paraId="528598F3" w14:textId="2689CB89" w:rsidR="002B6B1B" w:rsidRPr="002F4F6B" w:rsidRDefault="002B6B1B" w:rsidP="002F4F6B">
            <w:pPr>
              <w:ind w:left="0"/>
              <w:rPr>
                <w:sz w:val="20"/>
                <w:szCs w:val="20"/>
              </w:rPr>
            </w:pPr>
            <w:r>
              <w:rPr>
                <w:sz w:val="20"/>
                <w:szCs w:val="20"/>
              </w:rPr>
              <w:t>Alglucosidase alfa-e</w:t>
            </w:r>
            <w:r w:rsidRPr="002F4F6B">
              <w:rPr>
                <w:sz w:val="20"/>
                <w:szCs w:val="20"/>
              </w:rPr>
              <w:t>xperienced patients</w:t>
            </w:r>
            <w:r>
              <w:rPr>
                <w:sz w:val="20"/>
                <w:szCs w:val="20"/>
              </w:rPr>
              <w:t xml:space="preserve">, </w:t>
            </w:r>
            <w:r w:rsidRPr="002F4F6B">
              <w:rPr>
                <w:sz w:val="20"/>
                <w:szCs w:val="20"/>
              </w:rPr>
              <w:t>n</w:t>
            </w:r>
            <w:r>
              <w:rPr>
                <w:sz w:val="20"/>
                <w:szCs w:val="20"/>
              </w:rPr>
              <w:t xml:space="preserve"> </w:t>
            </w:r>
            <w:r w:rsidRPr="002F4F6B">
              <w:rPr>
                <w:sz w:val="20"/>
                <w:szCs w:val="20"/>
              </w:rPr>
              <w:t>(%)</w:t>
            </w:r>
          </w:p>
        </w:tc>
      </w:tr>
      <w:tr w:rsidR="002B6B1B" w:rsidRPr="002F4F6B" w14:paraId="3A71B134" w14:textId="77777777" w:rsidTr="00904D23">
        <w:trPr>
          <w:trHeight w:val="496"/>
        </w:trPr>
        <w:tc>
          <w:tcPr>
            <w:tcW w:w="0" w:type="dxa"/>
            <w:vMerge/>
            <w:tcBorders>
              <w:top w:val="single" w:sz="4" w:space="0" w:color="auto"/>
              <w:left w:val="single" w:sz="4" w:space="0" w:color="auto"/>
              <w:bottom w:val="single" w:sz="4" w:space="0" w:color="auto"/>
              <w:right w:val="single" w:sz="4" w:space="0" w:color="auto"/>
            </w:tcBorders>
            <w:hideMark/>
          </w:tcPr>
          <w:p w14:paraId="23BA9393" w14:textId="42A829E7" w:rsidR="002B6B1B" w:rsidRPr="002F4F6B" w:rsidRDefault="002B6B1B" w:rsidP="002B6B1B">
            <w:pPr>
              <w:ind w:left="0"/>
              <w:rPr>
                <w:sz w:val="20"/>
                <w:szCs w:val="20"/>
              </w:rPr>
            </w:pPr>
          </w:p>
        </w:tc>
        <w:tc>
          <w:tcPr>
            <w:tcW w:w="0" w:type="dxa"/>
            <w:tcBorders>
              <w:top w:val="single" w:sz="4" w:space="0" w:color="auto"/>
              <w:left w:val="single" w:sz="4" w:space="0" w:color="auto"/>
              <w:bottom w:val="single" w:sz="4" w:space="0" w:color="auto"/>
              <w:right w:val="single" w:sz="4" w:space="0" w:color="auto"/>
            </w:tcBorders>
            <w:shd w:val="clear" w:color="auto" w:fill="006DA7"/>
            <w:hideMark/>
          </w:tcPr>
          <w:p w14:paraId="1CCD6877" w14:textId="2E4FB65D" w:rsidR="002B6B1B" w:rsidRPr="00904D23" w:rsidRDefault="002B6B1B" w:rsidP="002F4F6B">
            <w:pPr>
              <w:ind w:left="0"/>
              <w:rPr>
                <w:color w:val="FFFFFF" w:themeColor="background1"/>
                <w:sz w:val="20"/>
                <w:szCs w:val="20"/>
              </w:rPr>
            </w:pPr>
            <w:r w:rsidRPr="00904D23">
              <w:rPr>
                <w:color w:val="FFFFFF" w:themeColor="background1"/>
                <w:sz w:val="20"/>
                <w:szCs w:val="20"/>
              </w:rPr>
              <w:t>Adult (N = 55)</w:t>
            </w:r>
          </w:p>
        </w:tc>
        <w:tc>
          <w:tcPr>
            <w:tcW w:w="0" w:type="dxa"/>
            <w:tcBorders>
              <w:top w:val="single" w:sz="4" w:space="0" w:color="auto"/>
              <w:left w:val="single" w:sz="4" w:space="0" w:color="auto"/>
              <w:bottom w:val="single" w:sz="4" w:space="0" w:color="auto"/>
              <w:right w:val="single" w:sz="4" w:space="0" w:color="auto"/>
            </w:tcBorders>
            <w:shd w:val="clear" w:color="auto" w:fill="006DA7"/>
            <w:hideMark/>
          </w:tcPr>
          <w:p w14:paraId="5B8EBE1E" w14:textId="4EAFD5B0" w:rsidR="002B6B1B" w:rsidRPr="00904D23" w:rsidRDefault="002B6B1B" w:rsidP="002F4F6B">
            <w:pPr>
              <w:ind w:left="0"/>
              <w:rPr>
                <w:color w:val="FFFFFF" w:themeColor="background1"/>
                <w:sz w:val="20"/>
                <w:szCs w:val="20"/>
              </w:rPr>
            </w:pPr>
            <w:r w:rsidRPr="00904D23">
              <w:rPr>
                <w:color w:val="FFFFFF" w:themeColor="background1"/>
                <w:sz w:val="20"/>
                <w:szCs w:val="20"/>
              </w:rPr>
              <w:t>Paediatric (N = 18)</w:t>
            </w:r>
          </w:p>
        </w:tc>
        <w:tc>
          <w:tcPr>
            <w:tcW w:w="0" w:type="dxa"/>
            <w:tcBorders>
              <w:top w:val="single" w:sz="4" w:space="0" w:color="auto"/>
              <w:left w:val="single" w:sz="4" w:space="0" w:color="auto"/>
              <w:bottom w:val="single" w:sz="4" w:space="0" w:color="auto"/>
              <w:right w:val="single" w:sz="4" w:space="0" w:color="auto"/>
            </w:tcBorders>
            <w:shd w:val="clear" w:color="auto" w:fill="006DA7"/>
            <w:hideMark/>
          </w:tcPr>
          <w:p w14:paraId="0EADBE7E" w14:textId="3F3EE88A" w:rsidR="002B6B1B" w:rsidRPr="00904D23" w:rsidRDefault="002B6B1B" w:rsidP="002F4F6B">
            <w:pPr>
              <w:ind w:left="0"/>
              <w:rPr>
                <w:color w:val="FFFFFF" w:themeColor="background1"/>
                <w:sz w:val="20"/>
                <w:szCs w:val="20"/>
              </w:rPr>
            </w:pPr>
            <w:r w:rsidRPr="00904D23">
              <w:rPr>
                <w:color w:val="FFFFFF" w:themeColor="background1"/>
                <w:sz w:val="20"/>
                <w:szCs w:val="20"/>
              </w:rPr>
              <w:t>All (N = 73)</w:t>
            </w:r>
          </w:p>
        </w:tc>
      </w:tr>
      <w:tr w:rsidR="00E00595" w:rsidRPr="002F4F6B" w14:paraId="775E96E2" w14:textId="77777777" w:rsidTr="00904D23">
        <w:tc>
          <w:tcPr>
            <w:tcW w:w="3258" w:type="dxa"/>
            <w:tcBorders>
              <w:top w:val="single" w:sz="4" w:space="0" w:color="auto"/>
            </w:tcBorders>
            <w:hideMark/>
          </w:tcPr>
          <w:p w14:paraId="360F1EC1" w14:textId="77777777" w:rsidR="00E00595" w:rsidRPr="002F4F6B" w:rsidRDefault="00E00595" w:rsidP="002F4F6B">
            <w:pPr>
              <w:ind w:left="0"/>
              <w:rPr>
                <w:sz w:val="20"/>
                <w:szCs w:val="20"/>
              </w:rPr>
            </w:pPr>
            <w:r w:rsidRPr="002F4F6B">
              <w:rPr>
                <w:sz w:val="20"/>
                <w:szCs w:val="20"/>
              </w:rPr>
              <w:t>Always negative</w:t>
            </w:r>
          </w:p>
        </w:tc>
        <w:tc>
          <w:tcPr>
            <w:tcW w:w="1731" w:type="dxa"/>
            <w:tcBorders>
              <w:top w:val="single" w:sz="4" w:space="0" w:color="auto"/>
            </w:tcBorders>
            <w:hideMark/>
          </w:tcPr>
          <w:p w14:paraId="7D1B941F" w14:textId="77777777" w:rsidR="00E00595" w:rsidRPr="002F4F6B" w:rsidRDefault="00E00595" w:rsidP="002F4F6B">
            <w:pPr>
              <w:ind w:left="0"/>
              <w:rPr>
                <w:sz w:val="20"/>
                <w:szCs w:val="20"/>
              </w:rPr>
            </w:pPr>
            <w:r w:rsidRPr="002F4F6B">
              <w:rPr>
                <w:sz w:val="20"/>
                <w:szCs w:val="20"/>
              </w:rPr>
              <w:t>6 (10.9)</w:t>
            </w:r>
          </w:p>
        </w:tc>
        <w:tc>
          <w:tcPr>
            <w:tcW w:w="2041" w:type="dxa"/>
            <w:tcBorders>
              <w:top w:val="single" w:sz="4" w:space="0" w:color="auto"/>
            </w:tcBorders>
            <w:hideMark/>
          </w:tcPr>
          <w:p w14:paraId="260E6A71" w14:textId="77777777" w:rsidR="00E00595" w:rsidRPr="002F4F6B" w:rsidRDefault="00E00595" w:rsidP="002F4F6B">
            <w:pPr>
              <w:ind w:left="0"/>
              <w:rPr>
                <w:sz w:val="20"/>
                <w:szCs w:val="20"/>
              </w:rPr>
            </w:pPr>
            <w:r w:rsidRPr="002F4F6B">
              <w:rPr>
                <w:sz w:val="20"/>
                <w:szCs w:val="20"/>
              </w:rPr>
              <w:t>10 (55.6)</w:t>
            </w:r>
          </w:p>
        </w:tc>
        <w:tc>
          <w:tcPr>
            <w:tcW w:w="1628" w:type="dxa"/>
            <w:tcBorders>
              <w:top w:val="single" w:sz="4" w:space="0" w:color="auto"/>
            </w:tcBorders>
            <w:hideMark/>
          </w:tcPr>
          <w:p w14:paraId="12162A39" w14:textId="77777777" w:rsidR="00E00595" w:rsidRPr="002F4F6B" w:rsidRDefault="00E00595" w:rsidP="002F4F6B">
            <w:pPr>
              <w:ind w:left="0"/>
              <w:rPr>
                <w:sz w:val="20"/>
                <w:szCs w:val="20"/>
              </w:rPr>
            </w:pPr>
            <w:r w:rsidRPr="002F4F6B">
              <w:rPr>
                <w:sz w:val="20"/>
                <w:szCs w:val="20"/>
              </w:rPr>
              <w:t>16 (21.9)</w:t>
            </w:r>
          </w:p>
        </w:tc>
      </w:tr>
      <w:tr w:rsidR="00E00595" w:rsidRPr="002F4F6B" w14:paraId="0CB51DAC" w14:textId="77777777" w:rsidTr="007C4063">
        <w:tc>
          <w:tcPr>
            <w:tcW w:w="3258" w:type="dxa"/>
            <w:hideMark/>
          </w:tcPr>
          <w:p w14:paraId="02CF5590" w14:textId="77777777" w:rsidR="00E00595" w:rsidRPr="002F4F6B" w:rsidRDefault="00E00595" w:rsidP="002F4F6B">
            <w:pPr>
              <w:ind w:left="0"/>
              <w:rPr>
                <w:sz w:val="20"/>
                <w:szCs w:val="20"/>
              </w:rPr>
            </w:pPr>
            <w:r w:rsidRPr="002F4F6B">
              <w:rPr>
                <w:sz w:val="20"/>
                <w:szCs w:val="20"/>
              </w:rPr>
              <w:t>Positive at baseline</w:t>
            </w:r>
          </w:p>
        </w:tc>
        <w:tc>
          <w:tcPr>
            <w:tcW w:w="1731" w:type="dxa"/>
            <w:hideMark/>
          </w:tcPr>
          <w:p w14:paraId="671239B8" w14:textId="77777777" w:rsidR="00E00595" w:rsidRPr="002F4F6B" w:rsidRDefault="00E00595" w:rsidP="002F4F6B">
            <w:pPr>
              <w:ind w:left="0"/>
              <w:rPr>
                <w:sz w:val="20"/>
                <w:szCs w:val="20"/>
              </w:rPr>
            </w:pPr>
            <w:r w:rsidRPr="002F4F6B">
              <w:rPr>
                <w:sz w:val="20"/>
                <w:szCs w:val="20"/>
              </w:rPr>
              <w:t>40 (72.7)</w:t>
            </w:r>
          </w:p>
        </w:tc>
        <w:tc>
          <w:tcPr>
            <w:tcW w:w="2041" w:type="dxa"/>
            <w:hideMark/>
          </w:tcPr>
          <w:p w14:paraId="413D41D4" w14:textId="77777777" w:rsidR="00E00595" w:rsidRPr="002F4F6B" w:rsidRDefault="00E00595" w:rsidP="002F4F6B">
            <w:pPr>
              <w:ind w:left="0"/>
              <w:rPr>
                <w:sz w:val="20"/>
                <w:szCs w:val="20"/>
              </w:rPr>
            </w:pPr>
            <w:r w:rsidRPr="002F4F6B">
              <w:rPr>
                <w:sz w:val="20"/>
                <w:szCs w:val="20"/>
              </w:rPr>
              <w:t>3 (16.7)</w:t>
            </w:r>
          </w:p>
        </w:tc>
        <w:tc>
          <w:tcPr>
            <w:tcW w:w="1628" w:type="dxa"/>
            <w:hideMark/>
          </w:tcPr>
          <w:p w14:paraId="661347C4" w14:textId="77777777" w:rsidR="00E00595" w:rsidRPr="002F4F6B" w:rsidRDefault="00E00595" w:rsidP="002F4F6B">
            <w:pPr>
              <w:ind w:left="0"/>
              <w:rPr>
                <w:sz w:val="20"/>
                <w:szCs w:val="20"/>
              </w:rPr>
            </w:pPr>
            <w:r w:rsidRPr="002F4F6B">
              <w:rPr>
                <w:sz w:val="20"/>
                <w:szCs w:val="20"/>
              </w:rPr>
              <w:t>43 (58.9)</w:t>
            </w:r>
          </w:p>
        </w:tc>
      </w:tr>
      <w:tr w:rsidR="00E00595" w:rsidRPr="002F4F6B" w14:paraId="530034A7" w14:textId="77777777" w:rsidTr="007C4063">
        <w:tc>
          <w:tcPr>
            <w:tcW w:w="3258" w:type="dxa"/>
            <w:hideMark/>
          </w:tcPr>
          <w:p w14:paraId="1B3FFF71" w14:textId="77777777" w:rsidR="00E00595" w:rsidRPr="002F4F6B" w:rsidRDefault="00E00595" w:rsidP="002F4F6B">
            <w:pPr>
              <w:ind w:left="0"/>
              <w:rPr>
                <w:sz w:val="20"/>
                <w:szCs w:val="20"/>
              </w:rPr>
            </w:pPr>
            <w:r w:rsidRPr="002F4F6B">
              <w:rPr>
                <w:sz w:val="20"/>
                <w:szCs w:val="20"/>
              </w:rPr>
              <w:t>Positive post baseline</w:t>
            </w:r>
          </w:p>
        </w:tc>
        <w:tc>
          <w:tcPr>
            <w:tcW w:w="1731" w:type="dxa"/>
            <w:hideMark/>
          </w:tcPr>
          <w:p w14:paraId="01374F1F" w14:textId="77777777" w:rsidR="00E00595" w:rsidRPr="002F4F6B" w:rsidRDefault="00E00595" w:rsidP="002F4F6B">
            <w:pPr>
              <w:ind w:left="0"/>
              <w:rPr>
                <w:sz w:val="20"/>
                <w:szCs w:val="20"/>
              </w:rPr>
            </w:pPr>
            <w:r w:rsidRPr="002F4F6B">
              <w:rPr>
                <w:sz w:val="20"/>
                <w:szCs w:val="20"/>
              </w:rPr>
              <w:t>9 (16.4)</w:t>
            </w:r>
          </w:p>
        </w:tc>
        <w:tc>
          <w:tcPr>
            <w:tcW w:w="2041" w:type="dxa"/>
            <w:hideMark/>
          </w:tcPr>
          <w:p w14:paraId="41E30D29" w14:textId="77777777" w:rsidR="00E00595" w:rsidRPr="002F4F6B" w:rsidRDefault="00E00595" w:rsidP="002F4F6B">
            <w:pPr>
              <w:ind w:left="0"/>
              <w:rPr>
                <w:sz w:val="20"/>
                <w:szCs w:val="20"/>
              </w:rPr>
            </w:pPr>
            <w:r w:rsidRPr="002F4F6B">
              <w:rPr>
                <w:sz w:val="20"/>
                <w:szCs w:val="20"/>
              </w:rPr>
              <w:t>5 (27.8)</w:t>
            </w:r>
          </w:p>
        </w:tc>
        <w:tc>
          <w:tcPr>
            <w:tcW w:w="1628" w:type="dxa"/>
            <w:hideMark/>
          </w:tcPr>
          <w:p w14:paraId="3E7CC0E0" w14:textId="77777777" w:rsidR="00E00595" w:rsidRPr="002F4F6B" w:rsidRDefault="00E00595" w:rsidP="002F4F6B">
            <w:pPr>
              <w:ind w:left="0"/>
              <w:rPr>
                <w:sz w:val="20"/>
                <w:szCs w:val="20"/>
              </w:rPr>
            </w:pPr>
            <w:r w:rsidRPr="002F4F6B">
              <w:rPr>
                <w:sz w:val="20"/>
                <w:szCs w:val="20"/>
              </w:rPr>
              <w:t>14 (19.2)</w:t>
            </w:r>
          </w:p>
        </w:tc>
      </w:tr>
      <w:tr w:rsidR="00E00595" w:rsidRPr="002F4F6B" w14:paraId="4CF74922" w14:textId="77777777" w:rsidTr="007C4063">
        <w:tc>
          <w:tcPr>
            <w:tcW w:w="3258" w:type="dxa"/>
            <w:hideMark/>
          </w:tcPr>
          <w:p w14:paraId="49F0DE5B" w14:textId="3EC6BE16" w:rsidR="00E00595" w:rsidRPr="002F4F6B" w:rsidRDefault="00E00595" w:rsidP="002F4F6B">
            <w:pPr>
              <w:ind w:left="0"/>
              <w:rPr>
                <w:sz w:val="20"/>
                <w:szCs w:val="20"/>
              </w:rPr>
            </w:pPr>
            <w:r w:rsidRPr="002F4F6B">
              <w:rPr>
                <w:sz w:val="20"/>
                <w:szCs w:val="20"/>
              </w:rPr>
              <w:t xml:space="preserve">Treatment-induced </w:t>
            </w:r>
            <w:proofErr w:type="spellStart"/>
            <w:r w:rsidRPr="002F4F6B">
              <w:rPr>
                <w:sz w:val="20"/>
                <w:szCs w:val="20"/>
              </w:rPr>
              <w:t>ADA</w:t>
            </w:r>
            <w:r w:rsidRPr="00501D3A">
              <w:rPr>
                <w:sz w:val="20"/>
                <w:szCs w:val="20"/>
                <w:vertAlign w:val="superscript"/>
              </w:rPr>
              <w:t>a</w:t>
            </w:r>
            <w:proofErr w:type="spellEnd"/>
            <w:r w:rsidR="00501D3A">
              <w:rPr>
                <w:sz w:val="20"/>
                <w:szCs w:val="20"/>
              </w:rPr>
              <w:t xml:space="preserve">, </w:t>
            </w:r>
            <w:r w:rsidRPr="002F4F6B">
              <w:rPr>
                <w:sz w:val="20"/>
                <w:szCs w:val="20"/>
              </w:rPr>
              <w:t>n</w:t>
            </w:r>
            <w:r w:rsidR="00501D3A">
              <w:rPr>
                <w:sz w:val="20"/>
                <w:szCs w:val="20"/>
              </w:rPr>
              <w:t xml:space="preserve"> </w:t>
            </w:r>
            <w:r w:rsidRPr="002F4F6B">
              <w:rPr>
                <w:sz w:val="20"/>
                <w:szCs w:val="20"/>
              </w:rPr>
              <w:t>(%)</w:t>
            </w:r>
          </w:p>
        </w:tc>
        <w:tc>
          <w:tcPr>
            <w:tcW w:w="1731" w:type="dxa"/>
            <w:hideMark/>
          </w:tcPr>
          <w:p w14:paraId="388F3448" w14:textId="77777777" w:rsidR="00E00595" w:rsidRPr="002F4F6B" w:rsidRDefault="00E00595" w:rsidP="002F4F6B">
            <w:pPr>
              <w:ind w:left="0"/>
              <w:rPr>
                <w:sz w:val="20"/>
                <w:szCs w:val="20"/>
              </w:rPr>
            </w:pPr>
            <w:r w:rsidRPr="002F4F6B">
              <w:rPr>
                <w:sz w:val="20"/>
                <w:szCs w:val="20"/>
              </w:rPr>
              <w:t>9 (60.0)</w:t>
            </w:r>
          </w:p>
        </w:tc>
        <w:tc>
          <w:tcPr>
            <w:tcW w:w="2041" w:type="dxa"/>
            <w:hideMark/>
          </w:tcPr>
          <w:p w14:paraId="68D58539" w14:textId="77777777" w:rsidR="00E00595" w:rsidRPr="002F4F6B" w:rsidRDefault="00E00595" w:rsidP="002F4F6B">
            <w:pPr>
              <w:ind w:left="0"/>
              <w:rPr>
                <w:sz w:val="20"/>
                <w:szCs w:val="20"/>
              </w:rPr>
            </w:pPr>
            <w:r w:rsidRPr="002F4F6B">
              <w:rPr>
                <w:sz w:val="20"/>
                <w:szCs w:val="20"/>
              </w:rPr>
              <w:t>5 (33.3)</w:t>
            </w:r>
          </w:p>
        </w:tc>
        <w:tc>
          <w:tcPr>
            <w:tcW w:w="1628" w:type="dxa"/>
            <w:hideMark/>
          </w:tcPr>
          <w:p w14:paraId="6264B818" w14:textId="77777777" w:rsidR="00E00595" w:rsidRPr="002F4F6B" w:rsidRDefault="00E00595" w:rsidP="002F4F6B">
            <w:pPr>
              <w:ind w:left="0"/>
              <w:rPr>
                <w:sz w:val="20"/>
                <w:szCs w:val="20"/>
              </w:rPr>
            </w:pPr>
            <w:r w:rsidRPr="002F4F6B">
              <w:rPr>
                <w:sz w:val="20"/>
                <w:szCs w:val="20"/>
              </w:rPr>
              <w:t>14 (46.7)</w:t>
            </w:r>
          </w:p>
        </w:tc>
      </w:tr>
      <w:tr w:rsidR="00E00595" w:rsidRPr="002F4F6B" w14:paraId="55A8082B" w14:textId="77777777" w:rsidTr="007C4063">
        <w:tc>
          <w:tcPr>
            <w:tcW w:w="3258" w:type="dxa"/>
            <w:hideMark/>
          </w:tcPr>
          <w:p w14:paraId="45BD8414" w14:textId="77777777" w:rsidR="00E00595" w:rsidRPr="002F4F6B" w:rsidRDefault="00E00595" w:rsidP="002F4F6B">
            <w:pPr>
              <w:ind w:left="0"/>
              <w:rPr>
                <w:sz w:val="20"/>
                <w:szCs w:val="20"/>
              </w:rPr>
            </w:pPr>
            <w:r w:rsidRPr="002F4F6B">
              <w:rPr>
                <w:sz w:val="20"/>
                <w:szCs w:val="20"/>
              </w:rPr>
              <w:t>Transient response</w:t>
            </w:r>
          </w:p>
        </w:tc>
        <w:tc>
          <w:tcPr>
            <w:tcW w:w="1731" w:type="dxa"/>
            <w:hideMark/>
          </w:tcPr>
          <w:p w14:paraId="1280CE3B" w14:textId="77777777" w:rsidR="00E00595" w:rsidRPr="002F4F6B" w:rsidRDefault="00E00595" w:rsidP="002F4F6B">
            <w:pPr>
              <w:ind w:left="0"/>
              <w:rPr>
                <w:sz w:val="20"/>
                <w:szCs w:val="20"/>
              </w:rPr>
            </w:pPr>
            <w:r w:rsidRPr="002F4F6B">
              <w:rPr>
                <w:sz w:val="20"/>
                <w:szCs w:val="20"/>
              </w:rPr>
              <w:t>3 (20.0)</w:t>
            </w:r>
          </w:p>
        </w:tc>
        <w:tc>
          <w:tcPr>
            <w:tcW w:w="2041" w:type="dxa"/>
            <w:hideMark/>
          </w:tcPr>
          <w:p w14:paraId="7274748A" w14:textId="77777777" w:rsidR="00E00595" w:rsidRPr="002F4F6B" w:rsidRDefault="00E00595" w:rsidP="002F4F6B">
            <w:pPr>
              <w:ind w:left="0"/>
              <w:rPr>
                <w:sz w:val="20"/>
                <w:szCs w:val="20"/>
              </w:rPr>
            </w:pPr>
            <w:r w:rsidRPr="002F4F6B">
              <w:rPr>
                <w:sz w:val="20"/>
                <w:szCs w:val="20"/>
              </w:rPr>
              <w:t>1 (6.7)</w:t>
            </w:r>
          </w:p>
        </w:tc>
        <w:tc>
          <w:tcPr>
            <w:tcW w:w="1628" w:type="dxa"/>
            <w:hideMark/>
          </w:tcPr>
          <w:p w14:paraId="78A7BA6E" w14:textId="77777777" w:rsidR="00E00595" w:rsidRPr="002F4F6B" w:rsidRDefault="00E00595" w:rsidP="002F4F6B">
            <w:pPr>
              <w:ind w:left="0"/>
              <w:rPr>
                <w:sz w:val="20"/>
                <w:szCs w:val="20"/>
              </w:rPr>
            </w:pPr>
            <w:r w:rsidRPr="002F4F6B">
              <w:rPr>
                <w:sz w:val="20"/>
                <w:szCs w:val="20"/>
              </w:rPr>
              <w:t>4 (13.3)</w:t>
            </w:r>
          </w:p>
        </w:tc>
      </w:tr>
      <w:tr w:rsidR="00E00595" w:rsidRPr="002F4F6B" w14:paraId="458FD8BE" w14:textId="77777777" w:rsidTr="007C4063">
        <w:tc>
          <w:tcPr>
            <w:tcW w:w="3258" w:type="dxa"/>
            <w:hideMark/>
          </w:tcPr>
          <w:p w14:paraId="2A4E3D5A" w14:textId="77777777" w:rsidR="00E00595" w:rsidRPr="002F4F6B" w:rsidRDefault="00E00595" w:rsidP="002F4F6B">
            <w:pPr>
              <w:ind w:left="0"/>
              <w:rPr>
                <w:sz w:val="20"/>
                <w:szCs w:val="20"/>
              </w:rPr>
            </w:pPr>
            <w:r w:rsidRPr="002F4F6B">
              <w:rPr>
                <w:sz w:val="20"/>
                <w:szCs w:val="20"/>
              </w:rPr>
              <w:t>Persistent response</w:t>
            </w:r>
          </w:p>
        </w:tc>
        <w:tc>
          <w:tcPr>
            <w:tcW w:w="1731" w:type="dxa"/>
            <w:hideMark/>
          </w:tcPr>
          <w:p w14:paraId="16947679" w14:textId="77777777" w:rsidR="00E00595" w:rsidRPr="002F4F6B" w:rsidRDefault="00E00595" w:rsidP="002F4F6B">
            <w:pPr>
              <w:ind w:left="0"/>
              <w:rPr>
                <w:sz w:val="20"/>
                <w:szCs w:val="20"/>
              </w:rPr>
            </w:pPr>
            <w:r w:rsidRPr="002F4F6B">
              <w:rPr>
                <w:sz w:val="20"/>
                <w:szCs w:val="20"/>
              </w:rPr>
              <w:t>5 (33.3)</w:t>
            </w:r>
          </w:p>
        </w:tc>
        <w:tc>
          <w:tcPr>
            <w:tcW w:w="2041" w:type="dxa"/>
            <w:hideMark/>
          </w:tcPr>
          <w:p w14:paraId="5891AC17" w14:textId="77777777" w:rsidR="00E00595" w:rsidRPr="002F4F6B" w:rsidRDefault="00E00595" w:rsidP="002F4F6B">
            <w:pPr>
              <w:ind w:left="0"/>
              <w:rPr>
                <w:sz w:val="20"/>
                <w:szCs w:val="20"/>
              </w:rPr>
            </w:pPr>
            <w:r w:rsidRPr="002F4F6B">
              <w:rPr>
                <w:sz w:val="20"/>
                <w:szCs w:val="20"/>
              </w:rPr>
              <w:t>3 (20.0)</w:t>
            </w:r>
          </w:p>
        </w:tc>
        <w:tc>
          <w:tcPr>
            <w:tcW w:w="1628" w:type="dxa"/>
            <w:hideMark/>
          </w:tcPr>
          <w:p w14:paraId="6783C7AB" w14:textId="77777777" w:rsidR="00E00595" w:rsidRPr="002F4F6B" w:rsidRDefault="00E00595" w:rsidP="002F4F6B">
            <w:pPr>
              <w:ind w:left="0"/>
              <w:rPr>
                <w:sz w:val="20"/>
                <w:szCs w:val="20"/>
              </w:rPr>
            </w:pPr>
            <w:r w:rsidRPr="002F4F6B">
              <w:rPr>
                <w:sz w:val="20"/>
                <w:szCs w:val="20"/>
              </w:rPr>
              <w:t>8 (26.7)</w:t>
            </w:r>
          </w:p>
        </w:tc>
      </w:tr>
      <w:tr w:rsidR="00E00595" w:rsidRPr="002F4F6B" w14:paraId="56C2F40C" w14:textId="77777777" w:rsidTr="007C4063">
        <w:tc>
          <w:tcPr>
            <w:tcW w:w="3258" w:type="dxa"/>
            <w:hideMark/>
          </w:tcPr>
          <w:p w14:paraId="3A7AC0E6" w14:textId="77777777" w:rsidR="00E00595" w:rsidRPr="002F4F6B" w:rsidRDefault="00E00595" w:rsidP="002F4F6B">
            <w:pPr>
              <w:ind w:left="0"/>
              <w:rPr>
                <w:sz w:val="20"/>
                <w:szCs w:val="20"/>
              </w:rPr>
            </w:pPr>
            <w:r w:rsidRPr="002F4F6B">
              <w:rPr>
                <w:sz w:val="20"/>
                <w:szCs w:val="20"/>
              </w:rPr>
              <w:t>Low response</w:t>
            </w:r>
          </w:p>
        </w:tc>
        <w:tc>
          <w:tcPr>
            <w:tcW w:w="1731" w:type="dxa"/>
            <w:hideMark/>
          </w:tcPr>
          <w:p w14:paraId="12470329" w14:textId="77777777" w:rsidR="00E00595" w:rsidRPr="002F4F6B" w:rsidRDefault="00E00595" w:rsidP="002F4F6B">
            <w:pPr>
              <w:ind w:left="0"/>
              <w:rPr>
                <w:sz w:val="20"/>
                <w:szCs w:val="20"/>
              </w:rPr>
            </w:pPr>
            <w:r w:rsidRPr="002F4F6B">
              <w:rPr>
                <w:sz w:val="20"/>
                <w:szCs w:val="20"/>
              </w:rPr>
              <w:t>5 (33.3)</w:t>
            </w:r>
          </w:p>
        </w:tc>
        <w:tc>
          <w:tcPr>
            <w:tcW w:w="2041" w:type="dxa"/>
            <w:hideMark/>
          </w:tcPr>
          <w:p w14:paraId="4950F9EF" w14:textId="77777777" w:rsidR="00E00595" w:rsidRPr="002F4F6B" w:rsidRDefault="00E00595" w:rsidP="002F4F6B">
            <w:pPr>
              <w:ind w:left="0"/>
              <w:rPr>
                <w:sz w:val="20"/>
                <w:szCs w:val="20"/>
              </w:rPr>
            </w:pPr>
            <w:r w:rsidRPr="002F4F6B">
              <w:rPr>
                <w:sz w:val="20"/>
                <w:szCs w:val="20"/>
              </w:rPr>
              <w:t>1 (6.7)</w:t>
            </w:r>
          </w:p>
        </w:tc>
        <w:tc>
          <w:tcPr>
            <w:tcW w:w="1628" w:type="dxa"/>
            <w:hideMark/>
          </w:tcPr>
          <w:p w14:paraId="42912EF3" w14:textId="77777777" w:rsidR="00E00595" w:rsidRPr="002F4F6B" w:rsidRDefault="00E00595" w:rsidP="002F4F6B">
            <w:pPr>
              <w:ind w:left="0"/>
              <w:rPr>
                <w:sz w:val="20"/>
                <w:szCs w:val="20"/>
              </w:rPr>
            </w:pPr>
            <w:r w:rsidRPr="002F4F6B">
              <w:rPr>
                <w:sz w:val="20"/>
                <w:szCs w:val="20"/>
              </w:rPr>
              <w:t>6 (20.0)</w:t>
            </w:r>
          </w:p>
        </w:tc>
      </w:tr>
      <w:tr w:rsidR="00E00595" w:rsidRPr="002F4F6B" w14:paraId="15945F5C" w14:textId="77777777" w:rsidTr="007C4063">
        <w:tc>
          <w:tcPr>
            <w:tcW w:w="3258" w:type="dxa"/>
            <w:hideMark/>
          </w:tcPr>
          <w:p w14:paraId="10194D0D" w14:textId="77777777" w:rsidR="00E00595" w:rsidRPr="002F4F6B" w:rsidRDefault="00E00595" w:rsidP="002F4F6B">
            <w:pPr>
              <w:ind w:left="0"/>
              <w:rPr>
                <w:sz w:val="20"/>
                <w:szCs w:val="20"/>
              </w:rPr>
            </w:pPr>
            <w:r w:rsidRPr="002F4F6B">
              <w:rPr>
                <w:sz w:val="20"/>
                <w:szCs w:val="20"/>
              </w:rPr>
              <w:t>Intermediate response</w:t>
            </w:r>
          </w:p>
        </w:tc>
        <w:tc>
          <w:tcPr>
            <w:tcW w:w="1731" w:type="dxa"/>
            <w:hideMark/>
          </w:tcPr>
          <w:p w14:paraId="35AD9349" w14:textId="77777777" w:rsidR="00E00595" w:rsidRPr="002F4F6B" w:rsidRDefault="00E00595" w:rsidP="002F4F6B">
            <w:pPr>
              <w:ind w:left="0"/>
              <w:rPr>
                <w:sz w:val="20"/>
                <w:szCs w:val="20"/>
              </w:rPr>
            </w:pPr>
            <w:r w:rsidRPr="002F4F6B">
              <w:rPr>
                <w:sz w:val="20"/>
                <w:szCs w:val="20"/>
              </w:rPr>
              <w:t>0</w:t>
            </w:r>
          </w:p>
        </w:tc>
        <w:tc>
          <w:tcPr>
            <w:tcW w:w="2041" w:type="dxa"/>
            <w:hideMark/>
          </w:tcPr>
          <w:p w14:paraId="5EF82DC3" w14:textId="77777777" w:rsidR="00E00595" w:rsidRPr="002F4F6B" w:rsidRDefault="00E00595" w:rsidP="002F4F6B">
            <w:pPr>
              <w:ind w:left="0"/>
              <w:rPr>
                <w:sz w:val="20"/>
                <w:szCs w:val="20"/>
              </w:rPr>
            </w:pPr>
            <w:r w:rsidRPr="002F4F6B">
              <w:rPr>
                <w:sz w:val="20"/>
                <w:szCs w:val="20"/>
              </w:rPr>
              <w:t>2 (13.3)</w:t>
            </w:r>
          </w:p>
        </w:tc>
        <w:tc>
          <w:tcPr>
            <w:tcW w:w="1628" w:type="dxa"/>
            <w:hideMark/>
          </w:tcPr>
          <w:p w14:paraId="72006E4C" w14:textId="77777777" w:rsidR="00E00595" w:rsidRPr="002F4F6B" w:rsidRDefault="00E00595" w:rsidP="002F4F6B">
            <w:pPr>
              <w:ind w:left="0"/>
              <w:rPr>
                <w:sz w:val="20"/>
                <w:szCs w:val="20"/>
              </w:rPr>
            </w:pPr>
            <w:r w:rsidRPr="002F4F6B">
              <w:rPr>
                <w:sz w:val="20"/>
                <w:szCs w:val="20"/>
              </w:rPr>
              <w:t>2 (6.7)</w:t>
            </w:r>
          </w:p>
        </w:tc>
      </w:tr>
      <w:tr w:rsidR="00E00595" w:rsidRPr="002F4F6B" w14:paraId="19380904" w14:textId="77777777" w:rsidTr="007C4063">
        <w:tc>
          <w:tcPr>
            <w:tcW w:w="3258" w:type="dxa"/>
            <w:hideMark/>
          </w:tcPr>
          <w:p w14:paraId="781B08BC" w14:textId="77777777" w:rsidR="00E00595" w:rsidRPr="002F4F6B" w:rsidRDefault="00E00595" w:rsidP="002F4F6B">
            <w:pPr>
              <w:ind w:left="0"/>
              <w:rPr>
                <w:sz w:val="20"/>
                <w:szCs w:val="20"/>
              </w:rPr>
            </w:pPr>
            <w:r w:rsidRPr="002F4F6B">
              <w:rPr>
                <w:sz w:val="20"/>
                <w:szCs w:val="20"/>
              </w:rPr>
              <w:t>High response</w:t>
            </w:r>
          </w:p>
        </w:tc>
        <w:tc>
          <w:tcPr>
            <w:tcW w:w="1731" w:type="dxa"/>
            <w:hideMark/>
          </w:tcPr>
          <w:p w14:paraId="402B1CF7" w14:textId="77777777" w:rsidR="00E00595" w:rsidRPr="002F4F6B" w:rsidRDefault="00E00595" w:rsidP="002F4F6B">
            <w:pPr>
              <w:ind w:left="0"/>
              <w:rPr>
                <w:sz w:val="20"/>
                <w:szCs w:val="20"/>
              </w:rPr>
            </w:pPr>
            <w:r w:rsidRPr="002F4F6B">
              <w:rPr>
                <w:sz w:val="20"/>
                <w:szCs w:val="20"/>
              </w:rPr>
              <w:t>0</w:t>
            </w:r>
          </w:p>
        </w:tc>
        <w:tc>
          <w:tcPr>
            <w:tcW w:w="2041" w:type="dxa"/>
            <w:hideMark/>
          </w:tcPr>
          <w:p w14:paraId="5103158F" w14:textId="77777777" w:rsidR="00E00595" w:rsidRPr="002F4F6B" w:rsidRDefault="00E00595" w:rsidP="002F4F6B">
            <w:pPr>
              <w:ind w:left="0"/>
              <w:rPr>
                <w:sz w:val="20"/>
                <w:szCs w:val="20"/>
              </w:rPr>
            </w:pPr>
            <w:r w:rsidRPr="002F4F6B">
              <w:rPr>
                <w:sz w:val="20"/>
                <w:szCs w:val="20"/>
              </w:rPr>
              <w:t>0</w:t>
            </w:r>
          </w:p>
        </w:tc>
        <w:tc>
          <w:tcPr>
            <w:tcW w:w="1628" w:type="dxa"/>
            <w:hideMark/>
          </w:tcPr>
          <w:p w14:paraId="7E5EE304" w14:textId="740008E4" w:rsidR="00E00595" w:rsidRPr="002F4F6B" w:rsidRDefault="00501D3A" w:rsidP="002F4F6B">
            <w:pPr>
              <w:ind w:left="0"/>
              <w:rPr>
                <w:sz w:val="20"/>
                <w:szCs w:val="20"/>
              </w:rPr>
            </w:pPr>
            <w:r>
              <w:rPr>
                <w:sz w:val="20"/>
                <w:szCs w:val="20"/>
              </w:rPr>
              <w:t xml:space="preserve"> </w:t>
            </w:r>
            <w:r w:rsidR="00E00595" w:rsidRPr="002F4F6B">
              <w:rPr>
                <w:sz w:val="20"/>
                <w:szCs w:val="20"/>
              </w:rPr>
              <w:t>0</w:t>
            </w:r>
          </w:p>
        </w:tc>
      </w:tr>
      <w:tr w:rsidR="00E00595" w:rsidRPr="002F4F6B" w14:paraId="0A90EF74" w14:textId="77777777" w:rsidTr="007C4063">
        <w:tc>
          <w:tcPr>
            <w:tcW w:w="3258" w:type="dxa"/>
            <w:hideMark/>
          </w:tcPr>
          <w:p w14:paraId="15BE9BF9" w14:textId="77777777" w:rsidR="00E00595" w:rsidRPr="002F4F6B" w:rsidRDefault="00E00595" w:rsidP="002F4F6B">
            <w:pPr>
              <w:ind w:left="0"/>
              <w:rPr>
                <w:sz w:val="20"/>
                <w:szCs w:val="20"/>
              </w:rPr>
            </w:pPr>
            <w:r w:rsidRPr="002F4F6B">
              <w:rPr>
                <w:sz w:val="20"/>
                <w:szCs w:val="20"/>
              </w:rPr>
              <w:lastRenderedPageBreak/>
              <w:t>Tolerised</w:t>
            </w:r>
          </w:p>
        </w:tc>
        <w:tc>
          <w:tcPr>
            <w:tcW w:w="1731" w:type="dxa"/>
            <w:hideMark/>
          </w:tcPr>
          <w:p w14:paraId="4C7257CD" w14:textId="77777777" w:rsidR="00E00595" w:rsidRPr="002F4F6B" w:rsidRDefault="00E00595" w:rsidP="002F4F6B">
            <w:pPr>
              <w:ind w:left="0"/>
              <w:rPr>
                <w:sz w:val="20"/>
                <w:szCs w:val="20"/>
              </w:rPr>
            </w:pPr>
            <w:r w:rsidRPr="002F4F6B">
              <w:rPr>
                <w:sz w:val="20"/>
                <w:szCs w:val="20"/>
              </w:rPr>
              <w:t>1 (6.7)</w:t>
            </w:r>
          </w:p>
        </w:tc>
        <w:tc>
          <w:tcPr>
            <w:tcW w:w="2041" w:type="dxa"/>
            <w:hideMark/>
          </w:tcPr>
          <w:p w14:paraId="599F4417" w14:textId="77777777" w:rsidR="00E00595" w:rsidRPr="002F4F6B" w:rsidRDefault="00E00595" w:rsidP="002F4F6B">
            <w:pPr>
              <w:ind w:left="0"/>
              <w:rPr>
                <w:sz w:val="20"/>
                <w:szCs w:val="20"/>
              </w:rPr>
            </w:pPr>
            <w:r w:rsidRPr="002F4F6B">
              <w:rPr>
                <w:sz w:val="20"/>
                <w:szCs w:val="20"/>
              </w:rPr>
              <w:t>0</w:t>
            </w:r>
          </w:p>
        </w:tc>
        <w:tc>
          <w:tcPr>
            <w:tcW w:w="1628" w:type="dxa"/>
            <w:hideMark/>
          </w:tcPr>
          <w:p w14:paraId="4E04006B" w14:textId="77777777" w:rsidR="00E00595" w:rsidRPr="002F4F6B" w:rsidRDefault="00E00595" w:rsidP="002F4F6B">
            <w:pPr>
              <w:ind w:left="0"/>
              <w:rPr>
                <w:sz w:val="20"/>
                <w:szCs w:val="20"/>
              </w:rPr>
            </w:pPr>
            <w:r w:rsidRPr="002F4F6B">
              <w:rPr>
                <w:sz w:val="20"/>
                <w:szCs w:val="20"/>
              </w:rPr>
              <w:t>1 (3.3)</w:t>
            </w:r>
          </w:p>
        </w:tc>
      </w:tr>
      <w:tr w:rsidR="00E00595" w:rsidRPr="002F4F6B" w14:paraId="5BDE577B" w14:textId="77777777" w:rsidTr="007C4063">
        <w:tc>
          <w:tcPr>
            <w:tcW w:w="3258" w:type="dxa"/>
            <w:hideMark/>
          </w:tcPr>
          <w:p w14:paraId="753EDBCD" w14:textId="77777777" w:rsidR="00E00595" w:rsidRPr="002F4F6B" w:rsidRDefault="00E00595" w:rsidP="002F4F6B">
            <w:pPr>
              <w:ind w:left="0"/>
              <w:rPr>
                <w:sz w:val="20"/>
                <w:szCs w:val="20"/>
              </w:rPr>
            </w:pPr>
            <w:r w:rsidRPr="002F4F6B">
              <w:rPr>
                <w:sz w:val="20"/>
                <w:szCs w:val="20"/>
              </w:rPr>
              <w:t>Indeterminate response</w:t>
            </w:r>
          </w:p>
        </w:tc>
        <w:tc>
          <w:tcPr>
            <w:tcW w:w="1731" w:type="dxa"/>
            <w:hideMark/>
          </w:tcPr>
          <w:p w14:paraId="07833D30" w14:textId="77777777" w:rsidR="00E00595" w:rsidRPr="002F4F6B" w:rsidRDefault="00E00595" w:rsidP="002F4F6B">
            <w:pPr>
              <w:ind w:left="0"/>
              <w:rPr>
                <w:sz w:val="20"/>
                <w:szCs w:val="20"/>
              </w:rPr>
            </w:pPr>
            <w:r w:rsidRPr="002F4F6B">
              <w:rPr>
                <w:sz w:val="20"/>
                <w:szCs w:val="20"/>
              </w:rPr>
              <w:t>0</w:t>
            </w:r>
          </w:p>
        </w:tc>
        <w:tc>
          <w:tcPr>
            <w:tcW w:w="2041" w:type="dxa"/>
            <w:hideMark/>
          </w:tcPr>
          <w:p w14:paraId="50CF1BB3" w14:textId="77777777" w:rsidR="00E00595" w:rsidRPr="002F4F6B" w:rsidRDefault="00E00595" w:rsidP="002F4F6B">
            <w:pPr>
              <w:ind w:left="0"/>
              <w:rPr>
                <w:sz w:val="20"/>
                <w:szCs w:val="20"/>
              </w:rPr>
            </w:pPr>
            <w:r w:rsidRPr="002F4F6B">
              <w:rPr>
                <w:sz w:val="20"/>
                <w:szCs w:val="20"/>
              </w:rPr>
              <w:t>1 (6.7)</w:t>
            </w:r>
          </w:p>
        </w:tc>
        <w:tc>
          <w:tcPr>
            <w:tcW w:w="1628" w:type="dxa"/>
            <w:hideMark/>
          </w:tcPr>
          <w:p w14:paraId="346683E2" w14:textId="77777777" w:rsidR="00E00595" w:rsidRPr="002F4F6B" w:rsidRDefault="00E00595" w:rsidP="002F4F6B">
            <w:pPr>
              <w:ind w:left="0"/>
              <w:rPr>
                <w:sz w:val="20"/>
                <w:szCs w:val="20"/>
              </w:rPr>
            </w:pPr>
            <w:r w:rsidRPr="002F4F6B">
              <w:rPr>
                <w:sz w:val="20"/>
                <w:szCs w:val="20"/>
              </w:rPr>
              <w:t>1 (3.3)</w:t>
            </w:r>
          </w:p>
        </w:tc>
      </w:tr>
      <w:tr w:rsidR="00E00595" w:rsidRPr="002F4F6B" w14:paraId="30C23B58" w14:textId="77777777" w:rsidTr="007C4063">
        <w:tc>
          <w:tcPr>
            <w:tcW w:w="3258" w:type="dxa"/>
            <w:hideMark/>
          </w:tcPr>
          <w:p w14:paraId="7BCEF67A" w14:textId="01E57C52" w:rsidR="00E00595" w:rsidRPr="002F4F6B" w:rsidRDefault="00E00595" w:rsidP="002F4F6B">
            <w:pPr>
              <w:ind w:left="0"/>
              <w:rPr>
                <w:sz w:val="20"/>
                <w:szCs w:val="20"/>
              </w:rPr>
            </w:pPr>
            <w:r w:rsidRPr="002F4F6B">
              <w:rPr>
                <w:sz w:val="20"/>
                <w:szCs w:val="20"/>
              </w:rPr>
              <w:t xml:space="preserve">Treatment-boosted </w:t>
            </w:r>
            <w:proofErr w:type="spellStart"/>
            <w:r w:rsidRPr="002F4F6B">
              <w:rPr>
                <w:sz w:val="20"/>
                <w:szCs w:val="20"/>
              </w:rPr>
              <w:t>ADA</w:t>
            </w:r>
            <w:r w:rsidRPr="00501D3A">
              <w:rPr>
                <w:sz w:val="20"/>
                <w:szCs w:val="20"/>
                <w:vertAlign w:val="superscript"/>
              </w:rPr>
              <w:t>b</w:t>
            </w:r>
            <w:proofErr w:type="spellEnd"/>
            <w:r w:rsidRPr="002F4F6B">
              <w:rPr>
                <w:sz w:val="20"/>
                <w:szCs w:val="20"/>
              </w:rPr>
              <w:t>, n</w:t>
            </w:r>
            <w:r w:rsidR="002B6B1B">
              <w:rPr>
                <w:sz w:val="20"/>
                <w:szCs w:val="20"/>
              </w:rPr>
              <w:t xml:space="preserve"> </w:t>
            </w:r>
            <w:r w:rsidRPr="002F4F6B">
              <w:rPr>
                <w:sz w:val="20"/>
                <w:szCs w:val="20"/>
              </w:rPr>
              <w:t>(%)</w:t>
            </w:r>
          </w:p>
        </w:tc>
        <w:tc>
          <w:tcPr>
            <w:tcW w:w="1731" w:type="dxa"/>
            <w:hideMark/>
          </w:tcPr>
          <w:p w14:paraId="4DD29CA2" w14:textId="77777777" w:rsidR="00E00595" w:rsidRPr="002F4F6B" w:rsidRDefault="00E00595" w:rsidP="002F4F6B">
            <w:pPr>
              <w:ind w:left="0"/>
              <w:rPr>
                <w:sz w:val="20"/>
                <w:szCs w:val="20"/>
              </w:rPr>
            </w:pPr>
            <w:r w:rsidRPr="002F4F6B">
              <w:rPr>
                <w:sz w:val="20"/>
                <w:szCs w:val="20"/>
              </w:rPr>
              <w:t>18 (45.0)</w:t>
            </w:r>
          </w:p>
        </w:tc>
        <w:tc>
          <w:tcPr>
            <w:tcW w:w="2041" w:type="dxa"/>
            <w:hideMark/>
          </w:tcPr>
          <w:p w14:paraId="23CFC580" w14:textId="77777777" w:rsidR="00E00595" w:rsidRPr="002F4F6B" w:rsidRDefault="00E00595" w:rsidP="002F4F6B">
            <w:pPr>
              <w:ind w:left="0"/>
              <w:rPr>
                <w:sz w:val="20"/>
                <w:szCs w:val="20"/>
              </w:rPr>
            </w:pPr>
            <w:r w:rsidRPr="002F4F6B">
              <w:rPr>
                <w:sz w:val="20"/>
                <w:szCs w:val="20"/>
              </w:rPr>
              <w:t>0</w:t>
            </w:r>
          </w:p>
        </w:tc>
        <w:tc>
          <w:tcPr>
            <w:tcW w:w="1628" w:type="dxa"/>
            <w:hideMark/>
          </w:tcPr>
          <w:p w14:paraId="74D88063" w14:textId="77777777" w:rsidR="00E00595" w:rsidRPr="002F4F6B" w:rsidRDefault="00E00595" w:rsidP="002F4F6B">
            <w:pPr>
              <w:ind w:left="0"/>
              <w:rPr>
                <w:sz w:val="20"/>
                <w:szCs w:val="20"/>
              </w:rPr>
            </w:pPr>
            <w:r w:rsidRPr="002F4F6B">
              <w:rPr>
                <w:sz w:val="20"/>
                <w:szCs w:val="20"/>
              </w:rPr>
              <w:t>18 (41.9)</w:t>
            </w:r>
          </w:p>
        </w:tc>
      </w:tr>
      <w:tr w:rsidR="00E00595" w:rsidRPr="00501D3A" w14:paraId="7C66ACC0" w14:textId="77777777" w:rsidTr="007C4063">
        <w:tc>
          <w:tcPr>
            <w:tcW w:w="3258" w:type="dxa"/>
            <w:hideMark/>
          </w:tcPr>
          <w:p w14:paraId="266B6FAB" w14:textId="74FB8020" w:rsidR="00E00595" w:rsidRPr="00501D3A" w:rsidRDefault="00E00595" w:rsidP="00501D3A">
            <w:pPr>
              <w:pStyle w:val="TableDescription"/>
              <w:ind w:left="0"/>
            </w:pPr>
            <w:r w:rsidRPr="00501D3A">
              <w:t xml:space="preserve">Treatment emergent </w:t>
            </w:r>
            <w:proofErr w:type="spellStart"/>
            <w:r w:rsidRPr="00501D3A">
              <w:t>ADA</w:t>
            </w:r>
            <w:r w:rsidRPr="00501D3A">
              <w:rPr>
                <w:vertAlign w:val="superscript"/>
              </w:rPr>
              <w:t>c</w:t>
            </w:r>
            <w:proofErr w:type="spellEnd"/>
            <w:r w:rsidRPr="00501D3A">
              <w:t>, n</w:t>
            </w:r>
            <w:r w:rsidR="002B6B1B">
              <w:t xml:space="preserve"> </w:t>
            </w:r>
            <w:r w:rsidRPr="00501D3A">
              <w:t>(%)</w:t>
            </w:r>
          </w:p>
        </w:tc>
        <w:tc>
          <w:tcPr>
            <w:tcW w:w="1731" w:type="dxa"/>
            <w:hideMark/>
          </w:tcPr>
          <w:p w14:paraId="02A7BEA7" w14:textId="77777777" w:rsidR="00E00595" w:rsidRPr="00501D3A" w:rsidRDefault="00E00595" w:rsidP="00501D3A">
            <w:pPr>
              <w:pStyle w:val="TableDescription"/>
              <w:ind w:left="0"/>
            </w:pPr>
            <w:r w:rsidRPr="00501D3A">
              <w:t>27 (49.1)</w:t>
            </w:r>
          </w:p>
        </w:tc>
        <w:tc>
          <w:tcPr>
            <w:tcW w:w="2041" w:type="dxa"/>
            <w:hideMark/>
          </w:tcPr>
          <w:p w14:paraId="7849C3BD" w14:textId="77777777" w:rsidR="00E00595" w:rsidRPr="00501D3A" w:rsidRDefault="00E00595" w:rsidP="00501D3A">
            <w:pPr>
              <w:pStyle w:val="TableDescription"/>
              <w:ind w:left="0"/>
            </w:pPr>
            <w:r w:rsidRPr="00501D3A">
              <w:t>5 (27.8)</w:t>
            </w:r>
          </w:p>
        </w:tc>
        <w:tc>
          <w:tcPr>
            <w:tcW w:w="1628" w:type="dxa"/>
            <w:hideMark/>
          </w:tcPr>
          <w:p w14:paraId="40E716E9" w14:textId="77777777" w:rsidR="00E00595" w:rsidRPr="00501D3A" w:rsidRDefault="00E00595" w:rsidP="00501D3A">
            <w:pPr>
              <w:pStyle w:val="TableDescription"/>
              <w:ind w:left="0"/>
            </w:pPr>
            <w:r w:rsidRPr="00501D3A">
              <w:t>32 (43.8)</w:t>
            </w:r>
          </w:p>
        </w:tc>
      </w:tr>
    </w:tbl>
    <w:p w14:paraId="0336C349" w14:textId="7EC50F14" w:rsidR="00501D3A" w:rsidRDefault="00501D3A" w:rsidP="00501D3A">
      <w:pPr>
        <w:pStyle w:val="TableDescription"/>
      </w:pPr>
      <w:r>
        <w:t>Abbreviation: ADA = antidrug antibody</w:t>
      </w:r>
    </w:p>
    <w:p w14:paraId="09FE463A" w14:textId="07E54FE5" w:rsidR="00E00595" w:rsidRPr="00501D3A" w:rsidRDefault="00E00595" w:rsidP="00501D3A">
      <w:pPr>
        <w:pStyle w:val="TableDescription"/>
      </w:pPr>
      <w:r w:rsidRPr="00501D3A">
        <w:t>The percentage calculations are based on denominator of total number of patients in ADA evaluable population of each group if not specified.</w:t>
      </w:r>
    </w:p>
    <w:p w14:paraId="7AD8D7F0" w14:textId="49883193" w:rsidR="00E00595" w:rsidRPr="00501D3A" w:rsidRDefault="00E00595" w:rsidP="00501D3A">
      <w:pPr>
        <w:pStyle w:val="TableDescription"/>
      </w:pPr>
      <w:r w:rsidRPr="00501D3A">
        <w:t>a</w:t>
      </w:r>
      <w:r w:rsidR="00501D3A">
        <w:t>)</w:t>
      </w:r>
      <w:r w:rsidRPr="00501D3A">
        <w:t xml:space="preserve"> Treatment induced ADA incidence is defined as 100 x (treatment induced ADA positive patients)</w:t>
      </w:r>
      <w:proofErr w:type="gramStart"/>
      <w:r w:rsidRPr="00501D3A">
        <w:t>/(</w:t>
      </w:r>
      <w:proofErr w:type="gramEnd"/>
      <w:r w:rsidRPr="00501D3A">
        <w:t>number of evaluable patients with ADA negative at baseline).</w:t>
      </w:r>
    </w:p>
    <w:p w14:paraId="6BE10D38" w14:textId="57D700DD" w:rsidR="00E00595" w:rsidRPr="00501D3A" w:rsidRDefault="00E00595" w:rsidP="00501D3A">
      <w:pPr>
        <w:pStyle w:val="TableDescription"/>
      </w:pPr>
      <w:r w:rsidRPr="00501D3A">
        <w:t>b</w:t>
      </w:r>
      <w:r w:rsidR="00501D3A">
        <w:t>)</w:t>
      </w:r>
      <w:r w:rsidRPr="00501D3A">
        <w:t xml:space="preserve"> Treatment boosted ADA incidence is defined as 100 x (treatment boosted ADA positive patients)</w:t>
      </w:r>
      <w:proofErr w:type="gramStart"/>
      <w:r w:rsidRPr="00501D3A">
        <w:t>/(</w:t>
      </w:r>
      <w:proofErr w:type="gramEnd"/>
      <w:r w:rsidRPr="00501D3A">
        <w:t>number of evaluable patients with ADA positive at baseline).</w:t>
      </w:r>
    </w:p>
    <w:p w14:paraId="33C50113" w14:textId="1638B842" w:rsidR="00E00595" w:rsidRPr="00501D3A" w:rsidRDefault="00E00595" w:rsidP="00501D3A">
      <w:pPr>
        <w:pStyle w:val="TableDescription"/>
      </w:pPr>
      <w:r w:rsidRPr="00501D3A">
        <w:t>c</w:t>
      </w:r>
      <w:r w:rsidR="00501D3A">
        <w:t>)</w:t>
      </w:r>
      <w:r w:rsidRPr="00501D3A">
        <w:t xml:space="preserve"> Treatment emergent ADA incidence is defined as 100 x (treatment boosted + treatment induced ADA positive patients)</w:t>
      </w:r>
      <w:proofErr w:type="gramStart"/>
      <w:r w:rsidRPr="00501D3A">
        <w:t>/(</w:t>
      </w:r>
      <w:proofErr w:type="gramEnd"/>
      <w:r w:rsidRPr="00501D3A">
        <w:t>number of evaluable patients).</w:t>
      </w:r>
    </w:p>
    <w:p w14:paraId="27C706C0" w14:textId="77777777" w:rsidR="00E00595" w:rsidRPr="00501D3A" w:rsidRDefault="00E00595" w:rsidP="00501D3A">
      <w:pPr>
        <w:pStyle w:val="TableDescription"/>
      </w:pPr>
      <w:r w:rsidRPr="00501D3A">
        <w:t>Positive at baseline = pre-existing ADA and Positive post baseline = negative at baseline, and seroconverted</w:t>
      </w:r>
    </w:p>
    <w:p w14:paraId="195ACD38" w14:textId="6191E9B9" w:rsidR="00E00595" w:rsidRPr="00501D3A" w:rsidRDefault="00E00595" w:rsidP="00501D3A">
      <w:pPr>
        <w:pStyle w:val="TableDescription"/>
      </w:pPr>
      <w:r w:rsidRPr="00501D3A">
        <w:t xml:space="preserve">ADA evaluable population in avalglucosidase alfa safety set will be used for the immunogenicity analyses. It is defined as all randomised or enrolled </w:t>
      </w:r>
      <w:r w:rsidR="00501D3A">
        <w:t>patients who received at least one</w:t>
      </w:r>
      <w:r w:rsidRPr="00501D3A">
        <w:t xml:space="preserve"> infusion (partial or completed) of avalglucosidase </w:t>
      </w:r>
      <w:proofErr w:type="gramStart"/>
      <w:r w:rsidRPr="00501D3A">
        <w:t>alfa</w:t>
      </w:r>
      <w:proofErr w:type="gramEnd"/>
      <w:r w:rsidRPr="00501D3A">
        <w:t xml:space="preserve"> and had at least one ADA sample taken post-baseline after avalglucosidase alfa infusion that is appropriate for ADA testing with a reportable result.</w:t>
      </w:r>
    </w:p>
    <w:p w14:paraId="773161FA" w14:textId="1C59213D" w:rsidR="00E00595" w:rsidRPr="00501D3A" w:rsidRDefault="00E00595" w:rsidP="00501D3A">
      <w:pPr>
        <w:pStyle w:val="TableDescription"/>
      </w:pPr>
      <w:r w:rsidRPr="00501D3A">
        <w:t xml:space="preserve">Experienced patients: previously treated with alglucosidase alfa (in </w:t>
      </w:r>
      <w:r w:rsidR="00501D3A">
        <w:t xml:space="preserve">Studies </w:t>
      </w:r>
      <w:r w:rsidRPr="00501D3A">
        <w:t>TDR12857, LTS13769, EFC14028, and ACT14132), CRIM negativ</w:t>
      </w:r>
      <w:r w:rsidR="00501D3A" w:rsidRPr="00501D3A">
        <w:t>e paediatric patients excluded.</w:t>
      </w:r>
    </w:p>
    <w:p w14:paraId="3C88A689" w14:textId="3649D901" w:rsidR="00E00595" w:rsidRDefault="00E00595" w:rsidP="00E00595">
      <w:pPr>
        <w:autoSpaceDE w:val="0"/>
        <w:autoSpaceDN w:val="0"/>
        <w:adjustRightInd w:val="0"/>
        <w:jc w:val="both"/>
        <w:rPr>
          <w:lang w:eastAsia="ja-JP"/>
        </w:rPr>
      </w:pPr>
      <w:r>
        <w:rPr>
          <w:lang w:eastAsia="ja-JP"/>
        </w:rPr>
        <w:t>Overall, the safety p</w:t>
      </w:r>
      <w:r w:rsidR="00501D3A">
        <w:rPr>
          <w:lang w:eastAsia="ja-JP"/>
        </w:rPr>
        <w:t xml:space="preserve">rofile of avalglucosidase alfa </w:t>
      </w:r>
      <w:r>
        <w:rPr>
          <w:lang w:eastAsia="ja-JP"/>
        </w:rPr>
        <w:t>is consistent with that of the registered formulation of alglucosidase alfa.</w:t>
      </w:r>
    </w:p>
    <w:p w14:paraId="6169B334" w14:textId="77777777" w:rsidR="00E00595" w:rsidRDefault="00E00595" w:rsidP="00501D3A">
      <w:pPr>
        <w:pStyle w:val="Heading4"/>
      </w:pPr>
      <w:r>
        <w:t>Home infusions</w:t>
      </w:r>
    </w:p>
    <w:p w14:paraId="2F0CBF23" w14:textId="2CBD674D" w:rsidR="00E00595" w:rsidRDefault="00E00595" w:rsidP="00E00595">
      <w:r>
        <w:t>The sponsor has requested that recommendations for hom</w:t>
      </w:r>
      <w:r w:rsidR="00501D3A">
        <w:t>e infusion are included in the Product I</w:t>
      </w:r>
      <w:r>
        <w:t>nformation. This was based on a retrospective review of home-based infusions for adults with late</w:t>
      </w:r>
      <w:r w:rsidR="00E07D97">
        <w:t>-</w:t>
      </w:r>
      <w:r>
        <w:t xml:space="preserve">onset </w:t>
      </w:r>
      <w:proofErr w:type="spellStart"/>
      <w:r>
        <w:t>Pompe</w:t>
      </w:r>
      <w:proofErr w:type="spellEnd"/>
      <w:r>
        <w:t xml:space="preserve"> disease being treated with alglucosidase alfa in the Netherland</w:t>
      </w:r>
      <w:r w:rsidR="00501D3A">
        <w:t xml:space="preserve">s. No data was presented by the sponsor </w:t>
      </w:r>
      <w:r>
        <w:t xml:space="preserve">regarding the applicability of home infusions in Australia, and the </w:t>
      </w:r>
      <w:r w:rsidR="00501D3A">
        <w:t>clinical evaluation</w:t>
      </w:r>
      <w:r>
        <w:t xml:space="preserve"> noted that there is a requirement for a doctor or nurse practitioner to be in attendance during the infusion period (up to six hours). </w:t>
      </w:r>
    </w:p>
    <w:p w14:paraId="170D751D" w14:textId="7967A851" w:rsidR="00E00595" w:rsidRDefault="00E00595" w:rsidP="00E00595">
      <w:r>
        <w:t>As part of a response to a request for more information, the sponsor explained that eight</w:t>
      </w:r>
      <w:r w:rsidRPr="00924923">
        <w:t xml:space="preserve"> patients in Study EFC14028 (</w:t>
      </w:r>
      <w:r>
        <w:t>late</w:t>
      </w:r>
      <w:r w:rsidR="00E67D0B">
        <w:t>-</w:t>
      </w:r>
      <w:r>
        <w:t xml:space="preserve">onset </w:t>
      </w:r>
      <w:proofErr w:type="spellStart"/>
      <w:r>
        <w:t>Pompe</w:t>
      </w:r>
      <w:proofErr w:type="spellEnd"/>
      <w:r>
        <w:t xml:space="preserve"> disease</w:t>
      </w:r>
      <w:r w:rsidRPr="00924923">
        <w:t xml:space="preserve">), </w:t>
      </w:r>
      <w:r>
        <w:t>two</w:t>
      </w:r>
      <w:r w:rsidRPr="00924923">
        <w:t xml:space="preserve"> patients in Study LTS13769 (</w:t>
      </w:r>
      <w:r>
        <w:t>late</w:t>
      </w:r>
      <w:r w:rsidR="00E67D0B">
        <w:t>-</w:t>
      </w:r>
      <w:r>
        <w:t xml:space="preserve">onset </w:t>
      </w:r>
      <w:proofErr w:type="spellStart"/>
      <w:r>
        <w:t>Pompe</w:t>
      </w:r>
      <w:proofErr w:type="spellEnd"/>
      <w:r>
        <w:t xml:space="preserve"> disease</w:t>
      </w:r>
      <w:r w:rsidRPr="00924923">
        <w:t xml:space="preserve">) and </w:t>
      </w:r>
      <w:r>
        <w:t>one</w:t>
      </w:r>
      <w:r w:rsidRPr="00924923">
        <w:t xml:space="preserve"> patient in Study ACT14132 (</w:t>
      </w:r>
      <w:r w:rsidR="00501D3A">
        <w:t>infantile</w:t>
      </w:r>
      <w:r w:rsidR="00E67D0B">
        <w:t>-</w:t>
      </w:r>
      <w:r>
        <w:t xml:space="preserve">onset </w:t>
      </w:r>
      <w:proofErr w:type="spellStart"/>
      <w:r>
        <w:t>Pompe</w:t>
      </w:r>
      <w:proofErr w:type="spellEnd"/>
      <w:r>
        <w:t xml:space="preserve"> disease</w:t>
      </w:r>
      <w:r w:rsidRPr="00924923">
        <w:t>) ha</w:t>
      </w:r>
      <w:r>
        <w:t>d</w:t>
      </w:r>
      <w:r w:rsidRPr="00924923">
        <w:t xml:space="preserve"> received avalglucosidase alfa at home under healthcare professional supervision</w:t>
      </w:r>
      <w:r>
        <w:t xml:space="preserve"> during the COVID-19 pandemic</w:t>
      </w:r>
      <w:r w:rsidRPr="00924923">
        <w:t xml:space="preserve">. These 11 patients received up to 27 home infusions </w:t>
      </w:r>
      <w:r>
        <w:t xml:space="preserve">each </w:t>
      </w:r>
      <w:r w:rsidRPr="00924923">
        <w:t xml:space="preserve">for a total of 154 infusions in the home setting. </w:t>
      </w:r>
      <w:r>
        <w:t>There</w:t>
      </w:r>
      <w:r w:rsidRPr="00924923">
        <w:t xml:space="preserve"> have been no reports of medication errors</w:t>
      </w:r>
      <w:r>
        <w:t xml:space="preserve">, however one </w:t>
      </w:r>
      <w:proofErr w:type="gramStart"/>
      <w:r>
        <w:t>32 year old</w:t>
      </w:r>
      <w:proofErr w:type="gramEnd"/>
      <w:r>
        <w:t xml:space="preserve"> female experienced eyelid oedema and flushing during one treatment which was treated with methylprednisolone and dexchlorpheniramine</w:t>
      </w:r>
      <w:r w:rsidRPr="00924923">
        <w:t>.</w:t>
      </w:r>
      <w:r>
        <w:t xml:space="preserve"> Subsequent infusions were given at the study site. There is no reported experience of home in</w:t>
      </w:r>
      <w:r w:rsidR="00501D3A">
        <w:t>fusion of avalglucosidase alfa n</w:t>
      </w:r>
      <w:r>
        <w:t>or alglucosidase among Australian patients.</w:t>
      </w:r>
    </w:p>
    <w:p w14:paraId="48906838" w14:textId="77777777" w:rsidR="00501D3A" w:rsidRDefault="00501D3A" w:rsidP="00E00595">
      <w:r>
        <w:lastRenderedPageBreak/>
        <w:t>The sponsor also provided a ‘consensus document’</w:t>
      </w:r>
      <w:r w:rsidR="00E00595">
        <w:t xml:space="preserve"> signed by 10 Australian clinicians from major tertiary hospitals in Australia. The document indicated that home infusions are particularly appropriate during the COVID-19 pandemic, and that other </w:t>
      </w:r>
      <w:r>
        <w:t>enzyme replacement therapies</w:t>
      </w:r>
      <w:r w:rsidR="00E00595">
        <w:t xml:space="preserve"> have been given as home infusions at the discretion of the treating specialist physician. The evaluator has noted that two of the three therapies for which home infusion is apparently common practice do not</w:t>
      </w:r>
      <w:r>
        <w:t xml:space="preserve"> contain information in the PI.</w:t>
      </w:r>
    </w:p>
    <w:p w14:paraId="6E7B6430" w14:textId="551DD2B4" w:rsidR="00E00595" w:rsidRPr="00E00595" w:rsidRDefault="00E00595" w:rsidP="00E00595">
      <w:r>
        <w:t xml:space="preserve">The </w:t>
      </w:r>
      <w:r w:rsidR="00501D3A">
        <w:t>clinical evaluation</w:t>
      </w:r>
      <w:r>
        <w:t xml:space="preserve"> has recommended that, should home infusions of Nexviazyme be supported, it should be made clear that guidance in the PI and in any educational material should not override specialist </w:t>
      </w:r>
      <w:r w:rsidR="00501D3A">
        <w:t>recommendations and guidelines.</w:t>
      </w:r>
    </w:p>
    <w:p w14:paraId="31E109EB" w14:textId="3F4FA307" w:rsidR="007B6132" w:rsidRDefault="00501D3A" w:rsidP="00555280">
      <w:pPr>
        <w:pStyle w:val="Heading4"/>
      </w:pPr>
      <w:bookmarkStart w:id="51" w:name="_Toc314842514"/>
      <w:r>
        <w:t>Clinical</w:t>
      </w:r>
      <w:r w:rsidR="007B6132" w:rsidRPr="007B6132">
        <w:t xml:space="preserve"> recommendation</w:t>
      </w:r>
    </w:p>
    <w:p w14:paraId="64701C79" w14:textId="31F4B679" w:rsidR="00501D3A" w:rsidRDefault="00501D3A" w:rsidP="00501D3A">
      <w:r>
        <w:t>The clinical evaluation found the submission to be approvable for the following modified indication:</w:t>
      </w:r>
    </w:p>
    <w:p w14:paraId="151804C9" w14:textId="77777777" w:rsidR="00501D3A" w:rsidRPr="00501D3A" w:rsidRDefault="00501D3A" w:rsidP="00501D3A">
      <w:pPr>
        <w:ind w:left="720"/>
        <w:rPr>
          <w:i/>
        </w:rPr>
      </w:pPr>
      <w:r w:rsidRPr="00501D3A">
        <w:rPr>
          <w:i/>
        </w:rPr>
        <w:t>Nexviazyme is indicated for long term enzyme replacement therapy for the treatment of patients with late onset Pompe disease (LOPD) (acid α-glucosidase deficiency).</w:t>
      </w:r>
    </w:p>
    <w:p w14:paraId="14091D05" w14:textId="4D616E78" w:rsidR="00501D3A" w:rsidRPr="00501D3A" w:rsidRDefault="00501D3A" w:rsidP="00501D3A">
      <w:r>
        <w:t>The recommendation for approval came with the following proposed conditions of registration.</w:t>
      </w:r>
    </w:p>
    <w:p w14:paraId="0096B713" w14:textId="77777777" w:rsidR="00E00595" w:rsidRDefault="00E00595" w:rsidP="00501D3A">
      <w:pPr>
        <w:pStyle w:val="Heading5"/>
      </w:pPr>
      <w:r w:rsidRPr="009966DC">
        <w:t>Proposed conditions of registration</w:t>
      </w:r>
    </w:p>
    <w:p w14:paraId="30FA03B6" w14:textId="5E307B29" w:rsidR="00E00595" w:rsidRDefault="00501D3A" w:rsidP="00E00595">
      <w:r>
        <w:t>The s</w:t>
      </w:r>
      <w:r w:rsidR="00E00595">
        <w:t xml:space="preserve">ponsor should submit final study reports for any ongoing or planned clinical studies, as were detailed in the </w:t>
      </w:r>
      <w:r>
        <w:t>sponsor’s response to TGA questions for the sponsor</w:t>
      </w:r>
      <w:r w:rsidR="00E00595">
        <w:t>. These included final reports for ongoing studies</w:t>
      </w:r>
      <w:r>
        <w:t>: Study</w:t>
      </w:r>
      <w:r w:rsidR="00E00595">
        <w:t xml:space="preserve"> LTS13769, </w:t>
      </w:r>
      <w:r>
        <w:t xml:space="preserve">Study </w:t>
      </w:r>
      <w:r w:rsidR="00E00595">
        <w:t>EFC14028 (</w:t>
      </w:r>
      <w:r>
        <w:t xml:space="preserve">the </w:t>
      </w:r>
      <w:r w:rsidR="00E00595">
        <w:t>COMET</w:t>
      </w:r>
      <w:r>
        <w:t xml:space="preserve"> trial</w:t>
      </w:r>
      <w:r w:rsidR="00E00595">
        <w:t xml:space="preserve">) and </w:t>
      </w:r>
      <w:r>
        <w:t xml:space="preserve">Study </w:t>
      </w:r>
      <w:r w:rsidR="00E00595">
        <w:t>ACT14132 (</w:t>
      </w:r>
      <w:r>
        <w:t xml:space="preserve">the </w:t>
      </w:r>
      <w:r w:rsidR="00E00595">
        <w:t>Mini-COMET</w:t>
      </w:r>
      <w:r>
        <w:t xml:space="preserve"> trial</w:t>
      </w:r>
      <w:r w:rsidR="00E00595">
        <w:t xml:space="preserve">), as well as the planned study in treatment-naïve infants with </w:t>
      </w:r>
      <w:r>
        <w:t xml:space="preserve">infantile onset Pompe disease, Study </w:t>
      </w:r>
      <w:r w:rsidR="00E00595">
        <w:t>EFC14462 (</w:t>
      </w:r>
      <w:r>
        <w:t xml:space="preserve">the </w:t>
      </w:r>
      <w:r w:rsidR="00E00595">
        <w:t>Baby-COMET</w:t>
      </w:r>
      <w:r>
        <w:t xml:space="preserve"> trial</w:t>
      </w:r>
      <w:r w:rsidR="00E00595">
        <w:t>).</w:t>
      </w:r>
      <w:r w:rsidR="002B6B1B" w:rsidRPr="00904D23">
        <w:rPr>
          <w:vertAlign w:val="superscript"/>
        </w:rPr>
        <w:fldChar w:fldCharType="begin"/>
      </w:r>
      <w:r w:rsidR="002B6B1B" w:rsidRPr="00904D23">
        <w:rPr>
          <w:vertAlign w:val="superscript"/>
        </w:rPr>
        <w:instrText xml:space="preserve"> NOTEREF _Ref121307698 \h </w:instrText>
      </w:r>
      <w:r w:rsidR="002B6B1B">
        <w:rPr>
          <w:vertAlign w:val="superscript"/>
        </w:rPr>
        <w:instrText xml:space="preserve"> \* MERGEFORMAT </w:instrText>
      </w:r>
      <w:r w:rsidR="002B6B1B" w:rsidRPr="00904D23">
        <w:rPr>
          <w:vertAlign w:val="superscript"/>
        </w:rPr>
      </w:r>
      <w:r w:rsidR="002B6B1B" w:rsidRPr="00904D23">
        <w:rPr>
          <w:vertAlign w:val="superscript"/>
        </w:rPr>
        <w:fldChar w:fldCharType="separate"/>
      </w:r>
      <w:r w:rsidR="002B6B1B" w:rsidRPr="00904D23">
        <w:rPr>
          <w:vertAlign w:val="superscript"/>
        </w:rPr>
        <w:t>16</w:t>
      </w:r>
      <w:r w:rsidR="002B6B1B" w:rsidRPr="00904D23">
        <w:rPr>
          <w:vertAlign w:val="superscript"/>
        </w:rPr>
        <w:fldChar w:fldCharType="end"/>
      </w:r>
    </w:p>
    <w:p w14:paraId="1E7AF46D" w14:textId="77777777" w:rsidR="008E7846" w:rsidRDefault="00386150" w:rsidP="007B6132">
      <w:pPr>
        <w:pStyle w:val="Heading3"/>
        <w:rPr>
          <w:lang w:eastAsia="en-AU"/>
        </w:rPr>
      </w:pPr>
      <w:bookmarkStart w:id="52" w:name="_Toc117601963"/>
      <w:r>
        <w:rPr>
          <w:lang w:eastAsia="en-AU"/>
        </w:rPr>
        <w:t>Risk m</w:t>
      </w:r>
      <w:r w:rsidR="008E7846">
        <w:rPr>
          <w:lang w:eastAsia="en-AU"/>
        </w:rPr>
        <w:t xml:space="preserve">anagement </w:t>
      </w:r>
      <w:r>
        <w:rPr>
          <w:lang w:eastAsia="en-AU"/>
        </w:rPr>
        <w:t>p</w:t>
      </w:r>
      <w:r w:rsidR="008E7846">
        <w:rPr>
          <w:lang w:eastAsia="en-AU"/>
        </w:rPr>
        <w:t>lan</w:t>
      </w:r>
      <w:bookmarkEnd w:id="51"/>
      <w:bookmarkEnd w:id="52"/>
    </w:p>
    <w:p w14:paraId="54D98495" w14:textId="059E3A58" w:rsidR="00501D3A" w:rsidRDefault="00501D3A" w:rsidP="00501D3A">
      <w:bookmarkStart w:id="53" w:name="_Toc247691531"/>
      <w:bookmarkStart w:id="54" w:name="_Toc314842515"/>
      <w:bookmarkStart w:id="55" w:name="_Toc196046505"/>
      <w:bookmarkStart w:id="56" w:name="_Toc196046949"/>
      <w:r>
        <w:t>The sponsor has applied to register a new biological entity, avalglucosidase alfa in the drug product Nexviazyme. Nexviazyme is proposed to be used as a long-term enzyme replacement therapy for the treatment of patients with Pompe disease (acid alpha-glucosidase deficiency). The proposed dosing regimen involves weekly intravenous infusion of 20 mg/kg of body weight for late-onset Pompe disease or 40 mg/kg body weight for infantile-onset Pompe disease. Avalglucosidase alfa was granted Orphan Drug Designation by the TGA on 15 September 2020 for the treatment of Pompe disease.</w:t>
      </w:r>
    </w:p>
    <w:p w14:paraId="563B9BFE" w14:textId="4877F2CA" w:rsidR="00501D3A" w:rsidRDefault="00501D3A" w:rsidP="00501D3A">
      <w:r>
        <w:t>The sponsor submitted draft EU-RMP (risk management plan) version 1.0 (date 26 August 2020; data lock point (DLP) 19 March 2020) and Australia Specific Annex (ASA) version 1.0 (October 2020) in support of this application. In the sponsor’s response to TGA questions, the sponsor informed that a further EU-RMP version 1.2 is under development to address European Medicine Agency (EMA) recommendations and will be supplied to TGA in association with an updated ASA after June 2021. At the third round, draft EU-RMP version 1.2 (date 14 June 2021; DLP 19 Mar 2020) and ASA version 1.2 are supplied in support of a decision on product registration.</w:t>
      </w:r>
    </w:p>
    <w:p w14:paraId="69BA41E4" w14:textId="64D8ACB8" w:rsidR="0074163C" w:rsidRDefault="0074163C" w:rsidP="0074163C">
      <w:r>
        <w:t>The summary of safety concerns and their associated risk monitoring and mitigation strat</w:t>
      </w:r>
      <w:r w:rsidR="00501D3A">
        <w:t xml:space="preserve">egies are summarised in </w:t>
      </w:r>
      <w:r w:rsidR="00501D3A">
        <w:fldChar w:fldCharType="begin"/>
      </w:r>
      <w:r w:rsidR="00501D3A">
        <w:instrText xml:space="preserve"> REF _Ref97629131 \h </w:instrText>
      </w:r>
      <w:r w:rsidR="00501D3A">
        <w:fldChar w:fldCharType="separate"/>
      </w:r>
      <w:r w:rsidR="00501D3A">
        <w:t xml:space="preserve">Table </w:t>
      </w:r>
      <w:r w:rsidR="00501D3A">
        <w:rPr>
          <w:noProof/>
        </w:rPr>
        <w:t>8</w:t>
      </w:r>
      <w:r w:rsidR="00501D3A">
        <w:fldChar w:fldCharType="end"/>
      </w:r>
      <w:r>
        <w:t xml:space="preserve">. Further information regarding </w:t>
      </w:r>
      <w:r w:rsidR="00CC5044">
        <w:t>the TGA</w:t>
      </w:r>
      <w:r w:rsidR="00BF7063">
        <w:t>’</w:t>
      </w:r>
      <w:r w:rsidR="00CC5044">
        <w:t>s r</w:t>
      </w:r>
      <w:r>
        <w:t xml:space="preserve">isk management approach can be found in </w:t>
      </w:r>
      <w:hyperlink r:id="rId23" w:history="1">
        <w:r w:rsidRPr="0023444E">
          <w:rPr>
            <w:rStyle w:val="Hyperlink"/>
          </w:rPr>
          <w:t>risk management plans for medicines and biologicals</w:t>
        </w:r>
      </w:hyperlink>
      <w:r>
        <w:t xml:space="preserve"> and </w:t>
      </w:r>
      <w:hyperlink r:id="rId24" w:history="1">
        <w:r w:rsidRPr="0023444E">
          <w:rPr>
            <w:rStyle w:val="Hyperlink"/>
          </w:rPr>
          <w:t>the TGA's risk management approach</w:t>
        </w:r>
      </w:hyperlink>
      <w:r>
        <w:t>.</w:t>
      </w:r>
    </w:p>
    <w:p w14:paraId="2A525910" w14:textId="4D58A602" w:rsidR="009C1786" w:rsidRDefault="009C1786" w:rsidP="0074163C">
      <w:r>
        <w:br w:type="page"/>
      </w:r>
    </w:p>
    <w:p w14:paraId="297EC928" w14:textId="434FF56F" w:rsidR="0074163C" w:rsidRDefault="0074163C" w:rsidP="0074163C">
      <w:pPr>
        <w:pStyle w:val="TableTitle"/>
      </w:pPr>
      <w:bookmarkStart w:id="57" w:name="_Ref97629131"/>
      <w:r>
        <w:lastRenderedPageBreak/>
        <w:t xml:space="preserve">Table </w:t>
      </w:r>
      <w:r>
        <w:fldChar w:fldCharType="begin"/>
      </w:r>
      <w:r>
        <w:instrText>SEQ Table \* ARABIC</w:instrText>
      </w:r>
      <w:r>
        <w:fldChar w:fldCharType="separate"/>
      </w:r>
      <w:r w:rsidR="004A495C">
        <w:rPr>
          <w:noProof/>
        </w:rPr>
        <w:t>8</w:t>
      </w:r>
      <w:r>
        <w:fldChar w:fldCharType="end"/>
      </w:r>
      <w:bookmarkEnd w:id="57"/>
      <w:r>
        <w:t>: Summary of safety concerns</w:t>
      </w:r>
    </w:p>
    <w:tbl>
      <w:tblPr>
        <w:tblStyle w:val="TableTGAblue"/>
        <w:tblW w:w="0" w:type="auto"/>
        <w:tblLook w:val="04A0" w:firstRow="1" w:lastRow="0" w:firstColumn="1" w:lastColumn="0" w:noHBand="0" w:noVBand="1"/>
      </w:tblPr>
      <w:tblGrid>
        <w:gridCol w:w="1363"/>
        <w:gridCol w:w="3359"/>
        <w:gridCol w:w="906"/>
        <w:gridCol w:w="1022"/>
        <w:gridCol w:w="822"/>
        <w:gridCol w:w="1022"/>
      </w:tblGrid>
      <w:tr w:rsidR="00501D3A" w:rsidRPr="00030A61" w14:paraId="57C26F9C" w14:textId="77777777" w:rsidTr="00904D23">
        <w:trPr>
          <w:cnfStyle w:val="100000000000" w:firstRow="1" w:lastRow="0" w:firstColumn="0" w:lastColumn="0" w:oddVBand="0" w:evenVBand="0" w:oddHBand="0" w:evenHBand="0" w:firstRowFirstColumn="0" w:firstRowLastColumn="0" w:lastRowFirstColumn="0" w:lastRowLastColumn="0"/>
          <w:trHeight w:val="131"/>
        </w:trPr>
        <w:tc>
          <w:tcPr>
            <w:tcW w:w="4938" w:type="dxa"/>
            <w:gridSpan w:val="2"/>
            <w:vMerge w:val="restart"/>
            <w:tcBorders>
              <w:top w:val="single" w:sz="4" w:space="0" w:color="auto"/>
              <w:left w:val="single" w:sz="4" w:space="0" w:color="auto"/>
              <w:bottom w:val="single" w:sz="4" w:space="0" w:color="auto"/>
              <w:right w:val="single" w:sz="4" w:space="0" w:color="auto"/>
            </w:tcBorders>
          </w:tcPr>
          <w:p w14:paraId="43826764" w14:textId="77777777" w:rsidR="00501D3A" w:rsidRPr="00030A61" w:rsidRDefault="00501D3A" w:rsidP="00501D3A">
            <w:pPr>
              <w:pStyle w:val="Tabletext"/>
              <w:ind w:left="0" w:right="0"/>
              <w:rPr>
                <w:b w:val="0"/>
              </w:rPr>
            </w:pPr>
            <w:bookmarkStart w:id="58" w:name="_Hlk81390072"/>
            <w:r w:rsidRPr="00030A61">
              <w:t>Summary of safety concerns</w:t>
            </w:r>
          </w:p>
        </w:tc>
        <w:tc>
          <w:tcPr>
            <w:tcW w:w="1938" w:type="dxa"/>
            <w:gridSpan w:val="2"/>
            <w:tcBorders>
              <w:top w:val="single" w:sz="4" w:space="0" w:color="auto"/>
              <w:left w:val="single" w:sz="4" w:space="0" w:color="auto"/>
              <w:bottom w:val="single" w:sz="4" w:space="0" w:color="auto"/>
              <w:right w:val="single" w:sz="4" w:space="0" w:color="auto"/>
            </w:tcBorders>
          </w:tcPr>
          <w:p w14:paraId="7CC54E34" w14:textId="77777777" w:rsidR="00501D3A" w:rsidRPr="00030A61" w:rsidRDefault="00501D3A" w:rsidP="00501D3A">
            <w:pPr>
              <w:pStyle w:val="Tabletext"/>
              <w:ind w:left="0" w:right="0"/>
              <w:rPr>
                <w:b w:val="0"/>
                <w:sz w:val="18"/>
              </w:rPr>
            </w:pPr>
            <w:r w:rsidRPr="00030A61">
              <w:rPr>
                <w:sz w:val="18"/>
              </w:rPr>
              <w:t>Pharmacovigilance</w:t>
            </w:r>
          </w:p>
        </w:tc>
        <w:tc>
          <w:tcPr>
            <w:tcW w:w="0" w:type="auto"/>
            <w:gridSpan w:val="2"/>
            <w:tcBorders>
              <w:top w:val="single" w:sz="4" w:space="0" w:color="auto"/>
              <w:left w:val="single" w:sz="4" w:space="0" w:color="auto"/>
              <w:bottom w:val="single" w:sz="4" w:space="0" w:color="auto"/>
              <w:right w:val="single" w:sz="4" w:space="0" w:color="auto"/>
            </w:tcBorders>
          </w:tcPr>
          <w:p w14:paraId="385609CB" w14:textId="77777777" w:rsidR="00501D3A" w:rsidRPr="00030A61" w:rsidRDefault="00501D3A" w:rsidP="00501D3A">
            <w:pPr>
              <w:pStyle w:val="Tabletext"/>
              <w:ind w:left="0" w:right="0"/>
              <w:rPr>
                <w:b w:val="0"/>
                <w:sz w:val="18"/>
              </w:rPr>
            </w:pPr>
            <w:r w:rsidRPr="00030A61">
              <w:rPr>
                <w:sz w:val="18"/>
              </w:rPr>
              <w:t>Risk Minimisation</w:t>
            </w:r>
          </w:p>
        </w:tc>
      </w:tr>
      <w:tr w:rsidR="00501D3A" w:rsidRPr="00030A61" w14:paraId="412C394A" w14:textId="77777777" w:rsidTr="00904D23">
        <w:trPr>
          <w:trHeight w:val="150"/>
        </w:trPr>
        <w:tc>
          <w:tcPr>
            <w:tcW w:w="4938" w:type="dxa"/>
            <w:gridSpan w:val="2"/>
            <w:vMerge/>
            <w:tcBorders>
              <w:top w:val="single" w:sz="4" w:space="0" w:color="auto"/>
              <w:left w:val="single" w:sz="4" w:space="0" w:color="auto"/>
              <w:bottom w:val="single" w:sz="4" w:space="0" w:color="auto"/>
              <w:right w:val="single" w:sz="4" w:space="0" w:color="auto"/>
            </w:tcBorders>
          </w:tcPr>
          <w:p w14:paraId="59409CB8" w14:textId="77777777" w:rsidR="00501D3A" w:rsidRPr="00030A61" w:rsidRDefault="00501D3A" w:rsidP="00501D3A">
            <w:pPr>
              <w:pStyle w:val="Tabletext"/>
              <w:ind w:left="0" w:right="0"/>
              <w:rPr>
                <w:b/>
              </w:rPr>
            </w:pPr>
          </w:p>
        </w:tc>
        <w:tc>
          <w:tcPr>
            <w:tcW w:w="916" w:type="dxa"/>
            <w:tcBorders>
              <w:top w:val="single" w:sz="4" w:space="0" w:color="auto"/>
              <w:left w:val="single" w:sz="4" w:space="0" w:color="auto"/>
              <w:bottom w:val="single" w:sz="4" w:space="0" w:color="auto"/>
              <w:right w:val="single" w:sz="4" w:space="0" w:color="auto"/>
            </w:tcBorders>
            <w:shd w:val="clear" w:color="auto" w:fill="006DA7"/>
          </w:tcPr>
          <w:p w14:paraId="1EC93203" w14:textId="77777777" w:rsidR="00501D3A" w:rsidRPr="00904D23" w:rsidRDefault="00501D3A" w:rsidP="00501D3A">
            <w:pPr>
              <w:pStyle w:val="Tabletext"/>
              <w:ind w:left="0" w:right="0"/>
              <w:rPr>
                <w:color w:val="FFFFFF" w:themeColor="background1"/>
                <w:sz w:val="18"/>
              </w:rPr>
            </w:pPr>
            <w:r w:rsidRPr="00904D23">
              <w:rPr>
                <w:color w:val="FFFFFF" w:themeColor="background1"/>
                <w:sz w:val="18"/>
              </w:rPr>
              <w:t>Routine</w:t>
            </w:r>
          </w:p>
        </w:tc>
        <w:tc>
          <w:tcPr>
            <w:tcW w:w="0" w:type="auto"/>
            <w:tcBorders>
              <w:top w:val="single" w:sz="4" w:space="0" w:color="auto"/>
              <w:left w:val="single" w:sz="4" w:space="0" w:color="auto"/>
              <w:bottom w:val="single" w:sz="4" w:space="0" w:color="auto"/>
              <w:right w:val="single" w:sz="4" w:space="0" w:color="auto"/>
            </w:tcBorders>
            <w:shd w:val="clear" w:color="auto" w:fill="006DA7"/>
          </w:tcPr>
          <w:p w14:paraId="27905789" w14:textId="77777777" w:rsidR="00501D3A" w:rsidRPr="00904D23" w:rsidRDefault="00501D3A" w:rsidP="00501D3A">
            <w:pPr>
              <w:pStyle w:val="Tabletext"/>
              <w:ind w:left="0" w:right="0"/>
              <w:rPr>
                <w:color w:val="FFFFFF" w:themeColor="background1"/>
                <w:sz w:val="18"/>
              </w:rPr>
            </w:pPr>
            <w:r w:rsidRPr="00904D23">
              <w:rPr>
                <w:color w:val="FFFFFF" w:themeColor="background1"/>
                <w:sz w:val="18"/>
              </w:rPr>
              <w:t>Additional</w:t>
            </w:r>
          </w:p>
        </w:tc>
        <w:tc>
          <w:tcPr>
            <w:tcW w:w="0" w:type="auto"/>
            <w:tcBorders>
              <w:top w:val="single" w:sz="4" w:space="0" w:color="auto"/>
              <w:left w:val="single" w:sz="4" w:space="0" w:color="auto"/>
              <w:bottom w:val="single" w:sz="4" w:space="0" w:color="auto"/>
              <w:right w:val="single" w:sz="4" w:space="0" w:color="auto"/>
            </w:tcBorders>
            <w:shd w:val="clear" w:color="auto" w:fill="006DA7"/>
          </w:tcPr>
          <w:p w14:paraId="677AF051" w14:textId="77777777" w:rsidR="00501D3A" w:rsidRPr="00904D23" w:rsidRDefault="00501D3A" w:rsidP="00501D3A">
            <w:pPr>
              <w:pStyle w:val="Tabletext"/>
              <w:ind w:left="0" w:right="0"/>
              <w:rPr>
                <w:color w:val="FFFFFF" w:themeColor="background1"/>
                <w:sz w:val="18"/>
              </w:rPr>
            </w:pPr>
            <w:r w:rsidRPr="00904D23">
              <w:rPr>
                <w:color w:val="FFFFFF" w:themeColor="background1"/>
                <w:sz w:val="18"/>
              </w:rPr>
              <w:t>Routine</w:t>
            </w:r>
          </w:p>
        </w:tc>
        <w:tc>
          <w:tcPr>
            <w:tcW w:w="0" w:type="auto"/>
            <w:tcBorders>
              <w:top w:val="single" w:sz="4" w:space="0" w:color="auto"/>
              <w:left w:val="single" w:sz="4" w:space="0" w:color="auto"/>
              <w:bottom w:val="single" w:sz="4" w:space="0" w:color="auto"/>
              <w:right w:val="single" w:sz="4" w:space="0" w:color="auto"/>
            </w:tcBorders>
            <w:shd w:val="clear" w:color="auto" w:fill="006DA7"/>
          </w:tcPr>
          <w:p w14:paraId="7262538D" w14:textId="77777777" w:rsidR="00501D3A" w:rsidRPr="00904D23" w:rsidRDefault="00501D3A" w:rsidP="00501D3A">
            <w:pPr>
              <w:pStyle w:val="Tabletext"/>
              <w:ind w:left="0" w:right="0"/>
              <w:rPr>
                <w:color w:val="FFFFFF" w:themeColor="background1"/>
                <w:sz w:val="18"/>
              </w:rPr>
            </w:pPr>
            <w:r w:rsidRPr="00904D23">
              <w:rPr>
                <w:color w:val="FFFFFF" w:themeColor="background1"/>
                <w:sz w:val="18"/>
              </w:rPr>
              <w:t>Additional</w:t>
            </w:r>
          </w:p>
        </w:tc>
      </w:tr>
      <w:tr w:rsidR="00501D3A" w:rsidRPr="00030A61" w14:paraId="4924EEE8" w14:textId="77777777" w:rsidTr="00904D23">
        <w:trPr>
          <w:trHeight w:val="862"/>
        </w:trPr>
        <w:tc>
          <w:tcPr>
            <w:tcW w:w="1373" w:type="dxa"/>
            <w:tcBorders>
              <w:top w:val="single" w:sz="4" w:space="0" w:color="auto"/>
            </w:tcBorders>
          </w:tcPr>
          <w:p w14:paraId="589EA978" w14:textId="77777777" w:rsidR="00501D3A" w:rsidRPr="00030A61" w:rsidRDefault="00501D3A" w:rsidP="00501D3A">
            <w:pPr>
              <w:pStyle w:val="Tabletext"/>
              <w:ind w:left="0" w:right="0"/>
              <w:rPr>
                <w:b/>
              </w:rPr>
            </w:pPr>
            <w:r w:rsidRPr="00030A61">
              <w:rPr>
                <w:b/>
              </w:rPr>
              <w:t>Important identified risks</w:t>
            </w:r>
          </w:p>
        </w:tc>
        <w:tc>
          <w:tcPr>
            <w:tcW w:w="3565" w:type="dxa"/>
            <w:tcBorders>
              <w:top w:val="single" w:sz="4" w:space="0" w:color="auto"/>
            </w:tcBorders>
          </w:tcPr>
          <w:p w14:paraId="59D83569" w14:textId="77777777" w:rsidR="00501D3A" w:rsidRPr="00030A61" w:rsidRDefault="00501D3A" w:rsidP="00501D3A">
            <w:pPr>
              <w:pStyle w:val="Tabletext"/>
              <w:ind w:left="0" w:right="0"/>
            </w:pPr>
            <w:r w:rsidRPr="00030A61">
              <w:t xml:space="preserve">Infusion associated reactions including hypersensitivity and anaphylactic reactions, with or without development of IgG and </w:t>
            </w:r>
            <w:proofErr w:type="spellStart"/>
            <w:r w:rsidRPr="00030A61">
              <w:t>IgE</w:t>
            </w:r>
            <w:proofErr w:type="spellEnd"/>
            <w:r w:rsidRPr="00030A61">
              <w:t xml:space="preserve"> antibodies</w:t>
            </w:r>
          </w:p>
        </w:tc>
        <w:tc>
          <w:tcPr>
            <w:tcW w:w="916" w:type="dxa"/>
            <w:tcBorders>
              <w:top w:val="single" w:sz="4" w:space="0" w:color="auto"/>
            </w:tcBorders>
          </w:tcPr>
          <w:p w14:paraId="5685EEA9" w14:textId="77777777" w:rsidR="00501D3A" w:rsidRPr="00030A61" w:rsidRDefault="00501D3A" w:rsidP="00501D3A">
            <w:pPr>
              <w:pStyle w:val="Tabletext"/>
              <w:ind w:left="0" w:right="0"/>
              <w:jc w:val="center"/>
              <w:rPr>
                <w:vertAlign w:val="superscript"/>
              </w:rPr>
            </w:pPr>
            <w:r w:rsidRPr="00030A61">
              <w:rPr>
                <w:rFonts w:ascii="Wingdings" w:eastAsia="Wingdings" w:hAnsi="Wingdings" w:cs="Wingdings"/>
              </w:rPr>
              <w:t></w:t>
            </w:r>
            <w:r w:rsidRPr="00030A61">
              <w:rPr>
                <w:vertAlign w:val="superscript"/>
              </w:rPr>
              <w:t>3</w:t>
            </w:r>
          </w:p>
        </w:tc>
        <w:tc>
          <w:tcPr>
            <w:tcW w:w="0" w:type="auto"/>
            <w:tcBorders>
              <w:top w:val="single" w:sz="4" w:space="0" w:color="auto"/>
            </w:tcBorders>
          </w:tcPr>
          <w:p w14:paraId="6B21AA59" w14:textId="77777777" w:rsidR="00501D3A" w:rsidRPr="00030A61" w:rsidRDefault="00501D3A" w:rsidP="00501D3A">
            <w:pPr>
              <w:pStyle w:val="Tabletext"/>
              <w:ind w:left="0" w:right="0"/>
              <w:jc w:val="center"/>
              <w:rPr>
                <w:vertAlign w:val="superscript"/>
              </w:rPr>
            </w:pPr>
            <w:r w:rsidRPr="00030A61">
              <w:rPr>
                <w:rFonts w:ascii="Wingdings" w:eastAsia="Wingdings" w:hAnsi="Wingdings" w:cs="Wingdings"/>
              </w:rPr>
              <w:t></w:t>
            </w:r>
            <w:r w:rsidRPr="00030A61">
              <w:rPr>
                <w:vertAlign w:val="superscript"/>
              </w:rPr>
              <w:t>5,6</w:t>
            </w:r>
          </w:p>
        </w:tc>
        <w:tc>
          <w:tcPr>
            <w:tcW w:w="0" w:type="auto"/>
            <w:tcBorders>
              <w:top w:val="single" w:sz="4" w:space="0" w:color="auto"/>
            </w:tcBorders>
          </w:tcPr>
          <w:p w14:paraId="05911A30" w14:textId="77777777" w:rsidR="00501D3A" w:rsidRPr="00030A61" w:rsidRDefault="00501D3A" w:rsidP="00501D3A">
            <w:pPr>
              <w:pStyle w:val="Tabletext"/>
              <w:ind w:left="0" w:right="0"/>
              <w:jc w:val="center"/>
            </w:pPr>
            <w:r w:rsidRPr="00030A61">
              <w:rPr>
                <w:rFonts w:ascii="Wingdings" w:eastAsia="Wingdings" w:hAnsi="Wingdings" w:cs="Wingdings"/>
              </w:rPr>
              <w:t></w:t>
            </w:r>
          </w:p>
        </w:tc>
        <w:tc>
          <w:tcPr>
            <w:tcW w:w="0" w:type="auto"/>
            <w:tcBorders>
              <w:top w:val="single" w:sz="4" w:space="0" w:color="auto"/>
            </w:tcBorders>
          </w:tcPr>
          <w:p w14:paraId="2AA64EAC" w14:textId="77777777" w:rsidR="00501D3A" w:rsidRPr="00030A61" w:rsidRDefault="00501D3A" w:rsidP="00501D3A">
            <w:pPr>
              <w:pStyle w:val="Tabletext"/>
              <w:ind w:left="0" w:right="0"/>
              <w:jc w:val="center"/>
              <w:rPr>
                <w:vertAlign w:val="superscript"/>
              </w:rPr>
            </w:pPr>
            <w:r w:rsidRPr="00030A61">
              <w:rPr>
                <w:rFonts w:ascii="Wingdings" w:eastAsia="Wingdings" w:hAnsi="Wingdings" w:cs="Wingdings"/>
              </w:rPr>
              <w:t></w:t>
            </w:r>
            <w:r w:rsidRPr="00030A61">
              <w:rPr>
                <w:vertAlign w:val="superscript"/>
              </w:rPr>
              <w:t>10</w:t>
            </w:r>
          </w:p>
        </w:tc>
      </w:tr>
      <w:tr w:rsidR="00501D3A" w:rsidRPr="00030A61" w14:paraId="2F6C1FD4" w14:textId="77777777" w:rsidTr="00501D3A">
        <w:trPr>
          <w:trHeight w:val="889"/>
        </w:trPr>
        <w:tc>
          <w:tcPr>
            <w:tcW w:w="1373" w:type="dxa"/>
            <w:vMerge w:val="restart"/>
          </w:tcPr>
          <w:p w14:paraId="28EE0CA1" w14:textId="77777777" w:rsidR="00501D3A" w:rsidRPr="00030A61" w:rsidRDefault="00501D3A" w:rsidP="00501D3A">
            <w:pPr>
              <w:pStyle w:val="Tabletext"/>
              <w:ind w:left="0" w:right="0"/>
              <w:rPr>
                <w:b/>
              </w:rPr>
            </w:pPr>
            <w:r w:rsidRPr="00030A61">
              <w:rPr>
                <w:b/>
              </w:rPr>
              <w:t>Important potential risks</w:t>
            </w:r>
          </w:p>
        </w:tc>
        <w:tc>
          <w:tcPr>
            <w:tcW w:w="3565" w:type="dxa"/>
          </w:tcPr>
          <w:p w14:paraId="4F6747DE" w14:textId="0A3840FE" w:rsidR="00501D3A" w:rsidRPr="00030A61" w:rsidRDefault="00501D3A" w:rsidP="00501D3A">
            <w:pPr>
              <w:pStyle w:val="Tabletext"/>
              <w:ind w:left="0" w:right="0"/>
            </w:pPr>
            <w:r w:rsidRPr="00030A61">
              <w:t>Immunogenicit</w:t>
            </w:r>
            <w:r w:rsidR="009C1786">
              <w:t>y leading to loss of response (high sustained IgG a</w:t>
            </w:r>
            <w:r w:rsidRPr="00030A61">
              <w:t xml:space="preserve">ntibody </w:t>
            </w:r>
            <w:r w:rsidR="009C1786">
              <w:t>t</w:t>
            </w:r>
            <w:r w:rsidR="009C1786" w:rsidRPr="00030A61">
              <w:t>itres</w:t>
            </w:r>
            <w:r w:rsidR="009C1786">
              <w:t xml:space="preserve"> and/or neutralis</w:t>
            </w:r>
            <w:r w:rsidRPr="00030A61">
              <w:t>ing antibodies)</w:t>
            </w:r>
          </w:p>
        </w:tc>
        <w:tc>
          <w:tcPr>
            <w:tcW w:w="916" w:type="dxa"/>
          </w:tcPr>
          <w:p w14:paraId="483CDF26" w14:textId="77777777" w:rsidR="00501D3A" w:rsidRPr="00030A61" w:rsidRDefault="00501D3A" w:rsidP="00501D3A">
            <w:pPr>
              <w:pStyle w:val="Tabletext"/>
              <w:ind w:left="0" w:right="0"/>
              <w:jc w:val="center"/>
            </w:pPr>
            <w:r w:rsidRPr="00030A61">
              <w:rPr>
                <w:rFonts w:ascii="Wingdings" w:eastAsia="Wingdings" w:hAnsi="Wingdings" w:cs="Wingdings"/>
              </w:rPr>
              <w:t></w:t>
            </w:r>
          </w:p>
        </w:tc>
        <w:tc>
          <w:tcPr>
            <w:tcW w:w="0" w:type="auto"/>
          </w:tcPr>
          <w:p w14:paraId="624983ED" w14:textId="77777777" w:rsidR="00501D3A" w:rsidRPr="00030A61" w:rsidRDefault="00501D3A" w:rsidP="00501D3A">
            <w:pPr>
              <w:pStyle w:val="Tabletext"/>
              <w:ind w:left="0" w:right="0"/>
              <w:jc w:val="center"/>
            </w:pPr>
            <w:r w:rsidRPr="00030A61">
              <w:rPr>
                <w:rFonts w:ascii="Wingdings" w:eastAsia="Wingdings" w:hAnsi="Wingdings" w:cs="Wingdings"/>
              </w:rPr>
              <w:t></w:t>
            </w:r>
            <w:r w:rsidRPr="00030A61">
              <w:rPr>
                <w:vertAlign w:val="superscript"/>
              </w:rPr>
              <w:t>5</w:t>
            </w:r>
          </w:p>
        </w:tc>
        <w:tc>
          <w:tcPr>
            <w:tcW w:w="0" w:type="auto"/>
          </w:tcPr>
          <w:p w14:paraId="3957141C" w14:textId="77777777" w:rsidR="00501D3A" w:rsidRPr="00030A61" w:rsidRDefault="00501D3A" w:rsidP="00501D3A">
            <w:pPr>
              <w:pStyle w:val="Tabletext"/>
              <w:ind w:left="0" w:right="0"/>
              <w:jc w:val="center"/>
            </w:pPr>
            <w:r w:rsidRPr="00030A61">
              <w:rPr>
                <w:rFonts w:ascii="Wingdings" w:eastAsia="Wingdings" w:hAnsi="Wingdings" w:cs="Wingdings"/>
              </w:rPr>
              <w:t></w:t>
            </w:r>
          </w:p>
        </w:tc>
        <w:tc>
          <w:tcPr>
            <w:tcW w:w="0" w:type="auto"/>
          </w:tcPr>
          <w:p w14:paraId="5CAB370F" w14:textId="77777777" w:rsidR="00501D3A" w:rsidRPr="00030A61" w:rsidRDefault="00501D3A" w:rsidP="00501D3A">
            <w:pPr>
              <w:pStyle w:val="Tabletext"/>
              <w:ind w:left="0" w:right="0"/>
              <w:jc w:val="center"/>
            </w:pPr>
            <w:r w:rsidRPr="00030A61">
              <w:rPr>
                <w:rFonts w:ascii="Wingdings" w:eastAsia="Wingdings" w:hAnsi="Wingdings" w:cs="Wingdings"/>
              </w:rPr>
              <w:t></w:t>
            </w:r>
            <w:r w:rsidRPr="00030A61">
              <w:rPr>
                <w:vertAlign w:val="superscript"/>
              </w:rPr>
              <w:t>11</w:t>
            </w:r>
          </w:p>
        </w:tc>
      </w:tr>
      <w:tr w:rsidR="00501D3A" w:rsidRPr="00030A61" w14:paraId="3E7EB3A2" w14:textId="77777777" w:rsidTr="00501D3A">
        <w:trPr>
          <w:trHeight w:val="287"/>
        </w:trPr>
        <w:tc>
          <w:tcPr>
            <w:tcW w:w="1373" w:type="dxa"/>
            <w:vMerge/>
          </w:tcPr>
          <w:p w14:paraId="620DD8A3" w14:textId="77777777" w:rsidR="00501D3A" w:rsidRPr="00030A61" w:rsidRDefault="00501D3A" w:rsidP="00501D3A">
            <w:pPr>
              <w:pStyle w:val="Tabletext"/>
              <w:ind w:left="0" w:right="0"/>
              <w:rPr>
                <w:b/>
              </w:rPr>
            </w:pPr>
          </w:p>
        </w:tc>
        <w:tc>
          <w:tcPr>
            <w:tcW w:w="3565" w:type="dxa"/>
          </w:tcPr>
          <w:p w14:paraId="483CD023" w14:textId="77777777" w:rsidR="00501D3A" w:rsidRPr="00030A61" w:rsidRDefault="00501D3A" w:rsidP="00501D3A">
            <w:pPr>
              <w:pStyle w:val="Tabletext"/>
              <w:ind w:left="0" w:right="0"/>
              <w:rPr>
                <w:vertAlign w:val="superscript"/>
              </w:rPr>
            </w:pPr>
            <w:r w:rsidRPr="00030A61">
              <w:t xml:space="preserve">Medication errors in the home infusion setting </w:t>
            </w:r>
            <w:r w:rsidRPr="00030A61">
              <w:rPr>
                <w:vertAlign w:val="superscript"/>
              </w:rPr>
              <w:t>1</w:t>
            </w:r>
          </w:p>
        </w:tc>
        <w:tc>
          <w:tcPr>
            <w:tcW w:w="916" w:type="dxa"/>
          </w:tcPr>
          <w:p w14:paraId="6009B045" w14:textId="77777777" w:rsidR="00501D3A" w:rsidRPr="00030A61" w:rsidRDefault="00501D3A" w:rsidP="00501D3A">
            <w:pPr>
              <w:pStyle w:val="Tabletext"/>
              <w:ind w:left="0" w:right="0"/>
              <w:jc w:val="center"/>
            </w:pPr>
            <w:r w:rsidRPr="00030A61">
              <w:rPr>
                <w:rFonts w:ascii="Wingdings" w:eastAsia="Wingdings" w:hAnsi="Wingdings" w:cs="Wingdings"/>
              </w:rPr>
              <w:t></w:t>
            </w:r>
          </w:p>
        </w:tc>
        <w:tc>
          <w:tcPr>
            <w:tcW w:w="0" w:type="auto"/>
          </w:tcPr>
          <w:p w14:paraId="6EBC33EF" w14:textId="77777777" w:rsidR="00501D3A" w:rsidRPr="00030A61" w:rsidRDefault="00501D3A" w:rsidP="00501D3A">
            <w:pPr>
              <w:pStyle w:val="Tabletext"/>
              <w:ind w:left="0" w:right="0"/>
              <w:jc w:val="center"/>
            </w:pPr>
            <w:r w:rsidRPr="00030A61">
              <w:rPr>
                <w:rFonts w:ascii="Wingdings" w:eastAsia="Wingdings" w:hAnsi="Wingdings" w:cs="Wingdings"/>
              </w:rPr>
              <w:t></w:t>
            </w:r>
            <w:r w:rsidRPr="00030A61">
              <w:rPr>
                <w:vertAlign w:val="superscript"/>
              </w:rPr>
              <w:t>5,6</w:t>
            </w:r>
          </w:p>
        </w:tc>
        <w:tc>
          <w:tcPr>
            <w:tcW w:w="0" w:type="auto"/>
          </w:tcPr>
          <w:p w14:paraId="4521551B" w14:textId="77777777" w:rsidR="00501D3A" w:rsidRPr="00030A61" w:rsidRDefault="00501D3A" w:rsidP="00501D3A">
            <w:pPr>
              <w:pStyle w:val="Tabletext"/>
              <w:ind w:left="0" w:right="0"/>
              <w:jc w:val="center"/>
            </w:pPr>
            <w:r w:rsidRPr="00030A61">
              <w:rPr>
                <w:rFonts w:ascii="Wingdings" w:eastAsia="Wingdings" w:hAnsi="Wingdings" w:cs="Wingdings"/>
              </w:rPr>
              <w:t></w:t>
            </w:r>
          </w:p>
        </w:tc>
        <w:tc>
          <w:tcPr>
            <w:tcW w:w="0" w:type="auto"/>
          </w:tcPr>
          <w:p w14:paraId="2ACABB43" w14:textId="77777777" w:rsidR="00501D3A" w:rsidRPr="00030A61" w:rsidRDefault="00501D3A" w:rsidP="00501D3A">
            <w:pPr>
              <w:pStyle w:val="Tabletext"/>
              <w:ind w:left="0" w:right="0"/>
              <w:jc w:val="center"/>
            </w:pPr>
            <w:r w:rsidRPr="00030A61">
              <w:rPr>
                <w:rFonts w:ascii="Wingdings" w:eastAsia="Wingdings" w:hAnsi="Wingdings" w:cs="Wingdings"/>
              </w:rPr>
              <w:t></w:t>
            </w:r>
            <w:r w:rsidRPr="00030A61">
              <w:rPr>
                <w:vertAlign w:val="superscript"/>
              </w:rPr>
              <w:t>12</w:t>
            </w:r>
          </w:p>
        </w:tc>
      </w:tr>
      <w:tr w:rsidR="00501D3A" w:rsidRPr="00030A61" w14:paraId="7E482555" w14:textId="77777777" w:rsidTr="00501D3A">
        <w:trPr>
          <w:trHeight w:val="386"/>
        </w:trPr>
        <w:tc>
          <w:tcPr>
            <w:tcW w:w="1373" w:type="dxa"/>
            <w:vMerge/>
          </w:tcPr>
          <w:p w14:paraId="1DBE33D5" w14:textId="77777777" w:rsidR="00501D3A" w:rsidRPr="00030A61" w:rsidRDefault="00501D3A" w:rsidP="00501D3A">
            <w:pPr>
              <w:pStyle w:val="Tabletext"/>
              <w:ind w:left="0" w:right="0"/>
              <w:rPr>
                <w:b/>
              </w:rPr>
            </w:pPr>
            <w:bookmarkStart w:id="59" w:name="_Hlk81388336"/>
          </w:p>
        </w:tc>
        <w:tc>
          <w:tcPr>
            <w:tcW w:w="3565" w:type="dxa"/>
          </w:tcPr>
          <w:p w14:paraId="24D72E06" w14:textId="77777777" w:rsidR="00501D3A" w:rsidRPr="00030A61" w:rsidRDefault="00501D3A" w:rsidP="00501D3A">
            <w:pPr>
              <w:pStyle w:val="Tabletext"/>
              <w:ind w:left="0" w:right="0"/>
              <w:rPr>
                <w:vertAlign w:val="superscript"/>
              </w:rPr>
            </w:pPr>
            <w:r w:rsidRPr="00030A61">
              <w:t xml:space="preserve">Immune complex related reactions </w:t>
            </w:r>
            <w:r w:rsidRPr="00030A61">
              <w:rPr>
                <w:vertAlign w:val="superscript"/>
              </w:rPr>
              <w:t>1</w:t>
            </w:r>
          </w:p>
        </w:tc>
        <w:tc>
          <w:tcPr>
            <w:tcW w:w="916" w:type="dxa"/>
          </w:tcPr>
          <w:p w14:paraId="6E0D6622" w14:textId="77777777" w:rsidR="00501D3A" w:rsidRPr="00030A61" w:rsidRDefault="00501D3A" w:rsidP="00501D3A">
            <w:pPr>
              <w:pStyle w:val="Tabletext"/>
              <w:ind w:left="0" w:right="0"/>
              <w:jc w:val="center"/>
            </w:pPr>
            <w:r w:rsidRPr="00030A61">
              <w:rPr>
                <w:rFonts w:ascii="Wingdings" w:eastAsia="Wingdings" w:hAnsi="Wingdings" w:cs="Wingdings"/>
              </w:rPr>
              <w:t></w:t>
            </w:r>
          </w:p>
        </w:tc>
        <w:tc>
          <w:tcPr>
            <w:tcW w:w="0" w:type="auto"/>
          </w:tcPr>
          <w:p w14:paraId="13140AE9" w14:textId="77777777" w:rsidR="00501D3A" w:rsidRPr="00030A61" w:rsidRDefault="00501D3A" w:rsidP="00501D3A">
            <w:pPr>
              <w:pStyle w:val="Tabletext"/>
              <w:ind w:left="0" w:right="0"/>
              <w:jc w:val="center"/>
            </w:pPr>
            <w:r w:rsidRPr="00030A61">
              <w:rPr>
                <w:rFonts w:ascii="Wingdings" w:eastAsia="Wingdings" w:hAnsi="Wingdings" w:cs="Wingdings"/>
              </w:rPr>
              <w:t></w:t>
            </w:r>
            <w:r w:rsidRPr="00030A61">
              <w:rPr>
                <w:vertAlign w:val="superscript"/>
              </w:rPr>
              <w:t>5</w:t>
            </w:r>
          </w:p>
        </w:tc>
        <w:tc>
          <w:tcPr>
            <w:tcW w:w="0" w:type="auto"/>
          </w:tcPr>
          <w:p w14:paraId="02F33722" w14:textId="77777777" w:rsidR="00501D3A" w:rsidRPr="00030A61" w:rsidRDefault="00501D3A" w:rsidP="00501D3A">
            <w:pPr>
              <w:pStyle w:val="Tabletext"/>
              <w:ind w:left="0" w:right="0"/>
              <w:jc w:val="center"/>
            </w:pPr>
            <w:r w:rsidRPr="00030A61">
              <w:t>–</w:t>
            </w:r>
          </w:p>
        </w:tc>
        <w:tc>
          <w:tcPr>
            <w:tcW w:w="0" w:type="auto"/>
          </w:tcPr>
          <w:p w14:paraId="4796C674" w14:textId="77777777" w:rsidR="00501D3A" w:rsidRPr="00030A61" w:rsidRDefault="00501D3A" w:rsidP="00501D3A">
            <w:pPr>
              <w:pStyle w:val="Tabletext"/>
              <w:ind w:left="0" w:right="0"/>
              <w:jc w:val="center"/>
            </w:pPr>
            <w:r w:rsidRPr="00030A61">
              <w:t>–</w:t>
            </w:r>
          </w:p>
        </w:tc>
      </w:tr>
      <w:tr w:rsidR="00501D3A" w:rsidRPr="00030A61" w14:paraId="4E134EFA" w14:textId="77777777" w:rsidTr="00501D3A">
        <w:trPr>
          <w:cantSplit/>
          <w:trHeight w:val="185"/>
        </w:trPr>
        <w:tc>
          <w:tcPr>
            <w:tcW w:w="1373" w:type="dxa"/>
            <w:vMerge w:val="restart"/>
          </w:tcPr>
          <w:p w14:paraId="30CD32E1" w14:textId="77777777" w:rsidR="00501D3A" w:rsidRPr="00030A61" w:rsidRDefault="00501D3A" w:rsidP="00501D3A">
            <w:pPr>
              <w:pStyle w:val="Tabletext"/>
              <w:ind w:left="0" w:right="0"/>
              <w:rPr>
                <w:b/>
              </w:rPr>
            </w:pPr>
            <w:r w:rsidRPr="00030A61">
              <w:rPr>
                <w:b/>
              </w:rPr>
              <w:t>Missing information</w:t>
            </w:r>
          </w:p>
        </w:tc>
        <w:tc>
          <w:tcPr>
            <w:tcW w:w="3565" w:type="dxa"/>
          </w:tcPr>
          <w:p w14:paraId="4B25A519" w14:textId="77777777" w:rsidR="00501D3A" w:rsidRPr="00030A61" w:rsidRDefault="00501D3A" w:rsidP="00501D3A">
            <w:pPr>
              <w:pStyle w:val="Tabletext"/>
              <w:ind w:left="0" w:right="0"/>
            </w:pPr>
            <w:r w:rsidRPr="00030A61">
              <w:t>Use in pregnant and lactating women</w:t>
            </w:r>
          </w:p>
        </w:tc>
        <w:tc>
          <w:tcPr>
            <w:tcW w:w="916" w:type="dxa"/>
          </w:tcPr>
          <w:p w14:paraId="7E3B953B" w14:textId="77777777" w:rsidR="00501D3A" w:rsidRPr="00030A61" w:rsidRDefault="00501D3A" w:rsidP="00501D3A">
            <w:pPr>
              <w:pStyle w:val="Tabletext"/>
              <w:ind w:left="0" w:right="0"/>
              <w:jc w:val="center"/>
            </w:pPr>
            <w:r w:rsidRPr="00030A61">
              <w:rPr>
                <w:rFonts w:ascii="Wingdings" w:eastAsia="Wingdings" w:hAnsi="Wingdings" w:cs="Wingdings"/>
              </w:rPr>
              <w:t></w:t>
            </w:r>
            <w:r w:rsidRPr="00030A61">
              <w:rPr>
                <w:vertAlign w:val="superscript"/>
              </w:rPr>
              <w:t>4</w:t>
            </w:r>
          </w:p>
        </w:tc>
        <w:tc>
          <w:tcPr>
            <w:tcW w:w="0" w:type="auto"/>
          </w:tcPr>
          <w:p w14:paraId="4ED900E1" w14:textId="77777777" w:rsidR="00501D3A" w:rsidRPr="00030A61" w:rsidRDefault="00501D3A" w:rsidP="00501D3A">
            <w:pPr>
              <w:pStyle w:val="Tabletext"/>
              <w:ind w:left="0" w:right="0"/>
              <w:jc w:val="center"/>
            </w:pPr>
            <w:r w:rsidRPr="00030A61">
              <w:rPr>
                <w:rFonts w:ascii="Wingdings" w:eastAsia="Wingdings" w:hAnsi="Wingdings" w:cs="Wingdings"/>
              </w:rPr>
              <w:t></w:t>
            </w:r>
            <w:r w:rsidRPr="00030A61">
              <w:rPr>
                <w:vertAlign w:val="superscript"/>
              </w:rPr>
              <w:t>7</w:t>
            </w:r>
          </w:p>
        </w:tc>
        <w:tc>
          <w:tcPr>
            <w:tcW w:w="0" w:type="auto"/>
          </w:tcPr>
          <w:p w14:paraId="760388BC" w14:textId="77777777" w:rsidR="00501D3A" w:rsidRPr="00030A61" w:rsidRDefault="00501D3A" w:rsidP="00501D3A">
            <w:pPr>
              <w:pStyle w:val="Tabletext"/>
              <w:ind w:left="0" w:right="0"/>
              <w:jc w:val="center"/>
            </w:pPr>
            <w:r w:rsidRPr="00030A61">
              <w:rPr>
                <w:rFonts w:ascii="Wingdings" w:eastAsia="Wingdings" w:hAnsi="Wingdings" w:cs="Wingdings"/>
              </w:rPr>
              <w:t></w:t>
            </w:r>
          </w:p>
        </w:tc>
        <w:tc>
          <w:tcPr>
            <w:tcW w:w="0" w:type="auto"/>
          </w:tcPr>
          <w:p w14:paraId="00A17BB4" w14:textId="77777777" w:rsidR="00501D3A" w:rsidRPr="00030A61" w:rsidRDefault="00501D3A" w:rsidP="00501D3A">
            <w:pPr>
              <w:pStyle w:val="Tabletext"/>
              <w:ind w:left="0" w:right="0"/>
              <w:jc w:val="center"/>
            </w:pPr>
            <w:r w:rsidRPr="00030A61">
              <w:t>–</w:t>
            </w:r>
          </w:p>
        </w:tc>
      </w:tr>
      <w:bookmarkEnd w:id="59"/>
      <w:tr w:rsidR="00501D3A" w:rsidRPr="00030A61" w14:paraId="0E7606AF" w14:textId="77777777" w:rsidTr="00501D3A">
        <w:trPr>
          <w:cantSplit/>
          <w:trHeight w:val="567"/>
        </w:trPr>
        <w:tc>
          <w:tcPr>
            <w:tcW w:w="1373" w:type="dxa"/>
            <w:vMerge/>
          </w:tcPr>
          <w:p w14:paraId="55C9BB91" w14:textId="77777777" w:rsidR="00501D3A" w:rsidRPr="00030A61" w:rsidRDefault="00501D3A" w:rsidP="00501D3A">
            <w:pPr>
              <w:pStyle w:val="Tabletext"/>
              <w:ind w:left="0" w:right="0"/>
              <w:rPr>
                <w:b/>
              </w:rPr>
            </w:pPr>
          </w:p>
        </w:tc>
        <w:tc>
          <w:tcPr>
            <w:tcW w:w="3565" w:type="dxa"/>
          </w:tcPr>
          <w:p w14:paraId="372D7A73" w14:textId="77777777" w:rsidR="00501D3A" w:rsidRPr="00030A61" w:rsidRDefault="00501D3A" w:rsidP="00501D3A">
            <w:pPr>
              <w:pStyle w:val="Tabletext"/>
              <w:ind w:left="0" w:right="0"/>
              <w:rPr>
                <w:vertAlign w:val="superscript"/>
              </w:rPr>
            </w:pPr>
            <w:r w:rsidRPr="00030A61">
              <w:t xml:space="preserve">Use in patients with renal or hepatic insufficiency </w:t>
            </w:r>
            <w:r w:rsidRPr="00030A61">
              <w:rPr>
                <w:vertAlign w:val="superscript"/>
              </w:rPr>
              <w:t>1</w:t>
            </w:r>
          </w:p>
        </w:tc>
        <w:tc>
          <w:tcPr>
            <w:tcW w:w="916" w:type="dxa"/>
          </w:tcPr>
          <w:p w14:paraId="66BF6045" w14:textId="77777777" w:rsidR="00501D3A" w:rsidRPr="00030A61" w:rsidRDefault="00501D3A" w:rsidP="00501D3A">
            <w:pPr>
              <w:pStyle w:val="Tabletext"/>
              <w:ind w:left="0" w:right="0"/>
              <w:jc w:val="center"/>
            </w:pPr>
            <w:r w:rsidRPr="00030A61">
              <w:rPr>
                <w:rFonts w:ascii="Wingdings" w:eastAsia="Wingdings" w:hAnsi="Wingdings" w:cs="Wingdings"/>
              </w:rPr>
              <w:t></w:t>
            </w:r>
          </w:p>
        </w:tc>
        <w:tc>
          <w:tcPr>
            <w:tcW w:w="0" w:type="auto"/>
          </w:tcPr>
          <w:p w14:paraId="56DD36BE" w14:textId="77777777" w:rsidR="00501D3A" w:rsidRPr="00030A61" w:rsidRDefault="00501D3A" w:rsidP="00501D3A">
            <w:pPr>
              <w:pStyle w:val="Tabletext"/>
              <w:ind w:left="0" w:right="0"/>
              <w:jc w:val="center"/>
            </w:pPr>
            <w:r w:rsidRPr="00030A61">
              <w:rPr>
                <w:rFonts w:ascii="Wingdings" w:eastAsia="Wingdings" w:hAnsi="Wingdings" w:cs="Wingdings"/>
              </w:rPr>
              <w:t></w:t>
            </w:r>
            <w:r w:rsidRPr="00030A61">
              <w:rPr>
                <w:vertAlign w:val="superscript"/>
              </w:rPr>
              <w:t>8</w:t>
            </w:r>
          </w:p>
        </w:tc>
        <w:tc>
          <w:tcPr>
            <w:tcW w:w="0" w:type="auto"/>
          </w:tcPr>
          <w:p w14:paraId="7F8A04A4" w14:textId="77777777" w:rsidR="00501D3A" w:rsidRPr="00030A61" w:rsidRDefault="00501D3A" w:rsidP="00501D3A">
            <w:pPr>
              <w:pStyle w:val="Tabletext"/>
              <w:ind w:left="0" w:right="0"/>
              <w:jc w:val="center"/>
            </w:pPr>
            <w:r w:rsidRPr="00030A61">
              <w:rPr>
                <w:rFonts w:ascii="Wingdings" w:eastAsia="Wingdings" w:hAnsi="Wingdings" w:cs="Wingdings"/>
              </w:rPr>
              <w:t></w:t>
            </w:r>
          </w:p>
        </w:tc>
        <w:tc>
          <w:tcPr>
            <w:tcW w:w="0" w:type="auto"/>
          </w:tcPr>
          <w:p w14:paraId="6CE0FDD0" w14:textId="77777777" w:rsidR="00501D3A" w:rsidRPr="00030A61" w:rsidRDefault="00501D3A" w:rsidP="00501D3A">
            <w:pPr>
              <w:pStyle w:val="Tabletext"/>
              <w:ind w:left="0" w:right="0"/>
              <w:jc w:val="center"/>
            </w:pPr>
            <w:r w:rsidRPr="00030A61">
              <w:t>–</w:t>
            </w:r>
          </w:p>
        </w:tc>
      </w:tr>
      <w:tr w:rsidR="00501D3A" w:rsidRPr="00030A61" w14:paraId="1B9CFFF8" w14:textId="77777777" w:rsidTr="00501D3A">
        <w:trPr>
          <w:cantSplit/>
          <w:trHeight w:val="419"/>
        </w:trPr>
        <w:tc>
          <w:tcPr>
            <w:tcW w:w="1373" w:type="dxa"/>
            <w:vMerge/>
          </w:tcPr>
          <w:p w14:paraId="60EB0D43" w14:textId="77777777" w:rsidR="00501D3A" w:rsidRPr="00030A61" w:rsidRDefault="00501D3A" w:rsidP="00501D3A">
            <w:pPr>
              <w:pStyle w:val="Tabletext"/>
              <w:ind w:left="0" w:right="0"/>
              <w:rPr>
                <w:b/>
              </w:rPr>
            </w:pPr>
          </w:p>
        </w:tc>
        <w:tc>
          <w:tcPr>
            <w:tcW w:w="3565" w:type="dxa"/>
          </w:tcPr>
          <w:p w14:paraId="3468AB31" w14:textId="77777777" w:rsidR="00501D3A" w:rsidRPr="00030A61" w:rsidRDefault="00501D3A" w:rsidP="00501D3A">
            <w:pPr>
              <w:pStyle w:val="Tabletext"/>
              <w:ind w:left="0" w:right="0"/>
            </w:pPr>
            <w:r w:rsidRPr="00030A61">
              <w:t xml:space="preserve">Use in children below 6 months of age </w:t>
            </w:r>
            <w:r w:rsidRPr="00030A61">
              <w:rPr>
                <w:vertAlign w:val="superscript"/>
              </w:rPr>
              <w:t>2</w:t>
            </w:r>
          </w:p>
        </w:tc>
        <w:tc>
          <w:tcPr>
            <w:tcW w:w="916" w:type="dxa"/>
          </w:tcPr>
          <w:p w14:paraId="2E7C4733" w14:textId="77777777" w:rsidR="00501D3A" w:rsidRPr="00030A61" w:rsidRDefault="00501D3A" w:rsidP="00501D3A">
            <w:pPr>
              <w:pStyle w:val="Tabletext"/>
              <w:ind w:left="0" w:right="0"/>
              <w:jc w:val="center"/>
            </w:pPr>
            <w:r w:rsidRPr="00030A61">
              <w:rPr>
                <w:rFonts w:ascii="Wingdings" w:eastAsia="Wingdings" w:hAnsi="Wingdings" w:cs="Wingdings"/>
              </w:rPr>
              <w:t></w:t>
            </w:r>
          </w:p>
        </w:tc>
        <w:tc>
          <w:tcPr>
            <w:tcW w:w="0" w:type="auto"/>
          </w:tcPr>
          <w:p w14:paraId="70C4458B" w14:textId="77777777" w:rsidR="00501D3A" w:rsidRPr="00030A61" w:rsidRDefault="00501D3A" w:rsidP="00501D3A">
            <w:pPr>
              <w:pStyle w:val="Tabletext"/>
              <w:ind w:left="0" w:right="0"/>
              <w:jc w:val="center"/>
            </w:pPr>
            <w:r w:rsidRPr="00030A61">
              <w:rPr>
                <w:rFonts w:ascii="Wingdings" w:eastAsia="Wingdings" w:hAnsi="Wingdings" w:cs="Wingdings"/>
              </w:rPr>
              <w:t></w:t>
            </w:r>
            <w:r w:rsidRPr="00030A61">
              <w:rPr>
                <w:vertAlign w:val="superscript"/>
              </w:rPr>
              <w:t>9</w:t>
            </w:r>
          </w:p>
        </w:tc>
        <w:tc>
          <w:tcPr>
            <w:tcW w:w="0" w:type="auto"/>
          </w:tcPr>
          <w:p w14:paraId="34ACD36B" w14:textId="77777777" w:rsidR="00501D3A" w:rsidRPr="00030A61" w:rsidRDefault="00501D3A" w:rsidP="00501D3A">
            <w:pPr>
              <w:pStyle w:val="Tabletext"/>
              <w:ind w:left="0" w:right="0"/>
              <w:jc w:val="center"/>
            </w:pPr>
            <w:r w:rsidRPr="00030A61">
              <w:t>–</w:t>
            </w:r>
          </w:p>
        </w:tc>
        <w:tc>
          <w:tcPr>
            <w:tcW w:w="0" w:type="auto"/>
          </w:tcPr>
          <w:p w14:paraId="65377554" w14:textId="77777777" w:rsidR="00501D3A" w:rsidRPr="00030A61" w:rsidRDefault="00501D3A" w:rsidP="00501D3A">
            <w:pPr>
              <w:pStyle w:val="Tabletext"/>
              <w:ind w:left="0" w:right="0"/>
              <w:jc w:val="center"/>
            </w:pPr>
            <w:r w:rsidRPr="00030A61">
              <w:t>–</w:t>
            </w:r>
          </w:p>
        </w:tc>
      </w:tr>
    </w:tbl>
    <w:bookmarkEnd w:id="58"/>
    <w:p w14:paraId="32738D62" w14:textId="70276B07" w:rsidR="00501D3A" w:rsidRPr="00030A61" w:rsidRDefault="00501D3A" w:rsidP="00501D3A">
      <w:pPr>
        <w:pStyle w:val="TableDescription"/>
      </w:pPr>
      <w:r>
        <w:t xml:space="preserve">Abbreviations: </w:t>
      </w:r>
      <w:proofErr w:type="spellStart"/>
      <w:r w:rsidRPr="00030A61">
        <w:t>IgE</w:t>
      </w:r>
      <w:proofErr w:type="spellEnd"/>
      <w:r w:rsidRPr="00030A61">
        <w:t xml:space="preserve">: Immunoglobulin E; IgG: Immunoglobulin </w:t>
      </w:r>
      <w:proofErr w:type="gramStart"/>
      <w:r w:rsidRPr="00030A61">
        <w:t>G;</w:t>
      </w:r>
      <w:proofErr w:type="gramEnd"/>
      <w:r w:rsidRPr="00030A61">
        <w:t xml:space="preserve"> </w:t>
      </w:r>
    </w:p>
    <w:p w14:paraId="282AA787" w14:textId="470F7884" w:rsidR="00501D3A" w:rsidRPr="00030A61" w:rsidRDefault="00501D3A" w:rsidP="00501D3A">
      <w:pPr>
        <w:pStyle w:val="TableDescription"/>
      </w:pPr>
      <w:r w:rsidRPr="00030A61">
        <w:rPr>
          <w:vertAlign w:val="superscript"/>
        </w:rPr>
        <w:t xml:space="preserve">1 </w:t>
      </w:r>
      <w:r w:rsidRPr="00030A61">
        <w:t>Added at Round 3 in EU-RMP v1.2 and ASA v1.2.</w:t>
      </w:r>
    </w:p>
    <w:p w14:paraId="0769B16D" w14:textId="77777777" w:rsidR="00501D3A" w:rsidRPr="00030A61" w:rsidRDefault="00501D3A" w:rsidP="00501D3A">
      <w:pPr>
        <w:pStyle w:val="TableDescription"/>
        <w:rPr>
          <w:vertAlign w:val="superscript"/>
        </w:rPr>
      </w:pPr>
      <w:r w:rsidRPr="00030A61">
        <w:rPr>
          <w:vertAlign w:val="superscript"/>
        </w:rPr>
        <w:t xml:space="preserve">2 </w:t>
      </w:r>
      <w:r w:rsidRPr="00030A61">
        <w:t xml:space="preserve">Australia-specific safety </w:t>
      </w:r>
      <w:proofErr w:type="gramStart"/>
      <w:r w:rsidRPr="00030A61">
        <w:t>concern</w:t>
      </w:r>
      <w:proofErr w:type="gramEnd"/>
      <w:r w:rsidRPr="00030A61">
        <w:t xml:space="preserve"> added in ASA v1.2 (TGA request)</w:t>
      </w:r>
    </w:p>
    <w:p w14:paraId="7CC84BBB" w14:textId="77777777" w:rsidR="00501D3A" w:rsidRPr="00030A61" w:rsidRDefault="00501D3A" w:rsidP="00501D3A">
      <w:pPr>
        <w:pStyle w:val="TableDescription"/>
      </w:pPr>
      <w:r w:rsidRPr="00030A61">
        <w:rPr>
          <w:vertAlign w:val="superscript"/>
        </w:rPr>
        <w:t>3</w:t>
      </w:r>
      <w:r w:rsidRPr="00030A61">
        <w:t xml:space="preserve"> Targeted follow-up questionnaire – hypersensitivity reactions</w:t>
      </w:r>
    </w:p>
    <w:p w14:paraId="2B0E3A6C" w14:textId="77777777" w:rsidR="00501D3A" w:rsidRPr="00030A61" w:rsidRDefault="00501D3A" w:rsidP="00501D3A">
      <w:pPr>
        <w:pStyle w:val="TableDescription"/>
      </w:pPr>
      <w:r w:rsidRPr="00030A61">
        <w:rPr>
          <w:vertAlign w:val="superscript"/>
        </w:rPr>
        <w:t xml:space="preserve">4 </w:t>
      </w:r>
      <w:r w:rsidRPr="00030A61">
        <w:t>Targeted follow-up questionnaire – Pregnancy / Drug Exposure Via Parent (DEVP) Data Collection Form</w:t>
      </w:r>
    </w:p>
    <w:p w14:paraId="5BE413E1" w14:textId="77777777" w:rsidR="00501D3A" w:rsidRPr="00030A61" w:rsidRDefault="00501D3A" w:rsidP="00501D3A">
      <w:pPr>
        <w:pStyle w:val="TableDescription"/>
      </w:pPr>
      <w:r w:rsidRPr="00030A61">
        <w:rPr>
          <w:vertAlign w:val="superscript"/>
        </w:rPr>
        <w:t xml:space="preserve">5 </w:t>
      </w:r>
      <w:r w:rsidRPr="00030A61">
        <w:t>Clinical trials: ongoing LTS13769, EFC14028(COMET), ACT14132 (Mini-COMET); and planned EFC14462</w:t>
      </w:r>
    </w:p>
    <w:p w14:paraId="57DB85FD" w14:textId="77777777" w:rsidR="00501D3A" w:rsidRPr="00030A61" w:rsidRDefault="00501D3A" w:rsidP="00501D3A">
      <w:pPr>
        <w:pStyle w:val="TableDescription"/>
      </w:pPr>
      <w:r w:rsidRPr="00030A61">
        <w:rPr>
          <w:vertAlign w:val="superscript"/>
        </w:rPr>
        <w:t>6</w:t>
      </w:r>
      <w:r w:rsidRPr="00030A61">
        <w:t xml:space="preserve"> </w:t>
      </w:r>
      <w:proofErr w:type="gramStart"/>
      <w:r w:rsidRPr="00030A61">
        <w:t>Post-authorisation</w:t>
      </w:r>
      <w:proofErr w:type="gramEnd"/>
      <w:r w:rsidRPr="00030A61">
        <w:t xml:space="preserve"> safety study (PASS)</w:t>
      </w:r>
    </w:p>
    <w:p w14:paraId="1BB0204A" w14:textId="77777777" w:rsidR="00501D3A" w:rsidRPr="00030A61" w:rsidRDefault="00501D3A" w:rsidP="00501D3A">
      <w:pPr>
        <w:pStyle w:val="TableDescription"/>
      </w:pPr>
      <w:r w:rsidRPr="00030A61">
        <w:rPr>
          <w:vertAlign w:val="superscript"/>
        </w:rPr>
        <w:t>7</w:t>
      </w:r>
      <w:r w:rsidRPr="00030A61">
        <w:t xml:space="preserve"> AGLU03506 (Pompe Disease Pregnancy Sub-registry)</w:t>
      </w:r>
    </w:p>
    <w:p w14:paraId="4ED38781" w14:textId="77777777" w:rsidR="00501D3A" w:rsidRPr="00030A61" w:rsidRDefault="00501D3A" w:rsidP="00501D3A">
      <w:pPr>
        <w:pStyle w:val="TableDescription"/>
      </w:pPr>
      <w:r w:rsidRPr="00030A61">
        <w:rPr>
          <w:vertAlign w:val="superscript"/>
        </w:rPr>
        <w:t>8</w:t>
      </w:r>
      <w:r w:rsidRPr="00030A61">
        <w:t xml:space="preserve"> DIREGC07005 (Pompe Disease Registry)</w:t>
      </w:r>
    </w:p>
    <w:p w14:paraId="24024ACA" w14:textId="77777777" w:rsidR="00501D3A" w:rsidRPr="00030A61" w:rsidRDefault="00501D3A" w:rsidP="00501D3A">
      <w:pPr>
        <w:pStyle w:val="TableDescription"/>
      </w:pPr>
      <w:r w:rsidRPr="00030A61">
        <w:rPr>
          <w:vertAlign w:val="superscript"/>
        </w:rPr>
        <w:t>9</w:t>
      </w:r>
      <w:r w:rsidRPr="00030A61">
        <w:t xml:space="preserve"> EFC14462</w:t>
      </w:r>
    </w:p>
    <w:p w14:paraId="06FBE294" w14:textId="77777777" w:rsidR="00501D3A" w:rsidRPr="00030A61" w:rsidRDefault="00501D3A" w:rsidP="00501D3A">
      <w:pPr>
        <w:pStyle w:val="TableDescription"/>
      </w:pPr>
      <w:r w:rsidRPr="00030A61">
        <w:rPr>
          <w:vertAlign w:val="superscript"/>
        </w:rPr>
        <w:t>10</w:t>
      </w:r>
      <w:r w:rsidRPr="00030A61">
        <w:t xml:space="preserve"> Educational materials -HCP guide for immunosurveillance service, </w:t>
      </w:r>
      <w:proofErr w:type="gramStart"/>
      <w:r w:rsidRPr="00030A61">
        <w:t>Home</w:t>
      </w:r>
      <w:proofErr w:type="gramEnd"/>
      <w:r w:rsidRPr="00030A61">
        <w:t xml:space="preserve"> infusion guide</w:t>
      </w:r>
    </w:p>
    <w:p w14:paraId="08300E47" w14:textId="77777777" w:rsidR="00501D3A" w:rsidRPr="00030A61" w:rsidRDefault="00501D3A" w:rsidP="00501D3A">
      <w:pPr>
        <w:pStyle w:val="TableDescription"/>
      </w:pPr>
      <w:r w:rsidRPr="00030A61">
        <w:rPr>
          <w:vertAlign w:val="superscript"/>
        </w:rPr>
        <w:t>11</w:t>
      </w:r>
      <w:r w:rsidRPr="00030A61">
        <w:t xml:space="preserve"> Educational material -HCP guide for immunosurveillance service</w:t>
      </w:r>
    </w:p>
    <w:p w14:paraId="36A06A59" w14:textId="77777777" w:rsidR="00501D3A" w:rsidRPr="00030A61" w:rsidRDefault="00501D3A" w:rsidP="00501D3A">
      <w:pPr>
        <w:pStyle w:val="TableDescription"/>
      </w:pPr>
      <w:r w:rsidRPr="00030A61">
        <w:rPr>
          <w:vertAlign w:val="superscript"/>
        </w:rPr>
        <w:t xml:space="preserve">12 </w:t>
      </w:r>
      <w:r w:rsidRPr="00030A61">
        <w:t>Educational material – Home Infusion Guide</w:t>
      </w:r>
    </w:p>
    <w:p w14:paraId="0A6108D1" w14:textId="2C84624A" w:rsidR="00501D3A" w:rsidRDefault="00501D3A" w:rsidP="00501D3A">
      <w:r>
        <w:t xml:space="preserve">At the third round of evaluation, the summary of safety concerns in the RMP and ASA is considered acceptable. EU-RMP version 1.2 has been produced to address questions from EMA’s </w:t>
      </w:r>
      <w:r w:rsidRPr="00501D3A">
        <w:t>Committee for Medicinal Products for Human Use</w:t>
      </w:r>
      <w:r>
        <w:t xml:space="preserve"> (CHMP) and </w:t>
      </w:r>
      <w:r w:rsidRPr="00501D3A">
        <w:t>Pharmacovigilance Risk Assessment Committee</w:t>
      </w:r>
      <w:r>
        <w:t xml:space="preserve"> (PRAC) at an advanced stage (D</w:t>
      </w:r>
      <w:r w:rsidR="00DE263F">
        <w:t>ay 180</w:t>
      </w:r>
      <w:r>
        <w:t>)</w:t>
      </w:r>
      <w:r w:rsidR="00DE263F">
        <w:t>;</w:t>
      </w:r>
      <w:r w:rsidR="00DE263F">
        <w:rPr>
          <w:rStyle w:val="FootnoteReference"/>
        </w:rPr>
        <w:footnoteReference w:id="24"/>
      </w:r>
      <w:r>
        <w:t xml:space="preserve"> of the initial </w:t>
      </w:r>
      <w:r>
        <w:lastRenderedPageBreak/>
        <w:t xml:space="preserve">marketing authorisation application evaluation for avalglucosidase alfa (EMEA/H/C/005501); including addition of further safety concerns which also address earlier TGA requests (see </w:t>
      </w:r>
      <w:r w:rsidR="00DE263F">
        <w:fldChar w:fldCharType="begin"/>
      </w:r>
      <w:r w:rsidR="00DE263F">
        <w:instrText xml:space="preserve"> REF _Ref97629131 \h </w:instrText>
      </w:r>
      <w:r w:rsidR="00DE263F">
        <w:fldChar w:fldCharType="separate"/>
      </w:r>
      <w:r w:rsidR="00DE263F">
        <w:t xml:space="preserve">Table </w:t>
      </w:r>
      <w:r w:rsidR="00DE263F">
        <w:rPr>
          <w:noProof/>
        </w:rPr>
        <w:t>8</w:t>
      </w:r>
      <w:r w:rsidR="00DE263F">
        <w:fldChar w:fldCharType="end"/>
      </w:r>
      <w:r w:rsidR="00DE263F">
        <w:t xml:space="preserve"> </w:t>
      </w:r>
      <w:r>
        <w:t xml:space="preserve">above). On request, use in children below 6 months of age is included by sponsor in the ASA as Australia-specific missing information item for follow-up.  </w:t>
      </w:r>
    </w:p>
    <w:p w14:paraId="1C6936CA" w14:textId="77777777" w:rsidR="00DE263F" w:rsidRDefault="00501D3A" w:rsidP="00501D3A">
      <w:r>
        <w:t xml:space="preserve">Routine and additional pharmacovigilance activities are proposed. </w:t>
      </w:r>
      <w:r w:rsidR="00DE263F">
        <w:t xml:space="preserve">The </w:t>
      </w:r>
      <w:r>
        <w:t xml:space="preserve">EMA-required additional activities include three ongoing studies and one planned clinical study to further characterise risks associated with of Nexviazyme use. At </w:t>
      </w:r>
      <w:r w:rsidR="00DE263F">
        <w:t>the third round of RMP evaluation</w:t>
      </w:r>
      <w:r>
        <w:t xml:space="preserve">, a further three EMA-required activities are added in the </w:t>
      </w:r>
      <w:proofErr w:type="gramStart"/>
      <w:r>
        <w:t>RMP</w:t>
      </w:r>
      <w:proofErr w:type="gramEnd"/>
      <w:r>
        <w:t xml:space="preserve"> and all are in planning phase:</w:t>
      </w:r>
    </w:p>
    <w:p w14:paraId="01772E9B" w14:textId="18B1378B" w:rsidR="00DE263F" w:rsidRDefault="00501D3A" w:rsidP="00DE263F">
      <w:pPr>
        <w:pStyle w:val="Numberbullet0"/>
      </w:pPr>
      <w:r>
        <w:t xml:space="preserve">DIREGC07005 - Collection of data from the Pompe Disease Registry to provide assessment on the missing information </w:t>
      </w:r>
      <w:r w:rsidR="002B6B1B">
        <w:t>‘</w:t>
      </w:r>
      <w:r>
        <w:t xml:space="preserve">Use in patients with </w:t>
      </w:r>
      <w:r w:rsidR="00DE263F">
        <w:t>renal and hepatic insufficiency</w:t>
      </w:r>
      <w:proofErr w:type="gramStart"/>
      <w:r w:rsidR="002B6B1B">
        <w:t>’</w:t>
      </w:r>
      <w:r w:rsidR="00DE263F">
        <w:t>;</w:t>
      </w:r>
      <w:proofErr w:type="gramEnd"/>
    </w:p>
    <w:p w14:paraId="6557274C" w14:textId="14FE7487" w:rsidR="00DE263F" w:rsidRDefault="00501D3A" w:rsidP="00DE263F">
      <w:pPr>
        <w:pStyle w:val="Numberbullet0"/>
      </w:pPr>
      <w:r>
        <w:t>AGLU03506 - Use of Pregnancy sub-registry to provide further characterizat</w:t>
      </w:r>
      <w:r w:rsidR="00DE263F">
        <w:t>ion of the missing information ‘</w:t>
      </w:r>
      <w:r>
        <w:t xml:space="preserve">Use </w:t>
      </w:r>
      <w:r w:rsidR="00DE263F">
        <w:t>in pregnant and lactating women’;</w:t>
      </w:r>
      <w:r>
        <w:t xml:space="preserve"> and</w:t>
      </w:r>
    </w:p>
    <w:p w14:paraId="479BE456" w14:textId="6CFB8DEE" w:rsidR="00501D3A" w:rsidRDefault="00501D3A" w:rsidP="00DE263F">
      <w:pPr>
        <w:pStyle w:val="Numberbullet0"/>
      </w:pPr>
      <w:r>
        <w:t xml:space="preserve">Addition of a new Post-Authorisation Safety Study to </w:t>
      </w:r>
      <w:r w:rsidR="00DE263F">
        <w:t>further characterise the risks ‘</w:t>
      </w:r>
      <w:r>
        <w:t>Infusion associated reactions including hypersensitivity and anaphylactic reactio</w:t>
      </w:r>
      <w:r w:rsidR="00DE263F">
        <w:t>ns, with or without development’</w:t>
      </w:r>
      <w:r>
        <w:t xml:space="preserve">. The studies in EU-RMP are applicable to Australian use of Nexviazyme and all are included in the ASA. Should the results of these studies identify any new safety concerns, or change the status of existing safety concerns, the ASA will be updated with this information in the post-market setting. The pharmacovigilance plan is considered acceptable. </w:t>
      </w:r>
    </w:p>
    <w:p w14:paraId="1BE7C387" w14:textId="65F3406A" w:rsidR="00501D3A" w:rsidRDefault="00501D3A" w:rsidP="00501D3A">
      <w:r>
        <w:t>Routine risk minimisation activities are proposed. Pack insert for Nexviazyme will be identical to the PI and this is considered an appropriate measu</w:t>
      </w:r>
      <w:r w:rsidR="00DE263F">
        <w:t>re for injectable products. At the third round of RMP evaluation</w:t>
      </w:r>
      <w:r>
        <w:t xml:space="preserve">, educational programme for Nexviazyme is added into the EU-RMP and ASA consisting of following educational materials to minimise the important risks indicated in table above: </w:t>
      </w:r>
      <w:r w:rsidR="00DE263F">
        <w:t>A Healthcare Professional (HCP)</w:t>
      </w:r>
      <w:r>
        <w:t xml:space="preserve"> guide for immunosurveillance service</w:t>
      </w:r>
      <w:r w:rsidR="00DE263F">
        <w:t>,</w:t>
      </w:r>
      <w:r>
        <w:t xml:space="preserve"> and </w:t>
      </w:r>
      <w:r w:rsidR="00DE263F">
        <w:t xml:space="preserve">a </w:t>
      </w:r>
      <w:proofErr w:type="gramStart"/>
      <w:r>
        <w:t>Home</w:t>
      </w:r>
      <w:proofErr w:type="gramEnd"/>
      <w:r>
        <w:t xml:space="preserve"> infusion guide. The programme will be implemented in post-market setting and will be ongoing by sponsor from first use of Nexviazyme in Australia. Draft materials have been </w:t>
      </w:r>
      <w:proofErr w:type="gramStart"/>
      <w:r>
        <w:t>supplied, but</w:t>
      </w:r>
      <w:proofErr w:type="gramEnd"/>
      <w:r>
        <w:t xml:space="preserve"> are subject to final acceptance by TGA prior to use. The risk minimisation </w:t>
      </w:r>
      <w:r w:rsidR="00DE263F">
        <w:t>plan is considered acceptable.</w:t>
      </w:r>
    </w:p>
    <w:p w14:paraId="3FFB0650" w14:textId="265E81C5" w:rsidR="00DE263F" w:rsidRDefault="00DE263F" w:rsidP="00501D3A">
      <w:r w:rsidRPr="00DE263F">
        <w:t xml:space="preserve">Following acceptance of EU recommendations and earlier TGA RMP evaluation requests, sponsor commits to implement an </w:t>
      </w:r>
      <w:proofErr w:type="gramStart"/>
      <w:r w:rsidRPr="00DE263F">
        <w:t xml:space="preserve">educational </w:t>
      </w:r>
      <w:r w:rsidR="00727056">
        <w:t>materials</w:t>
      </w:r>
      <w:proofErr w:type="gramEnd"/>
      <w:r w:rsidR="00727056">
        <w:t xml:space="preserve"> </w:t>
      </w:r>
      <w:r w:rsidRPr="00DE263F">
        <w:t xml:space="preserve">to support </w:t>
      </w:r>
      <w:proofErr w:type="spellStart"/>
      <w:r w:rsidRPr="00DE263F">
        <w:t>Nexviazyme</w:t>
      </w:r>
      <w:proofErr w:type="spellEnd"/>
      <w:r w:rsidRPr="00DE263F">
        <w:t xml:space="preserve"> use. ASA v1.2 has been supplied as accompanying document to EU-RMP v1.2 to support the decision on product registration and this includes acceptable risk management strategies. Drafts of the Australian additional risk minimisation materials have also been supplied to the TGA as follows:</w:t>
      </w:r>
    </w:p>
    <w:p w14:paraId="089DFB1F" w14:textId="77777777" w:rsidR="00DE263F" w:rsidRPr="00DE263F" w:rsidRDefault="00DE263F" w:rsidP="00DE263F">
      <w:pPr>
        <w:pStyle w:val="ListBullet"/>
      </w:pPr>
      <w:r w:rsidRPr="00DE263F">
        <w:rPr>
          <w:i/>
        </w:rPr>
        <w:t>HCP guide for immunosurveillance service</w:t>
      </w:r>
      <w:r w:rsidRPr="00DE263F">
        <w:t xml:space="preserve"> (v1.0 10 August 2021), for management of the following safety concerns:</w:t>
      </w:r>
    </w:p>
    <w:p w14:paraId="2FB77EE6" w14:textId="597DF978" w:rsidR="00DE263F" w:rsidRPr="00030A61" w:rsidRDefault="00DE263F" w:rsidP="00DE263F">
      <w:pPr>
        <w:pStyle w:val="ListBullet2"/>
      </w:pPr>
      <w:r w:rsidRPr="00030A61">
        <w:t>Important identified risk</w:t>
      </w:r>
      <w:r>
        <w:t>:</w:t>
      </w:r>
      <w:r w:rsidRPr="00030A61">
        <w:t xml:space="preserve"> </w:t>
      </w:r>
      <w:r w:rsidRPr="00DE263F">
        <w:rPr>
          <w:i/>
        </w:rPr>
        <w:t xml:space="preserve">‘Infusion associated reactions including hypersensitivity and anaphylactic reactions, with or without development of IgG and </w:t>
      </w:r>
      <w:proofErr w:type="spellStart"/>
      <w:r w:rsidRPr="00DE263F">
        <w:rPr>
          <w:i/>
        </w:rPr>
        <w:t>IgE</w:t>
      </w:r>
      <w:proofErr w:type="spellEnd"/>
      <w:r w:rsidRPr="00DE263F">
        <w:rPr>
          <w:i/>
        </w:rPr>
        <w:t xml:space="preserve"> </w:t>
      </w:r>
      <w:proofErr w:type="gramStart"/>
      <w:r w:rsidRPr="00DE263F">
        <w:rPr>
          <w:i/>
        </w:rPr>
        <w:t>antibodies’</w:t>
      </w:r>
      <w:proofErr w:type="gramEnd"/>
      <w:r w:rsidRPr="00DE263F">
        <w:rPr>
          <w:i/>
        </w:rPr>
        <w:t>.</w:t>
      </w:r>
    </w:p>
    <w:p w14:paraId="2D8BFE98" w14:textId="4DA32F03" w:rsidR="00DE263F" w:rsidRPr="00030A61" w:rsidRDefault="00DE263F" w:rsidP="00DE263F">
      <w:pPr>
        <w:pStyle w:val="ListBullet2"/>
      </w:pPr>
      <w:r w:rsidRPr="00030A61">
        <w:t>Important potential risk</w:t>
      </w:r>
      <w:r>
        <w:t>:</w:t>
      </w:r>
      <w:r w:rsidRPr="00030A61">
        <w:t xml:space="preserve"> </w:t>
      </w:r>
      <w:r w:rsidRPr="00DE263F">
        <w:rPr>
          <w:i/>
        </w:rPr>
        <w:t xml:space="preserve">‘Immunogenicity leading to loss of response (High Sustained IgG Antibody Titres and/or neutralising </w:t>
      </w:r>
      <w:proofErr w:type="gramStart"/>
      <w:r w:rsidRPr="00DE263F">
        <w:rPr>
          <w:i/>
        </w:rPr>
        <w:t>antibodies’</w:t>
      </w:r>
      <w:proofErr w:type="gramEnd"/>
      <w:r w:rsidRPr="00DE263F">
        <w:rPr>
          <w:i/>
        </w:rPr>
        <w:t>.</w:t>
      </w:r>
    </w:p>
    <w:p w14:paraId="5E68925D" w14:textId="2DC02A4E" w:rsidR="00DE263F" w:rsidRPr="00030A61" w:rsidRDefault="00DE263F" w:rsidP="00DE263F">
      <w:pPr>
        <w:pStyle w:val="ListBullet"/>
      </w:pPr>
      <w:r w:rsidRPr="00030A61">
        <w:rPr>
          <w:i/>
          <w:iCs/>
        </w:rPr>
        <w:t>HCP Guide - Home infusion for Nexviazyme</w:t>
      </w:r>
      <w:r w:rsidRPr="00030A61">
        <w:t>, for management of the following safety concerns:</w:t>
      </w:r>
    </w:p>
    <w:p w14:paraId="6CC3E59B" w14:textId="37F2BD73" w:rsidR="00DE263F" w:rsidRPr="00030A61" w:rsidRDefault="00DE263F" w:rsidP="00DE263F">
      <w:pPr>
        <w:pStyle w:val="ListBullet2"/>
      </w:pPr>
      <w:r>
        <w:t xml:space="preserve">Important identified risk: </w:t>
      </w:r>
      <w:r w:rsidRPr="00DE263F">
        <w:rPr>
          <w:i/>
        </w:rPr>
        <w:t xml:space="preserve">‘Infusion associated reactions including hypersensitivity and anaphylactic reactions, with or without development of IgG and </w:t>
      </w:r>
      <w:proofErr w:type="spellStart"/>
      <w:r w:rsidRPr="00DE263F">
        <w:rPr>
          <w:i/>
        </w:rPr>
        <w:t>IgE</w:t>
      </w:r>
      <w:proofErr w:type="spellEnd"/>
      <w:r w:rsidRPr="00DE263F">
        <w:rPr>
          <w:i/>
        </w:rPr>
        <w:t xml:space="preserve"> </w:t>
      </w:r>
      <w:proofErr w:type="gramStart"/>
      <w:r w:rsidRPr="00DE263F">
        <w:rPr>
          <w:i/>
        </w:rPr>
        <w:t>antibodies’</w:t>
      </w:r>
      <w:proofErr w:type="gramEnd"/>
      <w:r w:rsidRPr="00DE263F">
        <w:rPr>
          <w:i/>
        </w:rPr>
        <w:t>.</w:t>
      </w:r>
    </w:p>
    <w:p w14:paraId="560B84D2" w14:textId="6DAF4AEA" w:rsidR="00DE263F" w:rsidRPr="00C54DFA" w:rsidRDefault="00DE263F" w:rsidP="00501D3A">
      <w:pPr>
        <w:pStyle w:val="ListBullet2"/>
        <w:rPr>
          <w:i/>
        </w:rPr>
      </w:pPr>
      <w:r w:rsidRPr="00030A61">
        <w:t>Important potential risk</w:t>
      </w:r>
      <w:r>
        <w:t>:</w:t>
      </w:r>
      <w:r w:rsidRPr="00030A61">
        <w:t xml:space="preserve"> </w:t>
      </w:r>
      <w:r w:rsidRPr="00DE263F">
        <w:rPr>
          <w:i/>
        </w:rPr>
        <w:t>‘Medication errors in the home infusion setting’.</w:t>
      </w:r>
    </w:p>
    <w:p w14:paraId="7DBB9CC5" w14:textId="77777777" w:rsidR="00DE263F" w:rsidRPr="00030A61" w:rsidRDefault="00DE263F" w:rsidP="00C54DFA">
      <w:pPr>
        <w:pStyle w:val="Heading4"/>
      </w:pPr>
      <w:bookmarkStart w:id="60" w:name="_Toc81395775"/>
      <w:r w:rsidRPr="00030A61">
        <w:lastRenderedPageBreak/>
        <w:t>Wording for conditions of registration</w:t>
      </w:r>
      <w:bookmarkEnd w:id="60"/>
    </w:p>
    <w:p w14:paraId="217A3AD6" w14:textId="77777777" w:rsidR="00DE263F" w:rsidRPr="00C54DFA" w:rsidRDefault="00DE263F" w:rsidP="00C54DFA">
      <w:r w:rsidRPr="00C54DFA">
        <w:t xml:space="preserve">Any changes to which the sponsor has agreed should be included in a revised RMP and ASA. However, irrespective of </w:t>
      </w:r>
      <w:proofErr w:type="gramStart"/>
      <w:r w:rsidRPr="00C54DFA">
        <w:t>whether or not</w:t>
      </w:r>
      <w:proofErr w:type="gramEnd"/>
      <w:r w:rsidRPr="00C54DFA">
        <w:t xml:space="preserve"> they are included in the currently available version of the RMP document, the agreed changes become part of the risk management system. </w:t>
      </w:r>
    </w:p>
    <w:p w14:paraId="692FF496" w14:textId="77777777" w:rsidR="00DE263F" w:rsidRPr="00C54DFA" w:rsidRDefault="00DE263F" w:rsidP="00C54DFA">
      <w:r w:rsidRPr="00C54DFA">
        <w:t xml:space="preserve">The suggested wording is: </w:t>
      </w:r>
    </w:p>
    <w:p w14:paraId="6FC71E51" w14:textId="5AEAB5C5" w:rsidR="00DE263F" w:rsidRPr="00C54DFA" w:rsidRDefault="00DE263F" w:rsidP="00C54DFA">
      <w:pPr>
        <w:ind w:left="720"/>
        <w:rPr>
          <w:i/>
        </w:rPr>
      </w:pPr>
      <w:r w:rsidRPr="00C54DFA">
        <w:rPr>
          <w:i/>
        </w:rPr>
        <w:t xml:space="preserve">The </w:t>
      </w:r>
      <w:r w:rsidR="00C54DFA" w:rsidRPr="00C54DFA">
        <w:rPr>
          <w:i/>
        </w:rPr>
        <w:t xml:space="preserve">Nexviazyme </w:t>
      </w:r>
      <w:r w:rsidRPr="00C54DFA">
        <w:rPr>
          <w:i/>
        </w:rPr>
        <w:t>EU-Risk Management Plan (RMP) (version 1.2, dated 14 June 2021; DLP 19 Mar 2020), with Australian Specific Annex (version 1.2, dated 10 August 2021), included with submission PM-2020-05478-1-3, and any subsequent revisions, as agreed with the TGA will be implemented in Australia.</w:t>
      </w:r>
    </w:p>
    <w:p w14:paraId="44E304FC" w14:textId="77777777" w:rsidR="00DE263F" w:rsidRPr="00C54DFA" w:rsidRDefault="00DE263F" w:rsidP="00C54DFA">
      <w:r w:rsidRPr="00C54DFA">
        <w:t>The following wording is recommended for the PSUR requirement:</w:t>
      </w:r>
    </w:p>
    <w:p w14:paraId="5442FF41" w14:textId="77777777" w:rsidR="00DE263F" w:rsidRPr="00C54DFA" w:rsidRDefault="00DE263F" w:rsidP="00C54DFA">
      <w:r w:rsidRPr="00C54DFA">
        <w:t xml:space="preserve">An obligatory component of risk management plans is routine pharmacovigilance. Routine pharmacovigilance includes the submission of periodic safety update reports (PSURs). </w:t>
      </w:r>
    </w:p>
    <w:p w14:paraId="294733EF" w14:textId="77777777" w:rsidR="00DE263F" w:rsidRPr="00C54DFA" w:rsidRDefault="00DE263F" w:rsidP="00C54DFA">
      <w:pPr>
        <w:ind w:left="720"/>
        <w:rPr>
          <w:i/>
        </w:rPr>
      </w:pPr>
      <w:r w:rsidRPr="00C54DFA">
        <w:rPr>
          <w:i/>
        </w:rPr>
        <w:t xml:space="preserve">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The annual submission may be made up of two PSURs each covering six months. If the sponsor wishes, the </w:t>
      </w:r>
      <w:proofErr w:type="gramStart"/>
      <w:r w:rsidRPr="00C54DFA">
        <w:rPr>
          <w:i/>
        </w:rPr>
        <w:t>six monthly</w:t>
      </w:r>
      <w:proofErr w:type="gramEnd"/>
      <w:r w:rsidRPr="00C54DFA">
        <w:rPr>
          <w:i/>
        </w:rPr>
        <w:t xml:space="preserve"> reports may be submitted separately as they become available.</w:t>
      </w:r>
    </w:p>
    <w:p w14:paraId="2BA03111" w14:textId="77777777" w:rsidR="00DE263F" w:rsidRPr="00C54DFA" w:rsidRDefault="00DE263F" w:rsidP="00C54DFA">
      <w:pPr>
        <w:ind w:left="720"/>
        <w:rPr>
          <w:i/>
        </w:rPr>
      </w:pPr>
      <w:r w:rsidRPr="00C54DFA">
        <w:rPr>
          <w:i/>
        </w:rPr>
        <w:t>If the product is approved in the EU during the three years period, reports can be provided in line with the published list of EU reference dates no less frequently than annually from the date of the first submitted report until the period covered by such reports is not less than three years from the date of this approval letter.</w:t>
      </w:r>
    </w:p>
    <w:p w14:paraId="3B871977" w14:textId="77777777" w:rsidR="00DE263F" w:rsidRPr="00C54DFA" w:rsidRDefault="00DE263F" w:rsidP="00C54DFA">
      <w:pPr>
        <w:ind w:left="720"/>
        <w:rPr>
          <w:i/>
        </w:rPr>
      </w:pPr>
      <w:r w:rsidRPr="00C54DFA">
        <w:rPr>
          <w:i/>
        </w:rP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48E8BE3A" w14:textId="6437DBA5" w:rsidR="00DE263F" w:rsidRPr="00030A61" w:rsidRDefault="00DE263F" w:rsidP="00DE263F">
      <w:pPr>
        <w:pStyle w:val="Standard"/>
        <w:rPr>
          <w:iCs/>
        </w:rPr>
      </w:pPr>
      <w:r w:rsidRPr="00030A61">
        <w:rPr>
          <w:iCs/>
        </w:rPr>
        <w:t xml:space="preserve">As </w:t>
      </w:r>
      <w:r w:rsidR="00C54DFA" w:rsidRPr="00030A61">
        <w:rPr>
          <w:iCs/>
        </w:rPr>
        <w:t xml:space="preserve">Nexviazyme </w:t>
      </w:r>
      <w:r w:rsidRPr="00030A61">
        <w:rPr>
          <w:iCs/>
        </w:rPr>
        <w:t xml:space="preserve">is a new biological entity it should be included in the Black Triangle Scheme as a condition of registration. </w:t>
      </w:r>
      <w:r w:rsidRPr="00030A61">
        <w:t>The following wording is recommended for the condition of registration:</w:t>
      </w:r>
      <w:r w:rsidRPr="00030A61">
        <w:rPr>
          <w:iCs/>
        </w:rPr>
        <w:t xml:space="preserve"> </w:t>
      </w:r>
    </w:p>
    <w:p w14:paraId="2FBD8F65" w14:textId="3C2FC6CB" w:rsidR="00DE263F" w:rsidRPr="00C54DFA" w:rsidRDefault="00C54DFA" w:rsidP="00C54DFA">
      <w:pPr>
        <w:ind w:left="720"/>
        <w:rPr>
          <w:i/>
        </w:rPr>
      </w:pPr>
      <w:r w:rsidRPr="00C54DFA">
        <w:rPr>
          <w:i/>
        </w:rPr>
        <w:t xml:space="preserve">Nexviazyme </w:t>
      </w:r>
      <w:r w:rsidR="00DE263F" w:rsidRPr="00C54DFA">
        <w:rPr>
          <w:i/>
        </w:rPr>
        <w:t xml:space="preserve">(Avalglucosidase alfa) is to be included in the Black Triangle Scheme. The PI and CMI for </w:t>
      </w:r>
      <w:r w:rsidRPr="00C54DFA">
        <w:rPr>
          <w:i/>
        </w:rPr>
        <w:t xml:space="preserve">Nexviazyme </w:t>
      </w:r>
      <w:r w:rsidR="00DE263F" w:rsidRPr="00C54DFA">
        <w:rPr>
          <w:i/>
        </w:rPr>
        <w:t>must include the black triangle symbol and mandatory accompanying text for five years, which starts from the date that the sponsor notifies the TGA of supply of the product.</w:t>
      </w:r>
    </w:p>
    <w:p w14:paraId="39433BB1" w14:textId="77777777" w:rsidR="008E7846" w:rsidRDefault="00AA0ED0" w:rsidP="008E7846">
      <w:pPr>
        <w:pStyle w:val="Heading3"/>
      </w:pPr>
      <w:bookmarkStart w:id="61" w:name="_Toc117601964"/>
      <w:r>
        <w:t>Risk-benefit a</w:t>
      </w:r>
      <w:r w:rsidR="008E7846">
        <w:t>nalysis</w:t>
      </w:r>
      <w:bookmarkEnd w:id="53"/>
      <w:bookmarkEnd w:id="54"/>
      <w:bookmarkEnd w:id="61"/>
    </w:p>
    <w:p w14:paraId="0C9AD799" w14:textId="77777777" w:rsidR="0074163C" w:rsidRDefault="0074163C" w:rsidP="0074163C">
      <w:pPr>
        <w:pStyle w:val="Heading4"/>
      </w:pPr>
      <w:bookmarkStart w:id="62" w:name="_Toc98931932"/>
      <w:r>
        <w:t>Delegate’s considerations</w:t>
      </w:r>
      <w:bookmarkEnd w:id="62"/>
    </w:p>
    <w:p w14:paraId="1EFC65CE" w14:textId="77777777" w:rsidR="00E00595" w:rsidRDefault="00E00595" w:rsidP="00C54DFA">
      <w:pPr>
        <w:pStyle w:val="Heading5"/>
      </w:pPr>
      <w:r>
        <w:t>Indication</w:t>
      </w:r>
    </w:p>
    <w:p w14:paraId="53DA5E0F" w14:textId="61A7F6DF" w:rsidR="00E00595" w:rsidRDefault="00E00595" w:rsidP="00E00595">
      <w:r w:rsidRPr="005E5C6E">
        <w:t xml:space="preserve">Data supporting the efficacy and safety of </w:t>
      </w:r>
      <w:r>
        <w:t xml:space="preserve">avalglucosidase alfa </w:t>
      </w:r>
      <w:r w:rsidRPr="005E5C6E">
        <w:t xml:space="preserve">in adult patients with </w:t>
      </w:r>
      <w:r>
        <w:t>late</w:t>
      </w:r>
      <w:r w:rsidR="006862F2">
        <w:t>-</w:t>
      </w:r>
      <w:r>
        <w:t xml:space="preserve">onset </w:t>
      </w:r>
      <w:proofErr w:type="spellStart"/>
      <w:r>
        <w:t>Pompe</w:t>
      </w:r>
      <w:proofErr w:type="spellEnd"/>
      <w:r>
        <w:t xml:space="preserve"> disease</w:t>
      </w:r>
      <w:r w:rsidRPr="005E5C6E">
        <w:t xml:space="preserve"> is adequate for this rare disease</w:t>
      </w:r>
      <w:r>
        <w:t xml:space="preserve">, but extremely limited in younger populations, particularly in newly diagnosed, treatment naïve patients with </w:t>
      </w:r>
      <w:r w:rsidR="00C54DFA">
        <w:t>infantile</w:t>
      </w:r>
      <w:r w:rsidR="001F698A">
        <w:t>-</w:t>
      </w:r>
      <w:r>
        <w:t xml:space="preserve">onset </w:t>
      </w:r>
      <w:proofErr w:type="spellStart"/>
      <w:r>
        <w:t>Pompe</w:t>
      </w:r>
      <w:proofErr w:type="spellEnd"/>
      <w:r>
        <w:t xml:space="preserve"> disease. </w:t>
      </w:r>
      <w:r w:rsidRPr="005E5C6E">
        <w:t xml:space="preserve">Population pharmacometrics studies support extrapolation of data from </w:t>
      </w:r>
      <w:r w:rsidRPr="005E5C6E">
        <w:lastRenderedPageBreak/>
        <w:t xml:space="preserve">adult patients with </w:t>
      </w:r>
      <w:r>
        <w:t>late</w:t>
      </w:r>
      <w:r w:rsidR="0063641C">
        <w:t>-</w:t>
      </w:r>
      <w:r>
        <w:t xml:space="preserve">onset </w:t>
      </w:r>
      <w:proofErr w:type="spellStart"/>
      <w:r>
        <w:t>Pompe</w:t>
      </w:r>
      <w:proofErr w:type="spellEnd"/>
      <w:r>
        <w:t xml:space="preserve"> disease</w:t>
      </w:r>
      <w:r w:rsidRPr="005E5C6E">
        <w:t xml:space="preserve"> to younger patients</w:t>
      </w:r>
      <w:r>
        <w:t xml:space="preserve"> with late</w:t>
      </w:r>
      <w:r w:rsidR="00333DCE">
        <w:t>-</w:t>
      </w:r>
      <w:r>
        <w:t xml:space="preserve">onset </w:t>
      </w:r>
      <w:proofErr w:type="spellStart"/>
      <w:r>
        <w:t>Pompe</w:t>
      </w:r>
      <w:proofErr w:type="spellEnd"/>
      <w:r>
        <w:t xml:space="preserve"> disease</w:t>
      </w:r>
      <w:r w:rsidRPr="005E5C6E">
        <w:t>.</w:t>
      </w:r>
      <w:r>
        <w:t xml:space="preserve"> No significant safety concerns have been identified with Nexviazyme.</w:t>
      </w:r>
    </w:p>
    <w:p w14:paraId="66B677E3" w14:textId="3CA82E8A" w:rsidR="00C54DFA" w:rsidRDefault="00E00595" w:rsidP="00E00595">
      <w:r>
        <w:t xml:space="preserve">In response to requests </w:t>
      </w:r>
      <w:r w:rsidR="002B6B1B">
        <w:t>arising from the clinical evaluation</w:t>
      </w:r>
      <w:r>
        <w:t xml:space="preserve">, the sponsor argued that Nexviazyme should also be approved for use in </w:t>
      </w:r>
      <w:r w:rsidR="00A54FA3">
        <w:t>infantile</w:t>
      </w:r>
      <w:r w:rsidR="006648E7">
        <w:t>-</w:t>
      </w:r>
      <w:r>
        <w:t xml:space="preserve">onset </w:t>
      </w:r>
      <w:proofErr w:type="spellStart"/>
      <w:r>
        <w:t>Pompe</w:t>
      </w:r>
      <w:proofErr w:type="spellEnd"/>
      <w:r>
        <w:t xml:space="preserve"> disease. The arguments presented included that Nexviazyme is a modification of </w:t>
      </w:r>
      <w:proofErr w:type="spellStart"/>
      <w:r>
        <w:t>alglucosidase</w:t>
      </w:r>
      <w:proofErr w:type="spellEnd"/>
      <w:r>
        <w:t xml:space="preserve"> alfa (</w:t>
      </w:r>
      <w:proofErr w:type="spellStart"/>
      <w:r>
        <w:t>Myozyme</w:t>
      </w:r>
      <w:proofErr w:type="spellEnd"/>
      <w:r>
        <w:t>)</w:t>
      </w:r>
      <w:r w:rsidR="00C54DFA">
        <w:t>;</w:t>
      </w:r>
      <w:r w:rsidR="00C54DFA" w:rsidRPr="00C54DFA">
        <w:rPr>
          <w:vertAlign w:val="superscript"/>
        </w:rPr>
        <w:fldChar w:fldCharType="begin"/>
      </w:r>
      <w:r w:rsidR="00C54DFA" w:rsidRPr="00C54DFA">
        <w:rPr>
          <w:vertAlign w:val="superscript"/>
        </w:rPr>
        <w:instrText xml:space="preserve"> NOTEREF _Ref117342450 \h </w:instrText>
      </w:r>
      <w:r w:rsidR="00C54DFA">
        <w:rPr>
          <w:vertAlign w:val="superscript"/>
        </w:rPr>
        <w:instrText xml:space="preserve"> \* MERGEFORMAT </w:instrText>
      </w:r>
      <w:r w:rsidR="00C54DFA" w:rsidRPr="00C54DFA">
        <w:rPr>
          <w:vertAlign w:val="superscript"/>
        </w:rPr>
      </w:r>
      <w:r w:rsidR="00C54DFA" w:rsidRPr="00C54DFA">
        <w:rPr>
          <w:vertAlign w:val="superscript"/>
        </w:rPr>
        <w:fldChar w:fldCharType="separate"/>
      </w:r>
      <w:r w:rsidR="00C54DFA" w:rsidRPr="00C54DFA">
        <w:rPr>
          <w:vertAlign w:val="superscript"/>
        </w:rPr>
        <w:t>7</w:t>
      </w:r>
      <w:r w:rsidR="00C54DFA" w:rsidRPr="00C54DFA">
        <w:rPr>
          <w:vertAlign w:val="superscript"/>
        </w:rPr>
        <w:fldChar w:fldCharType="end"/>
      </w:r>
      <w:r>
        <w:t xml:space="preserve"> which has been extensively used in patients with </w:t>
      </w:r>
      <w:r w:rsidR="00A54FA3">
        <w:t>infantile</w:t>
      </w:r>
      <w:r w:rsidR="00EA64F2">
        <w:t>-</w:t>
      </w:r>
      <w:r>
        <w:t xml:space="preserve">onset </w:t>
      </w:r>
      <w:proofErr w:type="spellStart"/>
      <w:r>
        <w:t>Pompe</w:t>
      </w:r>
      <w:proofErr w:type="spellEnd"/>
      <w:r>
        <w:t xml:space="preserve"> disease, confirming long term safety and effe</w:t>
      </w:r>
      <w:r w:rsidR="00C54DFA">
        <w:t>ctiveness in clinical practice.</w:t>
      </w:r>
    </w:p>
    <w:p w14:paraId="2C2B6C66" w14:textId="33699849" w:rsidR="00C54DFA" w:rsidRDefault="00E00595" w:rsidP="00E00595">
      <w:r>
        <w:t xml:space="preserve">The underlying pathophysiology of </w:t>
      </w:r>
      <w:r w:rsidR="00C54DFA">
        <w:t>Pompe disease</w:t>
      </w:r>
      <w:r>
        <w:t xml:space="preserve"> is common to </w:t>
      </w:r>
      <w:r w:rsidR="00A54FA3">
        <w:t>infantile</w:t>
      </w:r>
      <w:r w:rsidR="00EA64F2">
        <w:t>-</w:t>
      </w:r>
      <w:r>
        <w:t xml:space="preserve">onset </w:t>
      </w:r>
      <w:proofErr w:type="spellStart"/>
      <w:r>
        <w:t>Pompe</w:t>
      </w:r>
      <w:proofErr w:type="spellEnd"/>
      <w:r>
        <w:t xml:space="preserve"> disease and late</w:t>
      </w:r>
      <w:r w:rsidR="00EA64F2">
        <w:t>-</w:t>
      </w:r>
      <w:r>
        <w:t xml:space="preserve">onset </w:t>
      </w:r>
      <w:proofErr w:type="spellStart"/>
      <w:r>
        <w:t>Pompe</w:t>
      </w:r>
      <w:proofErr w:type="spellEnd"/>
      <w:r>
        <w:t xml:space="preserve"> disease, with symptoms developing based only on the differing levels of residual enzyme activity. The sponsor also argued comparable pharmacokinetic profiles in </w:t>
      </w:r>
      <w:r w:rsidR="00C54DFA">
        <w:t>infantile</w:t>
      </w:r>
      <w:r w:rsidR="00D24C70">
        <w:t>-</w:t>
      </w:r>
      <w:r>
        <w:t xml:space="preserve">onset </w:t>
      </w:r>
      <w:proofErr w:type="spellStart"/>
      <w:r>
        <w:t>Pompe</w:t>
      </w:r>
      <w:proofErr w:type="spellEnd"/>
      <w:r>
        <w:t xml:space="preserve"> disease and late</w:t>
      </w:r>
      <w:r w:rsidR="00D24C70">
        <w:t>-</w:t>
      </w:r>
      <w:r>
        <w:t xml:space="preserve">onset </w:t>
      </w:r>
      <w:proofErr w:type="spellStart"/>
      <w:r>
        <w:t>Pompe</w:t>
      </w:r>
      <w:proofErr w:type="spellEnd"/>
      <w:r>
        <w:t xml:space="preserve"> disease, but this does not appear to be supported by the population PK/PD models. Even applying a pragmatic approach as may be justified in some very rare conditions, approving a new medical therapy for a section of the treatment population in the absence of any direct clinic</w:t>
      </w:r>
      <w:r w:rsidR="00C54DFA">
        <w:t>al data presents its own risks.</w:t>
      </w:r>
    </w:p>
    <w:p w14:paraId="7B575790" w14:textId="3403EA4E" w:rsidR="00E00595" w:rsidRDefault="00E00595" w:rsidP="00E00595">
      <w:r>
        <w:t xml:space="preserve">On the other hand, </w:t>
      </w:r>
      <w:r w:rsidR="00C54DFA">
        <w:t>infantile</w:t>
      </w:r>
      <w:r w:rsidR="007E7A86">
        <w:t>-</w:t>
      </w:r>
      <w:r>
        <w:t xml:space="preserve">onset </w:t>
      </w:r>
      <w:proofErr w:type="spellStart"/>
      <w:r>
        <w:t>Pompe</w:t>
      </w:r>
      <w:proofErr w:type="spellEnd"/>
      <w:r>
        <w:t xml:space="preserve"> disease is the most severely affected population with rapidly progressive disease who arguably stand to benefit the most from the modified </w:t>
      </w:r>
      <w:r w:rsidR="00C54DFA">
        <w:t>enzyme-replacement therapy</w:t>
      </w:r>
      <w:r>
        <w:t>. The delegate notes that the sponsor does not intend to cease manufacturing the currently registered therapy, and that an additional paediatric study in treatment-naïve patients is</w:t>
      </w:r>
      <w:r w:rsidR="00A54FA3">
        <w:t xml:space="preserve"> planned, in accordance with EU </w:t>
      </w:r>
      <w:r>
        <w:t xml:space="preserve">requirements. It may be a more considered approach to await the results of the proposed study before registering Nexviazyme for patients with </w:t>
      </w:r>
      <w:r w:rsidR="00A54FA3">
        <w:t>infantile</w:t>
      </w:r>
      <w:r w:rsidR="00EA7C2C">
        <w:t>-</w:t>
      </w:r>
      <w:r>
        <w:t xml:space="preserve">onset </w:t>
      </w:r>
      <w:proofErr w:type="spellStart"/>
      <w:r>
        <w:t>Pompe</w:t>
      </w:r>
      <w:proofErr w:type="spellEnd"/>
      <w:r>
        <w:t xml:space="preserve"> disease.</w:t>
      </w:r>
    </w:p>
    <w:p w14:paraId="60C721A7" w14:textId="77777777" w:rsidR="00E00595" w:rsidRDefault="00E00595" w:rsidP="00C54DFA">
      <w:pPr>
        <w:pStyle w:val="Heading5"/>
      </w:pPr>
      <w:r>
        <w:t>Home infusions</w:t>
      </w:r>
    </w:p>
    <w:p w14:paraId="26A08FE2" w14:textId="77777777" w:rsidR="00C54DFA" w:rsidRDefault="00E00595" w:rsidP="00E00595">
      <w:r>
        <w:t>Home infusions are accepted practice in some overseas jurisdictions, and may have a place in</w:t>
      </w:r>
      <w:r w:rsidR="00C54DFA">
        <w:t xml:space="preserve"> the Australian context, where ‘hospital in the home’</w:t>
      </w:r>
      <w:r>
        <w:t xml:space="preserve"> approaches to treatment are becoming more </w:t>
      </w:r>
      <w:r w:rsidR="00C54DFA">
        <w:t>common.</w:t>
      </w:r>
    </w:p>
    <w:p w14:paraId="33DECBD7" w14:textId="77777777" w:rsidR="00C54DFA" w:rsidRDefault="00C54DFA" w:rsidP="00E00595">
      <w:r>
        <w:t>In the opinion of this D</w:t>
      </w:r>
      <w:r w:rsidR="00E00595">
        <w:t xml:space="preserve">elegate, the major concern </w:t>
      </w:r>
      <w:proofErr w:type="gramStart"/>
      <w:r w:rsidR="00E00595">
        <w:t>with regard to</w:t>
      </w:r>
      <w:proofErr w:type="gramEnd"/>
      <w:r w:rsidR="00E00595">
        <w:t xml:space="preserve"> home infusions of </w:t>
      </w:r>
      <w:r>
        <w:t>enzyme-replacement therapy</w:t>
      </w:r>
      <w:r w:rsidR="00E00595">
        <w:t xml:space="preserve"> in general, and Nexviazyme in particular, is likely to lie with the risk of significant hypersensitivity reactions and anaphylaxis, and subsequently a need for attendance by a health care practitioner with appropriate training and equipment to deal with unexpected a</w:t>
      </w:r>
      <w:r>
        <w:t>dverse events.</w:t>
      </w:r>
    </w:p>
    <w:p w14:paraId="5262E4B3" w14:textId="15407D31" w:rsidR="00E00595" w:rsidRDefault="00E00595" w:rsidP="00E00595">
      <w:r>
        <w:t xml:space="preserve">Resolution of these issues lie within the realm of clinical practice, rather than with the TGA. The major issue with including recommendations for home infusions in the product information is that some health care workers may understand that the TGA have received and evaluated high standard evidence supporting the practice. Reference to home infusions has been included in the product information for other registered </w:t>
      </w:r>
      <w:r w:rsidR="00C54DFA">
        <w:t>enzyme</w:t>
      </w:r>
      <w:r w:rsidR="002B6B1B">
        <w:noBreakHyphen/>
      </w:r>
      <w:r w:rsidR="00C54DFA">
        <w:t>replacement therapy</w:t>
      </w:r>
      <w:r>
        <w:t xml:space="preserve">. This alone does not indicate that such advice should be included for another </w:t>
      </w:r>
      <w:r w:rsidR="00C54DFA">
        <w:t>enzyme-replacement therapy</w:t>
      </w:r>
      <w:r>
        <w:t>.</w:t>
      </w:r>
    </w:p>
    <w:p w14:paraId="0557BA02" w14:textId="15FEFBED" w:rsidR="00C54DFA" w:rsidRDefault="00C54DFA" w:rsidP="00C54DFA">
      <w:pPr>
        <w:pStyle w:val="Heading5"/>
      </w:pPr>
      <w:r>
        <w:t>Efficacy and safety</w:t>
      </w:r>
    </w:p>
    <w:p w14:paraId="2B4DC3B4" w14:textId="383029C0" w:rsidR="0074163C" w:rsidRDefault="00E00595" w:rsidP="00E00595">
      <w:r>
        <w:t>The evidence provided for efficacy and safety of Nexviazyme in adults with late</w:t>
      </w:r>
      <w:r w:rsidR="00E6722E">
        <w:t>-</w:t>
      </w:r>
      <w:r>
        <w:t xml:space="preserve">onset </w:t>
      </w:r>
      <w:proofErr w:type="spellStart"/>
      <w:r>
        <w:t>Pompe</w:t>
      </w:r>
      <w:proofErr w:type="spellEnd"/>
      <w:r>
        <w:t xml:space="preserve"> disease is sufficient to support registration in this population, and the sponsor has provided a reasonable case for extrapolation to a younger population with late</w:t>
      </w:r>
      <w:r w:rsidR="00005108">
        <w:t>-</w:t>
      </w:r>
      <w:r>
        <w:t xml:space="preserve">onset </w:t>
      </w:r>
      <w:proofErr w:type="spellStart"/>
      <w:r>
        <w:t>Pompe</w:t>
      </w:r>
      <w:proofErr w:type="spellEnd"/>
      <w:r>
        <w:t xml:space="preserve"> disease. The clinical evidence provided to support the use of </w:t>
      </w:r>
      <w:proofErr w:type="spellStart"/>
      <w:r>
        <w:t>Nexviazyme</w:t>
      </w:r>
      <w:proofErr w:type="spellEnd"/>
      <w:r>
        <w:t xml:space="preserve"> in </w:t>
      </w:r>
      <w:r w:rsidR="00C54DFA">
        <w:t>infantile</w:t>
      </w:r>
      <w:r w:rsidR="00005108">
        <w:t>-</w:t>
      </w:r>
      <w:r>
        <w:t xml:space="preserve">onset </w:t>
      </w:r>
      <w:proofErr w:type="spellStart"/>
      <w:r>
        <w:t>Pompe</w:t>
      </w:r>
      <w:proofErr w:type="spellEnd"/>
      <w:r>
        <w:t xml:space="preserve"> disease, and </w:t>
      </w:r>
      <w:proofErr w:type="gramStart"/>
      <w:r>
        <w:t>in particular in</w:t>
      </w:r>
      <w:proofErr w:type="gramEnd"/>
      <w:r>
        <w:t xml:space="preserve"> treatment naïve patients with </w:t>
      </w:r>
      <w:r w:rsidR="00A54FA3">
        <w:t>infantile</w:t>
      </w:r>
      <w:r w:rsidR="00005108">
        <w:t>-</w:t>
      </w:r>
      <w:r>
        <w:t xml:space="preserve">onset </w:t>
      </w:r>
      <w:proofErr w:type="spellStart"/>
      <w:r>
        <w:t>Pompe</w:t>
      </w:r>
      <w:proofErr w:type="spellEnd"/>
      <w:r>
        <w:t xml:space="preserve"> disease, is immature and does not meet the accepted standards generally applied by the TGA. While there is a bridging argument based on the mechanism of action of </w:t>
      </w:r>
      <w:proofErr w:type="spellStart"/>
      <w:r>
        <w:t>Nexviazyme</w:t>
      </w:r>
      <w:proofErr w:type="spellEnd"/>
      <w:r>
        <w:t xml:space="preserve"> in late</w:t>
      </w:r>
      <w:r w:rsidR="008604F0">
        <w:t>-</w:t>
      </w:r>
      <w:r>
        <w:t xml:space="preserve">onset </w:t>
      </w:r>
      <w:proofErr w:type="spellStart"/>
      <w:r>
        <w:t>Pompe</w:t>
      </w:r>
      <w:proofErr w:type="spellEnd"/>
      <w:r>
        <w:t xml:space="preserve"> disease and </w:t>
      </w:r>
      <w:r w:rsidR="00C54DFA">
        <w:t>infantile</w:t>
      </w:r>
      <w:r w:rsidR="008604F0">
        <w:t>-</w:t>
      </w:r>
      <w:r>
        <w:t xml:space="preserve">onset </w:t>
      </w:r>
      <w:proofErr w:type="spellStart"/>
      <w:r>
        <w:t>Pompe</w:t>
      </w:r>
      <w:proofErr w:type="spellEnd"/>
      <w:r>
        <w:t xml:space="preserve"> disease populations, it would be appropriate to continue to support treatment of patients with the registered therapy until sufficient evidence of efficacy and safety becomes available.</w:t>
      </w:r>
    </w:p>
    <w:p w14:paraId="32FCB825" w14:textId="2D8BEA49" w:rsidR="00C54DFA" w:rsidRDefault="00C54DFA" w:rsidP="00C54DFA">
      <w:pPr>
        <w:pStyle w:val="Heading5"/>
      </w:pPr>
      <w:r>
        <w:lastRenderedPageBreak/>
        <w:t>Summary of data</w:t>
      </w:r>
    </w:p>
    <w:p w14:paraId="519380A8" w14:textId="50D5DC2B" w:rsidR="00C54DFA" w:rsidRDefault="00A54FA3" w:rsidP="00E00595">
      <w:r>
        <w:t>There was o</w:t>
      </w:r>
      <w:r w:rsidR="00C54DFA" w:rsidRPr="00C54DFA">
        <w:t xml:space="preserve">ne pivotal efficacy/safety study </w:t>
      </w:r>
      <w:r>
        <w:t>(Study EFC14028) comparing</w:t>
      </w:r>
      <w:r w:rsidR="00C54DFA" w:rsidRPr="00C54DFA">
        <w:t xml:space="preserve"> outcomes with avalglucosidase alfa and current registered treatment alglucosidase alfa in 100 patients</w:t>
      </w:r>
      <w:r w:rsidR="009C1786">
        <w:t xml:space="preserve"> with l</w:t>
      </w:r>
      <w:r w:rsidR="00C54DFA">
        <w:t>ate</w:t>
      </w:r>
      <w:r w:rsidR="0095546B">
        <w:t>-</w:t>
      </w:r>
      <w:r w:rsidR="00C54DFA">
        <w:t xml:space="preserve">onset </w:t>
      </w:r>
      <w:proofErr w:type="spellStart"/>
      <w:r w:rsidR="00C54DFA">
        <w:t>Pompe</w:t>
      </w:r>
      <w:proofErr w:type="spellEnd"/>
      <w:r w:rsidR="00C54DFA">
        <w:t xml:space="preserve"> disease</w:t>
      </w:r>
      <w:r>
        <w:t>. This</w:t>
      </w:r>
      <w:r w:rsidR="00C54DFA" w:rsidRPr="00C54DFA">
        <w:t xml:space="preserve"> was supported by two primarily safety studies with secondary efficacy outcomes in 24 patients with </w:t>
      </w:r>
      <w:r w:rsidR="00C54DFA">
        <w:t>late</w:t>
      </w:r>
      <w:r w:rsidR="0086565C">
        <w:t>-</w:t>
      </w:r>
      <w:r w:rsidR="00C54DFA">
        <w:t xml:space="preserve">onset </w:t>
      </w:r>
      <w:proofErr w:type="spellStart"/>
      <w:r w:rsidR="00C54DFA">
        <w:t>Pompe</w:t>
      </w:r>
      <w:proofErr w:type="spellEnd"/>
      <w:r w:rsidR="00C54DFA">
        <w:t xml:space="preserve"> disease</w:t>
      </w:r>
      <w:r w:rsidR="00C54DFA" w:rsidRPr="00C54DFA">
        <w:t xml:space="preserve"> and 26 patients with</w:t>
      </w:r>
      <w:r w:rsidR="00C54DFA">
        <w:t xml:space="preserve"> infantile</w:t>
      </w:r>
      <w:r w:rsidR="0086565C">
        <w:t>-</w:t>
      </w:r>
      <w:r w:rsidR="00C54DFA">
        <w:t xml:space="preserve">onset </w:t>
      </w:r>
      <w:proofErr w:type="spellStart"/>
      <w:r w:rsidR="00C54DFA">
        <w:t>Pompe</w:t>
      </w:r>
      <w:proofErr w:type="spellEnd"/>
      <w:r w:rsidR="00C54DFA">
        <w:t xml:space="preserve"> disease </w:t>
      </w:r>
      <w:r w:rsidR="00C54DFA" w:rsidRPr="00C54DFA">
        <w:t xml:space="preserve">who were suboptimal responders or experienced declining responses to alglucosidase alfa. Among adult patients with </w:t>
      </w:r>
      <w:r w:rsidR="00C54DFA">
        <w:t>late</w:t>
      </w:r>
      <w:r w:rsidR="00F3224F">
        <w:t>-</w:t>
      </w:r>
      <w:r w:rsidR="00C54DFA">
        <w:t xml:space="preserve">onset </w:t>
      </w:r>
      <w:proofErr w:type="spellStart"/>
      <w:r w:rsidR="00C54DFA">
        <w:t>Pompe</w:t>
      </w:r>
      <w:proofErr w:type="spellEnd"/>
      <w:r w:rsidR="00C54DFA">
        <w:t xml:space="preserve"> disease</w:t>
      </w:r>
      <w:r w:rsidR="00C54DFA" w:rsidRPr="00C54DFA">
        <w:t xml:space="preserve">, </w:t>
      </w:r>
      <w:proofErr w:type="spellStart"/>
      <w:r w:rsidR="00C54DFA" w:rsidRPr="00C54DFA">
        <w:t>avalglucosidase</w:t>
      </w:r>
      <w:proofErr w:type="spellEnd"/>
      <w:r w:rsidR="00C54DFA" w:rsidRPr="00C54DFA">
        <w:t xml:space="preserve"> alfa was at least non-inferior to alglucosidase alfa </w:t>
      </w:r>
      <w:proofErr w:type="gramStart"/>
      <w:r w:rsidR="00C54DFA" w:rsidRPr="00C54DFA">
        <w:t>with regard to</w:t>
      </w:r>
      <w:proofErr w:type="gramEnd"/>
      <w:r w:rsidR="00C54DFA" w:rsidRPr="00C54DFA">
        <w:t xml:space="preserve"> the primary efficacy outcome, and secondary efficacy outcomes were supportive. In the small population of patients with </w:t>
      </w:r>
      <w:r w:rsidR="00C54DFA">
        <w:t>infantile</w:t>
      </w:r>
      <w:r w:rsidR="00A74854">
        <w:t>-</w:t>
      </w:r>
      <w:r w:rsidR="00C54DFA">
        <w:t xml:space="preserve">onset </w:t>
      </w:r>
      <w:proofErr w:type="spellStart"/>
      <w:r w:rsidR="00C54DFA">
        <w:t>Pompe</w:t>
      </w:r>
      <w:proofErr w:type="spellEnd"/>
      <w:r w:rsidR="00C54DFA">
        <w:t xml:space="preserve"> disease</w:t>
      </w:r>
      <w:r w:rsidR="00C54DFA" w:rsidRPr="00C54DFA">
        <w:t xml:space="preserve"> with poor responses to alglucosidase alfa, secondary efficacy outcomes trended to improvement. There is no clinical trial data in treatment-naïve patients with </w:t>
      </w:r>
      <w:r w:rsidR="00C54DFA">
        <w:t>infantile</w:t>
      </w:r>
      <w:r w:rsidR="00336A47">
        <w:t>-</w:t>
      </w:r>
      <w:r w:rsidR="00C54DFA">
        <w:t xml:space="preserve">onset </w:t>
      </w:r>
      <w:proofErr w:type="spellStart"/>
      <w:r w:rsidR="00C54DFA">
        <w:t>Pompe</w:t>
      </w:r>
      <w:proofErr w:type="spellEnd"/>
      <w:r w:rsidR="00C54DFA">
        <w:t xml:space="preserve"> disease</w:t>
      </w:r>
      <w:r w:rsidR="00C54DFA" w:rsidRPr="00C54DFA">
        <w:t>. Adverse events in patients treated with avalglucosidase alfa were comparable to those experienced by patients treated with alglucosidase alfa.</w:t>
      </w:r>
    </w:p>
    <w:p w14:paraId="4C9928C1" w14:textId="6833120D" w:rsidR="00C54DFA" w:rsidRDefault="009F2D5B" w:rsidP="009F2D5B">
      <w:pPr>
        <w:pStyle w:val="Heading5"/>
      </w:pPr>
      <w:r>
        <w:t>Outstanding issues</w:t>
      </w:r>
    </w:p>
    <w:p w14:paraId="392DB059" w14:textId="376C4FF6" w:rsidR="009F2D5B" w:rsidRDefault="009F2D5B" w:rsidP="009F2D5B">
      <w:r>
        <w:t>Few patients with Pompe disease aged below 18 years were included in the submitted studies, and the submission relies upon population pharmacometrics to support extrapolation of efficacy outcomes reported in adults with late</w:t>
      </w:r>
      <w:r w:rsidR="003C6760">
        <w:t>-</w:t>
      </w:r>
      <w:r>
        <w:t xml:space="preserve">onset </w:t>
      </w:r>
      <w:proofErr w:type="spellStart"/>
      <w:r>
        <w:t>Pompe</w:t>
      </w:r>
      <w:proofErr w:type="spellEnd"/>
      <w:r>
        <w:t xml:space="preserve"> disease (one patient aged 16</w:t>
      </w:r>
      <w:r w:rsidR="00A54FA3">
        <w:t xml:space="preserve"> years</w:t>
      </w:r>
      <w:r>
        <w:t>) to younger patients.</w:t>
      </w:r>
    </w:p>
    <w:p w14:paraId="28D3153C" w14:textId="49B978C5" w:rsidR="009F2D5B" w:rsidRDefault="009F2D5B" w:rsidP="009F2D5B">
      <w:r>
        <w:t>No data was provided to support efficacy or safety in treatment naïve patients with infantile</w:t>
      </w:r>
      <w:r w:rsidR="003C6760">
        <w:t>-</w:t>
      </w:r>
      <w:r>
        <w:t xml:space="preserve">onset </w:t>
      </w:r>
      <w:proofErr w:type="spellStart"/>
      <w:r>
        <w:t>Pompe</w:t>
      </w:r>
      <w:proofErr w:type="spellEnd"/>
      <w:r>
        <w:t xml:space="preserve"> disease, and data for patients with infantile</w:t>
      </w:r>
      <w:r w:rsidR="003C6760">
        <w:t>-</w:t>
      </w:r>
      <w:r>
        <w:t xml:space="preserve">onset </w:t>
      </w:r>
      <w:proofErr w:type="spellStart"/>
      <w:r>
        <w:t>Pompe</w:t>
      </w:r>
      <w:proofErr w:type="spellEnd"/>
      <w:r>
        <w:t xml:space="preserve"> disease who had suboptimal or declining responses to alglucosidase alfa, and who had severe disease as indicated by the presence of cardiomyopathy was limited.</w:t>
      </w:r>
    </w:p>
    <w:p w14:paraId="44E25C8A" w14:textId="12498505" w:rsidR="009F2D5B" w:rsidRDefault="009F2D5B" w:rsidP="009F2D5B">
      <w:r>
        <w:t>The pharmacokinetics of avalglucosidase alfa in adult patients with late</w:t>
      </w:r>
      <w:r w:rsidR="00383B4B">
        <w:t>-</w:t>
      </w:r>
      <w:r>
        <w:t xml:space="preserve">onset </w:t>
      </w:r>
      <w:proofErr w:type="spellStart"/>
      <w:r>
        <w:t>Pompe</w:t>
      </w:r>
      <w:proofErr w:type="spellEnd"/>
      <w:r>
        <w:t xml:space="preserve"> disease, and in younger patients with infantile</w:t>
      </w:r>
      <w:r w:rsidR="000F142E">
        <w:t>-</w:t>
      </w:r>
      <w:r>
        <w:t xml:space="preserve">onset </w:t>
      </w:r>
      <w:proofErr w:type="spellStart"/>
      <w:r>
        <w:t>Pompe</w:t>
      </w:r>
      <w:proofErr w:type="spellEnd"/>
      <w:r>
        <w:t xml:space="preserve"> disease appear to be different, suggesting that extrapolating data from late</w:t>
      </w:r>
      <w:r w:rsidR="000F142E">
        <w:t>-</w:t>
      </w:r>
      <w:r>
        <w:t xml:space="preserve">onset </w:t>
      </w:r>
      <w:proofErr w:type="spellStart"/>
      <w:r>
        <w:t>Pompe</w:t>
      </w:r>
      <w:proofErr w:type="spellEnd"/>
      <w:r>
        <w:t xml:space="preserve"> disease to infantile</w:t>
      </w:r>
      <w:r w:rsidR="000F142E">
        <w:t>-</w:t>
      </w:r>
      <w:r>
        <w:t xml:space="preserve">onset </w:t>
      </w:r>
      <w:proofErr w:type="spellStart"/>
      <w:r>
        <w:t>Pompe</w:t>
      </w:r>
      <w:proofErr w:type="spellEnd"/>
      <w:r>
        <w:t xml:space="preserve"> disease patients would not be appropriate.</w:t>
      </w:r>
    </w:p>
    <w:p w14:paraId="0A48640D" w14:textId="460A7406" w:rsidR="009F2D5B" w:rsidRPr="009F2D5B" w:rsidRDefault="009F2D5B" w:rsidP="009F2D5B">
      <w:r>
        <w:t>The sponsor intends to include information regarding the possibility of home infusions of avalglucosidase alfa for selected patients in the product information. There are limited controlled reports of efficacy and safety outcomes of home infusions of enzyme replacement therapies in Australia.</w:t>
      </w:r>
    </w:p>
    <w:p w14:paraId="61598FEE" w14:textId="17D2EEEF" w:rsidR="0074163C" w:rsidRDefault="0074163C" w:rsidP="0074163C">
      <w:pPr>
        <w:pStyle w:val="Heading4"/>
      </w:pPr>
      <w:bookmarkStart w:id="63" w:name="_Toc98931933"/>
      <w:r w:rsidRPr="00D23139">
        <w:t>Proposed action</w:t>
      </w:r>
      <w:bookmarkEnd w:id="63"/>
    </w:p>
    <w:p w14:paraId="56EAAF95" w14:textId="0EF24086" w:rsidR="0074163C" w:rsidRPr="00955A16" w:rsidRDefault="00C54DFA" w:rsidP="0074163C">
      <w:r>
        <w:t>While the Delegate’s decision was</w:t>
      </w:r>
      <w:r w:rsidRPr="00C54DFA">
        <w:t xml:space="preserve"> yet to be made, at this stage </w:t>
      </w:r>
      <w:r>
        <w:t xml:space="preserve">the Delegate was </w:t>
      </w:r>
      <w:r w:rsidRPr="00C54DFA">
        <w:t xml:space="preserve">inclined to approve the registration of Nexviazyme for the population of patients with </w:t>
      </w:r>
      <w:r>
        <w:t>late onset Pompe disease</w:t>
      </w:r>
      <w:r w:rsidRPr="00C54DFA">
        <w:t xml:space="preserve"> only.</w:t>
      </w:r>
    </w:p>
    <w:p w14:paraId="0C4FF0C1" w14:textId="77777777" w:rsidR="0074163C" w:rsidRPr="00F73346" w:rsidRDefault="0074163C" w:rsidP="0074163C">
      <w:pPr>
        <w:pStyle w:val="Heading4"/>
      </w:pPr>
      <w:bookmarkStart w:id="64" w:name="_Toc98931936"/>
      <w:bookmarkStart w:id="65" w:name="_Toc247691532"/>
      <w:bookmarkStart w:id="66" w:name="_Toc314842516"/>
      <w:bookmarkEnd w:id="32"/>
      <w:bookmarkEnd w:id="55"/>
      <w:bookmarkEnd w:id="56"/>
      <w:r w:rsidRPr="00F73346">
        <w:t>Advisory Committee considerations</w:t>
      </w:r>
      <w:bookmarkEnd w:id="64"/>
    </w:p>
    <w:p w14:paraId="4E08F07D" w14:textId="4CD6B094" w:rsidR="0074163C" w:rsidRDefault="0074163C" w:rsidP="0074163C">
      <w:pPr>
        <w:rPr>
          <w:bCs/>
        </w:rPr>
      </w:pPr>
      <w:r w:rsidRPr="00456765">
        <w:rPr>
          <w:bCs/>
        </w:rPr>
        <w:t xml:space="preserve">The </w:t>
      </w:r>
      <w:hyperlink r:id="rId25" w:history="1">
        <w:r w:rsidRPr="00C65E63">
          <w:rPr>
            <w:rStyle w:val="Hyperlink"/>
            <w:szCs w:val="21"/>
          </w:rPr>
          <w:t>Advisory Committee on Medicines (ACM)</w:t>
        </w:r>
      </w:hyperlink>
      <w:r w:rsidRPr="00F73346">
        <w:rPr>
          <w:color w:val="007099"/>
          <w:szCs w:val="21"/>
        </w:rPr>
        <w:t xml:space="preserve"> </w:t>
      </w:r>
      <w:r w:rsidRPr="00456765">
        <w:rPr>
          <w:bCs/>
        </w:rPr>
        <w:t>considered the evaluations and the Delegate’s overview, as well as the sponsor’s response to these documents, advised the following</w:t>
      </w:r>
      <w:r>
        <w:rPr>
          <w:bCs/>
        </w:rPr>
        <w:t>.</w:t>
      </w:r>
    </w:p>
    <w:p w14:paraId="47FEBCC8" w14:textId="6B9A4417" w:rsidR="0074163C" w:rsidRDefault="0074163C" w:rsidP="0074163C">
      <w:pPr>
        <w:pStyle w:val="Heading5"/>
      </w:pPr>
      <w:r w:rsidRPr="00F73346">
        <w:t>Specific advice to the Delegate</w:t>
      </w:r>
    </w:p>
    <w:p w14:paraId="53FD8157" w14:textId="785AC4ED" w:rsidR="00E00595" w:rsidRPr="00362827" w:rsidRDefault="00E00595" w:rsidP="00362827">
      <w:pPr>
        <w:pStyle w:val="Numberbullet0"/>
        <w:numPr>
          <w:ilvl w:val="0"/>
          <w:numId w:val="38"/>
        </w:numPr>
        <w:rPr>
          <w:b/>
          <w:i/>
        </w:rPr>
      </w:pPr>
      <w:r w:rsidRPr="00362827">
        <w:rPr>
          <w:b/>
          <w:i/>
        </w:rPr>
        <w:t xml:space="preserve">What is the opinion of the committee regarding the extrapolation of data from adult patients with late onset Pompe disease to </w:t>
      </w:r>
      <w:r w:rsidR="00A54FA3">
        <w:rPr>
          <w:b/>
          <w:i/>
        </w:rPr>
        <w:t>patients aged between 12 and 18 </w:t>
      </w:r>
      <w:r w:rsidRPr="00362827">
        <w:rPr>
          <w:b/>
          <w:i/>
        </w:rPr>
        <w:t>years?</w:t>
      </w:r>
    </w:p>
    <w:p w14:paraId="6D7ECDB4" w14:textId="28A03754" w:rsidR="009F2D5B" w:rsidRPr="009F2D5B" w:rsidRDefault="009F2D5B" w:rsidP="009F2D5B">
      <w:r>
        <w:t>The ACM advised this data could be extrapolated for late</w:t>
      </w:r>
      <w:r w:rsidR="00E01017">
        <w:t>-</w:t>
      </w:r>
      <w:r>
        <w:t xml:space="preserve">onset </w:t>
      </w:r>
      <w:proofErr w:type="spellStart"/>
      <w:r>
        <w:t>Pompe</w:t>
      </w:r>
      <w:proofErr w:type="spellEnd"/>
      <w:r>
        <w:t xml:space="preserve"> disease, patients aged between 12 and 18 years. The data provided demonstrates there is no apparent age effect of pharmacokinetics in late onset Pompe disease. The ACM were satisfied that the </w:t>
      </w:r>
      <w:r>
        <w:lastRenderedPageBreak/>
        <w:t>disease mechanisms in adolescent late</w:t>
      </w:r>
      <w:r w:rsidR="008F1E9A">
        <w:t>-</w:t>
      </w:r>
      <w:r>
        <w:t xml:space="preserve">onset </w:t>
      </w:r>
      <w:proofErr w:type="spellStart"/>
      <w:r>
        <w:t>Pompe</w:t>
      </w:r>
      <w:proofErr w:type="spellEnd"/>
      <w:r>
        <w:t xml:space="preserve"> disease and adult late onset Pompe disease, are the same when consideration is given to the spectrum of enzyme deficiency.</w:t>
      </w:r>
    </w:p>
    <w:p w14:paraId="3F57BD86" w14:textId="25774B4A" w:rsidR="00E00595" w:rsidRPr="00362827" w:rsidRDefault="00E00595" w:rsidP="00362827">
      <w:pPr>
        <w:pStyle w:val="Numberbullet0"/>
        <w:rPr>
          <w:b/>
          <w:i/>
          <w:lang w:eastAsia="en-AU"/>
        </w:rPr>
      </w:pPr>
      <w:r w:rsidRPr="00362827">
        <w:rPr>
          <w:b/>
          <w:i/>
          <w:lang w:eastAsia="en-AU"/>
        </w:rPr>
        <w:t xml:space="preserve">What is the opinion of the committee regarding the extrapolation of data from adult patients with </w:t>
      </w:r>
      <w:proofErr w:type="spellStart"/>
      <w:r w:rsidRPr="00362827">
        <w:rPr>
          <w:b/>
          <w:i/>
          <w:lang w:eastAsia="en-AU"/>
        </w:rPr>
        <w:t>lateonset</w:t>
      </w:r>
      <w:proofErr w:type="spellEnd"/>
      <w:r w:rsidRPr="00362827">
        <w:rPr>
          <w:b/>
          <w:i/>
          <w:lang w:eastAsia="en-AU"/>
        </w:rPr>
        <w:t xml:space="preserve"> </w:t>
      </w:r>
      <w:proofErr w:type="spellStart"/>
      <w:r w:rsidRPr="00362827">
        <w:rPr>
          <w:b/>
          <w:i/>
          <w:lang w:eastAsia="en-AU"/>
        </w:rPr>
        <w:t>Pompe</w:t>
      </w:r>
      <w:proofErr w:type="spellEnd"/>
      <w:r w:rsidRPr="00362827">
        <w:rPr>
          <w:b/>
          <w:i/>
          <w:lang w:eastAsia="en-AU"/>
        </w:rPr>
        <w:t xml:space="preserve"> disease t</w:t>
      </w:r>
      <w:r w:rsidR="00A54FA3">
        <w:rPr>
          <w:b/>
          <w:i/>
          <w:lang w:eastAsia="en-AU"/>
        </w:rPr>
        <w:t>o children aged younger than 12 </w:t>
      </w:r>
      <w:r w:rsidRPr="00362827">
        <w:rPr>
          <w:b/>
          <w:i/>
          <w:lang w:eastAsia="en-AU"/>
        </w:rPr>
        <w:t>years?</w:t>
      </w:r>
    </w:p>
    <w:p w14:paraId="20815511" w14:textId="6C900B14" w:rsidR="009F2D5B" w:rsidRDefault="009F2D5B" w:rsidP="009F2D5B">
      <w:r>
        <w:t>The ACM advised there is no biological reason why this data cannot be extrapolated for late</w:t>
      </w:r>
      <w:r w:rsidR="00E17BE0">
        <w:t>-</w:t>
      </w:r>
      <w:r>
        <w:t xml:space="preserve">onset </w:t>
      </w:r>
      <w:proofErr w:type="spellStart"/>
      <w:r>
        <w:t>Pompe</w:t>
      </w:r>
      <w:proofErr w:type="spellEnd"/>
      <w:r>
        <w:t xml:space="preserve"> disease patients younger than 12 years. The severity of disease is reflected as a spectrum of enzyme deficiency rather than age related parameters.</w:t>
      </w:r>
    </w:p>
    <w:p w14:paraId="025AB12C" w14:textId="03D42131" w:rsidR="009F2D5B" w:rsidRPr="009F2D5B" w:rsidRDefault="009F2D5B" w:rsidP="009F2D5B">
      <w:r>
        <w:t xml:space="preserve">The ACM noted that it is unlikely that </w:t>
      </w:r>
      <w:r w:rsidR="009C1786">
        <w:t>late onset Pompe disease</w:t>
      </w:r>
      <w:r>
        <w:t xml:space="preserve"> will be diagnosed before the age of one.</w:t>
      </w:r>
    </w:p>
    <w:p w14:paraId="240E8C22" w14:textId="6D05FD1E" w:rsidR="00E00595" w:rsidRPr="00362827" w:rsidRDefault="00E00595" w:rsidP="00362827">
      <w:pPr>
        <w:pStyle w:val="Numberbullet0"/>
        <w:rPr>
          <w:b/>
          <w:i/>
        </w:rPr>
      </w:pPr>
      <w:r w:rsidRPr="00362827">
        <w:rPr>
          <w:b/>
          <w:i/>
        </w:rPr>
        <w:t xml:space="preserve">What is the opinion of the committee regarding the efficacy of avalglucosidase alfa in the treatment of paediatric patients with </w:t>
      </w:r>
      <w:r w:rsidR="009F2D5B" w:rsidRPr="00362827">
        <w:rPr>
          <w:b/>
          <w:i/>
        </w:rPr>
        <w:t>infantile</w:t>
      </w:r>
      <w:r w:rsidR="00607920">
        <w:rPr>
          <w:b/>
          <w:i/>
        </w:rPr>
        <w:t>-</w:t>
      </w:r>
      <w:r w:rsidRPr="00362827">
        <w:rPr>
          <w:b/>
          <w:i/>
        </w:rPr>
        <w:t xml:space="preserve">onset </w:t>
      </w:r>
      <w:proofErr w:type="spellStart"/>
      <w:r w:rsidRPr="00362827">
        <w:rPr>
          <w:b/>
          <w:i/>
        </w:rPr>
        <w:t>Pompe</w:t>
      </w:r>
      <w:proofErr w:type="spellEnd"/>
      <w:r w:rsidRPr="00362827">
        <w:rPr>
          <w:b/>
          <w:i/>
        </w:rPr>
        <w:t xml:space="preserve"> disease?</w:t>
      </w:r>
    </w:p>
    <w:p w14:paraId="49D7722E" w14:textId="4EFF5F01" w:rsidR="009F2D5B" w:rsidRDefault="009F2D5B" w:rsidP="009F2D5B">
      <w:r>
        <w:t>The ACM noted that the Mini</w:t>
      </w:r>
      <w:r w:rsidR="00DF489D">
        <w:t>-</w:t>
      </w:r>
      <w:r>
        <w:t>COMET trial (Study ACT14132) was the only study submitted for patients with infantile</w:t>
      </w:r>
      <w:r w:rsidR="00DF489D">
        <w:t>-</w:t>
      </w:r>
      <w:r>
        <w:t xml:space="preserve">onset </w:t>
      </w:r>
      <w:proofErr w:type="spellStart"/>
      <w:r>
        <w:t>Pompe</w:t>
      </w:r>
      <w:proofErr w:type="spellEnd"/>
      <w:r>
        <w:t xml:space="preserve"> disease and was primarily a safety study, with efficacy as a secondary endpoint.</w:t>
      </w:r>
    </w:p>
    <w:p w14:paraId="694437FC" w14:textId="77777777" w:rsidR="009F2D5B" w:rsidRDefault="009F2D5B" w:rsidP="009F2D5B">
      <w:r>
        <w:t>The ACM discussed this study and while noting that this study is ongoing, were of the view that the diversity in age, gender and baseline prior treatments made the assessment of efficacy challenging but that it did provide some support of treatment efficacy.</w:t>
      </w:r>
    </w:p>
    <w:p w14:paraId="5BBBC9E9" w14:textId="00437518" w:rsidR="009F2D5B" w:rsidRPr="009F2D5B" w:rsidRDefault="009F2D5B" w:rsidP="009F2D5B">
      <w:r>
        <w:t xml:space="preserve">The ACM also noted that treatment duration can be finite if the disease has progressed beyond reversibility, in which case neither </w:t>
      </w:r>
      <w:proofErr w:type="spellStart"/>
      <w:r>
        <w:t>avalglucosidase</w:t>
      </w:r>
      <w:proofErr w:type="spellEnd"/>
      <w:r>
        <w:t xml:space="preserve"> alfa nor Myozyme</w:t>
      </w:r>
      <w:r w:rsidR="00A54FA3" w:rsidRPr="00A54FA3">
        <w:rPr>
          <w:vertAlign w:val="superscript"/>
        </w:rPr>
        <w:fldChar w:fldCharType="begin"/>
      </w:r>
      <w:r w:rsidR="00A54FA3" w:rsidRPr="00A54FA3">
        <w:rPr>
          <w:vertAlign w:val="superscript"/>
        </w:rPr>
        <w:instrText xml:space="preserve"> NOTEREF _Ref117342450 \h </w:instrText>
      </w:r>
      <w:r w:rsidR="00A54FA3">
        <w:rPr>
          <w:vertAlign w:val="superscript"/>
        </w:rPr>
        <w:instrText xml:space="preserve"> \* MERGEFORMAT </w:instrText>
      </w:r>
      <w:r w:rsidR="00A54FA3" w:rsidRPr="00A54FA3">
        <w:rPr>
          <w:vertAlign w:val="superscript"/>
        </w:rPr>
      </w:r>
      <w:r w:rsidR="00A54FA3" w:rsidRPr="00A54FA3">
        <w:rPr>
          <w:vertAlign w:val="superscript"/>
        </w:rPr>
        <w:fldChar w:fldCharType="separate"/>
      </w:r>
      <w:r w:rsidR="00A54FA3" w:rsidRPr="00A54FA3">
        <w:rPr>
          <w:vertAlign w:val="superscript"/>
        </w:rPr>
        <w:t>7</w:t>
      </w:r>
      <w:r w:rsidR="00A54FA3" w:rsidRPr="00A54FA3">
        <w:rPr>
          <w:vertAlign w:val="superscript"/>
        </w:rPr>
        <w:fldChar w:fldCharType="end"/>
      </w:r>
      <w:r>
        <w:t xml:space="preserve"> would </w:t>
      </w:r>
      <w:r w:rsidRPr="009F2D5B">
        <w:t>improve symptoms. The ACM noted no patients’ disease worsened throughout the study, which may be interpreted as evidence of some effectiveness.</w:t>
      </w:r>
    </w:p>
    <w:p w14:paraId="5D22AEA5" w14:textId="13151D5B" w:rsidR="00E00595" w:rsidRPr="00362827" w:rsidRDefault="00E00595" w:rsidP="00362827">
      <w:pPr>
        <w:pStyle w:val="Numberbullet0"/>
        <w:rPr>
          <w:b/>
          <w:i/>
          <w:lang w:eastAsia="en-AU"/>
        </w:rPr>
      </w:pPr>
      <w:r w:rsidRPr="00362827">
        <w:rPr>
          <w:b/>
          <w:i/>
          <w:lang w:eastAsia="en-AU"/>
        </w:rPr>
        <w:t xml:space="preserve">In the absence of clinical data regarding the efficacy and safety of avalglucosidase alfa in treatment-naïve patients with </w:t>
      </w:r>
      <w:r w:rsidR="009F2D5B" w:rsidRPr="00362827">
        <w:rPr>
          <w:b/>
          <w:i/>
          <w:lang w:eastAsia="en-AU"/>
        </w:rPr>
        <w:t>infantile</w:t>
      </w:r>
      <w:r w:rsidR="00746DD2">
        <w:rPr>
          <w:b/>
          <w:i/>
          <w:lang w:eastAsia="en-AU"/>
        </w:rPr>
        <w:t>-</w:t>
      </w:r>
      <w:r w:rsidRPr="00362827">
        <w:rPr>
          <w:b/>
          <w:i/>
          <w:lang w:eastAsia="en-AU"/>
        </w:rPr>
        <w:t xml:space="preserve">onset </w:t>
      </w:r>
      <w:proofErr w:type="spellStart"/>
      <w:r w:rsidRPr="00362827">
        <w:rPr>
          <w:b/>
          <w:i/>
          <w:lang w:eastAsia="en-AU"/>
        </w:rPr>
        <w:t>Pompe</w:t>
      </w:r>
      <w:proofErr w:type="spellEnd"/>
      <w:r w:rsidRPr="00362827">
        <w:rPr>
          <w:b/>
          <w:i/>
          <w:lang w:eastAsia="en-AU"/>
        </w:rPr>
        <w:t xml:space="preserve"> disease, what is the opinion of the committee regarding the generalisability of clinical information from patients with late</w:t>
      </w:r>
      <w:r w:rsidR="00746DD2">
        <w:rPr>
          <w:b/>
          <w:i/>
          <w:lang w:eastAsia="en-AU"/>
        </w:rPr>
        <w:t>-</w:t>
      </w:r>
      <w:r w:rsidRPr="00362827">
        <w:rPr>
          <w:b/>
          <w:i/>
          <w:lang w:eastAsia="en-AU"/>
        </w:rPr>
        <w:t xml:space="preserve">onset </w:t>
      </w:r>
      <w:proofErr w:type="spellStart"/>
      <w:r w:rsidRPr="00362827">
        <w:rPr>
          <w:b/>
          <w:i/>
          <w:lang w:eastAsia="en-AU"/>
        </w:rPr>
        <w:t>Pompe</w:t>
      </w:r>
      <w:proofErr w:type="spellEnd"/>
      <w:r w:rsidRPr="00362827">
        <w:rPr>
          <w:b/>
          <w:i/>
          <w:lang w:eastAsia="en-AU"/>
        </w:rPr>
        <w:t xml:space="preserve"> disease and/or treatment-experienced infant patients with </w:t>
      </w:r>
      <w:r w:rsidR="009F2D5B" w:rsidRPr="00362827">
        <w:rPr>
          <w:b/>
          <w:i/>
          <w:lang w:eastAsia="en-AU"/>
        </w:rPr>
        <w:t>infantile</w:t>
      </w:r>
      <w:r w:rsidR="00746DD2">
        <w:rPr>
          <w:b/>
          <w:i/>
          <w:lang w:eastAsia="en-AU"/>
        </w:rPr>
        <w:t>-</w:t>
      </w:r>
      <w:r w:rsidRPr="00362827">
        <w:rPr>
          <w:b/>
          <w:i/>
          <w:lang w:eastAsia="en-AU"/>
        </w:rPr>
        <w:t xml:space="preserve">onset </w:t>
      </w:r>
      <w:proofErr w:type="spellStart"/>
      <w:r w:rsidRPr="00362827">
        <w:rPr>
          <w:b/>
          <w:i/>
          <w:lang w:eastAsia="en-AU"/>
        </w:rPr>
        <w:t>Pompe</w:t>
      </w:r>
      <w:proofErr w:type="spellEnd"/>
      <w:r w:rsidRPr="00362827">
        <w:rPr>
          <w:b/>
          <w:i/>
          <w:lang w:eastAsia="en-AU"/>
        </w:rPr>
        <w:t xml:space="preserve"> disease to this population?</w:t>
      </w:r>
    </w:p>
    <w:p w14:paraId="2AE2B7AD" w14:textId="1E810238" w:rsidR="009F2D5B" w:rsidRDefault="009F2D5B" w:rsidP="009F2D5B">
      <w:r>
        <w:t>While the ACM noted that no efficacy data specific to the treatment naïve infantile</w:t>
      </w:r>
      <w:r w:rsidR="00746DD2">
        <w:t>-</w:t>
      </w:r>
      <w:r>
        <w:t xml:space="preserve">onset </w:t>
      </w:r>
      <w:proofErr w:type="spellStart"/>
      <w:r>
        <w:t>Pompe</w:t>
      </w:r>
      <w:proofErr w:type="spellEnd"/>
      <w:r>
        <w:t xml:space="preserve"> disease patients was provided. The ACM advised that infantile</w:t>
      </w:r>
      <w:r w:rsidR="002A233D">
        <w:t>-</w:t>
      </w:r>
      <w:r>
        <w:t xml:space="preserve">onset </w:t>
      </w:r>
      <w:proofErr w:type="spellStart"/>
      <w:r>
        <w:t>Pompe</w:t>
      </w:r>
      <w:proofErr w:type="spellEnd"/>
      <w:r>
        <w:t xml:space="preserve"> disease and late</w:t>
      </w:r>
      <w:r w:rsidR="002A233D">
        <w:t>-</w:t>
      </w:r>
      <w:r>
        <w:t xml:space="preserve">onset </w:t>
      </w:r>
      <w:proofErr w:type="spellStart"/>
      <w:r>
        <w:t>Pompe</w:t>
      </w:r>
      <w:proofErr w:type="spellEnd"/>
      <w:r>
        <w:t xml:space="preserve"> disease is a spectrum of the same disease and considered that based on the data provided and the understanding of the disease, treatment naïve </w:t>
      </w:r>
      <w:r w:rsidR="00A7516B">
        <w:t>infantile</w:t>
      </w:r>
      <w:r w:rsidR="00A7365A">
        <w:t>-</w:t>
      </w:r>
      <w:r w:rsidR="00A7516B">
        <w:t xml:space="preserve">onset </w:t>
      </w:r>
      <w:proofErr w:type="spellStart"/>
      <w:r w:rsidR="00A7516B">
        <w:t>Pompe</w:t>
      </w:r>
      <w:proofErr w:type="spellEnd"/>
      <w:r w:rsidR="00A7516B">
        <w:t xml:space="preserve"> disease </w:t>
      </w:r>
      <w:r>
        <w:t xml:space="preserve">patients could be expected to respond to avalglucosidase therapy in a similar manner to treatment-experienced patients. The ACM noted that this is an extremely rare and devastating disease and the demand for improved treatment options for </w:t>
      </w:r>
      <w:r w:rsidR="00A7516B">
        <w:t>infantile</w:t>
      </w:r>
      <w:r w:rsidR="00171DF0">
        <w:t>-</w:t>
      </w:r>
      <w:r w:rsidR="00A7516B">
        <w:t xml:space="preserve">onset </w:t>
      </w:r>
      <w:proofErr w:type="spellStart"/>
      <w:r w:rsidR="00A7516B">
        <w:t>Pompe</w:t>
      </w:r>
      <w:proofErr w:type="spellEnd"/>
      <w:r w:rsidR="00A7516B">
        <w:t xml:space="preserve"> disease </w:t>
      </w:r>
      <w:r>
        <w:t>patients was also acknowledged.</w:t>
      </w:r>
    </w:p>
    <w:p w14:paraId="66697886" w14:textId="423C820A" w:rsidR="009F2D5B" w:rsidRPr="009F2D5B" w:rsidRDefault="009F2D5B" w:rsidP="009F2D5B">
      <w:r>
        <w:t xml:space="preserve">The ACM noted that </w:t>
      </w:r>
      <w:r w:rsidR="00A7516B">
        <w:t>infantile</w:t>
      </w:r>
      <w:r w:rsidR="00171DF0">
        <w:t>-</w:t>
      </w:r>
      <w:r w:rsidR="00A7516B">
        <w:t xml:space="preserve">onset </w:t>
      </w:r>
      <w:proofErr w:type="spellStart"/>
      <w:r w:rsidR="00A7516B">
        <w:t>Pompe</w:t>
      </w:r>
      <w:proofErr w:type="spellEnd"/>
      <w:r w:rsidR="00A7516B">
        <w:t xml:space="preserve"> disease </w:t>
      </w:r>
      <w:r>
        <w:t xml:space="preserve">is usually diagnosed at a young age. Given the current lack of data for treatment-naïve </w:t>
      </w:r>
      <w:r w:rsidR="00A7516B">
        <w:t>infantile</w:t>
      </w:r>
      <w:r w:rsidR="00C357B1">
        <w:t>-</w:t>
      </w:r>
      <w:r w:rsidR="00A7516B">
        <w:t xml:space="preserve">onset </w:t>
      </w:r>
      <w:proofErr w:type="spellStart"/>
      <w:r w:rsidR="00A7516B">
        <w:t>Pompe</w:t>
      </w:r>
      <w:proofErr w:type="spellEnd"/>
      <w:r w:rsidR="00A7516B">
        <w:t xml:space="preserve"> disease </w:t>
      </w:r>
      <w:r>
        <w:t xml:space="preserve">and limited data for treatment-experienced </w:t>
      </w:r>
      <w:r w:rsidR="00A7516B">
        <w:t>infantile</w:t>
      </w:r>
      <w:r w:rsidR="00C357B1">
        <w:t>-</w:t>
      </w:r>
      <w:r w:rsidR="00A7516B">
        <w:t xml:space="preserve">onset </w:t>
      </w:r>
      <w:proofErr w:type="spellStart"/>
      <w:r w:rsidR="00A7516B">
        <w:t>Pompe</w:t>
      </w:r>
      <w:proofErr w:type="spellEnd"/>
      <w:r w:rsidR="00A7516B">
        <w:t xml:space="preserve"> disease</w:t>
      </w:r>
      <w:r>
        <w:t>, the ACM recommended that the indication b</w:t>
      </w:r>
      <w:r w:rsidR="00A7516B">
        <w:t xml:space="preserve">e limited to those aged above one </w:t>
      </w:r>
      <w:r>
        <w:t xml:space="preserve">year old, noting that additional data will be available from the proposed Baby-COMET </w:t>
      </w:r>
      <w:r w:rsidR="00A7516B">
        <w:t>trial</w:t>
      </w:r>
      <w:r w:rsidR="00A54FA3">
        <w:t xml:space="preserve"> (</w:t>
      </w:r>
      <w:r w:rsidR="00A54FA3">
        <w:rPr>
          <w:lang w:val="en-GB"/>
        </w:rPr>
        <w:t xml:space="preserve">Study </w:t>
      </w:r>
      <w:r w:rsidR="00A54FA3" w:rsidRPr="00FA46AB">
        <w:rPr>
          <w:lang w:val="en-GB"/>
        </w:rPr>
        <w:t>EFC14462</w:t>
      </w:r>
      <w:r w:rsidR="00A54FA3">
        <w:rPr>
          <w:lang w:val="en-GB"/>
        </w:rPr>
        <w:t>)</w:t>
      </w:r>
      <w:r w:rsidR="002B6B1B" w:rsidRPr="00904D23">
        <w:rPr>
          <w:vertAlign w:val="superscript"/>
          <w:lang w:val="en-GB"/>
        </w:rPr>
        <w:fldChar w:fldCharType="begin"/>
      </w:r>
      <w:r w:rsidR="002B6B1B" w:rsidRPr="00904D23">
        <w:rPr>
          <w:vertAlign w:val="superscript"/>
          <w:lang w:val="en-GB"/>
        </w:rPr>
        <w:instrText xml:space="preserve"> NOTEREF _Ref121307698 \h </w:instrText>
      </w:r>
      <w:r w:rsidR="002B6B1B">
        <w:rPr>
          <w:vertAlign w:val="superscript"/>
          <w:lang w:val="en-GB"/>
        </w:rPr>
        <w:instrText xml:space="preserve"> \* MERGEFORMAT </w:instrText>
      </w:r>
      <w:r w:rsidR="002B6B1B" w:rsidRPr="00904D23">
        <w:rPr>
          <w:vertAlign w:val="superscript"/>
          <w:lang w:val="en-GB"/>
        </w:rPr>
      </w:r>
      <w:r w:rsidR="002B6B1B" w:rsidRPr="00904D23">
        <w:rPr>
          <w:vertAlign w:val="superscript"/>
          <w:lang w:val="en-GB"/>
        </w:rPr>
        <w:fldChar w:fldCharType="separate"/>
      </w:r>
      <w:r w:rsidR="002B6B1B" w:rsidRPr="00904D23">
        <w:rPr>
          <w:vertAlign w:val="superscript"/>
          <w:lang w:val="en-GB"/>
        </w:rPr>
        <w:t>16</w:t>
      </w:r>
      <w:r w:rsidR="002B6B1B" w:rsidRPr="00904D23">
        <w:rPr>
          <w:vertAlign w:val="superscript"/>
          <w:lang w:val="en-GB"/>
        </w:rPr>
        <w:fldChar w:fldCharType="end"/>
      </w:r>
      <w:r>
        <w:t xml:space="preserve"> which is due to end in 2027.</w:t>
      </w:r>
    </w:p>
    <w:p w14:paraId="1692D5EC" w14:textId="607AA4F9" w:rsidR="00E00595" w:rsidRPr="00362827" w:rsidRDefault="00E00595" w:rsidP="00362827">
      <w:pPr>
        <w:pStyle w:val="Numberbullet0"/>
        <w:rPr>
          <w:b/>
          <w:i/>
        </w:rPr>
      </w:pPr>
      <w:r w:rsidRPr="00362827">
        <w:rPr>
          <w:b/>
          <w:i/>
        </w:rPr>
        <w:t>What is the opinion of the committee regarding the safety of home infusions of avalglucosidase alfa in the home environment?</w:t>
      </w:r>
    </w:p>
    <w:p w14:paraId="5C17DD2A" w14:textId="171E256A" w:rsidR="00A7516B" w:rsidRPr="00A7516B" w:rsidRDefault="00A7516B" w:rsidP="00A7516B">
      <w:r w:rsidRPr="00A7516B">
        <w:t xml:space="preserve">The ACM advised that stable patients with sufficient access to emergency services and other risk mitigation strategies in place should have the option to be treated at home. Data in the literature further supports enzyme therapy administration in the home </w:t>
      </w:r>
      <w:proofErr w:type="gramStart"/>
      <w:r w:rsidRPr="00A7516B">
        <w:t>as long as</w:t>
      </w:r>
      <w:proofErr w:type="gramEnd"/>
      <w:r w:rsidRPr="00A7516B">
        <w:t xml:space="preserve"> appropriate supports are in place.</w:t>
      </w:r>
    </w:p>
    <w:p w14:paraId="1A257A61" w14:textId="1148BE17" w:rsidR="00E00595" w:rsidRPr="00362827" w:rsidRDefault="00E00595" w:rsidP="00362827">
      <w:pPr>
        <w:pStyle w:val="Numberbullet0"/>
        <w:rPr>
          <w:b/>
          <w:i/>
        </w:rPr>
      </w:pPr>
      <w:r w:rsidRPr="00362827">
        <w:rPr>
          <w:b/>
          <w:i/>
        </w:rPr>
        <w:lastRenderedPageBreak/>
        <w:t>If home infusions are to be supported in the product information, what is the advice of the committee regarding the availability of clinical support during the infusion period?</w:t>
      </w:r>
    </w:p>
    <w:p w14:paraId="2EB142B0" w14:textId="4491D9D8" w:rsidR="00362827" w:rsidRDefault="00362827" w:rsidP="00362827">
      <w:r w:rsidRPr="00362827">
        <w:t>The ACM advised that the comprehensive checklist outlined in the clinical evaluation report should be used to support home infusion administration. This includes patient specific parameters su</w:t>
      </w:r>
      <w:r>
        <w:t>ch as stable disease, no prior infusion-associated r</w:t>
      </w:r>
      <w:r w:rsidRPr="00362827">
        <w:t>eactions (IAR) in the clinical setting, and strict adherence to the prescribed regimen. Health care providers administering home infusions must also be sufficiently trained to recognise IAR</w:t>
      </w:r>
      <w:r>
        <w:t>s</w:t>
      </w:r>
      <w:r w:rsidRPr="00362827">
        <w:t xml:space="preserve">, perform </w:t>
      </w:r>
      <w:r>
        <w:t>cardiopulmonary resuscitation (</w:t>
      </w:r>
      <w:r w:rsidRPr="00362827">
        <w:t>CPR</w:t>
      </w:r>
      <w:r>
        <w:t>)</w:t>
      </w:r>
      <w:r w:rsidRPr="00362827">
        <w:t xml:space="preserve"> and have ready access to emergency medical services. The ACM also noted that reconstitution of this product is complex, so should be undertaken in a sterile manufacturing pharmacy onsite before being transported to the patient.</w:t>
      </w:r>
    </w:p>
    <w:p w14:paraId="2A5EFBDA" w14:textId="4EFA9FB6" w:rsidR="00362827" w:rsidRDefault="00362827" w:rsidP="00362827">
      <w:pPr>
        <w:pStyle w:val="Numberbullet0"/>
        <w:rPr>
          <w:b/>
          <w:i/>
        </w:rPr>
      </w:pPr>
      <w:r w:rsidRPr="00362827">
        <w:rPr>
          <w:b/>
          <w:i/>
        </w:rPr>
        <w:t>The ACM is requested to provide any other advice applicable to this submission.</w:t>
      </w:r>
    </w:p>
    <w:p w14:paraId="7FCDF28A" w14:textId="71B75126" w:rsidR="00362827" w:rsidRPr="00362827" w:rsidRDefault="00362827" w:rsidP="00362827">
      <w:r w:rsidRPr="00362827">
        <w:t xml:space="preserve">The ACM also discussed the potential clinical benefit of the dosing suggested by the sponsor for </w:t>
      </w:r>
      <w:r>
        <w:t>infantile</w:t>
      </w:r>
      <w:r w:rsidR="00BE66A5">
        <w:t>-</w:t>
      </w:r>
      <w:r>
        <w:t xml:space="preserve">onset </w:t>
      </w:r>
      <w:proofErr w:type="spellStart"/>
      <w:r>
        <w:t>Pompe</w:t>
      </w:r>
      <w:proofErr w:type="spellEnd"/>
      <w:r>
        <w:t xml:space="preserve"> disease </w:t>
      </w:r>
      <w:r w:rsidRPr="00362827">
        <w:t xml:space="preserve">patients (40 mg/kg every 2 weeks) in </w:t>
      </w:r>
      <w:r>
        <w:t>late</w:t>
      </w:r>
      <w:r w:rsidR="00BE66A5">
        <w:t>-</w:t>
      </w:r>
      <w:r>
        <w:t xml:space="preserve">onset </w:t>
      </w:r>
      <w:proofErr w:type="spellStart"/>
      <w:r>
        <w:t>Pompe</w:t>
      </w:r>
      <w:proofErr w:type="spellEnd"/>
      <w:r>
        <w:t xml:space="preserve"> disease </w:t>
      </w:r>
      <w:r w:rsidRPr="00362827">
        <w:t xml:space="preserve">patients, compared with dosing used in the </w:t>
      </w:r>
      <w:r>
        <w:t>late</w:t>
      </w:r>
      <w:r w:rsidR="00BE66A5">
        <w:t>-</w:t>
      </w:r>
      <w:r>
        <w:t xml:space="preserve">onset </w:t>
      </w:r>
      <w:proofErr w:type="spellStart"/>
      <w:r>
        <w:t>Pompe</w:t>
      </w:r>
      <w:proofErr w:type="spellEnd"/>
      <w:r>
        <w:t xml:space="preserve"> disease </w:t>
      </w:r>
      <w:r w:rsidRPr="00362827">
        <w:t>clinical trials (20 mg/kg every 2 weeks). This was considered based on the theory that higher doses are required for sufficient skeletal muscle penetration. The ACM advised, however, that a regulatory decision must be taken from the data submitted in the dossier, rather than clinical judgement and extrapolation. The AC</w:t>
      </w:r>
      <w:r>
        <w:t>M advised a starting dose of 20 </w:t>
      </w:r>
      <w:r w:rsidRPr="00362827">
        <w:t>mg/kg should be stipulated in the PI, in line with the clinical trial data.</w:t>
      </w:r>
    </w:p>
    <w:p w14:paraId="3228EE7B" w14:textId="0240EFA1" w:rsidR="0074163C" w:rsidRDefault="0074163C" w:rsidP="0074163C">
      <w:pPr>
        <w:pStyle w:val="Heading5"/>
      </w:pPr>
      <w:r w:rsidRPr="00F73346">
        <w:t>Conclusion</w:t>
      </w:r>
    </w:p>
    <w:p w14:paraId="77A4C66D" w14:textId="77777777" w:rsidR="00362827" w:rsidRDefault="00362827" w:rsidP="00362827">
      <w:r>
        <w:t>The ACM considered this product to have an overall positive benefit-risk profile for the indication:</w:t>
      </w:r>
    </w:p>
    <w:p w14:paraId="10359A3B" w14:textId="4FD4B54C" w:rsidR="00362827" w:rsidRPr="00362827" w:rsidRDefault="00362827" w:rsidP="00362827">
      <w:pPr>
        <w:ind w:left="720"/>
        <w:rPr>
          <w:i/>
        </w:rPr>
      </w:pPr>
      <w:r w:rsidRPr="00362827">
        <w:rPr>
          <w:i/>
        </w:rPr>
        <w:t>N</w:t>
      </w:r>
      <w:r w:rsidR="00FA46AB">
        <w:rPr>
          <w:i/>
        </w:rPr>
        <w:t>exviazyme is indicated for long</w:t>
      </w:r>
      <w:r w:rsidR="00FA46AB">
        <w:rPr>
          <w:i/>
        </w:rPr>
        <w:noBreakHyphen/>
      </w:r>
      <w:r w:rsidRPr="00362827">
        <w:rPr>
          <w:i/>
        </w:rPr>
        <w:t>term enzyme replacement therapy for the treatment of patients one year of age and o</w:t>
      </w:r>
      <w:r w:rsidR="00FA46AB">
        <w:rPr>
          <w:i/>
        </w:rPr>
        <w:t>lder with Pompe disease (acid α</w:t>
      </w:r>
      <w:r w:rsidR="00FA46AB">
        <w:rPr>
          <w:i/>
        </w:rPr>
        <w:noBreakHyphen/>
      </w:r>
      <w:r w:rsidRPr="00362827">
        <w:rPr>
          <w:i/>
        </w:rPr>
        <w:t>glucosidase deficiency).</w:t>
      </w:r>
    </w:p>
    <w:p w14:paraId="44444B4B" w14:textId="77777777" w:rsidR="008E7846" w:rsidRPr="002E238E" w:rsidRDefault="008E7846" w:rsidP="00D212F3">
      <w:pPr>
        <w:pStyle w:val="Heading2"/>
      </w:pPr>
      <w:bookmarkStart w:id="67" w:name="_Toc117601965"/>
      <w:r>
        <w:t>Outcome</w:t>
      </w:r>
      <w:bookmarkEnd w:id="65"/>
      <w:bookmarkEnd w:id="66"/>
      <w:bookmarkEnd w:id="67"/>
    </w:p>
    <w:p w14:paraId="7D2B9431" w14:textId="18B39CDE" w:rsidR="005540DD" w:rsidRDefault="0074163C" w:rsidP="005540DD">
      <w:bookmarkStart w:id="68" w:name="_Toc247691533"/>
      <w:bookmarkStart w:id="69" w:name="_Toc314842517"/>
      <w:r>
        <w:t xml:space="preserve">Based on a review of quality, </w:t>
      </w:r>
      <w:r w:rsidR="00CC5044">
        <w:t>safety,</w:t>
      </w:r>
      <w:r>
        <w:t xml:space="preserve"> and efficacy, the TGA approved the registration of </w:t>
      </w:r>
      <w:r w:rsidR="00FA46AB">
        <w:t xml:space="preserve">Nexviazyme, </w:t>
      </w:r>
      <w:r w:rsidR="005540DD" w:rsidRPr="005540DD">
        <w:t>avalglucosidase alfa</w:t>
      </w:r>
      <w:r w:rsidR="005540DD">
        <w:t>,</w:t>
      </w:r>
      <w:r w:rsidR="005540DD" w:rsidRPr="005540DD">
        <w:t xml:space="preserve"> powder for injection</w:t>
      </w:r>
      <w:r w:rsidR="005540DD">
        <w:t xml:space="preserve"> </w:t>
      </w:r>
      <w:r w:rsidR="005540DD" w:rsidRPr="005540DD">
        <w:t>100</w:t>
      </w:r>
      <w:r w:rsidR="005540DD">
        <w:t xml:space="preserve"> </w:t>
      </w:r>
      <w:r w:rsidR="005540DD" w:rsidRPr="005540DD">
        <w:t>mg/10</w:t>
      </w:r>
      <w:r w:rsidR="005540DD">
        <w:t xml:space="preserve"> </w:t>
      </w:r>
      <w:r w:rsidR="005540DD" w:rsidRPr="005540DD">
        <w:t xml:space="preserve">mL </w:t>
      </w:r>
      <w:r w:rsidR="00FA46AB">
        <w:t>(</w:t>
      </w:r>
      <w:r w:rsidR="005540DD" w:rsidRPr="005540DD">
        <w:t>vial</w:t>
      </w:r>
      <w:r w:rsidR="00FA46AB">
        <w:t>)</w:t>
      </w:r>
      <w:r w:rsidR="005540DD">
        <w:t>,</w:t>
      </w:r>
      <w:r>
        <w:t xml:space="preserve"> indicated for</w:t>
      </w:r>
      <w:r w:rsidR="005540DD">
        <w:t>:</w:t>
      </w:r>
    </w:p>
    <w:p w14:paraId="4EE5799F" w14:textId="706C3566" w:rsidR="0074163C" w:rsidRPr="005540DD" w:rsidRDefault="005540DD" w:rsidP="005540DD">
      <w:pPr>
        <w:ind w:left="720"/>
      </w:pPr>
      <w:r w:rsidRPr="005540DD">
        <w:rPr>
          <w:i/>
        </w:rPr>
        <w:t>Nexviazyme is indicated for long-term enzyme replacement therapy for the treatment of patients one year of age and older with Pompe disease (acid α-glucosidase deficiency).</w:t>
      </w:r>
    </w:p>
    <w:p w14:paraId="7E64348B" w14:textId="519901A0" w:rsidR="00D23139" w:rsidRDefault="00D23139" w:rsidP="00D212F3">
      <w:pPr>
        <w:pStyle w:val="Heading3"/>
      </w:pPr>
      <w:bookmarkStart w:id="70" w:name="_Toc117601966"/>
      <w:r w:rsidRPr="00D23139">
        <w:t>Specific conditions of registration applying to these goods</w:t>
      </w:r>
      <w:bookmarkEnd w:id="70"/>
    </w:p>
    <w:p w14:paraId="07255C3B" w14:textId="2B474BF7" w:rsidR="005540DD" w:rsidRPr="005540DD" w:rsidRDefault="005540DD" w:rsidP="00FA46AB">
      <w:pPr>
        <w:pStyle w:val="ListBullet"/>
      </w:pPr>
      <w:r w:rsidRPr="005540DD">
        <w:t xml:space="preserve">The Nexviazyme EU-Risk Management Plan (EU-RMP), version 1.2, dated 16 June 2021, data lock point 19 March 2020, with Australian Specific Annex (version 1.2, dated 10 August 2021), included with submission PM-2020-04578-1-3, and any subsequent revisions, as agreed with the TGA will be implemented in Australia. </w:t>
      </w:r>
    </w:p>
    <w:p w14:paraId="28463375" w14:textId="5A25ED3A" w:rsidR="00FA46AB" w:rsidRPr="00FA46AB" w:rsidRDefault="005540DD" w:rsidP="00FA46AB">
      <w:pPr>
        <w:pStyle w:val="ListBullet"/>
        <w:numPr>
          <w:ilvl w:val="0"/>
          <w:numId w:val="0"/>
        </w:numPr>
        <w:ind w:left="360"/>
        <w:rPr>
          <w:lang w:val="en-GB"/>
        </w:rPr>
      </w:pPr>
      <w:r w:rsidRPr="005540DD">
        <w:rPr>
          <w:lang w:val="en-GB"/>
        </w:rPr>
        <w:t>An obligatory component of risk management plans is routine pharmacovigilance. Routine pharmacovigilance includes the submission of periodic safety update reports (PSURs).</w:t>
      </w:r>
    </w:p>
    <w:p w14:paraId="7644A9BF" w14:textId="77777777" w:rsidR="00FA46AB" w:rsidRPr="005540DD" w:rsidRDefault="00FA46AB" w:rsidP="00FA46AB">
      <w:pPr>
        <w:pStyle w:val="ListBullet"/>
        <w:rPr>
          <w:lang w:val="en-GB"/>
        </w:rPr>
      </w:pPr>
      <w:r w:rsidRPr="005540DD">
        <w:rPr>
          <w:lang w:val="en-GB"/>
        </w:rPr>
        <w:t xml:space="preserve">Nexviazyme </w:t>
      </w:r>
      <w:r>
        <w:rPr>
          <w:lang w:val="en-GB"/>
        </w:rPr>
        <w:t>(avalglucosidase a</w:t>
      </w:r>
      <w:r w:rsidRPr="005540DD">
        <w:rPr>
          <w:lang w:val="en-GB"/>
        </w:rPr>
        <w:t>l</w:t>
      </w:r>
      <w:r>
        <w:rPr>
          <w:lang w:val="en-GB"/>
        </w:rPr>
        <w:t>f</w:t>
      </w:r>
      <w:r w:rsidRPr="005540DD">
        <w:rPr>
          <w:lang w:val="en-GB"/>
        </w:rPr>
        <w:t xml:space="preserve">a) is to be included in the Black Triangle Scheme. The PI and CMI for Nexviazyme must include the black triangle symbol and mandatory accompanying text for five years, which starts from the date that the sponsor notifies the TGA of supply of the product. </w:t>
      </w:r>
    </w:p>
    <w:p w14:paraId="30F50F0A" w14:textId="5A5F5E22" w:rsidR="00FA46AB" w:rsidRPr="00FA46AB" w:rsidRDefault="00FA46AB" w:rsidP="00FA46AB">
      <w:pPr>
        <w:pStyle w:val="ListBullet"/>
        <w:rPr>
          <w:lang w:val="en-GB"/>
        </w:rPr>
      </w:pPr>
      <w:r w:rsidRPr="00FA46AB">
        <w:rPr>
          <w:lang w:val="en-GB"/>
        </w:rPr>
        <w:lastRenderedPageBreak/>
        <w:t>The sponsor should provide to the TGA the final study reports for any ongoing or planned clinical studies, as were detailed in the response to second round clinical questions submitted, as they become available. These include final reports for ongoing studies</w:t>
      </w:r>
      <w:r>
        <w:rPr>
          <w:lang w:val="en-GB"/>
        </w:rPr>
        <w:t>:</w:t>
      </w:r>
      <w:r w:rsidRPr="00FA46AB">
        <w:rPr>
          <w:lang w:val="en-GB"/>
        </w:rPr>
        <w:t xml:space="preserve"> </w:t>
      </w:r>
      <w:r>
        <w:rPr>
          <w:lang w:val="en-GB"/>
        </w:rPr>
        <w:t>Study </w:t>
      </w:r>
      <w:r w:rsidRPr="00FA46AB">
        <w:rPr>
          <w:lang w:val="en-GB"/>
        </w:rPr>
        <w:t xml:space="preserve">LTS13769, </w:t>
      </w:r>
      <w:r>
        <w:rPr>
          <w:lang w:val="en-GB"/>
        </w:rPr>
        <w:t xml:space="preserve">Study </w:t>
      </w:r>
      <w:r w:rsidRPr="00FA46AB">
        <w:rPr>
          <w:lang w:val="en-GB"/>
        </w:rPr>
        <w:t>EFC14028 (</w:t>
      </w:r>
      <w:r>
        <w:rPr>
          <w:lang w:val="en-GB"/>
        </w:rPr>
        <w:t xml:space="preserve">the </w:t>
      </w:r>
      <w:r w:rsidRPr="00FA46AB">
        <w:rPr>
          <w:lang w:val="en-GB"/>
        </w:rPr>
        <w:t>COMET</w:t>
      </w:r>
      <w:r>
        <w:rPr>
          <w:lang w:val="en-GB"/>
        </w:rPr>
        <w:t xml:space="preserve"> trial</w:t>
      </w:r>
      <w:r w:rsidRPr="00FA46AB">
        <w:rPr>
          <w:lang w:val="en-GB"/>
        </w:rPr>
        <w:t xml:space="preserve">) and </w:t>
      </w:r>
      <w:r>
        <w:rPr>
          <w:lang w:val="en-GB"/>
        </w:rPr>
        <w:t xml:space="preserve">Study </w:t>
      </w:r>
      <w:r w:rsidRPr="00FA46AB">
        <w:rPr>
          <w:lang w:val="en-GB"/>
        </w:rPr>
        <w:t>ACT14132 (</w:t>
      </w:r>
      <w:r>
        <w:rPr>
          <w:lang w:val="en-GB"/>
        </w:rPr>
        <w:t>the Mini</w:t>
      </w:r>
      <w:r>
        <w:rPr>
          <w:lang w:val="en-GB"/>
        </w:rPr>
        <w:noBreakHyphen/>
      </w:r>
      <w:r w:rsidRPr="00FA46AB">
        <w:rPr>
          <w:lang w:val="en-GB"/>
        </w:rPr>
        <w:t>COMET</w:t>
      </w:r>
      <w:r>
        <w:rPr>
          <w:lang w:val="en-GB"/>
        </w:rPr>
        <w:t xml:space="preserve"> trial</w:t>
      </w:r>
      <w:r w:rsidRPr="00FA46AB">
        <w:rPr>
          <w:lang w:val="en-GB"/>
        </w:rPr>
        <w:t xml:space="preserve">), as well as the planned study in treatment-naïve infants with </w:t>
      </w:r>
      <w:r>
        <w:rPr>
          <w:lang w:val="en-GB"/>
        </w:rPr>
        <w:t>infantile</w:t>
      </w:r>
      <w:r>
        <w:rPr>
          <w:lang w:val="en-GB"/>
        </w:rPr>
        <w:noBreakHyphen/>
        <w:t>onset Pompe disease,</w:t>
      </w:r>
      <w:r w:rsidRPr="00FA46AB">
        <w:rPr>
          <w:lang w:val="en-GB"/>
        </w:rPr>
        <w:t xml:space="preserve"> </w:t>
      </w:r>
      <w:r>
        <w:rPr>
          <w:lang w:val="en-GB"/>
        </w:rPr>
        <w:t xml:space="preserve">Study </w:t>
      </w:r>
      <w:r w:rsidRPr="00FA46AB">
        <w:rPr>
          <w:lang w:val="en-GB"/>
        </w:rPr>
        <w:t>EFC14462 (</w:t>
      </w:r>
      <w:r>
        <w:rPr>
          <w:lang w:val="en-GB"/>
        </w:rPr>
        <w:t xml:space="preserve">the </w:t>
      </w:r>
      <w:r w:rsidRPr="00FA46AB">
        <w:rPr>
          <w:lang w:val="en-GB"/>
        </w:rPr>
        <w:t>Baby-COMET</w:t>
      </w:r>
      <w:r>
        <w:rPr>
          <w:lang w:val="en-GB"/>
        </w:rPr>
        <w:t xml:space="preserve"> trial</w:t>
      </w:r>
      <w:r w:rsidRPr="00FA46AB">
        <w:rPr>
          <w:lang w:val="en-GB"/>
        </w:rPr>
        <w:t>)</w:t>
      </w:r>
      <w:r>
        <w:rPr>
          <w:lang w:val="en-GB"/>
        </w:rPr>
        <w:t>.</w:t>
      </w:r>
    </w:p>
    <w:p w14:paraId="68049513" w14:textId="6D4CDB01" w:rsidR="00FA46AB" w:rsidRPr="00FA46AB" w:rsidRDefault="00FA46AB" w:rsidP="005540DD">
      <w:pPr>
        <w:pStyle w:val="ListBullet"/>
        <w:rPr>
          <w:lang w:val="en-GB"/>
        </w:rPr>
      </w:pPr>
      <w:r w:rsidRPr="00FA46AB">
        <w:rPr>
          <w:lang w:val="en-GB"/>
        </w:rPr>
        <w:t>All batches of Nexviazyme supplied in Australia must comply with the product details and specifications approved during evaluation and detailed in the Certified Product Details (CPD).</w:t>
      </w:r>
    </w:p>
    <w:p w14:paraId="2E04DCD9" w14:textId="77777777" w:rsidR="008E7846" w:rsidRDefault="00A80B5B" w:rsidP="00D23139">
      <w:pPr>
        <w:pStyle w:val="Heading2"/>
      </w:pPr>
      <w:bookmarkStart w:id="71" w:name="_Toc117601967"/>
      <w:r>
        <w:t xml:space="preserve">Attachment 1. </w:t>
      </w:r>
      <w:r w:rsidR="008E7846">
        <w:t xml:space="preserve">Product </w:t>
      </w:r>
      <w:r w:rsidR="00AA0ED0">
        <w:t>I</w:t>
      </w:r>
      <w:r w:rsidR="008E7846">
        <w:t>nformation</w:t>
      </w:r>
      <w:bookmarkEnd w:id="68"/>
      <w:bookmarkEnd w:id="69"/>
      <w:bookmarkEnd w:id="71"/>
    </w:p>
    <w:p w14:paraId="495ABFF3" w14:textId="0E5F971A" w:rsidR="0074163C" w:rsidRPr="005540DD" w:rsidRDefault="006136D7" w:rsidP="00C80137">
      <w:r w:rsidRPr="002B3624">
        <w:t xml:space="preserve">The </w:t>
      </w:r>
      <w:r>
        <w:t>PI</w:t>
      </w:r>
      <w:r w:rsidRPr="002B3624">
        <w:t xml:space="preserve"> for </w:t>
      </w:r>
      <w:r w:rsidR="005540DD">
        <w:t xml:space="preserve">Nexviazyme </w:t>
      </w:r>
      <w:r>
        <w:t xml:space="preserve">approved with the submission which is described in </w:t>
      </w:r>
      <w:r w:rsidRPr="002B3624">
        <w:t>this AusPAR is at Attachment 1.</w:t>
      </w:r>
      <w:r w:rsidR="00CC5044">
        <w:t xml:space="preserve"> </w:t>
      </w:r>
      <w:r w:rsidR="0074163C" w:rsidRPr="00940A89">
        <w:t xml:space="preserve">For the most recent </w:t>
      </w:r>
      <w:r w:rsidR="0074163C">
        <w:t>PI,</w:t>
      </w:r>
      <w:r w:rsidR="0074163C" w:rsidRPr="00940A89">
        <w:t xml:space="preserve"> ple</w:t>
      </w:r>
      <w:r w:rsidR="0074163C">
        <w:t xml:space="preserve">ase refer to the TGA </w:t>
      </w:r>
      <w:hyperlink r:id="rId26" w:history="1">
        <w:r w:rsidR="0074163C" w:rsidRPr="008A698E">
          <w:rPr>
            <w:rStyle w:val="Hyperlink"/>
          </w:rPr>
          <w:t>PI/CMI search facility.</w:t>
        </w:r>
      </w:hyperlink>
    </w:p>
    <w:p w14:paraId="68B1CBE5" w14:textId="27562397" w:rsidR="00C80137" w:rsidRPr="001D043B" w:rsidRDefault="00C80137" w:rsidP="00FA46AB">
      <w:pPr>
        <w:autoSpaceDE w:val="0"/>
        <w:autoSpaceDN w:val="0"/>
        <w:adjustRightInd w:val="0"/>
        <w:spacing w:after="0"/>
        <w:sectPr w:rsidR="00C80137" w:rsidRPr="001D043B" w:rsidSect="00B452CE">
          <w:headerReference w:type="even" r:id="rId27"/>
          <w:headerReference w:type="default" r:id="rId28"/>
          <w:headerReference w:type="first" r:id="rId29"/>
          <w:footerReference w:type="first" r:id="rId30"/>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67F5BBF9" w14:textId="77777777" w:rsidTr="00A05FA4">
        <w:trPr>
          <w:trHeight w:hRule="exact" w:val="704"/>
        </w:trPr>
        <w:tc>
          <w:tcPr>
            <w:tcW w:w="9175" w:type="dxa"/>
          </w:tcPr>
          <w:p w14:paraId="07E7F02E" w14:textId="77777777" w:rsidR="001C32CD" w:rsidRPr="00487162" w:rsidRDefault="001C32CD" w:rsidP="00A05FA4">
            <w:pPr>
              <w:pStyle w:val="TGASignoff"/>
            </w:pPr>
            <w:r w:rsidRPr="00487162">
              <w:lastRenderedPageBreak/>
              <w:t>Therapeutic Goods Administration</w:t>
            </w:r>
          </w:p>
        </w:tc>
      </w:tr>
      <w:tr w:rsidR="001C32CD" w:rsidRPr="004C239D" w14:paraId="491EECD0" w14:textId="77777777" w:rsidTr="00A05FA4">
        <w:trPr>
          <w:trHeight w:val="1221"/>
        </w:trPr>
        <w:tc>
          <w:tcPr>
            <w:tcW w:w="9175" w:type="dxa"/>
            <w:tcMar>
              <w:top w:w="28" w:type="dxa"/>
            </w:tcMar>
          </w:tcPr>
          <w:p w14:paraId="59392030" w14:textId="77777777" w:rsidR="001C32CD" w:rsidRPr="00487162" w:rsidRDefault="001C32CD" w:rsidP="00A05FA4">
            <w:pPr>
              <w:pStyle w:val="Address"/>
            </w:pPr>
            <w:r w:rsidRPr="00487162">
              <w:t>PO Box 100 Woden ACT 2606 Australia</w:t>
            </w:r>
          </w:p>
          <w:p w14:paraId="7F94BE61" w14:textId="77777777" w:rsidR="001C32CD" w:rsidRPr="00487162" w:rsidRDefault="001C32CD" w:rsidP="00A05FA4">
            <w:pPr>
              <w:pStyle w:val="Address"/>
            </w:pPr>
            <w:r w:rsidRPr="00487162">
              <w:t xml:space="preserve">Email: </w:t>
            </w:r>
            <w:hyperlink r:id="rId31" w:history="1">
              <w:r w:rsidRPr="004C239D">
                <w:rPr>
                  <w:rStyle w:val="Hyperlink"/>
                </w:rPr>
                <w:t>info@tga.gov.au</w:t>
              </w:r>
            </w:hyperlink>
            <w:r w:rsidRPr="00487162">
              <w:t xml:space="preserve">  Phone: 1800 020 </w:t>
            </w:r>
            <w:proofErr w:type="gramStart"/>
            <w:r w:rsidRPr="00487162">
              <w:t>653  Fax</w:t>
            </w:r>
            <w:proofErr w:type="gramEnd"/>
            <w:r w:rsidRPr="00487162">
              <w:t>: 02 6232 8605</w:t>
            </w:r>
          </w:p>
          <w:p w14:paraId="0858937E" w14:textId="77777777" w:rsidR="001C32CD" w:rsidRPr="004C239D" w:rsidRDefault="00075C59" w:rsidP="00A05FA4">
            <w:pPr>
              <w:pStyle w:val="Address"/>
              <w:spacing w:line="260" w:lineRule="atLeast"/>
              <w:rPr>
                <w:b/>
                <w:color w:val="0000FF"/>
                <w:u w:val="single"/>
              </w:rPr>
            </w:pPr>
            <w:hyperlink r:id="rId32" w:history="1">
              <w:r w:rsidR="007C6B9B" w:rsidRPr="007C6B9B">
                <w:rPr>
                  <w:rStyle w:val="Hyperlink"/>
                  <w:b/>
                </w:rPr>
                <w:t>https://www.tga.gov.au</w:t>
              </w:r>
            </w:hyperlink>
          </w:p>
        </w:tc>
      </w:tr>
    </w:tbl>
    <w:p w14:paraId="426FCF90" w14:textId="77777777" w:rsidR="00774E1D" w:rsidRPr="008A5E0B" w:rsidRDefault="00774E1D" w:rsidP="004C239D"/>
    <w:sectPr w:rsidR="00774E1D" w:rsidRPr="008A5E0B" w:rsidSect="001C32CD">
      <w:headerReference w:type="even" r:id="rId33"/>
      <w:headerReference w:type="default" r:id="rId34"/>
      <w:footerReference w:type="default" r:id="rId35"/>
      <w:headerReference w:type="first" r:id="rId36"/>
      <w:footerReference w:type="first" r:id="rId37"/>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F26A2" w14:textId="77777777" w:rsidR="00A63AF3" w:rsidRDefault="00A63AF3" w:rsidP="00C40A36">
      <w:pPr>
        <w:spacing w:after="0"/>
      </w:pPr>
      <w:r>
        <w:separator/>
      </w:r>
    </w:p>
  </w:endnote>
  <w:endnote w:type="continuationSeparator" w:id="0">
    <w:p w14:paraId="41E40D63" w14:textId="77777777" w:rsidR="00A63AF3" w:rsidRDefault="00A63AF3" w:rsidP="00C40A36">
      <w:pPr>
        <w:spacing w:after="0"/>
      </w:pPr>
      <w:r>
        <w:continuationSeparator/>
      </w:r>
    </w:p>
  </w:endnote>
  <w:endnote w:type="continuationNotice" w:id="1">
    <w:p w14:paraId="59BF3C54" w14:textId="77777777" w:rsidR="00A63AF3" w:rsidRDefault="00A63AF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A63AF3" w:rsidRPr="00487162" w14:paraId="4A351AED" w14:textId="77777777" w:rsidTr="00DB750B">
      <w:trPr>
        <w:trHeight w:val="269"/>
      </w:trPr>
      <w:tc>
        <w:tcPr>
          <w:tcW w:w="7371" w:type="dxa"/>
          <w:tcMar>
            <w:top w:w="142" w:type="dxa"/>
            <w:bottom w:w="0" w:type="dxa"/>
          </w:tcMar>
        </w:tcPr>
        <w:p w14:paraId="0959F3F1" w14:textId="270A766F" w:rsidR="00A63AF3" w:rsidRPr="00487162" w:rsidRDefault="00A63AF3" w:rsidP="00E34C9E">
          <w:pPr>
            <w:pStyle w:val="Footer"/>
          </w:pPr>
          <w:r w:rsidRPr="00487162">
            <w:t>AusPA</w:t>
          </w:r>
          <w:r>
            <w:t>R - Nexviazyme – Avalglucosidase alfa</w:t>
          </w:r>
          <w:r w:rsidRPr="00460036">
            <w:t xml:space="preserve"> </w:t>
          </w:r>
          <w:r>
            <w:t xml:space="preserve">– Sanofi-Aventis Australia Pty Ltd </w:t>
          </w:r>
          <w:r w:rsidRPr="00E34C9E">
            <w:t>PM-2020-05478-1-3</w:t>
          </w:r>
          <w:r>
            <w:br/>
          </w:r>
          <w:r w:rsidR="00904D23">
            <w:t>FINAL</w:t>
          </w:r>
          <w:r w:rsidRPr="00487162">
            <w:t xml:space="preserve"> </w:t>
          </w:r>
          <w:r w:rsidR="00904D23">
            <w:t>8 December</w:t>
          </w:r>
          <w:r>
            <w:t xml:space="preserve"> 2022</w:t>
          </w:r>
        </w:p>
      </w:tc>
      <w:tc>
        <w:tcPr>
          <w:tcW w:w="1490" w:type="dxa"/>
          <w:tcMar>
            <w:top w:w="142" w:type="dxa"/>
            <w:bottom w:w="0" w:type="dxa"/>
          </w:tcMar>
        </w:tcPr>
        <w:p w14:paraId="5AF027D6" w14:textId="5983FFF6" w:rsidR="00A63AF3" w:rsidRPr="00487162" w:rsidRDefault="00A63AF3" w:rsidP="00DB750B">
          <w:pPr>
            <w:pStyle w:val="Footer"/>
            <w:jc w:val="right"/>
          </w:pPr>
          <w:r w:rsidRPr="00487162">
            <w:t xml:space="preserve">Page </w:t>
          </w:r>
          <w:r>
            <w:fldChar w:fldCharType="begin"/>
          </w:r>
          <w:r>
            <w:instrText xml:space="preserve"> PAGE  \* Arabic </w:instrText>
          </w:r>
          <w:r>
            <w:fldChar w:fldCharType="separate"/>
          </w:r>
          <w:r w:rsidR="002B6B1B">
            <w:rPr>
              <w:noProof/>
            </w:rPr>
            <w:t>41</w:t>
          </w:r>
          <w:r>
            <w:fldChar w:fldCharType="end"/>
          </w:r>
          <w:r w:rsidRPr="00487162">
            <w:t xml:space="preserve"> of </w:t>
          </w:r>
          <w:r>
            <w:fldChar w:fldCharType="begin"/>
          </w:r>
          <w:r>
            <w:instrText>NUMPAGES  \* Arabic</w:instrText>
          </w:r>
          <w:r>
            <w:fldChar w:fldCharType="separate"/>
          </w:r>
          <w:r w:rsidR="002B6B1B">
            <w:rPr>
              <w:noProof/>
            </w:rPr>
            <w:t>42</w:t>
          </w:r>
          <w:r>
            <w:fldChar w:fldCharType="end"/>
          </w:r>
        </w:p>
      </w:tc>
    </w:tr>
  </w:tbl>
  <w:p w14:paraId="7256DC4C" w14:textId="77777777" w:rsidR="00A63AF3" w:rsidRDefault="00A63AF3"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A63AF3" w:rsidRPr="00487162" w14:paraId="25896619" w14:textId="77777777" w:rsidTr="00E45619">
      <w:trPr>
        <w:trHeight w:val="269"/>
      </w:trPr>
      <w:tc>
        <w:tcPr>
          <w:tcW w:w="4519" w:type="dxa"/>
          <w:tcBorders>
            <w:top w:val="single" w:sz="4" w:space="0" w:color="auto"/>
          </w:tcBorders>
          <w:tcMar>
            <w:top w:w="142" w:type="dxa"/>
            <w:bottom w:w="0" w:type="dxa"/>
          </w:tcMar>
        </w:tcPr>
        <w:p w14:paraId="0312FAAB" w14:textId="77777777" w:rsidR="00A63AF3" w:rsidRPr="00487162" w:rsidRDefault="00A63AF3" w:rsidP="00FE1DEE">
          <w:pPr>
            <w:pStyle w:val="Footer"/>
          </w:pPr>
          <w:r w:rsidRPr="00487162">
            <w:t>Document title, Part #, Section # - Section title</w:t>
          </w:r>
        </w:p>
        <w:p w14:paraId="0A27333D" w14:textId="77777777" w:rsidR="00A63AF3" w:rsidRPr="00487162" w:rsidRDefault="00A63AF3" w:rsidP="00FE1DEE">
          <w:pPr>
            <w:pStyle w:val="Footer"/>
          </w:pPr>
          <w:r w:rsidRPr="00487162">
            <w:t>V1.0 October 2010</w:t>
          </w:r>
        </w:p>
      </w:tc>
      <w:tc>
        <w:tcPr>
          <w:tcW w:w="4342" w:type="dxa"/>
          <w:tcBorders>
            <w:top w:val="single" w:sz="4" w:space="0" w:color="auto"/>
          </w:tcBorders>
          <w:tcMar>
            <w:top w:w="142" w:type="dxa"/>
            <w:bottom w:w="0" w:type="dxa"/>
          </w:tcMar>
        </w:tcPr>
        <w:p w14:paraId="1CE558B9" w14:textId="77777777" w:rsidR="00A63AF3" w:rsidRPr="00487162" w:rsidRDefault="00A63AF3"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NUMPAGES</w:instrText>
          </w:r>
          <w:r>
            <w:fldChar w:fldCharType="separate"/>
          </w:r>
          <w:r>
            <w:rPr>
              <w:noProof/>
            </w:rPr>
            <w:t>21</w:t>
          </w:r>
          <w:r>
            <w:fldChar w:fldCharType="end"/>
          </w:r>
        </w:p>
      </w:tc>
    </w:tr>
  </w:tbl>
  <w:p w14:paraId="231EA0D1" w14:textId="77777777" w:rsidR="00A63AF3" w:rsidRDefault="00A63A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C0C0" w14:textId="77777777" w:rsidR="00A63AF3" w:rsidRPr="001C32CD" w:rsidRDefault="00A63AF3"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A63AF3" w14:paraId="03D38264" w14:textId="77777777" w:rsidTr="0010601F">
      <w:trPr>
        <w:trHeight w:val="108"/>
      </w:trPr>
      <w:tc>
        <w:tcPr>
          <w:tcW w:w="8875" w:type="dxa"/>
          <w:gridSpan w:val="2"/>
          <w:tcBorders>
            <w:bottom w:val="single" w:sz="4" w:space="0" w:color="auto"/>
          </w:tcBorders>
          <w:tcMar>
            <w:right w:w="284" w:type="dxa"/>
          </w:tcMar>
        </w:tcPr>
        <w:p w14:paraId="1350CBAA" w14:textId="77777777" w:rsidR="00A63AF3" w:rsidRDefault="00A63AF3" w:rsidP="006E08B3">
          <w:pPr>
            <w:pStyle w:val="Heading3"/>
          </w:pPr>
          <w:r>
            <w:t>Copyright</w:t>
          </w:r>
        </w:p>
        <w:p w14:paraId="1DA1F946" w14:textId="77777777" w:rsidR="00A63AF3" w:rsidRDefault="00A63AF3" w:rsidP="006E08B3">
          <w:r>
            <w:rPr>
              <w:rFonts w:cs="Arial"/>
            </w:rPr>
            <w:t>©</w:t>
          </w:r>
          <w:r>
            <w:t xml:space="preserve"> Commonwealth of Australia [add year]</w:t>
          </w:r>
        </w:p>
        <w:p w14:paraId="69E4B4F7" w14:textId="77777777" w:rsidR="00A63AF3" w:rsidRDefault="00A63AF3" w:rsidP="006E08B3"/>
        <w:p w14:paraId="05FF4CF6" w14:textId="77777777" w:rsidR="00A63AF3" w:rsidRDefault="00A63AF3"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2E383C0E" w14:textId="77777777" w:rsidR="00A63AF3" w:rsidRDefault="00A63AF3" w:rsidP="006E08B3"/>
        <w:p w14:paraId="3E64B1E3" w14:textId="77777777" w:rsidR="00A63AF3" w:rsidRDefault="00A63AF3" w:rsidP="006E08B3">
          <w:pPr>
            <w:pStyle w:val="Heading3"/>
          </w:pPr>
          <w:r>
            <w:t>Confidentiality</w:t>
          </w:r>
        </w:p>
        <w:p w14:paraId="38093246" w14:textId="77777777" w:rsidR="00A63AF3" w:rsidRDefault="00A63AF3"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53DA74FB" w14:textId="77777777" w:rsidR="00A63AF3" w:rsidRDefault="00A63AF3" w:rsidP="006E08B3"/>
        <w:p w14:paraId="7EC69AF2" w14:textId="77777777" w:rsidR="00A63AF3" w:rsidRDefault="00A63AF3" w:rsidP="006E08B3">
          <w:r>
            <w:t>For submission made by individuals, all personal details, other than your name, will be removed from your submission before it is published on the TGA’s Internet site.</w:t>
          </w:r>
        </w:p>
        <w:p w14:paraId="243326FC" w14:textId="77777777" w:rsidR="00A63AF3" w:rsidRDefault="00A63AF3" w:rsidP="006E08B3"/>
        <w:p w14:paraId="596B48C5" w14:textId="25116FC6" w:rsidR="00A63AF3" w:rsidRDefault="00A63AF3" w:rsidP="006E08B3">
          <w:r>
            <w:t>In addition, a list of parties making submissions will be published. If you do not wish to be identified with your submission you must specifically request this in the space provided in the submission coversheet.</w:t>
          </w:r>
        </w:p>
      </w:tc>
    </w:tr>
    <w:tr w:rsidR="00A63AF3" w14:paraId="006854E3" w14:textId="77777777" w:rsidTr="0010601F">
      <w:trPr>
        <w:trHeight w:val="417"/>
      </w:trPr>
      <w:tc>
        <w:tcPr>
          <w:tcW w:w="4519" w:type="dxa"/>
          <w:tcBorders>
            <w:top w:val="single" w:sz="4" w:space="0" w:color="auto"/>
          </w:tcBorders>
          <w:tcMar>
            <w:top w:w="142" w:type="dxa"/>
            <w:bottom w:w="0" w:type="dxa"/>
          </w:tcMar>
        </w:tcPr>
        <w:p w14:paraId="643DDB1E" w14:textId="77777777" w:rsidR="00A63AF3" w:rsidRDefault="00A63AF3" w:rsidP="006E08B3">
          <w:r>
            <w:t>Document title, Part #, Section # - Section title</w:t>
          </w:r>
        </w:p>
        <w:p w14:paraId="340BEEDB" w14:textId="77777777" w:rsidR="00A63AF3" w:rsidRDefault="00A63AF3" w:rsidP="006E08B3">
          <w:r>
            <w:t>V1.0 October 2010</w:t>
          </w:r>
        </w:p>
      </w:tc>
      <w:tc>
        <w:tcPr>
          <w:tcW w:w="4356" w:type="dxa"/>
          <w:tcBorders>
            <w:top w:val="single" w:sz="4" w:space="0" w:color="auto"/>
          </w:tcBorders>
          <w:tcMar>
            <w:top w:w="142" w:type="dxa"/>
            <w:bottom w:w="0" w:type="dxa"/>
          </w:tcMar>
        </w:tcPr>
        <w:p w14:paraId="48D7230C" w14:textId="77777777" w:rsidR="00A63AF3" w:rsidRDefault="00A63AF3"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NUMPAGES  \* Arabic</w:instrText>
          </w:r>
          <w:r>
            <w:fldChar w:fldCharType="separate"/>
          </w:r>
          <w:r>
            <w:rPr>
              <w:noProof/>
            </w:rPr>
            <w:t>21</w:t>
          </w:r>
          <w:r>
            <w:fldChar w:fldCharType="end"/>
          </w:r>
          <w:r>
            <w:t xml:space="preserve">  </w:t>
          </w:r>
        </w:p>
      </w:tc>
    </w:tr>
  </w:tbl>
  <w:p w14:paraId="3D8D2D8E" w14:textId="77777777" w:rsidR="00A63AF3" w:rsidRDefault="00A63A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6893F" w14:textId="77777777" w:rsidR="00A63AF3" w:rsidRDefault="00A63AF3" w:rsidP="00C40A36">
      <w:pPr>
        <w:spacing w:after="0"/>
      </w:pPr>
      <w:r>
        <w:separator/>
      </w:r>
    </w:p>
  </w:footnote>
  <w:footnote w:type="continuationSeparator" w:id="0">
    <w:p w14:paraId="2E2DE3DF" w14:textId="77777777" w:rsidR="00A63AF3" w:rsidRDefault="00A63AF3" w:rsidP="00C40A36">
      <w:pPr>
        <w:spacing w:after="0"/>
      </w:pPr>
      <w:r>
        <w:continuationSeparator/>
      </w:r>
    </w:p>
  </w:footnote>
  <w:footnote w:type="continuationNotice" w:id="1">
    <w:p w14:paraId="57CC7636" w14:textId="77777777" w:rsidR="00A63AF3" w:rsidRDefault="00A63AF3">
      <w:pPr>
        <w:spacing w:before="0" w:after="0" w:line="240" w:lineRule="auto"/>
      </w:pPr>
    </w:p>
  </w:footnote>
  <w:footnote w:id="2">
    <w:p w14:paraId="1E345F07" w14:textId="77777777" w:rsidR="00A63AF3" w:rsidRPr="0085333D" w:rsidRDefault="00A63AF3" w:rsidP="000722C6">
      <w:pPr>
        <w:pStyle w:val="FootnoteText"/>
      </w:pPr>
      <w:r>
        <w:rPr>
          <w:rStyle w:val="FootnoteReference"/>
        </w:rPr>
        <w:footnoteRef/>
      </w:r>
      <w:r>
        <w:t xml:space="preserve"> Do HV, Khanna R, </w:t>
      </w:r>
      <w:proofErr w:type="spellStart"/>
      <w:r>
        <w:t>Gotschall</w:t>
      </w:r>
      <w:proofErr w:type="spellEnd"/>
      <w:r>
        <w:t xml:space="preserve"> R. Challenges in treating Pompe disease: an industry perspective. </w:t>
      </w:r>
      <w:r w:rsidRPr="0085333D">
        <w:rPr>
          <w:i/>
        </w:rPr>
        <w:t>Annals of Translational Medicine</w:t>
      </w:r>
      <w:r>
        <w:t>. 2019 Jul;7(13):291. 16 p.</w:t>
      </w:r>
    </w:p>
  </w:footnote>
  <w:footnote w:id="3">
    <w:p w14:paraId="4E9D9E69" w14:textId="2EB3B612" w:rsidR="00A63AF3" w:rsidRPr="005814A4" w:rsidRDefault="00A63AF3">
      <w:pPr>
        <w:pStyle w:val="FootnoteText"/>
        <w:rPr>
          <w:lang w:val="en-GB"/>
        </w:rPr>
      </w:pPr>
      <w:r>
        <w:rPr>
          <w:rStyle w:val="FootnoteReference"/>
        </w:rPr>
        <w:footnoteRef/>
      </w:r>
      <w:r>
        <w:t xml:space="preserve"> </w:t>
      </w:r>
      <w:r w:rsidRPr="005814A4">
        <w:t xml:space="preserve">Merritt JL II, et al. (2020) Lysosomal acid alpha-glucosidase deficiency (Pompe disease, glycogen storage disease II, acid maltase deficiency. </w:t>
      </w:r>
      <w:r w:rsidRPr="005814A4">
        <w:rPr>
          <w:i/>
        </w:rPr>
        <w:t>UpToDate.com</w:t>
      </w:r>
      <w:r>
        <w:t>.</w:t>
      </w:r>
    </w:p>
  </w:footnote>
  <w:footnote w:id="4">
    <w:p w14:paraId="57AA9DB2" w14:textId="77777777" w:rsidR="00A63AF3" w:rsidRPr="00520DD5" w:rsidRDefault="00A63AF3" w:rsidP="00CD3FD7">
      <w:pPr>
        <w:pStyle w:val="FootnoteText"/>
      </w:pPr>
      <w:r>
        <w:rPr>
          <w:rStyle w:val="FootnoteReference"/>
        </w:rPr>
        <w:footnoteRef/>
      </w:r>
      <w:r>
        <w:t xml:space="preserve"> V</w:t>
      </w:r>
      <w:r w:rsidRPr="00520DD5">
        <w:t xml:space="preserve">an Capelle CI, Van der </w:t>
      </w:r>
      <w:proofErr w:type="spellStart"/>
      <w:r w:rsidRPr="00520DD5">
        <w:t>Meijden</w:t>
      </w:r>
      <w:proofErr w:type="spellEnd"/>
      <w:r w:rsidRPr="00520DD5">
        <w:t xml:space="preserve"> JC, Van der </w:t>
      </w:r>
      <w:proofErr w:type="spellStart"/>
      <w:r w:rsidRPr="00520DD5">
        <w:t>Hout</w:t>
      </w:r>
      <w:proofErr w:type="spellEnd"/>
      <w:r w:rsidRPr="00520DD5">
        <w:t xml:space="preserve"> JM, </w:t>
      </w:r>
      <w:proofErr w:type="spellStart"/>
      <w:r w:rsidRPr="00520DD5">
        <w:t>Jaeken</w:t>
      </w:r>
      <w:proofErr w:type="spellEnd"/>
      <w:r w:rsidRPr="00520DD5">
        <w:t xml:space="preserve"> J, </w:t>
      </w:r>
      <w:proofErr w:type="spellStart"/>
      <w:r w:rsidRPr="00520DD5">
        <w:t>Baethmann</w:t>
      </w:r>
      <w:proofErr w:type="spellEnd"/>
      <w:r w:rsidRPr="00520DD5">
        <w:t xml:space="preserve"> M, </w:t>
      </w:r>
      <w:proofErr w:type="spellStart"/>
      <w:r w:rsidRPr="00520DD5">
        <w:t>Voit</w:t>
      </w:r>
      <w:proofErr w:type="spellEnd"/>
      <w:r w:rsidRPr="00520DD5">
        <w:t xml:space="preserve"> T, </w:t>
      </w:r>
      <w:proofErr w:type="spellStart"/>
      <w:r w:rsidRPr="00520DD5">
        <w:t>Kroos</w:t>
      </w:r>
      <w:proofErr w:type="spellEnd"/>
      <w:r w:rsidRPr="00520DD5">
        <w:t xml:space="preserve"> MA, Derks TGJ, Rubio-</w:t>
      </w:r>
      <w:proofErr w:type="spellStart"/>
      <w:r w:rsidRPr="00520DD5">
        <w:t>Gozalbo</w:t>
      </w:r>
      <w:proofErr w:type="spellEnd"/>
      <w:r w:rsidRPr="00520DD5">
        <w:t xml:space="preserve"> ME, Willemsen MA, </w:t>
      </w:r>
      <w:proofErr w:type="spellStart"/>
      <w:r w:rsidRPr="00520DD5">
        <w:t>Lachmann</w:t>
      </w:r>
      <w:proofErr w:type="spellEnd"/>
      <w:r w:rsidRPr="00520DD5">
        <w:t xml:space="preserve"> RH, </w:t>
      </w:r>
      <w:proofErr w:type="spellStart"/>
      <w:r w:rsidRPr="00520DD5">
        <w:t>Mengel</w:t>
      </w:r>
      <w:proofErr w:type="spellEnd"/>
      <w:r w:rsidRPr="00520DD5">
        <w:t xml:space="preserve"> E, </w:t>
      </w:r>
      <w:proofErr w:type="spellStart"/>
      <w:r w:rsidRPr="00520DD5">
        <w:t>Michelakakis</w:t>
      </w:r>
      <w:proofErr w:type="spellEnd"/>
      <w:r w:rsidRPr="00520DD5">
        <w:t xml:space="preserve"> H, de </w:t>
      </w:r>
      <w:proofErr w:type="spellStart"/>
      <w:r w:rsidRPr="00520DD5">
        <w:t>Jongste</w:t>
      </w:r>
      <w:proofErr w:type="spellEnd"/>
      <w:r w:rsidRPr="00520DD5">
        <w:t xml:space="preserve"> J</w:t>
      </w:r>
      <w:r>
        <w:t xml:space="preserve">C, </w:t>
      </w:r>
      <w:proofErr w:type="spellStart"/>
      <w:r>
        <w:t>Reuser</w:t>
      </w:r>
      <w:proofErr w:type="spellEnd"/>
      <w:r>
        <w:t xml:space="preserve"> AJJ, van der Ploeg AT. </w:t>
      </w:r>
      <w:r w:rsidRPr="00520DD5">
        <w:t xml:space="preserve">Childhood Pompe disease: clinical spectrum and genotype in 31 patients. </w:t>
      </w:r>
      <w:proofErr w:type="spellStart"/>
      <w:r w:rsidRPr="00520DD5">
        <w:rPr>
          <w:i/>
        </w:rPr>
        <w:t>Orphanet</w:t>
      </w:r>
      <w:proofErr w:type="spellEnd"/>
      <w:r w:rsidRPr="00520DD5">
        <w:rPr>
          <w:i/>
        </w:rPr>
        <w:t xml:space="preserve"> Journal of Rare Diseases. 2016 May 18;11(1):65. 11 p.</w:t>
      </w:r>
    </w:p>
  </w:footnote>
  <w:footnote w:id="5">
    <w:p w14:paraId="2DDE0343" w14:textId="5F913057" w:rsidR="00A63AF3" w:rsidRPr="00520DD5" w:rsidRDefault="00A63AF3" w:rsidP="00520DD5">
      <w:pPr>
        <w:pStyle w:val="FootnoteText"/>
      </w:pPr>
      <w:r>
        <w:rPr>
          <w:rStyle w:val="FootnoteReference"/>
        </w:rPr>
        <w:footnoteRef/>
      </w:r>
      <w:r>
        <w:t xml:space="preserve"> </w:t>
      </w:r>
      <w:r w:rsidRPr="00520DD5">
        <w:t xml:space="preserve">Hirschhorn R, </w:t>
      </w:r>
      <w:proofErr w:type="spellStart"/>
      <w:r w:rsidRPr="00520DD5">
        <w:t>Reuser</w:t>
      </w:r>
      <w:proofErr w:type="spellEnd"/>
      <w:r w:rsidRPr="00520DD5">
        <w:t xml:space="preserve"> A.</w:t>
      </w:r>
      <w:r>
        <w:t xml:space="preserve"> </w:t>
      </w:r>
      <w:r w:rsidRPr="00520DD5">
        <w:t>Glycogen storage disease type II: acid alpha-glucosidase (acid maltase) deficiency.</w:t>
      </w:r>
    </w:p>
    <w:p w14:paraId="289BB3BC" w14:textId="45417F02" w:rsidR="00A63AF3" w:rsidRPr="00520DD5" w:rsidRDefault="00A63AF3">
      <w:pPr>
        <w:pStyle w:val="FootnoteText"/>
        <w:rPr>
          <w:i/>
        </w:rPr>
      </w:pPr>
      <w:r w:rsidRPr="00520DD5">
        <w:rPr>
          <w:i/>
        </w:rPr>
        <w:t>In: Scriver C, Beaudet A, Sly W, Valle D (eds). The metabolic and molecular bases of inherited disease. 8th ed.: New York, NY: McGraw-Hill; 2001:3389-420.</w:t>
      </w:r>
    </w:p>
  </w:footnote>
  <w:footnote w:id="6">
    <w:p w14:paraId="23DC2D45" w14:textId="0CCF2D3B" w:rsidR="00A63AF3" w:rsidRPr="00520DD5" w:rsidRDefault="00A63AF3">
      <w:pPr>
        <w:pStyle w:val="FootnoteText"/>
      </w:pPr>
      <w:r>
        <w:rPr>
          <w:rStyle w:val="FootnoteReference"/>
        </w:rPr>
        <w:footnoteRef/>
      </w:r>
      <w:r>
        <w:t xml:space="preserve"> </w:t>
      </w:r>
      <w:r w:rsidRPr="00520DD5">
        <w:t xml:space="preserve">Winkel LPF, </w:t>
      </w:r>
      <w:proofErr w:type="spellStart"/>
      <w:r w:rsidRPr="00520DD5">
        <w:t>Hagemans</w:t>
      </w:r>
      <w:proofErr w:type="spellEnd"/>
      <w:r w:rsidRPr="00520DD5">
        <w:t xml:space="preserve"> MLC, van </w:t>
      </w:r>
      <w:proofErr w:type="spellStart"/>
      <w:r w:rsidRPr="00520DD5">
        <w:t>Doorn</w:t>
      </w:r>
      <w:proofErr w:type="spellEnd"/>
      <w:r w:rsidRPr="00520DD5">
        <w:t xml:space="preserve"> PA, </w:t>
      </w:r>
      <w:proofErr w:type="spellStart"/>
      <w:r w:rsidRPr="00520DD5">
        <w:t>Loonen</w:t>
      </w:r>
      <w:proofErr w:type="spellEnd"/>
      <w:r w:rsidRPr="00520DD5">
        <w:t xml:space="preserve"> MCB, Hop WJC, </w:t>
      </w:r>
      <w:proofErr w:type="spellStart"/>
      <w:r w:rsidRPr="00520DD5">
        <w:t>Reuser</w:t>
      </w:r>
      <w:proofErr w:type="spellEnd"/>
      <w:r w:rsidRPr="00520DD5">
        <w:t xml:space="preserve"> AJJ, van der Ploeg AT.</w:t>
      </w:r>
      <w:r>
        <w:t xml:space="preserve"> </w:t>
      </w:r>
      <w:r w:rsidRPr="00520DD5">
        <w:t xml:space="preserve">The natural course of non-classic </w:t>
      </w:r>
      <w:proofErr w:type="spellStart"/>
      <w:r w:rsidRPr="00520DD5">
        <w:t>Pompe's</w:t>
      </w:r>
      <w:proofErr w:type="spellEnd"/>
      <w:r w:rsidRPr="00520DD5">
        <w:t xml:space="preserve"> disease; a review of 225 published cases.</w:t>
      </w:r>
      <w:r>
        <w:t xml:space="preserve"> </w:t>
      </w:r>
      <w:r w:rsidRPr="00520DD5">
        <w:rPr>
          <w:i/>
        </w:rPr>
        <w:t>Journal of Neurology. 2005 Aug;252(8):875-84.</w:t>
      </w:r>
    </w:p>
  </w:footnote>
  <w:footnote w:id="7">
    <w:p w14:paraId="7C419823" w14:textId="0CFA5AC9" w:rsidR="00A63AF3" w:rsidRPr="005814A4" w:rsidRDefault="00A63AF3">
      <w:pPr>
        <w:pStyle w:val="FootnoteText"/>
        <w:rPr>
          <w:lang w:val="en-GB"/>
        </w:rPr>
      </w:pPr>
      <w:r>
        <w:rPr>
          <w:rStyle w:val="FootnoteReference"/>
        </w:rPr>
        <w:footnoteRef/>
      </w:r>
      <w:r>
        <w:t xml:space="preserve"> </w:t>
      </w:r>
      <w:r>
        <w:rPr>
          <w:lang w:val="en-GB"/>
        </w:rPr>
        <w:t xml:space="preserve">Australian Pompe Association. Available at: </w:t>
      </w:r>
      <w:r w:rsidRPr="005814A4">
        <w:rPr>
          <w:lang w:val="en-GB"/>
        </w:rPr>
        <w:t>https://australianpompe.org.au/</w:t>
      </w:r>
    </w:p>
  </w:footnote>
  <w:footnote w:id="8">
    <w:p w14:paraId="3DB89CFC" w14:textId="77777777" w:rsidR="00A63AF3" w:rsidRPr="0062193F" w:rsidRDefault="00A63AF3" w:rsidP="003C31AC">
      <w:pPr>
        <w:pStyle w:val="FootnoteText"/>
        <w:rPr>
          <w:lang w:val="en-GB"/>
        </w:rPr>
      </w:pPr>
      <w:r>
        <w:rPr>
          <w:rStyle w:val="FootnoteReference"/>
        </w:rPr>
        <w:footnoteRef/>
      </w:r>
      <w:r>
        <w:t xml:space="preserve"> </w:t>
      </w:r>
      <w:proofErr w:type="spellStart"/>
      <w:r>
        <w:t>Myozyme</w:t>
      </w:r>
      <w:proofErr w:type="spellEnd"/>
      <w:r>
        <w:t xml:space="preserve"> </w:t>
      </w:r>
      <w:proofErr w:type="spellStart"/>
      <w:r w:rsidRPr="0062193F">
        <w:t>alglucosidase</w:t>
      </w:r>
      <w:proofErr w:type="spellEnd"/>
      <w:r w:rsidRPr="0062193F">
        <w:t xml:space="preserve"> alfa-</w:t>
      </w:r>
      <w:proofErr w:type="spellStart"/>
      <w:r w:rsidRPr="0062193F">
        <w:t>rch</w:t>
      </w:r>
      <w:proofErr w:type="spellEnd"/>
      <w:r w:rsidRPr="0062193F">
        <w:t xml:space="preserve"> 50 mg / 10 mL powder for concentrate for solution for </w:t>
      </w:r>
      <w:proofErr w:type="gramStart"/>
      <w:r w:rsidRPr="0062193F">
        <w:t>infusion</w:t>
      </w:r>
      <w:r>
        <w:t>;</w:t>
      </w:r>
      <w:proofErr w:type="gramEnd"/>
      <w:r>
        <w:t xml:space="preserve"> Sanofi</w:t>
      </w:r>
      <w:r>
        <w:noBreakHyphen/>
        <w:t>Aventis Australia Pty Ltd.</w:t>
      </w:r>
      <w:r w:rsidRPr="0062193F">
        <w:t xml:space="preserve"> </w:t>
      </w:r>
      <w:r>
        <w:rPr>
          <w:lang w:val="en-GB"/>
        </w:rPr>
        <w:t xml:space="preserve">ARTG R </w:t>
      </w:r>
      <w:r>
        <w:t>136005</w:t>
      </w:r>
    </w:p>
  </w:footnote>
  <w:footnote w:id="9">
    <w:p w14:paraId="570194CD" w14:textId="47872ECB" w:rsidR="00A63AF3" w:rsidRPr="00594D33" w:rsidRDefault="00A63AF3">
      <w:pPr>
        <w:pStyle w:val="FootnoteText"/>
        <w:rPr>
          <w:lang w:val="en-GB"/>
        </w:rPr>
      </w:pPr>
      <w:r>
        <w:rPr>
          <w:rStyle w:val="FootnoteReference"/>
        </w:rPr>
        <w:footnoteRef/>
      </w:r>
      <w:r>
        <w:t xml:space="preserve"> European Public Assessment Report for </w:t>
      </w:r>
      <w:proofErr w:type="spellStart"/>
      <w:r>
        <w:t>Nexviadyme</w:t>
      </w:r>
      <w:proofErr w:type="spellEnd"/>
      <w:r>
        <w:t xml:space="preserve">, </w:t>
      </w:r>
      <w:proofErr w:type="spellStart"/>
      <w:r>
        <w:t>avalglucosidase</w:t>
      </w:r>
      <w:proofErr w:type="spellEnd"/>
      <w:r>
        <w:t xml:space="preserve"> alfa. Available at: </w:t>
      </w:r>
      <w:hyperlink r:id="rId1" w:history="1">
        <w:proofErr w:type="spellStart"/>
        <w:r>
          <w:rPr>
            <w:rStyle w:val="Hyperlink"/>
          </w:rPr>
          <w:t>Nexviadyme</w:t>
        </w:r>
        <w:proofErr w:type="spellEnd"/>
        <w:r>
          <w:rPr>
            <w:rStyle w:val="Hyperlink"/>
          </w:rPr>
          <w:t>, INN-</w:t>
        </w:r>
        <w:proofErr w:type="spellStart"/>
        <w:r>
          <w:rPr>
            <w:rStyle w:val="Hyperlink"/>
          </w:rPr>
          <w:t>avalglucosidase</w:t>
        </w:r>
        <w:proofErr w:type="spellEnd"/>
        <w:r>
          <w:rPr>
            <w:rStyle w:val="Hyperlink"/>
          </w:rPr>
          <w:t xml:space="preserve"> alfa (europa.eu)</w:t>
        </w:r>
      </w:hyperlink>
    </w:p>
  </w:footnote>
  <w:footnote w:id="10">
    <w:p w14:paraId="03FA419E" w14:textId="40EB3B93" w:rsidR="00A63AF3" w:rsidRPr="006660A7" w:rsidRDefault="00A63AF3">
      <w:pPr>
        <w:pStyle w:val="FootnoteText"/>
        <w:rPr>
          <w:lang w:val="en-GB"/>
        </w:rPr>
      </w:pPr>
      <w:r>
        <w:rPr>
          <w:rStyle w:val="FootnoteReference"/>
        </w:rPr>
        <w:footnoteRef/>
      </w:r>
      <w:r>
        <w:t xml:space="preserve"> ICH guideline M3(R2) on non-clinical safety studies for the conduct of human clinical trials and marketing authorisation for pharmaceuticals. EMA/CPMP/ICH/286/1995. December 2009.</w:t>
      </w:r>
    </w:p>
  </w:footnote>
  <w:footnote w:id="11">
    <w:p w14:paraId="7753150E" w14:textId="4B09DB1F" w:rsidR="00A4161B" w:rsidRPr="00A4161B" w:rsidRDefault="004238C0" w:rsidP="00A4161B">
      <w:pPr>
        <w:pStyle w:val="FootnoteText"/>
      </w:pPr>
      <w:r>
        <w:rPr>
          <w:rStyle w:val="FootnoteReference"/>
        </w:rPr>
        <w:footnoteRef/>
      </w:r>
      <w:r>
        <w:t xml:space="preserve"> </w:t>
      </w:r>
      <w:r w:rsidRPr="00904D23">
        <w:rPr>
          <w:b/>
        </w:rPr>
        <w:t>Good Laboratory Practice</w:t>
      </w:r>
      <w:r w:rsidR="00A4161B">
        <w:t xml:space="preserve"> (</w:t>
      </w:r>
      <w:r w:rsidR="00A4161B" w:rsidRPr="00904D23">
        <w:rPr>
          <w:b/>
        </w:rPr>
        <w:t>GLP</w:t>
      </w:r>
      <w:r w:rsidR="00A4161B">
        <w:t xml:space="preserve">) </w:t>
      </w:r>
      <w:r w:rsidR="00A4161B" w:rsidRPr="00A4161B">
        <w:rPr>
          <w:lang w:val="en-GB"/>
        </w:rPr>
        <w:t>is inten</w:t>
      </w:r>
      <w:r w:rsidR="00A4161B">
        <w:rPr>
          <w:lang w:val="en-GB"/>
        </w:rPr>
        <w:t xml:space="preserve">ded to promote the quality and </w:t>
      </w:r>
      <w:r w:rsidR="00A4161B" w:rsidRPr="00A4161B">
        <w:rPr>
          <w:lang w:val="en-GB"/>
        </w:rPr>
        <w:t>validity of test data. It is a managerial conce</w:t>
      </w:r>
      <w:r w:rsidR="00A4161B">
        <w:rPr>
          <w:lang w:val="en-GB"/>
        </w:rPr>
        <w:t xml:space="preserve">pt covering the organisational </w:t>
      </w:r>
      <w:r w:rsidR="00A4161B" w:rsidRPr="00A4161B">
        <w:rPr>
          <w:lang w:val="en-GB"/>
        </w:rPr>
        <w:t xml:space="preserve">process and the conditions under which laboratory studies are planned, performed, monitored, </w:t>
      </w:r>
      <w:proofErr w:type="gramStart"/>
      <w:r w:rsidR="00A4161B" w:rsidRPr="00A4161B">
        <w:rPr>
          <w:lang w:val="en-GB"/>
        </w:rPr>
        <w:t>recorded</w:t>
      </w:r>
      <w:proofErr w:type="gramEnd"/>
      <w:r w:rsidR="00A4161B" w:rsidRPr="00A4161B">
        <w:rPr>
          <w:lang w:val="en-GB"/>
        </w:rPr>
        <w:t xml:space="preserve"> and reported (OECD GLP Guideline).</w:t>
      </w:r>
      <w:r w:rsidR="00A4161B">
        <w:t xml:space="preserve"> </w:t>
      </w:r>
      <w:r w:rsidR="00516ECE">
        <w:t xml:space="preserve">The closely related </w:t>
      </w:r>
      <w:r w:rsidR="00A4161B" w:rsidRPr="00904D23">
        <w:rPr>
          <w:b/>
          <w:lang w:val="en-GB"/>
        </w:rPr>
        <w:t>Good Clinical Laboratory Practice</w:t>
      </w:r>
      <w:r w:rsidR="00A4161B" w:rsidRPr="00A4161B">
        <w:rPr>
          <w:lang w:val="en-GB"/>
        </w:rPr>
        <w:t xml:space="preserve"> (</w:t>
      </w:r>
      <w:r w:rsidR="00A4161B" w:rsidRPr="00904D23">
        <w:rPr>
          <w:b/>
          <w:lang w:val="en-GB"/>
        </w:rPr>
        <w:t>GCLP</w:t>
      </w:r>
      <w:r w:rsidR="00A4161B" w:rsidRPr="00A4161B">
        <w:rPr>
          <w:lang w:val="en-GB"/>
        </w:rPr>
        <w:t>)</w:t>
      </w:r>
      <w:r w:rsidR="00A4161B">
        <w:rPr>
          <w:lang w:val="en-GB"/>
        </w:rPr>
        <w:t xml:space="preserve"> applies those principles estab</w:t>
      </w:r>
      <w:r w:rsidR="00A4161B" w:rsidRPr="00A4161B">
        <w:rPr>
          <w:lang w:val="en-GB"/>
        </w:rPr>
        <w:t>lishe</w:t>
      </w:r>
      <w:r w:rsidR="00A4161B">
        <w:rPr>
          <w:lang w:val="en-GB"/>
        </w:rPr>
        <w:t xml:space="preserve">d under GLP for data generation </w:t>
      </w:r>
      <w:r w:rsidR="00A4161B" w:rsidRPr="00A4161B">
        <w:rPr>
          <w:lang w:val="en-GB"/>
        </w:rPr>
        <w:t>used in r</w:t>
      </w:r>
      <w:r w:rsidR="00A4161B">
        <w:rPr>
          <w:lang w:val="en-GB"/>
        </w:rPr>
        <w:t xml:space="preserve">egulatory submissions relevant </w:t>
      </w:r>
      <w:r w:rsidR="00A4161B" w:rsidRPr="00A4161B">
        <w:rPr>
          <w:lang w:val="en-GB"/>
        </w:rPr>
        <w:t>to the analysis of samples from a clinical trial. At</w:t>
      </w:r>
      <w:r w:rsidR="00A4161B">
        <w:rPr>
          <w:lang w:val="en-GB"/>
        </w:rPr>
        <w:t xml:space="preserve"> the same </w:t>
      </w:r>
      <w:proofErr w:type="gramStart"/>
      <w:r w:rsidR="00A4161B">
        <w:rPr>
          <w:lang w:val="en-GB"/>
        </w:rPr>
        <w:t>time</w:t>
      </w:r>
      <w:proofErr w:type="gramEnd"/>
      <w:r w:rsidR="00A4161B">
        <w:rPr>
          <w:lang w:val="en-GB"/>
        </w:rPr>
        <w:t xml:space="preserve"> it ensures that </w:t>
      </w:r>
      <w:r w:rsidR="00A4161B" w:rsidRPr="00A4161B">
        <w:rPr>
          <w:lang w:val="en-GB"/>
        </w:rPr>
        <w:t>the objectives of the GCP principles are carried out</w:t>
      </w:r>
      <w:r w:rsidR="00A4161B">
        <w:rPr>
          <w:lang w:val="en-GB"/>
        </w:rPr>
        <w:t xml:space="preserve">. This ensures the reliability </w:t>
      </w:r>
      <w:r w:rsidR="00A4161B" w:rsidRPr="00A4161B">
        <w:rPr>
          <w:lang w:val="en-GB"/>
        </w:rPr>
        <w:t>and integrity of data generated by analytical laboratories.</w:t>
      </w:r>
    </w:p>
  </w:footnote>
  <w:footnote w:id="12">
    <w:p w14:paraId="5CF264BA" w14:textId="730D0FE6" w:rsidR="00A63AF3" w:rsidRPr="00283F2E" w:rsidRDefault="00A63AF3">
      <w:pPr>
        <w:pStyle w:val="FootnoteText"/>
        <w:rPr>
          <w:lang w:val="en-GB"/>
        </w:rPr>
      </w:pPr>
      <w:r>
        <w:rPr>
          <w:rStyle w:val="FootnoteReference"/>
        </w:rPr>
        <w:footnoteRef/>
      </w:r>
      <w:r>
        <w:t xml:space="preserve"> ICH </w:t>
      </w:r>
      <w:r w:rsidR="00516ECE">
        <w:t xml:space="preserve">S1A: </w:t>
      </w:r>
      <w:r>
        <w:t>guideline on the need for carcinogenicity studies of pharmaceuticals. July 1996.</w:t>
      </w:r>
    </w:p>
  </w:footnote>
  <w:footnote w:id="13">
    <w:p w14:paraId="301CED38" w14:textId="6E577B3D" w:rsidR="00A63AF3" w:rsidRDefault="00A63AF3" w:rsidP="007A3E00">
      <w:pPr>
        <w:pStyle w:val="FootnoteText"/>
      </w:pPr>
      <w:r>
        <w:rPr>
          <w:rStyle w:val="FootnoteReference"/>
        </w:rPr>
        <w:footnoteRef/>
      </w:r>
      <w:r>
        <w:t xml:space="preserve"> </w:t>
      </w:r>
      <w:r w:rsidRPr="007A3E00">
        <w:rPr>
          <w:b/>
        </w:rPr>
        <w:t>Pregnancy Category B1</w:t>
      </w:r>
      <w:r>
        <w:t xml:space="preserve">: 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w:t>
      </w:r>
    </w:p>
    <w:p w14:paraId="6C0B69EA" w14:textId="6C4447BC" w:rsidR="00A63AF3" w:rsidRPr="007A3E00" w:rsidRDefault="00A63AF3" w:rsidP="007A3E00">
      <w:pPr>
        <w:pStyle w:val="FootnoteText"/>
        <w:rPr>
          <w:lang w:val="en-GB"/>
        </w:rPr>
      </w:pPr>
      <w:r>
        <w:t>Studies in animals have not shown evidence of an increased occurrence of fetal damage.</w:t>
      </w:r>
    </w:p>
  </w:footnote>
  <w:footnote w:id="14">
    <w:p w14:paraId="60F24370" w14:textId="7429C00E" w:rsidR="00A63AF3" w:rsidRPr="007A3E00" w:rsidRDefault="00A63AF3">
      <w:pPr>
        <w:pStyle w:val="FootnoteText"/>
        <w:rPr>
          <w:lang w:val="en-GB"/>
        </w:rPr>
      </w:pPr>
      <w:r>
        <w:rPr>
          <w:rStyle w:val="FootnoteReference"/>
        </w:rPr>
        <w:footnoteRef/>
      </w:r>
      <w:r>
        <w:t xml:space="preserve"> ICH guideline Q3B (R2) Impurities in new drug products. CPMP/ICH/2738/99. June 2006.</w:t>
      </w:r>
    </w:p>
  </w:footnote>
  <w:footnote w:id="15">
    <w:p w14:paraId="10E9456C" w14:textId="244634EA" w:rsidR="00A63AF3" w:rsidRPr="007A3E00" w:rsidRDefault="00A63AF3">
      <w:pPr>
        <w:pStyle w:val="FootnoteText"/>
        <w:rPr>
          <w:lang w:val="en-GB"/>
        </w:rPr>
      </w:pPr>
      <w:r>
        <w:rPr>
          <w:rStyle w:val="FootnoteReference"/>
        </w:rPr>
        <w:footnoteRef/>
      </w:r>
      <w:r>
        <w:t xml:space="preserve"> </w:t>
      </w:r>
      <w:r>
        <w:rPr>
          <w:lang w:val="en-GB"/>
        </w:rPr>
        <w:t xml:space="preserve">ICH guideline M7 (R1) </w:t>
      </w:r>
      <w:r w:rsidRPr="007A3E00">
        <w:rPr>
          <w:lang w:val="en-GB"/>
        </w:rPr>
        <w:t>Assessment and control of DNA reactive (mutagenic) impurities in pharmaceuticals to limit potential carcinogenic risk</w:t>
      </w:r>
      <w:r>
        <w:rPr>
          <w:lang w:val="en-GB"/>
        </w:rPr>
        <w:t xml:space="preserve">. </w:t>
      </w:r>
      <w:r>
        <w:t xml:space="preserve">EMA/CHMP/ICH/83812/2013. </w:t>
      </w:r>
      <w:r>
        <w:rPr>
          <w:lang w:val="en-GB"/>
        </w:rPr>
        <w:t>February 2018.</w:t>
      </w:r>
    </w:p>
  </w:footnote>
  <w:footnote w:id="16">
    <w:p w14:paraId="0DA2599B" w14:textId="41C0625E" w:rsidR="00A63AF3" w:rsidRPr="00ED275D" w:rsidRDefault="00A63AF3">
      <w:pPr>
        <w:pStyle w:val="FootnoteText"/>
        <w:rPr>
          <w:lang w:val="en-GB"/>
        </w:rPr>
      </w:pPr>
      <w:r>
        <w:rPr>
          <w:rStyle w:val="FootnoteReference"/>
        </w:rPr>
        <w:footnoteRef/>
      </w:r>
      <w:r>
        <w:t xml:space="preserve"> Class 3 definition (ICH M7 (R1)): Alerting structure, unrelated to the structure of the drug substance; no mutagenicity data. Proposed action: Control at or below acceptable limits (appropriate threshold of toxicological concern (TTC)) or conduct bacterial mutagenicity assay. If non-mutagenic = Class 5, treat as non-mutagenic impurity. If mutagenic = Class 2, control at or below acceptable limits (appropriate TTC).</w:t>
      </w:r>
    </w:p>
  </w:footnote>
  <w:footnote w:id="17">
    <w:p w14:paraId="5839DF2F" w14:textId="4689858A" w:rsidR="00516ECE" w:rsidRPr="00904D23" w:rsidRDefault="00516ECE">
      <w:pPr>
        <w:pStyle w:val="FootnoteText"/>
        <w:rPr>
          <w:lang w:val="en-GB"/>
        </w:rPr>
      </w:pPr>
      <w:r>
        <w:rPr>
          <w:rStyle w:val="FootnoteReference"/>
        </w:rPr>
        <w:footnoteRef/>
      </w:r>
      <w:r>
        <w:t xml:space="preserve"> </w:t>
      </w:r>
      <w:r w:rsidRPr="00516ECE">
        <w:t xml:space="preserve">Study EFC14462 </w:t>
      </w:r>
      <w:r>
        <w:t xml:space="preserve">(Baby-COMET trial): </w:t>
      </w:r>
      <w:r w:rsidRPr="00516ECE">
        <w:t xml:space="preserve">An open-label, multinational, </w:t>
      </w:r>
      <w:proofErr w:type="spellStart"/>
      <w:r w:rsidRPr="00516ECE">
        <w:t>multicenter</w:t>
      </w:r>
      <w:proofErr w:type="spellEnd"/>
      <w:r w:rsidRPr="00516ECE">
        <w:t>, intravenous infusion study of the efficacy, safety, pharmacokinetics, and pharmacodynamics of avalglucosidase alfa in treatment naïve pediatric par</w:t>
      </w:r>
      <w:r>
        <w:t>ticipants with infantile-onset P</w:t>
      </w:r>
      <w:r w:rsidRPr="00516ECE">
        <w:t>ompe disease (IOPD)</w:t>
      </w:r>
      <w:r>
        <w:t xml:space="preserve">. </w:t>
      </w:r>
      <w:r w:rsidRPr="00516ECE">
        <w:t>ClinicalTrials.gov Identifier: NCT04910776</w:t>
      </w:r>
    </w:p>
  </w:footnote>
  <w:footnote w:id="18">
    <w:p w14:paraId="65B3BC21" w14:textId="49A4D4F0" w:rsidR="00405389" w:rsidRPr="00904D23" w:rsidRDefault="00A63AF3">
      <w:pPr>
        <w:pStyle w:val="FootnoteText"/>
      </w:pPr>
      <w:r>
        <w:rPr>
          <w:rStyle w:val="FootnoteReference"/>
        </w:rPr>
        <w:footnoteRef/>
      </w:r>
      <w:r>
        <w:t xml:space="preserve"> </w:t>
      </w:r>
      <w:r w:rsidRPr="00904D23">
        <w:rPr>
          <w:b/>
        </w:rPr>
        <w:t>Forced vital capacity</w:t>
      </w:r>
      <w:r>
        <w:t xml:space="preserve"> (</w:t>
      </w:r>
      <w:r w:rsidRPr="00904D23">
        <w:rPr>
          <w:b/>
        </w:rPr>
        <w:t>FVC</w:t>
      </w:r>
      <w:r>
        <w:t xml:space="preserve">) is the </w:t>
      </w:r>
      <w:r w:rsidR="00405389">
        <w:t>maximal volume of gas that can be expired as forcefully and rapidly as possible after a maximal inspiration to total lung capacity. An FVC test is lung/pulmonary function test normally conducted via spirometry</w:t>
      </w:r>
      <w:r w:rsidR="00E7406A">
        <w:t xml:space="preserve"> and is commonly given a percentage predicted where a patient’s FVC recorded </w:t>
      </w:r>
      <w:r w:rsidR="00405389" w:rsidRPr="00405389">
        <w:t xml:space="preserve">during the test </w:t>
      </w:r>
      <w:r w:rsidR="00E7406A">
        <w:t xml:space="preserve">is compared </w:t>
      </w:r>
      <w:r w:rsidR="00405389" w:rsidRPr="00405389">
        <w:t>to an average of the normal total volume for a person of the same gender, height, and age. This is expressed as a percentage, with normal test values falling between 80% and 120% of the average (predicted) values.</w:t>
      </w:r>
    </w:p>
  </w:footnote>
  <w:footnote w:id="19">
    <w:p w14:paraId="127B729F" w14:textId="3EEFA8D4" w:rsidR="00A63AF3" w:rsidRPr="00933DC0" w:rsidRDefault="00A63AF3" w:rsidP="00933DC0">
      <w:pPr>
        <w:pStyle w:val="FootnoteText"/>
      </w:pPr>
      <w:r>
        <w:rPr>
          <w:rStyle w:val="FootnoteReference"/>
        </w:rPr>
        <w:footnoteRef/>
      </w:r>
      <w:r>
        <w:t xml:space="preserve"> The</w:t>
      </w:r>
      <w:r w:rsidRPr="00904D23">
        <w:rPr>
          <w:b/>
        </w:rPr>
        <w:t xml:space="preserve"> SF-12 </w:t>
      </w:r>
      <w:r>
        <w:t xml:space="preserve">is a 12 question self-reported outcome measure assessing the impact of health on an individual's everyday life. It is often used as a </w:t>
      </w:r>
      <w:proofErr w:type="gramStart"/>
      <w:r>
        <w:t>quality of life</w:t>
      </w:r>
      <w:proofErr w:type="gramEnd"/>
      <w:r>
        <w:t xml:space="preserve"> measure. The SF-12 is a condensed and shortened version of </w:t>
      </w:r>
      <w:proofErr w:type="spellStart"/>
      <w:proofErr w:type="gramStart"/>
      <w:r>
        <w:t>it's</w:t>
      </w:r>
      <w:proofErr w:type="spellEnd"/>
      <w:proofErr w:type="gramEnd"/>
      <w:r>
        <w:t xml:space="preserve"> predecessor, the SF -36.</w:t>
      </w:r>
    </w:p>
  </w:footnote>
  <w:footnote w:id="20">
    <w:p w14:paraId="222EC641" w14:textId="5389DE64" w:rsidR="00A63AF3" w:rsidRPr="00933DC0" w:rsidRDefault="00A63AF3">
      <w:pPr>
        <w:pStyle w:val="FootnoteText"/>
        <w:rPr>
          <w:lang w:val="en-GB"/>
        </w:rPr>
      </w:pPr>
      <w:r>
        <w:rPr>
          <w:rStyle w:val="FootnoteReference"/>
        </w:rPr>
        <w:footnoteRef/>
      </w:r>
      <w:r>
        <w:t xml:space="preserve"> </w:t>
      </w:r>
      <w:r w:rsidRPr="00933DC0">
        <w:t xml:space="preserve">The </w:t>
      </w:r>
      <w:r w:rsidRPr="0084022F">
        <w:rPr>
          <w:b/>
        </w:rPr>
        <w:t>Gross Motor Function Measure (GMFM)</w:t>
      </w:r>
      <w:r w:rsidRPr="00933DC0">
        <w:t xml:space="preserve"> is an observational clinical tool </w:t>
      </w:r>
      <w:r>
        <w:t xml:space="preserve">originally </w:t>
      </w:r>
      <w:r w:rsidRPr="00933DC0">
        <w:t xml:space="preserve">designed to evaluate change in gross motor function in children with cerebral palsy. </w:t>
      </w:r>
      <w:r>
        <w:t>T</w:t>
      </w:r>
      <w:r w:rsidRPr="00933DC0">
        <w:t>he original 88-item measure (</w:t>
      </w:r>
      <w:r>
        <w:t xml:space="preserve">the </w:t>
      </w:r>
      <w:r w:rsidRPr="0084022F">
        <w:rPr>
          <w:b/>
        </w:rPr>
        <w:t>GMFM-88</w:t>
      </w:r>
      <w:r>
        <w:t>) was designed for use in children with cerebral palsy</w:t>
      </w:r>
      <w:r w:rsidRPr="00933DC0">
        <w:t xml:space="preserve"> aged between 5 months to 16 years whose motor skills is delayed co</w:t>
      </w:r>
      <w:r>
        <w:t>mpared to those of the same age, however the GMFM-88</w:t>
      </w:r>
      <w:r w:rsidRPr="00933DC0">
        <w:t xml:space="preserve"> has </w:t>
      </w:r>
      <w:r>
        <w:t xml:space="preserve">also been </w:t>
      </w:r>
      <w:r w:rsidRPr="00933DC0">
        <w:t>v</w:t>
      </w:r>
      <w:r>
        <w:t>alidated for other populations. The</w:t>
      </w:r>
      <w:r w:rsidRPr="0084022F">
        <w:t xml:space="preserve"> scoring system </w:t>
      </w:r>
      <w:r>
        <w:t xml:space="preserve">consists of a 4-point scale </w:t>
      </w:r>
      <w:r w:rsidRPr="0084022F">
        <w:t>with each item scored a</w:t>
      </w:r>
      <w:r>
        <w:t>s 0, 1, 2, 3, or ‘not tested’. Scores translate as: zero: does not initiate, 1:</w:t>
      </w:r>
      <w:r w:rsidRPr="0084022F">
        <w:t xml:space="preserve"> initiates</w:t>
      </w:r>
      <w:r>
        <w:t xml:space="preserve"> task, 2: partially completes task, and 3: task completed. Some </w:t>
      </w:r>
      <w:r w:rsidRPr="00940A6B">
        <w:t>items involve parameters such as distance, time, support provided, accuracy, counts, and tasks will determine specific item scores.</w:t>
      </w:r>
    </w:p>
  </w:footnote>
  <w:footnote w:id="21">
    <w:p w14:paraId="5FBABF31" w14:textId="2F25144C" w:rsidR="00A63AF3" w:rsidRPr="00940A6B" w:rsidRDefault="00A63AF3">
      <w:pPr>
        <w:pStyle w:val="FootnoteText"/>
        <w:rPr>
          <w:lang w:val="en-GB"/>
        </w:rPr>
      </w:pPr>
      <w:r>
        <w:rPr>
          <w:rStyle w:val="FootnoteReference"/>
        </w:rPr>
        <w:footnoteRef/>
      </w:r>
      <w:r>
        <w:t xml:space="preserve"> </w:t>
      </w:r>
      <w:r w:rsidRPr="00940A6B">
        <w:t xml:space="preserve">The </w:t>
      </w:r>
      <w:r w:rsidRPr="00940A6B">
        <w:rPr>
          <w:b/>
        </w:rPr>
        <w:t xml:space="preserve">Quick Motor Function Test </w:t>
      </w:r>
      <w:r w:rsidRPr="00940A6B">
        <w:t>(</w:t>
      </w:r>
      <w:r w:rsidRPr="00940A6B">
        <w:rPr>
          <w:b/>
        </w:rPr>
        <w:t>QMFT</w:t>
      </w:r>
      <w:r w:rsidRPr="00940A6B">
        <w:t xml:space="preserve">) was constructed on the basis of the clinical expertise of several physicians involved in the care of Pompe </w:t>
      </w:r>
      <w:proofErr w:type="gramStart"/>
      <w:r w:rsidRPr="00940A6B">
        <w:t>patients;</w:t>
      </w:r>
      <w:proofErr w:type="gramEnd"/>
      <w:r w:rsidRPr="00940A6B">
        <w:t xml:space="preserve"> the Gross Motor Function Measure and the IPA/Erasmus MC Pompe survey. The test comprises 16 items. </w:t>
      </w:r>
      <w:r>
        <w:t>T</w:t>
      </w:r>
      <w:r w:rsidRPr="00940A6B">
        <w:t>he Quick Motor F</w:t>
      </w:r>
      <w:r>
        <w:t>unction Test can rate c</w:t>
      </w:r>
      <w:r w:rsidRPr="00940A6B">
        <w:t>linical severity and motor function in children and adults with Pompe disease.</w:t>
      </w:r>
    </w:p>
  </w:footnote>
  <w:footnote w:id="22">
    <w:p w14:paraId="37CDFE40" w14:textId="05561E5D" w:rsidR="00A63AF3" w:rsidRPr="00940A6B" w:rsidRDefault="00A63AF3">
      <w:pPr>
        <w:pStyle w:val="FootnoteText"/>
        <w:rPr>
          <w:lang w:val="en-GB"/>
        </w:rPr>
      </w:pPr>
      <w:r>
        <w:rPr>
          <w:rStyle w:val="FootnoteReference"/>
        </w:rPr>
        <w:footnoteRef/>
      </w:r>
      <w:r>
        <w:t xml:space="preserve"> </w:t>
      </w:r>
      <w:r w:rsidRPr="00940A6B">
        <w:t xml:space="preserve">The </w:t>
      </w:r>
      <w:r w:rsidRPr="00940A6B">
        <w:rPr>
          <w:b/>
        </w:rPr>
        <w:t>6 Minute Walk Test</w:t>
      </w:r>
      <w:r>
        <w:t xml:space="preserve"> (6MWT)</w:t>
      </w:r>
      <w:r w:rsidRPr="00940A6B">
        <w:t xml:space="preserve"> is a sub-maximal exercise test used to assess aerobic capacity and endurance. The distance covered over a time of 6 minutes is used as the outcome by which to compare changes in performance capacity.</w:t>
      </w:r>
    </w:p>
  </w:footnote>
  <w:footnote w:id="23">
    <w:p w14:paraId="2DC6D5C4" w14:textId="6B258F0C" w:rsidR="00A63AF3" w:rsidRDefault="00A63AF3" w:rsidP="00E7406A">
      <w:pPr>
        <w:pStyle w:val="FootnoteText"/>
      </w:pPr>
      <w:r>
        <w:rPr>
          <w:rStyle w:val="FootnoteReference"/>
        </w:rPr>
        <w:footnoteRef/>
      </w:r>
      <w:r>
        <w:t xml:space="preserve"> </w:t>
      </w:r>
      <w:r w:rsidR="00E7406A">
        <w:t xml:space="preserve">The </w:t>
      </w:r>
      <w:proofErr w:type="spellStart"/>
      <w:r w:rsidR="00E7406A">
        <w:t>Pediatric</w:t>
      </w:r>
      <w:proofErr w:type="spellEnd"/>
      <w:r w:rsidR="00E7406A">
        <w:t xml:space="preserve"> Quality of Life Inventory (</w:t>
      </w:r>
      <w:r w:rsidR="00E7406A" w:rsidRPr="00904D23">
        <w:rPr>
          <w:b/>
        </w:rPr>
        <w:t>PedsQL</w:t>
      </w:r>
      <w:r w:rsidR="00E7406A">
        <w:t>) is a brief measure of health-related quality of life in children and young people. It may either be completed by parents/guardians (the Proxy Report) and/or children and young people themselves (the Self-Report). The 23 items in the PedsQL comprise four Generic Core Scales: physical functioning (8 items), emotional functioning (5 items), social functioning (5 items) and school functioning (5 items)</w:t>
      </w:r>
    </w:p>
  </w:footnote>
  <w:footnote w:id="24">
    <w:p w14:paraId="2A9B3701" w14:textId="7B28ED9A" w:rsidR="00A63AF3" w:rsidRPr="00DE263F" w:rsidRDefault="00A63AF3">
      <w:pPr>
        <w:pStyle w:val="FootnoteText"/>
        <w:rPr>
          <w:lang w:val="en-GB"/>
        </w:rPr>
      </w:pPr>
      <w:r>
        <w:rPr>
          <w:rStyle w:val="FootnoteReference"/>
        </w:rPr>
        <w:footnoteRef/>
      </w:r>
      <w:r>
        <w:t xml:space="preserve"> </w:t>
      </w:r>
      <w:r w:rsidRPr="00DE263F">
        <w:t>The evaluation of medicines, step-by-step | European Medicines Agency (europa.eu)</w:t>
      </w:r>
      <w:r>
        <w:t xml:space="preserve"> </w:t>
      </w:r>
      <w:hyperlink r:id="rId2" w:history="1">
        <w:r w:rsidRPr="00620C81">
          <w:rPr>
            <w:rStyle w:val="Hyperlink"/>
          </w:rPr>
          <w:t>https://www.ema.europa.eu/en/human-regulatory/marketing-authorisation/evaluation-medicines-step-step</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B59B" w14:textId="77777777" w:rsidR="00A63AF3" w:rsidRDefault="00A63AF3"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4059" w14:textId="77777777" w:rsidR="00A63AF3" w:rsidRDefault="00A63AF3">
    <w:pPr>
      <w:rPr>
        <w:noProof/>
        <w:lang w:eastAsia="en-AU"/>
      </w:rPr>
    </w:pPr>
    <w:r w:rsidRPr="00347824">
      <w:rPr>
        <w:noProof/>
        <w:lang w:val="en-GB" w:eastAsia="en-GB"/>
      </w:rPr>
      <w:drawing>
        <wp:anchor distT="0" distB="0" distL="114300" distR="114300" simplePos="0" relativeHeight="251658240" behindDoc="1" locked="0" layoutInCell="1" allowOverlap="1" wp14:anchorId="1D526F9F" wp14:editId="7E90F97B">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27555C9E" w14:textId="0003299E" w:rsidR="00A63AF3" w:rsidRDefault="00A63AF3"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25F5" w14:textId="77777777" w:rsidR="00A63AF3" w:rsidRDefault="00A63A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0364" w14:textId="77777777" w:rsidR="00A63AF3" w:rsidRDefault="00A63AF3">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5520" w14:textId="77777777" w:rsidR="00A63AF3" w:rsidRDefault="00A63AF3">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2216" w14:textId="77777777" w:rsidR="00A63AF3" w:rsidRDefault="00A63AF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88DC" w14:textId="77777777" w:rsidR="00A63AF3" w:rsidRDefault="00A63AF3"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7649" w14:textId="77777777" w:rsidR="00A63AF3" w:rsidRDefault="00A63AF3" w:rsidP="006E08B3">
    <w:r>
      <w:t>Therapeutic Goods Administration</w:t>
    </w:r>
  </w:p>
  <w:p w14:paraId="10F5C5F5" w14:textId="77777777" w:rsidR="00A63AF3" w:rsidRDefault="00A63AF3"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9108CD"/>
    <w:multiLevelType w:val="hybridMultilevel"/>
    <w:tmpl w:val="12B4C2E8"/>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D845B92">
      <w:numFmt w:val="bullet"/>
      <w:lvlText w:val="•"/>
      <w:lvlJc w:val="left"/>
      <w:pPr>
        <w:ind w:left="2160" w:hanging="360"/>
      </w:pPr>
      <w:rPr>
        <w:rFonts w:ascii="Calibri" w:eastAsiaTheme="minorHAnsi" w:hAnsi="Calibri"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94226C0"/>
    <w:multiLevelType w:val="hybridMultilevel"/>
    <w:tmpl w:val="F84E57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800DAE"/>
    <w:multiLevelType w:val="multilevel"/>
    <w:tmpl w:val="30F8FFE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73C2E0B"/>
    <w:multiLevelType w:val="hybridMultilevel"/>
    <w:tmpl w:val="4920A29E"/>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8"/>
  </w:num>
  <w:num w:numId="4">
    <w:abstractNumId w:val="8"/>
  </w:num>
  <w:num w:numId="5">
    <w:abstractNumId w:val="0"/>
  </w:num>
  <w:num w:numId="6">
    <w:abstractNumId w:val="8"/>
  </w:num>
  <w:num w:numId="7">
    <w:abstractNumId w:val="8"/>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8"/>
  </w:num>
  <w:num w:numId="14">
    <w:abstractNumId w:val="8"/>
  </w:num>
  <w:num w:numId="15">
    <w:abstractNumId w:val="8"/>
  </w:num>
  <w:num w:numId="16">
    <w:abstractNumId w:val="6"/>
  </w:num>
  <w:num w:numId="17">
    <w:abstractNumId w:val="6"/>
  </w:num>
  <w:num w:numId="18">
    <w:abstractNumId w:val="6"/>
  </w:num>
  <w:num w:numId="19">
    <w:abstractNumId w:val="8"/>
  </w:num>
  <w:num w:numId="20">
    <w:abstractNumId w:val="8"/>
  </w:num>
  <w:num w:numId="21">
    <w:abstractNumId w:val="8"/>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3"/>
  </w:num>
  <w:num w:numId="28">
    <w:abstractNumId w:val="16"/>
  </w:num>
  <w:num w:numId="29">
    <w:abstractNumId w:val="7"/>
  </w:num>
  <w:num w:numId="30">
    <w:abstractNumId w:val="11"/>
  </w:num>
  <w:num w:numId="31">
    <w:abstractNumId w:val="4"/>
  </w:num>
  <w:num w:numId="32">
    <w:abstractNumId w:val="14"/>
  </w:num>
  <w:num w:numId="33">
    <w:abstractNumId w:val="12"/>
  </w:num>
  <w:num w:numId="34">
    <w:abstractNumId w:val="9"/>
  </w:num>
  <w:num w:numId="35">
    <w:abstractNumId w:val="10"/>
  </w:num>
  <w:num w:numId="36">
    <w:abstractNumId w:val="5"/>
  </w:num>
  <w:num w:numId="37">
    <w:abstractNumId w:val="15"/>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1A"/>
    <w:rsid w:val="00002031"/>
    <w:rsid w:val="00004734"/>
    <w:rsid w:val="00005108"/>
    <w:rsid w:val="00006B22"/>
    <w:rsid w:val="00006FAB"/>
    <w:rsid w:val="0001276A"/>
    <w:rsid w:val="000246AE"/>
    <w:rsid w:val="00025C67"/>
    <w:rsid w:val="000301DE"/>
    <w:rsid w:val="0004166D"/>
    <w:rsid w:val="00044772"/>
    <w:rsid w:val="0004541C"/>
    <w:rsid w:val="00047D78"/>
    <w:rsid w:val="000515DB"/>
    <w:rsid w:val="0005559E"/>
    <w:rsid w:val="000604D6"/>
    <w:rsid w:val="000722C6"/>
    <w:rsid w:val="000734D8"/>
    <w:rsid w:val="00075C59"/>
    <w:rsid w:val="00076FA3"/>
    <w:rsid w:val="00077775"/>
    <w:rsid w:val="00087D2C"/>
    <w:rsid w:val="00090471"/>
    <w:rsid w:val="00096AA7"/>
    <w:rsid w:val="000A3AED"/>
    <w:rsid w:val="000B1865"/>
    <w:rsid w:val="000B3532"/>
    <w:rsid w:val="000B3A75"/>
    <w:rsid w:val="000C00C2"/>
    <w:rsid w:val="000C21EE"/>
    <w:rsid w:val="000C690F"/>
    <w:rsid w:val="000D1295"/>
    <w:rsid w:val="000D391B"/>
    <w:rsid w:val="000D3D6D"/>
    <w:rsid w:val="000D4FC7"/>
    <w:rsid w:val="000E1709"/>
    <w:rsid w:val="000E6196"/>
    <w:rsid w:val="000F142E"/>
    <w:rsid w:val="000F4869"/>
    <w:rsid w:val="000F5B42"/>
    <w:rsid w:val="000F6E6F"/>
    <w:rsid w:val="00102379"/>
    <w:rsid w:val="00104DC7"/>
    <w:rsid w:val="0010601F"/>
    <w:rsid w:val="0010788A"/>
    <w:rsid w:val="00107A31"/>
    <w:rsid w:val="00110EA5"/>
    <w:rsid w:val="00112F56"/>
    <w:rsid w:val="001229E6"/>
    <w:rsid w:val="00122C2E"/>
    <w:rsid w:val="00124ACD"/>
    <w:rsid w:val="00125318"/>
    <w:rsid w:val="001305A2"/>
    <w:rsid w:val="00133238"/>
    <w:rsid w:val="00133A1B"/>
    <w:rsid w:val="0013599E"/>
    <w:rsid w:val="001414AF"/>
    <w:rsid w:val="0014197B"/>
    <w:rsid w:val="00142BBE"/>
    <w:rsid w:val="001447CD"/>
    <w:rsid w:val="001516B1"/>
    <w:rsid w:val="00153C80"/>
    <w:rsid w:val="00154EBB"/>
    <w:rsid w:val="00156316"/>
    <w:rsid w:val="0015647C"/>
    <w:rsid w:val="00161181"/>
    <w:rsid w:val="00161D56"/>
    <w:rsid w:val="00162D14"/>
    <w:rsid w:val="00163780"/>
    <w:rsid w:val="00165389"/>
    <w:rsid w:val="0016570F"/>
    <w:rsid w:val="00167F17"/>
    <w:rsid w:val="00171DF0"/>
    <w:rsid w:val="0017693F"/>
    <w:rsid w:val="0018110E"/>
    <w:rsid w:val="00181684"/>
    <w:rsid w:val="001843C6"/>
    <w:rsid w:val="001844F7"/>
    <w:rsid w:val="001850E0"/>
    <w:rsid w:val="00185407"/>
    <w:rsid w:val="001A00E6"/>
    <w:rsid w:val="001A03AF"/>
    <w:rsid w:val="001A2158"/>
    <w:rsid w:val="001A525F"/>
    <w:rsid w:val="001A5A00"/>
    <w:rsid w:val="001A66B8"/>
    <w:rsid w:val="001B09F9"/>
    <w:rsid w:val="001B1DA4"/>
    <w:rsid w:val="001B5C90"/>
    <w:rsid w:val="001B6448"/>
    <w:rsid w:val="001C32CD"/>
    <w:rsid w:val="001C6B42"/>
    <w:rsid w:val="001D2984"/>
    <w:rsid w:val="001D42C4"/>
    <w:rsid w:val="001D7B7C"/>
    <w:rsid w:val="001E05BC"/>
    <w:rsid w:val="001E07CF"/>
    <w:rsid w:val="001E359E"/>
    <w:rsid w:val="001E59F1"/>
    <w:rsid w:val="001F2CEE"/>
    <w:rsid w:val="001F49EB"/>
    <w:rsid w:val="001F698A"/>
    <w:rsid w:val="001F69E6"/>
    <w:rsid w:val="001F6CBA"/>
    <w:rsid w:val="001F79A3"/>
    <w:rsid w:val="00201D4E"/>
    <w:rsid w:val="002076C9"/>
    <w:rsid w:val="00214E0D"/>
    <w:rsid w:val="00220B8A"/>
    <w:rsid w:val="002257F3"/>
    <w:rsid w:val="00227517"/>
    <w:rsid w:val="00233456"/>
    <w:rsid w:val="002339A5"/>
    <w:rsid w:val="0023715B"/>
    <w:rsid w:val="00237BA7"/>
    <w:rsid w:val="00250271"/>
    <w:rsid w:val="00250F35"/>
    <w:rsid w:val="00256387"/>
    <w:rsid w:val="00257848"/>
    <w:rsid w:val="002578E8"/>
    <w:rsid w:val="00260359"/>
    <w:rsid w:val="002656C8"/>
    <w:rsid w:val="0027084A"/>
    <w:rsid w:val="00280265"/>
    <w:rsid w:val="00283F2E"/>
    <w:rsid w:val="00286434"/>
    <w:rsid w:val="00286C59"/>
    <w:rsid w:val="00287E21"/>
    <w:rsid w:val="00291957"/>
    <w:rsid w:val="002942D1"/>
    <w:rsid w:val="0029501A"/>
    <w:rsid w:val="002A233D"/>
    <w:rsid w:val="002A3721"/>
    <w:rsid w:val="002B1638"/>
    <w:rsid w:val="002B3624"/>
    <w:rsid w:val="002B42E9"/>
    <w:rsid w:val="002B6B1B"/>
    <w:rsid w:val="002B746C"/>
    <w:rsid w:val="002D0952"/>
    <w:rsid w:val="002E40B3"/>
    <w:rsid w:val="002E4C9A"/>
    <w:rsid w:val="002F11F8"/>
    <w:rsid w:val="002F143C"/>
    <w:rsid w:val="002F3F56"/>
    <w:rsid w:val="002F44B5"/>
    <w:rsid w:val="002F4F6B"/>
    <w:rsid w:val="002F5122"/>
    <w:rsid w:val="002F6DF0"/>
    <w:rsid w:val="0030765B"/>
    <w:rsid w:val="00311AC0"/>
    <w:rsid w:val="0031736A"/>
    <w:rsid w:val="003176FC"/>
    <w:rsid w:val="00324E45"/>
    <w:rsid w:val="0032583B"/>
    <w:rsid w:val="00327883"/>
    <w:rsid w:val="00332715"/>
    <w:rsid w:val="00333DCE"/>
    <w:rsid w:val="00335504"/>
    <w:rsid w:val="00336A47"/>
    <w:rsid w:val="00340C18"/>
    <w:rsid w:val="00343C4C"/>
    <w:rsid w:val="003442FD"/>
    <w:rsid w:val="00347824"/>
    <w:rsid w:val="00350567"/>
    <w:rsid w:val="003521E8"/>
    <w:rsid w:val="00354C39"/>
    <w:rsid w:val="00355053"/>
    <w:rsid w:val="00362827"/>
    <w:rsid w:val="00370CE3"/>
    <w:rsid w:val="003728F3"/>
    <w:rsid w:val="003735BC"/>
    <w:rsid w:val="0037496E"/>
    <w:rsid w:val="00383221"/>
    <w:rsid w:val="00383B4B"/>
    <w:rsid w:val="00384C98"/>
    <w:rsid w:val="00386150"/>
    <w:rsid w:val="003874CE"/>
    <w:rsid w:val="00390900"/>
    <w:rsid w:val="0039645A"/>
    <w:rsid w:val="003A4300"/>
    <w:rsid w:val="003A7F6C"/>
    <w:rsid w:val="003B4D60"/>
    <w:rsid w:val="003B7E39"/>
    <w:rsid w:val="003C05FD"/>
    <w:rsid w:val="003C31AC"/>
    <w:rsid w:val="003C3C9D"/>
    <w:rsid w:val="003C58DC"/>
    <w:rsid w:val="003C652D"/>
    <w:rsid w:val="003C6760"/>
    <w:rsid w:val="003D1E62"/>
    <w:rsid w:val="003E0B99"/>
    <w:rsid w:val="003E1B9C"/>
    <w:rsid w:val="003E2486"/>
    <w:rsid w:val="003E3208"/>
    <w:rsid w:val="003F0B04"/>
    <w:rsid w:val="003F52B8"/>
    <w:rsid w:val="0040134E"/>
    <w:rsid w:val="00405389"/>
    <w:rsid w:val="004238C0"/>
    <w:rsid w:val="0042456C"/>
    <w:rsid w:val="004246FE"/>
    <w:rsid w:val="004268CE"/>
    <w:rsid w:val="004334C7"/>
    <w:rsid w:val="00440A2D"/>
    <w:rsid w:val="00441C3F"/>
    <w:rsid w:val="00444D1A"/>
    <w:rsid w:val="004465CD"/>
    <w:rsid w:val="0045186A"/>
    <w:rsid w:val="0045331C"/>
    <w:rsid w:val="00454BDC"/>
    <w:rsid w:val="004564A7"/>
    <w:rsid w:val="00456765"/>
    <w:rsid w:val="00460036"/>
    <w:rsid w:val="004617BF"/>
    <w:rsid w:val="00463658"/>
    <w:rsid w:val="004637A0"/>
    <w:rsid w:val="004722CC"/>
    <w:rsid w:val="004868D8"/>
    <w:rsid w:val="004869F2"/>
    <w:rsid w:val="00490483"/>
    <w:rsid w:val="004936E4"/>
    <w:rsid w:val="00494E60"/>
    <w:rsid w:val="00497487"/>
    <w:rsid w:val="004A18BF"/>
    <w:rsid w:val="004A2771"/>
    <w:rsid w:val="004A495C"/>
    <w:rsid w:val="004A6189"/>
    <w:rsid w:val="004A7390"/>
    <w:rsid w:val="004B1A8C"/>
    <w:rsid w:val="004B2F51"/>
    <w:rsid w:val="004B7B76"/>
    <w:rsid w:val="004C1A84"/>
    <w:rsid w:val="004C239D"/>
    <w:rsid w:val="004C2B1B"/>
    <w:rsid w:val="004C2DCA"/>
    <w:rsid w:val="004C4FBE"/>
    <w:rsid w:val="004C61D2"/>
    <w:rsid w:val="004E7071"/>
    <w:rsid w:val="004F0C4A"/>
    <w:rsid w:val="004F0F38"/>
    <w:rsid w:val="004F47D6"/>
    <w:rsid w:val="00500337"/>
    <w:rsid w:val="00501921"/>
    <w:rsid w:val="00501D3A"/>
    <w:rsid w:val="00505417"/>
    <w:rsid w:val="005068A5"/>
    <w:rsid w:val="005073D7"/>
    <w:rsid w:val="00516ECE"/>
    <w:rsid w:val="00520DD5"/>
    <w:rsid w:val="0052149B"/>
    <w:rsid w:val="00523A21"/>
    <w:rsid w:val="00527DAC"/>
    <w:rsid w:val="00530354"/>
    <w:rsid w:val="00534D20"/>
    <w:rsid w:val="0053625B"/>
    <w:rsid w:val="005406D0"/>
    <w:rsid w:val="005434C6"/>
    <w:rsid w:val="00543B39"/>
    <w:rsid w:val="00545CDB"/>
    <w:rsid w:val="00546154"/>
    <w:rsid w:val="00550096"/>
    <w:rsid w:val="005540DD"/>
    <w:rsid w:val="00554A6A"/>
    <w:rsid w:val="00555280"/>
    <w:rsid w:val="00557D8D"/>
    <w:rsid w:val="00557FF9"/>
    <w:rsid w:val="00562265"/>
    <w:rsid w:val="00562327"/>
    <w:rsid w:val="00562C2F"/>
    <w:rsid w:val="005711D5"/>
    <w:rsid w:val="005737BB"/>
    <w:rsid w:val="005740C4"/>
    <w:rsid w:val="00576378"/>
    <w:rsid w:val="00577130"/>
    <w:rsid w:val="00577945"/>
    <w:rsid w:val="00577AF0"/>
    <w:rsid w:val="00577E38"/>
    <w:rsid w:val="005814A4"/>
    <w:rsid w:val="00585322"/>
    <w:rsid w:val="005857C6"/>
    <w:rsid w:val="00592F6E"/>
    <w:rsid w:val="00593AD1"/>
    <w:rsid w:val="00594D33"/>
    <w:rsid w:val="005A29E4"/>
    <w:rsid w:val="005A68B6"/>
    <w:rsid w:val="005A79F5"/>
    <w:rsid w:val="005C494B"/>
    <w:rsid w:val="005C5570"/>
    <w:rsid w:val="005C5B66"/>
    <w:rsid w:val="005C79A4"/>
    <w:rsid w:val="005D0167"/>
    <w:rsid w:val="005D4FFF"/>
    <w:rsid w:val="005D5442"/>
    <w:rsid w:val="00603F32"/>
    <w:rsid w:val="00605AD4"/>
    <w:rsid w:val="006073EA"/>
    <w:rsid w:val="00607920"/>
    <w:rsid w:val="006136D7"/>
    <w:rsid w:val="0062193F"/>
    <w:rsid w:val="00625A6E"/>
    <w:rsid w:val="0063159C"/>
    <w:rsid w:val="00632398"/>
    <w:rsid w:val="0063641C"/>
    <w:rsid w:val="00640FC3"/>
    <w:rsid w:val="00642020"/>
    <w:rsid w:val="006430EE"/>
    <w:rsid w:val="0065337B"/>
    <w:rsid w:val="0065419D"/>
    <w:rsid w:val="006603BC"/>
    <w:rsid w:val="006604D8"/>
    <w:rsid w:val="00661978"/>
    <w:rsid w:val="006648E7"/>
    <w:rsid w:val="00664A5B"/>
    <w:rsid w:val="006660A7"/>
    <w:rsid w:val="00666FEE"/>
    <w:rsid w:val="0066735C"/>
    <w:rsid w:val="006763D2"/>
    <w:rsid w:val="00680C08"/>
    <w:rsid w:val="00683B9A"/>
    <w:rsid w:val="006862F2"/>
    <w:rsid w:val="006901BA"/>
    <w:rsid w:val="006916A0"/>
    <w:rsid w:val="006931B1"/>
    <w:rsid w:val="0069556C"/>
    <w:rsid w:val="00695EDE"/>
    <w:rsid w:val="0069603E"/>
    <w:rsid w:val="006A15C0"/>
    <w:rsid w:val="006A466E"/>
    <w:rsid w:val="006A58A8"/>
    <w:rsid w:val="006B495B"/>
    <w:rsid w:val="006C2EF9"/>
    <w:rsid w:val="006C3528"/>
    <w:rsid w:val="006C3E2A"/>
    <w:rsid w:val="006C642F"/>
    <w:rsid w:val="006D03E5"/>
    <w:rsid w:val="006D0CF5"/>
    <w:rsid w:val="006D5D3E"/>
    <w:rsid w:val="006E08B3"/>
    <w:rsid w:val="006F17AC"/>
    <w:rsid w:val="006F25B8"/>
    <w:rsid w:val="006F572E"/>
    <w:rsid w:val="00701369"/>
    <w:rsid w:val="007046D6"/>
    <w:rsid w:val="00705DB0"/>
    <w:rsid w:val="007144B8"/>
    <w:rsid w:val="007147A5"/>
    <w:rsid w:val="0072292E"/>
    <w:rsid w:val="00722B57"/>
    <w:rsid w:val="00727056"/>
    <w:rsid w:val="00730F8A"/>
    <w:rsid w:val="00735A8C"/>
    <w:rsid w:val="0074163C"/>
    <w:rsid w:val="0074253D"/>
    <w:rsid w:val="0074373A"/>
    <w:rsid w:val="00744121"/>
    <w:rsid w:val="0074429B"/>
    <w:rsid w:val="00745FAB"/>
    <w:rsid w:val="00746DD2"/>
    <w:rsid w:val="007615BC"/>
    <w:rsid w:val="00762F05"/>
    <w:rsid w:val="007652FF"/>
    <w:rsid w:val="00770CAC"/>
    <w:rsid w:val="00770EF1"/>
    <w:rsid w:val="0077131A"/>
    <w:rsid w:val="00773EF7"/>
    <w:rsid w:val="00774E1D"/>
    <w:rsid w:val="007765D8"/>
    <w:rsid w:val="0077675A"/>
    <w:rsid w:val="00780355"/>
    <w:rsid w:val="007819FD"/>
    <w:rsid w:val="00785717"/>
    <w:rsid w:val="00785721"/>
    <w:rsid w:val="00793A59"/>
    <w:rsid w:val="00795255"/>
    <w:rsid w:val="007A0D1C"/>
    <w:rsid w:val="007A3E00"/>
    <w:rsid w:val="007A46F5"/>
    <w:rsid w:val="007A58F6"/>
    <w:rsid w:val="007A6505"/>
    <w:rsid w:val="007B6132"/>
    <w:rsid w:val="007B6E9F"/>
    <w:rsid w:val="007C1216"/>
    <w:rsid w:val="007C1AF7"/>
    <w:rsid w:val="007C4063"/>
    <w:rsid w:val="007C4083"/>
    <w:rsid w:val="007C6B9B"/>
    <w:rsid w:val="007D17D3"/>
    <w:rsid w:val="007D53B6"/>
    <w:rsid w:val="007E7A86"/>
    <w:rsid w:val="00804D99"/>
    <w:rsid w:val="00805D27"/>
    <w:rsid w:val="0080666C"/>
    <w:rsid w:val="00806DCB"/>
    <w:rsid w:val="00810A66"/>
    <w:rsid w:val="008110BC"/>
    <w:rsid w:val="00821776"/>
    <w:rsid w:val="00831B12"/>
    <w:rsid w:val="008321F5"/>
    <w:rsid w:val="00832369"/>
    <w:rsid w:val="0083389D"/>
    <w:rsid w:val="00833ED8"/>
    <w:rsid w:val="00834660"/>
    <w:rsid w:val="00836BC2"/>
    <w:rsid w:val="0084022F"/>
    <w:rsid w:val="00841805"/>
    <w:rsid w:val="0085156D"/>
    <w:rsid w:val="00852B28"/>
    <w:rsid w:val="0085333D"/>
    <w:rsid w:val="0085641B"/>
    <w:rsid w:val="00857136"/>
    <w:rsid w:val="00857786"/>
    <w:rsid w:val="008604F0"/>
    <w:rsid w:val="00863487"/>
    <w:rsid w:val="00864117"/>
    <w:rsid w:val="0086565C"/>
    <w:rsid w:val="00865B03"/>
    <w:rsid w:val="00870C9D"/>
    <w:rsid w:val="00872E1D"/>
    <w:rsid w:val="00875A6B"/>
    <w:rsid w:val="00881093"/>
    <w:rsid w:val="00881DE9"/>
    <w:rsid w:val="00885B11"/>
    <w:rsid w:val="00886D15"/>
    <w:rsid w:val="00887DD8"/>
    <w:rsid w:val="00891BA9"/>
    <w:rsid w:val="00896018"/>
    <w:rsid w:val="008960DD"/>
    <w:rsid w:val="0089635C"/>
    <w:rsid w:val="008A1AE8"/>
    <w:rsid w:val="008A2B9D"/>
    <w:rsid w:val="008A3D9F"/>
    <w:rsid w:val="008A5E0B"/>
    <w:rsid w:val="008A6D59"/>
    <w:rsid w:val="008A7B5C"/>
    <w:rsid w:val="008B4B03"/>
    <w:rsid w:val="008B596F"/>
    <w:rsid w:val="008C159F"/>
    <w:rsid w:val="008C1623"/>
    <w:rsid w:val="008C1850"/>
    <w:rsid w:val="008C51A9"/>
    <w:rsid w:val="008D3427"/>
    <w:rsid w:val="008E7846"/>
    <w:rsid w:val="008F02E5"/>
    <w:rsid w:val="008F1CCC"/>
    <w:rsid w:val="008F1E9A"/>
    <w:rsid w:val="008F2967"/>
    <w:rsid w:val="008F2DD6"/>
    <w:rsid w:val="008F6943"/>
    <w:rsid w:val="00902A21"/>
    <w:rsid w:val="00904D23"/>
    <w:rsid w:val="0091523F"/>
    <w:rsid w:val="00920330"/>
    <w:rsid w:val="009219D7"/>
    <w:rsid w:val="00922D53"/>
    <w:rsid w:val="00923B70"/>
    <w:rsid w:val="00924482"/>
    <w:rsid w:val="00930237"/>
    <w:rsid w:val="00933DC0"/>
    <w:rsid w:val="00937C17"/>
    <w:rsid w:val="00940A6B"/>
    <w:rsid w:val="00940A89"/>
    <w:rsid w:val="00941F77"/>
    <w:rsid w:val="0094332F"/>
    <w:rsid w:val="00946EA5"/>
    <w:rsid w:val="00950CB3"/>
    <w:rsid w:val="0095355B"/>
    <w:rsid w:val="0095546B"/>
    <w:rsid w:val="00955A64"/>
    <w:rsid w:val="00960520"/>
    <w:rsid w:val="00963C08"/>
    <w:rsid w:val="009660B4"/>
    <w:rsid w:val="009752A5"/>
    <w:rsid w:val="0098585A"/>
    <w:rsid w:val="00986E3C"/>
    <w:rsid w:val="009963B0"/>
    <w:rsid w:val="009A4CED"/>
    <w:rsid w:val="009A5A2F"/>
    <w:rsid w:val="009A690D"/>
    <w:rsid w:val="009B1D12"/>
    <w:rsid w:val="009B416B"/>
    <w:rsid w:val="009C1786"/>
    <w:rsid w:val="009C4BD5"/>
    <w:rsid w:val="009C7670"/>
    <w:rsid w:val="009D7B77"/>
    <w:rsid w:val="009E0086"/>
    <w:rsid w:val="009E0BB0"/>
    <w:rsid w:val="009E3FBB"/>
    <w:rsid w:val="009E5A87"/>
    <w:rsid w:val="009F2673"/>
    <w:rsid w:val="009F2D5B"/>
    <w:rsid w:val="009F7353"/>
    <w:rsid w:val="00A04F85"/>
    <w:rsid w:val="00A05FA4"/>
    <w:rsid w:val="00A102E4"/>
    <w:rsid w:val="00A1219C"/>
    <w:rsid w:val="00A12C42"/>
    <w:rsid w:val="00A14DF7"/>
    <w:rsid w:val="00A22D57"/>
    <w:rsid w:val="00A245B9"/>
    <w:rsid w:val="00A3158E"/>
    <w:rsid w:val="00A3246D"/>
    <w:rsid w:val="00A36FA7"/>
    <w:rsid w:val="00A37FE6"/>
    <w:rsid w:val="00A4161B"/>
    <w:rsid w:val="00A44DDB"/>
    <w:rsid w:val="00A475B7"/>
    <w:rsid w:val="00A47AF7"/>
    <w:rsid w:val="00A47C3E"/>
    <w:rsid w:val="00A50226"/>
    <w:rsid w:val="00A54FA3"/>
    <w:rsid w:val="00A60BAD"/>
    <w:rsid w:val="00A63AF3"/>
    <w:rsid w:val="00A65AF0"/>
    <w:rsid w:val="00A7365A"/>
    <w:rsid w:val="00A74854"/>
    <w:rsid w:val="00A7516B"/>
    <w:rsid w:val="00A77293"/>
    <w:rsid w:val="00A77F87"/>
    <w:rsid w:val="00A80B5B"/>
    <w:rsid w:val="00A84E36"/>
    <w:rsid w:val="00A964D1"/>
    <w:rsid w:val="00AA0ED0"/>
    <w:rsid w:val="00AA3B38"/>
    <w:rsid w:val="00AC2B40"/>
    <w:rsid w:val="00AC2BB2"/>
    <w:rsid w:val="00AC2C3C"/>
    <w:rsid w:val="00AC512D"/>
    <w:rsid w:val="00AD0083"/>
    <w:rsid w:val="00AD0118"/>
    <w:rsid w:val="00AD3935"/>
    <w:rsid w:val="00AE65EB"/>
    <w:rsid w:val="00AE67A7"/>
    <w:rsid w:val="00AF1D94"/>
    <w:rsid w:val="00AF2313"/>
    <w:rsid w:val="00AF450C"/>
    <w:rsid w:val="00AF60C5"/>
    <w:rsid w:val="00B009C6"/>
    <w:rsid w:val="00B01548"/>
    <w:rsid w:val="00B130C5"/>
    <w:rsid w:val="00B13EBD"/>
    <w:rsid w:val="00B13F7E"/>
    <w:rsid w:val="00B1406F"/>
    <w:rsid w:val="00B21D29"/>
    <w:rsid w:val="00B25034"/>
    <w:rsid w:val="00B33588"/>
    <w:rsid w:val="00B33863"/>
    <w:rsid w:val="00B35D18"/>
    <w:rsid w:val="00B37D17"/>
    <w:rsid w:val="00B4175E"/>
    <w:rsid w:val="00B41C85"/>
    <w:rsid w:val="00B42814"/>
    <w:rsid w:val="00B452CE"/>
    <w:rsid w:val="00B54C25"/>
    <w:rsid w:val="00B7550C"/>
    <w:rsid w:val="00B76B91"/>
    <w:rsid w:val="00B77EB1"/>
    <w:rsid w:val="00B811C6"/>
    <w:rsid w:val="00B855B0"/>
    <w:rsid w:val="00B92E08"/>
    <w:rsid w:val="00B960DC"/>
    <w:rsid w:val="00BB0B78"/>
    <w:rsid w:val="00BB4421"/>
    <w:rsid w:val="00BC2BB5"/>
    <w:rsid w:val="00BC622A"/>
    <w:rsid w:val="00BE0A78"/>
    <w:rsid w:val="00BE6542"/>
    <w:rsid w:val="00BE66A5"/>
    <w:rsid w:val="00BE6E2E"/>
    <w:rsid w:val="00BE79F0"/>
    <w:rsid w:val="00BF046D"/>
    <w:rsid w:val="00BF1190"/>
    <w:rsid w:val="00BF3774"/>
    <w:rsid w:val="00BF5D04"/>
    <w:rsid w:val="00BF7063"/>
    <w:rsid w:val="00C009AA"/>
    <w:rsid w:val="00C036E2"/>
    <w:rsid w:val="00C1164D"/>
    <w:rsid w:val="00C12525"/>
    <w:rsid w:val="00C16861"/>
    <w:rsid w:val="00C34133"/>
    <w:rsid w:val="00C346AB"/>
    <w:rsid w:val="00C357B1"/>
    <w:rsid w:val="00C404A6"/>
    <w:rsid w:val="00C40A36"/>
    <w:rsid w:val="00C41186"/>
    <w:rsid w:val="00C4226F"/>
    <w:rsid w:val="00C44419"/>
    <w:rsid w:val="00C45E7B"/>
    <w:rsid w:val="00C471B1"/>
    <w:rsid w:val="00C525A2"/>
    <w:rsid w:val="00C52E24"/>
    <w:rsid w:val="00C54DFA"/>
    <w:rsid w:val="00C6316B"/>
    <w:rsid w:val="00C634A9"/>
    <w:rsid w:val="00C64586"/>
    <w:rsid w:val="00C66387"/>
    <w:rsid w:val="00C70A36"/>
    <w:rsid w:val="00C70D53"/>
    <w:rsid w:val="00C73D0B"/>
    <w:rsid w:val="00C74F5C"/>
    <w:rsid w:val="00C772FF"/>
    <w:rsid w:val="00C80137"/>
    <w:rsid w:val="00C801AF"/>
    <w:rsid w:val="00C80256"/>
    <w:rsid w:val="00C84C77"/>
    <w:rsid w:val="00C94CD4"/>
    <w:rsid w:val="00C9747E"/>
    <w:rsid w:val="00CB2970"/>
    <w:rsid w:val="00CB5F6C"/>
    <w:rsid w:val="00CB6BC0"/>
    <w:rsid w:val="00CC1B7C"/>
    <w:rsid w:val="00CC5044"/>
    <w:rsid w:val="00CC51AC"/>
    <w:rsid w:val="00CC727F"/>
    <w:rsid w:val="00CD3FD7"/>
    <w:rsid w:val="00CF15C3"/>
    <w:rsid w:val="00CF2B6F"/>
    <w:rsid w:val="00CF2F3E"/>
    <w:rsid w:val="00CF2FFA"/>
    <w:rsid w:val="00CF58B6"/>
    <w:rsid w:val="00CF5DAD"/>
    <w:rsid w:val="00CF7A14"/>
    <w:rsid w:val="00D0062D"/>
    <w:rsid w:val="00D017ED"/>
    <w:rsid w:val="00D040D3"/>
    <w:rsid w:val="00D04C65"/>
    <w:rsid w:val="00D153D8"/>
    <w:rsid w:val="00D201D2"/>
    <w:rsid w:val="00D212F3"/>
    <w:rsid w:val="00D224FE"/>
    <w:rsid w:val="00D23139"/>
    <w:rsid w:val="00D24C70"/>
    <w:rsid w:val="00D425BB"/>
    <w:rsid w:val="00D453FA"/>
    <w:rsid w:val="00D46FD7"/>
    <w:rsid w:val="00D47C08"/>
    <w:rsid w:val="00D64000"/>
    <w:rsid w:val="00D6493E"/>
    <w:rsid w:val="00D7195D"/>
    <w:rsid w:val="00D7301E"/>
    <w:rsid w:val="00D75DD8"/>
    <w:rsid w:val="00D80696"/>
    <w:rsid w:val="00D81DF8"/>
    <w:rsid w:val="00D83AE1"/>
    <w:rsid w:val="00D846FB"/>
    <w:rsid w:val="00D854AC"/>
    <w:rsid w:val="00D85581"/>
    <w:rsid w:val="00D855D4"/>
    <w:rsid w:val="00D902C9"/>
    <w:rsid w:val="00D90BB6"/>
    <w:rsid w:val="00D93466"/>
    <w:rsid w:val="00D95E0B"/>
    <w:rsid w:val="00DA1124"/>
    <w:rsid w:val="00DA1A47"/>
    <w:rsid w:val="00DA64CB"/>
    <w:rsid w:val="00DB0070"/>
    <w:rsid w:val="00DB06B8"/>
    <w:rsid w:val="00DB3F45"/>
    <w:rsid w:val="00DB6124"/>
    <w:rsid w:val="00DB750B"/>
    <w:rsid w:val="00DB75B7"/>
    <w:rsid w:val="00DC0A2F"/>
    <w:rsid w:val="00DC1948"/>
    <w:rsid w:val="00DC3CA6"/>
    <w:rsid w:val="00DC6E02"/>
    <w:rsid w:val="00DD28CD"/>
    <w:rsid w:val="00DD4001"/>
    <w:rsid w:val="00DE02AE"/>
    <w:rsid w:val="00DE263F"/>
    <w:rsid w:val="00DE34BC"/>
    <w:rsid w:val="00DE39D1"/>
    <w:rsid w:val="00DE64FE"/>
    <w:rsid w:val="00DF1D7F"/>
    <w:rsid w:val="00DF37CE"/>
    <w:rsid w:val="00DF489D"/>
    <w:rsid w:val="00DF4BE4"/>
    <w:rsid w:val="00DF7C6F"/>
    <w:rsid w:val="00E00595"/>
    <w:rsid w:val="00E01017"/>
    <w:rsid w:val="00E02382"/>
    <w:rsid w:val="00E02FB4"/>
    <w:rsid w:val="00E030CE"/>
    <w:rsid w:val="00E03FAC"/>
    <w:rsid w:val="00E04BB7"/>
    <w:rsid w:val="00E07D97"/>
    <w:rsid w:val="00E13FC7"/>
    <w:rsid w:val="00E15CB5"/>
    <w:rsid w:val="00E16B28"/>
    <w:rsid w:val="00E17BE0"/>
    <w:rsid w:val="00E204A0"/>
    <w:rsid w:val="00E20571"/>
    <w:rsid w:val="00E235F7"/>
    <w:rsid w:val="00E23659"/>
    <w:rsid w:val="00E239D4"/>
    <w:rsid w:val="00E26130"/>
    <w:rsid w:val="00E33D42"/>
    <w:rsid w:val="00E34C9E"/>
    <w:rsid w:val="00E40B22"/>
    <w:rsid w:val="00E44ED1"/>
    <w:rsid w:val="00E45619"/>
    <w:rsid w:val="00E4588F"/>
    <w:rsid w:val="00E46928"/>
    <w:rsid w:val="00E46DA3"/>
    <w:rsid w:val="00E47880"/>
    <w:rsid w:val="00E51BB1"/>
    <w:rsid w:val="00E55CB0"/>
    <w:rsid w:val="00E624A5"/>
    <w:rsid w:val="00E64BA4"/>
    <w:rsid w:val="00E6722E"/>
    <w:rsid w:val="00E67D0B"/>
    <w:rsid w:val="00E7344E"/>
    <w:rsid w:val="00E7406A"/>
    <w:rsid w:val="00E82665"/>
    <w:rsid w:val="00EA3E17"/>
    <w:rsid w:val="00EA64F2"/>
    <w:rsid w:val="00EA7C2C"/>
    <w:rsid w:val="00EB0798"/>
    <w:rsid w:val="00EB374E"/>
    <w:rsid w:val="00EB40AD"/>
    <w:rsid w:val="00EB586E"/>
    <w:rsid w:val="00EB5FC8"/>
    <w:rsid w:val="00EB75A3"/>
    <w:rsid w:val="00EC463D"/>
    <w:rsid w:val="00EC4B47"/>
    <w:rsid w:val="00EC7101"/>
    <w:rsid w:val="00EC7A85"/>
    <w:rsid w:val="00EC7F7E"/>
    <w:rsid w:val="00ED275D"/>
    <w:rsid w:val="00ED2922"/>
    <w:rsid w:val="00ED3CAD"/>
    <w:rsid w:val="00ED5A41"/>
    <w:rsid w:val="00EE1DE8"/>
    <w:rsid w:val="00EE27C2"/>
    <w:rsid w:val="00EF4BAD"/>
    <w:rsid w:val="00EF59DC"/>
    <w:rsid w:val="00F033EC"/>
    <w:rsid w:val="00F04F68"/>
    <w:rsid w:val="00F12670"/>
    <w:rsid w:val="00F14B27"/>
    <w:rsid w:val="00F158E4"/>
    <w:rsid w:val="00F16080"/>
    <w:rsid w:val="00F3148D"/>
    <w:rsid w:val="00F3224F"/>
    <w:rsid w:val="00F325C5"/>
    <w:rsid w:val="00F32FE0"/>
    <w:rsid w:val="00F35298"/>
    <w:rsid w:val="00F40DB4"/>
    <w:rsid w:val="00F47333"/>
    <w:rsid w:val="00F47E37"/>
    <w:rsid w:val="00F50FE0"/>
    <w:rsid w:val="00F53C07"/>
    <w:rsid w:val="00F54B65"/>
    <w:rsid w:val="00F565C1"/>
    <w:rsid w:val="00F63DBF"/>
    <w:rsid w:val="00F640B6"/>
    <w:rsid w:val="00F66DF2"/>
    <w:rsid w:val="00F80E40"/>
    <w:rsid w:val="00F8299E"/>
    <w:rsid w:val="00F848D9"/>
    <w:rsid w:val="00F86018"/>
    <w:rsid w:val="00FA46AB"/>
    <w:rsid w:val="00FA4BBA"/>
    <w:rsid w:val="00FA5069"/>
    <w:rsid w:val="00FA5B82"/>
    <w:rsid w:val="00FA639E"/>
    <w:rsid w:val="00FC1FCA"/>
    <w:rsid w:val="00FC25E4"/>
    <w:rsid w:val="00FC4EF7"/>
    <w:rsid w:val="00FD0824"/>
    <w:rsid w:val="00FD119B"/>
    <w:rsid w:val="00FD1EDC"/>
    <w:rsid w:val="00FE1DEE"/>
    <w:rsid w:val="00FF2126"/>
    <w:rsid w:val="00FF5755"/>
    <w:rsid w:val="00FF69BE"/>
    <w:rsid w:val="00FF7B93"/>
    <w:rsid w:val="11127057"/>
    <w:rsid w:val="143F099E"/>
    <w:rsid w:val="1D7E8D7B"/>
    <w:rsid w:val="266165C7"/>
    <w:rsid w:val="324F0792"/>
    <w:rsid w:val="32C94D75"/>
    <w:rsid w:val="34E6CFF5"/>
    <w:rsid w:val="3818C5AA"/>
    <w:rsid w:val="3C5F5170"/>
    <w:rsid w:val="3F88A25B"/>
    <w:rsid w:val="4546B00B"/>
    <w:rsid w:val="4CB55A15"/>
    <w:rsid w:val="50AEECA4"/>
    <w:rsid w:val="5B333416"/>
    <w:rsid w:val="6FB01801"/>
    <w:rsid w:val="7335A5F1"/>
    <w:rsid w:val="782024E4"/>
    <w:rsid w:val="7E32232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B1C38"/>
  <w15:docId w15:val="{9F2F450D-8756-4E7C-8B9A-8945F87B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1D3A"/>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qFormat/>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2E40B3"/>
    <w:pPr>
      <w:keepNext/>
    </w:pPr>
    <w:rPr>
      <w:b/>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title0">
    <w:name w:val="Table title"/>
    <w:basedOn w:val="Normal"/>
    <w:next w:val="Normal"/>
    <w:rsid w:val="009F2673"/>
    <w:pPr>
      <w:keepNext/>
      <w:spacing w:after="180"/>
    </w:pPr>
    <w:rPr>
      <w:b/>
      <w:szCs w:val="20"/>
    </w:rPr>
  </w:style>
  <w:style w:type="character" w:customStyle="1" w:styleId="UnresolvedMention1">
    <w:name w:val="Unresolved Mention1"/>
    <w:basedOn w:val="DefaultParagraphFont"/>
    <w:uiPriority w:val="99"/>
    <w:semiHidden/>
    <w:unhideWhenUsed/>
    <w:rsid w:val="009F2673"/>
    <w:rPr>
      <w:color w:val="605E5C"/>
      <w:shd w:val="clear" w:color="auto" w:fill="E1DFDD"/>
    </w:rPr>
  </w:style>
  <w:style w:type="paragraph" w:customStyle="1" w:styleId="FigureCaption">
    <w:name w:val="Figure Caption"/>
    <w:basedOn w:val="Normal"/>
    <w:qFormat/>
    <w:rsid w:val="00E00595"/>
    <w:pPr>
      <w:adjustRightInd w:val="0"/>
      <w:snapToGrid w:val="0"/>
      <w:spacing w:before="180" w:after="180"/>
    </w:pPr>
    <w:rPr>
      <w:rFonts w:eastAsia="MS Mincho"/>
      <w:szCs w:val="20"/>
      <w:lang w:eastAsia="ja-JP"/>
    </w:rPr>
  </w:style>
  <w:style w:type="paragraph" w:customStyle="1" w:styleId="TableCaption">
    <w:name w:val="Table Caption"/>
    <w:basedOn w:val="FigureCaption"/>
    <w:qFormat/>
    <w:rsid w:val="00E00595"/>
    <w:pPr>
      <w:spacing w:after="240"/>
    </w:pPr>
    <w:rPr>
      <w:sz w:val="17"/>
    </w:rPr>
  </w:style>
  <w:style w:type="table" w:customStyle="1" w:styleId="TableTGA2">
    <w:name w:val="Table TGA 2"/>
    <w:basedOn w:val="TableNormal"/>
    <w:uiPriority w:val="99"/>
    <w:rsid w:val="00E00595"/>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qFormat/>
    <w:rsid w:val="00E00595"/>
    <w:pPr>
      <w:adjustRightInd w:val="0"/>
      <w:snapToGrid w:val="0"/>
      <w:spacing w:before="180" w:after="180"/>
    </w:pPr>
    <w:rPr>
      <w:rFonts w:eastAsia="MS Mincho"/>
      <w:b/>
      <w:szCs w:val="20"/>
      <w:lang w:eastAsia="ja-JP"/>
    </w:rPr>
  </w:style>
  <w:style w:type="paragraph" w:customStyle="1" w:styleId="Addressee">
    <w:name w:val="Addressee"/>
    <w:basedOn w:val="Normal"/>
    <w:qFormat/>
    <w:rsid w:val="00E00595"/>
    <w:pPr>
      <w:adjustRightInd w:val="0"/>
      <w:snapToGrid w:val="0"/>
      <w:spacing w:before="180" w:after="180"/>
    </w:pPr>
    <w:rPr>
      <w:rFonts w:eastAsia="MS Mincho"/>
      <w:szCs w:val="20"/>
      <w:lang w:eastAsia="ja-JP"/>
    </w:rPr>
  </w:style>
  <w:style w:type="character" w:customStyle="1" w:styleId="ABN">
    <w:name w:val="ABN"/>
    <w:basedOn w:val="DefaultParagraphFont"/>
    <w:uiPriority w:val="1"/>
    <w:qFormat/>
    <w:rsid w:val="00E00595"/>
    <w:rPr>
      <w:rFonts w:ascii="Arial" w:hAnsi="Arial"/>
      <w:color w:val="002C47"/>
      <w:sz w:val="14"/>
    </w:rPr>
  </w:style>
  <w:style w:type="paragraph" w:customStyle="1" w:styleId="BodyCopy">
    <w:name w:val="Body Copy"/>
    <w:basedOn w:val="Normal"/>
    <w:qFormat/>
    <w:rsid w:val="00E00595"/>
    <w:pPr>
      <w:adjustRightInd w:val="0"/>
      <w:snapToGrid w:val="0"/>
      <w:spacing w:before="180" w:after="180"/>
    </w:pPr>
    <w:rPr>
      <w:rFonts w:eastAsia="MS Mincho"/>
      <w:szCs w:val="20"/>
      <w:lang w:eastAsia="ja-JP"/>
    </w:rPr>
  </w:style>
  <w:style w:type="paragraph" w:styleId="ListParagraph">
    <w:name w:val="List Paragraph"/>
    <w:basedOn w:val="Normal"/>
    <w:uiPriority w:val="34"/>
    <w:rsid w:val="00E00595"/>
    <w:pPr>
      <w:adjustRightInd w:val="0"/>
      <w:snapToGrid w:val="0"/>
      <w:spacing w:before="180" w:after="180"/>
      <w:ind w:left="720"/>
      <w:contextualSpacing/>
    </w:pPr>
    <w:rPr>
      <w:rFonts w:eastAsia="MS Mincho"/>
      <w:szCs w:val="20"/>
      <w:lang w:eastAsia="ja-JP"/>
    </w:rPr>
  </w:style>
  <w:style w:type="paragraph" w:customStyle="1" w:styleId="Standard">
    <w:name w:val="Standard"/>
    <w:basedOn w:val="Normal"/>
    <w:link w:val="StandardChar"/>
    <w:qFormat/>
    <w:rsid w:val="00E00595"/>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E00595"/>
    <w:rPr>
      <w:rFonts w:ascii="Cambria" w:eastAsia="Times New Roman" w:hAnsi="Cambria" w:cs="Times New Roman"/>
      <w:snapToGrid w:val="0"/>
      <w:kern w:val="16"/>
      <w:sz w:val="23"/>
      <w:szCs w:val="24"/>
    </w:rPr>
  </w:style>
  <w:style w:type="paragraph" w:customStyle="1" w:styleId="Bulletpoint">
    <w:name w:val="Bullet point"/>
    <w:basedOn w:val="Standard"/>
    <w:rsid w:val="00E00595"/>
    <w:pPr>
      <w:numPr>
        <w:numId w:val="33"/>
      </w:numPr>
      <w:tabs>
        <w:tab w:val="clear" w:pos="369"/>
        <w:tab w:val="num" w:pos="360"/>
        <w:tab w:val="left" w:pos="397"/>
      </w:tabs>
      <w:spacing w:after="180"/>
      <w:ind w:left="0" w:firstLine="0"/>
    </w:pPr>
    <w:rPr>
      <w:sz w:val="22"/>
    </w:rPr>
  </w:style>
  <w:style w:type="paragraph" w:customStyle="1" w:styleId="PISubsection">
    <w:name w:val="PI Subsection"/>
    <w:basedOn w:val="Standard"/>
    <w:next w:val="Standard"/>
    <w:rsid w:val="00E00595"/>
    <w:pPr>
      <w:keepNext/>
      <w:spacing w:after="120"/>
    </w:pPr>
    <w:rPr>
      <w:b/>
      <w:i/>
      <w:kern w:val="2"/>
      <w:sz w:val="22"/>
    </w:rPr>
  </w:style>
  <w:style w:type="character" w:customStyle="1" w:styleId="TabletextChar">
    <w:name w:val="Table text Char"/>
    <w:basedOn w:val="StandardChar"/>
    <w:link w:val="Tabletext"/>
    <w:rsid w:val="00E00595"/>
    <w:rPr>
      <w:rFonts w:ascii="Cambria" w:eastAsia="Cambria" w:hAnsi="Cambria" w:cs="Times New Roman"/>
      <w:snapToGrid/>
      <w:kern w:val="16"/>
      <w:sz w:val="19"/>
      <w:szCs w:val="24"/>
    </w:rPr>
  </w:style>
  <w:style w:type="paragraph" w:customStyle="1" w:styleId="Default">
    <w:name w:val="Default"/>
    <w:rsid w:val="00E00595"/>
    <w:pPr>
      <w:autoSpaceDE w:val="0"/>
      <w:autoSpaceDN w:val="0"/>
      <w:adjustRightInd w:val="0"/>
      <w:spacing w:after="0" w:line="240" w:lineRule="auto"/>
    </w:pPr>
    <w:rPr>
      <w:rFonts w:ascii="Arial" w:hAnsi="Arial" w:cs="Arial"/>
      <w:color w:val="000000"/>
      <w:sz w:val="24"/>
      <w:szCs w:val="24"/>
    </w:rPr>
  </w:style>
  <w:style w:type="paragraph" w:customStyle="1" w:styleId="Bulletlist">
    <w:name w:val="Bullet list"/>
    <w:basedOn w:val="Standard"/>
    <w:link w:val="BulletlistChar"/>
    <w:qFormat/>
    <w:rsid w:val="00DE263F"/>
    <w:pPr>
      <w:numPr>
        <w:numId w:val="36"/>
      </w:numPr>
      <w:spacing w:after="180"/>
    </w:pPr>
    <w:rPr>
      <w:kern w:val="2"/>
    </w:rPr>
  </w:style>
  <w:style w:type="character" w:customStyle="1" w:styleId="BulletlistChar">
    <w:name w:val="Bullet list Char"/>
    <w:basedOn w:val="StandardChar"/>
    <w:link w:val="Bulletlist"/>
    <w:rsid w:val="00DE263F"/>
    <w:rPr>
      <w:rFonts w:ascii="Cambria" w:eastAsia="Times New Roman" w:hAnsi="Cambria" w:cs="Times New Roman"/>
      <w:snapToGrid w:val="0"/>
      <w:kern w:val="2"/>
      <w:sz w:val="23"/>
      <w:szCs w:val="24"/>
    </w:rPr>
  </w:style>
  <w:style w:type="paragraph" w:styleId="NormalWeb">
    <w:name w:val="Normal (Web)"/>
    <w:basedOn w:val="Normal"/>
    <w:uiPriority w:val="99"/>
    <w:semiHidden/>
    <w:unhideWhenUsed/>
    <w:rsid w:val="00557D8D"/>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2">
    <w:name w:val="Unresolved Mention2"/>
    <w:basedOn w:val="DefaultParagraphFont"/>
    <w:uiPriority w:val="99"/>
    <w:unhideWhenUsed/>
    <w:rsid w:val="00167F17"/>
    <w:rPr>
      <w:color w:val="605E5C"/>
      <w:shd w:val="clear" w:color="auto" w:fill="E1DFDD"/>
    </w:rPr>
  </w:style>
  <w:style w:type="character" w:customStyle="1" w:styleId="Mention1">
    <w:name w:val="Mention1"/>
    <w:basedOn w:val="DefaultParagraphFont"/>
    <w:uiPriority w:val="99"/>
    <w:unhideWhenUsed/>
    <w:rsid w:val="00167F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89732">
      <w:bodyDiv w:val="1"/>
      <w:marLeft w:val="0"/>
      <w:marRight w:val="0"/>
      <w:marTop w:val="0"/>
      <w:marBottom w:val="0"/>
      <w:divBdr>
        <w:top w:val="none" w:sz="0" w:space="0" w:color="auto"/>
        <w:left w:val="none" w:sz="0" w:space="0" w:color="auto"/>
        <w:bottom w:val="none" w:sz="0" w:space="0" w:color="auto"/>
        <w:right w:val="none" w:sz="0" w:space="0" w:color="auto"/>
      </w:divBdr>
    </w:div>
    <w:div w:id="527717802">
      <w:bodyDiv w:val="1"/>
      <w:marLeft w:val="0"/>
      <w:marRight w:val="0"/>
      <w:marTop w:val="0"/>
      <w:marBottom w:val="0"/>
      <w:divBdr>
        <w:top w:val="none" w:sz="0" w:space="0" w:color="auto"/>
        <w:left w:val="none" w:sz="0" w:space="0" w:color="auto"/>
        <w:bottom w:val="none" w:sz="0" w:space="0" w:color="auto"/>
        <w:right w:val="none" w:sz="0" w:space="0" w:color="auto"/>
      </w:divBdr>
    </w:div>
    <w:div w:id="1111123328">
      <w:bodyDiv w:val="1"/>
      <w:marLeft w:val="0"/>
      <w:marRight w:val="0"/>
      <w:marTop w:val="0"/>
      <w:marBottom w:val="0"/>
      <w:divBdr>
        <w:top w:val="none" w:sz="0" w:space="0" w:color="auto"/>
        <w:left w:val="none" w:sz="0" w:space="0" w:color="auto"/>
        <w:bottom w:val="none" w:sz="0" w:space="0" w:color="auto"/>
        <w:right w:val="none" w:sz="0" w:space="0" w:color="auto"/>
      </w:divBdr>
    </w:div>
    <w:div w:id="1525359257">
      <w:bodyDiv w:val="1"/>
      <w:marLeft w:val="0"/>
      <w:marRight w:val="0"/>
      <w:marTop w:val="0"/>
      <w:marBottom w:val="0"/>
      <w:divBdr>
        <w:top w:val="none" w:sz="0" w:space="0" w:color="auto"/>
        <w:left w:val="none" w:sz="0" w:space="0" w:color="auto"/>
        <w:bottom w:val="none" w:sz="0" w:space="0" w:color="auto"/>
        <w:right w:val="none" w:sz="0" w:space="0" w:color="auto"/>
      </w:divBdr>
    </w:div>
    <w:div w:id="1748727160">
      <w:bodyDiv w:val="1"/>
      <w:marLeft w:val="0"/>
      <w:marRight w:val="0"/>
      <w:marTop w:val="0"/>
      <w:marBottom w:val="0"/>
      <w:divBdr>
        <w:top w:val="none" w:sz="0" w:space="0" w:color="auto"/>
        <w:left w:val="none" w:sz="0" w:space="0" w:color="auto"/>
        <w:bottom w:val="none" w:sz="0" w:space="0" w:color="auto"/>
        <w:right w:val="none" w:sz="0" w:space="0" w:color="auto"/>
      </w:divBdr>
    </w:div>
    <w:div w:id="1878739786">
      <w:bodyDiv w:val="1"/>
      <w:marLeft w:val="0"/>
      <w:marRight w:val="0"/>
      <w:marTop w:val="0"/>
      <w:marBottom w:val="0"/>
      <w:divBdr>
        <w:top w:val="none" w:sz="0" w:space="0" w:color="auto"/>
        <w:left w:val="none" w:sz="0" w:space="0" w:color="auto"/>
        <w:bottom w:val="none" w:sz="0" w:space="0" w:color="auto"/>
        <w:right w:val="none" w:sz="0" w:space="0" w:color="auto"/>
      </w:divBdr>
    </w:div>
    <w:div w:id="2042051031">
      <w:bodyDiv w:val="1"/>
      <w:marLeft w:val="0"/>
      <w:marRight w:val="0"/>
      <w:marTop w:val="0"/>
      <w:marBottom w:val="0"/>
      <w:divBdr>
        <w:top w:val="none" w:sz="0" w:space="0" w:color="auto"/>
        <w:left w:val="none" w:sz="0" w:space="0" w:color="auto"/>
        <w:bottom w:val="none" w:sz="0" w:space="0" w:color="auto"/>
        <w:right w:val="none" w:sz="0" w:space="0" w:color="auto"/>
      </w:divBdr>
    </w:div>
    <w:div w:id="2059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ga.copyright@tga.gov.au" TargetMode="External"/><Relationship Id="rId18" Type="http://schemas.openxmlformats.org/officeDocument/2006/relationships/hyperlink" Target="https://www.tga.gov.au/australia-canada-singapore-switzerland-united-kingdom-access-consortium" TargetMode="External"/><Relationship Id="rId26" Type="http://schemas.openxmlformats.org/officeDocument/2006/relationships/hyperlink" Target="https://www.tga.gov.au/picmi-search-facility"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s://www.tga.gov.au/australian-public-assessment-report-auspar-guidance" TargetMode="External"/><Relationship Id="rId17" Type="http://schemas.openxmlformats.org/officeDocument/2006/relationships/hyperlink" Target="https://www.tga.gov.au/black-triangle-scheme" TargetMode="External"/><Relationship Id="rId25" Type="http://schemas.openxmlformats.org/officeDocument/2006/relationships/hyperlink" Target="https://www.tga.gov.au/committee/advisory-committee-medicines-acm" TargetMode="Externa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tga.gov.au/picmi-search-facility"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 TargetMode="External"/><Relationship Id="rId24" Type="http://schemas.openxmlformats.org/officeDocument/2006/relationships/hyperlink" Target="https://www.tga.gov.au/tgas-risk-management-approach" TargetMode="External"/><Relationship Id="rId32" Type="http://schemas.openxmlformats.org/officeDocument/2006/relationships/hyperlink" Target="https://www.tga.gov.au"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tga.gov.au/publication/risk-management-plans-medicines-and-biologicals" TargetMode="External"/><Relationship Id="rId28" Type="http://schemas.openxmlformats.org/officeDocument/2006/relationships/header" Target="header4.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tga.gov.au/publication/orphan-drug-designation" TargetMode="External"/><Relationship Id="rId31" Type="http://schemas.openxmlformats.org/officeDocument/2006/relationships/hyperlink" Target="mailto:info@tg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header" Target="header3.xml"/><Relationship Id="rId30" Type="http://schemas.openxmlformats.org/officeDocument/2006/relationships/footer" Target="footer2.xm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ma.europa.eu/en/human-regulatory/marketing-authorisation/evaluation-medicines-step-step" TargetMode="External"/><Relationship Id="rId1" Type="http://schemas.openxmlformats.org/officeDocument/2006/relationships/hyperlink" Target="https://www.ema.europa.eu/en/documents/assessment-report/nexviadyme-epar-public-assessment-report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B6CB1123D5174BB3EE76CFA8F86D71" ma:contentTypeVersion="6" ma:contentTypeDescription="Create a new document." ma:contentTypeScope="" ma:versionID="6c9ac2dbb86c1b38719fd8aa5b1be8f9">
  <xsd:schema xmlns:xsd="http://www.w3.org/2001/XMLSchema" xmlns:xs="http://www.w3.org/2001/XMLSchema" xmlns:p="http://schemas.microsoft.com/office/2006/metadata/properties" xmlns:ns2="4924c3b7-ede8-4804-b1c0-00f4dae1f29b" xmlns:ns3="5b2b26aa-c06d-4784-9484-06aec109ebb6" targetNamespace="http://schemas.microsoft.com/office/2006/metadata/properties" ma:root="true" ma:fieldsID="c2d5e53a101027568af5c05131e8bd5b" ns2:_="" ns3:_="">
    <xsd:import namespace="4924c3b7-ede8-4804-b1c0-00f4dae1f29b"/>
    <xsd:import namespace="5b2b26aa-c06d-4784-9484-06aec109eb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4c3b7-ede8-4804-b1c0-00f4dae1f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2b26aa-c06d-4784-9484-06aec109eb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E348A-EA69-4E2B-8470-8F12834989D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b2b26aa-c06d-4784-9484-06aec109ebb6"/>
    <ds:schemaRef ds:uri="4924c3b7-ede8-4804-b1c0-00f4dae1f29b"/>
    <ds:schemaRef ds:uri="http://www.w3.org/XML/1998/namespace"/>
  </ds:schemaRefs>
</ds:datastoreItem>
</file>

<file path=customXml/itemProps2.xml><?xml version="1.0" encoding="utf-8"?>
<ds:datastoreItem xmlns:ds="http://schemas.openxmlformats.org/officeDocument/2006/customXml" ds:itemID="{22A03133-78FD-4064-9229-9514BCD3A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4c3b7-ede8-4804-b1c0-00f4dae1f29b"/>
    <ds:schemaRef ds:uri="5b2b26aa-c06d-4784-9484-06aec109e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A7FFF1-D570-4C72-B37F-879B34DFEEFC}">
  <ds:schemaRefs>
    <ds:schemaRef ds:uri="http://schemas.microsoft.com/sharepoint/v3/contenttype/forms"/>
  </ds:schemaRefs>
</ds:datastoreItem>
</file>

<file path=customXml/itemProps4.xml><?xml version="1.0" encoding="utf-8"?>
<ds:datastoreItem xmlns:ds="http://schemas.openxmlformats.org/officeDocument/2006/customXml" ds:itemID="{C2A224FD-C978-4AD2-A2C9-4B8CD197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42</Pages>
  <Words>14054</Words>
  <Characters>80109</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and Aged Care</Company>
  <LinksUpToDate>false</LinksUpToDate>
  <CharactersWithSpaces>93976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Nexviazyme</dc:title>
  <dc:subject>prescription medicine regulation</dc:subject>
  <dc:creator>Therapeutic Goods Administration</dc:creator>
  <cp:keywords/>
  <cp:lastModifiedBy>PITKIN, Brendan</cp:lastModifiedBy>
  <cp:revision>4</cp:revision>
  <cp:lastPrinted>2019-08-14T04:30:00Z</cp:lastPrinted>
  <dcterms:created xsi:type="dcterms:W3CDTF">2022-12-07T23:50:00Z</dcterms:created>
  <dcterms:modified xsi:type="dcterms:W3CDTF">2022-12-16T03:42:00Z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0x0101001DB6CB1123D5174BB3EE76CFA8F86D71</vt:lpwstr>
  </property>
</Properties>
</file>