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E7449" w14:textId="77777777" w:rsidR="001B519B" w:rsidRPr="001B519B" w:rsidRDefault="001B519B" w:rsidP="001B519B">
      <w:pPr>
        <w:tabs>
          <w:tab w:val="left" w:pos="284"/>
        </w:tabs>
        <w:spacing w:before="0" w:after="480"/>
      </w:pPr>
      <w:r>
        <w:rPr>
          <w:noProof/>
          <w:lang w:val="en-AU" w:eastAsia="en-AU"/>
        </w:rPr>
        <mc:AlternateContent>
          <mc:Choice Requires="wps">
            <w:drawing>
              <wp:inline distT="0" distB="0" distL="0" distR="0" wp14:anchorId="1C8574D4" wp14:editId="46DFB90A">
                <wp:extent cx="252095" cy="414020"/>
                <wp:effectExtent l="0" t="0" r="0" b="508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414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DCA21A" w14:textId="77777777" w:rsidR="002D7A97" w:rsidRPr="00BE2A26" w:rsidRDefault="002D7A97" w:rsidP="001B519B">
                            <w:pPr>
                              <w:rPr>
                                <w:rFonts w:ascii="Wingdings 3" w:hAnsi="Wingdings 3" w:hint="eastAsia"/>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1C8574D4" id="_x0000_t202" coordsize="21600,21600" o:spt="202" path="m,l,21600r21600,l21600,xe">
                <v:stroke joinstyle="miter"/>
                <v:path gradientshapeok="t" o:connecttype="rect"/>
              </v:shapetype>
              <v:shape id="Text Box 1" o:spid="_x0000_s1026" type="#_x0000_t202" style="width:19.85pt;height:3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" stroked="f">
                <v:textbox inset="0,0,0,0">
                  <w:txbxContent>
                    <w:p w14:paraId="47DCA21A" w14:textId="77777777" w:rsidR="002D7A97" w:rsidRPr="00BE2A26" w:rsidRDefault="002D7A97" w:rsidP="001B519B">
                      <w:pPr>
                        <w:rPr>
                          <w:rFonts w:ascii="Wingdings 3" w:hAnsi="Wingdings 3" w:hint="eastAsia"/>
                        </w:rPr>
                      </w:pPr>
                      <w:r w:rsidRPr="00BE2A26">
                        <w:rPr>
                          <w:rFonts w:ascii="SimSun" w:eastAsia="SimSun" w:hAnsi="SimSun" w:cs="Arial" w:hint="eastAsia"/>
                          <w:sz w:val="40"/>
                        </w:rPr>
                        <w:t>▼</w:t>
                      </w:r>
                    </w:p>
                  </w:txbxContent>
                </v:textbox>
                <w10:anchorlock/>
              </v:shape>
            </w:pict>
          </mc:Fallback>
        </mc:AlternateContent>
      </w:r>
      <w:r w:rsidRPr="007741B9">
        <w:t>This medicinal product is subject to additional monitoring in Australia. This will allow quick identification of new safety information. Healthcare professionals are asked to report any suspected adverse events at www.tga.gov.au/reporting-problems.</w:t>
      </w:r>
    </w:p>
    <w:p w14:paraId="2C8FDFD3" w14:textId="6CB64B59" w:rsidR="004032BD" w:rsidRPr="00717E34" w:rsidRDefault="00D86276" w:rsidP="00024098">
      <w:pPr>
        <w:pStyle w:val="Heading1"/>
        <w:keepNext w:val="0"/>
        <w:pageBreakBefore w:val="0"/>
        <w:numPr>
          <w:ilvl w:val="0"/>
          <w:numId w:val="0"/>
        </w:numPr>
        <w:spacing w:after="240"/>
        <w:rPr>
          <w:rFonts w:eastAsia="SimSun"/>
          <w:lang w:val="en-AU"/>
        </w:rPr>
      </w:pPr>
      <w:r>
        <w:rPr>
          <w:rFonts w:eastAsia="SimSun"/>
          <w:lang w:val="en-AU"/>
        </w:rPr>
        <w:t xml:space="preserve">Australian product </w:t>
      </w:r>
      <w:r w:rsidR="004032BD" w:rsidRPr="00717E34">
        <w:rPr>
          <w:rFonts w:eastAsia="SimSun"/>
          <w:lang w:val="en-AU"/>
        </w:rPr>
        <w:t>I</w:t>
      </w:r>
      <w:r>
        <w:rPr>
          <w:rFonts w:eastAsia="SimSun"/>
          <w:lang w:val="en-AU"/>
        </w:rPr>
        <w:t>nformation</w:t>
      </w:r>
      <w:r w:rsidR="000601E8">
        <w:rPr>
          <w:rFonts w:eastAsia="SimSun"/>
          <w:lang w:val="en-AU"/>
        </w:rPr>
        <w:t xml:space="preserve"> </w:t>
      </w:r>
      <w:r w:rsidR="004032BD" w:rsidRPr="00717E34">
        <w:rPr>
          <w:rFonts w:eastAsia="SimSun"/>
          <w:lang w:val="en-AU"/>
        </w:rPr>
        <w:t>–</w:t>
      </w:r>
      <w:r w:rsidR="00E53688">
        <w:rPr>
          <w:rFonts w:eastAsia="SimSun"/>
          <w:lang w:val="en-AU"/>
        </w:rPr>
        <w:t xml:space="preserve"> </w:t>
      </w:r>
      <w:r w:rsidR="000601E8">
        <w:rPr>
          <w:rFonts w:eastAsia="SimSun"/>
          <w:lang w:val="en-AU"/>
        </w:rPr>
        <w:t>nexviazyme</w:t>
      </w:r>
      <w:r w:rsidR="000601E8" w:rsidRPr="000601E8">
        <w:rPr>
          <w:rFonts w:eastAsia="SimSun"/>
          <w:caps w:val="0"/>
          <w:vertAlign w:val="superscript"/>
          <w:lang w:val="en-AU"/>
        </w:rPr>
        <w:t>®</w:t>
      </w:r>
      <w:r w:rsidR="000601E8">
        <w:rPr>
          <w:rFonts w:eastAsia="SimSun"/>
          <w:lang w:val="en-AU"/>
        </w:rPr>
        <w:t xml:space="preserve"> </w:t>
      </w:r>
      <w:r w:rsidR="00E53688" w:rsidRPr="00E53688">
        <w:rPr>
          <w:rFonts w:eastAsia="SimSun"/>
          <w:lang w:val="en-AU"/>
        </w:rPr>
        <w:t>(</w:t>
      </w:r>
      <w:r w:rsidR="000601E8">
        <w:rPr>
          <w:rFonts w:eastAsia="SimSun"/>
          <w:lang w:val="en-AU"/>
        </w:rPr>
        <w:t xml:space="preserve">avalglucosidase alfa) </w:t>
      </w:r>
    </w:p>
    <w:p w14:paraId="268A6A2F" w14:textId="77777777" w:rsidR="00024098" w:rsidRPr="00717E34" w:rsidRDefault="00024098" w:rsidP="00024098">
      <w:pPr>
        <w:rPr>
          <w:lang w:val="en-AU"/>
        </w:rPr>
      </w:pPr>
    </w:p>
    <w:p w14:paraId="27186052" w14:textId="77777777" w:rsidR="001A3992" w:rsidRPr="00717E34" w:rsidRDefault="001A3992" w:rsidP="00E71F4B">
      <w:pPr>
        <w:pStyle w:val="Heading1"/>
        <w:keepNext w:val="0"/>
        <w:pageBreakBefore w:val="0"/>
        <w:spacing w:before="0" w:after="120"/>
        <w:rPr>
          <w:lang w:val="en-AU"/>
        </w:rPr>
      </w:pPr>
      <w:r w:rsidRPr="00717E34">
        <w:rPr>
          <w:lang w:val="en-AU"/>
        </w:rPr>
        <w:t>Name of the medicine</w:t>
      </w:r>
    </w:p>
    <w:p w14:paraId="6D33FC0F" w14:textId="30909000" w:rsidR="00C301BA" w:rsidRPr="000601E8" w:rsidRDefault="007C3D28" w:rsidP="000601E8">
      <w:pPr>
        <w:rPr>
          <w:lang w:val="en-AU"/>
        </w:rPr>
      </w:pPr>
      <w:proofErr w:type="spellStart"/>
      <w:r>
        <w:rPr>
          <w:lang w:val="en-AU"/>
        </w:rPr>
        <w:t>A</w:t>
      </w:r>
      <w:r w:rsidR="000601E8">
        <w:rPr>
          <w:lang w:val="en-AU"/>
        </w:rPr>
        <w:t>valglucosidase</w:t>
      </w:r>
      <w:proofErr w:type="spellEnd"/>
      <w:r w:rsidR="000601E8">
        <w:rPr>
          <w:lang w:val="en-AU"/>
        </w:rPr>
        <w:t xml:space="preserve"> alfa </w:t>
      </w:r>
    </w:p>
    <w:p w14:paraId="7E59B638" w14:textId="77777777" w:rsidR="00292D82" w:rsidRPr="00717E34" w:rsidRDefault="00C301BA" w:rsidP="00C301BA">
      <w:pPr>
        <w:spacing w:before="120"/>
        <w:jc w:val="both"/>
        <w:rPr>
          <w:lang w:val="en-AU"/>
        </w:rPr>
      </w:pPr>
      <w:r w:rsidRPr="00717E34">
        <w:rPr>
          <w:lang w:val="en-AU"/>
        </w:rPr>
        <w:t xml:space="preserve"> </w:t>
      </w:r>
    </w:p>
    <w:p w14:paraId="52B07C67" w14:textId="77777777" w:rsidR="001A3992" w:rsidRPr="00717E34" w:rsidRDefault="001A3992" w:rsidP="00024098">
      <w:pPr>
        <w:pStyle w:val="Heading1"/>
        <w:keepNext w:val="0"/>
        <w:pageBreakBefore w:val="0"/>
        <w:spacing w:before="0" w:after="120"/>
        <w:rPr>
          <w:lang w:val="en-AU"/>
        </w:rPr>
      </w:pPr>
      <w:r w:rsidRPr="00717E34">
        <w:rPr>
          <w:lang w:val="en-AU"/>
        </w:rPr>
        <w:t>Qualitative and quantitative composition</w:t>
      </w:r>
    </w:p>
    <w:p w14:paraId="0BA2E177" w14:textId="00EA3FC7" w:rsidR="00CB6262" w:rsidRDefault="000601E8" w:rsidP="000601E8">
      <w:pPr>
        <w:rPr>
          <w:lang w:val="en-AU"/>
        </w:rPr>
      </w:pPr>
      <w:bookmarkStart w:id="0" w:name="_Hlk53559973"/>
      <w:r w:rsidRPr="000601E8">
        <w:rPr>
          <w:lang w:val="en-AU"/>
        </w:rPr>
        <w:t xml:space="preserve">Each single-use vial contains 100 mg of </w:t>
      </w:r>
      <w:proofErr w:type="spellStart"/>
      <w:r w:rsidRPr="000601E8">
        <w:rPr>
          <w:lang w:val="en-AU"/>
        </w:rPr>
        <w:t>avalglucosidase</w:t>
      </w:r>
      <w:proofErr w:type="spellEnd"/>
      <w:r w:rsidRPr="000601E8">
        <w:rPr>
          <w:lang w:val="en-AU"/>
        </w:rPr>
        <w:t xml:space="preserve"> alfa</w:t>
      </w:r>
      <w:r w:rsidR="007C3D28">
        <w:rPr>
          <w:vertAlign w:val="superscript"/>
          <w:lang w:val="en-AU"/>
        </w:rPr>
        <w:t>*</w:t>
      </w:r>
      <w:r w:rsidR="00397371">
        <w:rPr>
          <w:lang w:val="en-AU"/>
        </w:rPr>
        <w:t xml:space="preserve"> as </w:t>
      </w:r>
      <w:r w:rsidR="00397371" w:rsidRPr="005A3F5F">
        <w:rPr>
          <w:color w:val="auto"/>
          <w:lang w:val="en-AU"/>
        </w:rPr>
        <w:t xml:space="preserve">powder </w:t>
      </w:r>
      <w:r w:rsidR="00CB6262" w:rsidRPr="005A3F5F">
        <w:rPr>
          <w:color w:val="auto"/>
          <w:lang w:val="en-AU"/>
        </w:rPr>
        <w:t xml:space="preserve">for injection. </w:t>
      </w:r>
      <w:r w:rsidR="00CB6262">
        <w:rPr>
          <w:lang w:val="en-AU"/>
        </w:rPr>
        <w:t>The powder for injection is reconstituted with 10</w:t>
      </w:r>
      <w:r w:rsidR="00026F7E">
        <w:rPr>
          <w:lang w:val="en-AU"/>
        </w:rPr>
        <w:t xml:space="preserve"> </w:t>
      </w:r>
      <w:r w:rsidR="00CB6262">
        <w:rPr>
          <w:lang w:val="en-AU"/>
        </w:rPr>
        <w:t xml:space="preserve">mL sterile water for injections (WFI). </w:t>
      </w:r>
    </w:p>
    <w:p w14:paraId="1FA26535" w14:textId="208EC3C5" w:rsidR="00CB6262" w:rsidRDefault="00CB6262" w:rsidP="00CB6262">
      <w:pPr>
        <w:rPr>
          <w:lang w:val="en-AU"/>
        </w:rPr>
      </w:pPr>
      <w:r w:rsidRPr="000601E8">
        <w:rPr>
          <w:lang w:val="en-AU"/>
        </w:rPr>
        <w:t>Each vial contains an overfill to compensate for liquid loss during</w:t>
      </w:r>
      <w:r>
        <w:rPr>
          <w:lang w:val="en-AU"/>
        </w:rPr>
        <w:t xml:space="preserve"> </w:t>
      </w:r>
      <w:r w:rsidRPr="000601E8">
        <w:rPr>
          <w:lang w:val="en-AU"/>
        </w:rPr>
        <w:t xml:space="preserve">preparation. </w:t>
      </w:r>
    </w:p>
    <w:p w14:paraId="16E01D11" w14:textId="414E6A91" w:rsidR="000601E8" w:rsidRPr="000601E8" w:rsidRDefault="00CB6262" w:rsidP="000601E8">
      <w:pPr>
        <w:rPr>
          <w:lang w:val="en-AU"/>
        </w:rPr>
      </w:pPr>
      <w:r w:rsidRPr="000601E8">
        <w:rPr>
          <w:lang w:val="en-AU"/>
        </w:rPr>
        <w:t>Following</w:t>
      </w:r>
      <w:r>
        <w:rPr>
          <w:lang w:val="en-AU"/>
        </w:rPr>
        <w:t xml:space="preserve"> </w:t>
      </w:r>
      <w:r w:rsidRPr="000601E8">
        <w:rPr>
          <w:lang w:val="en-AU"/>
        </w:rPr>
        <w:t>reconstitution</w:t>
      </w:r>
      <w:r>
        <w:rPr>
          <w:lang w:val="en-AU"/>
        </w:rPr>
        <w:t xml:space="preserve">, </w:t>
      </w:r>
      <w:r w:rsidRPr="000601E8">
        <w:rPr>
          <w:lang w:val="en-AU"/>
        </w:rPr>
        <w:t>each vial contains 10.3 mL reconstituted solution and a total extractable</w:t>
      </w:r>
      <w:r>
        <w:rPr>
          <w:lang w:val="en-AU"/>
        </w:rPr>
        <w:t xml:space="preserve"> </w:t>
      </w:r>
      <w:r w:rsidRPr="000601E8">
        <w:rPr>
          <w:lang w:val="en-AU"/>
        </w:rPr>
        <w:t>volume of 10</w:t>
      </w:r>
      <w:r>
        <w:rPr>
          <w:lang w:val="en-AU"/>
        </w:rPr>
        <w:t xml:space="preserve"> </w:t>
      </w:r>
      <w:proofErr w:type="spellStart"/>
      <w:r w:rsidRPr="000601E8">
        <w:rPr>
          <w:lang w:val="en-AU"/>
        </w:rPr>
        <w:t>mL</w:t>
      </w:r>
      <w:r>
        <w:rPr>
          <w:lang w:val="en-AU"/>
        </w:rPr>
        <w:t>.</w:t>
      </w:r>
      <w:proofErr w:type="spellEnd"/>
      <w:r>
        <w:rPr>
          <w:lang w:val="en-AU"/>
        </w:rPr>
        <w:t xml:space="preserve"> </w:t>
      </w:r>
      <w:r w:rsidR="00026F7E">
        <w:rPr>
          <w:lang w:val="en-AU"/>
        </w:rPr>
        <w:t xml:space="preserve">Each mL of the reconstituted solution contains 10 mg of </w:t>
      </w:r>
      <w:proofErr w:type="spellStart"/>
      <w:r w:rsidR="00026F7E">
        <w:rPr>
          <w:lang w:val="en-AU"/>
        </w:rPr>
        <w:t>A</w:t>
      </w:r>
      <w:r>
        <w:rPr>
          <w:lang w:val="en-AU"/>
        </w:rPr>
        <w:t>valglucosidase</w:t>
      </w:r>
      <w:proofErr w:type="spellEnd"/>
      <w:r>
        <w:rPr>
          <w:lang w:val="en-AU"/>
        </w:rPr>
        <w:t xml:space="preserve"> alfa. </w:t>
      </w:r>
    </w:p>
    <w:bookmarkEnd w:id="0"/>
    <w:p w14:paraId="4D09CA3E" w14:textId="03B99715" w:rsidR="000601E8" w:rsidRPr="000601E8" w:rsidRDefault="007C3D28" w:rsidP="000601E8">
      <w:pPr>
        <w:rPr>
          <w:lang w:val="en-AU"/>
        </w:rPr>
      </w:pPr>
      <w:r>
        <w:rPr>
          <w:lang w:val="en-AU"/>
        </w:rPr>
        <w:t xml:space="preserve">* </w:t>
      </w:r>
      <w:proofErr w:type="spellStart"/>
      <w:r w:rsidR="000601E8" w:rsidRPr="000601E8">
        <w:rPr>
          <w:lang w:val="en-AU"/>
        </w:rPr>
        <w:t>Avalglucosidase</w:t>
      </w:r>
      <w:proofErr w:type="spellEnd"/>
      <w:r w:rsidR="000601E8" w:rsidRPr="000601E8">
        <w:rPr>
          <w:lang w:val="en-AU"/>
        </w:rPr>
        <w:t xml:space="preserve"> alfa is a human acid α-glucosidase produced in Chinese hamster ovary cells (CHO)</w:t>
      </w:r>
      <w:r w:rsidR="000601E8">
        <w:rPr>
          <w:lang w:val="en-AU"/>
        </w:rPr>
        <w:t xml:space="preserve"> </w:t>
      </w:r>
      <w:r w:rsidR="000601E8" w:rsidRPr="000601E8">
        <w:rPr>
          <w:lang w:val="en-AU"/>
        </w:rPr>
        <w:t>by recombinant DNA technology, which is subsequently conjugated with approximately 7</w:t>
      </w:r>
      <w:r w:rsidR="000601E8">
        <w:rPr>
          <w:lang w:val="en-AU"/>
        </w:rPr>
        <w:t xml:space="preserve"> </w:t>
      </w:r>
      <w:proofErr w:type="spellStart"/>
      <w:r w:rsidR="000601E8" w:rsidRPr="000601E8">
        <w:rPr>
          <w:lang w:val="en-AU"/>
        </w:rPr>
        <w:t>hexamannose</w:t>
      </w:r>
      <w:proofErr w:type="spellEnd"/>
      <w:r w:rsidR="000601E8" w:rsidRPr="000601E8">
        <w:rPr>
          <w:lang w:val="en-AU"/>
        </w:rPr>
        <w:t xml:space="preserve"> structures (each containing two terminal mannose-6-phosphate (M6P) moieties) to</w:t>
      </w:r>
      <w:r w:rsidR="000601E8">
        <w:rPr>
          <w:lang w:val="en-AU"/>
        </w:rPr>
        <w:t xml:space="preserve"> </w:t>
      </w:r>
      <w:r w:rsidR="000601E8" w:rsidRPr="000601E8">
        <w:rPr>
          <w:lang w:val="en-AU"/>
        </w:rPr>
        <w:t>oxidi</w:t>
      </w:r>
      <w:r w:rsidR="00DA06C1">
        <w:rPr>
          <w:lang w:val="en-AU"/>
        </w:rPr>
        <w:t>s</w:t>
      </w:r>
      <w:r w:rsidR="000601E8" w:rsidRPr="000601E8">
        <w:rPr>
          <w:lang w:val="en-AU"/>
        </w:rPr>
        <w:t>ed sialic acid residues on the molecule, thereby increasing bis-M6P levels.</w:t>
      </w:r>
    </w:p>
    <w:p w14:paraId="57A15136" w14:textId="79C83B77" w:rsidR="005528DB" w:rsidRDefault="000601E8" w:rsidP="000601E8">
      <w:pPr>
        <w:rPr>
          <w:color w:val="0000FF"/>
          <w:lang w:val="en-AU"/>
        </w:rPr>
      </w:pPr>
      <w:r w:rsidRPr="000601E8">
        <w:rPr>
          <w:lang w:val="en-AU"/>
        </w:rPr>
        <w:t xml:space="preserve">For the full list of excipients, see </w:t>
      </w:r>
      <w:r w:rsidR="004C5157">
        <w:rPr>
          <w:lang w:val="en-AU"/>
        </w:rPr>
        <w:t xml:space="preserve">Section </w:t>
      </w:r>
      <w:r w:rsidR="004C5157" w:rsidRPr="004C5157">
        <w:rPr>
          <w:color w:val="0000FF"/>
          <w:lang w:val="en-AU"/>
        </w:rPr>
        <w:fldChar w:fldCharType="begin"/>
      </w:r>
      <w:r w:rsidR="004C5157" w:rsidRPr="004C5157">
        <w:rPr>
          <w:color w:val="0000FF"/>
          <w:lang w:val="en-AU"/>
        </w:rPr>
        <w:instrText xml:space="preserve"> REF _Ref52140210 \r \h  \* MERGEFORMAT </w:instrText>
      </w:r>
      <w:r w:rsidR="004C5157" w:rsidRPr="004C5157">
        <w:rPr>
          <w:color w:val="0000FF"/>
          <w:lang w:val="en-AU"/>
        </w:rPr>
      </w:r>
      <w:r w:rsidR="004C5157" w:rsidRPr="004C5157">
        <w:rPr>
          <w:color w:val="0000FF"/>
          <w:lang w:val="en-AU"/>
        </w:rPr>
        <w:fldChar w:fldCharType="separate"/>
      </w:r>
      <w:r w:rsidR="00751605">
        <w:rPr>
          <w:color w:val="0000FF"/>
          <w:lang w:val="en-AU"/>
        </w:rPr>
        <w:t>6.1</w:t>
      </w:r>
      <w:r w:rsidR="004C5157" w:rsidRPr="004C5157">
        <w:rPr>
          <w:color w:val="0000FF"/>
          <w:lang w:val="en-AU"/>
        </w:rPr>
        <w:fldChar w:fldCharType="end"/>
      </w:r>
      <w:r w:rsidR="004C5157">
        <w:rPr>
          <w:color w:val="0000FF"/>
          <w:lang w:val="en-AU"/>
        </w:rPr>
        <w:t>.</w:t>
      </w:r>
    </w:p>
    <w:p w14:paraId="62B55DA1" w14:textId="77777777" w:rsidR="000E1A58" w:rsidRPr="00717E34" w:rsidRDefault="000E1A58" w:rsidP="000E1A58">
      <w:pPr>
        <w:pStyle w:val="wcpTableContent"/>
        <w:spacing w:before="120" w:after="0"/>
        <w:jc w:val="both"/>
        <w:rPr>
          <w:lang w:val="en-AU"/>
        </w:rPr>
      </w:pPr>
    </w:p>
    <w:p w14:paraId="62D5E199" w14:textId="72211824" w:rsidR="001A3992" w:rsidRDefault="001A3992" w:rsidP="00024098">
      <w:pPr>
        <w:pStyle w:val="Heading1"/>
        <w:keepNext w:val="0"/>
        <w:pageBreakBefore w:val="0"/>
        <w:spacing w:before="0" w:after="120"/>
        <w:rPr>
          <w:lang w:val="en-AU"/>
        </w:rPr>
      </w:pPr>
      <w:r w:rsidRPr="00717E34">
        <w:rPr>
          <w:lang w:val="en-AU"/>
        </w:rPr>
        <w:t>Pharmaceutical form</w:t>
      </w:r>
    </w:p>
    <w:p w14:paraId="4997B817" w14:textId="3CB8FDDA" w:rsidR="000413AC" w:rsidRPr="000413AC" w:rsidRDefault="000413AC" w:rsidP="000413AC">
      <w:pPr>
        <w:rPr>
          <w:lang w:val="en-AU"/>
        </w:rPr>
      </w:pPr>
      <w:r w:rsidRPr="000413AC">
        <w:rPr>
          <w:lang w:val="en-AU"/>
        </w:rPr>
        <w:t xml:space="preserve">Powder for </w:t>
      </w:r>
      <w:r w:rsidR="00026F7E">
        <w:rPr>
          <w:lang w:val="en-AU"/>
        </w:rPr>
        <w:t>injection.</w:t>
      </w:r>
    </w:p>
    <w:p w14:paraId="7AA80D51" w14:textId="62893502" w:rsidR="000413AC" w:rsidRPr="000413AC" w:rsidRDefault="000413AC" w:rsidP="000413AC">
      <w:pPr>
        <w:rPr>
          <w:lang w:val="en-AU"/>
        </w:rPr>
      </w:pPr>
      <w:r w:rsidRPr="000413AC">
        <w:rPr>
          <w:lang w:val="en-AU"/>
        </w:rPr>
        <w:t>White to pale yellow lyophili</w:t>
      </w:r>
      <w:r w:rsidR="00DA06C1">
        <w:rPr>
          <w:lang w:val="en-AU"/>
        </w:rPr>
        <w:t>s</w:t>
      </w:r>
      <w:r w:rsidRPr="000413AC">
        <w:rPr>
          <w:lang w:val="en-AU"/>
        </w:rPr>
        <w:t>ed powder</w:t>
      </w:r>
      <w:r>
        <w:rPr>
          <w:lang w:val="en-AU"/>
        </w:rPr>
        <w:t>.</w:t>
      </w:r>
    </w:p>
    <w:p w14:paraId="423C8AF1" w14:textId="77777777" w:rsidR="00AE5799" w:rsidRPr="00AE5799" w:rsidRDefault="00AE5799" w:rsidP="004F0E4A">
      <w:pPr>
        <w:rPr>
          <w:lang w:val="en-AU"/>
        </w:rPr>
      </w:pPr>
    </w:p>
    <w:p w14:paraId="27AB09A8" w14:textId="77777777" w:rsidR="001A3992" w:rsidRPr="00717E34" w:rsidRDefault="001A3992" w:rsidP="00292D82">
      <w:pPr>
        <w:pStyle w:val="Heading1"/>
        <w:keepNext w:val="0"/>
        <w:pageBreakBefore w:val="0"/>
        <w:spacing w:before="0" w:after="120"/>
        <w:rPr>
          <w:lang w:val="en-AU"/>
        </w:rPr>
      </w:pPr>
      <w:r w:rsidRPr="00717E34">
        <w:rPr>
          <w:lang w:val="en-AU"/>
        </w:rPr>
        <w:t>Clinical particulars</w:t>
      </w:r>
    </w:p>
    <w:p w14:paraId="679E3E28" w14:textId="64E4D9B8" w:rsidR="001A3992" w:rsidRDefault="001A3992" w:rsidP="001A3992">
      <w:pPr>
        <w:pStyle w:val="Heading2"/>
        <w:spacing w:before="0" w:after="120"/>
        <w:rPr>
          <w:lang w:val="en-AU"/>
        </w:rPr>
      </w:pPr>
      <w:r w:rsidRPr="00717E34">
        <w:rPr>
          <w:lang w:val="en-AU"/>
        </w:rPr>
        <w:t xml:space="preserve">Therapeutic indications </w:t>
      </w:r>
    </w:p>
    <w:p w14:paraId="3A81528B" w14:textId="3C195E18" w:rsidR="000413AC" w:rsidRDefault="000413AC" w:rsidP="000413AC">
      <w:pPr>
        <w:rPr>
          <w:lang w:val="en-AU"/>
        </w:rPr>
      </w:pPr>
      <w:bookmarkStart w:id="1" w:name="_Hlk53588500"/>
      <w:bookmarkStart w:id="2" w:name="_Hlk53589183"/>
      <w:proofErr w:type="spellStart"/>
      <w:r>
        <w:rPr>
          <w:lang w:val="en-AU"/>
        </w:rPr>
        <w:t>Nexviazyme</w:t>
      </w:r>
      <w:proofErr w:type="spellEnd"/>
      <w:r>
        <w:rPr>
          <w:lang w:val="en-AU"/>
        </w:rPr>
        <w:t xml:space="preserve"> </w:t>
      </w:r>
      <w:r w:rsidRPr="000413AC">
        <w:rPr>
          <w:lang w:val="en-AU"/>
        </w:rPr>
        <w:t>is indicated for long-term enzyme replacement therapy for the treatment</w:t>
      </w:r>
      <w:r>
        <w:rPr>
          <w:lang w:val="en-AU"/>
        </w:rPr>
        <w:t xml:space="preserve"> </w:t>
      </w:r>
      <w:r w:rsidRPr="000413AC">
        <w:rPr>
          <w:lang w:val="en-AU"/>
        </w:rPr>
        <w:t>of patients</w:t>
      </w:r>
      <w:r w:rsidR="00F14210">
        <w:rPr>
          <w:lang w:val="en-AU"/>
        </w:rPr>
        <w:t xml:space="preserve"> one year of age and older</w:t>
      </w:r>
      <w:r w:rsidRPr="000413AC">
        <w:rPr>
          <w:lang w:val="en-AU"/>
        </w:rPr>
        <w:t xml:space="preserve"> with </w:t>
      </w:r>
      <w:proofErr w:type="spellStart"/>
      <w:r w:rsidRPr="000413AC">
        <w:rPr>
          <w:lang w:val="en-AU"/>
        </w:rPr>
        <w:t>Pompe</w:t>
      </w:r>
      <w:proofErr w:type="spellEnd"/>
      <w:r w:rsidRPr="000413AC">
        <w:rPr>
          <w:lang w:val="en-AU"/>
        </w:rPr>
        <w:t xml:space="preserve"> disease (acid α-glucosidase deficiency)</w:t>
      </w:r>
      <w:r>
        <w:rPr>
          <w:lang w:val="en-AU"/>
        </w:rPr>
        <w:t>.</w:t>
      </w:r>
      <w:bookmarkEnd w:id="1"/>
    </w:p>
    <w:bookmarkEnd w:id="2"/>
    <w:p w14:paraId="3CC3735A" w14:textId="77777777" w:rsidR="00292D82" w:rsidRPr="00717E34" w:rsidRDefault="00292D82" w:rsidP="00292D82">
      <w:pPr>
        <w:spacing w:before="120"/>
        <w:jc w:val="both"/>
        <w:rPr>
          <w:lang w:val="en-AU"/>
        </w:rPr>
      </w:pPr>
    </w:p>
    <w:p w14:paraId="312D0FF9" w14:textId="77777777" w:rsidR="001A3992" w:rsidRPr="00717E34" w:rsidRDefault="001A3992" w:rsidP="001A3992">
      <w:pPr>
        <w:pStyle w:val="Heading2"/>
        <w:spacing w:before="0" w:after="120"/>
        <w:rPr>
          <w:lang w:val="en-AU"/>
        </w:rPr>
      </w:pPr>
      <w:r w:rsidRPr="00717E34">
        <w:rPr>
          <w:lang w:val="en-AU"/>
        </w:rPr>
        <w:t xml:space="preserve">Dose and method of administration </w:t>
      </w:r>
    </w:p>
    <w:p w14:paraId="35F063BC" w14:textId="6595D7F4" w:rsidR="000413AC" w:rsidRDefault="000413AC" w:rsidP="000413AC">
      <w:pPr>
        <w:rPr>
          <w:lang w:val="en-AU"/>
        </w:rPr>
      </w:pPr>
      <w:proofErr w:type="spellStart"/>
      <w:r>
        <w:rPr>
          <w:lang w:val="en-AU"/>
        </w:rPr>
        <w:t>Nexviazyme</w:t>
      </w:r>
      <w:proofErr w:type="spellEnd"/>
      <w:r w:rsidRPr="000413AC">
        <w:rPr>
          <w:lang w:val="en-AU"/>
        </w:rPr>
        <w:t xml:space="preserve"> treatment should be supervised by a physician experienced in the management of patients with</w:t>
      </w:r>
      <w:r>
        <w:rPr>
          <w:lang w:val="en-AU"/>
        </w:rPr>
        <w:t xml:space="preserve"> </w:t>
      </w:r>
      <w:proofErr w:type="spellStart"/>
      <w:r w:rsidRPr="000413AC">
        <w:rPr>
          <w:lang w:val="en-AU"/>
        </w:rPr>
        <w:t>Pompe</w:t>
      </w:r>
      <w:proofErr w:type="spellEnd"/>
      <w:r w:rsidRPr="000413AC">
        <w:rPr>
          <w:lang w:val="en-AU"/>
        </w:rPr>
        <w:t xml:space="preserve"> disease or other inherited metabolic or neuromuscular diseases.</w:t>
      </w:r>
    </w:p>
    <w:p w14:paraId="408A8FD2" w14:textId="2788ACD4" w:rsidR="003540DE" w:rsidRPr="000413AC" w:rsidRDefault="003540DE" w:rsidP="003540DE">
      <w:pPr>
        <w:pStyle w:val="Heading3"/>
        <w:numPr>
          <w:ilvl w:val="0"/>
          <w:numId w:val="0"/>
        </w:numPr>
        <w:ind w:left="680" w:hanging="680"/>
        <w:rPr>
          <w:lang w:val="en-AU"/>
        </w:rPr>
      </w:pPr>
      <w:r>
        <w:rPr>
          <w:lang w:val="en-AU"/>
        </w:rPr>
        <w:t>Dose</w:t>
      </w:r>
    </w:p>
    <w:p w14:paraId="3BB0F4AE" w14:textId="7E9BFBB8" w:rsidR="000413AC" w:rsidRPr="000413AC" w:rsidRDefault="000413AC" w:rsidP="000413AC">
      <w:pPr>
        <w:rPr>
          <w:lang w:val="en-AU"/>
        </w:rPr>
      </w:pPr>
      <w:bookmarkStart w:id="3" w:name="_Hlk53589059"/>
      <w:r w:rsidRPr="000413AC">
        <w:rPr>
          <w:lang w:val="en-AU"/>
        </w:rPr>
        <w:t xml:space="preserve">The recommended dose of </w:t>
      </w:r>
      <w:proofErr w:type="spellStart"/>
      <w:r>
        <w:rPr>
          <w:lang w:val="en-AU"/>
        </w:rPr>
        <w:t>Nexviazyme</w:t>
      </w:r>
      <w:proofErr w:type="spellEnd"/>
      <w:r w:rsidRPr="000413AC">
        <w:rPr>
          <w:lang w:val="en-AU"/>
        </w:rPr>
        <w:t xml:space="preserve"> is 20 mg/kg of body weight administered every other week</w:t>
      </w:r>
      <w:r w:rsidR="00E63F48">
        <w:rPr>
          <w:lang w:val="en-AU"/>
        </w:rPr>
        <w:t xml:space="preserve"> as an intravenous infusion</w:t>
      </w:r>
      <w:r w:rsidRPr="000413AC">
        <w:rPr>
          <w:lang w:val="en-AU"/>
        </w:rPr>
        <w:t>.</w:t>
      </w:r>
      <w:r w:rsidR="00F14210">
        <w:rPr>
          <w:lang w:val="en-AU"/>
        </w:rPr>
        <w:t xml:space="preserve"> </w:t>
      </w:r>
      <w:r w:rsidR="00F14210" w:rsidRPr="00F14210">
        <w:rPr>
          <w:color w:val="auto"/>
          <w:lang w:val="en-AU"/>
        </w:rPr>
        <w:t xml:space="preserve">Dose escalation to 40 mg/kg every other week may be considered for patients with infantile onset </w:t>
      </w:r>
      <w:proofErr w:type="spellStart"/>
      <w:r w:rsidR="00F14210" w:rsidRPr="00F14210">
        <w:rPr>
          <w:color w:val="auto"/>
          <w:lang w:val="en-AU"/>
        </w:rPr>
        <w:t>Pompe</w:t>
      </w:r>
      <w:proofErr w:type="spellEnd"/>
      <w:r w:rsidR="00F14210" w:rsidRPr="00F14210">
        <w:rPr>
          <w:color w:val="auto"/>
          <w:lang w:val="en-AU"/>
        </w:rPr>
        <w:t xml:space="preserve"> disease (IOPD) who experience insufficient control or declining response at the lower dose (see Section</w:t>
      </w:r>
      <w:r w:rsidR="008D4AAE">
        <w:rPr>
          <w:color w:val="auto"/>
          <w:lang w:val="en-AU"/>
        </w:rPr>
        <w:t xml:space="preserve"> </w:t>
      </w:r>
      <w:r w:rsidR="008D4AAE" w:rsidRPr="008D4AAE">
        <w:rPr>
          <w:color w:val="0000FF"/>
          <w:lang w:val="en-AU"/>
        </w:rPr>
        <w:fldChar w:fldCharType="begin"/>
      </w:r>
      <w:r w:rsidR="008D4AAE" w:rsidRPr="008D4AAE">
        <w:rPr>
          <w:color w:val="0000FF"/>
          <w:lang w:val="en-AU"/>
        </w:rPr>
        <w:instrText xml:space="preserve"> REF _Ref86221820 \r \h  \* MERGEFORMAT </w:instrText>
      </w:r>
      <w:r w:rsidR="008D4AAE" w:rsidRPr="008D4AAE">
        <w:rPr>
          <w:color w:val="0000FF"/>
          <w:lang w:val="en-AU"/>
        </w:rPr>
      </w:r>
      <w:r w:rsidR="008D4AAE" w:rsidRPr="008D4AAE">
        <w:rPr>
          <w:color w:val="0000FF"/>
          <w:lang w:val="en-AU"/>
        </w:rPr>
        <w:fldChar w:fldCharType="separate"/>
      </w:r>
      <w:r w:rsidR="00751605">
        <w:rPr>
          <w:color w:val="0000FF"/>
          <w:lang w:val="en-AU"/>
        </w:rPr>
        <w:t>5.1</w:t>
      </w:r>
      <w:r w:rsidR="008D4AAE" w:rsidRPr="008D4AAE">
        <w:rPr>
          <w:color w:val="0000FF"/>
          <w:lang w:val="en-AU"/>
        </w:rPr>
        <w:fldChar w:fldCharType="end"/>
      </w:r>
      <w:r w:rsidR="00F14210">
        <w:rPr>
          <w:color w:val="0000FF"/>
          <w:u w:val="double"/>
          <w:lang w:val="en-AU"/>
        </w:rPr>
        <w:t xml:space="preserve"> </w:t>
      </w:r>
      <w:r w:rsidR="00F14210" w:rsidRPr="00F14210">
        <w:rPr>
          <w:color w:val="auto"/>
          <w:lang w:val="en-AU"/>
        </w:rPr>
        <w:t>Pharmacodynamic Properties, Clinical Trials)</w:t>
      </w:r>
    </w:p>
    <w:bookmarkEnd w:id="3"/>
    <w:p w14:paraId="446EB155" w14:textId="593FB51E" w:rsidR="003540DE" w:rsidRDefault="003540DE" w:rsidP="003540DE">
      <w:pPr>
        <w:pStyle w:val="Heading3"/>
        <w:numPr>
          <w:ilvl w:val="0"/>
          <w:numId w:val="0"/>
        </w:numPr>
        <w:ind w:left="680" w:hanging="680"/>
        <w:rPr>
          <w:lang w:val="en-AU"/>
        </w:rPr>
      </w:pPr>
      <w:r>
        <w:rPr>
          <w:lang w:val="en-AU"/>
        </w:rPr>
        <w:t xml:space="preserve">Method of administration </w:t>
      </w:r>
    </w:p>
    <w:p w14:paraId="425A01A4" w14:textId="02928FB3" w:rsidR="00725904" w:rsidRDefault="00725904" w:rsidP="00725904">
      <w:pPr>
        <w:pStyle w:val="Heading5"/>
        <w:numPr>
          <w:ilvl w:val="0"/>
          <w:numId w:val="0"/>
        </w:numPr>
        <w:ind w:left="1009" w:hanging="1009"/>
        <w:rPr>
          <w:lang w:val="en-AU"/>
        </w:rPr>
      </w:pPr>
      <w:r>
        <w:rPr>
          <w:lang w:val="en-AU"/>
        </w:rPr>
        <w:t>Preparation for intravenous infusion</w:t>
      </w:r>
    </w:p>
    <w:p w14:paraId="10908983" w14:textId="77777777" w:rsidR="00725904" w:rsidRPr="00725904" w:rsidRDefault="00725904" w:rsidP="00725904">
      <w:pPr>
        <w:rPr>
          <w:lang w:val="en-AU"/>
        </w:rPr>
      </w:pPr>
      <w:r w:rsidRPr="00725904">
        <w:rPr>
          <w:lang w:val="en-AU"/>
        </w:rPr>
        <w:t xml:space="preserve">Use aseptic technique during preparation.  </w:t>
      </w:r>
    </w:p>
    <w:p w14:paraId="45ED4096" w14:textId="5C32E241" w:rsidR="00E63F48" w:rsidRDefault="00725904" w:rsidP="00A12F42">
      <w:pPr>
        <w:pStyle w:val="ListBulletLevel1"/>
        <w:numPr>
          <w:ilvl w:val="0"/>
          <w:numId w:val="33"/>
        </w:numPr>
        <w:rPr>
          <w:lang w:val="en-AU"/>
        </w:rPr>
      </w:pPr>
      <w:r w:rsidRPr="004C5157">
        <w:rPr>
          <w:lang w:val="en-AU"/>
        </w:rPr>
        <w:t>Determine the number of vials to be reconstituted based on individual patient’s weight</w:t>
      </w:r>
      <w:r w:rsidR="004C5157">
        <w:rPr>
          <w:lang w:val="en-AU"/>
        </w:rPr>
        <w:t xml:space="preserve"> </w:t>
      </w:r>
      <w:r w:rsidRPr="004C5157">
        <w:rPr>
          <w:lang w:val="en-AU"/>
        </w:rPr>
        <w:t>and the recommended dose of 20 mg/kg or 40 mg/kg.</w:t>
      </w:r>
      <w:r w:rsidR="004C5157" w:rsidRPr="004C5157">
        <w:rPr>
          <w:lang w:val="en-AU"/>
        </w:rPr>
        <w:t xml:space="preserve"> </w:t>
      </w:r>
    </w:p>
    <w:p w14:paraId="3DA9862D" w14:textId="77777777" w:rsidR="00306657" w:rsidRDefault="00AD0D59" w:rsidP="00E50348">
      <w:pPr>
        <w:pStyle w:val="ListBulletLevel1"/>
        <w:numPr>
          <w:ilvl w:val="0"/>
          <w:numId w:val="0"/>
        </w:numPr>
        <w:ind w:left="723"/>
        <w:rPr>
          <w:lang w:val="en-AU"/>
        </w:rPr>
      </w:pPr>
      <w:r w:rsidRPr="004C5157">
        <w:rPr>
          <w:lang w:val="en-AU"/>
        </w:rPr>
        <w:t xml:space="preserve">Patient weight (kg) x dose (mg/kg) = patient dose (in mg). </w:t>
      </w:r>
    </w:p>
    <w:p w14:paraId="672081B8" w14:textId="77777777" w:rsidR="00306657" w:rsidRDefault="00AD0D59" w:rsidP="00E50348">
      <w:pPr>
        <w:pStyle w:val="ListBulletLevel1"/>
        <w:numPr>
          <w:ilvl w:val="0"/>
          <w:numId w:val="0"/>
        </w:numPr>
        <w:ind w:left="723"/>
        <w:rPr>
          <w:lang w:val="en-AU"/>
        </w:rPr>
      </w:pPr>
      <w:r w:rsidRPr="004C5157">
        <w:rPr>
          <w:lang w:val="en-AU"/>
        </w:rPr>
        <w:t xml:space="preserve">Patient dose (in mg) divided by 100 mg/vial = number of vials to reconstitute. </w:t>
      </w:r>
    </w:p>
    <w:p w14:paraId="014B9542" w14:textId="2B8D4F1B" w:rsidR="00AD0D59" w:rsidRDefault="00AD0D59" w:rsidP="00E50348">
      <w:pPr>
        <w:pStyle w:val="ListBulletLevel1"/>
        <w:numPr>
          <w:ilvl w:val="0"/>
          <w:numId w:val="0"/>
        </w:numPr>
        <w:ind w:left="723"/>
        <w:rPr>
          <w:lang w:val="en-AU"/>
        </w:rPr>
      </w:pPr>
      <w:r w:rsidRPr="004C5157">
        <w:rPr>
          <w:lang w:val="en-AU"/>
        </w:rPr>
        <w:t xml:space="preserve">If the number of vials includes a fraction, round up to the next whole number.  </w:t>
      </w:r>
    </w:p>
    <w:p w14:paraId="271EC10A" w14:textId="77777777" w:rsidR="00AD0D59" w:rsidRDefault="00AD0D59" w:rsidP="00AD0D59">
      <w:pPr>
        <w:pStyle w:val="ListBulletLevel1"/>
        <w:numPr>
          <w:ilvl w:val="0"/>
          <w:numId w:val="0"/>
        </w:numPr>
        <w:ind w:left="723"/>
        <w:rPr>
          <w:lang w:val="en-AU"/>
        </w:rPr>
      </w:pPr>
    </w:p>
    <w:tbl>
      <w:tblPr>
        <w:tblStyle w:val="TableGrid"/>
        <w:tblW w:w="0" w:type="auto"/>
        <w:jc w:val="center"/>
        <w:tblBorders>
          <w:top w:val="single" w:sz="2" w:space="0" w:color="0000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
        <w:gridCol w:w="1319"/>
        <w:gridCol w:w="299"/>
        <w:gridCol w:w="1303"/>
        <w:gridCol w:w="312"/>
        <w:gridCol w:w="1248"/>
        <w:gridCol w:w="1984"/>
        <w:gridCol w:w="1469"/>
      </w:tblGrid>
      <w:tr w:rsidR="006E20CB" w:rsidRPr="005A3F5F" w14:paraId="5A605094" w14:textId="1A824305" w:rsidTr="006E20CB">
        <w:trPr>
          <w:cantSplit/>
          <w:tblHeader/>
          <w:jc w:val="center"/>
        </w:trPr>
        <w:tc>
          <w:tcPr>
            <w:tcW w:w="855" w:type="dxa"/>
            <w:tcBorders>
              <w:top w:val="single" w:sz="4" w:space="0" w:color="000000"/>
              <w:bottom w:val="single" w:sz="4" w:space="0" w:color="000000"/>
            </w:tcBorders>
            <w:shd w:val="clear" w:color="auto" w:fill="auto"/>
          </w:tcPr>
          <w:p w14:paraId="5F81BC1D" w14:textId="77777777" w:rsidR="006E20CB" w:rsidRPr="005A3F5F" w:rsidRDefault="006E20CB" w:rsidP="00707DE2">
            <w:pPr>
              <w:pStyle w:val="TblHeadingCenter"/>
            </w:pPr>
          </w:p>
        </w:tc>
        <w:tc>
          <w:tcPr>
            <w:tcW w:w="1319" w:type="dxa"/>
            <w:tcBorders>
              <w:top w:val="single" w:sz="4" w:space="0" w:color="000000"/>
              <w:bottom w:val="single" w:sz="4" w:space="0" w:color="000000"/>
            </w:tcBorders>
            <w:shd w:val="clear" w:color="auto" w:fill="auto"/>
          </w:tcPr>
          <w:p w14:paraId="3615F0BB" w14:textId="57D69E3F" w:rsidR="006E20CB" w:rsidRPr="005A3F5F" w:rsidRDefault="006E20CB" w:rsidP="00707DE2">
            <w:pPr>
              <w:pStyle w:val="TblHeadingCenter"/>
            </w:pPr>
            <w:r w:rsidRPr="005A3F5F">
              <w:t>Patient weight (kg)</w:t>
            </w:r>
          </w:p>
        </w:tc>
        <w:tc>
          <w:tcPr>
            <w:tcW w:w="299" w:type="dxa"/>
            <w:tcBorders>
              <w:top w:val="single" w:sz="4" w:space="0" w:color="000000"/>
              <w:bottom w:val="single" w:sz="4" w:space="0" w:color="000000"/>
            </w:tcBorders>
          </w:tcPr>
          <w:p w14:paraId="49D4742C" w14:textId="77777777" w:rsidR="006E20CB" w:rsidRPr="005A3F5F" w:rsidRDefault="006E20CB" w:rsidP="00707DE2">
            <w:pPr>
              <w:pStyle w:val="TblHeadingCenter"/>
            </w:pPr>
          </w:p>
        </w:tc>
        <w:tc>
          <w:tcPr>
            <w:tcW w:w="1303" w:type="dxa"/>
            <w:tcBorders>
              <w:top w:val="single" w:sz="4" w:space="0" w:color="000000"/>
              <w:bottom w:val="single" w:sz="4" w:space="0" w:color="000000"/>
            </w:tcBorders>
            <w:shd w:val="clear" w:color="auto" w:fill="auto"/>
          </w:tcPr>
          <w:p w14:paraId="02C10297" w14:textId="1E915E1E" w:rsidR="006E20CB" w:rsidRPr="005A3F5F" w:rsidRDefault="006E20CB" w:rsidP="00707DE2">
            <w:pPr>
              <w:pStyle w:val="TblHeadingCenter"/>
            </w:pPr>
            <w:r w:rsidRPr="005A3F5F">
              <w:t>Dose (mg/kg)</w:t>
            </w:r>
          </w:p>
        </w:tc>
        <w:tc>
          <w:tcPr>
            <w:tcW w:w="312" w:type="dxa"/>
            <w:tcBorders>
              <w:top w:val="single" w:sz="4" w:space="0" w:color="000000"/>
              <w:bottom w:val="single" w:sz="4" w:space="0" w:color="000000"/>
            </w:tcBorders>
          </w:tcPr>
          <w:p w14:paraId="27C62C85" w14:textId="77777777" w:rsidR="006E20CB" w:rsidRPr="005A3F5F" w:rsidRDefault="006E20CB" w:rsidP="00707DE2">
            <w:pPr>
              <w:pStyle w:val="TblHeadingCenter"/>
            </w:pPr>
          </w:p>
        </w:tc>
        <w:tc>
          <w:tcPr>
            <w:tcW w:w="1248" w:type="dxa"/>
            <w:tcBorders>
              <w:top w:val="single" w:sz="4" w:space="0" w:color="000000"/>
              <w:bottom w:val="single" w:sz="4" w:space="0" w:color="000000"/>
            </w:tcBorders>
            <w:shd w:val="clear" w:color="auto" w:fill="auto"/>
          </w:tcPr>
          <w:p w14:paraId="418D075D" w14:textId="2F1DDD79" w:rsidR="006E20CB" w:rsidRPr="005A3F5F" w:rsidRDefault="006E20CB" w:rsidP="00707DE2">
            <w:pPr>
              <w:pStyle w:val="TblHeadingCenter"/>
            </w:pPr>
            <w:r w:rsidRPr="005A3F5F">
              <w:t>Patient dose (mg)</w:t>
            </w:r>
          </w:p>
        </w:tc>
        <w:tc>
          <w:tcPr>
            <w:tcW w:w="1984" w:type="dxa"/>
            <w:tcBorders>
              <w:top w:val="single" w:sz="4" w:space="0" w:color="000000"/>
              <w:bottom w:val="single" w:sz="4" w:space="0" w:color="000000"/>
            </w:tcBorders>
            <w:shd w:val="clear" w:color="auto" w:fill="auto"/>
          </w:tcPr>
          <w:p w14:paraId="3D88728D" w14:textId="16033C6F" w:rsidR="006E20CB" w:rsidRPr="006E20CB" w:rsidRDefault="006E20CB" w:rsidP="00707DE2">
            <w:pPr>
              <w:pStyle w:val="TblHeadingCenter"/>
              <w:rPr>
                <w:u w:val="single"/>
              </w:rPr>
            </w:pPr>
            <w:r w:rsidRPr="006E20CB">
              <w:rPr>
                <w:u w:val="single"/>
              </w:rPr>
              <w:t>Patient dose (mg)</w:t>
            </w:r>
          </w:p>
          <w:p w14:paraId="799065AE" w14:textId="5FF7C628" w:rsidR="006E20CB" w:rsidRPr="005A3F5F" w:rsidRDefault="006E20CB" w:rsidP="00707DE2">
            <w:pPr>
              <w:pStyle w:val="TblHeadingCenter"/>
            </w:pPr>
            <w:r w:rsidRPr="005A3F5F">
              <w:t>100 (mg/vial)</w:t>
            </w:r>
          </w:p>
        </w:tc>
        <w:tc>
          <w:tcPr>
            <w:tcW w:w="1469" w:type="dxa"/>
            <w:tcBorders>
              <w:top w:val="single" w:sz="4" w:space="0" w:color="000000"/>
              <w:bottom w:val="single" w:sz="4" w:space="0" w:color="000000"/>
            </w:tcBorders>
            <w:shd w:val="clear" w:color="auto" w:fill="auto"/>
          </w:tcPr>
          <w:p w14:paraId="1251DF33" w14:textId="6472A719" w:rsidR="006E20CB" w:rsidRPr="005A3F5F" w:rsidRDefault="006E20CB" w:rsidP="00707DE2">
            <w:pPr>
              <w:pStyle w:val="TblHeadingCenter"/>
            </w:pPr>
            <w:r w:rsidRPr="005A3F5F">
              <w:t xml:space="preserve">Vials to reconstitute </w:t>
            </w:r>
          </w:p>
        </w:tc>
      </w:tr>
      <w:tr w:rsidR="006E20CB" w:rsidRPr="005A3F5F" w14:paraId="1D9C85B9" w14:textId="69EC6CD5" w:rsidTr="006E20CB">
        <w:trPr>
          <w:cantSplit/>
          <w:jc w:val="center"/>
        </w:trPr>
        <w:tc>
          <w:tcPr>
            <w:tcW w:w="855" w:type="dxa"/>
            <w:tcBorders>
              <w:top w:val="single" w:sz="4" w:space="0" w:color="000000"/>
            </w:tcBorders>
            <w:shd w:val="clear" w:color="auto" w:fill="auto"/>
          </w:tcPr>
          <w:p w14:paraId="08B6804C" w14:textId="36D8CB48" w:rsidR="006E20CB" w:rsidRPr="005A3F5F" w:rsidRDefault="006E20CB" w:rsidP="00707DE2">
            <w:pPr>
              <w:pStyle w:val="TblTextCenter"/>
            </w:pPr>
            <w:r w:rsidRPr="005A3F5F">
              <w:t>Example 1</w:t>
            </w:r>
          </w:p>
        </w:tc>
        <w:tc>
          <w:tcPr>
            <w:tcW w:w="1319" w:type="dxa"/>
            <w:tcBorders>
              <w:top w:val="single" w:sz="4" w:space="0" w:color="000000"/>
            </w:tcBorders>
            <w:shd w:val="clear" w:color="auto" w:fill="auto"/>
          </w:tcPr>
          <w:p w14:paraId="3C002DC9" w14:textId="0AD27555" w:rsidR="006E20CB" w:rsidRPr="005A3F5F" w:rsidRDefault="006E20CB" w:rsidP="00707DE2">
            <w:pPr>
              <w:pStyle w:val="TblTextCenter"/>
            </w:pPr>
            <w:r w:rsidRPr="005A3F5F">
              <w:t>16</w:t>
            </w:r>
          </w:p>
        </w:tc>
        <w:tc>
          <w:tcPr>
            <w:tcW w:w="299" w:type="dxa"/>
            <w:tcBorders>
              <w:top w:val="single" w:sz="4" w:space="0" w:color="000000"/>
            </w:tcBorders>
          </w:tcPr>
          <w:p w14:paraId="327845B0" w14:textId="4758A7C1" w:rsidR="006E20CB" w:rsidRPr="005A3F5F" w:rsidRDefault="006E20CB" w:rsidP="00707DE2">
            <w:pPr>
              <w:pStyle w:val="TblTextCenter"/>
            </w:pPr>
            <w:r>
              <w:t>x</w:t>
            </w:r>
          </w:p>
        </w:tc>
        <w:tc>
          <w:tcPr>
            <w:tcW w:w="1303" w:type="dxa"/>
            <w:tcBorders>
              <w:top w:val="single" w:sz="4" w:space="0" w:color="000000"/>
            </w:tcBorders>
            <w:shd w:val="clear" w:color="auto" w:fill="auto"/>
          </w:tcPr>
          <w:p w14:paraId="6DE940B3" w14:textId="76799C90" w:rsidR="006E20CB" w:rsidRPr="005A3F5F" w:rsidRDefault="006E20CB" w:rsidP="00707DE2">
            <w:pPr>
              <w:pStyle w:val="TblTextCenter"/>
            </w:pPr>
            <w:r w:rsidRPr="005A3F5F">
              <w:t>20</w:t>
            </w:r>
          </w:p>
        </w:tc>
        <w:tc>
          <w:tcPr>
            <w:tcW w:w="312" w:type="dxa"/>
            <w:tcBorders>
              <w:top w:val="single" w:sz="4" w:space="0" w:color="000000"/>
            </w:tcBorders>
          </w:tcPr>
          <w:p w14:paraId="30612879" w14:textId="6538C26C" w:rsidR="006E20CB" w:rsidRPr="005A3F5F" w:rsidRDefault="006E20CB" w:rsidP="00707DE2">
            <w:pPr>
              <w:pStyle w:val="TblTextCenter"/>
            </w:pPr>
            <w:r>
              <w:t>=</w:t>
            </w:r>
          </w:p>
        </w:tc>
        <w:tc>
          <w:tcPr>
            <w:tcW w:w="1248" w:type="dxa"/>
            <w:tcBorders>
              <w:top w:val="single" w:sz="4" w:space="0" w:color="000000"/>
            </w:tcBorders>
            <w:shd w:val="clear" w:color="auto" w:fill="auto"/>
          </w:tcPr>
          <w:p w14:paraId="2863F436" w14:textId="78A6C1AE" w:rsidR="006E20CB" w:rsidRPr="005A3F5F" w:rsidRDefault="006E20CB" w:rsidP="00707DE2">
            <w:pPr>
              <w:pStyle w:val="TblTextCenter"/>
            </w:pPr>
            <w:r w:rsidRPr="005A3F5F">
              <w:t>320</w:t>
            </w:r>
          </w:p>
        </w:tc>
        <w:tc>
          <w:tcPr>
            <w:tcW w:w="1984" w:type="dxa"/>
            <w:tcBorders>
              <w:top w:val="single" w:sz="4" w:space="0" w:color="000000"/>
            </w:tcBorders>
            <w:shd w:val="clear" w:color="auto" w:fill="auto"/>
          </w:tcPr>
          <w:p w14:paraId="2B421D27" w14:textId="717175F3" w:rsidR="006E20CB" w:rsidRPr="005A3F5F" w:rsidRDefault="006E20CB" w:rsidP="00707DE2">
            <w:pPr>
              <w:pStyle w:val="TblTextCenter"/>
            </w:pPr>
            <w:r w:rsidRPr="005A3F5F">
              <w:t>3.2 vials</w:t>
            </w:r>
          </w:p>
        </w:tc>
        <w:tc>
          <w:tcPr>
            <w:tcW w:w="1469" w:type="dxa"/>
            <w:tcBorders>
              <w:top w:val="single" w:sz="4" w:space="0" w:color="000000"/>
            </w:tcBorders>
            <w:shd w:val="clear" w:color="auto" w:fill="auto"/>
          </w:tcPr>
          <w:p w14:paraId="2E182842" w14:textId="70BDB104" w:rsidR="006E20CB" w:rsidRPr="005A3F5F" w:rsidRDefault="006E20CB" w:rsidP="00707DE2">
            <w:pPr>
              <w:pStyle w:val="TblTextCenter"/>
            </w:pPr>
            <w:r w:rsidRPr="005A3F5F">
              <w:t xml:space="preserve">4 </w:t>
            </w:r>
          </w:p>
        </w:tc>
      </w:tr>
      <w:tr w:rsidR="006E20CB" w:rsidRPr="005A3F5F" w14:paraId="3E7BBABB" w14:textId="6FCD2FA2" w:rsidTr="006E20CB">
        <w:trPr>
          <w:cantSplit/>
          <w:jc w:val="center"/>
        </w:trPr>
        <w:tc>
          <w:tcPr>
            <w:tcW w:w="855" w:type="dxa"/>
            <w:tcBorders>
              <w:bottom w:val="single" w:sz="12" w:space="0" w:color="auto"/>
            </w:tcBorders>
            <w:shd w:val="clear" w:color="auto" w:fill="auto"/>
          </w:tcPr>
          <w:p w14:paraId="1B104CA4" w14:textId="425CAD00" w:rsidR="006E20CB" w:rsidRPr="005A3F5F" w:rsidRDefault="006E20CB" w:rsidP="00707DE2">
            <w:pPr>
              <w:pStyle w:val="TblTextCenter"/>
            </w:pPr>
            <w:r w:rsidRPr="005A3F5F">
              <w:t>Example 2</w:t>
            </w:r>
          </w:p>
        </w:tc>
        <w:tc>
          <w:tcPr>
            <w:tcW w:w="1319" w:type="dxa"/>
            <w:tcBorders>
              <w:bottom w:val="single" w:sz="12" w:space="0" w:color="auto"/>
            </w:tcBorders>
            <w:shd w:val="clear" w:color="auto" w:fill="auto"/>
          </w:tcPr>
          <w:p w14:paraId="18C2D656" w14:textId="739FF92B" w:rsidR="006E20CB" w:rsidRPr="005A3F5F" w:rsidRDefault="006E20CB" w:rsidP="00707DE2">
            <w:pPr>
              <w:pStyle w:val="TblTextCenter"/>
            </w:pPr>
            <w:r w:rsidRPr="005A3F5F">
              <w:t>16</w:t>
            </w:r>
          </w:p>
        </w:tc>
        <w:tc>
          <w:tcPr>
            <w:tcW w:w="299" w:type="dxa"/>
            <w:tcBorders>
              <w:bottom w:val="single" w:sz="12" w:space="0" w:color="auto"/>
            </w:tcBorders>
          </w:tcPr>
          <w:p w14:paraId="2D5732F9" w14:textId="2F285FCC" w:rsidR="006E20CB" w:rsidRPr="005A3F5F" w:rsidRDefault="006E20CB" w:rsidP="00707DE2">
            <w:pPr>
              <w:pStyle w:val="TblTextCenter"/>
            </w:pPr>
            <w:r>
              <w:t>x</w:t>
            </w:r>
          </w:p>
        </w:tc>
        <w:tc>
          <w:tcPr>
            <w:tcW w:w="1303" w:type="dxa"/>
            <w:tcBorders>
              <w:bottom w:val="single" w:sz="12" w:space="0" w:color="auto"/>
            </w:tcBorders>
            <w:shd w:val="clear" w:color="auto" w:fill="auto"/>
          </w:tcPr>
          <w:p w14:paraId="05A569B4" w14:textId="4B1630B3" w:rsidR="006E20CB" w:rsidRPr="005A3F5F" w:rsidRDefault="006E20CB" w:rsidP="00707DE2">
            <w:pPr>
              <w:pStyle w:val="TblTextCenter"/>
            </w:pPr>
            <w:r w:rsidRPr="005A3F5F">
              <w:t>40</w:t>
            </w:r>
          </w:p>
        </w:tc>
        <w:tc>
          <w:tcPr>
            <w:tcW w:w="312" w:type="dxa"/>
            <w:tcBorders>
              <w:bottom w:val="single" w:sz="12" w:space="0" w:color="auto"/>
            </w:tcBorders>
          </w:tcPr>
          <w:p w14:paraId="1AD2D990" w14:textId="4D879521" w:rsidR="006E20CB" w:rsidRPr="005A3F5F" w:rsidRDefault="006E20CB" w:rsidP="00707DE2">
            <w:pPr>
              <w:pStyle w:val="TblTextCenter"/>
            </w:pPr>
            <w:r>
              <w:t>=</w:t>
            </w:r>
          </w:p>
        </w:tc>
        <w:tc>
          <w:tcPr>
            <w:tcW w:w="1248" w:type="dxa"/>
            <w:tcBorders>
              <w:bottom w:val="single" w:sz="12" w:space="0" w:color="auto"/>
            </w:tcBorders>
            <w:shd w:val="clear" w:color="auto" w:fill="auto"/>
          </w:tcPr>
          <w:p w14:paraId="35D4C44E" w14:textId="1A5A71F7" w:rsidR="006E20CB" w:rsidRPr="005A3F5F" w:rsidRDefault="006E20CB" w:rsidP="00707DE2">
            <w:pPr>
              <w:pStyle w:val="TblTextCenter"/>
            </w:pPr>
            <w:r w:rsidRPr="005A3F5F">
              <w:t>640</w:t>
            </w:r>
          </w:p>
        </w:tc>
        <w:tc>
          <w:tcPr>
            <w:tcW w:w="1984" w:type="dxa"/>
            <w:tcBorders>
              <w:bottom w:val="single" w:sz="12" w:space="0" w:color="auto"/>
            </w:tcBorders>
            <w:shd w:val="clear" w:color="auto" w:fill="auto"/>
          </w:tcPr>
          <w:p w14:paraId="1E8D44CF" w14:textId="4B0F21A4" w:rsidR="006E20CB" w:rsidRPr="005A3F5F" w:rsidRDefault="006E20CB" w:rsidP="00707DE2">
            <w:pPr>
              <w:pStyle w:val="TblTextCenter"/>
            </w:pPr>
            <w:r w:rsidRPr="005A3F5F">
              <w:t xml:space="preserve">6.4 vials </w:t>
            </w:r>
          </w:p>
        </w:tc>
        <w:tc>
          <w:tcPr>
            <w:tcW w:w="1469" w:type="dxa"/>
            <w:tcBorders>
              <w:bottom w:val="single" w:sz="12" w:space="0" w:color="auto"/>
            </w:tcBorders>
            <w:shd w:val="clear" w:color="auto" w:fill="auto"/>
          </w:tcPr>
          <w:p w14:paraId="2DA95AE1" w14:textId="5D1FE5E4" w:rsidR="006E20CB" w:rsidRPr="005A3F5F" w:rsidRDefault="006E20CB" w:rsidP="00707DE2">
            <w:pPr>
              <w:pStyle w:val="TblTextCenter"/>
            </w:pPr>
            <w:r w:rsidRPr="005A3F5F">
              <w:t>7</w:t>
            </w:r>
          </w:p>
        </w:tc>
      </w:tr>
    </w:tbl>
    <w:p w14:paraId="0D4500BE" w14:textId="5E586E07" w:rsidR="00725904" w:rsidRPr="00A12F42" w:rsidRDefault="00725904" w:rsidP="00A12F42">
      <w:pPr>
        <w:pStyle w:val="ListBulletLevel1"/>
        <w:numPr>
          <w:ilvl w:val="0"/>
          <w:numId w:val="33"/>
        </w:numPr>
        <w:rPr>
          <w:lang w:val="en-AU"/>
        </w:rPr>
      </w:pPr>
      <w:r w:rsidRPr="00725904">
        <w:rPr>
          <w:lang w:val="en-AU"/>
        </w:rPr>
        <w:t xml:space="preserve">Remove the required number of vials needed for the infusion from the refrigerator and set aside for approximately 30 minutes to allow them to reach room temperature. </w:t>
      </w:r>
      <w:r w:rsidRPr="00A12F42">
        <w:rPr>
          <w:lang w:val="en-AU"/>
        </w:rPr>
        <w:t xml:space="preserve"> </w:t>
      </w:r>
    </w:p>
    <w:p w14:paraId="7179E488" w14:textId="682DB94D" w:rsidR="00A12F42" w:rsidRPr="00A12F42" w:rsidRDefault="00725904" w:rsidP="00A12F42">
      <w:pPr>
        <w:pStyle w:val="ListBulletLevel1"/>
        <w:numPr>
          <w:ilvl w:val="0"/>
          <w:numId w:val="33"/>
        </w:numPr>
        <w:rPr>
          <w:lang w:val="en-AU"/>
        </w:rPr>
      </w:pPr>
      <w:r w:rsidRPr="00725904">
        <w:rPr>
          <w:lang w:val="en-AU"/>
        </w:rPr>
        <w:t xml:space="preserve">Reconstitute each vial by slowly injecting 10 mL of Sterile </w:t>
      </w:r>
      <w:r w:rsidR="00306657">
        <w:rPr>
          <w:lang w:val="en-AU"/>
        </w:rPr>
        <w:t>Water for Injections (</w:t>
      </w:r>
      <w:r w:rsidRPr="00725904">
        <w:rPr>
          <w:lang w:val="en-AU"/>
        </w:rPr>
        <w:t>WFI</w:t>
      </w:r>
      <w:r w:rsidR="00306657">
        <w:rPr>
          <w:lang w:val="en-AU"/>
        </w:rPr>
        <w:t>)</w:t>
      </w:r>
      <w:r w:rsidRPr="00725904">
        <w:rPr>
          <w:lang w:val="en-AU"/>
        </w:rPr>
        <w:t xml:space="preserve"> to each vial. Each vial will yield 100 mg/10 mL (10 mg/mL). Avoid forceful impact of the water for injection on the powder and avoid foaming. This is performed by slow drop-wise addition of the WFI down the inside of the vial and not directly onto the lyophili</w:t>
      </w:r>
      <w:r w:rsidR="00C61EC0">
        <w:rPr>
          <w:lang w:val="en-AU"/>
        </w:rPr>
        <w:t>s</w:t>
      </w:r>
      <w:r w:rsidRPr="00725904">
        <w:rPr>
          <w:lang w:val="en-AU"/>
        </w:rPr>
        <w:t xml:space="preserve">ed cake. Tilt and roll each vial gently. Do not invert, swirl, or shake. Avoid any air introduction into the infusion bag during the dilution of the product. </w:t>
      </w:r>
    </w:p>
    <w:p w14:paraId="05F90048" w14:textId="5256697E" w:rsidR="00A12F42" w:rsidRPr="00A12F42" w:rsidRDefault="00725904" w:rsidP="00A12F42">
      <w:pPr>
        <w:pStyle w:val="ListBulletLevel1"/>
        <w:numPr>
          <w:ilvl w:val="0"/>
          <w:numId w:val="33"/>
        </w:numPr>
        <w:rPr>
          <w:lang w:val="en-AU"/>
        </w:rPr>
      </w:pPr>
      <w:r w:rsidRPr="00725904">
        <w:rPr>
          <w:lang w:val="en-AU"/>
        </w:rPr>
        <w:t>Perform an immediate visual inspection on the reconstituted vials for particulate matter and discolo</w:t>
      </w:r>
      <w:r w:rsidR="00F36AD4">
        <w:rPr>
          <w:lang w:val="en-AU"/>
        </w:rPr>
        <w:t>u</w:t>
      </w:r>
      <w:r w:rsidRPr="00725904">
        <w:rPr>
          <w:lang w:val="en-AU"/>
        </w:rPr>
        <w:t>ration. If upon immediate inspection particles are observed or if the solution is discolo</w:t>
      </w:r>
      <w:r w:rsidR="00A12F42">
        <w:rPr>
          <w:lang w:val="en-AU"/>
        </w:rPr>
        <w:t>u</w:t>
      </w:r>
      <w:r w:rsidRPr="00725904">
        <w:rPr>
          <w:lang w:val="en-AU"/>
        </w:rPr>
        <w:t xml:space="preserve">red, do not use. Allow the solution to become dissolved. </w:t>
      </w:r>
    </w:p>
    <w:p w14:paraId="7068A974" w14:textId="7AA38434" w:rsidR="00A12F42" w:rsidRPr="00A12F42" w:rsidRDefault="00725904" w:rsidP="00A12F42">
      <w:pPr>
        <w:pStyle w:val="ListBulletLevel1"/>
        <w:numPr>
          <w:ilvl w:val="0"/>
          <w:numId w:val="33"/>
        </w:numPr>
        <w:rPr>
          <w:lang w:val="en-AU"/>
        </w:rPr>
      </w:pPr>
      <w:r w:rsidRPr="00725904">
        <w:rPr>
          <w:lang w:val="en-AU"/>
        </w:rPr>
        <w:lastRenderedPageBreak/>
        <w:t>The reconstituted solution should be diluted in 5% dextrose in water to a final concentration of 0.5 mg/mL to 4 mg/</w:t>
      </w:r>
      <w:proofErr w:type="spellStart"/>
      <w:r w:rsidRPr="00725904">
        <w:rPr>
          <w:lang w:val="en-AU"/>
        </w:rPr>
        <w:t>mL.</w:t>
      </w:r>
      <w:proofErr w:type="spellEnd"/>
      <w:r w:rsidRPr="00725904">
        <w:rPr>
          <w:lang w:val="en-AU"/>
        </w:rPr>
        <w:t xml:space="preserve"> See </w:t>
      </w:r>
      <w:r w:rsidR="00A12F42" w:rsidRPr="00A12F42">
        <w:rPr>
          <w:color w:val="0000FF"/>
          <w:lang w:val="en-AU"/>
        </w:rPr>
        <w:fldChar w:fldCharType="begin"/>
      </w:r>
      <w:r w:rsidR="00A12F42" w:rsidRPr="00A12F42">
        <w:rPr>
          <w:color w:val="0000FF"/>
          <w:lang w:val="en-AU"/>
        </w:rPr>
        <w:instrText xml:space="preserve"> REF _Ref52140883 \h  \* MERGEFORMAT </w:instrText>
      </w:r>
      <w:r w:rsidR="00A12F42" w:rsidRPr="00A12F42">
        <w:rPr>
          <w:color w:val="0000FF"/>
          <w:lang w:val="en-AU"/>
        </w:rPr>
      </w:r>
      <w:r w:rsidR="00A12F42" w:rsidRPr="00A12F42">
        <w:rPr>
          <w:color w:val="0000FF"/>
          <w:lang w:val="en-AU"/>
        </w:rPr>
        <w:fldChar w:fldCharType="separate"/>
      </w:r>
      <w:r w:rsidR="00751605" w:rsidRPr="00751605">
        <w:rPr>
          <w:color w:val="0000FF"/>
        </w:rPr>
        <w:t>Table 1</w:t>
      </w:r>
      <w:r w:rsidR="00A12F42" w:rsidRPr="00A12F42">
        <w:rPr>
          <w:color w:val="0000FF"/>
          <w:lang w:val="en-AU"/>
        </w:rPr>
        <w:fldChar w:fldCharType="end"/>
      </w:r>
      <w:r w:rsidR="00A12F42">
        <w:rPr>
          <w:color w:val="0000FF"/>
          <w:lang w:val="en-AU"/>
        </w:rPr>
        <w:t xml:space="preserve"> </w:t>
      </w:r>
      <w:r w:rsidRPr="00725904">
        <w:rPr>
          <w:lang w:val="en-AU"/>
        </w:rPr>
        <w:t xml:space="preserve">for the recommended total infusion volume based on the patient weight.  </w:t>
      </w:r>
    </w:p>
    <w:p w14:paraId="0495C460" w14:textId="075CD3A6" w:rsidR="00A12F42" w:rsidRPr="00A12F42" w:rsidRDefault="00725904" w:rsidP="00A12F42">
      <w:pPr>
        <w:pStyle w:val="ListBulletLevel1"/>
        <w:numPr>
          <w:ilvl w:val="0"/>
          <w:numId w:val="33"/>
        </w:numPr>
        <w:rPr>
          <w:lang w:val="en-AU"/>
        </w:rPr>
      </w:pPr>
      <w:r w:rsidRPr="00725904">
        <w:rPr>
          <w:lang w:val="en-AU"/>
        </w:rPr>
        <w:t xml:space="preserve">Slowly withdraw the volume of reconstituted solution from each vial (calculated according to patient’s weight). </w:t>
      </w:r>
    </w:p>
    <w:p w14:paraId="033806D1" w14:textId="3FB0CD71" w:rsidR="00725904" w:rsidRPr="00A12F42" w:rsidRDefault="00725904" w:rsidP="00A12F42">
      <w:pPr>
        <w:pStyle w:val="ListBulletLevel1"/>
        <w:numPr>
          <w:ilvl w:val="0"/>
          <w:numId w:val="33"/>
        </w:numPr>
        <w:rPr>
          <w:lang w:val="en-AU"/>
        </w:rPr>
      </w:pPr>
      <w:r w:rsidRPr="00725904">
        <w:rPr>
          <w:lang w:val="en-AU"/>
        </w:rPr>
        <w:t xml:space="preserve">Add the reconstituted solution slowly and directly into the 5% dextrose solution. Avoid foaming or agitation of the infusion bag. Avoid air introduction into the infusion bag. </w:t>
      </w:r>
      <w:r w:rsidRPr="00A12F42">
        <w:rPr>
          <w:lang w:val="en-AU"/>
        </w:rPr>
        <w:t xml:space="preserve"> </w:t>
      </w:r>
    </w:p>
    <w:p w14:paraId="5BD7E523" w14:textId="5819FAC3" w:rsidR="00A12F42" w:rsidRPr="00A12F42" w:rsidRDefault="00725904" w:rsidP="00A12F42">
      <w:pPr>
        <w:pStyle w:val="ListBulletLevel1"/>
        <w:numPr>
          <w:ilvl w:val="0"/>
          <w:numId w:val="33"/>
        </w:numPr>
        <w:rPr>
          <w:lang w:val="en-AU"/>
        </w:rPr>
      </w:pPr>
      <w:r w:rsidRPr="00725904">
        <w:rPr>
          <w:lang w:val="en-AU"/>
        </w:rPr>
        <w:t xml:space="preserve">Gently invert or massage the infusion bag to mix. Do not shake. </w:t>
      </w:r>
    </w:p>
    <w:p w14:paraId="5CD98D13" w14:textId="0ED0DAB8" w:rsidR="00A12F42" w:rsidRPr="00A12F42" w:rsidRDefault="00725904" w:rsidP="00A12F42">
      <w:pPr>
        <w:pStyle w:val="ListBulletLevel1"/>
        <w:numPr>
          <w:ilvl w:val="0"/>
          <w:numId w:val="33"/>
        </w:numPr>
        <w:rPr>
          <w:lang w:val="en-AU"/>
        </w:rPr>
      </w:pPr>
      <w:r w:rsidRPr="00725904">
        <w:rPr>
          <w:lang w:val="en-AU"/>
        </w:rPr>
        <w:t xml:space="preserve">It is recommended to use an in-line, low protein binding, 0.2 </w:t>
      </w:r>
      <w:proofErr w:type="spellStart"/>
      <w:r w:rsidRPr="00725904">
        <w:rPr>
          <w:lang w:val="en-AU"/>
        </w:rPr>
        <w:t>μm</w:t>
      </w:r>
      <w:proofErr w:type="spellEnd"/>
      <w:r w:rsidRPr="00725904">
        <w:rPr>
          <w:lang w:val="en-AU"/>
        </w:rPr>
        <w:t xml:space="preserve"> filter to administer </w:t>
      </w:r>
      <w:proofErr w:type="spellStart"/>
      <w:r w:rsidR="004C5157">
        <w:rPr>
          <w:lang w:val="en-AU"/>
        </w:rPr>
        <w:t>Nexviazyme</w:t>
      </w:r>
      <w:proofErr w:type="spellEnd"/>
      <w:r w:rsidRPr="00725904">
        <w:rPr>
          <w:lang w:val="en-AU"/>
        </w:rPr>
        <w:t>. After the infusion is complete, flush with dextrose 5% in water bag.</w:t>
      </w:r>
    </w:p>
    <w:p w14:paraId="6EEB925A" w14:textId="15162F75" w:rsidR="00A12F42" w:rsidRPr="00A12F42" w:rsidRDefault="00725904" w:rsidP="00A12F42">
      <w:pPr>
        <w:pStyle w:val="ListBulletLevel1"/>
        <w:numPr>
          <w:ilvl w:val="0"/>
          <w:numId w:val="33"/>
        </w:numPr>
        <w:rPr>
          <w:lang w:val="en-AU"/>
        </w:rPr>
      </w:pPr>
      <w:r w:rsidRPr="00725904">
        <w:rPr>
          <w:lang w:val="en-AU"/>
        </w:rPr>
        <w:t xml:space="preserve">Do not infuse </w:t>
      </w:r>
      <w:proofErr w:type="spellStart"/>
      <w:r w:rsidR="004C5157">
        <w:rPr>
          <w:lang w:val="en-AU"/>
        </w:rPr>
        <w:t>Nexviazyme</w:t>
      </w:r>
      <w:proofErr w:type="spellEnd"/>
      <w:r w:rsidRPr="00725904">
        <w:rPr>
          <w:lang w:val="en-AU"/>
        </w:rPr>
        <w:t xml:space="preserve"> in the same intravenous line with other products.</w:t>
      </w:r>
    </w:p>
    <w:p w14:paraId="76D1D906" w14:textId="2AD4EDE6" w:rsidR="004C5157" w:rsidRDefault="004C5157" w:rsidP="004C5157">
      <w:pPr>
        <w:pStyle w:val="Caption"/>
      </w:pPr>
      <w:bookmarkStart w:id="4" w:name="_Ref52140883"/>
      <w:r>
        <w:t>Table </w:t>
      </w:r>
      <w:r>
        <w:fldChar w:fldCharType="begin"/>
      </w:r>
      <w:r>
        <w:instrText xml:space="preserve"> SEQ Table \* ARABIC </w:instrText>
      </w:r>
      <w:r>
        <w:fldChar w:fldCharType="separate"/>
      </w:r>
      <w:r w:rsidR="00751605">
        <w:rPr>
          <w:noProof/>
        </w:rPr>
        <w:t>1</w:t>
      </w:r>
      <w:r>
        <w:fldChar w:fldCharType="end"/>
      </w:r>
      <w:bookmarkEnd w:id="4"/>
      <w:r>
        <w:t xml:space="preserve"> ­ </w:t>
      </w:r>
      <w:r w:rsidRPr="004C5157">
        <w:rPr>
          <w:lang w:val="de-DE"/>
        </w:rPr>
        <w:t xml:space="preserve">Projected intravenous infusion volumes for </w:t>
      </w:r>
      <w:r>
        <w:rPr>
          <w:lang w:val="de-DE"/>
        </w:rPr>
        <w:t>Nexviazyme</w:t>
      </w:r>
      <w:r w:rsidRPr="004C5157">
        <w:rPr>
          <w:lang w:val="de-DE"/>
        </w:rPr>
        <w:t xml:space="preserve"> administration by patient weight at 20 and 40 mg/kg Dose</w:t>
      </w:r>
    </w:p>
    <w:tbl>
      <w:tblPr>
        <w:tblW w:w="0" w:type="auto"/>
        <w:jc w:val="center"/>
        <w:tblBorders>
          <w:top w:val="single" w:sz="2" w:space="0" w:color="000000"/>
        </w:tblBorders>
        <w:tblLook w:val="0000" w:firstRow="0" w:lastRow="0" w:firstColumn="0" w:lastColumn="0" w:noHBand="0" w:noVBand="0"/>
      </w:tblPr>
      <w:tblGrid>
        <w:gridCol w:w="3119"/>
        <w:gridCol w:w="2977"/>
        <w:gridCol w:w="2930"/>
      </w:tblGrid>
      <w:tr w:rsidR="00A12F42" w:rsidRPr="00287549" w14:paraId="4C0C9533" w14:textId="77777777" w:rsidTr="00A12F42">
        <w:trPr>
          <w:cantSplit/>
          <w:trHeight w:val="429"/>
          <w:tblHeader/>
          <w:jc w:val="center"/>
        </w:trPr>
        <w:tc>
          <w:tcPr>
            <w:tcW w:w="3119" w:type="dxa"/>
            <w:tcBorders>
              <w:top w:val="single" w:sz="4" w:space="0" w:color="000000"/>
              <w:bottom w:val="single" w:sz="4" w:space="0" w:color="000000"/>
            </w:tcBorders>
            <w:shd w:val="clear" w:color="auto" w:fill="auto"/>
          </w:tcPr>
          <w:p w14:paraId="3EAC8764" w14:textId="3536B4AB" w:rsidR="004C5157" w:rsidRPr="00287549" w:rsidRDefault="004C5157" w:rsidP="004C5157">
            <w:pPr>
              <w:pStyle w:val="TblHeadingCenter"/>
              <w:rPr>
                <w:shd w:val="clear" w:color="auto" w:fill="FFFFFF"/>
              </w:rPr>
            </w:pPr>
            <w:bookmarkStart w:id="5" w:name="table_2020417_103944" w:colFirst="0" w:colLast="3"/>
            <w:bookmarkStart w:id="6" w:name="_Hlk42847831"/>
            <w:r w:rsidRPr="00287549">
              <w:rPr>
                <w:shd w:val="clear" w:color="auto" w:fill="FFFFFF"/>
              </w:rPr>
              <w:t>Patient Weight Range</w:t>
            </w:r>
            <w:r>
              <w:rPr>
                <w:shd w:val="clear" w:color="auto" w:fill="FFFFFF"/>
              </w:rPr>
              <w:fldChar w:fldCharType="begin"/>
            </w:r>
            <w:r>
              <w:rPr>
                <w:shd w:val="clear" w:color="auto" w:fill="FFFFFF"/>
              </w:rPr>
              <w:instrText xml:space="preserve"> DOCVARIABLE vault_nd_06fe70e2-feca-46e8-8f71-74ecb1c071eb \* MERGEFORMAT </w:instrText>
            </w:r>
            <w:r>
              <w:rPr>
                <w:shd w:val="clear" w:color="auto" w:fill="FFFFFF"/>
              </w:rPr>
              <w:fldChar w:fldCharType="end"/>
            </w:r>
          </w:p>
          <w:p w14:paraId="7BD2CDE8" w14:textId="24EA98B0" w:rsidR="004C5157" w:rsidRPr="00287549" w:rsidRDefault="004C5157" w:rsidP="004C5157">
            <w:pPr>
              <w:pStyle w:val="TblHeadingCenter"/>
              <w:rPr>
                <w:shd w:val="clear" w:color="auto" w:fill="FFFFFF"/>
              </w:rPr>
            </w:pPr>
            <w:r w:rsidRPr="00287549">
              <w:rPr>
                <w:shd w:val="clear" w:color="auto" w:fill="FFFFFF"/>
              </w:rPr>
              <w:t>(kg)</w:t>
            </w:r>
            <w:r>
              <w:rPr>
                <w:shd w:val="clear" w:color="auto" w:fill="FFFFFF"/>
              </w:rPr>
              <w:fldChar w:fldCharType="begin"/>
            </w:r>
            <w:r>
              <w:rPr>
                <w:shd w:val="clear" w:color="auto" w:fill="FFFFFF"/>
              </w:rPr>
              <w:instrText xml:space="preserve"> DOCVARIABLE vault_nd_dc983dfa-41e8-4fcf-b862-86696d18ecfa \* MERGEFORMAT </w:instrText>
            </w:r>
            <w:r>
              <w:rPr>
                <w:shd w:val="clear" w:color="auto" w:fill="FFFFFF"/>
              </w:rPr>
              <w:fldChar w:fldCharType="end"/>
            </w:r>
          </w:p>
        </w:tc>
        <w:tc>
          <w:tcPr>
            <w:tcW w:w="2977" w:type="dxa"/>
            <w:tcBorders>
              <w:top w:val="single" w:sz="4" w:space="0" w:color="000000"/>
              <w:bottom w:val="single" w:sz="4" w:space="0" w:color="000000"/>
            </w:tcBorders>
            <w:shd w:val="clear" w:color="auto" w:fill="auto"/>
          </w:tcPr>
          <w:p w14:paraId="0935BEBB" w14:textId="77777777" w:rsidR="00A12F42" w:rsidRDefault="004C5157" w:rsidP="004C5157">
            <w:pPr>
              <w:pStyle w:val="TblHeadingCenter"/>
              <w:rPr>
                <w:shd w:val="clear" w:color="auto" w:fill="FFFFFF"/>
              </w:rPr>
            </w:pPr>
            <w:r w:rsidRPr="00287549">
              <w:rPr>
                <w:shd w:val="clear" w:color="auto" w:fill="FFFFFF"/>
              </w:rPr>
              <w:t>Total infusion volume</w:t>
            </w:r>
            <w:r>
              <w:rPr>
                <w:shd w:val="clear" w:color="auto" w:fill="FFFFFF"/>
              </w:rPr>
              <w:t xml:space="preserve"> for </w:t>
            </w:r>
          </w:p>
          <w:p w14:paraId="61324187" w14:textId="5E8F3064" w:rsidR="004C5157" w:rsidRPr="00287549" w:rsidRDefault="004C5157" w:rsidP="00A12F42">
            <w:pPr>
              <w:pStyle w:val="TblHeadingCenter"/>
              <w:rPr>
                <w:shd w:val="clear" w:color="auto" w:fill="FFFFFF"/>
              </w:rPr>
            </w:pPr>
            <w:r>
              <w:rPr>
                <w:shd w:val="clear" w:color="auto" w:fill="FFFFFF"/>
              </w:rPr>
              <w:t xml:space="preserve">20 mg/kg </w:t>
            </w:r>
            <w:r w:rsidRPr="00287549">
              <w:rPr>
                <w:shd w:val="clear" w:color="auto" w:fill="FFFFFF"/>
              </w:rPr>
              <w:t>(mL)</w:t>
            </w:r>
            <w:r>
              <w:rPr>
                <w:shd w:val="clear" w:color="auto" w:fill="FFFFFF"/>
              </w:rPr>
              <w:fldChar w:fldCharType="begin"/>
            </w:r>
            <w:r>
              <w:rPr>
                <w:shd w:val="clear" w:color="auto" w:fill="FFFFFF"/>
              </w:rPr>
              <w:instrText xml:space="preserve"> DOCVARIABLE vault_nd_a354a95c-b218-4905-9dbe-cb430e565824 \* MERGEFORMAT </w:instrText>
            </w:r>
            <w:r>
              <w:rPr>
                <w:shd w:val="clear" w:color="auto" w:fill="FFFFFF"/>
              </w:rPr>
              <w:fldChar w:fldCharType="end"/>
            </w:r>
          </w:p>
        </w:tc>
        <w:tc>
          <w:tcPr>
            <w:tcW w:w="2930" w:type="dxa"/>
            <w:tcBorders>
              <w:top w:val="single" w:sz="4" w:space="0" w:color="000000"/>
              <w:bottom w:val="single" w:sz="4" w:space="0" w:color="000000"/>
            </w:tcBorders>
            <w:shd w:val="clear" w:color="auto" w:fill="auto"/>
          </w:tcPr>
          <w:p w14:paraId="4ED238CC" w14:textId="77777777" w:rsidR="00A12F42" w:rsidRDefault="004C5157" w:rsidP="004C5157">
            <w:pPr>
              <w:pStyle w:val="TblHeadingCenter"/>
              <w:rPr>
                <w:shd w:val="clear" w:color="auto" w:fill="FFFFFF"/>
              </w:rPr>
            </w:pPr>
            <w:r w:rsidRPr="00287549">
              <w:rPr>
                <w:shd w:val="clear" w:color="auto" w:fill="FFFFFF"/>
              </w:rPr>
              <w:t xml:space="preserve">Total infusion volume </w:t>
            </w:r>
            <w:r>
              <w:rPr>
                <w:shd w:val="clear" w:color="auto" w:fill="FFFFFF"/>
              </w:rPr>
              <w:t xml:space="preserve">for </w:t>
            </w:r>
          </w:p>
          <w:p w14:paraId="6008C8CF" w14:textId="5B57CB37" w:rsidR="004C5157" w:rsidRPr="00287549" w:rsidRDefault="004C5157" w:rsidP="004C5157">
            <w:pPr>
              <w:pStyle w:val="TblHeadingCenter"/>
              <w:rPr>
                <w:shd w:val="clear" w:color="auto" w:fill="FFFFFF"/>
              </w:rPr>
            </w:pPr>
            <w:r>
              <w:rPr>
                <w:shd w:val="clear" w:color="auto" w:fill="FFFFFF"/>
              </w:rPr>
              <w:t xml:space="preserve">40 mg/kg </w:t>
            </w:r>
            <w:r w:rsidRPr="00287549">
              <w:rPr>
                <w:shd w:val="clear" w:color="auto" w:fill="FFFFFF"/>
              </w:rPr>
              <w:t>(mL)</w:t>
            </w:r>
            <w:r>
              <w:rPr>
                <w:shd w:val="clear" w:color="auto" w:fill="FFFFFF"/>
              </w:rPr>
              <w:fldChar w:fldCharType="begin"/>
            </w:r>
            <w:r>
              <w:rPr>
                <w:shd w:val="clear" w:color="auto" w:fill="FFFFFF"/>
              </w:rPr>
              <w:instrText xml:space="preserve"> DOCVARIABLE vault_nd_90230627-281e-4f37-ab6d-2c204e16be45 \* MERGEFORMAT </w:instrText>
            </w:r>
            <w:r>
              <w:rPr>
                <w:shd w:val="clear" w:color="auto" w:fill="FFFFFF"/>
              </w:rPr>
              <w:fldChar w:fldCharType="end"/>
            </w:r>
          </w:p>
        </w:tc>
      </w:tr>
      <w:tr w:rsidR="004C5157" w:rsidRPr="00287549" w14:paraId="67323364" w14:textId="77777777" w:rsidTr="00A12F42">
        <w:trPr>
          <w:cantSplit/>
          <w:trHeight w:val="213"/>
          <w:jc w:val="center"/>
        </w:trPr>
        <w:tc>
          <w:tcPr>
            <w:tcW w:w="3119" w:type="dxa"/>
            <w:shd w:val="clear" w:color="auto" w:fill="auto"/>
          </w:tcPr>
          <w:p w14:paraId="3E6BB695" w14:textId="10B3EBF9" w:rsidR="004C5157" w:rsidRPr="004C5157" w:rsidRDefault="00C605CB" w:rsidP="004C5157">
            <w:pPr>
              <w:pStyle w:val="TblTextCenter"/>
            </w:pPr>
            <w:r>
              <w:t>5</w:t>
            </w:r>
            <w:r w:rsidR="004C5157" w:rsidRPr="004C5157">
              <w:t xml:space="preserve">.1 to </w:t>
            </w:r>
            <w:r>
              <w:t>1</w:t>
            </w:r>
            <w:r w:rsidR="004C5157" w:rsidRPr="004C5157">
              <w:t>0</w:t>
            </w:r>
            <w:r w:rsidR="004C5157" w:rsidRPr="004C5157">
              <w:fldChar w:fldCharType="begin"/>
            </w:r>
            <w:r w:rsidR="004C5157" w:rsidRPr="004C5157">
              <w:instrText xml:space="preserve"> DOCVARIABLE vault_nd_6ea528ac-4c8b-442e-b3cb-327812a16167 \* MERGEFORMAT </w:instrText>
            </w:r>
            <w:r w:rsidR="004C5157" w:rsidRPr="004C5157">
              <w:fldChar w:fldCharType="end"/>
            </w:r>
          </w:p>
        </w:tc>
        <w:tc>
          <w:tcPr>
            <w:tcW w:w="2977" w:type="dxa"/>
            <w:shd w:val="clear" w:color="auto" w:fill="auto"/>
          </w:tcPr>
          <w:p w14:paraId="4548357D" w14:textId="3164C76B" w:rsidR="004C5157" w:rsidRPr="004C5157" w:rsidRDefault="00C605CB" w:rsidP="004C5157">
            <w:pPr>
              <w:pStyle w:val="TblTextCenter"/>
            </w:pPr>
            <w:r>
              <w:t>5</w:t>
            </w:r>
            <w:r w:rsidR="004C5157" w:rsidRPr="004C5157">
              <w:t>0</w:t>
            </w:r>
            <w:r w:rsidR="004C5157" w:rsidRPr="004C5157">
              <w:fldChar w:fldCharType="begin"/>
            </w:r>
            <w:r w:rsidR="004C5157" w:rsidRPr="004C5157">
              <w:instrText xml:space="preserve"> DOCVARIABLE VAULT_ND_3fe7009a-a976-434f-b8f6-d250d1d92476 \* MERGEFORMAT </w:instrText>
            </w:r>
            <w:r w:rsidR="004C5157" w:rsidRPr="004C5157">
              <w:fldChar w:fldCharType="end"/>
            </w:r>
          </w:p>
        </w:tc>
        <w:tc>
          <w:tcPr>
            <w:tcW w:w="2930" w:type="dxa"/>
            <w:shd w:val="clear" w:color="auto" w:fill="auto"/>
          </w:tcPr>
          <w:p w14:paraId="7E38E18F" w14:textId="633DF351" w:rsidR="004C5157" w:rsidRPr="004C5157" w:rsidRDefault="00C605CB" w:rsidP="004C5157">
            <w:pPr>
              <w:pStyle w:val="TblTextCenter"/>
            </w:pPr>
            <w:r>
              <w:t>1</w:t>
            </w:r>
            <w:r w:rsidR="004C5157" w:rsidRPr="004C5157">
              <w:t>00</w:t>
            </w:r>
            <w:r w:rsidR="004C5157" w:rsidRPr="004C5157">
              <w:fldChar w:fldCharType="begin"/>
            </w:r>
            <w:r w:rsidR="004C5157" w:rsidRPr="004C5157">
              <w:instrText xml:space="preserve"> DOCVARIABLE VAULT_ND_9555d3b6-cb7a-49d9-b691-638a70b2a710 \* MERGEFORMAT </w:instrText>
            </w:r>
            <w:r w:rsidR="004C5157" w:rsidRPr="004C5157">
              <w:fldChar w:fldCharType="end"/>
            </w:r>
          </w:p>
        </w:tc>
      </w:tr>
      <w:tr w:rsidR="00C605CB" w:rsidRPr="00287549" w14:paraId="688D9BAD" w14:textId="77777777" w:rsidTr="00A12F42">
        <w:trPr>
          <w:cantSplit/>
          <w:trHeight w:val="213"/>
          <w:jc w:val="center"/>
        </w:trPr>
        <w:tc>
          <w:tcPr>
            <w:tcW w:w="3119" w:type="dxa"/>
            <w:shd w:val="clear" w:color="auto" w:fill="auto"/>
          </w:tcPr>
          <w:p w14:paraId="2E52AC3C" w14:textId="6DC985D8" w:rsidR="00C605CB" w:rsidRDefault="00C605CB" w:rsidP="004C5157">
            <w:pPr>
              <w:pStyle w:val="TblTextCenter"/>
            </w:pPr>
            <w:r>
              <w:t>10.1 to 20</w:t>
            </w:r>
          </w:p>
        </w:tc>
        <w:tc>
          <w:tcPr>
            <w:tcW w:w="2977" w:type="dxa"/>
            <w:shd w:val="clear" w:color="auto" w:fill="auto"/>
          </w:tcPr>
          <w:p w14:paraId="34A64C38" w14:textId="072BA3A2" w:rsidR="00C605CB" w:rsidRPr="004C5157" w:rsidRDefault="00C605CB" w:rsidP="004C5157">
            <w:pPr>
              <w:pStyle w:val="TblTextCenter"/>
            </w:pPr>
            <w:r>
              <w:t>100</w:t>
            </w:r>
          </w:p>
        </w:tc>
        <w:tc>
          <w:tcPr>
            <w:tcW w:w="2930" w:type="dxa"/>
            <w:shd w:val="clear" w:color="auto" w:fill="auto"/>
          </w:tcPr>
          <w:p w14:paraId="6AC6D2B0" w14:textId="63A57F04" w:rsidR="00C605CB" w:rsidRPr="004C5157" w:rsidRDefault="00C605CB" w:rsidP="004C5157">
            <w:pPr>
              <w:pStyle w:val="TblTextCenter"/>
            </w:pPr>
            <w:r>
              <w:t>200</w:t>
            </w:r>
          </w:p>
        </w:tc>
      </w:tr>
      <w:tr w:rsidR="004C5157" w:rsidRPr="00287549" w14:paraId="0C6F1555" w14:textId="77777777" w:rsidTr="00A12F42">
        <w:trPr>
          <w:cantSplit/>
          <w:trHeight w:val="213"/>
          <w:jc w:val="center"/>
        </w:trPr>
        <w:tc>
          <w:tcPr>
            <w:tcW w:w="3119" w:type="dxa"/>
            <w:shd w:val="clear" w:color="auto" w:fill="auto"/>
          </w:tcPr>
          <w:p w14:paraId="0BEA7AB1" w14:textId="219DC105" w:rsidR="004C5157" w:rsidRPr="004C5157" w:rsidRDefault="004C5157" w:rsidP="004C5157">
            <w:pPr>
              <w:pStyle w:val="TblTextCenter"/>
            </w:pPr>
            <w:r w:rsidRPr="004C5157">
              <w:t>20.1 to 30</w:t>
            </w:r>
            <w:r w:rsidRPr="004C5157">
              <w:fldChar w:fldCharType="begin"/>
            </w:r>
            <w:r w:rsidRPr="004C5157">
              <w:instrText xml:space="preserve"> DOCVARIABLE vault_nd_8e487e1f-3e81-4b58-9088-e637c35eb654 \* MERGEFORMAT </w:instrText>
            </w:r>
            <w:r w:rsidRPr="004C5157">
              <w:fldChar w:fldCharType="end"/>
            </w:r>
          </w:p>
        </w:tc>
        <w:tc>
          <w:tcPr>
            <w:tcW w:w="2977" w:type="dxa"/>
            <w:shd w:val="clear" w:color="auto" w:fill="auto"/>
          </w:tcPr>
          <w:p w14:paraId="3D719957" w14:textId="4E9C22E9" w:rsidR="004C5157" w:rsidRPr="004C5157" w:rsidRDefault="004C5157" w:rsidP="004C5157">
            <w:pPr>
              <w:pStyle w:val="TblTextCenter"/>
            </w:pPr>
            <w:r w:rsidRPr="004C5157">
              <w:t>150</w:t>
            </w:r>
            <w:r w:rsidRPr="004C5157">
              <w:fldChar w:fldCharType="begin"/>
            </w:r>
            <w:r w:rsidRPr="004C5157">
              <w:instrText xml:space="preserve"> DOCVARIABLE VAULT_ND_ffb2ba37-a307-4edd-9b49-6fa6aab9a474 \* MERGEFORMAT </w:instrText>
            </w:r>
            <w:r w:rsidRPr="004C5157">
              <w:fldChar w:fldCharType="end"/>
            </w:r>
          </w:p>
        </w:tc>
        <w:tc>
          <w:tcPr>
            <w:tcW w:w="2930" w:type="dxa"/>
            <w:shd w:val="clear" w:color="auto" w:fill="auto"/>
          </w:tcPr>
          <w:p w14:paraId="4A146B8E" w14:textId="6F170325" w:rsidR="004C5157" w:rsidRPr="004C5157" w:rsidRDefault="004C5157" w:rsidP="004C5157">
            <w:pPr>
              <w:pStyle w:val="TblTextCenter"/>
            </w:pPr>
            <w:r w:rsidRPr="004C5157">
              <w:t>300</w:t>
            </w:r>
            <w:r w:rsidRPr="004C5157">
              <w:fldChar w:fldCharType="begin"/>
            </w:r>
            <w:r w:rsidRPr="004C5157">
              <w:instrText xml:space="preserve"> DOCVARIABLE VAULT_ND_1403000f-192a-4334-9c97-97b7ab973d3b \* MERGEFORMAT </w:instrText>
            </w:r>
            <w:r w:rsidRPr="004C5157">
              <w:fldChar w:fldCharType="end"/>
            </w:r>
          </w:p>
        </w:tc>
      </w:tr>
      <w:tr w:rsidR="004C5157" w:rsidRPr="00287549" w14:paraId="258A3AA3" w14:textId="77777777" w:rsidTr="00A12F42">
        <w:trPr>
          <w:cantSplit/>
          <w:trHeight w:val="202"/>
          <w:jc w:val="center"/>
        </w:trPr>
        <w:tc>
          <w:tcPr>
            <w:tcW w:w="3119" w:type="dxa"/>
            <w:shd w:val="clear" w:color="auto" w:fill="auto"/>
          </w:tcPr>
          <w:p w14:paraId="1C922331" w14:textId="2505E31B" w:rsidR="004C5157" w:rsidRPr="004C5157" w:rsidRDefault="004C5157" w:rsidP="004C5157">
            <w:pPr>
              <w:pStyle w:val="TblTextCenter"/>
            </w:pPr>
            <w:r w:rsidRPr="004C5157">
              <w:t>30.1 to 35</w:t>
            </w:r>
            <w:r w:rsidRPr="004C5157">
              <w:fldChar w:fldCharType="begin"/>
            </w:r>
            <w:r w:rsidRPr="004C5157">
              <w:instrText xml:space="preserve"> DOCVARIABLE vault_nd_0789e6d1-7ca4-4284-8579-adfc0955e502 \* MERGEFORMAT </w:instrText>
            </w:r>
            <w:r w:rsidRPr="004C5157">
              <w:fldChar w:fldCharType="end"/>
            </w:r>
          </w:p>
        </w:tc>
        <w:tc>
          <w:tcPr>
            <w:tcW w:w="2977" w:type="dxa"/>
            <w:shd w:val="clear" w:color="auto" w:fill="auto"/>
          </w:tcPr>
          <w:p w14:paraId="2D5CC2F4" w14:textId="33DCFEC5" w:rsidR="004C5157" w:rsidRPr="004C5157" w:rsidRDefault="004C5157" w:rsidP="004C5157">
            <w:pPr>
              <w:pStyle w:val="TblTextCenter"/>
            </w:pPr>
            <w:r w:rsidRPr="004C5157">
              <w:t>200</w:t>
            </w:r>
            <w:r w:rsidRPr="004C5157">
              <w:fldChar w:fldCharType="begin"/>
            </w:r>
            <w:r w:rsidRPr="004C5157">
              <w:instrText xml:space="preserve"> DOCVARIABLE VAULT_ND_6d54f73c-4972-4049-b1e7-85dd3e0a490e \* MERGEFORMAT </w:instrText>
            </w:r>
            <w:r w:rsidRPr="004C5157">
              <w:fldChar w:fldCharType="end"/>
            </w:r>
          </w:p>
        </w:tc>
        <w:tc>
          <w:tcPr>
            <w:tcW w:w="2930" w:type="dxa"/>
            <w:shd w:val="clear" w:color="auto" w:fill="auto"/>
          </w:tcPr>
          <w:p w14:paraId="5AAFCE4D" w14:textId="248AA521" w:rsidR="004C5157" w:rsidRPr="004C5157" w:rsidRDefault="004C5157" w:rsidP="004C5157">
            <w:pPr>
              <w:pStyle w:val="TblTextCenter"/>
            </w:pPr>
            <w:r w:rsidRPr="004C5157">
              <w:t>400</w:t>
            </w:r>
            <w:r w:rsidRPr="004C5157">
              <w:fldChar w:fldCharType="begin"/>
            </w:r>
            <w:r w:rsidRPr="004C5157">
              <w:instrText xml:space="preserve"> DOCVARIABLE VAULT_ND_0d2b5ba1-1eb1-4a44-95fe-0f3857fbd043 \* MERGEFORMAT </w:instrText>
            </w:r>
            <w:r w:rsidRPr="004C5157">
              <w:fldChar w:fldCharType="end"/>
            </w:r>
          </w:p>
        </w:tc>
      </w:tr>
      <w:tr w:rsidR="004C5157" w:rsidRPr="00287549" w14:paraId="4E597292" w14:textId="77777777" w:rsidTr="00A12F42">
        <w:trPr>
          <w:cantSplit/>
          <w:trHeight w:val="213"/>
          <w:jc w:val="center"/>
        </w:trPr>
        <w:tc>
          <w:tcPr>
            <w:tcW w:w="3119" w:type="dxa"/>
            <w:shd w:val="clear" w:color="auto" w:fill="auto"/>
          </w:tcPr>
          <w:p w14:paraId="42F850D0" w14:textId="39A902C3" w:rsidR="004C5157" w:rsidRPr="004C5157" w:rsidRDefault="004C5157" w:rsidP="004C5157">
            <w:pPr>
              <w:pStyle w:val="TblTextCenter"/>
            </w:pPr>
            <w:r w:rsidRPr="004C5157">
              <w:t>35.1 to 50</w:t>
            </w:r>
            <w:r w:rsidRPr="004C5157">
              <w:fldChar w:fldCharType="begin"/>
            </w:r>
            <w:r w:rsidRPr="004C5157">
              <w:instrText xml:space="preserve"> DOCVARIABLE vault_nd_84f59e0a-aa67-4113-be35-94e11262b3ed \* MERGEFORMAT </w:instrText>
            </w:r>
            <w:r w:rsidRPr="004C5157">
              <w:fldChar w:fldCharType="end"/>
            </w:r>
          </w:p>
        </w:tc>
        <w:tc>
          <w:tcPr>
            <w:tcW w:w="2977" w:type="dxa"/>
            <w:shd w:val="clear" w:color="auto" w:fill="auto"/>
          </w:tcPr>
          <w:p w14:paraId="4B410DFC" w14:textId="402B9932" w:rsidR="004C5157" w:rsidRPr="004C5157" w:rsidRDefault="004C5157" w:rsidP="004C5157">
            <w:pPr>
              <w:pStyle w:val="TblTextCenter"/>
            </w:pPr>
            <w:r w:rsidRPr="004C5157">
              <w:t>250</w:t>
            </w:r>
            <w:r w:rsidRPr="004C5157">
              <w:fldChar w:fldCharType="begin"/>
            </w:r>
            <w:r w:rsidRPr="004C5157">
              <w:instrText xml:space="preserve"> DOCVARIABLE VAULT_ND_a1dd295f-2845-40ec-88c7-558a067c7ef7 \* MERGEFORMAT </w:instrText>
            </w:r>
            <w:r w:rsidRPr="004C5157">
              <w:fldChar w:fldCharType="end"/>
            </w:r>
          </w:p>
        </w:tc>
        <w:tc>
          <w:tcPr>
            <w:tcW w:w="2930" w:type="dxa"/>
            <w:shd w:val="clear" w:color="auto" w:fill="auto"/>
          </w:tcPr>
          <w:p w14:paraId="19C24EE5" w14:textId="30BF44E1" w:rsidR="004C5157" w:rsidRPr="004C5157" w:rsidRDefault="004C5157" w:rsidP="004C5157">
            <w:pPr>
              <w:pStyle w:val="TblTextCenter"/>
            </w:pPr>
            <w:r w:rsidRPr="004C5157">
              <w:t>500</w:t>
            </w:r>
            <w:r w:rsidRPr="004C5157">
              <w:fldChar w:fldCharType="begin"/>
            </w:r>
            <w:r w:rsidRPr="004C5157">
              <w:instrText xml:space="preserve"> DOCVARIABLE VAULT_ND_be280fe1-146b-4bb9-b6a2-ffd05baaa46f \* MERGEFORMAT </w:instrText>
            </w:r>
            <w:r w:rsidRPr="004C5157">
              <w:fldChar w:fldCharType="end"/>
            </w:r>
          </w:p>
        </w:tc>
      </w:tr>
      <w:tr w:rsidR="004C5157" w:rsidRPr="00287549" w14:paraId="000E8004" w14:textId="77777777" w:rsidTr="00A12F42">
        <w:trPr>
          <w:cantSplit/>
          <w:trHeight w:val="213"/>
          <w:jc w:val="center"/>
        </w:trPr>
        <w:tc>
          <w:tcPr>
            <w:tcW w:w="3119" w:type="dxa"/>
            <w:shd w:val="clear" w:color="auto" w:fill="auto"/>
          </w:tcPr>
          <w:p w14:paraId="588D1A89" w14:textId="1B5317AF" w:rsidR="004C5157" w:rsidRPr="004C5157" w:rsidRDefault="004C5157" w:rsidP="004C5157">
            <w:pPr>
              <w:pStyle w:val="TblTextCenter"/>
            </w:pPr>
            <w:r w:rsidRPr="004C5157">
              <w:t>50.1 to 60</w:t>
            </w:r>
            <w:r w:rsidRPr="004C5157">
              <w:fldChar w:fldCharType="begin"/>
            </w:r>
            <w:r w:rsidRPr="004C5157">
              <w:instrText xml:space="preserve"> DOCVARIABLE vault_nd_ef89c479-0b2c-4151-90e0-7050eedeaeaf \* MERGEFORMAT </w:instrText>
            </w:r>
            <w:r w:rsidRPr="004C5157">
              <w:fldChar w:fldCharType="end"/>
            </w:r>
          </w:p>
        </w:tc>
        <w:tc>
          <w:tcPr>
            <w:tcW w:w="2977" w:type="dxa"/>
            <w:shd w:val="clear" w:color="auto" w:fill="auto"/>
          </w:tcPr>
          <w:p w14:paraId="383FEF42" w14:textId="349EAC23" w:rsidR="004C5157" w:rsidRPr="004C5157" w:rsidRDefault="004C5157" w:rsidP="004C5157">
            <w:pPr>
              <w:pStyle w:val="TblTextCenter"/>
            </w:pPr>
            <w:r w:rsidRPr="004C5157">
              <w:t>300</w:t>
            </w:r>
            <w:r w:rsidRPr="004C5157">
              <w:fldChar w:fldCharType="begin"/>
            </w:r>
            <w:r w:rsidRPr="004C5157">
              <w:instrText xml:space="preserve"> DOCVARIABLE VAULT_ND_85ba42dc-2d2e-4fa8-b70c-cfbb29d2fe8d \* MERGEFORMAT </w:instrText>
            </w:r>
            <w:r w:rsidRPr="004C5157">
              <w:fldChar w:fldCharType="end"/>
            </w:r>
          </w:p>
        </w:tc>
        <w:tc>
          <w:tcPr>
            <w:tcW w:w="2930" w:type="dxa"/>
            <w:shd w:val="clear" w:color="auto" w:fill="auto"/>
          </w:tcPr>
          <w:p w14:paraId="07CA89A0" w14:textId="68886C42" w:rsidR="004C5157" w:rsidRPr="004C5157" w:rsidRDefault="004C5157" w:rsidP="004C5157">
            <w:pPr>
              <w:pStyle w:val="TblTextCenter"/>
            </w:pPr>
            <w:r w:rsidRPr="004C5157">
              <w:t>600</w:t>
            </w:r>
            <w:r w:rsidRPr="004C5157">
              <w:fldChar w:fldCharType="begin"/>
            </w:r>
            <w:r w:rsidRPr="004C5157">
              <w:instrText xml:space="preserve"> DOCVARIABLE VAULT_ND_fd09b85f-3785-43b7-b4dc-eea9d16affd9 \* MERGEFORMAT </w:instrText>
            </w:r>
            <w:r w:rsidRPr="004C5157">
              <w:fldChar w:fldCharType="end"/>
            </w:r>
          </w:p>
        </w:tc>
      </w:tr>
      <w:tr w:rsidR="004C5157" w:rsidRPr="00287549" w14:paraId="30FD93F0" w14:textId="77777777" w:rsidTr="00A12F42">
        <w:trPr>
          <w:cantSplit/>
          <w:trHeight w:val="213"/>
          <w:jc w:val="center"/>
        </w:trPr>
        <w:tc>
          <w:tcPr>
            <w:tcW w:w="3119" w:type="dxa"/>
            <w:shd w:val="clear" w:color="auto" w:fill="auto"/>
          </w:tcPr>
          <w:p w14:paraId="4751D878" w14:textId="33EABADB" w:rsidR="004C5157" w:rsidRPr="004C5157" w:rsidRDefault="004C5157" w:rsidP="004C5157">
            <w:pPr>
              <w:pStyle w:val="TblTextCenter"/>
            </w:pPr>
            <w:r w:rsidRPr="004C5157">
              <w:t>60.1 to 100</w:t>
            </w:r>
            <w:r w:rsidRPr="004C5157">
              <w:fldChar w:fldCharType="begin"/>
            </w:r>
            <w:r w:rsidRPr="004C5157">
              <w:instrText xml:space="preserve"> DOCVARIABLE vault_nd_65be611d-502d-404b-bfd3-27df033e6fe6 \* MERGEFORMAT </w:instrText>
            </w:r>
            <w:r w:rsidRPr="004C5157">
              <w:fldChar w:fldCharType="end"/>
            </w:r>
          </w:p>
        </w:tc>
        <w:tc>
          <w:tcPr>
            <w:tcW w:w="2977" w:type="dxa"/>
            <w:shd w:val="clear" w:color="auto" w:fill="auto"/>
          </w:tcPr>
          <w:p w14:paraId="29EA4438" w14:textId="12917352" w:rsidR="004C5157" w:rsidRPr="004C5157" w:rsidRDefault="004C5157" w:rsidP="004C5157">
            <w:pPr>
              <w:pStyle w:val="TblTextCenter"/>
            </w:pPr>
            <w:r w:rsidRPr="004C5157">
              <w:t>500</w:t>
            </w:r>
            <w:r w:rsidRPr="004C5157">
              <w:fldChar w:fldCharType="begin"/>
            </w:r>
            <w:r w:rsidRPr="004C5157">
              <w:instrText xml:space="preserve"> DOCVARIABLE VAULT_ND_59eb329e-122c-4dcf-9726-bd613472298b \* MERGEFORMAT </w:instrText>
            </w:r>
            <w:r w:rsidRPr="004C5157">
              <w:fldChar w:fldCharType="end"/>
            </w:r>
          </w:p>
        </w:tc>
        <w:tc>
          <w:tcPr>
            <w:tcW w:w="2930" w:type="dxa"/>
            <w:shd w:val="clear" w:color="auto" w:fill="auto"/>
          </w:tcPr>
          <w:p w14:paraId="1B47EA8B" w14:textId="6ECFD3F9" w:rsidR="004C5157" w:rsidRPr="004C5157" w:rsidRDefault="004C5157" w:rsidP="004C5157">
            <w:pPr>
              <w:pStyle w:val="TblTextCenter"/>
            </w:pPr>
            <w:r w:rsidRPr="004C5157">
              <w:t>1000</w:t>
            </w:r>
            <w:r w:rsidRPr="004C5157">
              <w:fldChar w:fldCharType="begin"/>
            </w:r>
            <w:r w:rsidRPr="004C5157">
              <w:instrText xml:space="preserve"> DOCVARIABLE VAULT_ND_f322d390-4467-4df4-b201-668f1a9e96da \* MERGEFORMAT </w:instrText>
            </w:r>
            <w:r w:rsidRPr="004C5157">
              <w:fldChar w:fldCharType="end"/>
            </w:r>
          </w:p>
        </w:tc>
      </w:tr>
      <w:tr w:rsidR="004C5157" w:rsidRPr="00287549" w14:paraId="27050610" w14:textId="77777777" w:rsidTr="00A12F42">
        <w:trPr>
          <w:cantSplit/>
          <w:trHeight w:val="213"/>
          <w:jc w:val="center"/>
        </w:trPr>
        <w:tc>
          <w:tcPr>
            <w:tcW w:w="3119" w:type="dxa"/>
            <w:shd w:val="clear" w:color="auto" w:fill="auto"/>
          </w:tcPr>
          <w:p w14:paraId="0B2135EF" w14:textId="4DE286F0" w:rsidR="004C5157" w:rsidRPr="004C5157" w:rsidRDefault="004C5157" w:rsidP="004C5157">
            <w:pPr>
              <w:pStyle w:val="TblTextCenter"/>
            </w:pPr>
            <w:r w:rsidRPr="004C5157">
              <w:t>100.1 to 120</w:t>
            </w:r>
            <w:r w:rsidRPr="004C5157">
              <w:fldChar w:fldCharType="begin"/>
            </w:r>
            <w:r w:rsidRPr="004C5157">
              <w:instrText xml:space="preserve"> DOCVARIABLE vault_nd_32008d5d-ebf0-43b4-8684-568884cee99e \* MERGEFORMAT </w:instrText>
            </w:r>
            <w:r w:rsidRPr="004C5157">
              <w:fldChar w:fldCharType="end"/>
            </w:r>
          </w:p>
        </w:tc>
        <w:tc>
          <w:tcPr>
            <w:tcW w:w="2977" w:type="dxa"/>
            <w:shd w:val="clear" w:color="auto" w:fill="auto"/>
          </w:tcPr>
          <w:p w14:paraId="141EB9D7" w14:textId="1AE086F7" w:rsidR="004C5157" w:rsidRPr="004C5157" w:rsidRDefault="004C5157" w:rsidP="004C5157">
            <w:pPr>
              <w:pStyle w:val="TblTextCenter"/>
            </w:pPr>
            <w:r w:rsidRPr="004C5157">
              <w:t>600</w:t>
            </w:r>
            <w:r w:rsidRPr="004C5157">
              <w:fldChar w:fldCharType="begin"/>
            </w:r>
            <w:r w:rsidRPr="004C5157">
              <w:instrText xml:space="preserve"> DOCVARIABLE VAULT_ND_b278b270-b136-4a13-9c89-6cac67526d57 \* MERGEFORMAT </w:instrText>
            </w:r>
            <w:r w:rsidRPr="004C5157">
              <w:fldChar w:fldCharType="end"/>
            </w:r>
          </w:p>
        </w:tc>
        <w:tc>
          <w:tcPr>
            <w:tcW w:w="2930" w:type="dxa"/>
            <w:shd w:val="clear" w:color="auto" w:fill="auto"/>
          </w:tcPr>
          <w:p w14:paraId="79CC206E" w14:textId="3590C7E6" w:rsidR="004C5157" w:rsidRPr="004C5157" w:rsidRDefault="004C5157" w:rsidP="004C5157">
            <w:pPr>
              <w:pStyle w:val="TblTextCenter"/>
            </w:pPr>
            <w:r w:rsidRPr="004C5157">
              <w:t>1200</w:t>
            </w:r>
            <w:r w:rsidRPr="004C5157">
              <w:fldChar w:fldCharType="begin"/>
            </w:r>
            <w:r w:rsidRPr="004C5157">
              <w:instrText xml:space="preserve"> DOCVARIABLE VAULT_ND_56341bc6-7c2c-48c8-8263-614848a97ba5 \* MERGEFORMAT </w:instrText>
            </w:r>
            <w:r w:rsidRPr="004C5157">
              <w:fldChar w:fldCharType="end"/>
            </w:r>
          </w:p>
        </w:tc>
      </w:tr>
      <w:tr w:rsidR="004C5157" w:rsidRPr="00287549" w14:paraId="70BD0522" w14:textId="77777777" w:rsidTr="00A12F42">
        <w:trPr>
          <w:cantSplit/>
          <w:trHeight w:val="213"/>
          <w:jc w:val="center"/>
        </w:trPr>
        <w:tc>
          <w:tcPr>
            <w:tcW w:w="3119" w:type="dxa"/>
            <w:shd w:val="clear" w:color="auto" w:fill="auto"/>
          </w:tcPr>
          <w:p w14:paraId="06C64F16" w14:textId="6BE6C07D" w:rsidR="004C5157" w:rsidRPr="004C5157" w:rsidRDefault="004C5157" w:rsidP="004C5157">
            <w:pPr>
              <w:pStyle w:val="TblTextCenter"/>
            </w:pPr>
            <w:r w:rsidRPr="004C5157">
              <w:t>120.1 to 140</w:t>
            </w:r>
            <w:r w:rsidRPr="004C5157">
              <w:fldChar w:fldCharType="begin"/>
            </w:r>
            <w:r w:rsidRPr="004C5157">
              <w:instrText xml:space="preserve"> DOCVARIABLE vault_nd_786734a5-0240-41b2-b2d8-b9e82bfef0a8 \* MERGEFORMAT </w:instrText>
            </w:r>
            <w:r w:rsidRPr="004C5157">
              <w:fldChar w:fldCharType="end"/>
            </w:r>
          </w:p>
        </w:tc>
        <w:tc>
          <w:tcPr>
            <w:tcW w:w="2977" w:type="dxa"/>
            <w:shd w:val="clear" w:color="auto" w:fill="auto"/>
          </w:tcPr>
          <w:p w14:paraId="00D4A61C" w14:textId="7FE6E15E" w:rsidR="004C5157" w:rsidRPr="004C5157" w:rsidRDefault="004C5157" w:rsidP="004C5157">
            <w:pPr>
              <w:pStyle w:val="TblTextCenter"/>
            </w:pPr>
            <w:r w:rsidRPr="004C5157">
              <w:t>700</w:t>
            </w:r>
            <w:r w:rsidRPr="004C5157">
              <w:fldChar w:fldCharType="begin"/>
            </w:r>
            <w:r w:rsidRPr="004C5157">
              <w:instrText xml:space="preserve"> DOCVARIABLE VAULT_ND_fb43ef65-e008-48ed-b1b7-f1ffdc634977 \* MERGEFORMAT </w:instrText>
            </w:r>
            <w:r w:rsidRPr="004C5157">
              <w:fldChar w:fldCharType="end"/>
            </w:r>
          </w:p>
        </w:tc>
        <w:tc>
          <w:tcPr>
            <w:tcW w:w="2930" w:type="dxa"/>
            <w:shd w:val="clear" w:color="auto" w:fill="auto"/>
          </w:tcPr>
          <w:p w14:paraId="78F52C9A" w14:textId="3703A7C1" w:rsidR="004C5157" w:rsidRPr="004C5157" w:rsidRDefault="004C5157" w:rsidP="004C5157">
            <w:pPr>
              <w:pStyle w:val="TblTextCenter"/>
            </w:pPr>
            <w:r w:rsidRPr="004C5157">
              <w:t>1400</w:t>
            </w:r>
            <w:r w:rsidRPr="004C5157">
              <w:fldChar w:fldCharType="begin"/>
            </w:r>
            <w:r w:rsidRPr="004C5157">
              <w:instrText xml:space="preserve"> DOCVARIABLE VAULT_ND_974abe27-e42b-4c13-9a1c-37a6bb22301c \* MERGEFORMAT </w:instrText>
            </w:r>
            <w:r w:rsidRPr="004C5157">
              <w:fldChar w:fldCharType="end"/>
            </w:r>
          </w:p>
        </w:tc>
      </w:tr>
      <w:tr w:rsidR="004C5157" w:rsidRPr="00287549" w14:paraId="7FC0C598" w14:textId="77777777" w:rsidTr="00A12F42">
        <w:trPr>
          <w:cantSplit/>
          <w:trHeight w:val="213"/>
          <w:jc w:val="center"/>
        </w:trPr>
        <w:tc>
          <w:tcPr>
            <w:tcW w:w="3119" w:type="dxa"/>
            <w:shd w:val="clear" w:color="auto" w:fill="auto"/>
          </w:tcPr>
          <w:p w14:paraId="1E7AD207" w14:textId="26E2538D" w:rsidR="004C5157" w:rsidRPr="004C5157" w:rsidRDefault="004C5157" w:rsidP="004C5157">
            <w:pPr>
              <w:pStyle w:val="TblTextCenter"/>
            </w:pPr>
            <w:r w:rsidRPr="004C5157">
              <w:t>140.1 to 160</w:t>
            </w:r>
            <w:r w:rsidRPr="004C5157">
              <w:fldChar w:fldCharType="begin"/>
            </w:r>
            <w:r w:rsidRPr="004C5157">
              <w:instrText xml:space="preserve"> DOCVARIABLE vault_nd_83768ea0-6ef9-47b1-ba82-fcd8fde2d6a8 \* MERGEFORMAT </w:instrText>
            </w:r>
            <w:r w:rsidRPr="004C5157">
              <w:fldChar w:fldCharType="end"/>
            </w:r>
          </w:p>
        </w:tc>
        <w:tc>
          <w:tcPr>
            <w:tcW w:w="2977" w:type="dxa"/>
            <w:shd w:val="clear" w:color="auto" w:fill="auto"/>
          </w:tcPr>
          <w:p w14:paraId="68D826F0" w14:textId="0B508C42" w:rsidR="004C5157" w:rsidRPr="004C5157" w:rsidRDefault="004C5157" w:rsidP="004C5157">
            <w:pPr>
              <w:pStyle w:val="TblTextCenter"/>
            </w:pPr>
            <w:r w:rsidRPr="004C5157">
              <w:t>800</w:t>
            </w:r>
            <w:r w:rsidRPr="004C5157">
              <w:fldChar w:fldCharType="begin"/>
            </w:r>
            <w:r w:rsidRPr="004C5157">
              <w:instrText xml:space="preserve"> DOCVARIABLE VAULT_ND_2d5a9d98-9e95-47d3-94b0-f59d8049ce46 \* MERGEFORMAT </w:instrText>
            </w:r>
            <w:r w:rsidRPr="004C5157">
              <w:fldChar w:fldCharType="end"/>
            </w:r>
          </w:p>
        </w:tc>
        <w:tc>
          <w:tcPr>
            <w:tcW w:w="2930" w:type="dxa"/>
            <w:shd w:val="clear" w:color="auto" w:fill="auto"/>
          </w:tcPr>
          <w:p w14:paraId="475AC191" w14:textId="1BA18BF1" w:rsidR="004C5157" w:rsidRPr="004C5157" w:rsidRDefault="004C5157" w:rsidP="004C5157">
            <w:pPr>
              <w:pStyle w:val="TblTextCenter"/>
            </w:pPr>
            <w:r w:rsidRPr="004C5157">
              <w:t>1600</w:t>
            </w:r>
            <w:r w:rsidRPr="004C5157">
              <w:fldChar w:fldCharType="begin"/>
            </w:r>
            <w:r w:rsidRPr="004C5157">
              <w:instrText xml:space="preserve"> DOCVARIABLE VAULT_ND_cb542229-2991-4d51-9470-2730ebf4a95b \* MERGEFORMAT </w:instrText>
            </w:r>
            <w:r w:rsidRPr="004C5157">
              <w:fldChar w:fldCharType="end"/>
            </w:r>
          </w:p>
        </w:tc>
      </w:tr>
      <w:tr w:rsidR="004C5157" w:rsidRPr="00287549" w14:paraId="137FA223" w14:textId="77777777" w:rsidTr="00A12F42">
        <w:trPr>
          <w:cantSplit/>
          <w:trHeight w:val="213"/>
          <w:jc w:val="center"/>
        </w:trPr>
        <w:tc>
          <w:tcPr>
            <w:tcW w:w="3119" w:type="dxa"/>
            <w:shd w:val="clear" w:color="auto" w:fill="auto"/>
          </w:tcPr>
          <w:p w14:paraId="216943F8" w14:textId="68EB242F" w:rsidR="004C5157" w:rsidRPr="004C5157" w:rsidRDefault="004C5157" w:rsidP="004C5157">
            <w:pPr>
              <w:pStyle w:val="TblTextCenter"/>
            </w:pPr>
            <w:r w:rsidRPr="004C5157">
              <w:t>160.1 to 180</w:t>
            </w:r>
            <w:r w:rsidRPr="004C5157">
              <w:fldChar w:fldCharType="begin"/>
            </w:r>
            <w:r w:rsidRPr="004C5157">
              <w:instrText xml:space="preserve"> DOCVARIABLE vault_nd_7ebf3ea9-13db-4d91-a31c-44ddd9ce0f30 \* MERGEFORMAT </w:instrText>
            </w:r>
            <w:r w:rsidRPr="004C5157">
              <w:fldChar w:fldCharType="end"/>
            </w:r>
          </w:p>
        </w:tc>
        <w:tc>
          <w:tcPr>
            <w:tcW w:w="2977" w:type="dxa"/>
            <w:shd w:val="clear" w:color="auto" w:fill="auto"/>
          </w:tcPr>
          <w:p w14:paraId="5E613C5C" w14:textId="3BE515A3" w:rsidR="004C5157" w:rsidRPr="004C5157" w:rsidRDefault="004C5157" w:rsidP="004C5157">
            <w:pPr>
              <w:pStyle w:val="TblTextCenter"/>
            </w:pPr>
            <w:r w:rsidRPr="004C5157">
              <w:t>900</w:t>
            </w:r>
            <w:r w:rsidRPr="004C5157">
              <w:fldChar w:fldCharType="begin"/>
            </w:r>
            <w:r w:rsidRPr="004C5157">
              <w:instrText xml:space="preserve"> DOCVARIABLE VAULT_ND_1f782875-0ec1-46c2-81b2-45bd6eb3e3e5 \* MERGEFORMAT </w:instrText>
            </w:r>
            <w:r w:rsidRPr="004C5157">
              <w:fldChar w:fldCharType="end"/>
            </w:r>
          </w:p>
        </w:tc>
        <w:tc>
          <w:tcPr>
            <w:tcW w:w="2930" w:type="dxa"/>
            <w:shd w:val="clear" w:color="auto" w:fill="auto"/>
          </w:tcPr>
          <w:p w14:paraId="53558943" w14:textId="515A2014" w:rsidR="004C5157" w:rsidRPr="004C5157" w:rsidRDefault="004C5157" w:rsidP="004C5157">
            <w:pPr>
              <w:pStyle w:val="TblTextCenter"/>
            </w:pPr>
            <w:r w:rsidRPr="004C5157">
              <w:t>1800</w:t>
            </w:r>
            <w:r w:rsidRPr="004C5157">
              <w:fldChar w:fldCharType="begin"/>
            </w:r>
            <w:r w:rsidRPr="004C5157">
              <w:instrText xml:space="preserve"> DOCVARIABLE VAULT_ND_435364e9-4f5b-4201-a079-072c4bd86c28 \* MERGEFORMAT </w:instrText>
            </w:r>
            <w:r w:rsidRPr="004C5157">
              <w:fldChar w:fldCharType="end"/>
            </w:r>
          </w:p>
        </w:tc>
      </w:tr>
      <w:tr w:rsidR="00A12F42" w:rsidRPr="00287549" w14:paraId="064FDA92" w14:textId="77777777" w:rsidTr="00A12F42">
        <w:trPr>
          <w:cantSplit/>
          <w:trHeight w:val="213"/>
          <w:jc w:val="center"/>
        </w:trPr>
        <w:tc>
          <w:tcPr>
            <w:tcW w:w="3119" w:type="dxa"/>
            <w:tcBorders>
              <w:bottom w:val="single" w:sz="12" w:space="0" w:color="auto"/>
            </w:tcBorders>
            <w:shd w:val="clear" w:color="auto" w:fill="auto"/>
          </w:tcPr>
          <w:p w14:paraId="227BE78B" w14:textId="13B96EFE" w:rsidR="004C5157" w:rsidRPr="004C5157" w:rsidRDefault="004C5157" w:rsidP="004C5157">
            <w:pPr>
              <w:pStyle w:val="TblTextCenter"/>
            </w:pPr>
            <w:r w:rsidRPr="004C5157">
              <w:t>180.1 to 200</w:t>
            </w:r>
            <w:r w:rsidRPr="004C5157">
              <w:fldChar w:fldCharType="begin"/>
            </w:r>
            <w:r w:rsidRPr="004C5157">
              <w:instrText xml:space="preserve"> DOCVARIABLE vault_nd_8b1492fb-7f13-4c13-b238-012b64844533 \* MERGEFORMAT </w:instrText>
            </w:r>
            <w:r w:rsidRPr="004C5157">
              <w:fldChar w:fldCharType="end"/>
            </w:r>
          </w:p>
        </w:tc>
        <w:tc>
          <w:tcPr>
            <w:tcW w:w="2977" w:type="dxa"/>
            <w:tcBorders>
              <w:bottom w:val="single" w:sz="12" w:space="0" w:color="auto"/>
            </w:tcBorders>
            <w:shd w:val="clear" w:color="auto" w:fill="auto"/>
          </w:tcPr>
          <w:p w14:paraId="066E7646" w14:textId="7ADB2699" w:rsidR="004C5157" w:rsidRPr="004C5157" w:rsidRDefault="004C5157" w:rsidP="004C5157">
            <w:pPr>
              <w:pStyle w:val="TblTextCenter"/>
            </w:pPr>
            <w:r w:rsidRPr="004C5157">
              <w:t>1000</w:t>
            </w:r>
            <w:r w:rsidRPr="004C5157">
              <w:fldChar w:fldCharType="begin"/>
            </w:r>
            <w:r w:rsidRPr="004C5157">
              <w:instrText xml:space="preserve"> DOCVARIABLE VAULT_ND_0660c4e3-8916-4702-9f52-c073ddf0d5f7 \* MERGEFORMAT </w:instrText>
            </w:r>
            <w:r w:rsidRPr="004C5157">
              <w:fldChar w:fldCharType="end"/>
            </w:r>
          </w:p>
        </w:tc>
        <w:tc>
          <w:tcPr>
            <w:tcW w:w="2930" w:type="dxa"/>
            <w:tcBorders>
              <w:bottom w:val="single" w:sz="12" w:space="0" w:color="auto"/>
            </w:tcBorders>
            <w:shd w:val="clear" w:color="auto" w:fill="auto"/>
          </w:tcPr>
          <w:p w14:paraId="56BC0670" w14:textId="6867F59F" w:rsidR="004C5157" w:rsidRPr="004C5157" w:rsidRDefault="004C5157" w:rsidP="004C5157">
            <w:pPr>
              <w:pStyle w:val="TblTextCenter"/>
            </w:pPr>
            <w:r w:rsidRPr="004C5157">
              <w:t>2000</w:t>
            </w:r>
            <w:r w:rsidRPr="004C5157">
              <w:fldChar w:fldCharType="begin"/>
            </w:r>
            <w:r w:rsidRPr="004C5157">
              <w:instrText xml:space="preserve"> DOCVARIABLE VAULT_ND_c091b51e-041e-4506-97b5-a6a0b1e078a3 \* MERGEFORMAT </w:instrText>
            </w:r>
            <w:r w:rsidRPr="004C5157">
              <w:fldChar w:fldCharType="end"/>
            </w:r>
          </w:p>
        </w:tc>
      </w:tr>
      <w:tr w:rsidR="004C5157" w:rsidRPr="00287549" w14:paraId="2C8A752D" w14:textId="77777777" w:rsidTr="004C5157">
        <w:trPr>
          <w:cantSplit/>
          <w:trHeight w:val="213"/>
          <w:jc w:val="center"/>
        </w:trPr>
        <w:tc>
          <w:tcPr>
            <w:tcW w:w="0" w:type="auto"/>
            <w:gridSpan w:val="3"/>
            <w:tcBorders>
              <w:top w:val="single" w:sz="12" w:space="0" w:color="auto"/>
            </w:tcBorders>
            <w:shd w:val="clear" w:color="auto" w:fill="auto"/>
          </w:tcPr>
          <w:p w14:paraId="7A0BAA20" w14:textId="77777777" w:rsidR="004C5157" w:rsidRPr="00287549" w:rsidRDefault="004C5157" w:rsidP="004C5157">
            <w:pPr>
              <w:pStyle w:val="TblFigFootnote"/>
              <w:rPr>
                <w:shd w:val="clear" w:color="auto" w:fill="FFFFFF"/>
              </w:rPr>
            </w:pPr>
          </w:p>
        </w:tc>
      </w:tr>
    </w:tbl>
    <w:bookmarkEnd w:id="5"/>
    <w:bookmarkEnd w:id="6"/>
    <w:p w14:paraId="22639AD4" w14:textId="4721373E" w:rsidR="004C5157" w:rsidRDefault="004C5157" w:rsidP="004C5157">
      <w:pPr>
        <w:pStyle w:val="Heading5"/>
        <w:numPr>
          <w:ilvl w:val="0"/>
          <w:numId w:val="0"/>
        </w:numPr>
        <w:ind w:left="1009" w:hanging="1009"/>
        <w:rPr>
          <w:lang w:val="en-AU"/>
        </w:rPr>
      </w:pPr>
      <w:r>
        <w:rPr>
          <w:lang w:val="en-AU"/>
        </w:rPr>
        <w:t xml:space="preserve">Administration </w:t>
      </w:r>
    </w:p>
    <w:p w14:paraId="535FBA07" w14:textId="5B14AE71" w:rsidR="003540DE" w:rsidRDefault="003540DE" w:rsidP="003540DE">
      <w:pPr>
        <w:rPr>
          <w:lang w:val="en-AU"/>
        </w:rPr>
      </w:pPr>
      <w:proofErr w:type="spellStart"/>
      <w:r>
        <w:rPr>
          <w:lang w:val="en-AU"/>
        </w:rPr>
        <w:t>Nexviazyme</w:t>
      </w:r>
      <w:proofErr w:type="spellEnd"/>
      <w:r w:rsidRPr="003540DE">
        <w:rPr>
          <w:lang w:val="en-AU"/>
        </w:rPr>
        <w:t xml:space="preserve"> should be administered as an intravenous infusion. Infusion should be administered incrementally as determined by patient response and comfort</w:t>
      </w:r>
      <w:r w:rsidR="00C605CB">
        <w:rPr>
          <w:lang w:val="en-AU"/>
        </w:rPr>
        <w:t>. I</w:t>
      </w:r>
      <w:r w:rsidRPr="003540DE">
        <w:rPr>
          <w:lang w:val="en-AU"/>
        </w:rPr>
        <w:t>t is recommended that the infusion begins at an initial rate of 1 mg/kg/hour and is</w:t>
      </w:r>
      <w:r>
        <w:rPr>
          <w:lang w:val="en-AU"/>
        </w:rPr>
        <w:t xml:space="preserve"> </w:t>
      </w:r>
      <w:r w:rsidRPr="003540DE">
        <w:rPr>
          <w:lang w:val="en-AU"/>
        </w:rPr>
        <w:t>gradually increased every 30 minutes if there are no signs of infusion-associated</w:t>
      </w:r>
      <w:r>
        <w:rPr>
          <w:lang w:val="en-AU"/>
        </w:rPr>
        <w:t xml:space="preserve"> </w:t>
      </w:r>
      <w:r w:rsidRPr="003540DE">
        <w:rPr>
          <w:lang w:val="en-AU"/>
        </w:rPr>
        <w:t>reactions (IARs)</w:t>
      </w:r>
      <w:r w:rsidR="00C605CB">
        <w:rPr>
          <w:lang w:val="en-AU"/>
        </w:rPr>
        <w:t xml:space="preserve"> in accordance with </w:t>
      </w:r>
      <w:r w:rsidR="00C605CB" w:rsidRPr="00B47036">
        <w:rPr>
          <w:color w:val="0000FF"/>
          <w:lang w:val="en-AU"/>
        </w:rPr>
        <w:fldChar w:fldCharType="begin"/>
      </w:r>
      <w:r w:rsidR="00C605CB" w:rsidRPr="00B47036">
        <w:rPr>
          <w:color w:val="0000FF"/>
          <w:lang w:val="en-AU"/>
        </w:rPr>
        <w:instrText xml:space="preserve"> REF _Ref79441229 \h  \* MERGEFORMAT </w:instrText>
      </w:r>
      <w:r w:rsidR="00C605CB" w:rsidRPr="00B47036">
        <w:rPr>
          <w:color w:val="0000FF"/>
          <w:lang w:val="en-AU"/>
        </w:rPr>
      </w:r>
      <w:r w:rsidR="00C605CB" w:rsidRPr="00B47036">
        <w:rPr>
          <w:color w:val="0000FF"/>
          <w:lang w:val="en-AU"/>
        </w:rPr>
        <w:fldChar w:fldCharType="separate"/>
      </w:r>
      <w:r w:rsidR="00751605" w:rsidRPr="00751605">
        <w:rPr>
          <w:color w:val="0000FF"/>
        </w:rPr>
        <w:t>Table 2</w:t>
      </w:r>
      <w:r w:rsidR="00C605CB" w:rsidRPr="00B47036">
        <w:rPr>
          <w:color w:val="0000FF"/>
          <w:lang w:val="en-AU"/>
        </w:rPr>
        <w:fldChar w:fldCharType="end"/>
      </w:r>
      <w:r w:rsidR="00C605CB">
        <w:rPr>
          <w:lang w:val="en-AU"/>
        </w:rPr>
        <w:t xml:space="preserve"> </w:t>
      </w:r>
      <w:r w:rsidRPr="003540DE">
        <w:rPr>
          <w:lang w:val="en-AU"/>
        </w:rPr>
        <w:t>. Vital signs should be obtained at each step, before increasing the</w:t>
      </w:r>
      <w:r>
        <w:rPr>
          <w:lang w:val="en-AU"/>
        </w:rPr>
        <w:t xml:space="preserve"> </w:t>
      </w:r>
      <w:r w:rsidRPr="003540DE">
        <w:rPr>
          <w:lang w:val="en-AU"/>
        </w:rPr>
        <w:t>infusion rate. Patients may be pre</w:t>
      </w:r>
      <w:r>
        <w:rPr>
          <w:lang w:val="en-AU"/>
        </w:rPr>
        <w:t>-</w:t>
      </w:r>
      <w:r w:rsidRPr="003540DE">
        <w:rPr>
          <w:lang w:val="en-AU"/>
        </w:rPr>
        <w:t>treated with antihistamines, antipyretics and/or corticosteroids to</w:t>
      </w:r>
      <w:r>
        <w:rPr>
          <w:lang w:val="en-AU"/>
        </w:rPr>
        <w:t xml:space="preserve"> </w:t>
      </w:r>
      <w:r w:rsidRPr="003540DE">
        <w:rPr>
          <w:lang w:val="en-AU"/>
        </w:rPr>
        <w:t>prevent or reduce allergic reactions.</w:t>
      </w:r>
    </w:p>
    <w:p w14:paraId="66CB951D" w14:textId="77777777" w:rsidR="00F14210" w:rsidRDefault="00F14210" w:rsidP="003540DE">
      <w:pPr>
        <w:rPr>
          <w:lang w:val="en-AU"/>
        </w:rPr>
      </w:pPr>
    </w:p>
    <w:p w14:paraId="1A158A62" w14:textId="33393339" w:rsidR="00C605CB" w:rsidRDefault="00C605CB" w:rsidP="00C605CB">
      <w:pPr>
        <w:pStyle w:val="Caption"/>
        <w:rPr>
          <w:lang w:val="en-AU"/>
        </w:rPr>
      </w:pPr>
      <w:bookmarkStart w:id="7" w:name="_Ref79441229"/>
      <w:r>
        <w:t>Table </w:t>
      </w:r>
      <w:r>
        <w:fldChar w:fldCharType="begin"/>
      </w:r>
      <w:r>
        <w:instrText xml:space="preserve"> SEQ Table \* ARABIC </w:instrText>
      </w:r>
      <w:r>
        <w:fldChar w:fldCharType="separate"/>
      </w:r>
      <w:r w:rsidR="00751605">
        <w:rPr>
          <w:noProof/>
        </w:rPr>
        <w:t>2</w:t>
      </w:r>
      <w:r>
        <w:fldChar w:fldCharType="end"/>
      </w:r>
      <w:bookmarkEnd w:id="7"/>
      <w:r>
        <w:t xml:space="preserve"> ­ </w:t>
      </w:r>
      <w:r>
        <w:rPr>
          <w:lang w:val="en-AU"/>
        </w:rPr>
        <w:t xml:space="preserve">Infusion rate schedule </w:t>
      </w:r>
    </w:p>
    <w:tbl>
      <w:tblPr>
        <w:tblW w:w="0" w:type="auto"/>
        <w:jc w:val="center"/>
        <w:tblBorders>
          <w:top w:val="single" w:sz="2" w:space="0" w:color="000000"/>
        </w:tblBorders>
        <w:tblLook w:val="04A0" w:firstRow="1" w:lastRow="0" w:firstColumn="1" w:lastColumn="0" w:noHBand="0" w:noVBand="1"/>
      </w:tblPr>
      <w:tblGrid>
        <w:gridCol w:w="627"/>
        <w:gridCol w:w="1313"/>
        <w:gridCol w:w="674"/>
        <w:gridCol w:w="674"/>
        <w:gridCol w:w="674"/>
        <w:gridCol w:w="674"/>
        <w:gridCol w:w="674"/>
        <w:gridCol w:w="2915"/>
      </w:tblGrid>
      <w:tr w:rsidR="00C605CB" w:rsidRPr="00B47036" w14:paraId="53B50FD0" w14:textId="77777777" w:rsidTr="00C605CB">
        <w:trPr>
          <w:cantSplit/>
          <w:trHeight w:val="300"/>
          <w:tblHeader/>
          <w:jc w:val="center"/>
        </w:trPr>
        <w:tc>
          <w:tcPr>
            <w:tcW w:w="0" w:type="auto"/>
            <w:gridSpan w:val="2"/>
            <w:vMerge w:val="restart"/>
            <w:tcBorders>
              <w:top w:val="single" w:sz="4" w:space="0" w:color="000000"/>
              <w:bottom w:val="single" w:sz="4" w:space="0" w:color="000000"/>
            </w:tcBorders>
            <w:shd w:val="clear" w:color="auto" w:fill="auto"/>
            <w:noWrap/>
            <w:vAlign w:val="center"/>
          </w:tcPr>
          <w:p w14:paraId="476AA0BA" w14:textId="77777777" w:rsidR="00C605CB" w:rsidRPr="00C605CB" w:rsidRDefault="00C605CB" w:rsidP="00C605CB">
            <w:pPr>
              <w:pStyle w:val="TblHeadingCenter"/>
              <w:rPr>
                <w:lang w:val="en-US" w:eastAsia="nl-BE"/>
              </w:rPr>
            </w:pPr>
            <w:r w:rsidRPr="00C605CB">
              <w:rPr>
                <w:lang w:eastAsia="nl-BE"/>
              </w:rPr>
              <w:t>Patient</w:t>
            </w:r>
          </w:p>
        </w:tc>
        <w:tc>
          <w:tcPr>
            <w:tcW w:w="0" w:type="auto"/>
            <w:gridSpan w:val="5"/>
            <w:tcBorders>
              <w:top w:val="single" w:sz="4" w:space="0" w:color="000000"/>
              <w:bottom w:val="single" w:sz="4" w:space="0" w:color="000000"/>
            </w:tcBorders>
            <w:shd w:val="clear" w:color="auto" w:fill="auto"/>
            <w:noWrap/>
            <w:vAlign w:val="center"/>
          </w:tcPr>
          <w:p w14:paraId="60A4D237" w14:textId="77777777" w:rsidR="00C605CB" w:rsidRPr="00C605CB" w:rsidRDefault="00C605CB" w:rsidP="00C605CB">
            <w:pPr>
              <w:pStyle w:val="TblHeadingCenter"/>
              <w:rPr>
                <w:lang w:eastAsia="nl-BE"/>
              </w:rPr>
            </w:pPr>
            <w:r w:rsidRPr="00C605CB">
              <w:rPr>
                <w:lang w:eastAsia="nl-BE"/>
              </w:rPr>
              <w:t>Infusion rate (mg/kg/hour)</w:t>
            </w:r>
          </w:p>
        </w:tc>
        <w:tc>
          <w:tcPr>
            <w:tcW w:w="2869" w:type="dxa"/>
            <w:vMerge w:val="restart"/>
            <w:tcBorders>
              <w:top w:val="single" w:sz="4" w:space="0" w:color="000000"/>
              <w:bottom w:val="single" w:sz="4" w:space="0" w:color="000000"/>
            </w:tcBorders>
            <w:shd w:val="clear" w:color="auto" w:fill="auto"/>
          </w:tcPr>
          <w:p w14:paraId="2E216F3C" w14:textId="77777777" w:rsidR="00C605CB" w:rsidRPr="00C605CB" w:rsidRDefault="00C605CB" w:rsidP="00C605CB">
            <w:pPr>
              <w:pStyle w:val="TblHeadingCenter"/>
              <w:rPr>
                <w:lang w:val="en-US" w:eastAsia="nl-BE"/>
              </w:rPr>
            </w:pPr>
            <w:r w:rsidRPr="00C605CB">
              <w:rPr>
                <w:lang w:eastAsia="nl-BE"/>
              </w:rPr>
              <w:t>Approximate duration (h)</w:t>
            </w:r>
          </w:p>
        </w:tc>
      </w:tr>
      <w:tr w:rsidR="00C605CB" w:rsidRPr="00B47036" w14:paraId="6CB5C176" w14:textId="77777777" w:rsidTr="00C605CB">
        <w:trPr>
          <w:cantSplit/>
          <w:trHeight w:val="300"/>
          <w:tblHeader/>
          <w:jc w:val="center"/>
        </w:trPr>
        <w:tc>
          <w:tcPr>
            <w:tcW w:w="0" w:type="auto"/>
            <w:gridSpan w:val="2"/>
            <w:vMerge/>
            <w:tcBorders>
              <w:top w:val="single" w:sz="4" w:space="0" w:color="auto"/>
              <w:bottom w:val="single" w:sz="4" w:space="0" w:color="000000"/>
            </w:tcBorders>
            <w:shd w:val="clear" w:color="auto" w:fill="auto"/>
            <w:noWrap/>
            <w:vAlign w:val="center"/>
            <w:hideMark/>
          </w:tcPr>
          <w:p w14:paraId="642C6F2F" w14:textId="77777777" w:rsidR="00C605CB" w:rsidRPr="00C605CB" w:rsidRDefault="00C605CB" w:rsidP="00C605CB">
            <w:pPr>
              <w:jc w:val="center"/>
              <w:rPr>
                <w:color w:val="auto"/>
                <w:lang w:eastAsia="nl-BE"/>
              </w:rPr>
            </w:pPr>
          </w:p>
        </w:tc>
        <w:tc>
          <w:tcPr>
            <w:tcW w:w="0" w:type="auto"/>
            <w:tcBorders>
              <w:top w:val="single" w:sz="4" w:space="0" w:color="000000"/>
              <w:bottom w:val="single" w:sz="4" w:space="0" w:color="auto"/>
            </w:tcBorders>
            <w:shd w:val="clear" w:color="auto" w:fill="auto"/>
            <w:noWrap/>
            <w:vAlign w:val="center"/>
            <w:hideMark/>
          </w:tcPr>
          <w:p w14:paraId="17B24900" w14:textId="77777777" w:rsidR="00C605CB" w:rsidRPr="00C605CB" w:rsidRDefault="00C605CB" w:rsidP="00C605CB">
            <w:pPr>
              <w:pStyle w:val="TblTextCenter"/>
            </w:pPr>
            <w:r w:rsidRPr="00C605CB">
              <w:t>step 1</w:t>
            </w:r>
          </w:p>
        </w:tc>
        <w:tc>
          <w:tcPr>
            <w:tcW w:w="0" w:type="auto"/>
            <w:tcBorders>
              <w:top w:val="single" w:sz="4" w:space="0" w:color="000000"/>
              <w:bottom w:val="single" w:sz="4" w:space="0" w:color="auto"/>
            </w:tcBorders>
            <w:shd w:val="clear" w:color="auto" w:fill="auto"/>
            <w:noWrap/>
            <w:vAlign w:val="center"/>
            <w:hideMark/>
          </w:tcPr>
          <w:p w14:paraId="2DA74032" w14:textId="77777777" w:rsidR="00C605CB" w:rsidRPr="00C605CB" w:rsidRDefault="00C605CB" w:rsidP="00C605CB">
            <w:pPr>
              <w:pStyle w:val="TblTextCenter"/>
            </w:pPr>
            <w:r w:rsidRPr="00C605CB">
              <w:t>step 2</w:t>
            </w:r>
          </w:p>
        </w:tc>
        <w:tc>
          <w:tcPr>
            <w:tcW w:w="0" w:type="auto"/>
            <w:tcBorders>
              <w:top w:val="single" w:sz="4" w:space="0" w:color="000000"/>
              <w:bottom w:val="single" w:sz="4" w:space="0" w:color="auto"/>
            </w:tcBorders>
            <w:shd w:val="clear" w:color="auto" w:fill="auto"/>
            <w:noWrap/>
            <w:vAlign w:val="center"/>
            <w:hideMark/>
          </w:tcPr>
          <w:p w14:paraId="045684AD" w14:textId="77777777" w:rsidR="00C605CB" w:rsidRPr="00C605CB" w:rsidRDefault="00C605CB" w:rsidP="00C605CB">
            <w:pPr>
              <w:pStyle w:val="TblTextCenter"/>
            </w:pPr>
            <w:r w:rsidRPr="00C605CB">
              <w:t>step 3</w:t>
            </w:r>
          </w:p>
        </w:tc>
        <w:tc>
          <w:tcPr>
            <w:tcW w:w="0" w:type="auto"/>
            <w:tcBorders>
              <w:top w:val="single" w:sz="4" w:space="0" w:color="000000"/>
              <w:bottom w:val="single" w:sz="4" w:space="0" w:color="auto"/>
            </w:tcBorders>
            <w:shd w:val="clear" w:color="auto" w:fill="auto"/>
            <w:noWrap/>
            <w:vAlign w:val="center"/>
            <w:hideMark/>
          </w:tcPr>
          <w:p w14:paraId="062C9168" w14:textId="77777777" w:rsidR="00C605CB" w:rsidRPr="00C605CB" w:rsidRDefault="00C605CB" w:rsidP="00C605CB">
            <w:pPr>
              <w:pStyle w:val="TblTextCenter"/>
            </w:pPr>
            <w:r w:rsidRPr="00C605CB">
              <w:t>step 4</w:t>
            </w:r>
          </w:p>
        </w:tc>
        <w:tc>
          <w:tcPr>
            <w:tcW w:w="0" w:type="auto"/>
            <w:tcBorders>
              <w:top w:val="single" w:sz="4" w:space="0" w:color="000000"/>
              <w:bottom w:val="single" w:sz="4" w:space="0" w:color="auto"/>
            </w:tcBorders>
            <w:shd w:val="clear" w:color="auto" w:fill="auto"/>
            <w:noWrap/>
            <w:vAlign w:val="center"/>
            <w:hideMark/>
          </w:tcPr>
          <w:p w14:paraId="76D2EADD" w14:textId="77777777" w:rsidR="00C605CB" w:rsidRPr="00C605CB" w:rsidRDefault="00C605CB" w:rsidP="00C605CB">
            <w:pPr>
              <w:pStyle w:val="TblTextCenter"/>
            </w:pPr>
            <w:r w:rsidRPr="00C605CB">
              <w:t>step 5</w:t>
            </w:r>
          </w:p>
        </w:tc>
        <w:tc>
          <w:tcPr>
            <w:tcW w:w="2869" w:type="dxa"/>
            <w:vMerge/>
            <w:tcBorders>
              <w:top w:val="nil"/>
              <w:bottom w:val="single" w:sz="4" w:space="0" w:color="000000"/>
            </w:tcBorders>
            <w:shd w:val="clear" w:color="auto" w:fill="auto"/>
          </w:tcPr>
          <w:p w14:paraId="1489274F" w14:textId="77777777" w:rsidR="00C605CB" w:rsidRPr="00C605CB" w:rsidRDefault="00C605CB" w:rsidP="00C605CB">
            <w:pPr>
              <w:rPr>
                <w:b/>
                <w:bCs/>
                <w:color w:val="auto"/>
                <w:lang w:eastAsia="nl-BE"/>
              </w:rPr>
            </w:pPr>
          </w:p>
        </w:tc>
      </w:tr>
      <w:tr w:rsidR="00C605CB" w:rsidRPr="00B47036" w14:paraId="21CDB515" w14:textId="77777777" w:rsidTr="00C605CB">
        <w:trPr>
          <w:cantSplit/>
          <w:trHeight w:val="300"/>
          <w:jc w:val="center"/>
        </w:trPr>
        <w:tc>
          <w:tcPr>
            <w:tcW w:w="0" w:type="auto"/>
            <w:gridSpan w:val="2"/>
            <w:tcBorders>
              <w:top w:val="single" w:sz="4" w:space="0" w:color="000000"/>
            </w:tcBorders>
            <w:shd w:val="clear" w:color="auto" w:fill="auto"/>
            <w:vAlign w:val="center"/>
            <w:hideMark/>
          </w:tcPr>
          <w:p w14:paraId="13CBBBD0" w14:textId="77777777" w:rsidR="00C605CB" w:rsidRPr="00C605CB" w:rsidRDefault="00C605CB" w:rsidP="00C605CB">
            <w:pPr>
              <w:pStyle w:val="TblTextCenter"/>
            </w:pPr>
            <w:r w:rsidRPr="00C605CB">
              <w:t>LOPD</w:t>
            </w:r>
          </w:p>
        </w:tc>
        <w:tc>
          <w:tcPr>
            <w:tcW w:w="0" w:type="auto"/>
            <w:tcBorders>
              <w:top w:val="single" w:sz="4" w:space="0" w:color="auto"/>
            </w:tcBorders>
            <w:shd w:val="clear" w:color="auto" w:fill="auto"/>
            <w:noWrap/>
            <w:vAlign w:val="center"/>
            <w:hideMark/>
          </w:tcPr>
          <w:p w14:paraId="09F0DC6E" w14:textId="77777777" w:rsidR="00C605CB" w:rsidRPr="00C605CB" w:rsidRDefault="00C605CB" w:rsidP="00C605CB">
            <w:pPr>
              <w:pStyle w:val="TblTextCenter"/>
            </w:pPr>
            <w:r w:rsidRPr="00C605CB">
              <w:t>1</w:t>
            </w:r>
          </w:p>
        </w:tc>
        <w:tc>
          <w:tcPr>
            <w:tcW w:w="0" w:type="auto"/>
            <w:tcBorders>
              <w:top w:val="single" w:sz="4" w:space="0" w:color="auto"/>
            </w:tcBorders>
            <w:shd w:val="clear" w:color="auto" w:fill="auto"/>
            <w:noWrap/>
            <w:vAlign w:val="center"/>
            <w:hideMark/>
          </w:tcPr>
          <w:p w14:paraId="78450E79" w14:textId="77777777" w:rsidR="00C605CB" w:rsidRPr="00C605CB" w:rsidRDefault="00C605CB" w:rsidP="00C605CB">
            <w:pPr>
              <w:pStyle w:val="TblTextCenter"/>
            </w:pPr>
            <w:r w:rsidRPr="00C605CB">
              <w:t>3</w:t>
            </w:r>
          </w:p>
        </w:tc>
        <w:tc>
          <w:tcPr>
            <w:tcW w:w="0" w:type="auto"/>
            <w:tcBorders>
              <w:top w:val="single" w:sz="4" w:space="0" w:color="auto"/>
            </w:tcBorders>
            <w:shd w:val="clear" w:color="auto" w:fill="auto"/>
            <w:noWrap/>
            <w:vAlign w:val="center"/>
            <w:hideMark/>
          </w:tcPr>
          <w:p w14:paraId="0C491FBC" w14:textId="77B5EB92" w:rsidR="00C605CB" w:rsidRPr="00C605CB" w:rsidRDefault="00C605CB" w:rsidP="00C605CB">
            <w:pPr>
              <w:pStyle w:val="TblTextCenter"/>
            </w:pPr>
            <w:r w:rsidRPr="00C605CB">
              <w:t>5</w:t>
            </w:r>
          </w:p>
        </w:tc>
        <w:tc>
          <w:tcPr>
            <w:tcW w:w="0" w:type="auto"/>
            <w:tcBorders>
              <w:top w:val="single" w:sz="4" w:space="0" w:color="auto"/>
            </w:tcBorders>
            <w:shd w:val="clear" w:color="auto" w:fill="auto"/>
            <w:noWrap/>
            <w:vAlign w:val="center"/>
            <w:hideMark/>
          </w:tcPr>
          <w:p w14:paraId="6C5338CD" w14:textId="191B2CFD" w:rsidR="00C605CB" w:rsidRPr="00C605CB" w:rsidRDefault="00C605CB" w:rsidP="00C605CB">
            <w:pPr>
              <w:pStyle w:val="TblTextCenter"/>
            </w:pPr>
            <w:r w:rsidRPr="00C605CB">
              <w:t>7</w:t>
            </w:r>
          </w:p>
        </w:tc>
        <w:tc>
          <w:tcPr>
            <w:tcW w:w="0" w:type="auto"/>
            <w:tcBorders>
              <w:top w:val="single" w:sz="4" w:space="0" w:color="auto"/>
            </w:tcBorders>
            <w:shd w:val="clear" w:color="auto" w:fill="auto"/>
            <w:noWrap/>
            <w:vAlign w:val="center"/>
            <w:hideMark/>
          </w:tcPr>
          <w:p w14:paraId="4FB6F194" w14:textId="77777777" w:rsidR="00C605CB" w:rsidRPr="00C605CB" w:rsidRDefault="00C605CB" w:rsidP="00C605CB">
            <w:pPr>
              <w:pStyle w:val="TblTextCenter"/>
            </w:pPr>
            <w:r w:rsidRPr="00C605CB">
              <w:t>NA</w:t>
            </w:r>
          </w:p>
        </w:tc>
        <w:tc>
          <w:tcPr>
            <w:tcW w:w="2869" w:type="dxa"/>
            <w:tcBorders>
              <w:top w:val="single" w:sz="4" w:space="0" w:color="000000"/>
            </w:tcBorders>
            <w:shd w:val="clear" w:color="auto" w:fill="auto"/>
          </w:tcPr>
          <w:p w14:paraId="385EA431" w14:textId="77777777" w:rsidR="00C605CB" w:rsidRPr="00C605CB" w:rsidRDefault="00C605CB" w:rsidP="00C605CB">
            <w:pPr>
              <w:pStyle w:val="TblTextCenter"/>
            </w:pPr>
            <w:r w:rsidRPr="00C605CB">
              <w:t>4 to 5</w:t>
            </w:r>
          </w:p>
        </w:tc>
      </w:tr>
      <w:tr w:rsidR="00C605CB" w:rsidRPr="00B47036" w14:paraId="327F5F6D" w14:textId="77777777" w:rsidTr="00C605CB">
        <w:trPr>
          <w:cantSplit/>
          <w:trHeight w:val="300"/>
          <w:jc w:val="center"/>
        </w:trPr>
        <w:tc>
          <w:tcPr>
            <w:tcW w:w="0" w:type="auto"/>
            <w:vMerge w:val="restart"/>
            <w:shd w:val="clear" w:color="auto" w:fill="auto"/>
            <w:noWrap/>
            <w:vAlign w:val="center"/>
            <w:hideMark/>
          </w:tcPr>
          <w:p w14:paraId="6BA8B2D4" w14:textId="77777777" w:rsidR="00C605CB" w:rsidRPr="00C605CB" w:rsidRDefault="00C605CB" w:rsidP="00C605CB">
            <w:pPr>
              <w:pStyle w:val="TblTextCenter"/>
            </w:pPr>
            <w:r w:rsidRPr="00C605CB">
              <w:t>IOPD</w:t>
            </w:r>
          </w:p>
        </w:tc>
        <w:tc>
          <w:tcPr>
            <w:tcW w:w="0" w:type="auto"/>
            <w:shd w:val="clear" w:color="auto" w:fill="auto"/>
            <w:noWrap/>
            <w:vAlign w:val="center"/>
            <w:hideMark/>
          </w:tcPr>
          <w:p w14:paraId="41E164CE" w14:textId="77777777" w:rsidR="00C605CB" w:rsidRPr="00C605CB" w:rsidRDefault="00C605CB" w:rsidP="00C605CB">
            <w:pPr>
              <w:pStyle w:val="TblTextCenter"/>
            </w:pPr>
            <w:r w:rsidRPr="00C605CB">
              <w:t>4-step process</w:t>
            </w:r>
          </w:p>
        </w:tc>
        <w:tc>
          <w:tcPr>
            <w:tcW w:w="0" w:type="auto"/>
            <w:shd w:val="clear" w:color="auto" w:fill="auto"/>
            <w:noWrap/>
            <w:vAlign w:val="center"/>
            <w:hideMark/>
          </w:tcPr>
          <w:p w14:paraId="7EE4FAFD" w14:textId="77777777" w:rsidR="00C605CB" w:rsidRPr="00C605CB" w:rsidRDefault="00C605CB" w:rsidP="00C605CB">
            <w:pPr>
              <w:pStyle w:val="TblTextCenter"/>
            </w:pPr>
            <w:r w:rsidRPr="00C605CB">
              <w:t>1</w:t>
            </w:r>
          </w:p>
        </w:tc>
        <w:tc>
          <w:tcPr>
            <w:tcW w:w="0" w:type="auto"/>
            <w:shd w:val="clear" w:color="auto" w:fill="auto"/>
            <w:noWrap/>
            <w:vAlign w:val="center"/>
            <w:hideMark/>
          </w:tcPr>
          <w:p w14:paraId="317DB90B" w14:textId="77777777" w:rsidR="00C605CB" w:rsidRPr="00C605CB" w:rsidRDefault="00C605CB" w:rsidP="00C605CB">
            <w:pPr>
              <w:pStyle w:val="TblTextCenter"/>
            </w:pPr>
            <w:r w:rsidRPr="00C605CB">
              <w:t>3</w:t>
            </w:r>
          </w:p>
        </w:tc>
        <w:tc>
          <w:tcPr>
            <w:tcW w:w="0" w:type="auto"/>
            <w:shd w:val="clear" w:color="auto" w:fill="auto"/>
            <w:noWrap/>
            <w:vAlign w:val="center"/>
            <w:hideMark/>
          </w:tcPr>
          <w:p w14:paraId="3F309BA9" w14:textId="77777777" w:rsidR="00C605CB" w:rsidRPr="00C605CB" w:rsidRDefault="00C605CB" w:rsidP="00C605CB">
            <w:pPr>
              <w:pStyle w:val="TblTextCenter"/>
            </w:pPr>
            <w:r w:rsidRPr="00C605CB">
              <w:t>5</w:t>
            </w:r>
          </w:p>
        </w:tc>
        <w:tc>
          <w:tcPr>
            <w:tcW w:w="0" w:type="auto"/>
            <w:shd w:val="clear" w:color="auto" w:fill="auto"/>
            <w:noWrap/>
            <w:vAlign w:val="center"/>
            <w:hideMark/>
          </w:tcPr>
          <w:p w14:paraId="46D072DE" w14:textId="77777777" w:rsidR="00C605CB" w:rsidRPr="00C605CB" w:rsidRDefault="00C605CB" w:rsidP="00C605CB">
            <w:pPr>
              <w:pStyle w:val="TblTextCenter"/>
            </w:pPr>
            <w:r w:rsidRPr="00C605CB">
              <w:t>7</w:t>
            </w:r>
          </w:p>
        </w:tc>
        <w:tc>
          <w:tcPr>
            <w:tcW w:w="0" w:type="auto"/>
            <w:shd w:val="clear" w:color="auto" w:fill="auto"/>
            <w:noWrap/>
            <w:vAlign w:val="center"/>
            <w:hideMark/>
          </w:tcPr>
          <w:p w14:paraId="45D38BA2" w14:textId="77777777" w:rsidR="00C605CB" w:rsidRPr="00C605CB" w:rsidRDefault="00C605CB" w:rsidP="00C605CB">
            <w:pPr>
              <w:pStyle w:val="TblTextCenter"/>
            </w:pPr>
            <w:r w:rsidRPr="00C605CB">
              <w:t>NA</w:t>
            </w:r>
          </w:p>
        </w:tc>
        <w:tc>
          <w:tcPr>
            <w:tcW w:w="2869" w:type="dxa"/>
            <w:shd w:val="clear" w:color="auto" w:fill="auto"/>
          </w:tcPr>
          <w:p w14:paraId="5FA0AFA6" w14:textId="77777777" w:rsidR="00C605CB" w:rsidRPr="00C605CB" w:rsidRDefault="00C605CB" w:rsidP="00C605CB">
            <w:pPr>
              <w:pStyle w:val="TblTextCenter"/>
            </w:pPr>
            <w:r w:rsidRPr="00C605CB">
              <w:t>7</w:t>
            </w:r>
          </w:p>
        </w:tc>
      </w:tr>
      <w:tr w:rsidR="00C605CB" w:rsidRPr="00B47036" w14:paraId="713145A1" w14:textId="77777777" w:rsidTr="00C605CB">
        <w:trPr>
          <w:cantSplit/>
          <w:trHeight w:val="340"/>
          <w:jc w:val="center"/>
        </w:trPr>
        <w:tc>
          <w:tcPr>
            <w:tcW w:w="0" w:type="auto"/>
            <w:vMerge/>
            <w:tcBorders>
              <w:bottom w:val="single" w:sz="12" w:space="0" w:color="auto"/>
            </w:tcBorders>
            <w:shd w:val="clear" w:color="auto" w:fill="auto"/>
            <w:vAlign w:val="center"/>
            <w:hideMark/>
          </w:tcPr>
          <w:p w14:paraId="5B7CB68E" w14:textId="77777777" w:rsidR="00C605CB" w:rsidRPr="00C605CB" w:rsidRDefault="00C605CB" w:rsidP="00C605CB">
            <w:pPr>
              <w:jc w:val="center"/>
              <w:rPr>
                <w:color w:val="auto"/>
                <w:lang w:eastAsia="nl-BE"/>
              </w:rPr>
            </w:pPr>
          </w:p>
        </w:tc>
        <w:tc>
          <w:tcPr>
            <w:tcW w:w="0" w:type="auto"/>
            <w:tcBorders>
              <w:bottom w:val="single" w:sz="12" w:space="0" w:color="auto"/>
            </w:tcBorders>
            <w:shd w:val="clear" w:color="auto" w:fill="auto"/>
            <w:noWrap/>
            <w:vAlign w:val="center"/>
            <w:hideMark/>
          </w:tcPr>
          <w:p w14:paraId="5A745D3F" w14:textId="73EA0470" w:rsidR="00C605CB" w:rsidRPr="00C605CB" w:rsidRDefault="00C605CB" w:rsidP="00C605CB">
            <w:pPr>
              <w:pStyle w:val="TblTextCenter"/>
            </w:pPr>
            <w:r w:rsidRPr="00C605CB">
              <w:t xml:space="preserve">5-step process  </w:t>
            </w:r>
          </w:p>
        </w:tc>
        <w:tc>
          <w:tcPr>
            <w:tcW w:w="0" w:type="auto"/>
            <w:tcBorders>
              <w:bottom w:val="single" w:sz="12" w:space="0" w:color="auto"/>
            </w:tcBorders>
            <w:shd w:val="clear" w:color="auto" w:fill="auto"/>
            <w:noWrap/>
            <w:vAlign w:val="center"/>
            <w:hideMark/>
          </w:tcPr>
          <w:p w14:paraId="3D2A16CC" w14:textId="77777777" w:rsidR="00C605CB" w:rsidRPr="00C605CB" w:rsidRDefault="00C605CB" w:rsidP="00C605CB">
            <w:pPr>
              <w:pStyle w:val="TblTextCenter"/>
            </w:pPr>
            <w:r w:rsidRPr="00C605CB">
              <w:t>1</w:t>
            </w:r>
          </w:p>
        </w:tc>
        <w:tc>
          <w:tcPr>
            <w:tcW w:w="0" w:type="auto"/>
            <w:tcBorders>
              <w:bottom w:val="single" w:sz="12" w:space="0" w:color="auto"/>
            </w:tcBorders>
            <w:shd w:val="clear" w:color="auto" w:fill="auto"/>
            <w:noWrap/>
            <w:vAlign w:val="center"/>
            <w:hideMark/>
          </w:tcPr>
          <w:p w14:paraId="12B972F1" w14:textId="77777777" w:rsidR="00C605CB" w:rsidRPr="00C605CB" w:rsidRDefault="00C605CB" w:rsidP="00C605CB">
            <w:pPr>
              <w:pStyle w:val="TblTextCenter"/>
            </w:pPr>
            <w:r w:rsidRPr="00C605CB">
              <w:t>3</w:t>
            </w:r>
          </w:p>
        </w:tc>
        <w:tc>
          <w:tcPr>
            <w:tcW w:w="0" w:type="auto"/>
            <w:tcBorders>
              <w:bottom w:val="single" w:sz="12" w:space="0" w:color="auto"/>
            </w:tcBorders>
            <w:shd w:val="clear" w:color="auto" w:fill="auto"/>
            <w:noWrap/>
            <w:vAlign w:val="center"/>
            <w:hideMark/>
          </w:tcPr>
          <w:p w14:paraId="6F7B516D" w14:textId="77777777" w:rsidR="00C605CB" w:rsidRPr="00C605CB" w:rsidRDefault="00C605CB" w:rsidP="00C605CB">
            <w:pPr>
              <w:pStyle w:val="TblTextCenter"/>
            </w:pPr>
            <w:r w:rsidRPr="00C605CB">
              <w:t>6</w:t>
            </w:r>
          </w:p>
        </w:tc>
        <w:tc>
          <w:tcPr>
            <w:tcW w:w="0" w:type="auto"/>
            <w:tcBorders>
              <w:bottom w:val="single" w:sz="12" w:space="0" w:color="auto"/>
            </w:tcBorders>
            <w:shd w:val="clear" w:color="auto" w:fill="auto"/>
            <w:noWrap/>
            <w:vAlign w:val="center"/>
            <w:hideMark/>
          </w:tcPr>
          <w:p w14:paraId="68EFC68B" w14:textId="77777777" w:rsidR="00C605CB" w:rsidRPr="00C605CB" w:rsidRDefault="00C605CB" w:rsidP="00C605CB">
            <w:pPr>
              <w:pStyle w:val="TblTextCenter"/>
            </w:pPr>
            <w:r w:rsidRPr="00C605CB">
              <w:t>8</w:t>
            </w:r>
          </w:p>
        </w:tc>
        <w:tc>
          <w:tcPr>
            <w:tcW w:w="0" w:type="auto"/>
            <w:tcBorders>
              <w:bottom w:val="single" w:sz="12" w:space="0" w:color="auto"/>
            </w:tcBorders>
            <w:shd w:val="clear" w:color="auto" w:fill="auto"/>
            <w:noWrap/>
            <w:vAlign w:val="center"/>
            <w:hideMark/>
          </w:tcPr>
          <w:p w14:paraId="51A0BDC1" w14:textId="73B92536" w:rsidR="00C605CB" w:rsidRPr="00C605CB" w:rsidRDefault="00C605CB" w:rsidP="00C605CB">
            <w:pPr>
              <w:pStyle w:val="TblTextCenter"/>
            </w:pPr>
            <w:r w:rsidRPr="00C605CB">
              <w:t>10</w:t>
            </w:r>
          </w:p>
        </w:tc>
        <w:tc>
          <w:tcPr>
            <w:tcW w:w="2869" w:type="dxa"/>
            <w:tcBorders>
              <w:bottom w:val="single" w:sz="12" w:space="0" w:color="auto"/>
            </w:tcBorders>
            <w:shd w:val="clear" w:color="auto" w:fill="auto"/>
          </w:tcPr>
          <w:p w14:paraId="1E9C673D" w14:textId="77777777" w:rsidR="00C605CB" w:rsidRPr="00C605CB" w:rsidRDefault="00C605CB" w:rsidP="00C605CB">
            <w:pPr>
              <w:pStyle w:val="TblTextCenter"/>
            </w:pPr>
            <w:r w:rsidRPr="00C605CB">
              <w:t>5</w:t>
            </w:r>
          </w:p>
        </w:tc>
      </w:tr>
      <w:tr w:rsidR="00C605CB" w:rsidRPr="00B47036" w14:paraId="2EE9C551" w14:textId="77777777" w:rsidTr="00C605CB">
        <w:trPr>
          <w:cantSplit/>
          <w:trHeight w:val="340"/>
          <w:jc w:val="center"/>
        </w:trPr>
        <w:tc>
          <w:tcPr>
            <w:tcW w:w="8222" w:type="dxa"/>
            <w:gridSpan w:val="8"/>
            <w:tcBorders>
              <w:top w:val="single" w:sz="12" w:space="0" w:color="auto"/>
            </w:tcBorders>
            <w:shd w:val="clear" w:color="auto" w:fill="auto"/>
            <w:vAlign w:val="center"/>
          </w:tcPr>
          <w:p w14:paraId="1C7E28A3" w14:textId="77777777" w:rsidR="00C605CB" w:rsidRPr="00C605CB" w:rsidRDefault="00C605CB" w:rsidP="00C605CB">
            <w:pPr>
              <w:pStyle w:val="TblFigFootnote"/>
              <w:rPr>
                <w:lang w:eastAsia="nl-BE"/>
              </w:rPr>
            </w:pPr>
          </w:p>
        </w:tc>
      </w:tr>
    </w:tbl>
    <w:p w14:paraId="49BCC117" w14:textId="36808EB5" w:rsidR="003540DE" w:rsidRPr="003540DE" w:rsidRDefault="003540DE" w:rsidP="003540DE">
      <w:pPr>
        <w:rPr>
          <w:lang w:val="en-AU"/>
        </w:rPr>
      </w:pPr>
      <w:r w:rsidRPr="003540DE">
        <w:rPr>
          <w:lang w:val="en-AU"/>
        </w:rPr>
        <w:t>In the event of anaphylaxis or severe hypersensitivity reaction or severe infusion associated reactions</w:t>
      </w:r>
      <w:r>
        <w:rPr>
          <w:lang w:val="en-AU"/>
        </w:rPr>
        <w:t xml:space="preserve"> </w:t>
      </w:r>
      <w:r w:rsidRPr="003540DE">
        <w:rPr>
          <w:lang w:val="en-AU"/>
        </w:rPr>
        <w:t>(IARs), immediately discontinue administration of</w:t>
      </w:r>
      <w:r>
        <w:rPr>
          <w:lang w:val="en-AU"/>
        </w:rPr>
        <w:t xml:space="preserve"> </w:t>
      </w:r>
      <w:proofErr w:type="spellStart"/>
      <w:r>
        <w:rPr>
          <w:lang w:val="en-AU"/>
        </w:rPr>
        <w:t>Nexviazyme</w:t>
      </w:r>
      <w:proofErr w:type="spellEnd"/>
      <w:r>
        <w:rPr>
          <w:lang w:val="en-AU"/>
        </w:rPr>
        <w:t xml:space="preserve"> </w:t>
      </w:r>
      <w:r w:rsidRPr="003540DE">
        <w:rPr>
          <w:lang w:val="en-AU"/>
        </w:rPr>
        <w:t>and initiate</w:t>
      </w:r>
      <w:r>
        <w:rPr>
          <w:lang w:val="en-AU"/>
        </w:rPr>
        <w:t xml:space="preserve"> </w:t>
      </w:r>
      <w:r w:rsidRPr="003540DE">
        <w:rPr>
          <w:lang w:val="en-AU"/>
        </w:rPr>
        <w:t>appropriate medical treatment.</w:t>
      </w:r>
      <w:r>
        <w:rPr>
          <w:lang w:val="en-AU"/>
        </w:rPr>
        <w:t xml:space="preserve"> </w:t>
      </w:r>
      <w:r w:rsidRPr="003540DE">
        <w:rPr>
          <w:lang w:val="en-AU"/>
        </w:rPr>
        <w:t>In the event of mild to moderate hypersensitivity reactions or IARs, the infusion rate may be slowed or</w:t>
      </w:r>
      <w:r>
        <w:rPr>
          <w:lang w:val="en-AU"/>
        </w:rPr>
        <w:t xml:space="preserve"> </w:t>
      </w:r>
      <w:r w:rsidRPr="003540DE">
        <w:rPr>
          <w:lang w:val="en-AU"/>
        </w:rPr>
        <w:t xml:space="preserve">temporarily stopped and/or appropriate medical treatment initiated (see </w:t>
      </w:r>
      <w:r w:rsidR="00E85A50">
        <w:rPr>
          <w:lang w:val="en-AU"/>
        </w:rPr>
        <w:t xml:space="preserve">Section </w:t>
      </w:r>
      <w:r w:rsidR="00E85A50" w:rsidRPr="00E85A50">
        <w:rPr>
          <w:color w:val="0000FF"/>
          <w:lang w:val="en-AU"/>
        </w:rPr>
        <w:fldChar w:fldCharType="begin"/>
      </w:r>
      <w:r w:rsidR="00E85A50" w:rsidRPr="00E85A50">
        <w:rPr>
          <w:color w:val="0000FF"/>
          <w:lang w:val="en-AU"/>
        </w:rPr>
        <w:instrText xml:space="preserve"> REF _Ref52141112 \r \h  \* MERGEFORMAT </w:instrText>
      </w:r>
      <w:r w:rsidR="00E85A50" w:rsidRPr="00E85A50">
        <w:rPr>
          <w:color w:val="0000FF"/>
          <w:lang w:val="en-AU"/>
        </w:rPr>
      </w:r>
      <w:r w:rsidR="00E85A50" w:rsidRPr="00E85A50">
        <w:rPr>
          <w:color w:val="0000FF"/>
          <w:lang w:val="en-AU"/>
        </w:rPr>
        <w:fldChar w:fldCharType="separate"/>
      </w:r>
      <w:r w:rsidR="00751605">
        <w:rPr>
          <w:color w:val="0000FF"/>
          <w:lang w:val="en-AU"/>
        </w:rPr>
        <w:t>4.4</w:t>
      </w:r>
      <w:r w:rsidR="00E85A50" w:rsidRPr="00E85A50">
        <w:rPr>
          <w:color w:val="0000FF"/>
          <w:lang w:val="en-AU"/>
        </w:rPr>
        <w:fldChar w:fldCharType="end"/>
      </w:r>
      <w:r w:rsidRPr="003540DE">
        <w:rPr>
          <w:lang w:val="en-AU"/>
        </w:rPr>
        <w:t>).</w:t>
      </w:r>
    </w:p>
    <w:p w14:paraId="7C141E3B" w14:textId="207BDFB7" w:rsidR="003540DE" w:rsidRDefault="003540DE" w:rsidP="003540DE">
      <w:pPr>
        <w:rPr>
          <w:lang w:val="en-AU"/>
        </w:rPr>
      </w:pPr>
      <w:r w:rsidRPr="003540DE">
        <w:rPr>
          <w:lang w:val="en-AU"/>
        </w:rPr>
        <w:t>Symptoms may persist despite temporarily stopping the infusion; therefore, the treating physician</w:t>
      </w:r>
      <w:r>
        <w:rPr>
          <w:lang w:val="en-AU"/>
        </w:rPr>
        <w:t xml:space="preserve"> </w:t>
      </w:r>
      <w:r w:rsidRPr="003540DE">
        <w:rPr>
          <w:lang w:val="en-AU"/>
        </w:rPr>
        <w:t>should wait at least 30 minutes for symptoms of the reactions to resolve before deciding to stop the</w:t>
      </w:r>
      <w:r>
        <w:rPr>
          <w:lang w:val="en-AU"/>
        </w:rPr>
        <w:t xml:space="preserve"> </w:t>
      </w:r>
      <w:r w:rsidRPr="003540DE">
        <w:rPr>
          <w:lang w:val="en-AU"/>
        </w:rPr>
        <w:t>infusion for the remainder of the day. If symptoms subside, resume infusion rate for 30 minutes at half</w:t>
      </w:r>
      <w:r>
        <w:rPr>
          <w:lang w:val="en-AU"/>
        </w:rPr>
        <w:t xml:space="preserve"> </w:t>
      </w:r>
      <w:r w:rsidRPr="003540DE">
        <w:rPr>
          <w:lang w:val="en-AU"/>
        </w:rPr>
        <w:t>the rate, or less, of the rate at which the reactions occurred, followed by an increase in infusion rate by</w:t>
      </w:r>
      <w:r>
        <w:rPr>
          <w:lang w:val="en-AU"/>
        </w:rPr>
        <w:t xml:space="preserve"> </w:t>
      </w:r>
      <w:r w:rsidRPr="003540DE">
        <w:rPr>
          <w:lang w:val="en-AU"/>
        </w:rPr>
        <w:t>50% for 15 to 30 minutes. If symptoms do not recur, increase the infusion rate to the rate at which the</w:t>
      </w:r>
      <w:r>
        <w:rPr>
          <w:lang w:val="en-AU"/>
        </w:rPr>
        <w:t xml:space="preserve"> </w:t>
      </w:r>
      <w:r w:rsidRPr="003540DE">
        <w:rPr>
          <w:lang w:val="en-AU"/>
        </w:rPr>
        <w:t>reactions occurred and consider continuing to increase the rate in a stepwise manner until the</w:t>
      </w:r>
      <w:r>
        <w:rPr>
          <w:lang w:val="en-AU"/>
        </w:rPr>
        <w:t xml:space="preserve"> </w:t>
      </w:r>
      <w:r w:rsidRPr="003540DE">
        <w:rPr>
          <w:lang w:val="en-AU"/>
        </w:rPr>
        <w:t>maximum rate is achieved.</w:t>
      </w:r>
    </w:p>
    <w:p w14:paraId="4B4223B5" w14:textId="5D0B3A3A" w:rsidR="00C262EA" w:rsidRDefault="00C262EA" w:rsidP="003540DE">
      <w:pPr>
        <w:rPr>
          <w:lang w:val="en-AU"/>
        </w:rPr>
      </w:pPr>
      <w:proofErr w:type="spellStart"/>
      <w:r>
        <w:rPr>
          <w:lang w:val="en-AU"/>
        </w:rPr>
        <w:t>Nexviazyme</w:t>
      </w:r>
      <w:proofErr w:type="spellEnd"/>
      <w:r>
        <w:rPr>
          <w:lang w:val="en-AU"/>
        </w:rPr>
        <w:t xml:space="preserve"> is for single use in one patient only. Contains no antimicrobial preservative. </w:t>
      </w:r>
    </w:p>
    <w:p w14:paraId="14CCD268" w14:textId="44A6D580" w:rsidR="003540DE" w:rsidRDefault="003540DE" w:rsidP="003540DE">
      <w:pPr>
        <w:pStyle w:val="Heading3"/>
        <w:numPr>
          <w:ilvl w:val="0"/>
          <w:numId w:val="0"/>
        </w:numPr>
        <w:ind w:left="680" w:hanging="680"/>
        <w:rPr>
          <w:lang w:val="en-AU"/>
        </w:rPr>
      </w:pPr>
      <w:r>
        <w:rPr>
          <w:lang w:val="en-AU"/>
        </w:rPr>
        <w:t>Special populations</w:t>
      </w:r>
    </w:p>
    <w:p w14:paraId="139B6655" w14:textId="269CC265" w:rsidR="003540DE" w:rsidRPr="003540DE" w:rsidRDefault="003540DE" w:rsidP="003540DE">
      <w:pPr>
        <w:pStyle w:val="Heading5"/>
        <w:numPr>
          <w:ilvl w:val="0"/>
          <w:numId w:val="0"/>
        </w:numPr>
        <w:ind w:left="1009" w:hanging="1009"/>
        <w:rPr>
          <w:lang w:val="en-AU"/>
        </w:rPr>
      </w:pPr>
      <w:r w:rsidRPr="003540DE">
        <w:rPr>
          <w:lang w:val="en-AU"/>
        </w:rPr>
        <w:t>P</w:t>
      </w:r>
      <w:r>
        <w:rPr>
          <w:lang w:val="en-AU"/>
        </w:rPr>
        <w:t>a</w:t>
      </w:r>
      <w:r w:rsidRPr="003540DE">
        <w:rPr>
          <w:lang w:val="en-AU"/>
        </w:rPr>
        <w:t>ediatric population</w:t>
      </w:r>
    </w:p>
    <w:p w14:paraId="7BE7FC1D" w14:textId="7DE9FB39" w:rsidR="003540DE" w:rsidRDefault="003540DE" w:rsidP="003540DE">
      <w:pPr>
        <w:rPr>
          <w:lang w:val="en-AU"/>
        </w:rPr>
      </w:pPr>
      <w:r w:rsidRPr="003540DE">
        <w:rPr>
          <w:lang w:val="en-AU"/>
        </w:rPr>
        <w:t>The safety and</w:t>
      </w:r>
      <w:r>
        <w:rPr>
          <w:lang w:val="en-AU"/>
        </w:rPr>
        <w:t xml:space="preserve"> </w:t>
      </w:r>
      <w:r w:rsidRPr="003540DE">
        <w:rPr>
          <w:lang w:val="en-AU"/>
        </w:rPr>
        <w:t xml:space="preserve">efficacy of </w:t>
      </w:r>
      <w:proofErr w:type="spellStart"/>
      <w:r w:rsidRPr="003540DE">
        <w:rPr>
          <w:lang w:val="en-AU"/>
        </w:rPr>
        <w:t>avalglucosidase</w:t>
      </w:r>
      <w:proofErr w:type="spellEnd"/>
      <w:r w:rsidRPr="003540DE">
        <w:rPr>
          <w:lang w:val="en-AU"/>
        </w:rPr>
        <w:t xml:space="preserve"> alfa were assessed in 19 patients with IOPD (1 to 12 years of age) and 1</w:t>
      </w:r>
      <w:r>
        <w:rPr>
          <w:lang w:val="en-AU"/>
        </w:rPr>
        <w:t xml:space="preserve"> </w:t>
      </w:r>
      <w:r w:rsidRPr="003540DE">
        <w:rPr>
          <w:lang w:val="en-AU"/>
        </w:rPr>
        <w:t>p</w:t>
      </w:r>
      <w:r w:rsidR="00E85A50">
        <w:rPr>
          <w:lang w:val="en-AU"/>
        </w:rPr>
        <w:t>a</w:t>
      </w:r>
      <w:r w:rsidRPr="003540DE">
        <w:rPr>
          <w:lang w:val="en-AU"/>
        </w:rPr>
        <w:t>ediatric patient with LOPD (16 years of age) in 2 different clinical studies (see</w:t>
      </w:r>
      <w:r w:rsidR="00E85A50">
        <w:rPr>
          <w:lang w:val="en-AU"/>
        </w:rPr>
        <w:t xml:space="preserve"> Section </w:t>
      </w:r>
      <w:r w:rsidR="00E85A50" w:rsidRPr="00E85A50">
        <w:rPr>
          <w:color w:val="0000FF"/>
          <w:lang w:val="en-AU"/>
        </w:rPr>
        <w:fldChar w:fldCharType="begin"/>
      </w:r>
      <w:r w:rsidR="00E85A50" w:rsidRPr="00E85A50">
        <w:rPr>
          <w:color w:val="0000FF"/>
          <w:lang w:val="en-AU"/>
        </w:rPr>
        <w:instrText xml:space="preserve"> REF _Ref52141426 \r \h  \* MERGEFORMAT </w:instrText>
      </w:r>
      <w:r w:rsidR="00E85A50" w:rsidRPr="00E85A50">
        <w:rPr>
          <w:color w:val="0000FF"/>
          <w:lang w:val="en-AU"/>
        </w:rPr>
      </w:r>
      <w:r w:rsidR="00E85A50" w:rsidRPr="00E85A50">
        <w:rPr>
          <w:color w:val="0000FF"/>
          <w:lang w:val="en-AU"/>
        </w:rPr>
        <w:fldChar w:fldCharType="separate"/>
      </w:r>
      <w:r w:rsidR="00751605">
        <w:rPr>
          <w:color w:val="0000FF"/>
          <w:lang w:val="en-AU"/>
        </w:rPr>
        <w:t>4.8</w:t>
      </w:r>
      <w:r w:rsidR="00E85A50" w:rsidRPr="00E85A50">
        <w:rPr>
          <w:color w:val="0000FF"/>
          <w:lang w:val="en-AU"/>
        </w:rPr>
        <w:fldChar w:fldCharType="end"/>
      </w:r>
      <w:r w:rsidR="00F14210">
        <w:rPr>
          <w:color w:val="0000FF"/>
          <w:lang w:val="en-AU"/>
        </w:rPr>
        <w:t xml:space="preserve"> </w:t>
      </w:r>
      <w:r w:rsidR="00F14210" w:rsidRPr="00F14210">
        <w:rPr>
          <w:color w:val="auto"/>
          <w:lang w:val="en-AU"/>
        </w:rPr>
        <w:t xml:space="preserve">Adverse Effects (Undesirable Effects) and </w:t>
      </w:r>
      <w:r w:rsidR="008D4AAE">
        <w:rPr>
          <w:color w:val="auto"/>
          <w:lang w:val="en-AU"/>
        </w:rPr>
        <w:t xml:space="preserve">Section </w:t>
      </w:r>
      <w:r w:rsidR="008D4AAE" w:rsidRPr="008D4AAE">
        <w:rPr>
          <w:color w:val="0000FF"/>
          <w:lang w:val="en-AU"/>
        </w:rPr>
        <w:fldChar w:fldCharType="begin"/>
      </w:r>
      <w:r w:rsidR="008D4AAE" w:rsidRPr="008D4AAE">
        <w:rPr>
          <w:color w:val="0000FF"/>
          <w:lang w:val="en-AU"/>
        </w:rPr>
        <w:instrText xml:space="preserve"> REF _Ref86221820 \r \h  \* MERGEFORMAT </w:instrText>
      </w:r>
      <w:r w:rsidR="008D4AAE" w:rsidRPr="008D4AAE">
        <w:rPr>
          <w:color w:val="0000FF"/>
          <w:lang w:val="en-AU"/>
        </w:rPr>
      </w:r>
      <w:r w:rsidR="008D4AAE" w:rsidRPr="008D4AAE">
        <w:rPr>
          <w:color w:val="0000FF"/>
          <w:lang w:val="en-AU"/>
        </w:rPr>
        <w:fldChar w:fldCharType="separate"/>
      </w:r>
      <w:r w:rsidR="00751605">
        <w:rPr>
          <w:color w:val="0000FF"/>
          <w:lang w:val="en-AU"/>
        </w:rPr>
        <w:t>5.1</w:t>
      </w:r>
      <w:r w:rsidR="008D4AAE" w:rsidRPr="008D4AAE">
        <w:rPr>
          <w:color w:val="0000FF"/>
          <w:lang w:val="en-AU"/>
        </w:rPr>
        <w:fldChar w:fldCharType="end"/>
      </w:r>
      <w:r w:rsidR="00F14210" w:rsidRPr="00202F35">
        <w:rPr>
          <w:color w:val="0000FF"/>
          <w:u w:val="double"/>
          <w:lang w:val="en-AU"/>
        </w:rPr>
        <w:t xml:space="preserve"> </w:t>
      </w:r>
      <w:r w:rsidR="00F14210" w:rsidRPr="00F14210">
        <w:rPr>
          <w:color w:val="auto"/>
          <w:lang w:val="en-AU"/>
        </w:rPr>
        <w:t>Pharmacodynamic Properties, Clinical Trials</w:t>
      </w:r>
      <w:r w:rsidRPr="003540DE">
        <w:rPr>
          <w:lang w:val="en-AU"/>
        </w:rPr>
        <w:t>).</w:t>
      </w:r>
      <w:r w:rsidR="00F14210" w:rsidRPr="00F14210">
        <w:rPr>
          <w:lang w:val="en-AU"/>
        </w:rPr>
        <w:t xml:space="preserve"> </w:t>
      </w:r>
      <w:r w:rsidR="00F14210" w:rsidRPr="003540DE">
        <w:rPr>
          <w:lang w:val="en-AU"/>
        </w:rPr>
        <w:t>There are no data available in patients</w:t>
      </w:r>
      <w:r w:rsidR="00F14210">
        <w:rPr>
          <w:lang w:val="en-AU"/>
        </w:rPr>
        <w:t xml:space="preserve"> </w:t>
      </w:r>
      <w:r w:rsidR="00F14210" w:rsidRPr="003540DE">
        <w:rPr>
          <w:lang w:val="en-AU"/>
        </w:rPr>
        <w:t>younger</w:t>
      </w:r>
      <w:r w:rsidR="00F14210">
        <w:rPr>
          <w:lang w:val="en-AU"/>
        </w:rPr>
        <w:t xml:space="preserve"> than one year</w:t>
      </w:r>
      <w:r w:rsidR="00F14210" w:rsidRPr="003540DE">
        <w:rPr>
          <w:lang w:val="en-AU"/>
        </w:rPr>
        <w:t>.</w:t>
      </w:r>
    </w:p>
    <w:p w14:paraId="0DBFDC6C" w14:textId="77777777" w:rsidR="003540DE" w:rsidRPr="003540DE" w:rsidRDefault="003540DE" w:rsidP="003540DE">
      <w:pPr>
        <w:pStyle w:val="Heading5"/>
        <w:numPr>
          <w:ilvl w:val="0"/>
          <w:numId w:val="0"/>
        </w:numPr>
        <w:ind w:left="1009" w:hanging="1009"/>
        <w:rPr>
          <w:lang w:val="en-AU"/>
        </w:rPr>
      </w:pPr>
      <w:r w:rsidRPr="003540DE">
        <w:rPr>
          <w:lang w:val="en-AU"/>
        </w:rPr>
        <w:t>Elderly patients</w:t>
      </w:r>
    </w:p>
    <w:p w14:paraId="56D9C467" w14:textId="05AEE3F2" w:rsidR="003540DE" w:rsidRPr="003540DE" w:rsidRDefault="003540DE" w:rsidP="003540DE">
      <w:pPr>
        <w:rPr>
          <w:lang w:val="en-AU"/>
        </w:rPr>
      </w:pPr>
      <w:r w:rsidRPr="003540DE">
        <w:rPr>
          <w:lang w:val="en-AU"/>
        </w:rPr>
        <w:t>Clinical studies with</w:t>
      </w:r>
      <w:r w:rsidR="00AF6976">
        <w:rPr>
          <w:lang w:val="en-AU"/>
        </w:rPr>
        <w:t xml:space="preserve"> </w:t>
      </w:r>
      <w:proofErr w:type="spellStart"/>
      <w:r w:rsidR="00AF6976">
        <w:rPr>
          <w:lang w:val="en-AU"/>
        </w:rPr>
        <w:t>Nexviazyme</w:t>
      </w:r>
      <w:proofErr w:type="spellEnd"/>
      <w:r w:rsidR="00AF6976">
        <w:rPr>
          <w:lang w:val="en-AU"/>
        </w:rPr>
        <w:t xml:space="preserve"> </w:t>
      </w:r>
      <w:r w:rsidRPr="003540DE">
        <w:rPr>
          <w:lang w:val="en-AU"/>
        </w:rPr>
        <w:t>included 14 patients aged 65-75 years and 3 patients over the age of 75</w:t>
      </w:r>
      <w:r>
        <w:rPr>
          <w:lang w:val="en-AU"/>
        </w:rPr>
        <w:t xml:space="preserve"> </w:t>
      </w:r>
      <w:r w:rsidRPr="003540DE">
        <w:rPr>
          <w:lang w:val="en-AU"/>
        </w:rPr>
        <w:t>years. There is no recommended dose adjustment for patients over the age of 65 (see</w:t>
      </w:r>
      <w:r w:rsidR="00E85A50">
        <w:rPr>
          <w:lang w:val="en-AU"/>
        </w:rPr>
        <w:t xml:space="preserve"> Section </w:t>
      </w:r>
      <w:r w:rsidR="00E85A50" w:rsidRPr="00E85A50">
        <w:rPr>
          <w:color w:val="0000FF"/>
          <w:lang w:val="en-AU"/>
        </w:rPr>
        <w:fldChar w:fldCharType="begin"/>
      </w:r>
      <w:r w:rsidR="00E85A50" w:rsidRPr="00E85A50">
        <w:rPr>
          <w:color w:val="0000FF"/>
          <w:lang w:val="en-AU"/>
        </w:rPr>
        <w:instrText xml:space="preserve"> REF _Ref52141426 \r \h  \* MERGEFORMAT </w:instrText>
      </w:r>
      <w:r w:rsidR="00E85A50" w:rsidRPr="00E85A50">
        <w:rPr>
          <w:color w:val="0000FF"/>
          <w:lang w:val="en-AU"/>
        </w:rPr>
      </w:r>
      <w:r w:rsidR="00E85A50" w:rsidRPr="00E85A50">
        <w:rPr>
          <w:color w:val="0000FF"/>
          <w:lang w:val="en-AU"/>
        </w:rPr>
        <w:fldChar w:fldCharType="separate"/>
      </w:r>
      <w:r w:rsidR="00751605">
        <w:rPr>
          <w:color w:val="0000FF"/>
          <w:lang w:val="en-AU"/>
        </w:rPr>
        <w:t>4.8</w:t>
      </w:r>
      <w:r w:rsidR="00E85A50" w:rsidRPr="00E85A50">
        <w:rPr>
          <w:color w:val="0000FF"/>
          <w:lang w:val="en-AU"/>
        </w:rPr>
        <w:fldChar w:fldCharType="end"/>
      </w:r>
      <w:r w:rsidRPr="003540DE">
        <w:rPr>
          <w:lang w:val="en-AU"/>
        </w:rPr>
        <w:t>).</w:t>
      </w:r>
    </w:p>
    <w:p w14:paraId="7B5094C8" w14:textId="77777777" w:rsidR="003540DE" w:rsidRPr="003540DE" w:rsidRDefault="003540DE" w:rsidP="003540DE">
      <w:pPr>
        <w:pStyle w:val="Heading5"/>
        <w:numPr>
          <w:ilvl w:val="0"/>
          <w:numId w:val="0"/>
        </w:numPr>
        <w:ind w:left="1009" w:hanging="1009"/>
        <w:rPr>
          <w:lang w:val="en-AU"/>
        </w:rPr>
      </w:pPr>
      <w:r w:rsidRPr="003540DE">
        <w:rPr>
          <w:lang w:val="en-AU"/>
        </w:rPr>
        <w:lastRenderedPageBreak/>
        <w:t>Hepatic impairment</w:t>
      </w:r>
    </w:p>
    <w:p w14:paraId="5D68B60A" w14:textId="7420FD00" w:rsidR="003540DE" w:rsidRPr="003540DE" w:rsidRDefault="003540DE" w:rsidP="003540DE">
      <w:pPr>
        <w:rPr>
          <w:lang w:val="en-AU"/>
        </w:rPr>
      </w:pPr>
      <w:r w:rsidRPr="003540DE">
        <w:rPr>
          <w:lang w:val="en-AU"/>
        </w:rPr>
        <w:t xml:space="preserve">The safety and efficacy of </w:t>
      </w:r>
      <w:proofErr w:type="spellStart"/>
      <w:r w:rsidR="00AF6976">
        <w:rPr>
          <w:lang w:val="en-AU"/>
        </w:rPr>
        <w:t>Nexviazyme</w:t>
      </w:r>
      <w:proofErr w:type="spellEnd"/>
      <w:r w:rsidR="00AF6976">
        <w:rPr>
          <w:lang w:val="en-AU"/>
        </w:rPr>
        <w:t xml:space="preserve"> </w:t>
      </w:r>
      <w:r w:rsidRPr="003540DE">
        <w:rPr>
          <w:lang w:val="en-AU"/>
        </w:rPr>
        <w:t>have not been studied in patients with hepatic impairment.</w:t>
      </w:r>
    </w:p>
    <w:p w14:paraId="151C815E" w14:textId="77777777" w:rsidR="003540DE" w:rsidRPr="003540DE" w:rsidRDefault="003540DE" w:rsidP="003540DE">
      <w:pPr>
        <w:pStyle w:val="Heading5"/>
        <w:numPr>
          <w:ilvl w:val="0"/>
          <w:numId w:val="0"/>
        </w:numPr>
        <w:ind w:left="1009" w:hanging="1009"/>
        <w:rPr>
          <w:lang w:val="en-AU"/>
        </w:rPr>
      </w:pPr>
      <w:r w:rsidRPr="003540DE">
        <w:rPr>
          <w:lang w:val="en-AU"/>
        </w:rPr>
        <w:t>Renal impairment</w:t>
      </w:r>
    </w:p>
    <w:p w14:paraId="1CD775EF" w14:textId="3173E421" w:rsidR="00C605CB" w:rsidRDefault="003540DE" w:rsidP="00C605CB">
      <w:pPr>
        <w:rPr>
          <w:lang w:val="en-AU"/>
        </w:rPr>
      </w:pPr>
      <w:r w:rsidRPr="003540DE">
        <w:rPr>
          <w:lang w:val="en-AU"/>
        </w:rPr>
        <w:t xml:space="preserve">No dose adjustment is required in patients with mild renal impairment. </w:t>
      </w:r>
      <w:proofErr w:type="spellStart"/>
      <w:r w:rsidR="00AF6976">
        <w:rPr>
          <w:lang w:val="en-AU"/>
        </w:rPr>
        <w:t>Nexviazyme</w:t>
      </w:r>
      <w:proofErr w:type="spellEnd"/>
      <w:r w:rsidR="00AF6976">
        <w:rPr>
          <w:lang w:val="en-AU"/>
        </w:rPr>
        <w:t xml:space="preserve"> </w:t>
      </w:r>
      <w:r w:rsidRPr="003540DE">
        <w:rPr>
          <w:lang w:val="en-AU"/>
        </w:rPr>
        <w:t>has not been studied in</w:t>
      </w:r>
      <w:r>
        <w:rPr>
          <w:lang w:val="en-AU"/>
        </w:rPr>
        <w:t xml:space="preserve"> </w:t>
      </w:r>
      <w:r w:rsidRPr="003540DE">
        <w:rPr>
          <w:lang w:val="en-AU"/>
        </w:rPr>
        <w:t xml:space="preserve">patients with moderate or severe renal impairment (see </w:t>
      </w:r>
      <w:r w:rsidR="00E85A50">
        <w:rPr>
          <w:lang w:val="en-AU"/>
        </w:rPr>
        <w:t xml:space="preserve">Section </w:t>
      </w:r>
      <w:r w:rsidR="00E85A50" w:rsidRPr="00E85A50">
        <w:rPr>
          <w:color w:val="0000FF"/>
          <w:lang w:val="en-AU"/>
        </w:rPr>
        <w:fldChar w:fldCharType="begin"/>
      </w:r>
      <w:r w:rsidR="00E85A50" w:rsidRPr="00E85A50">
        <w:rPr>
          <w:color w:val="0000FF"/>
          <w:lang w:val="en-AU"/>
        </w:rPr>
        <w:instrText xml:space="preserve"> REF _Ref52141550 \r \h  \* MERGEFORMAT </w:instrText>
      </w:r>
      <w:r w:rsidR="00E85A50" w:rsidRPr="00E85A50">
        <w:rPr>
          <w:color w:val="0000FF"/>
          <w:lang w:val="en-AU"/>
        </w:rPr>
      </w:r>
      <w:r w:rsidR="00E85A50" w:rsidRPr="00E85A50">
        <w:rPr>
          <w:color w:val="0000FF"/>
          <w:lang w:val="en-AU"/>
        </w:rPr>
        <w:fldChar w:fldCharType="separate"/>
      </w:r>
      <w:r w:rsidR="00751605">
        <w:rPr>
          <w:color w:val="0000FF"/>
          <w:lang w:val="en-AU"/>
        </w:rPr>
        <w:t>5.2</w:t>
      </w:r>
      <w:r w:rsidR="00E85A50" w:rsidRPr="00E85A50">
        <w:rPr>
          <w:color w:val="0000FF"/>
          <w:lang w:val="en-AU"/>
        </w:rPr>
        <w:fldChar w:fldCharType="end"/>
      </w:r>
      <w:r w:rsidRPr="003540DE">
        <w:rPr>
          <w:lang w:val="en-AU"/>
        </w:rPr>
        <w:t>).</w:t>
      </w:r>
      <w:r w:rsidRPr="003540DE">
        <w:rPr>
          <w:lang w:val="en-AU"/>
        </w:rPr>
        <w:cr/>
      </w:r>
    </w:p>
    <w:p w14:paraId="116B6535" w14:textId="52B24A41" w:rsidR="00C262EA" w:rsidRDefault="00C262EA" w:rsidP="00C605CB">
      <w:pPr>
        <w:rPr>
          <w:lang w:val="en-AU"/>
        </w:rPr>
      </w:pPr>
      <w:r w:rsidRPr="00C605CB">
        <w:rPr>
          <w:rFonts w:ascii="Arial" w:eastAsia="MS Gothic" w:hAnsi="Arial" w:cs="Arial"/>
          <w:i/>
          <w:iCs/>
          <w:color w:val="auto"/>
          <w:kern w:val="32"/>
          <w:sz w:val="22"/>
          <w:szCs w:val="26"/>
          <w:lang w:val="en-AU"/>
        </w:rPr>
        <w:t>Home infusion</w:t>
      </w:r>
    </w:p>
    <w:p w14:paraId="01F35B35" w14:textId="77777777" w:rsidR="00F14210" w:rsidRPr="00F14210" w:rsidRDefault="00F14210" w:rsidP="00F14210">
      <w:pPr>
        <w:rPr>
          <w:lang w:val="en-AU"/>
        </w:rPr>
      </w:pPr>
      <w:r w:rsidRPr="00F14210">
        <w:rPr>
          <w:lang w:val="en-AU"/>
        </w:rPr>
        <w:t xml:space="preserve">Home administration by a trained health care professional may be considered for individual patients after safety and tolerability has been established in the clinical setting. </w:t>
      </w:r>
    </w:p>
    <w:p w14:paraId="353C1EEF" w14:textId="77777777" w:rsidR="006A0756" w:rsidRPr="00717E34" w:rsidRDefault="006A0756" w:rsidP="004F0E4A">
      <w:pPr>
        <w:rPr>
          <w:lang w:val="en-AU"/>
        </w:rPr>
      </w:pPr>
    </w:p>
    <w:p w14:paraId="7F7D043A" w14:textId="37E376B8" w:rsidR="001A3992" w:rsidRDefault="001A3992" w:rsidP="001A3992">
      <w:pPr>
        <w:pStyle w:val="Heading2"/>
        <w:spacing w:before="0" w:after="120"/>
        <w:rPr>
          <w:lang w:val="en-AU"/>
        </w:rPr>
      </w:pPr>
      <w:r w:rsidRPr="00717E34">
        <w:rPr>
          <w:lang w:val="en-AU"/>
        </w:rPr>
        <w:t>Contraindications</w:t>
      </w:r>
    </w:p>
    <w:p w14:paraId="2C4E437E" w14:textId="567454AD" w:rsidR="00AF6976" w:rsidRPr="00AF6976" w:rsidRDefault="00AF6976" w:rsidP="00AF6976">
      <w:pPr>
        <w:rPr>
          <w:lang w:val="en-AU"/>
        </w:rPr>
      </w:pPr>
      <w:r w:rsidRPr="00AF6976">
        <w:rPr>
          <w:lang w:val="en-AU"/>
        </w:rPr>
        <w:t>Life-threatening hypersensitivity to the active substance or to any of the excipients</w:t>
      </w:r>
      <w:r w:rsidR="007B3168">
        <w:rPr>
          <w:lang w:val="en-AU"/>
        </w:rPr>
        <w:t xml:space="preserve"> listed in Section </w:t>
      </w:r>
      <w:r w:rsidR="007B3168" w:rsidRPr="007B3168">
        <w:rPr>
          <w:color w:val="0000FF"/>
          <w:lang w:val="en-AU"/>
        </w:rPr>
        <w:fldChar w:fldCharType="begin"/>
      </w:r>
      <w:r w:rsidR="007B3168" w:rsidRPr="007B3168">
        <w:rPr>
          <w:color w:val="0000FF"/>
          <w:lang w:val="en-AU"/>
        </w:rPr>
        <w:instrText xml:space="preserve"> REF _Ref52140210 \r \h  \* MERGEFORMAT </w:instrText>
      </w:r>
      <w:r w:rsidR="007B3168" w:rsidRPr="007B3168">
        <w:rPr>
          <w:color w:val="0000FF"/>
          <w:lang w:val="en-AU"/>
        </w:rPr>
      </w:r>
      <w:r w:rsidR="007B3168" w:rsidRPr="007B3168">
        <w:rPr>
          <w:color w:val="0000FF"/>
          <w:lang w:val="en-AU"/>
        </w:rPr>
        <w:fldChar w:fldCharType="separate"/>
      </w:r>
      <w:r w:rsidR="00751605">
        <w:rPr>
          <w:color w:val="0000FF"/>
          <w:lang w:val="en-AU"/>
        </w:rPr>
        <w:t>6.1</w:t>
      </w:r>
      <w:r w:rsidR="007B3168" w:rsidRPr="007B3168">
        <w:rPr>
          <w:color w:val="0000FF"/>
          <w:lang w:val="en-AU"/>
        </w:rPr>
        <w:fldChar w:fldCharType="end"/>
      </w:r>
      <w:r w:rsidRPr="00AF6976">
        <w:rPr>
          <w:lang w:val="en-AU"/>
        </w:rPr>
        <w:t xml:space="preserve"> when re-challenge</w:t>
      </w:r>
      <w:r>
        <w:rPr>
          <w:lang w:val="en-AU"/>
        </w:rPr>
        <w:t xml:space="preserve"> </w:t>
      </w:r>
      <w:r w:rsidRPr="00AF6976">
        <w:rPr>
          <w:lang w:val="en-AU"/>
        </w:rPr>
        <w:t xml:space="preserve">was unsuccessful (see </w:t>
      </w:r>
      <w:r w:rsidR="009C3C42">
        <w:rPr>
          <w:lang w:val="en-AU"/>
        </w:rPr>
        <w:t xml:space="preserve">Section </w:t>
      </w:r>
      <w:r w:rsidR="009C3C42" w:rsidRPr="009C3C42">
        <w:rPr>
          <w:color w:val="0000FF"/>
          <w:lang w:val="en-AU"/>
        </w:rPr>
        <w:fldChar w:fldCharType="begin"/>
      </w:r>
      <w:r w:rsidR="009C3C42" w:rsidRPr="009C3C42">
        <w:rPr>
          <w:color w:val="0000FF"/>
          <w:lang w:val="en-AU"/>
        </w:rPr>
        <w:instrText xml:space="preserve"> REF _Ref52141112 \r \h  \* MERGEFORMAT </w:instrText>
      </w:r>
      <w:r w:rsidR="009C3C42" w:rsidRPr="009C3C42">
        <w:rPr>
          <w:color w:val="0000FF"/>
          <w:lang w:val="en-AU"/>
        </w:rPr>
      </w:r>
      <w:r w:rsidR="009C3C42" w:rsidRPr="009C3C42">
        <w:rPr>
          <w:color w:val="0000FF"/>
          <w:lang w:val="en-AU"/>
        </w:rPr>
        <w:fldChar w:fldCharType="separate"/>
      </w:r>
      <w:r w:rsidR="00751605">
        <w:rPr>
          <w:color w:val="0000FF"/>
          <w:lang w:val="en-AU"/>
        </w:rPr>
        <w:t>4.4</w:t>
      </w:r>
      <w:r w:rsidR="009C3C42" w:rsidRPr="009C3C42">
        <w:rPr>
          <w:color w:val="0000FF"/>
          <w:lang w:val="en-AU"/>
        </w:rPr>
        <w:fldChar w:fldCharType="end"/>
      </w:r>
      <w:r w:rsidRPr="00AF6976">
        <w:rPr>
          <w:lang w:val="en-AU"/>
        </w:rPr>
        <w:t>)</w:t>
      </w:r>
      <w:r w:rsidR="007B3168">
        <w:rPr>
          <w:lang w:val="en-AU"/>
        </w:rPr>
        <w:t>.</w:t>
      </w:r>
      <w:r w:rsidRPr="00AF6976">
        <w:rPr>
          <w:lang w:val="en-AU"/>
        </w:rPr>
        <w:cr/>
      </w:r>
    </w:p>
    <w:p w14:paraId="7A182292" w14:textId="77777777" w:rsidR="00292D82" w:rsidRPr="00717E34" w:rsidRDefault="00292D82" w:rsidP="00292D82">
      <w:pPr>
        <w:spacing w:before="120"/>
        <w:jc w:val="both"/>
        <w:rPr>
          <w:lang w:val="en-AU"/>
        </w:rPr>
      </w:pPr>
    </w:p>
    <w:p w14:paraId="0AF344D6" w14:textId="77777777" w:rsidR="001A3992" w:rsidRPr="00717E34" w:rsidRDefault="00E74A56" w:rsidP="001A3992">
      <w:pPr>
        <w:pStyle w:val="Heading2"/>
        <w:spacing w:before="0" w:after="120"/>
        <w:rPr>
          <w:lang w:val="en-AU"/>
        </w:rPr>
      </w:pPr>
      <w:bookmarkStart w:id="8" w:name="_Ref52141112"/>
      <w:r w:rsidRPr="00717E34">
        <w:rPr>
          <w:lang w:val="en-AU"/>
        </w:rPr>
        <w:t>Special warnings and p</w:t>
      </w:r>
      <w:r w:rsidR="001A3992" w:rsidRPr="00717E34">
        <w:rPr>
          <w:lang w:val="en-AU"/>
        </w:rPr>
        <w:t xml:space="preserve">recautions </w:t>
      </w:r>
      <w:r w:rsidRPr="00717E34">
        <w:rPr>
          <w:lang w:val="en-AU"/>
        </w:rPr>
        <w:t>for use</w:t>
      </w:r>
      <w:bookmarkEnd w:id="8"/>
    </w:p>
    <w:p w14:paraId="63BE57A7" w14:textId="7393132C" w:rsidR="0024632F" w:rsidRDefault="00AF6976" w:rsidP="00CA73C2">
      <w:pPr>
        <w:pStyle w:val="Heading3"/>
        <w:numPr>
          <w:ilvl w:val="0"/>
          <w:numId w:val="0"/>
        </w:numPr>
        <w:spacing w:before="0" w:after="120"/>
        <w:ind w:left="680" w:hanging="680"/>
        <w:rPr>
          <w:i/>
        </w:rPr>
      </w:pPr>
      <w:r>
        <w:rPr>
          <w:i/>
        </w:rPr>
        <w:t>Hypersensitivity reactions including anaphylaxis</w:t>
      </w:r>
    </w:p>
    <w:p w14:paraId="1E5CF7E6" w14:textId="3E69DBC5" w:rsidR="00AD65A5" w:rsidRDefault="00AD65A5" w:rsidP="00AD65A5">
      <w:r>
        <w:t xml:space="preserve">Hypersensitivity reactions, including anaphylaxis, have been reported in </w:t>
      </w:r>
      <w:proofErr w:type="spellStart"/>
      <w:r w:rsidR="00422E65">
        <w:t>Nexviazyme</w:t>
      </w:r>
      <w:proofErr w:type="spellEnd"/>
      <w:r w:rsidR="00422E65">
        <w:t xml:space="preserve"> </w:t>
      </w:r>
      <w:r>
        <w:t xml:space="preserve">treated patients. In clinical studies 60 (43.5%) patients experienced hypersensitivity reactions including 6 patients who reported severe hypersensitivity reactions and 2 patients who experienced anaphylaxis. Some of the hypersensitivity reactions were </w:t>
      </w:r>
      <w:proofErr w:type="spellStart"/>
      <w:r>
        <w:t>IgE</w:t>
      </w:r>
      <w:proofErr w:type="spellEnd"/>
      <w:r>
        <w:t xml:space="preserve"> mediated. Anaphylaxis symptoms included respiratory distress, chest pressure, </w:t>
      </w:r>
      <w:proofErr w:type="spellStart"/>
      <w:r>
        <w:t>generali</w:t>
      </w:r>
      <w:r w:rsidR="00B334D8" w:rsidRPr="007054FB">
        <w:t>s</w:t>
      </w:r>
      <w:r>
        <w:t>ed</w:t>
      </w:r>
      <w:proofErr w:type="spellEnd"/>
      <w:r>
        <w:t xml:space="preserve"> flushing, cough, dizziness, nausea, redness on palms, swollen lower lip, decreased breath sounds, redness on feet, swollen tongue, itchy palms and feet, and oxygen desaturation. Symptoms of severe hypersensitivity reactions included respiratory failure, respiratory </w:t>
      </w:r>
      <w:proofErr w:type="gramStart"/>
      <w:r>
        <w:t>distress</w:t>
      </w:r>
      <w:proofErr w:type="gramEnd"/>
      <w:r>
        <w:t xml:space="preserve"> and rash.</w:t>
      </w:r>
    </w:p>
    <w:p w14:paraId="18822D23" w14:textId="1A59E971" w:rsidR="00AD65A5" w:rsidRDefault="00AD65A5" w:rsidP="00AD65A5">
      <w:r>
        <w:t xml:space="preserve">Appropriate medical support measures, including cardiopulmonary resuscitation equipment especially for patients with cardiac hypertrophy and patients with significantly compromised respiratory function, should be readily available when </w:t>
      </w:r>
      <w:proofErr w:type="spellStart"/>
      <w:r w:rsidR="00422E65">
        <w:t>Nexviazyme</w:t>
      </w:r>
      <w:proofErr w:type="spellEnd"/>
      <w:r w:rsidR="00422E65">
        <w:t xml:space="preserve"> </w:t>
      </w:r>
      <w:r>
        <w:t>is administered.</w:t>
      </w:r>
    </w:p>
    <w:p w14:paraId="53AB7E32" w14:textId="7E20E2CA" w:rsidR="00AD65A5" w:rsidRDefault="00AD65A5" w:rsidP="00AD65A5">
      <w:r>
        <w:t xml:space="preserve">If severe hypersensitivity or anaphylaxis occur, </w:t>
      </w:r>
      <w:proofErr w:type="spellStart"/>
      <w:r w:rsidR="00422E65">
        <w:t>Nexviazyme</w:t>
      </w:r>
      <w:proofErr w:type="spellEnd"/>
      <w:r w:rsidR="00422E65">
        <w:t xml:space="preserve"> </w:t>
      </w:r>
      <w:r>
        <w:t xml:space="preserve">should be discontinued immediately, and appropriate medical treatment should be initiated. The risks and benefits of re-administering </w:t>
      </w:r>
      <w:proofErr w:type="spellStart"/>
      <w:r w:rsidR="00422E65">
        <w:t>Nexviazyme</w:t>
      </w:r>
      <w:proofErr w:type="spellEnd"/>
      <w:r w:rsidR="00422E65">
        <w:t xml:space="preserve"> </w:t>
      </w:r>
      <w:r>
        <w:t xml:space="preserve">following anaphylaxis or severe hypersensitivity reaction should be considered. Some patients have been re-challenged using slower infusion rates at a dose lower than the recommended dose. In patients with severe hypersensitivity, </w:t>
      </w:r>
      <w:proofErr w:type="spellStart"/>
      <w:r>
        <w:t>desensiti</w:t>
      </w:r>
      <w:r w:rsidR="00B334D8" w:rsidRPr="007054FB">
        <w:t>s</w:t>
      </w:r>
      <w:r>
        <w:t>ation</w:t>
      </w:r>
      <w:proofErr w:type="spellEnd"/>
      <w:r>
        <w:t xml:space="preserve"> procedure to </w:t>
      </w:r>
      <w:proofErr w:type="spellStart"/>
      <w:r w:rsidR="00422E65">
        <w:t>Nexviazyme</w:t>
      </w:r>
      <w:proofErr w:type="spellEnd"/>
      <w:r w:rsidR="00422E65">
        <w:t xml:space="preserve"> </w:t>
      </w:r>
      <w:r>
        <w:t xml:space="preserve">may be considered. If the decision is made to re-administer the product, extreme caution should be exercised, with appropriate resuscitation </w:t>
      </w:r>
      <w:r>
        <w:lastRenderedPageBreak/>
        <w:t>measures available. Once a patient tolerates the infusion, the dose may be increased to reach the approved dose.</w:t>
      </w:r>
    </w:p>
    <w:p w14:paraId="6C537EE2" w14:textId="3F028287" w:rsidR="00AF6976" w:rsidRDefault="00AD65A5" w:rsidP="00AD65A5">
      <w:r>
        <w:t>If mild or moderate hypersensitivity reactions occur, the infusion rate may be slowed or temporarily stopped.</w:t>
      </w:r>
      <w:r>
        <w:cr/>
      </w:r>
    </w:p>
    <w:p w14:paraId="18359DC1" w14:textId="2B56F6A3" w:rsidR="0024632F" w:rsidRDefault="00AD65A5" w:rsidP="00306657">
      <w:pPr>
        <w:pStyle w:val="Heading4"/>
        <w:numPr>
          <w:ilvl w:val="0"/>
          <w:numId w:val="0"/>
        </w:numPr>
        <w:spacing w:before="120"/>
        <w:ind w:left="862" w:hanging="862"/>
      </w:pPr>
      <w:r>
        <w:t>Infusion Associated Reactions</w:t>
      </w:r>
    </w:p>
    <w:p w14:paraId="433BE167" w14:textId="79CCFC9C" w:rsidR="00422E65" w:rsidRDefault="00422E65" w:rsidP="00B8302A">
      <w:r>
        <w:t xml:space="preserve">In clinical studies, IARs were reported to occur at any time during and/or within a few hours after the infusion of </w:t>
      </w:r>
      <w:proofErr w:type="spellStart"/>
      <w:r>
        <w:t>Nexviazyme</w:t>
      </w:r>
      <w:proofErr w:type="spellEnd"/>
      <w:r>
        <w:t xml:space="preserve"> and were more likely with higher infusion rates. IARs were reported in approximately</w:t>
      </w:r>
      <w:r w:rsidRPr="007054FB">
        <w:t xml:space="preserve"> </w:t>
      </w:r>
      <w:r w:rsidR="00551B71" w:rsidRPr="007054FB">
        <w:t>30.4</w:t>
      </w:r>
      <w:r w:rsidR="00B8302A" w:rsidRPr="007054FB">
        <w:t xml:space="preserve"> </w:t>
      </w:r>
      <w:r>
        <w:t xml:space="preserve">% of patients treated with </w:t>
      </w:r>
      <w:proofErr w:type="spellStart"/>
      <w:r>
        <w:t>Nexviazyme</w:t>
      </w:r>
      <w:proofErr w:type="spellEnd"/>
      <w:r>
        <w:t xml:space="preserve"> in clinical studies. The majority of IARs were assessed as mild to moderate and included symptoms such as chills, cough, </w:t>
      </w:r>
      <w:proofErr w:type="spellStart"/>
      <w:r>
        <w:t>diarrh</w:t>
      </w:r>
      <w:r w:rsidR="00306657">
        <w:t>o</w:t>
      </w:r>
      <w:r>
        <w:t>ea</w:t>
      </w:r>
      <w:proofErr w:type="spellEnd"/>
      <w:r>
        <w:t xml:space="preserve">, erythema, fatigue, headache, influenza like illness, nausea, ocular </w:t>
      </w:r>
      <w:proofErr w:type="spellStart"/>
      <w:r>
        <w:t>hyper</w:t>
      </w:r>
      <w:r w:rsidR="00306657">
        <w:t>a</w:t>
      </w:r>
      <w:r>
        <w:t>emia</w:t>
      </w:r>
      <w:proofErr w:type="spellEnd"/>
      <w:r>
        <w:t>, pain in extremity, pruritus, rash,</w:t>
      </w:r>
      <w:r w:rsidRPr="00422E65">
        <w:t xml:space="preserve"> </w:t>
      </w:r>
      <w:r>
        <w:t>rash erythematous, tachycardia, urticaria</w:t>
      </w:r>
      <w:r w:rsidR="007054FB">
        <w:t xml:space="preserve">, </w:t>
      </w:r>
      <w:r>
        <w:t>vomiting</w:t>
      </w:r>
      <w:r w:rsidR="00FB481F">
        <w:t>,</w:t>
      </w:r>
      <w:r w:rsidR="00551B71">
        <w:t xml:space="preserve"> </w:t>
      </w:r>
      <w:r w:rsidR="00551B71" w:rsidRPr="007054FB">
        <w:t xml:space="preserve">chest discomfort, dizziness, hyperhidrosis, lip swelling, oxygen saturation decreased, pain, palmar erythema, swollen </w:t>
      </w:r>
      <w:proofErr w:type="gramStart"/>
      <w:r w:rsidR="00551B71" w:rsidRPr="007054FB">
        <w:t>tongue</w:t>
      </w:r>
      <w:proofErr w:type="gramEnd"/>
      <w:r w:rsidR="00551B71" w:rsidRPr="007054FB">
        <w:t xml:space="preserve"> and tremor</w:t>
      </w:r>
      <w:r>
        <w:t xml:space="preserve">. In clinical studies, 3 (2.2%) patients reported severe IARs including symptoms of chest discomfort, </w:t>
      </w:r>
      <w:proofErr w:type="gramStart"/>
      <w:r>
        <w:t>nausea</w:t>
      </w:r>
      <w:proofErr w:type="gramEnd"/>
      <w:r>
        <w:t xml:space="preserve"> and increased blood pressure.</w:t>
      </w:r>
    </w:p>
    <w:p w14:paraId="46BD162F" w14:textId="1544665F" w:rsidR="00422E65" w:rsidRDefault="00422E65" w:rsidP="00422E65">
      <w:r>
        <w:t xml:space="preserve">Patients with an acute underlying illness at the time of </w:t>
      </w:r>
      <w:proofErr w:type="spellStart"/>
      <w:r>
        <w:t>Nexviazyme</w:t>
      </w:r>
      <w:proofErr w:type="spellEnd"/>
      <w:r>
        <w:t xml:space="preserve"> infusion appear to be at greater risk for IARs. Patients with advanced </w:t>
      </w:r>
      <w:proofErr w:type="spellStart"/>
      <w:r>
        <w:t>Pompe</w:t>
      </w:r>
      <w:proofErr w:type="spellEnd"/>
      <w:r>
        <w:t xml:space="preserve"> disease may have compromised cardiac and respiratory function, which may predispose them to a higher risk of severe complications from IARs. Antihistamines, antipyretics, and/or corticosteroids can be given to prevent or reduce IARs. However, IARs may still occur in patients after receiving pretreatment.</w:t>
      </w:r>
    </w:p>
    <w:p w14:paraId="424096F8" w14:textId="29C44A8F" w:rsidR="00AD65A5" w:rsidRDefault="00422E65" w:rsidP="00422E65">
      <w:r>
        <w:t xml:space="preserve">If severe IARs occur, immediate discontinuation of the administration of </w:t>
      </w:r>
      <w:proofErr w:type="spellStart"/>
      <w:r>
        <w:t>Nexviazyme</w:t>
      </w:r>
      <w:proofErr w:type="spellEnd"/>
      <w:r>
        <w:t xml:space="preserve"> should be considered and appropriate medical treatment should be initiated. The benefits and risks of re-administering </w:t>
      </w:r>
      <w:proofErr w:type="spellStart"/>
      <w:r>
        <w:t>Nexviazyme</w:t>
      </w:r>
      <w:proofErr w:type="spellEnd"/>
      <w:r>
        <w:t xml:space="preserve"> following severe IARs should be considered. Some patients have been re-challenged using slower infusion rates at a dose lower than the recommended dose. Once a patient tolerates the infusion, the dose may be increased to reach the approved dose. If a mild or moderate IARs occur regardless of pre-treatment, decreasing the infusion rate or temporarily stopping the infusion may ameliorate the symptoms (see</w:t>
      </w:r>
      <w:r w:rsidR="009C3C42">
        <w:t xml:space="preserve"> Section </w:t>
      </w:r>
      <w:r w:rsidR="009C3C42" w:rsidRPr="009C3C42">
        <w:rPr>
          <w:color w:val="0000FF"/>
        </w:rPr>
        <w:fldChar w:fldCharType="begin"/>
      </w:r>
      <w:r w:rsidR="009C3C42" w:rsidRPr="009C3C42">
        <w:rPr>
          <w:color w:val="0000FF"/>
        </w:rPr>
        <w:instrText xml:space="preserve"> REF _Ref52141426 \r \h  \* MERGEFORMAT </w:instrText>
      </w:r>
      <w:r w:rsidR="009C3C42" w:rsidRPr="009C3C42">
        <w:rPr>
          <w:color w:val="0000FF"/>
        </w:rPr>
      </w:r>
      <w:r w:rsidR="009C3C42" w:rsidRPr="009C3C42">
        <w:rPr>
          <w:color w:val="0000FF"/>
        </w:rPr>
        <w:fldChar w:fldCharType="separate"/>
      </w:r>
      <w:r w:rsidR="00751605">
        <w:rPr>
          <w:color w:val="0000FF"/>
        </w:rPr>
        <w:t>4.8</w:t>
      </w:r>
      <w:r w:rsidR="009C3C42" w:rsidRPr="009C3C42">
        <w:rPr>
          <w:color w:val="0000FF"/>
        </w:rPr>
        <w:fldChar w:fldCharType="end"/>
      </w:r>
      <w:r>
        <w:t>).</w:t>
      </w:r>
    </w:p>
    <w:p w14:paraId="350DA694" w14:textId="71CEF773" w:rsidR="00422E65" w:rsidRDefault="00422E65" w:rsidP="00422E65">
      <w:pPr>
        <w:pStyle w:val="Heading4"/>
        <w:numPr>
          <w:ilvl w:val="0"/>
          <w:numId w:val="0"/>
        </w:numPr>
        <w:ind w:left="862" w:hanging="862"/>
      </w:pPr>
      <w:r>
        <w:t>Immunogenicity</w:t>
      </w:r>
    </w:p>
    <w:p w14:paraId="603C0EEA" w14:textId="75DB1F3A" w:rsidR="00422E65" w:rsidRDefault="00422E65" w:rsidP="00422E65">
      <w:r>
        <w:t>Treatment emergent anti-drug antibodies (ADA) were reported in both treatment naïve (95%) and treatment experienced patients (49%) (see</w:t>
      </w:r>
      <w:r w:rsidR="0023461D">
        <w:t xml:space="preserve"> Section </w:t>
      </w:r>
      <w:r w:rsidR="0023461D" w:rsidRPr="0023461D">
        <w:rPr>
          <w:color w:val="0000FF"/>
        </w:rPr>
        <w:fldChar w:fldCharType="begin"/>
      </w:r>
      <w:r w:rsidR="0023461D" w:rsidRPr="0023461D">
        <w:rPr>
          <w:color w:val="0000FF"/>
        </w:rPr>
        <w:instrText xml:space="preserve"> REF _Ref52141426 \r \h  \* MERGEFORMAT </w:instrText>
      </w:r>
      <w:r w:rsidR="0023461D" w:rsidRPr="0023461D">
        <w:rPr>
          <w:color w:val="0000FF"/>
        </w:rPr>
      </w:r>
      <w:r w:rsidR="0023461D" w:rsidRPr="0023461D">
        <w:rPr>
          <w:color w:val="0000FF"/>
        </w:rPr>
        <w:fldChar w:fldCharType="separate"/>
      </w:r>
      <w:r w:rsidR="00751605">
        <w:rPr>
          <w:color w:val="0000FF"/>
        </w:rPr>
        <w:t>4.8</w:t>
      </w:r>
      <w:r w:rsidR="0023461D" w:rsidRPr="0023461D">
        <w:rPr>
          <w:color w:val="0000FF"/>
        </w:rPr>
        <w:fldChar w:fldCharType="end"/>
      </w:r>
      <w:r>
        <w:t>).</w:t>
      </w:r>
    </w:p>
    <w:p w14:paraId="5693287D" w14:textId="1B5DA578" w:rsidR="00422E65" w:rsidRDefault="00422E65" w:rsidP="00422E65">
      <w:r>
        <w:t xml:space="preserve">IARs and hypersensitivity reactions may occur independent of the development of ADA. The majority of IARs and hypersensitivity reactions were mild or moderate and were managed with standard clinical practices. In treatment-naïve patients, a trend for increases in the incidence of IARs was observed with increasing ADA </w:t>
      </w:r>
      <w:proofErr w:type="spellStart"/>
      <w:r w:rsidR="00306657">
        <w:t>titre</w:t>
      </w:r>
      <w:r>
        <w:t>s</w:t>
      </w:r>
      <w:proofErr w:type="spellEnd"/>
      <w:r>
        <w:t>, with the highest incidence of IARs (</w:t>
      </w:r>
      <w:r w:rsidR="00B8302A" w:rsidRPr="007054FB">
        <w:t>61.5</w:t>
      </w:r>
      <w:r>
        <w:t xml:space="preserve">%) reported in the high ADA peak </w:t>
      </w:r>
      <w:proofErr w:type="spellStart"/>
      <w:r w:rsidR="00306657">
        <w:t>titre</w:t>
      </w:r>
      <w:proofErr w:type="spellEnd"/>
      <w:r>
        <w:t xml:space="preserve"> range ≥12,800, compared with an incidence of</w:t>
      </w:r>
      <w:r w:rsidR="00B8302A" w:rsidRPr="007054FB">
        <w:t xml:space="preserve"> 24.1</w:t>
      </w:r>
      <w:r>
        <w:t xml:space="preserve">% in patients with intermediate ADA </w:t>
      </w:r>
      <w:proofErr w:type="spellStart"/>
      <w:r w:rsidR="00306657">
        <w:t>titre</w:t>
      </w:r>
      <w:proofErr w:type="spellEnd"/>
      <w:r>
        <w:t xml:space="preserve"> 1,600-6,400, an incidence of 7.1% in those with low ADA </w:t>
      </w:r>
      <w:proofErr w:type="spellStart"/>
      <w:r w:rsidR="00306657">
        <w:t>titre</w:t>
      </w:r>
      <w:proofErr w:type="spellEnd"/>
      <w:r>
        <w:t xml:space="preserve"> 100-800 and an incidence of 33.3% in those who were </w:t>
      </w:r>
      <w:r>
        <w:lastRenderedPageBreak/>
        <w:t xml:space="preserve">ADA negative </w:t>
      </w:r>
      <w:r w:rsidRPr="00FE369F">
        <w:rPr>
          <w:color w:val="auto"/>
        </w:rPr>
        <w:t xml:space="preserve">(33.3%). </w:t>
      </w:r>
      <w:r>
        <w:t xml:space="preserve">In clinical studies, the development of ADA did not impact clinical efficacy (see </w:t>
      </w:r>
      <w:r w:rsidR="002F45FB">
        <w:t xml:space="preserve">Section </w:t>
      </w:r>
      <w:r w:rsidR="002F45FB" w:rsidRPr="002F45FB">
        <w:rPr>
          <w:color w:val="0000FF"/>
        </w:rPr>
        <w:fldChar w:fldCharType="begin"/>
      </w:r>
      <w:r w:rsidR="002F45FB" w:rsidRPr="002F45FB">
        <w:rPr>
          <w:color w:val="0000FF"/>
        </w:rPr>
        <w:instrText xml:space="preserve"> REF _Ref52141426 \r \h  \* MERGEFORMAT </w:instrText>
      </w:r>
      <w:r w:rsidR="002F45FB" w:rsidRPr="002F45FB">
        <w:rPr>
          <w:color w:val="0000FF"/>
        </w:rPr>
      </w:r>
      <w:r w:rsidR="002F45FB" w:rsidRPr="002F45FB">
        <w:rPr>
          <w:color w:val="0000FF"/>
        </w:rPr>
        <w:fldChar w:fldCharType="separate"/>
      </w:r>
      <w:r w:rsidR="00751605">
        <w:rPr>
          <w:color w:val="0000FF"/>
        </w:rPr>
        <w:t>4.8</w:t>
      </w:r>
      <w:r w:rsidR="002F45FB" w:rsidRPr="002F45FB">
        <w:rPr>
          <w:color w:val="0000FF"/>
        </w:rPr>
        <w:fldChar w:fldCharType="end"/>
      </w:r>
      <w:r>
        <w:t>).</w:t>
      </w:r>
    </w:p>
    <w:p w14:paraId="1DDE1215" w14:textId="24DF24E6" w:rsidR="00422E65" w:rsidRDefault="00422E65" w:rsidP="00422E65">
      <w:r>
        <w:t>ADA testing may be considered if patients do not respond to therapy. Adverse-event-driven</w:t>
      </w:r>
      <w:r w:rsidR="00695117">
        <w:t xml:space="preserve"> </w:t>
      </w:r>
      <w:r>
        <w:t xml:space="preserve">immunologic testing, including IgG and </w:t>
      </w:r>
      <w:proofErr w:type="spellStart"/>
      <w:r>
        <w:t>IgE</w:t>
      </w:r>
      <w:proofErr w:type="spellEnd"/>
      <w:r>
        <w:t xml:space="preserve"> ADA, may be considered for patients who have risk for</w:t>
      </w:r>
      <w:r w:rsidR="00695117">
        <w:t xml:space="preserve"> </w:t>
      </w:r>
      <w:r>
        <w:t xml:space="preserve">allergic reaction or previous anaphylactic reaction to </w:t>
      </w:r>
      <w:proofErr w:type="spellStart"/>
      <w:r>
        <w:t>alglucosidase</w:t>
      </w:r>
      <w:proofErr w:type="spellEnd"/>
      <w:r>
        <w:t xml:space="preserve"> alfa.</w:t>
      </w:r>
    </w:p>
    <w:p w14:paraId="1F9749BF" w14:textId="496F6433" w:rsidR="00B272B2" w:rsidRDefault="00B272B2" w:rsidP="00422E65">
      <w:r w:rsidRPr="00B272B2">
        <w:t xml:space="preserve">If testing is warranted, contact Sanofi Genzyme at 1800 818 806 for information on </w:t>
      </w:r>
      <w:r w:rsidR="006B411E" w:rsidRPr="007054FB">
        <w:t>Sanofi Genzyme’s Rare Disease Specialty T</w:t>
      </w:r>
      <w:r w:rsidRPr="007054FB">
        <w:t>esting</w:t>
      </w:r>
      <w:r w:rsidR="006B411E" w:rsidRPr="007054FB">
        <w:t xml:space="preserve"> Program</w:t>
      </w:r>
      <w:r w:rsidRPr="00B272B2">
        <w:t>.</w:t>
      </w:r>
    </w:p>
    <w:p w14:paraId="560CA1B2" w14:textId="7E7F38D0" w:rsidR="00422E65" w:rsidRDefault="00695117" w:rsidP="00695117">
      <w:pPr>
        <w:pStyle w:val="Heading4"/>
        <w:numPr>
          <w:ilvl w:val="0"/>
          <w:numId w:val="0"/>
        </w:numPr>
        <w:ind w:left="862" w:hanging="862"/>
      </w:pPr>
      <w:r>
        <w:t>Risk of acute cardiorespiratory failure</w:t>
      </w:r>
    </w:p>
    <w:p w14:paraId="71B388DB" w14:textId="12255A06" w:rsidR="00695117" w:rsidRDefault="00695117" w:rsidP="00695117">
      <w:r>
        <w:t xml:space="preserve">Caution should be exercised when administering </w:t>
      </w:r>
      <w:proofErr w:type="spellStart"/>
      <w:r>
        <w:t>Nexviazyme</w:t>
      </w:r>
      <w:proofErr w:type="spellEnd"/>
      <w:r>
        <w:t xml:space="preserve"> to patients susceptible to fluid volume overload or patients with acute underlying respiratory illness or compromised cardiac and/or respiratory function for whom fluid restriction is indicated. These patients may be at risk of serious exacerbation of their cardiac or respiratory status during infusion. Appropriate medical support and monitoring measures should be readily available during </w:t>
      </w:r>
      <w:proofErr w:type="spellStart"/>
      <w:r>
        <w:t>Nexviazyme</w:t>
      </w:r>
      <w:proofErr w:type="spellEnd"/>
      <w:r>
        <w:t xml:space="preserve"> infusion, and some patients may require prolonged observation times that should be based on the individual needs of the patient.</w:t>
      </w:r>
    </w:p>
    <w:p w14:paraId="79D86A9E" w14:textId="307C7E49" w:rsidR="00695117" w:rsidRDefault="00695117" w:rsidP="00A81939">
      <w:pPr>
        <w:pStyle w:val="Heading4"/>
        <w:numPr>
          <w:ilvl w:val="0"/>
          <w:numId w:val="0"/>
        </w:numPr>
      </w:pPr>
      <w:r w:rsidRPr="00695117">
        <w:t xml:space="preserve">Cardiac arrhythmia and sudden death during general </w:t>
      </w:r>
      <w:proofErr w:type="spellStart"/>
      <w:r w:rsidR="00306657">
        <w:t>anaesthesia</w:t>
      </w:r>
      <w:proofErr w:type="spellEnd"/>
      <w:r w:rsidRPr="00695117">
        <w:t xml:space="preserve"> for central venous</w:t>
      </w:r>
      <w:r>
        <w:t xml:space="preserve"> </w:t>
      </w:r>
      <w:r w:rsidRPr="00695117">
        <w:t>catheter placement</w:t>
      </w:r>
    </w:p>
    <w:p w14:paraId="209DABAC" w14:textId="73837900" w:rsidR="00695117" w:rsidRDefault="00695117" w:rsidP="00695117">
      <w:r>
        <w:t xml:space="preserve">Caution should be used when administering general </w:t>
      </w:r>
      <w:proofErr w:type="spellStart"/>
      <w:r w:rsidR="00306657">
        <w:t>anaesthesia</w:t>
      </w:r>
      <w:proofErr w:type="spellEnd"/>
      <w:r>
        <w:t xml:space="preserve"> for the placement of a central venous catheter or for other surgical procedures in patients with IOPD with cardiac hypertrophy. Cardiac arrhythmia, including ventricular fibrillation, ventricular tachycardia, and bradycardia, resulting in cardiac arrest or death, or requiring cardiac resuscitation or defibrillation, have been associated with the use of general </w:t>
      </w:r>
      <w:proofErr w:type="spellStart"/>
      <w:r>
        <w:t>an</w:t>
      </w:r>
      <w:r w:rsidR="00306657">
        <w:t>a</w:t>
      </w:r>
      <w:r>
        <w:t>esthesia</w:t>
      </w:r>
      <w:proofErr w:type="spellEnd"/>
      <w:r>
        <w:t xml:space="preserve"> in IOPD patients with cardiac hypertrophy.</w:t>
      </w:r>
    </w:p>
    <w:p w14:paraId="5BF1A0CC" w14:textId="77777777" w:rsidR="0024632F" w:rsidRPr="009F7E53" w:rsidRDefault="0024632F" w:rsidP="00A81939">
      <w:pPr>
        <w:pStyle w:val="Heading4"/>
        <w:numPr>
          <w:ilvl w:val="0"/>
          <w:numId w:val="0"/>
        </w:numPr>
        <w:ind w:left="862" w:hanging="862"/>
      </w:pPr>
      <w:r w:rsidRPr="009F7E53">
        <w:t>Use in renal impairment</w:t>
      </w:r>
    </w:p>
    <w:p w14:paraId="5FB287FA" w14:textId="2389BF1A" w:rsidR="0024632F" w:rsidRPr="009F7E53" w:rsidRDefault="00DD48E4" w:rsidP="00A81939">
      <w:r w:rsidRPr="009F7E53">
        <w:t xml:space="preserve">No dose adjustment is required in patients with mild renal impairment. </w:t>
      </w:r>
      <w:proofErr w:type="spellStart"/>
      <w:r w:rsidRPr="009F7E53">
        <w:t>Nexviazyme</w:t>
      </w:r>
      <w:proofErr w:type="spellEnd"/>
      <w:r w:rsidRPr="009F7E53">
        <w:t xml:space="preserve"> has not been studied in patients with moderate or severe renal impairment (see section 5.2).</w:t>
      </w:r>
      <w:r w:rsidRPr="009F7E53">
        <w:cr/>
      </w:r>
    </w:p>
    <w:p w14:paraId="5F1761CD" w14:textId="19E7FF6A" w:rsidR="001A3992" w:rsidRPr="009F7E53" w:rsidRDefault="001A3992" w:rsidP="007054FB">
      <w:pPr>
        <w:pStyle w:val="Heading4"/>
        <w:numPr>
          <w:ilvl w:val="0"/>
          <w:numId w:val="0"/>
        </w:numPr>
        <w:spacing w:before="240"/>
        <w:ind w:left="862" w:hanging="862"/>
        <w:rPr>
          <w:lang w:val="en-AU"/>
        </w:rPr>
      </w:pPr>
      <w:r w:rsidRPr="009F7E53">
        <w:rPr>
          <w:lang w:val="en-AU"/>
        </w:rPr>
        <w:t xml:space="preserve">Use in </w:t>
      </w:r>
      <w:r w:rsidRPr="007054FB">
        <w:t>the</w:t>
      </w:r>
      <w:r w:rsidRPr="009F7E53">
        <w:rPr>
          <w:lang w:val="en-AU"/>
        </w:rPr>
        <w:t xml:space="preserve"> </w:t>
      </w:r>
      <w:r w:rsidRPr="009F7E53">
        <w:t>elderly</w:t>
      </w:r>
    </w:p>
    <w:p w14:paraId="743E499D" w14:textId="304A0604" w:rsidR="00DD48E4" w:rsidRPr="009F7E53" w:rsidRDefault="00DD48E4" w:rsidP="00DD48E4">
      <w:pPr>
        <w:rPr>
          <w:lang w:val="en-AU"/>
        </w:rPr>
      </w:pPr>
      <w:r w:rsidRPr="009F7E53">
        <w:rPr>
          <w:lang w:val="en-AU"/>
        </w:rPr>
        <w:t xml:space="preserve">Clinical studies with </w:t>
      </w:r>
      <w:proofErr w:type="spellStart"/>
      <w:r w:rsidRPr="009F7E53">
        <w:rPr>
          <w:lang w:val="en-AU"/>
        </w:rPr>
        <w:t>Nexviazyme</w:t>
      </w:r>
      <w:proofErr w:type="spellEnd"/>
      <w:r w:rsidRPr="009F7E53">
        <w:rPr>
          <w:lang w:val="en-AU"/>
        </w:rPr>
        <w:t xml:space="preserve"> included 14 patients aged 65-75 years and 3 patients over the age of 75 years. There is no recommended dose adjustment for patients over the age of 65 (see section 4.8).</w:t>
      </w:r>
    </w:p>
    <w:p w14:paraId="19349D04" w14:textId="77777777" w:rsidR="00D43FA2" w:rsidRPr="00D43FA2" w:rsidRDefault="00D43FA2" w:rsidP="00D43FA2">
      <w:pPr>
        <w:pStyle w:val="Heading4"/>
        <w:numPr>
          <w:ilvl w:val="0"/>
          <w:numId w:val="0"/>
        </w:numPr>
        <w:ind w:left="862" w:hanging="862"/>
        <w:rPr>
          <w:lang w:val="en-AU"/>
        </w:rPr>
      </w:pPr>
      <w:r w:rsidRPr="00D43FA2">
        <w:rPr>
          <w:lang w:val="en-AU"/>
        </w:rPr>
        <w:t>Hepatic impairment</w:t>
      </w:r>
    </w:p>
    <w:p w14:paraId="22D58DF6" w14:textId="12785615" w:rsidR="00D43FA2" w:rsidRPr="00D43FA2" w:rsidRDefault="00D43FA2" w:rsidP="00D43FA2">
      <w:pPr>
        <w:rPr>
          <w:highlight w:val="yellow"/>
          <w:lang w:val="en-AU"/>
        </w:rPr>
      </w:pPr>
      <w:r w:rsidRPr="00D43FA2">
        <w:rPr>
          <w:lang w:val="en-AU"/>
        </w:rPr>
        <w:t xml:space="preserve">The safety and efficacy of </w:t>
      </w:r>
      <w:proofErr w:type="spellStart"/>
      <w:r w:rsidRPr="00D43FA2">
        <w:rPr>
          <w:lang w:val="en-AU"/>
        </w:rPr>
        <w:t>Nexviazyme</w:t>
      </w:r>
      <w:proofErr w:type="spellEnd"/>
      <w:r w:rsidRPr="00D43FA2">
        <w:rPr>
          <w:lang w:val="en-AU"/>
        </w:rPr>
        <w:t xml:space="preserve"> have not been studied in patients with hepatic impairment.</w:t>
      </w:r>
    </w:p>
    <w:p w14:paraId="407C349A" w14:textId="363A032E" w:rsidR="001A3992" w:rsidRPr="009F7E53" w:rsidRDefault="001A3992" w:rsidP="00A81939">
      <w:pPr>
        <w:pStyle w:val="Heading4"/>
        <w:numPr>
          <w:ilvl w:val="0"/>
          <w:numId w:val="0"/>
        </w:numPr>
        <w:ind w:left="862" w:hanging="862"/>
        <w:rPr>
          <w:lang w:val="en-AU"/>
        </w:rPr>
      </w:pPr>
      <w:proofErr w:type="spellStart"/>
      <w:r w:rsidRPr="009F7E53">
        <w:lastRenderedPageBreak/>
        <w:t>Paediatric</w:t>
      </w:r>
      <w:proofErr w:type="spellEnd"/>
      <w:r w:rsidRPr="009F7E53">
        <w:rPr>
          <w:lang w:val="en-AU"/>
        </w:rPr>
        <w:t xml:space="preserve"> use</w:t>
      </w:r>
    </w:p>
    <w:p w14:paraId="77FABE86" w14:textId="4D0F5D77" w:rsidR="00BC364A" w:rsidRDefault="00F14210" w:rsidP="00BC364A">
      <w:pPr>
        <w:rPr>
          <w:lang w:val="en-AU"/>
        </w:rPr>
      </w:pPr>
      <w:r w:rsidRPr="003540DE">
        <w:rPr>
          <w:lang w:val="en-AU"/>
        </w:rPr>
        <w:t>The safety and</w:t>
      </w:r>
      <w:r>
        <w:rPr>
          <w:lang w:val="en-AU"/>
        </w:rPr>
        <w:t xml:space="preserve"> </w:t>
      </w:r>
      <w:r w:rsidRPr="003540DE">
        <w:rPr>
          <w:lang w:val="en-AU"/>
        </w:rPr>
        <w:t xml:space="preserve">efficacy of </w:t>
      </w:r>
      <w:proofErr w:type="spellStart"/>
      <w:r w:rsidRPr="003540DE">
        <w:rPr>
          <w:lang w:val="en-AU"/>
        </w:rPr>
        <w:t>avalglucosidase</w:t>
      </w:r>
      <w:proofErr w:type="spellEnd"/>
      <w:r w:rsidRPr="003540DE">
        <w:rPr>
          <w:lang w:val="en-AU"/>
        </w:rPr>
        <w:t xml:space="preserve"> alfa were assessed in 19 patients with IOPD (1 to 12 years of age) and 1</w:t>
      </w:r>
      <w:r>
        <w:rPr>
          <w:lang w:val="en-AU"/>
        </w:rPr>
        <w:t xml:space="preserve"> </w:t>
      </w:r>
      <w:r w:rsidRPr="003540DE">
        <w:rPr>
          <w:lang w:val="en-AU"/>
        </w:rPr>
        <w:t>p</w:t>
      </w:r>
      <w:r>
        <w:rPr>
          <w:lang w:val="en-AU"/>
        </w:rPr>
        <w:t>a</w:t>
      </w:r>
      <w:r w:rsidRPr="003540DE">
        <w:rPr>
          <w:lang w:val="en-AU"/>
        </w:rPr>
        <w:t>ediatric patient with LOPD (16 years of age) in 2 different clinical studies (see</w:t>
      </w:r>
      <w:r>
        <w:rPr>
          <w:lang w:val="en-AU"/>
        </w:rPr>
        <w:t xml:space="preserve"> Section </w:t>
      </w:r>
      <w:r w:rsidRPr="00E85A50">
        <w:rPr>
          <w:color w:val="0000FF"/>
          <w:lang w:val="en-AU"/>
        </w:rPr>
        <w:fldChar w:fldCharType="begin"/>
      </w:r>
      <w:r w:rsidRPr="00E85A50">
        <w:rPr>
          <w:color w:val="0000FF"/>
          <w:lang w:val="en-AU"/>
        </w:rPr>
        <w:instrText xml:space="preserve"> REF _Ref52141426 \r \h  \* MERGEFORMAT </w:instrText>
      </w:r>
      <w:r w:rsidRPr="00E85A50">
        <w:rPr>
          <w:color w:val="0000FF"/>
          <w:lang w:val="en-AU"/>
        </w:rPr>
      </w:r>
      <w:r w:rsidRPr="00E85A50">
        <w:rPr>
          <w:color w:val="0000FF"/>
          <w:lang w:val="en-AU"/>
        </w:rPr>
        <w:fldChar w:fldCharType="separate"/>
      </w:r>
      <w:r w:rsidR="00751605">
        <w:rPr>
          <w:color w:val="0000FF"/>
          <w:lang w:val="en-AU"/>
        </w:rPr>
        <w:t>4.8</w:t>
      </w:r>
      <w:r w:rsidRPr="00E85A50">
        <w:rPr>
          <w:color w:val="0000FF"/>
          <w:lang w:val="en-AU"/>
        </w:rPr>
        <w:fldChar w:fldCharType="end"/>
      </w:r>
      <w:r>
        <w:rPr>
          <w:color w:val="0000FF"/>
          <w:lang w:val="en-AU"/>
        </w:rPr>
        <w:t xml:space="preserve"> </w:t>
      </w:r>
      <w:r w:rsidRPr="00F14210">
        <w:rPr>
          <w:color w:val="auto"/>
          <w:lang w:val="en-AU"/>
        </w:rPr>
        <w:t xml:space="preserve">Adverse Effects (Undesirable Effects) and </w:t>
      </w:r>
      <w:r w:rsidR="008D4AAE">
        <w:rPr>
          <w:color w:val="auto"/>
          <w:lang w:val="en-AU"/>
        </w:rPr>
        <w:t xml:space="preserve">Section </w:t>
      </w:r>
      <w:r w:rsidR="008D4AAE" w:rsidRPr="008D4AAE">
        <w:rPr>
          <w:color w:val="0000FF"/>
          <w:lang w:val="en-AU"/>
        </w:rPr>
        <w:fldChar w:fldCharType="begin"/>
      </w:r>
      <w:r w:rsidR="008D4AAE" w:rsidRPr="008D4AAE">
        <w:rPr>
          <w:color w:val="0000FF"/>
          <w:lang w:val="en-AU"/>
        </w:rPr>
        <w:instrText xml:space="preserve"> REF _Ref86221820 \r \h  \* MERGEFORMAT </w:instrText>
      </w:r>
      <w:r w:rsidR="008D4AAE" w:rsidRPr="008D4AAE">
        <w:rPr>
          <w:color w:val="0000FF"/>
          <w:lang w:val="en-AU"/>
        </w:rPr>
      </w:r>
      <w:r w:rsidR="008D4AAE" w:rsidRPr="008D4AAE">
        <w:rPr>
          <w:color w:val="0000FF"/>
          <w:lang w:val="en-AU"/>
        </w:rPr>
        <w:fldChar w:fldCharType="separate"/>
      </w:r>
      <w:r w:rsidR="00751605">
        <w:rPr>
          <w:color w:val="0000FF"/>
          <w:lang w:val="en-AU"/>
        </w:rPr>
        <w:t>5.1</w:t>
      </w:r>
      <w:r w:rsidR="008D4AAE" w:rsidRPr="008D4AAE">
        <w:rPr>
          <w:color w:val="0000FF"/>
          <w:lang w:val="en-AU"/>
        </w:rPr>
        <w:fldChar w:fldCharType="end"/>
      </w:r>
      <w:r w:rsidRPr="00202F35">
        <w:rPr>
          <w:color w:val="0000FF"/>
          <w:u w:val="double"/>
          <w:lang w:val="en-AU"/>
        </w:rPr>
        <w:t xml:space="preserve"> </w:t>
      </w:r>
      <w:r w:rsidRPr="00F14210">
        <w:rPr>
          <w:color w:val="auto"/>
          <w:lang w:val="en-AU"/>
        </w:rPr>
        <w:t>Pharmacodynamic Properties, Clinical Trials</w:t>
      </w:r>
      <w:r w:rsidRPr="003540DE">
        <w:rPr>
          <w:lang w:val="en-AU"/>
        </w:rPr>
        <w:t>).</w:t>
      </w:r>
      <w:r w:rsidRPr="00F14210">
        <w:rPr>
          <w:lang w:val="en-AU"/>
        </w:rPr>
        <w:t xml:space="preserve"> </w:t>
      </w:r>
      <w:r w:rsidRPr="003540DE">
        <w:rPr>
          <w:lang w:val="en-AU"/>
        </w:rPr>
        <w:t>There are no data available in patients</w:t>
      </w:r>
      <w:r>
        <w:rPr>
          <w:lang w:val="en-AU"/>
        </w:rPr>
        <w:t xml:space="preserve"> </w:t>
      </w:r>
      <w:r w:rsidRPr="003540DE">
        <w:rPr>
          <w:lang w:val="en-AU"/>
        </w:rPr>
        <w:t>younger</w:t>
      </w:r>
      <w:r>
        <w:rPr>
          <w:lang w:val="en-AU"/>
        </w:rPr>
        <w:t xml:space="preserve"> than one year</w:t>
      </w:r>
      <w:r w:rsidRPr="003540DE">
        <w:rPr>
          <w:lang w:val="en-AU"/>
        </w:rPr>
        <w:t>.</w:t>
      </w:r>
    </w:p>
    <w:p w14:paraId="2E478FAF" w14:textId="77777777" w:rsidR="00F14210" w:rsidRPr="00717E34" w:rsidRDefault="00F14210" w:rsidP="00BC364A">
      <w:pPr>
        <w:rPr>
          <w:lang w:val="en-AU"/>
        </w:rPr>
      </w:pPr>
    </w:p>
    <w:p w14:paraId="696C1EED" w14:textId="656942D9" w:rsidR="001A3992" w:rsidRDefault="001A3992" w:rsidP="00CA73C2">
      <w:pPr>
        <w:pStyle w:val="Heading3"/>
        <w:numPr>
          <w:ilvl w:val="0"/>
          <w:numId w:val="0"/>
        </w:numPr>
        <w:spacing w:before="0" w:after="120"/>
        <w:ind w:left="680" w:hanging="680"/>
        <w:rPr>
          <w:i/>
          <w:lang w:val="en-AU"/>
        </w:rPr>
      </w:pPr>
      <w:r w:rsidRPr="00CA73C2">
        <w:rPr>
          <w:i/>
          <w:lang w:val="en-AU"/>
        </w:rPr>
        <w:t>Effects on laboratory tests</w:t>
      </w:r>
    </w:p>
    <w:p w14:paraId="12365B26" w14:textId="2181D0F3" w:rsidR="007B3168" w:rsidRDefault="007B3168" w:rsidP="007B3168">
      <w:pPr>
        <w:rPr>
          <w:lang w:val="en-AU"/>
        </w:rPr>
      </w:pPr>
      <w:r w:rsidRPr="00ED529F">
        <w:rPr>
          <w:lang w:val="en-AU"/>
        </w:rPr>
        <w:t>No data available.</w:t>
      </w:r>
      <w:r>
        <w:rPr>
          <w:lang w:val="en-AU"/>
        </w:rPr>
        <w:t xml:space="preserve"> </w:t>
      </w:r>
    </w:p>
    <w:p w14:paraId="73EB5ADD" w14:textId="77777777" w:rsidR="00A62F6D" w:rsidRPr="00717E34" w:rsidRDefault="00A62F6D" w:rsidP="00744556">
      <w:pPr>
        <w:rPr>
          <w:lang w:val="en-AU"/>
        </w:rPr>
      </w:pPr>
    </w:p>
    <w:p w14:paraId="2709B84A" w14:textId="0BA1D8B5" w:rsidR="001A3992" w:rsidRDefault="001A3992" w:rsidP="001A3992">
      <w:pPr>
        <w:pStyle w:val="Heading2"/>
        <w:keepLines/>
        <w:spacing w:before="0" w:after="120"/>
        <w:rPr>
          <w:lang w:val="en-AU"/>
        </w:rPr>
      </w:pPr>
      <w:r w:rsidRPr="00717E34">
        <w:rPr>
          <w:lang w:val="en-AU"/>
        </w:rPr>
        <w:t>Interactions with other medicines and other forms of interactions</w:t>
      </w:r>
    </w:p>
    <w:p w14:paraId="5B033CFE" w14:textId="68939DAE" w:rsidR="00A81939" w:rsidRPr="00A81939" w:rsidRDefault="00A81939" w:rsidP="00A81939">
      <w:pPr>
        <w:rPr>
          <w:lang w:val="en-AU"/>
        </w:rPr>
      </w:pPr>
      <w:r w:rsidRPr="00A81939">
        <w:rPr>
          <w:lang w:val="en-AU"/>
        </w:rPr>
        <w:t>No interaction studies have been performed</w:t>
      </w:r>
      <w:r w:rsidR="002F45FB">
        <w:rPr>
          <w:lang w:val="en-AU"/>
        </w:rPr>
        <w:t>.</w:t>
      </w:r>
    </w:p>
    <w:p w14:paraId="3AEFA6DB" w14:textId="77777777" w:rsidR="00BC364A" w:rsidRPr="00717E34" w:rsidRDefault="00BC364A" w:rsidP="00BC364A">
      <w:pPr>
        <w:rPr>
          <w:lang w:val="en-AU"/>
        </w:rPr>
      </w:pPr>
    </w:p>
    <w:p w14:paraId="16E0ED56" w14:textId="77777777" w:rsidR="001A3992" w:rsidRPr="00717E34" w:rsidRDefault="001A3992" w:rsidP="001A3992">
      <w:pPr>
        <w:pStyle w:val="Heading2"/>
        <w:spacing w:before="0" w:after="120"/>
        <w:rPr>
          <w:lang w:val="en-AU"/>
        </w:rPr>
      </w:pPr>
      <w:r w:rsidRPr="00717E34">
        <w:rPr>
          <w:lang w:val="en-AU"/>
        </w:rPr>
        <w:t xml:space="preserve">Fertility, pregnancy and lactation </w:t>
      </w:r>
    </w:p>
    <w:p w14:paraId="4DFDC48C" w14:textId="12203810" w:rsidR="001A3992" w:rsidRDefault="001A3992" w:rsidP="00CA73C2">
      <w:pPr>
        <w:pStyle w:val="Heading3"/>
        <w:numPr>
          <w:ilvl w:val="0"/>
          <w:numId w:val="0"/>
        </w:numPr>
        <w:spacing w:before="0" w:after="120"/>
        <w:rPr>
          <w:i/>
          <w:lang w:val="en-AU"/>
        </w:rPr>
      </w:pPr>
      <w:r w:rsidRPr="00CA73C2">
        <w:rPr>
          <w:i/>
          <w:lang w:val="en-AU"/>
        </w:rPr>
        <w:t>Effects on fertility</w:t>
      </w:r>
    </w:p>
    <w:p w14:paraId="1D0C2BAD" w14:textId="444C3642" w:rsidR="00DC4F7A" w:rsidRDefault="00A81939" w:rsidP="00DC4F7A">
      <w:pPr>
        <w:rPr>
          <w:lang w:val="en-AU"/>
        </w:rPr>
      </w:pPr>
      <w:r w:rsidRPr="00A81939">
        <w:rPr>
          <w:lang w:val="en-AU"/>
        </w:rPr>
        <w:t xml:space="preserve">There are no clinical data on the effects of </w:t>
      </w:r>
      <w:proofErr w:type="spellStart"/>
      <w:r w:rsidR="000D4A72">
        <w:rPr>
          <w:lang w:val="en-AU"/>
        </w:rPr>
        <w:t>Nexviazyme</w:t>
      </w:r>
      <w:proofErr w:type="spellEnd"/>
      <w:r w:rsidR="000D4A72">
        <w:rPr>
          <w:lang w:val="en-AU"/>
        </w:rPr>
        <w:t xml:space="preserve"> </w:t>
      </w:r>
      <w:r w:rsidRPr="00A81939">
        <w:rPr>
          <w:lang w:val="en-AU"/>
        </w:rPr>
        <w:t>on human fertility.</w:t>
      </w:r>
      <w:r w:rsidR="00DC4F7A">
        <w:rPr>
          <w:lang w:val="en-AU"/>
        </w:rPr>
        <w:t xml:space="preserve"> </w:t>
      </w:r>
      <w:proofErr w:type="spellStart"/>
      <w:r w:rsidR="00DC4F7A" w:rsidRPr="00DC4F7A">
        <w:rPr>
          <w:lang w:val="en-AU"/>
        </w:rPr>
        <w:t>Avalglucosidase</w:t>
      </w:r>
      <w:proofErr w:type="spellEnd"/>
      <w:r w:rsidR="00DC4F7A" w:rsidRPr="00DC4F7A">
        <w:rPr>
          <w:lang w:val="en-AU"/>
        </w:rPr>
        <w:t xml:space="preserve"> alfa caused no adverse effects in a combined male and female fertility study in mice</w:t>
      </w:r>
      <w:r w:rsidR="00DC4F7A">
        <w:rPr>
          <w:lang w:val="en-AU"/>
        </w:rPr>
        <w:t xml:space="preserve"> </w:t>
      </w:r>
      <w:r w:rsidR="00DC4F7A" w:rsidRPr="00DC4F7A">
        <w:rPr>
          <w:lang w:val="en-AU"/>
        </w:rPr>
        <w:t>up to 50 mg/kg IV every other day</w:t>
      </w:r>
      <w:r w:rsidR="00DC4F7A">
        <w:rPr>
          <w:lang w:val="en-AU"/>
        </w:rPr>
        <w:t>.</w:t>
      </w:r>
    </w:p>
    <w:p w14:paraId="7DB434A9" w14:textId="77777777" w:rsidR="00DC4F7A" w:rsidRPr="00A81939" w:rsidRDefault="00DC4F7A" w:rsidP="00DC4F7A">
      <w:pPr>
        <w:rPr>
          <w:lang w:val="en-AU"/>
        </w:rPr>
      </w:pPr>
    </w:p>
    <w:p w14:paraId="4F7D59F2" w14:textId="503A4F4F" w:rsidR="001A3992" w:rsidRDefault="001A3992" w:rsidP="00CA73C2">
      <w:pPr>
        <w:pStyle w:val="Heading3"/>
        <w:numPr>
          <w:ilvl w:val="0"/>
          <w:numId w:val="0"/>
        </w:numPr>
        <w:spacing w:before="0" w:after="120"/>
        <w:ind w:left="680" w:hanging="680"/>
        <w:rPr>
          <w:i/>
          <w:lang w:val="en-AU"/>
        </w:rPr>
      </w:pPr>
      <w:r w:rsidRPr="00ED529F">
        <w:rPr>
          <w:i/>
          <w:lang w:val="en-AU"/>
        </w:rPr>
        <w:t xml:space="preserve">Use in pregnancy </w:t>
      </w:r>
      <w:r w:rsidR="000D4A72" w:rsidRPr="00ED529F">
        <w:rPr>
          <w:i/>
          <w:lang w:val="en-AU"/>
        </w:rPr>
        <w:t>– Category</w:t>
      </w:r>
      <w:r w:rsidR="007B3168" w:rsidRPr="00ED529F">
        <w:rPr>
          <w:i/>
          <w:lang w:val="en-AU"/>
        </w:rPr>
        <w:t xml:space="preserve"> B1 </w:t>
      </w:r>
      <w:r w:rsidR="000D4A72">
        <w:rPr>
          <w:i/>
          <w:lang w:val="en-AU"/>
        </w:rPr>
        <w:t xml:space="preserve"> </w:t>
      </w:r>
    </w:p>
    <w:p w14:paraId="344B9624" w14:textId="6543F064" w:rsidR="00DC4F7A" w:rsidRDefault="00A81939" w:rsidP="00DC4F7A">
      <w:pPr>
        <w:rPr>
          <w:lang w:val="en-AU"/>
        </w:rPr>
      </w:pPr>
      <w:r w:rsidRPr="00A81939">
        <w:rPr>
          <w:lang w:val="en-AU"/>
        </w:rPr>
        <w:t xml:space="preserve">There are no available data on the use of </w:t>
      </w:r>
      <w:proofErr w:type="spellStart"/>
      <w:r>
        <w:rPr>
          <w:lang w:val="en-AU"/>
        </w:rPr>
        <w:t>Nexviazyme</w:t>
      </w:r>
      <w:proofErr w:type="spellEnd"/>
      <w:r>
        <w:rPr>
          <w:lang w:val="en-AU"/>
        </w:rPr>
        <w:t xml:space="preserve"> </w:t>
      </w:r>
      <w:r w:rsidRPr="00A81939">
        <w:rPr>
          <w:lang w:val="en-AU"/>
        </w:rPr>
        <w:t xml:space="preserve">in pregnant women. </w:t>
      </w:r>
      <w:r w:rsidR="00DC4F7A" w:rsidRPr="00DC4F7A">
        <w:rPr>
          <w:lang w:val="en-AU"/>
        </w:rPr>
        <w:t>In an embryo</w:t>
      </w:r>
      <w:r w:rsidR="006E20CB">
        <w:rPr>
          <w:lang w:val="en-AU"/>
        </w:rPr>
        <w:t>fetal</w:t>
      </w:r>
      <w:r w:rsidR="00DC4F7A" w:rsidRPr="00DC4F7A">
        <w:rPr>
          <w:lang w:val="en-AU"/>
        </w:rPr>
        <w:t xml:space="preserve"> toxicity study in mice, administration of </w:t>
      </w:r>
      <w:proofErr w:type="spellStart"/>
      <w:r w:rsidR="00DC4F7A" w:rsidRPr="00DC4F7A">
        <w:rPr>
          <w:lang w:val="en-AU"/>
        </w:rPr>
        <w:t>avalglucosidase</w:t>
      </w:r>
      <w:proofErr w:type="spellEnd"/>
      <w:r w:rsidR="00DC4F7A" w:rsidRPr="00DC4F7A">
        <w:rPr>
          <w:lang w:val="en-AU"/>
        </w:rPr>
        <w:t xml:space="preserve"> alfa </w:t>
      </w:r>
      <w:r w:rsidR="00C605CB" w:rsidRPr="00C605CB">
        <w:rPr>
          <w:lang w:val="en-AU"/>
        </w:rPr>
        <w:t>during the period of organogenesis</w:t>
      </w:r>
      <w:r w:rsidR="00C605CB" w:rsidRPr="00DC4F7A">
        <w:rPr>
          <w:lang w:val="en-AU"/>
        </w:rPr>
        <w:t xml:space="preserve"> </w:t>
      </w:r>
      <w:r w:rsidR="00DC4F7A" w:rsidRPr="00DC4F7A">
        <w:rPr>
          <w:lang w:val="en-AU"/>
        </w:rPr>
        <w:t xml:space="preserve">produced maternal toxicity related to </w:t>
      </w:r>
      <w:r w:rsidR="00C605CB">
        <w:rPr>
          <w:lang w:val="en-AU"/>
        </w:rPr>
        <w:t xml:space="preserve">an </w:t>
      </w:r>
      <w:r w:rsidR="00DC4F7A" w:rsidRPr="00DC4F7A">
        <w:rPr>
          <w:lang w:val="en-AU"/>
        </w:rPr>
        <w:t>immunologic</w:t>
      </w:r>
      <w:r w:rsidR="00C605CB">
        <w:rPr>
          <w:lang w:val="en-AU"/>
        </w:rPr>
        <w:t>al</w:t>
      </w:r>
      <w:r w:rsidR="00DC4F7A" w:rsidRPr="00DC4F7A">
        <w:rPr>
          <w:lang w:val="en-AU"/>
        </w:rPr>
        <w:t xml:space="preserve"> response (including an anaphylactoid</w:t>
      </w:r>
      <w:r w:rsidR="00DC4F7A">
        <w:rPr>
          <w:lang w:val="en-AU"/>
        </w:rPr>
        <w:t xml:space="preserve"> </w:t>
      </w:r>
      <w:r w:rsidR="00DC4F7A" w:rsidRPr="00DC4F7A">
        <w:rPr>
          <w:lang w:val="en-AU"/>
        </w:rPr>
        <w:t>response) at the highest dose of 50 mg/kg/day (17 times the human steady-state AUC at the</w:t>
      </w:r>
      <w:r w:rsidR="00DC4F7A">
        <w:rPr>
          <w:lang w:val="en-AU"/>
        </w:rPr>
        <w:t xml:space="preserve"> </w:t>
      </w:r>
      <w:r w:rsidR="00DC4F7A" w:rsidRPr="00DC4F7A">
        <w:rPr>
          <w:lang w:val="en-AU"/>
        </w:rPr>
        <w:t>recommended biweekly dose of 20 mg/kg for patients with LOPD). This dose also produced increased</w:t>
      </w:r>
      <w:r w:rsidR="00DC4F7A">
        <w:rPr>
          <w:lang w:val="en-AU"/>
        </w:rPr>
        <w:t xml:space="preserve"> </w:t>
      </w:r>
      <w:proofErr w:type="spellStart"/>
      <w:r w:rsidR="00815740">
        <w:rPr>
          <w:lang w:val="en-AU"/>
        </w:rPr>
        <w:t>fetal</w:t>
      </w:r>
      <w:proofErr w:type="spellEnd"/>
      <w:r w:rsidR="00815740">
        <w:rPr>
          <w:lang w:val="en-AU"/>
        </w:rPr>
        <w:t xml:space="preserve"> loss</w:t>
      </w:r>
      <w:r w:rsidR="00DC4F7A" w:rsidRPr="00DC4F7A">
        <w:rPr>
          <w:lang w:val="en-AU"/>
        </w:rPr>
        <w:t xml:space="preserve">. </w:t>
      </w:r>
      <w:proofErr w:type="spellStart"/>
      <w:r w:rsidR="00DC4F7A" w:rsidRPr="00DC4F7A">
        <w:rPr>
          <w:lang w:val="en-AU"/>
        </w:rPr>
        <w:t>Avalglucosidase</w:t>
      </w:r>
      <w:proofErr w:type="spellEnd"/>
      <w:r w:rsidR="00DC4F7A" w:rsidRPr="00DC4F7A">
        <w:rPr>
          <w:lang w:val="en-AU"/>
        </w:rPr>
        <w:t xml:space="preserve"> alfa does not cross the</w:t>
      </w:r>
      <w:r w:rsidR="00DC4F7A">
        <w:rPr>
          <w:lang w:val="en-AU"/>
        </w:rPr>
        <w:t xml:space="preserve"> </w:t>
      </w:r>
      <w:r w:rsidR="00DC4F7A" w:rsidRPr="00DC4F7A">
        <w:rPr>
          <w:lang w:val="en-AU"/>
        </w:rPr>
        <w:t>placenta in mice, suggesting that the embryo</w:t>
      </w:r>
      <w:r w:rsidR="006E20CB">
        <w:rPr>
          <w:lang w:val="en-AU"/>
        </w:rPr>
        <w:t>fetal</w:t>
      </w:r>
      <w:r w:rsidR="00DC4F7A" w:rsidRPr="00DC4F7A">
        <w:rPr>
          <w:lang w:val="en-AU"/>
        </w:rPr>
        <w:t xml:space="preserve"> effects were related to maternal toxicity from the</w:t>
      </w:r>
      <w:r w:rsidR="00DC4F7A">
        <w:rPr>
          <w:lang w:val="en-AU"/>
        </w:rPr>
        <w:t xml:space="preserve"> </w:t>
      </w:r>
      <w:r w:rsidR="00DC4F7A" w:rsidRPr="00DC4F7A">
        <w:rPr>
          <w:lang w:val="en-AU"/>
        </w:rPr>
        <w:t>immunologic</w:t>
      </w:r>
      <w:r w:rsidR="00C837E3">
        <w:rPr>
          <w:lang w:val="en-AU"/>
        </w:rPr>
        <w:t>al</w:t>
      </w:r>
      <w:r w:rsidR="00DC4F7A" w:rsidRPr="00DC4F7A">
        <w:rPr>
          <w:lang w:val="en-AU"/>
        </w:rPr>
        <w:t xml:space="preserve"> response. No malformations or developmental variations were observed. The</w:t>
      </w:r>
      <w:r w:rsidR="00DC4F7A">
        <w:rPr>
          <w:lang w:val="en-AU"/>
        </w:rPr>
        <w:t xml:space="preserve"> </w:t>
      </w:r>
      <w:r w:rsidR="00DC4F7A" w:rsidRPr="00DC4F7A">
        <w:rPr>
          <w:lang w:val="en-AU"/>
        </w:rPr>
        <w:t xml:space="preserve">developmental </w:t>
      </w:r>
      <w:r w:rsidR="00AF3F9B">
        <w:rPr>
          <w:lang w:val="en-AU"/>
        </w:rPr>
        <w:t>no-observed-adverse-effect level (</w:t>
      </w:r>
      <w:r w:rsidR="00DC4F7A" w:rsidRPr="00DC4F7A">
        <w:rPr>
          <w:lang w:val="en-AU"/>
        </w:rPr>
        <w:t>NOAEL</w:t>
      </w:r>
      <w:r w:rsidR="00AF3F9B">
        <w:rPr>
          <w:lang w:val="en-AU"/>
        </w:rPr>
        <w:t>)</w:t>
      </w:r>
      <w:r w:rsidR="00DC4F7A" w:rsidRPr="00DC4F7A">
        <w:rPr>
          <w:lang w:val="en-AU"/>
        </w:rPr>
        <w:t xml:space="preserve"> in mice was 20 mg/kg/day</w:t>
      </w:r>
      <w:r w:rsidR="00C837E3">
        <w:rPr>
          <w:lang w:val="en-AU"/>
        </w:rPr>
        <w:t xml:space="preserve"> (</w:t>
      </w:r>
      <w:r w:rsidR="00C837E3" w:rsidRPr="00C837E3">
        <w:rPr>
          <w:lang w:val="en-AU"/>
        </w:rPr>
        <w:t>4.8 times the human steady-state AUC at the recommended biweekly dose of 20 mg/kg for patients with LOPD)</w:t>
      </w:r>
      <w:r w:rsidR="00DC4F7A">
        <w:rPr>
          <w:lang w:val="en-AU"/>
        </w:rPr>
        <w:t xml:space="preserve">. </w:t>
      </w:r>
      <w:r w:rsidR="00DC4F7A" w:rsidRPr="00DC4F7A">
        <w:rPr>
          <w:lang w:val="en-AU"/>
        </w:rPr>
        <w:t>No adverse effects were observed in an embryo</w:t>
      </w:r>
      <w:r w:rsidR="006E20CB">
        <w:rPr>
          <w:lang w:val="en-AU"/>
        </w:rPr>
        <w:t>fetal</w:t>
      </w:r>
      <w:r w:rsidR="00DC4F7A" w:rsidRPr="00DC4F7A">
        <w:rPr>
          <w:lang w:val="en-AU"/>
        </w:rPr>
        <w:t xml:space="preserve"> toxicity study in rabbits administered</w:t>
      </w:r>
      <w:r w:rsidR="00DC4F7A">
        <w:rPr>
          <w:lang w:val="en-AU"/>
        </w:rPr>
        <w:t xml:space="preserve"> </w:t>
      </w:r>
      <w:proofErr w:type="spellStart"/>
      <w:r w:rsidR="00DC4F7A" w:rsidRPr="00DC4F7A">
        <w:rPr>
          <w:lang w:val="en-AU"/>
        </w:rPr>
        <w:t>avalglucosidase</w:t>
      </w:r>
      <w:proofErr w:type="spellEnd"/>
      <w:r w:rsidR="00DC4F7A" w:rsidRPr="00DC4F7A">
        <w:rPr>
          <w:lang w:val="en-AU"/>
        </w:rPr>
        <w:t xml:space="preserve"> alfa </w:t>
      </w:r>
      <w:r w:rsidR="00C837E3" w:rsidRPr="00C837E3">
        <w:rPr>
          <w:lang w:val="en-AU"/>
        </w:rPr>
        <w:t>during the period of organogenesis</w:t>
      </w:r>
      <w:r w:rsidR="00C837E3" w:rsidRPr="00DC4F7A">
        <w:rPr>
          <w:lang w:val="en-AU"/>
        </w:rPr>
        <w:t xml:space="preserve"> </w:t>
      </w:r>
      <w:r w:rsidR="00DC4F7A" w:rsidRPr="00DC4F7A">
        <w:rPr>
          <w:lang w:val="en-AU"/>
        </w:rPr>
        <w:t>up to 100 mg/kg/day IV (</w:t>
      </w:r>
      <w:r w:rsidR="00C837E3">
        <w:rPr>
          <w:lang w:val="en-AU"/>
        </w:rPr>
        <w:t>91</w:t>
      </w:r>
      <w:r w:rsidR="00DC4F7A" w:rsidRPr="00DC4F7A">
        <w:rPr>
          <w:lang w:val="en-AU"/>
        </w:rPr>
        <w:t xml:space="preserve"> times the human</w:t>
      </w:r>
      <w:r w:rsidR="00DC4F7A">
        <w:rPr>
          <w:lang w:val="en-AU"/>
        </w:rPr>
        <w:t xml:space="preserve"> </w:t>
      </w:r>
      <w:r w:rsidR="00DC4F7A" w:rsidRPr="00DC4F7A">
        <w:rPr>
          <w:lang w:val="en-AU"/>
        </w:rPr>
        <w:t>steady-state AUC at the recommended biweekly dose of 20 mg/kg for patients with LOPD)</w:t>
      </w:r>
      <w:r w:rsidR="00DC4F7A">
        <w:rPr>
          <w:lang w:val="en-AU"/>
        </w:rPr>
        <w:t>.</w:t>
      </w:r>
    </w:p>
    <w:p w14:paraId="3D695EB4" w14:textId="3EAF6776" w:rsidR="00F76677" w:rsidRPr="00717E34" w:rsidRDefault="00A81939" w:rsidP="00A81939">
      <w:pPr>
        <w:rPr>
          <w:lang w:val="en-AU"/>
        </w:rPr>
      </w:pPr>
      <w:r w:rsidRPr="00A81939">
        <w:rPr>
          <w:lang w:val="en-AU"/>
        </w:rPr>
        <w:t>The potential</w:t>
      </w:r>
      <w:r>
        <w:rPr>
          <w:lang w:val="en-AU"/>
        </w:rPr>
        <w:t xml:space="preserve"> </w:t>
      </w:r>
      <w:r w:rsidRPr="00A81939">
        <w:rPr>
          <w:lang w:val="en-AU"/>
        </w:rPr>
        <w:t xml:space="preserve">risk for humans is unknown. No conclusions can be drawn regarding </w:t>
      </w:r>
      <w:proofErr w:type="gramStart"/>
      <w:r w:rsidRPr="00A81939">
        <w:rPr>
          <w:lang w:val="en-AU"/>
        </w:rPr>
        <w:t>whether or not</w:t>
      </w:r>
      <w:proofErr w:type="gramEnd"/>
      <w:r w:rsidRPr="00A81939">
        <w:rPr>
          <w:lang w:val="en-AU"/>
        </w:rPr>
        <w:t xml:space="preserve"> </w:t>
      </w:r>
      <w:proofErr w:type="spellStart"/>
      <w:r>
        <w:rPr>
          <w:lang w:val="en-AU"/>
        </w:rPr>
        <w:t>Nexviazyme</w:t>
      </w:r>
      <w:proofErr w:type="spellEnd"/>
      <w:r>
        <w:rPr>
          <w:lang w:val="en-AU"/>
        </w:rPr>
        <w:t xml:space="preserve"> </w:t>
      </w:r>
      <w:r w:rsidRPr="00A81939">
        <w:rPr>
          <w:lang w:val="en-AU"/>
        </w:rPr>
        <w:t>is safe for</w:t>
      </w:r>
      <w:r>
        <w:rPr>
          <w:lang w:val="en-AU"/>
        </w:rPr>
        <w:t xml:space="preserve"> </w:t>
      </w:r>
      <w:r w:rsidRPr="00A81939">
        <w:rPr>
          <w:lang w:val="en-AU"/>
        </w:rPr>
        <w:t xml:space="preserve">use during pregnancy. </w:t>
      </w:r>
      <w:proofErr w:type="spellStart"/>
      <w:r>
        <w:rPr>
          <w:lang w:val="en-AU"/>
        </w:rPr>
        <w:t>Nexviazyme</w:t>
      </w:r>
      <w:proofErr w:type="spellEnd"/>
      <w:r>
        <w:rPr>
          <w:lang w:val="en-AU"/>
        </w:rPr>
        <w:t xml:space="preserve"> </w:t>
      </w:r>
      <w:r w:rsidRPr="00A81939">
        <w:rPr>
          <w:lang w:val="en-AU"/>
        </w:rPr>
        <w:t xml:space="preserve">should be used during </w:t>
      </w:r>
      <w:r w:rsidRPr="00A81939">
        <w:rPr>
          <w:lang w:val="en-AU"/>
        </w:rPr>
        <w:lastRenderedPageBreak/>
        <w:t>pregnancy only if the potential benefits to the</w:t>
      </w:r>
      <w:r>
        <w:rPr>
          <w:lang w:val="en-AU"/>
        </w:rPr>
        <w:t xml:space="preserve"> </w:t>
      </w:r>
      <w:r w:rsidRPr="00A81939">
        <w:rPr>
          <w:lang w:val="en-AU"/>
        </w:rPr>
        <w:t xml:space="preserve">mother outweigh the potential risks, including those to the </w:t>
      </w:r>
      <w:proofErr w:type="spellStart"/>
      <w:r w:rsidRPr="00A81939">
        <w:rPr>
          <w:lang w:val="en-AU"/>
        </w:rPr>
        <w:t>fetus</w:t>
      </w:r>
      <w:proofErr w:type="spellEnd"/>
      <w:r w:rsidRPr="00A81939">
        <w:rPr>
          <w:lang w:val="en-AU"/>
        </w:rPr>
        <w:t>.</w:t>
      </w:r>
      <w:r w:rsidRPr="00A81939">
        <w:rPr>
          <w:lang w:val="en-AU"/>
        </w:rPr>
        <w:cr/>
      </w:r>
    </w:p>
    <w:p w14:paraId="23CDAC80" w14:textId="4F28008D" w:rsidR="001A3992" w:rsidRDefault="001A3992" w:rsidP="00CA73C2">
      <w:pPr>
        <w:pStyle w:val="Heading3"/>
        <w:numPr>
          <w:ilvl w:val="0"/>
          <w:numId w:val="0"/>
        </w:numPr>
        <w:spacing w:before="0" w:after="120"/>
        <w:ind w:left="680" w:hanging="680"/>
        <w:rPr>
          <w:i/>
          <w:lang w:val="en-AU"/>
        </w:rPr>
      </w:pPr>
      <w:r w:rsidRPr="00CA73C2">
        <w:rPr>
          <w:i/>
          <w:lang w:val="en-AU"/>
        </w:rPr>
        <w:t xml:space="preserve">Use in lactation </w:t>
      </w:r>
    </w:p>
    <w:p w14:paraId="4CA9F7B1" w14:textId="72984CE7" w:rsidR="00A81939" w:rsidRDefault="00A81939" w:rsidP="00A81939">
      <w:pPr>
        <w:rPr>
          <w:lang w:val="en-AU"/>
        </w:rPr>
      </w:pPr>
      <w:r w:rsidRPr="00A81939">
        <w:rPr>
          <w:lang w:val="en-AU"/>
        </w:rPr>
        <w:t xml:space="preserve">There are no available data on the presence of </w:t>
      </w:r>
      <w:proofErr w:type="spellStart"/>
      <w:r>
        <w:rPr>
          <w:lang w:val="en-AU"/>
        </w:rPr>
        <w:t>Nexviazyme</w:t>
      </w:r>
      <w:proofErr w:type="spellEnd"/>
      <w:r>
        <w:rPr>
          <w:lang w:val="en-AU"/>
        </w:rPr>
        <w:t xml:space="preserve"> </w:t>
      </w:r>
      <w:r w:rsidRPr="00A81939">
        <w:rPr>
          <w:lang w:val="en-AU"/>
        </w:rPr>
        <w:t xml:space="preserve">in human milk or the effects of </w:t>
      </w:r>
      <w:proofErr w:type="spellStart"/>
      <w:r>
        <w:rPr>
          <w:lang w:val="en-AU"/>
        </w:rPr>
        <w:t>Nexviazyme</w:t>
      </w:r>
      <w:proofErr w:type="spellEnd"/>
      <w:r>
        <w:rPr>
          <w:lang w:val="en-AU"/>
        </w:rPr>
        <w:t xml:space="preserve"> </w:t>
      </w:r>
      <w:r w:rsidRPr="00A81939">
        <w:rPr>
          <w:lang w:val="en-AU"/>
        </w:rPr>
        <w:t>on milk</w:t>
      </w:r>
      <w:r>
        <w:rPr>
          <w:lang w:val="en-AU"/>
        </w:rPr>
        <w:t xml:space="preserve"> </w:t>
      </w:r>
      <w:r w:rsidRPr="00A81939">
        <w:rPr>
          <w:lang w:val="en-AU"/>
        </w:rPr>
        <w:t xml:space="preserve">production or the breastfed infant. No conclusions can be drawn regarding </w:t>
      </w:r>
      <w:proofErr w:type="gramStart"/>
      <w:r w:rsidRPr="00A81939">
        <w:rPr>
          <w:lang w:val="en-AU"/>
        </w:rPr>
        <w:t>whether or not</w:t>
      </w:r>
      <w:proofErr w:type="gramEnd"/>
      <w:r>
        <w:rPr>
          <w:lang w:val="en-AU"/>
        </w:rPr>
        <w:t xml:space="preserve"> </w:t>
      </w:r>
      <w:proofErr w:type="spellStart"/>
      <w:r>
        <w:rPr>
          <w:lang w:val="en-AU"/>
        </w:rPr>
        <w:t>Nexviazyme</w:t>
      </w:r>
      <w:proofErr w:type="spellEnd"/>
      <w:r>
        <w:rPr>
          <w:lang w:val="en-AU"/>
        </w:rPr>
        <w:t xml:space="preserve"> </w:t>
      </w:r>
      <w:r w:rsidRPr="00A81939">
        <w:rPr>
          <w:lang w:val="en-AU"/>
        </w:rPr>
        <w:t>is</w:t>
      </w:r>
      <w:r>
        <w:rPr>
          <w:lang w:val="en-AU"/>
        </w:rPr>
        <w:t xml:space="preserve"> </w:t>
      </w:r>
      <w:r w:rsidRPr="00A81939">
        <w:rPr>
          <w:lang w:val="en-AU"/>
        </w:rPr>
        <w:t>safe for use during breastfeeding.</w:t>
      </w:r>
      <w:r>
        <w:rPr>
          <w:lang w:val="en-AU"/>
        </w:rPr>
        <w:t xml:space="preserve"> </w:t>
      </w:r>
      <w:proofErr w:type="spellStart"/>
      <w:r>
        <w:rPr>
          <w:lang w:val="en-AU"/>
        </w:rPr>
        <w:t>Nexviazyme</w:t>
      </w:r>
      <w:proofErr w:type="spellEnd"/>
      <w:r>
        <w:rPr>
          <w:lang w:val="en-AU"/>
        </w:rPr>
        <w:t xml:space="preserve"> </w:t>
      </w:r>
      <w:r w:rsidRPr="00A81939">
        <w:rPr>
          <w:lang w:val="en-AU"/>
        </w:rPr>
        <w:t>should be used during breastfeeding only if the potential</w:t>
      </w:r>
      <w:r>
        <w:rPr>
          <w:lang w:val="en-AU"/>
        </w:rPr>
        <w:t xml:space="preserve"> </w:t>
      </w:r>
      <w:r w:rsidRPr="00A81939">
        <w:rPr>
          <w:lang w:val="en-AU"/>
        </w:rPr>
        <w:t>benefits to the mother outweigh the potential risks, including those to the breastfed child</w:t>
      </w:r>
      <w:r w:rsidR="00C23D9F">
        <w:rPr>
          <w:lang w:val="en-AU"/>
        </w:rPr>
        <w:t>.</w:t>
      </w:r>
    </w:p>
    <w:p w14:paraId="245F6A57" w14:textId="77777777" w:rsidR="00477BD3" w:rsidRPr="00477BD3" w:rsidRDefault="00477BD3" w:rsidP="00477BD3">
      <w:pPr>
        <w:rPr>
          <w:lang w:val="en-AU"/>
        </w:rPr>
      </w:pPr>
    </w:p>
    <w:p w14:paraId="7B7F5C26" w14:textId="4D606E6F" w:rsidR="001A3992" w:rsidRDefault="001A3992" w:rsidP="001A3992">
      <w:pPr>
        <w:pStyle w:val="Heading2"/>
        <w:spacing w:before="0" w:after="120"/>
        <w:rPr>
          <w:lang w:val="en-AU"/>
        </w:rPr>
      </w:pPr>
      <w:r w:rsidRPr="00717E34">
        <w:rPr>
          <w:lang w:val="en-AU"/>
        </w:rPr>
        <w:t xml:space="preserve">Effects on ability to drive and use machines </w:t>
      </w:r>
    </w:p>
    <w:p w14:paraId="64776485" w14:textId="3D5B6E0F" w:rsidR="00D21561" w:rsidRDefault="00A81939" w:rsidP="00744556">
      <w:pPr>
        <w:rPr>
          <w:lang w:val="en-AU"/>
        </w:rPr>
      </w:pPr>
      <w:r w:rsidRPr="00A81939">
        <w:rPr>
          <w:lang w:val="en-AU"/>
        </w:rPr>
        <w:t>No studies on the effects on the ability to drive and use machines have been performed. Because</w:t>
      </w:r>
      <w:r>
        <w:rPr>
          <w:lang w:val="en-AU"/>
        </w:rPr>
        <w:t xml:space="preserve"> </w:t>
      </w:r>
      <w:r w:rsidRPr="00A81939">
        <w:rPr>
          <w:lang w:val="en-AU"/>
        </w:rPr>
        <w:t>dizziness has been reported as an IAR, this may affect the ability to drive and use machines on the day</w:t>
      </w:r>
      <w:r>
        <w:rPr>
          <w:lang w:val="en-AU"/>
        </w:rPr>
        <w:t xml:space="preserve"> </w:t>
      </w:r>
      <w:r w:rsidRPr="00A81939">
        <w:rPr>
          <w:lang w:val="en-AU"/>
        </w:rPr>
        <w:t xml:space="preserve">of the infusion (see </w:t>
      </w:r>
      <w:r w:rsidR="00FE0B6F">
        <w:rPr>
          <w:lang w:val="en-AU"/>
        </w:rPr>
        <w:t xml:space="preserve">Section </w:t>
      </w:r>
      <w:r w:rsidR="00FE0B6F" w:rsidRPr="00FE0B6F">
        <w:rPr>
          <w:color w:val="0000FF"/>
          <w:lang w:val="en-AU"/>
        </w:rPr>
        <w:fldChar w:fldCharType="begin"/>
      </w:r>
      <w:r w:rsidR="00FE0B6F" w:rsidRPr="00FE0B6F">
        <w:rPr>
          <w:color w:val="0000FF"/>
          <w:lang w:val="en-AU"/>
        </w:rPr>
        <w:instrText xml:space="preserve"> REF _Ref52141426 \r \h  \* MERGEFORMAT </w:instrText>
      </w:r>
      <w:r w:rsidR="00FE0B6F" w:rsidRPr="00FE0B6F">
        <w:rPr>
          <w:color w:val="0000FF"/>
          <w:lang w:val="en-AU"/>
        </w:rPr>
      </w:r>
      <w:r w:rsidR="00FE0B6F" w:rsidRPr="00FE0B6F">
        <w:rPr>
          <w:color w:val="0000FF"/>
          <w:lang w:val="en-AU"/>
        </w:rPr>
        <w:fldChar w:fldCharType="separate"/>
      </w:r>
      <w:r w:rsidR="00751605">
        <w:rPr>
          <w:color w:val="0000FF"/>
          <w:lang w:val="en-AU"/>
        </w:rPr>
        <w:t>4.8</w:t>
      </w:r>
      <w:r w:rsidR="00FE0B6F" w:rsidRPr="00FE0B6F">
        <w:rPr>
          <w:color w:val="0000FF"/>
          <w:lang w:val="en-AU"/>
        </w:rPr>
        <w:fldChar w:fldCharType="end"/>
      </w:r>
      <w:r w:rsidRPr="00A81939">
        <w:rPr>
          <w:lang w:val="en-AU"/>
        </w:rPr>
        <w:t>).</w:t>
      </w:r>
      <w:r w:rsidRPr="00A81939">
        <w:rPr>
          <w:lang w:val="en-AU"/>
        </w:rPr>
        <w:cr/>
      </w:r>
    </w:p>
    <w:p w14:paraId="5AB31317" w14:textId="3D379FCF" w:rsidR="001A3992" w:rsidRDefault="001A3992" w:rsidP="006E20CB">
      <w:pPr>
        <w:pStyle w:val="Heading2"/>
        <w:keepNext w:val="0"/>
        <w:keepLines/>
        <w:spacing w:before="240" w:after="120"/>
        <w:rPr>
          <w:lang w:val="en-AU"/>
        </w:rPr>
      </w:pPr>
      <w:bookmarkStart w:id="9" w:name="_Ref52141426"/>
      <w:r w:rsidRPr="00717E34">
        <w:rPr>
          <w:lang w:val="en-AU"/>
        </w:rPr>
        <w:t>Adverse effects (Undesirable effects)</w:t>
      </w:r>
      <w:bookmarkEnd w:id="9"/>
    </w:p>
    <w:p w14:paraId="418F34D8" w14:textId="5F750675" w:rsidR="000D4A72" w:rsidRDefault="000D4A72" w:rsidP="000D4A72">
      <w:pPr>
        <w:rPr>
          <w:lang w:val="en-AU"/>
        </w:rPr>
      </w:pPr>
      <w:r w:rsidRPr="000D4A72">
        <w:rPr>
          <w:lang w:val="en-AU"/>
        </w:rPr>
        <w:t xml:space="preserve">Adverse reactions (reported in at least 3 patients) per System Organ Class, presented </w:t>
      </w:r>
      <w:r>
        <w:rPr>
          <w:lang w:val="en-AU"/>
        </w:rPr>
        <w:t xml:space="preserve">using the following CIOMS frequency rating: </w:t>
      </w:r>
      <w:r w:rsidRPr="000D4A72">
        <w:rPr>
          <w:lang w:val="en-AU"/>
        </w:rPr>
        <w:t>very common (≥1/10), common (≥1/100 to&lt;1/10), uncommon (≥1/1,000 to &lt;1/100), rare</w:t>
      </w:r>
      <w:r w:rsidRPr="000D4A72">
        <w:t xml:space="preserve"> </w:t>
      </w:r>
      <w:r w:rsidRPr="000D4A72">
        <w:rPr>
          <w:lang w:val="en-AU"/>
        </w:rPr>
        <w:t>(≥1/10,000 to &lt;1/1,000), very rare (&lt;1/10,000) and not known (cannot be estimated from the available</w:t>
      </w:r>
      <w:r>
        <w:rPr>
          <w:lang w:val="en-AU"/>
        </w:rPr>
        <w:t xml:space="preserve"> </w:t>
      </w:r>
      <w:r w:rsidRPr="000D4A72">
        <w:rPr>
          <w:lang w:val="en-AU"/>
        </w:rPr>
        <w:t>data).</w:t>
      </w:r>
    </w:p>
    <w:p w14:paraId="35F7F9EB" w14:textId="76A0FEA2" w:rsidR="000D4A72" w:rsidRDefault="000D4A72" w:rsidP="000D4A72">
      <w:pPr>
        <w:rPr>
          <w:lang w:val="en-AU"/>
        </w:rPr>
      </w:pPr>
      <w:r w:rsidRPr="000D4A72">
        <w:rPr>
          <w:lang w:val="en-AU"/>
        </w:rPr>
        <w:t xml:space="preserve">Due to the small patient population, an adverse reaction reported in </w:t>
      </w:r>
      <w:r w:rsidR="003733A7" w:rsidRPr="007054FB">
        <w:rPr>
          <w:lang w:val="en-AU"/>
        </w:rPr>
        <w:t>2</w:t>
      </w:r>
      <w:r w:rsidRPr="000D4A72">
        <w:rPr>
          <w:lang w:val="en-AU"/>
        </w:rPr>
        <w:t xml:space="preserve"> patients is classified as common.</w:t>
      </w:r>
      <w:r>
        <w:rPr>
          <w:lang w:val="en-AU"/>
        </w:rPr>
        <w:t xml:space="preserve"> </w:t>
      </w:r>
      <w:r w:rsidRPr="000D4A72">
        <w:rPr>
          <w:lang w:val="en-AU"/>
        </w:rPr>
        <w:t>Within each frequency grouping, adverse reactions are presented in order of decreasing seriousness</w:t>
      </w:r>
      <w:r>
        <w:rPr>
          <w:lang w:val="en-AU"/>
        </w:rPr>
        <w:t>.</w:t>
      </w:r>
    </w:p>
    <w:p w14:paraId="6CE9C349" w14:textId="77777777" w:rsidR="000D4A72" w:rsidRPr="000D4A72" w:rsidRDefault="000D4A72" w:rsidP="000D4A72">
      <w:pPr>
        <w:pStyle w:val="Heading4"/>
        <w:numPr>
          <w:ilvl w:val="0"/>
          <w:numId w:val="0"/>
        </w:numPr>
        <w:ind w:left="862" w:hanging="862"/>
        <w:rPr>
          <w:lang w:val="en-AU"/>
        </w:rPr>
      </w:pPr>
      <w:r w:rsidRPr="000D4A72">
        <w:rPr>
          <w:lang w:val="en-AU"/>
        </w:rPr>
        <w:t>Summary of the safety profile</w:t>
      </w:r>
    </w:p>
    <w:p w14:paraId="6F8B2376" w14:textId="58F64202" w:rsidR="000D4A72" w:rsidRPr="000D4A72" w:rsidRDefault="000D4A72" w:rsidP="000D4A72">
      <w:pPr>
        <w:rPr>
          <w:lang w:val="en-AU"/>
        </w:rPr>
      </w:pPr>
      <w:r w:rsidRPr="000D4A72">
        <w:rPr>
          <w:lang w:val="en-AU"/>
        </w:rPr>
        <w:t>The pooled safety analysis from 4 clinical studies EFC14028</w:t>
      </w:r>
      <w:r w:rsidR="006E20CB">
        <w:rPr>
          <w:lang w:val="en-AU"/>
        </w:rPr>
        <w:t xml:space="preserve"> (</w:t>
      </w:r>
      <w:r w:rsidRPr="000D4A72">
        <w:rPr>
          <w:lang w:val="en-AU"/>
        </w:rPr>
        <w:t>COMET</w:t>
      </w:r>
      <w:r w:rsidR="006E20CB">
        <w:rPr>
          <w:lang w:val="en-AU"/>
        </w:rPr>
        <w:t>)</w:t>
      </w:r>
      <w:r w:rsidRPr="000D4A72">
        <w:rPr>
          <w:lang w:val="en-AU"/>
        </w:rPr>
        <w:t>, ACT14132</w:t>
      </w:r>
      <w:r w:rsidR="006E20CB">
        <w:rPr>
          <w:lang w:val="en-AU"/>
        </w:rPr>
        <w:t xml:space="preserve"> (</w:t>
      </w:r>
      <w:r w:rsidRPr="000D4A72">
        <w:rPr>
          <w:lang w:val="en-AU"/>
        </w:rPr>
        <w:t>mini-COMET</w:t>
      </w:r>
      <w:r w:rsidR="006E20CB">
        <w:rPr>
          <w:lang w:val="en-AU"/>
        </w:rPr>
        <w:t>)</w:t>
      </w:r>
      <w:r w:rsidRPr="000D4A72">
        <w:rPr>
          <w:lang w:val="en-AU"/>
        </w:rPr>
        <w:t>,</w:t>
      </w:r>
      <w:r>
        <w:rPr>
          <w:lang w:val="en-AU"/>
        </w:rPr>
        <w:t xml:space="preserve"> </w:t>
      </w:r>
      <w:r w:rsidRPr="000D4A72">
        <w:rPr>
          <w:lang w:val="en-AU"/>
        </w:rPr>
        <w:t>TDR12857</w:t>
      </w:r>
      <w:r w:rsidR="006E20CB">
        <w:rPr>
          <w:lang w:val="en-AU"/>
        </w:rPr>
        <w:t xml:space="preserve"> (</w:t>
      </w:r>
      <w:r w:rsidRPr="000D4A72">
        <w:rPr>
          <w:lang w:val="en-AU"/>
        </w:rPr>
        <w:t>NEO</w:t>
      </w:r>
      <w:r w:rsidR="006E20CB">
        <w:rPr>
          <w:lang w:val="en-AU"/>
        </w:rPr>
        <w:t>)</w:t>
      </w:r>
      <w:r w:rsidRPr="000D4A72">
        <w:rPr>
          <w:lang w:val="en-AU"/>
        </w:rPr>
        <w:t>, and LTS13769</w:t>
      </w:r>
      <w:r w:rsidR="006E20CB">
        <w:rPr>
          <w:lang w:val="en-AU"/>
        </w:rPr>
        <w:t xml:space="preserve"> (</w:t>
      </w:r>
      <w:r w:rsidRPr="000D4A72">
        <w:rPr>
          <w:lang w:val="en-AU"/>
        </w:rPr>
        <w:t>NEO-EXT) included a total of 138 patients (118 adult and 20 p</w:t>
      </w:r>
      <w:r w:rsidR="00FE0B6F">
        <w:rPr>
          <w:lang w:val="en-AU"/>
        </w:rPr>
        <w:t>a</w:t>
      </w:r>
      <w:r w:rsidRPr="000D4A72">
        <w:rPr>
          <w:lang w:val="en-AU"/>
        </w:rPr>
        <w:t>ediatric</w:t>
      </w:r>
      <w:r>
        <w:rPr>
          <w:lang w:val="en-AU"/>
        </w:rPr>
        <w:t xml:space="preserve"> </w:t>
      </w:r>
      <w:r w:rsidRPr="000D4A72">
        <w:rPr>
          <w:lang w:val="en-AU"/>
        </w:rPr>
        <w:t xml:space="preserve">patients) treated with </w:t>
      </w:r>
      <w:proofErr w:type="spellStart"/>
      <w:r>
        <w:rPr>
          <w:lang w:val="en-AU"/>
        </w:rPr>
        <w:t>Nexviazyme</w:t>
      </w:r>
      <w:proofErr w:type="spellEnd"/>
      <w:r w:rsidRPr="000D4A72">
        <w:rPr>
          <w:lang w:val="en-AU"/>
        </w:rPr>
        <w:t>.</w:t>
      </w:r>
    </w:p>
    <w:p w14:paraId="780D58E6" w14:textId="6B3567F8" w:rsidR="000D4A72" w:rsidRDefault="000D4A72" w:rsidP="000D4A72">
      <w:pPr>
        <w:rPr>
          <w:lang w:val="en-AU"/>
        </w:rPr>
      </w:pPr>
      <w:r w:rsidRPr="000D4A72">
        <w:rPr>
          <w:lang w:val="en-AU"/>
        </w:rPr>
        <w:t xml:space="preserve">Serious adverse reactions reported in patients treated with </w:t>
      </w:r>
      <w:proofErr w:type="spellStart"/>
      <w:r>
        <w:rPr>
          <w:lang w:val="en-AU"/>
        </w:rPr>
        <w:t>Nexviazyme</w:t>
      </w:r>
      <w:proofErr w:type="spellEnd"/>
      <w:r w:rsidRPr="000D4A72">
        <w:rPr>
          <w:lang w:val="en-AU"/>
        </w:rPr>
        <w:t xml:space="preserve"> were headache, </w:t>
      </w:r>
      <w:r w:rsidR="006E20CB">
        <w:rPr>
          <w:lang w:val="en-AU"/>
        </w:rPr>
        <w:t>dyspnoea</w:t>
      </w:r>
      <w:r w:rsidRPr="000D4A72">
        <w:rPr>
          <w:lang w:val="en-AU"/>
        </w:rPr>
        <w:t>, respiratory</w:t>
      </w:r>
      <w:r>
        <w:rPr>
          <w:lang w:val="en-AU"/>
        </w:rPr>
        <w:t xml:space="preserve"> </w:t>
      </w:r>
      <w:r w:rsidRPr="000D4A72">
        <w:rPr>
          <w:lang w:val="en-AU"/>
        </w:rPr>
        <w:t>distress, nausea, skin discoloration, chills, chest discomfort, pyrexia, blood pressure increased, body</w:t>
      </w:r>
      <w:r>
        <w:rPr>
          <w:lang w:val="en-AU"/>
        </w:rPr>
        <w:t xml:space="preserve"> </w:t>
      </w:r>
      <w:r w:rsidRPr="000D4A72">
        <w:rPr>
          <w:lang w:val="en-AU"/>
        </w:rPr>
        <w:t>temperature increased, heart rate increase, and oxygen saturation decreased. A total of 2 patients</w:t>
      </w:r>
      <w:r>
        <w:rPr>
          <w:lang w:val="en-AU"/>
        </w:rPr>
        <w:t xml:space="preserve"> </w:t>
      </w:r>
      <w:r w:rsidRPr="000D4A72">
        <w:rPr>
          <w:lang w:val="en-AU"/>
        </w:rPr>
        <w:t xml:space="preserve">receiving </w:t>
      </w:r>
      <w:proofErr w:type="spellStart"/>
      <w:r>
        <w:rPr>
          <w:lang w:val="en-AU"/>
        </w:rPr>
        <w:t>Nexviazyme</w:t>
      </w:r>
      <w:proofErr w:type="spellEnd"/>
      <w:r>
        <w:rPr>
          <w:lang w:val="en-AU"/>
        </w:rPr>
        <w:t xml:space="preserve"> </w:t>
      </w:r>
      <w:r w:rsidRPr="000D4A72">
        <w:rPr>
          <w:lang w:val="en-AU"/>
        </w:rPr>
        <w:t xml:space="preserve">in clinical studies permanently discontinued treatment, of </w:t>
      </w:r>
      <w:proofErr w:type="gramStart"/>
      <w:r w:rsidRPr="000D4A72">
        <w:rPr>
          <w:lang w:val="en-AU"/>
        </w:rPr>
        <w:t>these 1 patient</w:t>
      </w:r>
      <w:proofErr w:type="gramEnd"/>
      <w:r w:rsidRPr="000D4A72">
        <w:rPr>
          <w:lang w:val="en-AU"/>
        </w:rPr>
        <w:t xml:space="preserve"> discontinued</w:t>
      </w:r>
      <w:r>
        <w:rPr>
          <w:lang w:val="en-AU"/>
        </w:rPr>
        <w:t xml:space="preserve"> </w:t>
      </w:r>
      <w:r w:rsidRPr="000D4A72">
        <w:rPr>
          <w:lang w:val="en-AU"/>
        </w:rPr>
        <w:t xml:space="preserve">the treatment because of </w:t>
      </w:r>
      <w:r w:rsidR="005C2567">
        <w:rPr>
          <w:lang w:val="en-AU"/>
        </w:rPr>
        <w:t xml:space="preserve">a </w:t>
      </w:r>
      <w:r w:rsidRPr="000D4A72">
        <w:rPr>
          <w:lang w:val="en-AU"/>
        </w:rPr>
        <w:t>serious adverse event. The most frequently reported adverse drug reactions</w:t>
      </w:r>
      <w:r>
        <w:rPr>
          <w:lang w:val="en-AU"/>
        </w:rPr>
        <w:t xml:space="preserve"> </w:t>
      </w:r>
      <w:r w:rsidRPr="000D4A72">
        <w:rPr>
          <w:lang w:val="en-AU"/>
        </w:rPr>
        <w:t>(ADRs) (&gt;5%) were headache, nausea, pruritus, rash, urticaria, fatigue and chills. IARs were reported</w:t>
      </w:r>
      <w:r>
        <w:rPr>
          <w:lang w:val="en-AU"/>
        </w:rPr>
        <w:t xml:space="preserve"> </w:t>
      </w:r>
      <w:r w:rsidRPr="000D4A72">
        <w:rPr>
          <w:lang w:val="en-AU"/>
        </w:rPr>
        <w:t>in</w:t>
      </w:r>
      <w:r w:rsidR="00B8302A" w:rsidRPr="00B8302A">
        <w:rPr>
          <w:color w:val="FF0000"/>
          <w:lang w:val="en-AU"/>
        </w:rPr>
        <w:t xml:space="preserve"> </w:t>
      </w:r>
      <w:r w:rsidR="00B8302A" w:rsidRPr="007054FB">
        <w:rPr>
          <w:lang w:val="en-AU"/>
        </w:rPr>
        <w:t>30.4</w:t>
      </w:r>
      <w:r w:rsidRPr="000D4A72">
        <w:rPr>
          <w:lang w:val="en-AU"/>
        </w:rPr>
        <w:t xml:space="preserve">% of patients. IARs reported in more than 1 patient included chills, cough, </w:t>
      </w:r>
      <w:r w:rsidR="00306657">
        <w:rPr>
          <w:lang w:val="en-AU"/>
        </w:rPr>
        <w:t>diarrhoea</w:t>
      </w:r>
      <w:r w:rsidRPr="000D4A72">
        <w:rPr>
          <w:lang w:val="en-AU"/>
        </w:rPr>
        <w:t>, erythema,</w:t>
      </w:r>
      <w:r>
        <w:rPr>
          <w:lang w:val="en-AU"/>
        </w:rPr>
        <w:t xml:space="preserve"> </w:t>
      </w:r>
      <w:r w:rsidRPr="000D4A72">
        <w:rPr>
          <w:lang w:val="en-AU"/>
        </w:rPr>
        <w:t xml:space="preserve">fatigue, headache, influenza-like illness, nausea, ocular </w:t>
      </w:r>
      <w:r w:rsidR="00306657" w:rsidRPr="007054FB">
        <w:rPr>
          <w:lang w:val="en-AU"/>
        </w:rPr>
        <w:t>hyperaemi</w:t>
      </w:r>
      <w:r w:rsidRPr="000D4A72">
        <w:rPr>
          <w:lang w:val="en-AU"/>
        </w:rPr>
        <w:t>a, pain in extremity, pruritus, rash, rash</w:t>
      </w:r>
      <w:r>
        <w:rPr>
          <w:lang w:val="en-AU"/>
        </w:rPr>
        <w:t xml:space="preserve"> </w:t>
      </w:r>
      <w:r w:rsidRPr="000D4A72">
        <w:rPr>
          <w:lang w:val="en-AU"/>
        </w:rPr>
        <w:t>erythematous, tachycardia, urticaria, vomiting</w:t>
      </w:r>
      <w:r w:rsidR="00B8302A">
        <w:rPr>
          <w:lang w:val="en-AU"/>
        </w:rPr>
        <w:t xml:space="preserve">, </w:t>
      </w:r>
      <w:r w:rsidR="00B8302A" w:rsidRPr="007054FB">
        <w:rPr>
          <w:lang w:val="en-AU"/>
        </w:rPr>
        <w:t xml:space="preserve">chest discomfort, dizziness, hyperhidrosis, lip swelling, oxygen saturation decreased, pain, palmar </w:t>
      </w:r>
      <w:r w:rsidR="00B8302A" w:rsidRPr="007054FB">
        <w:rPr>
          <w:lang w:val="en-AU"/>
        </w:rPr>
        <w:lastRenderedPageBreak/>
        <w:t xml:space="preserve">erythema, swollen </w:t>
      </w:r>
      <w:proofErr w:type="gramStart"/>
      <w:r w:rsidR="00B8302A" w:rsidRPr="007054FB">
        <w:rPr>
          <w:lang w:val="en-AU"/>
        </w:rPr>
        <w:t>tongue</w:t>
      </w:r>
      <w:proofErr w:type="gramEnd"/>
      <w:r w:rsidR="00B8302A" w:rsidRPr="007054FB">
        <w:rPr>
          <w:lang w:val="en-AU"/>
        </w:rPr>
        <w:t xml:space="preserve"> and tremor</w:t>
      </w:r>
      <w:r w:rsidRPr="000D4A72">
        <w:rPr>
          <w:lang w:val="en-AU"/>
        </w:rPr>
        <w:t>. The majority of IARs were assessed as mild to</w:t>
      </w:r>
      <w:r>
        <w:rPr>
          <w:lang w:val="en-AU"/>
        </w:rPr>
        <w:t xml:space="preserve"> </w:t>
      </w:r>
      <w:r w:rsidRPr="000D4A72">
        <w:rPr>
          <w:lang w:val="en-AU"/>
        </w:rPr>
        <w:t xml:space="preserve">moderate (see </w:t>
      </w:r>
      <w:r w:rsidR="00FE0B6F">
        <w:rPr>
          <w:lang w:val="en-AU"/>
        </w:rPr>
        <w:t xml:space="preserve">Section </w:t>
      </w:r>
      <w:r w:rsidR="00FE0B6F" w:rsidRPr="00FE0B6F">
        <w:rPr>
          <w:color w:val="0000FF"/>
          <w:lang w:val="en-AU"/>
        </w:rPr>
        <w:fldChar w:fldCharType="begin"/>
      </w:r>
      <w:r w:rsidR="00FE0B6F" w:rsidRPr="00FE0B6F">
        <w:rPr>
          <w:color w:val="0000FF"/>
          <w:lang w:val="en-AU"/>
        </w:rPr>
        <w:instrText xml:space="preserve"> REF _Ref52141112 \r \h  \* MERGEFORMAT </w:instrText>
      </w:r>
      <w:r w:rsidR="00FE0B6F" w:rsidRPr="00FE0B6F">
        <w:rPr>
          <w:color w:val="0000FF"/>
          <w:lang w:val="en-AU"/>
        </w:rPr>
      </w:r>
      <w:r w:rsidR="00FE0B6F" w:rsidRPr="00FE0B6F">
        <w:rPr>
          <w:color w:val="0000FF"/>
          <w:lang w:val="en-AU"/>
        </w:rPr>
        <w:fldChar w:fldCharType="separate"/>
      </w:r>
      <w:r w:rsidR="00751605">
        <w:rPr>
          <w:color w:val="0000FF"/>
          <w:lang w:val="en-AU"/>
        </w:rPr>
        <w:t>4.4</w:t>
      </w:r>
      <w:r w:rsidR="00FE0B6F" w:rsidRPr="00FE0B6F">
        <w:rPr>
          <w:color w:val="0000FF"/>
          <w:lang w:val="en-AU"/>
        </w:rPr>
        <w:fldChar w:fldCharType="end"/>
      </w:r>
      <w:r w:rsidRPr="000D4A72">
        <w:rPr>
          <w:lang w:val="en-AU"/>
        </w:rPr>
        <w:t>).</w:t>
      </w:r>
    </w:p>
    <w:p w14:paraId="4D100E56" w14:textId="64E3A645" w:rsidR="000D4A72" w:rsidRDefault="000D4A72" w:rsidP="000D4A72">
      <w:pPr>
        <w:rPr>
          <w:lang w:val="en-AU"/>
        </w:rPr>
      </w:pPr>
      <w:r w:rsidRPr="000D4A72">
        <w:rPr>
          <w:lang w:val="en-AU"/>
        </w:rPr>
        <w:t>ADRs reported in patients treated with</w:t>
      </w:r>
      <w:r>
        <w:rPr>
          <w:lang w:val="en-AU"/>
        </w:rPr>
        <w:t xml:space="preserve"> </w:t>
      </w:r>
      <w:proofErr w:type="spellStart"/>
      <w:r>
        <w:rPr>
          <w:lang w:val="en-AU"/>
        </w:rPr>
        <w:t>Nexviazyme</w:t>
      </w:r>
      <w:proofErr w:type="spellEnd"/>
      <w:r>
        <w:rPr>
          <w:lang w:val="en-AU"/>
        </w:rPr>
        <w:t xml:space="preserve"> </w:t>
      </w:r>
      <w:r w:rsidRPr="000D4A72">
        <w:rPr>
          <w:lang w:val="en-AU"/>
        </w:rPr>
        <w:t>in the pooled analysis of clinical studies</w:t>
      </w:r>
      <w:r>
        <w:rPr>
          <w:lang w:val="en-AU"/>
        </w:rPr>
        <w:t xml:space="preserve"> </w:t>
      </w:r>
      <w:r w:rsidRPr="000D4A72">
        <w:rPr>
          <w:lang w:val="en-AU"/>
        </w:rPr>
        <w:t xml:space="preserve">are listed in </w:t>
      </w:r>
      <w:r w:rsidR="003C5B2B" w:rsidRPr="003C5B2B">
        <w:rPr>
          <w:color w:val="0000FF"/>
          <w:lang w:val="en-AU"/>
        </w:rPr>
        <w:fldChar w:fldCharType="begin"/>
      </w:r>
      <w:r w:rsidR="003C5B2B" w:rsidRPr="003C5B2B">
        <w:rPr>
          <w:color w:val="0000FF"/>
          <w:lang w:val="en-AU"/>
        </w:rPr>
        <w:instrText xml:space="preserve"> REF _Ref51936446 \h  \* MERGEFORMAT </w:instrText>
      </w:r>
      <w:r w:rsidR="003C5B2B" w:rsidRPr="003C5B2B">
        <w:rPr>
          <w:color w:val="0000FF"/>
          <w:lang w:val="en-AU"/>
        </w:rPr>
      </w:r>
      <w:r w:rsidR="003C5B2B" w:rsidRPr="003C5B2B">
        <w:rPr>
          <w:color w:val="0000FF"/>
          <w:lang w:val="en-AU"/>
        </w:rPr>
        <w:fldChar w:fldCharType="separate"/>
      </w:r>
      <w:r w:rsidR="00751605" w:rsidRPr="00751605">
        <w:rPr>
          <w:color w:val="0000FF"/>
        </w:rPr>
        <w:t>Table 3</w:t>
      </w:r>
      <w:r w:rsidR="003C5B2B" w:rsidRPr="003C5B2B">
        <w:rPr>
          <w:color w:val="0000FF"/>
          <w:lang w:val="en-AU"/>
        </w:rPr>
        <w:fldChar w:fldCharType="end"/>
      </w:r>
      <w:r w:rsidRPr="000D4A72">
        <w:rPr>
          <w:lang w:val="en-AU"/>
        </w:rPr>
        <w:t>.</w:t>
      </w:r>
    </w:p>
    <w:p w14:paraId="05C226F9" w14:textId="370B47A9" w:rsidR="003C5B2B" w:rsidRDefault="003C5B2B" w:rsidP="003C5B2B">
      <w:pPr>
        <w:pStyle w:val="Caption"/>
        <w:rPr>
          <w:lang w:val="en-AU"/>
        </w:rPr>
      </w:pPr>
      <w:bookmarkStart w:id="10" w:name="_Ref51936446"/>
      <w:r>
        <w:t>Table </w:t>
      </w:r>
      <w:r>
        <w:fldChar w:fldCharType="begin"/>
      </w:r>
      <w:r>
        <w:instrText xml:space="preserve"> SEQ Table \* ARABIC </w:instrText>
      </w:r>
      <w:r>
        <w:fldChar w:fldCharType="separate"/>
      </w:r>
      <w:r w:rsidR="00751605">
        <w:rPr>
          <w:noProof/>
        </w:rPr>
        <w:t>3</w:t>
      </w:r>
      <w:r>
        <w:fldChar w:fldCharType="end"/>
      </w:r>
      <w:bookmarkEnd w:id="10"/>
      <w:r>
        <w:t xml:space="preserve"> ­ </w:t>
      </w:r>
      <w:r w:rsidRPr="003C5B2B">
        <w:rPr>
          <w:lang w:val="en-AU"/>
        </w:rPr>
        <w:t xml:space="preserve">Adverse Reactions occurring </w:t>
      </w:r>
      <w:r w:rsidRPr="00C94CA9">
        <w:rPr>
          <w:color w:val="000000" w:themeColor="text1"/>
          <w:lang w:val="en-AU"/>
        </w:rPr>
        <w:t>in</w:t>
      </w:r>
      <w:r w:rsidRPr="003733A7">
        <w:rPr>
          <w:color w:val="FF0000"/>
          <w:lang w:val="en-AU"/>
        </w:rPr>
        <w:t xml:space="preserve"> </w:t>
      </w:r>
      <w:r w:rsidRPr="003C5B2B">
        <w:rPr>
          <w:lang w:val="en-AU"/>
        </w:rPr>
        <w:t xml:space="preserve">patients treated with </w:t>
      </w:r>
      <w:proofErr w:type="spellStart"/>
      <w:r w:rsidR="00FE0B6F">
        <w:rPr>
          <w:lang w:val="en-AU"/>
        </w:rPr>
        <w:t>Nexviazyme</w:t>
      </w:r>
      <w:proofErr w:type="spellEnd"/>
      <w:r w:rsidR="00FE0B6F">
        <w:rPr>
          <w:lang w:val="en-AU"/>
        </w:rPr>
        <w:t xml:space="preserve"> </w:t>
      </w:r>
      <w:r w:rsidRPr="003C5B2B">
        <w:rPr>
          <w:lang w:val="en-AU"/>
        </w:rPr>
        <w:t>in pooled</w:t>
      </w:r>
      <w:r>
        <w:rPr>
          <w:lang w:val="en-AU"/>
        </w:rPr>
        <w:t xml:space="preserve"> </w:t>
      </w:r>
      <w:r w:rsidRPr="003C5B2B">
        <w:rPr>
          <w:lang w:val="en-AU"/>
        </w:rPr>
        <w:t>analysis of clinical studies</w:t>
      </w:r>
      <w:r w:rsidR="003733A7">
        <w:rPr>
          <w:lang w:val="en-AU"/>
        </w:rPr>
        <w:t xml:space="preserve"> </w:t>
      </w:r>
      <w:r w:rsidR="003733A7" w:rsidRPr="007054FB">
        <w:rPr>
          <w:lang w:val="en-AU"/>
        </w:rPr>
        <w:t>(N=138)</w:t>
      </w:r>
    </w:p>
    <w:tbl>
      <w:tblPr>
        <w:tblStyle w:val="TableGrid"/>
        <w:tblW w:w="0" w:type="auto"/>
        <w:jc w:val="center"/>
        <w:tblBorders>
          <w:top w:val="single" w:sz="4" w:space="0" w:color="000000"/>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88"/>
        <w:gridCol w:w="1448"/>
        <w:gridCol w:w="2694"/>
      </w:tblGrid>
      <w:tr w:rsidR="007054FB" w:rsidRPr="00FC1B74" w14:paraId="6BC09543" w14:textId="77777777" w:rsidTr="00792475">
        <w:trPr>
          <w:cantSplit/>
          <w:trHeight w:val="476"/>
          <w:tblHeader/>
          <w:jc w:val="center"/>
        </w:trPr>
        <w:tc>
          <w:tcPr>
            <w:tcW w:w="3088" w:type="dxa"/>
            <w:shd w:val="clear" w:color="auto" w:fill="auto"/>
          </w:tcPr>
          <w:p w14:paraId="082DA320" w14:textId="77777777" w:rsidR="007054FB" w:rsidRPr="00FC1B74" w:rsidRDefault="007054FB" w:rsidP="007054FB">
            <w:pPr>
              <w:pStyle w:val="TblHeadingCenter"/>
              <w:jc w:val="left"/>
            </w:pPr>
            <w:r w:rsidRPr="00FC1B74">
              <w:t>System Organ Class</w:t>
            </w:r>
          </w:p>
        </w:tc>
        <w:tc>
          <w:tcPr>
            <w:tcW w:w="1448" w:type="dxa"/>
            <w:shd w:val="clear" w:color="auto" w:fill="auto"/>
          </w:tcPr>
          <w:p w14:paraId="59D7A70A" w14:textId="77777777" w:rsidR="007054FB" w:rsidRPr="00FC1B74" w:rsidRDefault="007054FB" w:rsidP="007054FB">
            <w:pPr>
              <w:pStyle w:val="TblHeadingCenter"/>
              <w:jc w:val="left"/>
            </w:pPr>
            <w:r w:rsidRPr="00FC1B74">
              <w:t>Frequency</w:t>
            </w:r>
          </w:p>
        </w:tc>
        <w:tc>
          <w:tcPr>
            <w:tcW w:w="2694" w:type="dxa"/>
            <w:shd w:val="clear" w:color="auto" w:fill="auto"/>
          </w:tcPr>
          <w:p w14:paraId="41300F1D" w14:textId="786F1D8C" w:rsidR="007054FB" w:rsidRPr="003733A7" w:rsidRDefault="007054FB" w:rsidP="007054FB">
            <w:pPr>
              <w:pStyle w:val="TblHeadingCenter"/>
              <w:jc w:val="left"/>
              <w:rPr>
                <w:strike/>
              </w:rPr>
            </w:pPr>
            <w:r w:rsidRPr="007054FB">
              <w:t>Preferred Term</w:t>
            </w:r>
          </w:p>
        </w:tc>
      </w:tr>
      <w:tr w:rsidR="007054FB" w14:paraId="092D2371" w14:textId="77777777" w:rsidTr="00792475">
        <w:trPr>
          <w:cantSplit/>
          <w:jc w:val="center"/>
        </w:trPr>
        <w:tc>
          <w:tcPr>
            <w:tcW w:w="3088" w:type="dxa"/>
            <w:shd w:val="clear" w:color="auto" w:fill="auto"/>
          </w:tcPr>
          <w:p w14:paraId="7F51A5B6" w14:textId="66A3D91F" w:rsidR="007054FB" w:rsidRPr="00792475" w:rsidRDefault="007054FB" w:rsidP="003733A7">
            <w:pPr>
              <w:pStyle w:val="TblTextCenter"/>
              <w:jc w:val="left"/>
              <w:rPr>
                <w:color w:val="000000" w:themeColor="text1"/>
              </w:rPr>
            </w:pPr>
            <w:r w:rsidRPr="00792475">
              <w:rPr>
                <w:color w:val="000000" w:themeColor="text1"/>
              </w:rPr>
              <w:t>Infections and infestations</w:t>
            </w:r>
          </w:p>
        </w:tc>
        <w:tc>
          <w:tcPr>
            <w:tcW w:w="1448" w:type="dxa"/>
            <w:shd w:val="clear" w:color="auto" w:fill="auto"/>
          </w:tcPr>
          <w:p w14:paraId="7A4F2914" w14:textId="25272208" w:rsidR="007054FB" w:rsidRPr="00792475" w:rsidRDefault="007054FB" w:rsidP="003733A7">
            <w:pPr>
              <w:pStyle w:val="TblTextCenter"/>
              <w:jc w:val="left"/>
              <w:rPr>
                <w:color w:val="000000" w:themeColor="text1"/>
              </w:rPr>
            </w:pPr>
            <w:r w:rsidRPr="00792475">
              <w:rPr>
                <w:color w:val="000000" w:themeColor="text1"/>
              </w:rPr>
              <w:t xml:space="preserve">Uncommon </w:t>
            </w:r>
          </w:p>
        </w:tc>
        <w:tc>
          <w:tcPr>
            <w:tcW w:w="2694" w:type="dxa"/>
            <w:shd w:val="clear" w:color="auto" w:fill="auto"/>
          </w:tcPr>
          <w:p w14:paraId="61CCCEF9" w14:textId="1E51EF52" w:rsidR="007054FB" w:rsidRPr="00792475" w:rsidRDefault="007054FB" w:rsidP="007054FB">
            <w:pPr>
              <w:pStyle w:val="TblTextCenter"/>
              <w:jc w:val="left"/>
              <w:rPr>
                <w:strike/>
                <w:color w:val="000000" w:themeColor="text1"/>
              </w:rPr>
            </w:pPr>
            <w:r w:rsidRPr="00792475">
              <w:rPr>
                <w:color w:val="000000" w:themeColor="text1"/>
              </w:rPr>
              <w:t xml:space="preserve">Conjunctivitis </w:t>
            </w:r>
          </w:p>
        </w:tc>
      </w:tr>
      <w:tr w:rsidR="007054FB" w14:paraId="597A732B" w14:textId="77777777" w:rsidTr="00792475">
        <w:trPr>
          <w:cantSplit/>
          <w:jc w:val="center"/>
        </w:trPr>
        <w:tc>
          <w:tcPr>
            <w:tcW w:w="3088" w:type="dxa"/>
            <w:vMerge w:val="restart"/>
            <w:shd w:val="clear" w:color="auto" w:fill="auto"/>
          </w:tcPr>
          <w:p w14:paraId="2C25E748" w14:textId="4D9E796D" w:rsidR="007054FB" w:rsidRPr="00792475" w:rsidRDefault="007054FB" w:rsidP="003733A7">
            <w:pPr>
              <w:pStyle w:val="TblTextCenter"/>
              <w:jc w:val="left"/>
              <w:rPr>
                <w:color w:val="000000" w:themeColor="text1"/>
              </w:rPr>
            </w:pPr>
            <w:r w:rsidRPr="00792475">
              <w:rPr>
                <w:color w:val="000000" w:themeColor="text1"/>
              </w:rPr>
              <w:t xml:space="preserve">Immune disorders </w:t>
            </w:r>
          </w:p>
        </w:tc>
        <w:tc>
          <w:tcPr>
            <w:tcW w:w="1448" w:type="dxa"/>
            <w:shd w:val="clear" w:color="auto" w:fill="auto"/>
          </w:tcPr>
          <w:p w14:paraId="4526790B" w14:textId="35419169" w:rsidR="007054FB" w:rsidRPr="00792475" w:rsidRDefault="007054FB" w:rsidP="003733A7">
            <w:pPr>
              <w:pStyle w:val="TblTextCenter"/>
              <w:jc w:val="left"/>
              <w:rPr>
                <w:color w:val="000000" w:themeColor="text1"/>
              </w:rPr>
            </w:pPr>
            <w:r w:rsidRPr="00792475">
              <w:rPr>
                <w:color w:val="000000" w:themeColor="text1"/>
              </w:rPr>
              <w:t>Very common</w:t>
            </w:r>
          </w:p>
        </w:tc>
        <w:tc>
          <w:tcPr>
            <w:tcW w:w="2694" w:type="dxa"/>
            <w:shd w:val="clear" w:color="auto" w:fill="auto"/>
          </w:tcPr>
          <w:p w14:paraId="0D56E421" w14:textId="42030FB1" w:rsidR="007054FB" w:rsidRPr="00792475" w:rsidRDefault="007054FB" w:rsidP="007054FB">
            <w:pPr>
              <w:pStyle w:val="TblTextCenter"/>
              <w:jc w:val="left"/>
              <w:rPr>
                <w:strike/>
                <w:color w:val="000000" w:themeColor="text1"/>
              </w:rPr>
            </w:pPr>
            <w:r w:rsidRPr="00792475">
              <w:rPr>
                <w:color w:val="000000" w:themeColor="text1"/>
              </w:rPr>
              <w:t>Hypersensitivity</w:t>
            </w:r>
          </w:p>
        </w:tc>
      </w:tr>
      <w:tr w:rsidR="007054FB" w14:paraId="57385414" w14:textId="77777777" w:rsidTr="00792475">
        <w:trPr>
          <w:cantSplit/>
          <w:jc w:val="center"/>
        </w:trPr>
        <w:tc>
          <w:tcPr>
            <w:tcW w:w="3088" w:type="dxa"/>
            <w:vMerge/>
            <w:shd w:val="clear" w:color="auto" w:fill="auto"/>
          </w:tcPr>
          <w:p w14:paraId="5A5A6EB8" w14:textId="77777777" w:rsidR="007054FB" w:rsidRPr="00792475" w:rsidRDefault="007054FB" w:rsidP="003733A7">
            <w:pPr>
              <w:pStyle w:val="TblTextCenter"/>
              <w:jc w:val="left"/>
              <w:rPr>
                <w:color w:val="000000" w:themeColor="text1"/>
              </w:rPr>
            </w:pPr>
          </w:p>
        </w:tc>
        <w:tc>
          <w:tcPr>
            <w:tcW w:w="1448" w:type="dxa"/>
            <w:shd w:val="clear" w:color="auto" w:fill="auto"/>
          </w:tcPr>
          <w:p w14:paraId="5A5669BA" w14:textId="608A5090" w:rsidR="007054FB" w:rsidRPr="00792475" w:rsidRDefault="007054FB" w:rsidP="003733A7">
            <w:pPr>
              <w:pStyle w:val="TblTextCenter"/>
              <w:jc w:val="left"/>
              <w:rPr>
                <w:color w:val="000000" w:themeColor="text1"/>
              </w:rPr>
            </w:pPr>
            <w:r w:rsidRPr="00792475">
              <w:rPr>
                <w:color w:val="000000" w:themeColor="text1"/>
              </w:rPr>
              <w:t>Common</w:t>
            </w:r>
          </w:p>
        </w:tc>
        <w:tc>
          <w:tcPr>
            <w:tcW w:w="2694" w:type="dxa"/>
            <w:shd w:val="clear" w:color="auto" w:fill="auto"/>
          </w:tcPr>
          <w:p w14:paraId="13EF1D00" w14:textId="6C266F26" w:rsidR="007054FB" w:rsidRPr="00792475" w:rsidRDefault="007054FB" w:rsidP="007054FB">
            <w:pPr>
              <w:pStyle w:val="TblTextCenter"/>
              <w:jc w:val="left"/>
              <w:rPr>
                <w:strike/>
                <w:color w:val="000000" w:themeColor="text1"/>
              </w:rPr>
            </w:pPr>
            <w:r w:rsidRPr="00792475">
              <w:rPr>
                <w:color w:val="000000" w:themeColor="text1"/>
              </w:rPr>
              <w:t>Anaphylaxis</w:t>
            </w:r>
          </w:p>
        </w:tc>
      </w:tr>
      <w:tr w:rsidR="00815740" w14:paraId="3A6E9239" w14:textId="77777777" w:rsidTr="00792475">
        <w:trPr>
          <w:cantSplit/>
          <w:jc w:val="center"/>
        </w:trPr>
        <w:tc>
          <w:tcPr>
            <w:tcW w:w="3088" w:type="dxa"/>
            <w:vMerge w:val="restart"/>
            <w:shd w:val="clear" w:color="auto" w:fill="auto"/>
          </w:tcPr>
          <w:p w14:paraId="4B1784A7" w14:textId="77777777" w:rsidR="00815740" w:rsidRPr="00792475" w:rsidRDefault="00815740" w:rsidP="003733A7">
            <w:pPr>
              <w:pStyle w:val="TblTextCenter"/>
              <w:jc w:val="left"/>
              <w:rPr>
                <w:color w:val="000000" w:themeColor="text1"/>
              </w:rPr>
            </w:pPr>
            <w:r w:rsidRPr="00792475">
              <w:rPr>
                <w:color w:val="000000" w:themeColor="text1"/>
              </w:rPr>
              <w:t>Nervous system disorders</w:t>
            </w:r>
          </w:p>
        </w:tc>
        <w:tc>
          <w:tcPr>
            <w:tcW w:w="1448" w:type="dxa"/>
            <w:shd w:val="clear" w:color="auto" w:fill="auto"/>
          </w:tcPr>
          <w:p w14:paraId="0695A517" w14:textId="77777777" w:rsidR="00815740" w:rsidRPr="00792475" w:rsidRDefault="00815740" w:rsidP="003733A7">
            <w:pPr>
              <w:pStyle w:val="TblTextCenter"/>
              <w:jc w:val="left"/>
              <w:rPr>
                <w:color w:val="000000" w:themeColor="text1"/>
              </w:rPr>
            </w:pPr>
            <w:r w:rsidRPr="00792475">
              <w:rPr>
                <w:color w:val="000000" w:themeColor="text1"/>
              </w:rPr>
              <w:t>Common</w:t>
            </w:r>
          </w:p>
          <w:p w14:paraId="1778B3D0" w14:textId="77777777" w:rsidR="00815740" w:rsidRPr="00792475" w:rsidRDefault="00815740" w:rsidP="003733A7">
            <w:pPr>
              <w:pStyle w:val="TblTextCenter"/>
              <w:jc w:val="left"/>
              <w:rPr>
                <w:color w:val="000000" w:themeColor="text1"/>
              </w:rPr>
            </w:pPr>
          </w:p>
          <w:p w14:paraId="6048D09C" w14:textId="08ABAC4F" w:rsidR="00815740" w:rsidRPr="00792475" w:rsidRDefault="00815740" w:rsidP="003733A7">
            <w:pPr>
              <w:pStyle w:val="TblTextCenter"/>
              <w:jc w:val="left"/>
              <w:rPr>
                <w:color w:val="000000" w:themeColor="text1"/>
              </w:rPr>
            </w:pPr>
          </w:p>
        </w:tc>
        <w:tc>
          <w:tcPr>
            <w:tcW w:w="2694" w:type="dxa"/>
            <w:shd w:val="clear" w:color="auto" w:fill="auto"/>
          </w:tcPr>
          <w:p w14:paraId="0FD4C20E" w14:textId="77777777" w:rsidR="00815740" w:rsidRPr="00792475" w:rsidRDefault="00815740" w:rsidP="007054FB">
            <w:pPr>
              <w:pStyle w:val="TblTextCenter"/>
              <w:jc w:val="left"/>
              <w:rPr>
                <w:color w:val="000000" w:themeColor="text1"/>
              </w:rPr>
            </w:pPr>
            <w:r w:rsidRPr="00792475">
              <w:rPr>
                <w:color w:val="000000" w:themeColor="text1"/>
              </w:rPr>
              <w:t>Headache</w:t>
            </w:r>
          </w:p>
          <w:p w14:paraId="702559BE" w14:textId="77777777" w:rsidR="00815740" w:rsidRPr="00792475" w:rsidRDefault="00815740" w:rsidP="007054FB">
            <w:pPr>
              <w:pStyle w:val="TblTextCenter"/>
              <w:jc w:val="left"/>
              <w:rPr>
                <w:color w:val="000000" w:themeColor="text1"/>
              </w:rPr>
            </w:pPr>
            <w:r w:rsidRPr="00792475">
              <w:rPr>
                <w:color w:val="000000" w:themeColor="text1"/>
              </w:rPr>
              <w:t>Dizziness</w:t>
            </w:r>
          </w:p>
          <w:p w14:paraId="31DE5BA5" w14:textId="63F0B2E0" w:rsidR="00815740" w:rsidRPr="00792475" w:rsidRDefault="00815740" w:rsidP="007054FB">
            <w:pPr>
              <w:pStyle w:val="TblTextCenter"/>
              <w:jc w:val="left"/>
              <w:rPr>
                <w:strike/>
                <w:color w:val="000000" w:themeColor="text1"/>
              </w:rPr>
            </w:pPr>
            <w:r w:rsidRPr="00792475">
              <w:rPr>
                <w:color w:val="000000" w:themeColor="text1"/>
              </w:rPr>
              <w:t xml:space="preserve">Tremor </w:t>
            </w:r>
          </w:p>
        </w:tc>
      </w:tr>
      <w:tr w:rsidR="00815740" w14:paraId="239E00CF" w14:textId="77777777" w:rsidTr="00792475">
        <w:trPr>
          <w:cantSplit/>
          <w:jc w:val="center"/>
        </w:trPr>
        <w:tc>
          <w:tcPr>
            <w:tcW w:w="3088" w:type="dxa"/>
            <w:vMerge/>
            <w:shd w:val="clear" w:color="auto" w:fill="auto"/>
          </w:tcPr>
          <w:p w14:paraId="01F3686A" w14:textId="77777777" w:rsidR="00815740" w:rsidRPr="00792475" w:rsidRDefault="00815740" w:rsidP="003733A7">
            <w:pPr>
              <w:pStyle w:val="TblTextCenter"/>
              <w:jc w:val="left"/>
              <w:rPr>
                <w:color w:val="000000" w:themeColor="text1"/>
              </w:rPr>
            </w:pPr>
          </w:p>
        </w:tc>
        <w:tc>
          <w:tcPr>
            <w:tcW w:w="1448" w:type="dxa"/>
            <w:vMerge w:val="restart"/>
            <w:shd w:val="clear" w:color="auto" w:fill="auto"/>
          </w:tcPr>
          <w:p w14:paraId="71F96686" w14:textId="3CFDFC36" w:rsidR="00815740" w:rsidRPr="00792475" w:rsidRDefault="00815740" w:rsidP="003733A7">
            <w:pPr>
              <w:pStyle w:val="TblTextCenter"/>
              <w:jc w:val="left"/>
              <w:rPr>
                <w:color w:val="000000" w:themeColor="text1"/>
              </w:rPr>
            </w:pPr>
            <w:r w:rsidRPr="00792475">
              <w:rPr>
                <w:color w:val="000000" w:themeColor="text1"/>
              </w:rPr>
              <w:t>Uncommon</w:t>
            </w:r>
          </w:p>
        </w:tc>
        <w:tc>
          <w:tcPr>
            <w:tcW w:w="2694" w:type="dxa"/>
            <w:shd w:val="clear" w:color="auto" w:fill="auto"/>
          </w:tcPr>
          <w:p w14:paraId="1361A25A" w14:textId="739DC296" w:rsidR="00815740" w:rsidRPr="00815740" w:rsidRDefault="00815740" w:rsidP="007054FB">
            <w:pPr>
              <w:pStyle w:val="TblTextCenter"/>
              <w:jc w:val="left"/>
              <w:rPr>
                <w:color w:val="000000" w:themeColor="text1"/>
              </w:rPr>
            </w:pPr>
            <w:r w:rsidRPr="00792475">
              <w:rPr>
                <w:color w:val="000000" w:themeColor="text1"/>
              </w:rPr>
              <w:t>Paresthesia</w:t>
            </w:r>
          </w:p>
        </w:tc>
      </w:tr>
      <w:tr w:rsidR="00815740" w14:paraId="0609F018" w14:textId="77777777" w:rsidTr="00792475">
        <w:trPr>
          <w:cantSplit/>
          <w:jc w:val="center"/>
        </w:trPr>
        <w:tc>
          <w:tcPr>
            <w:tcW w:w="3088" w:type="dxa"/>
            <w:vMerge/>
            <w:shd w:val="clear" w:color="auto" w:fill="auto"/>
          </w:tcPr>
          <w:p w14:paraId="05275E93" w14:textId="77777777" w:rsidR="00815740" w:rsidRPr="00792475" w:rsidRDefault="00815740" w:rsidP="003733A7">
            <w:pPr>
              <w:pStyle w:val="TblTextCenter"/>
              <w:jc w:val="left"/>
              <w:rPr>
                <w:color w:val="000000" w:themeColor="text1"/>
              </w:rPr>
            </w:pPr>
          </w:p>
        </w:tc>
        <w:tc>
          <w:tcPr>
            <w:tcW w:w="1448" w:type="dxa"/>
            <w:vMerge/>
            <w:shd w:val="clear" w:color="auto" w:fill="auto"/>
          </w:tcPr>
          <w:p w14:paraId="5263D796" w14:textId="77777777" w:rsidR="00815740" w:rsidRPr="00792475" w:rsidRDefault="00815740" w:rsidP="003733A7">
            <w:pPr>
              <w:pStyle w:val="TblTextCenter"/>
              <w:jc w:val="left"/>
              <w:rPr>
                <w:color w:val="000000" w:themeColor="text1"/>
              </w:rPr>
            </w:pPr>
          </w:p>
        </w:tc>
        <w:tc>
          <w:tcPr>
            <w:tcW w:w="2694" w:type="dxa"/>
            <w:shd w:val="clear" w:color="auto" w:fill="auto"/>
          </w:tcPr>
          <w:p w14:paraId="5B527972" w14:textId="4A4D2B9C" w:rsidR="00815740" w:rsidRPr="00792475" w:rsidRDefault="00815740" w:rsidP="007054FB">
            <w:pPr>
              <w:pStyle w:val="TblTextCenter"/>
              <w:jc w:val="left"/>
              <w:rPr>
                <w:color w:val="000000" w:themeColor="text1"/>
              </w:rPr>
            </w:pPr>
            <w:r w:rsidRPr="00815740">
              <w:rPr>
                <w:color w:val="000000" w:themeColor="text1"/>
              </w:rPr>
              <w:t>Somnolence</w:t>
            </w:r>
          </w:p>
        </w:tc>
      </w:tr>
      <w:tr w:rsidR="007054FB" w14:paraId="3164ABC5" w14:textId="77777777" w:rsidTr="00792475">
        <w:trPr>
          <w:cantSplit/>
          <w:jc w:val="center"/>
        </w:trPr>
        <w:tc>
          <w:tcPr>
            <w:tcW w:w="3088" w:type="dxa"/>
            <w:vMerge w:val="restart"/>
            <w:shd w:val="clear" w:color="auto" w:fill="auto"/>
          </w:tcPr>
          <w:p w14:paraId="0F5FB433" w14:textId="57D86982" w:rsidR="007054FB" w:rsidRPr="00792475" w:rsidRDefault="007054FB" w:rsidP="003733A7">
            <w:pPr>
              <w:pStyle w:val="TblTextCenter"/>
              <w:jc w:val="left"/>
              <w:rPr>
                <w:color w:val="000000" w:themeColor="text1"/>
              </w:rPr>
            </w:pPr>
            <w:r w:rsidRPr="00792475">
              <w:rPr>
                <w:color w:val="000000" w:themeColor="text1"/>
              </w:rPr>
              <w:t xml:space="preserve">Eye disorders </w:t>
            </w:r>
          </w:p>
        </w:tc>
        <w:tc>
          <w:tcPr>
            <w:tcW w:w="1448" w:type="dxa"/>
            <w:shd w:val="clear" w:color="auto" w:fill="auto"/>
          </w:tcPr>
          <w:p w14:paraId="6590CC43" w14:textId="653A1356" w:rsidR="007054FB" w:rsidRPr="00792475" w:rsidRDefault="007054FB" w:rsidP="003733A7">
            <w:pPr>
              <w:pStyle w:val="TblTextCenter"/>
              <w:jc w:val="left"/>
              <w:rPr>
                <w:color w:val="000000" w:themeColor="text1"/>
              </w:rPr>
            </w:pPr>
            <w:r w:rsidRPr="00792475">
              <w:rPr>
                <w:color w:val="000000" w:themeColor="text1"/>
              </w:rPr>
              <w:t>Common</w:t>
            </w:r>
          </w:p>
        </w:tc>
        <w:tc>
          <w:tcPr>
            <w:tcW w:w="2694" w:type="dxa"/>
            <w:shd w:val="clear" w:color="auto" w:fill="auto"/>
          </w:tcPr>
          <w:p w14:paraId="32B3A8EF" w14:textId="31EB1ECA" w:rsidR="007054FB" w:rsidRPr="00792475" w:rsidRDefault="007054FB" w:rsidP="007054FB">
            <w:pPr>
              <w:pStyle w:val="TblTextCenter"/>
              <w:jc w:val="left"/>
              <w:rPr>
                <w:strike/>
                <w:color w:val="000000" w:themeColor="text1"/>
              </w:rPr>
            </w:pPr>
            <w:r w:rsidRPr="00792475">
              <w:rPr>
                <w:color w:val="000000" w:themeColor="text1"/>
              </w:rPr>
              <w:t>Ocular hyperemia</w:t>
            </w:r>
          </w:p>
        </w:tc>
      </w:tr>
      <w:tr w:rsidR="007054FB" w14:paraId="3DC663F0" w14:textId="77777777" w:rsidTr="00792475">
        <w:trPr>
          <w:cantSplit/>
          <w:jc w:val="center"/>
        </w:trPr>
        <w:tc>
          <w:tcPr>
            <w:tcW w:w="3088" w:type="dxa"/>
            <w:vMerge/>
            <w:shd w:val="clear" w:color="auto" w:fill="auto"/>
          </w:tcPr>
          <w:p w14:paraId="3C364F8A" w14:textId="77777777" w:rsidR="007054FB" w:rsidRPr="00792475" w:rsidRDefault="007054FB" w:rsidP="003733A7">
            <w:pPr>
              <w:pStyle w:val="TblTextCenter"/>
              <w:jc w:val="left"/>
              <w:rPr>
                <w:color w:val="000000" w:themeColor="text1"/>
              </w:rPr>
            </w:pPr>
          </w:p>
        </w:tc>
        <w:tc>
          <w:tcPr>
            <w:tcW w:w="1448" w:type="dxa"/>
            <w:shd w:val="clear" w:color="auto" w:fill="auto"/>
          </w:tcPr>
          <w:p w14:paraId="0A962CBD" w14:textId="56590338" w:rsidR="007054FB" w:rsidRPr="00792475" w:rsidRDefault="007054FB" w:rsidP="003733A7">
            <w:pPr>
              <w:pStyle w:val="TblTextCenter"/>
              <w:jc w:val="left"/>
              <w:rPr>
                <w:color w:val="000000" w:themeColor="text1"/>
              </w:rPr>
            </w:pPr>
            <w:r w:rsidRPr="00792475">
              <w:rPr>
                <w:color w:val="000000" w:themeColor="text1"/>
              </w:rPr>
              <w:t>Uncommon</w:t>
            </w:r>
          </w:p>
        </w:tc>
        <w:tc>
          <w:tcPr>
            <w:tcW w:w="2694" w:type="dxa"/>
            <w:shd w:val="clear" w:color="auto" w:fill="auto"/>
          </w:tcPr>
          <w:p w14:paraId="76AD6FCB" w14:textId="77777777" w:rsidR="007054FB" w:rsidRPr="00792475" w:rsidRDefault="007054FB" w:rsidP="007054FB">
            <w:pPr>
              <w:pStyle w:val="TblTextCenter"/>
              <w:jc w:val="left"/>
              <w:rPr>
                <w:color w:val="000000" w:themeColor="text1"/>
              </w:rPr>
            </w:pPr>
            <w:r w:rsidRPr="00792475">
              <w:rPr>
                <w:color w:val="000000" w:themeColor="text1"/>
              </w:rPr>
              <w:t>Conjunctival hyperemia</w:t>
            </w:r>
          </w:p>
          <w:p w14:paraId="76A6B907" w14:textId="77777777" w:rsidR="007054FB" w:rsidRPr="00792475" w:rsidRDefault="007054FB" w:rsidP="007054FB">
            <w:pPr>
              <w:pStyle w:val="TblTextCenter"/>
              <w:jc w:val="left"/>
              <w:rPr>
                <w:color w:val="000000" w:themeColor="text1"/>
              </w:rPr>
            </w:pPr>
            <w:r w:rsidRPr="00792475">
              <w:rPr>
                <w:color w:val="000000" w:themeColor="text1"/>
              </w:rPr>
              <w:t xml:space="preserve">Eye pruritis </w:t>
            </w:r>
          </w:p>
          <w:p w14:paraId="13D71828" w14:textId="75152C2A" w:rsidR="007054FB" w:rsidRPr="00792475" w:rsidRDefault="007054FB" w:rsidP="007054FB">
            <w:pPr>
              <w:pStyle w:val="TblTextCenter"/>
              <w:jc w:val="left"/>
              <w:rPr>
                <w:strike/>
                <w:color w:val="000000" w:themeColor="text1"/>
              </w:rPr>
            </w:pPr>
            <w:r w:rsidRPr="00792475">
              <w:rPr>
                <w:color w:val="000000" w:themeColor="text1"/>
              </w:rPr>
              <w:t>Lacrimation increased</w:t>
            </w:r>
          </w:p>
        </w:tc>
      </w:tr>
      <w:tr w:rsidR="007054FB" w14:paraId="7D780A52" w14:textId="77777777" w:rsidTr="00792475">
        <w:trPr>
          <w:cantSplit/>
          <w:jc w:val="center"/>
        </w:trPr>
        <w:tc>
          <w:tcPr>
            <w:tcW w:w="3088" w:type="dxa"/>
            <w:shd w:val="clear" w:color="auto" w:fill="auto"/>
          </w:tcPr>
          <w:p w14:paraId="7571DE95" w14:textId="1DE8D29A" w:rsidR="007054FB" w:rsidRPr="00792475" w:rsidRDefault="007054FB" w:rsidP="003733A7">
            <w:pPr>
              <w:pStyle w:val="TblTextCenter"/>
              <w:jc w:val="left"/>
              <w:rPr>
                <w:color w:val="000000" w:themeColor="text1"/>
              </w:rPr>
            </w:pPr>
            <w:r w:rsidRPr="00792475">
              <w:rPr>
                <w:color w:val="000000" w:themeColor="text1"/>
              </w:rPr>
              <w:t xml:space="preserve">Cardiac disorders </w:t>
            </w:r>
          </w:p>
        </w:tc>
        <w:tc>
          <w:tcPr>
            <w:tcW w:w="1448" w:type="dxa"/>
            <w:shd w:val="clear" w:color="auto" w:fill="auto"/>
          </w:tcPr>
          <w:p w14:paraId="2C74E4E8" w14:textId="5A1B001E" w:rsidR="007054FB" w:rsidRPr="00792475" w:rsidRDefault="007054FB" w:rsidP="003733A7">
            <w:pPr>
              <w:pStyle w:val="TblTextCenter"/>
              <w:jc w:val="left"/>
              <w:rPr>
                <w:color w:val="000000" w:themeColor="text1"/>
              </w:rPr>
            </w:pPr>
            <w:r w:rsidRPr="00792475">
              <w:rPr>
                <w:color w:val="000000" w:themeColor="text1"/>
              </w:rPr>
              <w:t>Uncommon</w:t>
            </w:r>
          </w:p>
        </w:tc>
        <w:tc>
          <w:tcPr>
            <w:tcW w:w="2694" w:type="dxa"/>
            <w:shd w:val="clear" w:color="auto" w:fill="auto"/>
          </w:tcPr>
          <w:p w14:paraId="2405F959" w14:textId="77777777" w:rsidR="007054FB" w:rsidRPr="00792475" w:rsidRDefault="007054FB" w:rsidP="007054FB">
            <w:pPr>
              <w:pStyle w:val="TblTextCenter"/>
              <w:jc w:val="left"/>
              <w:rPr>
                <w:color w:val="000000" w:themeColor="text1"/>
              </w:rPr>
            </w:pPr>
            <w:r w:rsidRPr="00792475">
              <w:rPr>
                <w:color w:val="000000" w:themeColor="text1"/>
              </w:rPr>
              <w:t>Tachycardia</w:t>
            </w:r>
          </w:p>
          <w:p w14:paraId="57FC19D6" w14:textId="143B91B1" w:rsidR="007054FB" w:rsidRPr="00792475" w:rsidRDefault="007054FB" w:rsidP="007054FB">
            <w:pPr>
              <w:pStyle w:val="TblTextCenter"/>
              <w:jc w:val="left"/>
              <w:rPr>
                <w:strike/>
                <w:color w:val="000000" w:themeColor="text1"/>
              </w:rPr>
            </w:pPr>
            <w:r w:rsidRPr="00792475">
              <w:rPr>
                <w:color w:val="000000" w:themeColor="text1"/>
              </w:rPr>
              <w:t>Ventricular extrasystoles</w:t>
            </w:r>
          </w:p>
        </w:tc>
      </w:tr>
      <w:tr w:rsidR="007054FB" w14:paraId="1D39F00B" w14:textId="77777777" w:rsidTr="00792475">
        <w:trPr>
          <w:cantSplit/>
          <w:jc w:val="center"/>
        </w:trPr>
        <w:tc>
          <w:tcPr>
            <w:tcW w:w="3088" w:type="dxa"/>
            <w:vMerge w:val="restart"/>
            <w:shd w:val="clear" w:color="auto" w:fill="auto"/>
          </w:tcPr>
          <w:p w14:paraId="5FFC3571" w14:textId="11CFF1C4" w:rsidR="007054FB" w:rsidRPr="00792475" w:rsidRDefault="007054FB" w:rsidP="003733A7">
            <w:pPr>
              <w:pStyle w:val="TblTextCenter"/>
              <w:jc w:val="left"/>
              <w:rPr>
                <w:color w:val="000000" w:themeColor="text1"/>
              </w:rPr>
            </w:pPr>
            <w:r w:rsidRPr="00792475">
              <w:rPr>
                <w:color w:val="000000" w:themeColor="text1"/>
              </w:rPr>
              <w:t xml:space="preserve">Vascular disorders </w:t>
            </w:r>
          </w:p>
        </w:tc>
        <w:tc>
          <w:tcPr>
            <w:tcW w:w="1448" w:type="dxa"/>
            <w:shd w:val="clear" w:color="auto" w:fill="auto"/>
          </w:tcPr>
          <w:p w14:paraId="699B229D" w14:textId="679D8A42" w:rsidR="007054FB" w:rsidRPr="00792475" w:rsidRDefault="007054FB" w:rsidP="003733A7">
            <w:pPr>
              <w:pStyle w:val="TblTextCenter"/>
              <w:jc w:val="left"/>
              <w:rPr>
                <w:color w:val="000000" w:themeColor="text1"/>
              </w:rPr>
            </w:pPr>
            <w:r w:rsidRPr="00792475">
              <w:rPr>
                <w:color w:val="000000" w:themeColor="text1"/>
              </w:rPr>
              <w:t xml:space="preserve">Common </w:t>
            </w:r>
          </w:p>
        </w:tc>
        <w:tc>
          <w:tcPr>
            <w:tcW w:w="2694" w:type="dxa"/>
            <w:shd w:val="clear" w:color="auto" w:fill="auto"/>
          </w:tcPr>
          <w:p w14:paraId="32BD24CF" w14:textId="4DEC3B10" w:rsidR="007054FB" w:rsidRPr="00792475" w:rsidRDefault="007054FB" w:rsidP="007054FB">
            <w:pPr>
              <w:pStyle w:val="TblTextCenter"/>
              <w:jc w:val="left"/>
              <w:rPr>
                <w:strike/>
                <w:color w:val="000000" w:themeColor="text1"/>
              </w:rPr>
            </w:pPr>
            <w:r w:rsidRPr="00792475">
              <w:rPr>
                <w:color w:val="000000" w:themeColor="text1"/>
              </w:rPr>
              <w:t>Hypertension</w:t>
            </w:r>
          </w:p>
        </w:tc>
      </w:tr>
      <w:tr w:rsidR="007054FB" w14:paraId="6AE75E35" w14:textId="77777777" w:rsidTr="00792475">
        <w:trPr>
          <w:cantSplit/>
          <w:jc w:val="center"/>
        </w:trPr>
        <w:tc>
          <w:tcPr>
            <w:tcW w:w="3088" w:type="dxa"/>
            <w:vMerge/>
            <w:shd w:val="clear" w:color="auto" w:fill="auto"/>
          </w:tcPr>
          <w:p w14:paraId="61FD967C" w14:textId="77777777" w:rsidR="007054FB" w:rsidRPr="00792475" w:rsidRDefault="007054FB" w:rsidP="003733A7">
            <w:pPr>
              <w:pStyle w:val="TblTextCenter"/>
              <w:jc w:val="left"/>
              <w:rPr>
                <w:color w:val="000000" w:themeColor="text1"/>
              </w:rPr>
            </w:pPr>
          </w:p>
        </w:tc>
        <w:tc>
          <w:tcPr>
            <w:tcW w:w="1448" w:type="dxa"/>
            <w:shd w:val="clear" w:color="auto" w:fill="auto"/>
          </w:tcPr>
          <w:p w14:paraId="5882FC78" w14:textId="578497C4" w:rsidR="007054FB" w:rsidRPr="00792475" w:rsidRDefault="007054FB" w:rsidP="003733A7">
            <w:pPr>
              <w:pStyle w:val="TblTextCenter"/>
              <w:jc w:val="left"/>
              <w:rPr>
                <w:color w:val="000000" w:themeColor="text1"/>
              </w:rPr>
            </w:pPr>
            <w:r w:rsidRPr="00792475">
              <w:rPr>
                <w:color w:val="000000" w:themeColor="text1"/>
              </w:rPr>
              <w:t>Uncommon</w:t>
            </w:r>
          </w:p>
        </w:tc>
        <w:tc>
          <w:tcPr>
            <w:tcW w:w="2694" w:type="dxa"/>
            <w:shd w:val="clear" w:color="auto" w:fill="auto"/>
          </w:tcPr>
          <w:p w14:paraId="7CDC686F" w14:textId="77777777" w:rsidR="007054FB" w:rsidRPr="00792475" w:rsidRDefault="007054FB" w:rsidP="007054FB">
            <w:pPr>
              <w:pStyle w:val="TblTextCenter"/>
              <w:jc w:val="left"/>
              <w:rPr>
                <w:color w:val="000000" w:themeColor="text1"/>
              </w:rPr>
            </w:pPr>
            <w:r w:rsidRPr="00792475">
              <w:rPr>
                <w:color w:val="000000" w:themeColor="text1"/>
              </w:rPr>
              <w:t>Flushing</w:t>
            </w:r>
          </w:p>
          <w:p w14:paraId="43172B5D" w14:textId="2E9F5FF7" w:rsidR="007054FB" w:rsidRPr="00792475" w:rsidRDefault="007054FB" w:rsidP="007054FB">
            <w:pPr>
              <w:pStyle w:val="TblTextCenter"/>
              <w:jc w:val="left"/>
              <w:rPr>
                <w:strike/>
                <w:color w:val="000000" w:themeColor="text1"/>
              </w:rPr>
            </w:pPr>
            <w:r w:rsidRPr="00792475">
              <w:rPr>
                <w:color w:val="000000" w:themeColor="text1"/>
              </w:rPr>
              <w:t>Hypotension</w:t>
            </w:r>
          </w:p>
        </w:tc>
      </w:tr>
      <w:tr w:rsidR="00792475" w14:paraId="68B6F7CE" w14:textId="77777777" w:rsidTr="00792475">
        <w:trPr>
          <w:cantSplit/>
          <w:jc w:val="center"/>
        </w:trPr>
        <w:tc>
          <w:tcPr>
            <w:tcW w:w="3088" w:type="dxa"/>
            <w:vMerge w:val="restart"/>
            <w:shd w:val="clear" w:color="auto" w:fill="auto"/>
          </w:tcPr>
          <w:p w14:paraId="3EEC60E9" w14:textId="77777777" w:rsidR="00792475" w:rsidRPr="00792475" w:rsidRDefault="00792475" w:rsidP="003733A7">
            <w:pPr>
              <w:pStyle w:val="TblTextCenter"/>
              <w:jc w:val="left"/>
              <w:rPr>
                <w:color w:val="000000" w:themeColor="text1"/>
              </w:rPr>
            </w:pPr>
            <w:r w:rsidRPr="00792475">
              <w:rPr>
                <w:color w:val="000000" w:themeColor="text1"/>
              </w:rPr>
              <w:t xml:space="preserve">Respiratory, </w:t>
            </w:r>
            <w:proofErr w:type="gramStart"/>
            <w:r w:rsidRPr="00792475">
              <w:rPr>
                <w:color w:val="000000" w:themeColor="text1"/>
              </w:rPr>
              <w:t>thoracic</w:t>
            </w:r>
            <w:proofErr w:type="gramEnd"/>
            <w:r w:rsidRPr="00792475">
              <w:rPr>
                <w:color w:val="000000" w:themeColor="text1"/>
              </w:rPr>
              <w:t xml:space="preserve"> and mediastinal disorders</w:t>
            </w:r>
          </w:p>
        </w:tc>
        <w:tc>
          <w:tcPr>
            <w:tcW w:w="1448" w:type="dxa"/>
            <w:shd w:val="clear" w:color="auto" w:fill="auto"/>
          </w:tcPr>
          <w:p w14:paraId="0D4E9A12" w14:textId="77777777" w:rsidR="00792475" w:rsidRPr="00792475" w:rsidRDefault="00792475" w:rsidP="003733A7">
            <w:pPr>
              <w:pStyle w:val="TblTextCenter"/>
              <w:jc w:val="left"/>
              <w:rPr>
                <w:color w:val="000000" w:themeColor="text1"/>
              </w:rPr>
            </w:pPr>
            <w:r w:rsidRPr="00792475">
              <w:rPr>
                <w:color w:val="000000" w:themeColor="text1"/>
              </w:rPr>
              <w:t>Common</w:t>
            </w:r>
          </w:p>
        </w:tc>
        <w:tc>
          <w:tcPr>
            <w:tcW w:w="2694" w:type="dxa"/>
            <w:shd w:val="clear" w:color="auto" w:fill="auto"/>
          </w:tcPr>
          <w:p w14:paraId="74DD8CE9" w14:textId="77777777" w:rsidR="00792475" w:rsidRPr="00792475" w:rsidRDefault="00792475" w:rsidP="007054FB">
            <w:pPr>
              <w:pStyle w:val="TblTextCenter"/>
              <w:jc w:val="left"/>
              <w:rPr>
                <w:color w:val="000000" w:themeColor="text1"/>
              </w:rPr>
            </w:pPr>
            <w:r w:rsidRPr="00792475">
              <w:rPr>
                <w:color w:val="000000" w:themeColor="text1"/>
              </w:rPr>
              <w:t>Cough</w:t>
            </w:r>
          </w:p>
          <w:p w14:paraId="75E18BA4" w14:textId="7273CF89" w:rsidR="00792475" w:rsidRPr="00792475" w:rsidRDefault="00792475" w:rsidP="007054FB">
            <w:pPr>
              <w:pStyle w:val="TblTextCenter"/>
              <w:jc w:val="left"/>
              <w:rPr>
                <w:strike/>
                <w:color w:val="000000" w:themeColor="text1"/>
              </w:rPr>
            </w:pPr>
            <w:proofErr w:type="spellStart"/>
            <w:r w:rsidRPr="00792475">
              <w:rPr>
                <w:color w:val="000000" w:themeColor="text1"/>
              </w:rPr>
              <w:t>Dyspnoea</w:t>
            </w:r>
            <w:proofErr w:type="spellEnd"/>
          </w:p>
        </w:tc>
      </w:tr>
      <w:tr w:rsidR="00792475" w14:paraId="672BBC68" w14:textId="77777777" w:rsidTr="00792475">
        <w:trPr>
          <w:cantSplit/>
          <w:jc w:val="center"/>
        </w:trPr>
        <w:tc>
          <w:tcPr>
            <w:tcW w:w="3088" w:type="dxa"/>
            <w:vMerge/>
            <w:shd w:val="clear" w:color="auto" w:fill="auto"/>
          </w:tcPr>
          <w:p w14:paraId="51084A69" w14:textId="77777777" w:rsidR="00792475" w:rsidRPr="00792475" w:rsidRDefault="00792475" w:rsidP="003733A7">
            <w:pPr>
              <w:pStyle w:val="TblTextCenter"/>
              <w:jc w:val="left"/>
              <w:rPr>
                <w:color w:val="000000" w:themeColor="text1"/>
              </w:rPr>
            </w:pPr>
          </w:p>
        </w:tc>
        <w:tc>
          <w:tcPr>
            <w:tcW w:w="1448" w:type="dxa"/>
            <w:shd w:val="clear" w:color="auto" w:fill="auto"/>
          </w:tcPr>
          <w:p w14:paraId="461B6F71" w14:textId="1C3549A8" w:rsidR="00792475" w:rsidRPr="00792475" w:rsidRDefault="00792475" w:rsidP="003733A7">
            <w:pPr>
              <w:pStyle w:val="TblTextCenter"/>
              <w:jc w:val="left"/>
              <w:rPr>
                <w:color w:val="000000" w:themeColor="text1"/>
              </w:rPr>
            </w:pPr>
            <w:r w:rsidRPr="00792475">
              <w:rPr>
                <w:color w:val="000000" w:themeColor="text1"/>
              </w:rPr>
              <w:t>Uncommon</w:t>
            </w:r>
          </w:p>
        </w:tc>
        <w:tc>
          <w:tcPr>
            <w:tcW w:w="2694" w:type="dxa"/>
            <w:shd w:val="clear" w:color="auto" w:fill="auto"/>
          </w:tcPr>
          <w:p w14:paraId="7153E09E" w14:textId="77777777" w:rsidR="00792475" w:rsidRPr="00792475" w:rsidRDefault="00792475" w:rsidP="007054FB">
            <w:pPr>
              <w:pStyle w:val="TblTextCenter"/>
              <w:jc w:val="left"/>
              <w:rPr>
                <w:color w:val="000000" w:themeColor="text1"/>
              </w:rPr>
            </w:pPr>
            <w:r w:rsidRPr="00792475">
              <w:rPr>
                <w:color w:val="000000" w:themeColor="text1"/>
              </w:rPr>
              <w:t>Tachypnoea</w:t>
            </w:r>
          </w:p>
          <w:p w14:paraId="39DCEFA1" w14:textId="77777777" w:rsidR="00792475" w:rsidRPr="00792475" w:rsidRDefault="00792475" w:rsidP="007054FB">
            <w:pPr>
              <w:pStyle w:val="TblTextCenter"/>
              <w:jc w:val="left"/>
              <w:rPr>
                <w:color w:val="000000" w:themeColor="text1"/>
              </w:rPr>
            </w:pPr>
            <w:r w:rsidRPr="00792475">
              <w:rPr>
                <w:color w:val="000000" w:themeColor="text1"/>
              </w:rPr>
              <w:t>Laryngeal edema</w:t>
            </w:r>
          </w:p>
          <w:p w14:paraId="6BE1D26C" w14:textId="77777777" w:rsidR="00792475" w:rsidRPr="00792475" w:rsidRDefault="00792475" w:rsidP="007054FB">
            <w:pPr>
              <w:pStyle w:val="TblTextCenter"/>
              <w:jc w:val="left"/>
              <w:rPr>
                <w:color w:val="000000" w:themeColor="text1"/>
              </w:rPr>
            </w:pPr>
            <w:r w:rsidRPr="00792475">
              <w:rPr>
                <w:color w:val="000000" w:themeColor="text1"/>
              </w:rPr>
              <w:t>Respiratory distress</w:t>
            </w:r>
          </w:p>
          <w:p w14:paraId="0973B88A" w14:textId="77777777" w:rsidR="00792475" w:rsidRDefault="00792475" w:rsidP="007054FB">
            <w:pPr>
              <w:pStyle w:val="TblTextCenter"/>
              <w:jc w:val="left"/>
              <w:rPr>
                <w:color w:val="000000" w:themeColor="text1"/>
              </w:rPr>
            </w:pPr>
            <w:r w:rsidRPr="00792475">
              <w:rPr>
                <w:color w:val="000000" w:themeColor="text1"/>
              </w:rPr>
              <w:t>Throat irritation</w:t>
            </w:r>
          </w:p>
          <w:p w14:paraId="7EA3A632" w14:textId="17DFEE90" w:rsidR="00815740" w:rsidRPr="00792475" w:rsidRDefault="00815740" w:rsidP="007054FB">
            <w:pPr>
              <w:pStyle w:val="TblTextCenter"/>
              <w:jc w:val="left"/>
              <w:rPr>
                <w:strike/>
                <w:color w:val="000000" w:themeColor="text1"/>
              </w:rPr>
            </w:pPr>
            <w:r w:rsidRPr="00815740">
              <w:rPr>
                <w:color w:val="000000" w:themeColor="text1"/>
              </w:rPr>
              <w:t>Dyspepsia</w:t>
            </w:r>
          </w:p>
        </w:tc>
      </w:tr>
      <w:tr w:rsidR="007054FB" w14:paraId="48CCE385" w14:textId="77777777" w:rsidTr="00792475">
        <w:trPr>
          <w:cantSplit/>
          <w:jc w:val="center"/>
        </w:trPr>
        <w:tc>
          <w:tcPr>
            <w:tcW w:w="3088" w:type="dxa"/>
            <w:vMerge w:val="restart"/>
            <w:shd w:val="clear" w:color="auto" w:fill="auto"/>
          </w:tcPr>
          <w:p w14:paraId="4E4D82F6" w14:textId="77777777" w:rsidR="007054FB" w:rsidRPr="003C5B2B" w:rsidRDefault="007054FB" w:rsidP="003733A7">
            <w:pPr>
              <w:pStyle w:val="TblTextCenter"/>
              <w:jc w:val="left"/>
            </w:pPr>
            <w:r w:rsidRPr="003C5B2B">
              <w:t>Gastrointestinal disorders</w:t>
            </w:r>
          </w:p>
        </w:tc>
        <w:tc>
          <w:tcPr>
            <w:tcW w:w="1448" w:type="dxa"/>
            <w:shd w:val="clear" w:color="auto" w:fill="auto"/>
          </w:tcPr>
          <w:p w14:paraId="0EA5EB24" w14:textId="77777777" w:rsidR="007054FB" w:rsidRPr="00792475" w:rsidRDefault="007054FB" w:rsidP="003733A7">
            <w:pPr>
              <w:pStyle w:val="TblTextCenter"/>
              <w:jc w:val="left"/>
              <w:rPr>
                <w:color w:val="000000" w:themeColor="text1"/>
              </w:rPr>
            </w:pPr>
            <w:r w:rsidRPr="00792475">
              <w:rPr>
                <w:color w:val="000000" w:themeColor="text1"/>
              </w:rPr>
              <w:t>Common</w:t>
            </w:r>
          </w:p>
        </w:tc>
        <w:tc>
          <w:tcPr>
            <w:tcW w:w="2694" w:type="dxa"/>
            <w:shd w:val="clear" w:color="auto" w:fill="auto"/>
          </w:tcPr>
          <w:p w14:paraId="071D0EB2" w14:textId="77777777" w:rsidR="007054FB" w:rsidRPr="00792475" w:rsidRDefault="007054FB" w:rsidP="007054FB">
            <w:pPr>
              <w:pStyle w:val="TblTextCenter"/>
              <w:jc w:val="left"/>
              <w:rPr>
                <w:color w:val="000000" w:themeColor="text1"/>
              </w:rPr>
            </w:pPr>
            <w:r w:rsidRPr="00792475">
              <w:rPr>
                <w:color w:val="000000" w:themeColor="text1"/>
              </w:rPr>
              <w:t>Nausea</w:t>
            </w:r>
          </w:p>
          <w:p w14:paraId="00C965E2" w14:textId="77777777" w:rsidR="007054FB" w:rsidRPr="00792475" w:rsidRDefault="007054FB" w:rsidP="007054FB">
            <w:pPr>
              <w:pStyle w:val="TblTextCenter"/>
              <w:jc w:val="left"/>
              <w:rPr>
                <w:color w:val="000000" w:themeColor="text1"/>
              </w:rPr>
            </w:pPr>
            <w:proofErr w:type="spellStart"/>
            <w:r w:rsidRPr="00792475">
              <w:rPr>
                <w:color w:val="000000" w:themeColor="text1"/>
              </w:rPr>
              <w:t>Diarrhoea</w:t>
            </w:r>
            <w:proofErr w:type="spellEnd"/>
          </w:p>
          <w:p w14:paraId="495650D0" w14:textId="77777777" w:rsidR="007054FB" w:rsidRPr="00792475" w:rsidRDefault="007054FB" w:rsidP="007054FB">
            <w:pPr>
              <w:pStyle w:val="TblTextCenter"/>
              <w:jc w:val="left"/>
              <w:rPr>
                <w:color w:val="000000" w:themeColor="text1"/>
              </w:rPr>
            </w:pPr>
            <w:r w:rsidRPr="00792475">
              <w:rPr>
                <w:color w:val="000000" w:themeColor="text1"/>
              </w:rPr>
              <w:t>Vomiting</w:t>
            </w:r>
          </w:p>
          <w:p w14:paraId="0F6720DF" w14:textId="77777777" w:rsidR="007054FB" w:rsidRPr="00792475" w:rsidRDefault="007054FB" w:rsidP="007054FB">
            <w:pPr>
              <w:pStyle w:val="TblTextCenter"/>
              <w:jc w:val="left"/>
              <w:rPr>
                <w:color w:val="000000" w:themeColor="text1"/>
              </w:rPr>
            </w:pPr>
            <w:r w:rsidRPr="00792475">
              <w:rPr>
                <w:color w:val="000000" w:themeColor="text1"/>
              </w:rPr>
              <w:t>Lip swelling</w:t>
            </w:r>
          </w:p>
          <w:p w14:paraId="7A166927" w14:textId="0264B9C5" w:rsidR="007054FB" w:rsidRPr="00792475" w:rsidRDefault="007054FB" w:rsidP="007054FB">
            <w:pPr>
              <w:pStyle w:val="TblTextCenter"/>
              <w:jc w:val="left"/>
              <w:rPr>
                <w:strike/>
                <w:color w:val="000000" w:themeColor="text1"/>
              </w:rPr>
            </w:pPr>
            <w:r w:rsidRPr="00792475">
              <w:rPr>
                <w:color w:val="000000" w:themeColor="text1"/>
              </w:rPr>
              <w:t>Swollen tongue</w:t>
            </w:r>
          </w:p>
        </w:tc>
      </w:tr>
      <w:tr w:rsidR="007054FB" w14:paraId="15445A6E" w14:textId="77777777" w:rsidTr="00792475">
        <w:trPr>
          <w:cantSplit/>
          <w:jc w:val="center"/>
        </w:trPr>
        <w:tc>
          <w:tcPr>
            <w:tcW w:w="3088" w:type="dxa"/>
            <w:vMerge/>
            <w:shd w:val="clear" w:color="auto" w:fill="auto"/>
          </w:tcPr>
          <w:p w14:paraId="34F5A30E" w14:textId="77777777" w:rsidR="007054FB" w:rsidRPr="003C5B2B" w:rsidRDefault="007054FB" w:rsidP="003733A7">
            <w:pPr>
              <w:pStyle w:val="TblTextCenter"/>
              <w:jc w:val="left"/>
            </w:pPr>
          </w:p>
        </w:tc>
        <w:tc>
          <w:tcPr>
            <w:tcW w:w="1448" w:type="dxa"/>
            <w:shd w:val="clear" w:color="auto" w:fill="auto"/>
          </w:tcPr>
          <w:p w14:paraId="4E7D1432" w14:textId="3EBC0399" w:rsidR="007054FB" w:rsidRPr="00792475" w:rsidRDefault="007054FB" w:rsidP="003733A7">
            <w:pPr>
              <w:pStyle w:val="TblTextCenter"/>
              <w:jc w:val="left"/>
              <w:rPr>
                <w:color w:val="000000" w:themeColor="text1"/>
              </w:rPr>
            </w:pPr>
            <w:r w:rsidRPr="00792475">
              <w:rPr>
                <w:color w:val="000000" w:themeColor="text1"/>
              </w:rPr>
              <w:t>Uncommon</w:t>
            </w:r>
          </w:p>
        </w:tc>
        <w:tc>
          <w:tcPr>
            <w:tcW w:w="2694" w:type="dxa"/>
            <w:shd w:val="clear" w:color="auto" w:fill="auto"/>
          </w:tcPr>
          <w:p w14:paraId="132A4CB3" w14:textId="77777777" w:rsidR="007054FB" w:rsidRDefault="007054FB" w:rsidP="007054FB">
            <w:pPr>
              <w:pStyle w:val="TblTextCenter"/>
              <w:jc w:val="left"/>
              <w:rPr>
                <w:color w:val="000000" w:themeColor="text1"/>
              </w:rPr>
            </w:pPr>
            <w:r w:rsidRPr="00792475">
              <w:rPr>
                <w:color w:val="000000" w:themeColor="text1"/>
              </w:rPr>
              <w:t>Abdominal pain</w:t>
            </w:r>
          </w:p>
          <w:p w14:paraId="5B529E94" w14:textId="77777777" w:rsidR="00815740" w:rsidRPr="00815740" w:rsidRDefault="00815740" w:rsidP="00815740">
            <w:pPr>
              <w:pStyle w:val="TblTextCenter"/>
              <w:jc w:val="left"/>
              <w:rPr>
                <w:color w:val="000000" w:themeColor="text1"/>
              </w:rPr>
            </w:pPr>
            <w:proofErr w:type="spellStart"/>
            <w:r w:rsidRPr="00815740">
              <w:rPr>
                <w:color w:val="000000" w:themeColor="text1"/>
              </w:rPr>
              <w:t>Hypoaesthesia</w:t>
            </w:r>
            <w:proofErr w:type="spellEnd"/>
            <w:r w:rsidRPr="00815740">
              <w:rPr>
                <w:color w:val="000000" w:themeColor="text1"/>
              </w:rPr>
              <w:t xml:space="preserve"> oral</w:t>
            </w:r>
          </w:p>
          <w:p w14:paraId="0B9A67D7" w14:textId="77777777" w:rsidR="00815740" w:rsidRPr="00815740" w:rsidRDefault="00815740" w:rsidP="00815740">
            <w:pPr>
              <w:pStyle w:val="TblTextCenter"/>
              <w:jc w:val="left"/>
              <w:rPr>
                <w:color w:val="000000" w:themeColor="text1"/>
              </w:rPr>
            </w:pPr>
            <w:proofErr w:type="spellStart"/>
            <w:r w:rsidRPr="00815740">
              <w:rPr>
                <w:color w:val="000000" w:themeColor="text1"/>
              </w:rPr>
              <w:t>Paraesthesia</w:t>
            </w:r>
            <w:proofErr w:type="spellEnd"/>
            <w:r w:rsidRPr="00815740">
              <w:rPr>
                <w:color w:val="000000" w:themeColor="text1"/>
              </w:rPr>
              <w:t xml:space="preserve"> oral </w:t>
            </w:r>
          </w:p>
          <w:p w14:paraId="5B1D7CAA" w14:textId="3D8E4EF0" w:rsidR="00815740" w:rsidRPr="00792475" w:rsidRDefault="00815740" w:rsidP="00815740">
            <w:pPr>
              <w:pStyle w:val="TblTextCenter"/>
              <w:jc w:val="left"/>
              <w:rPr>
                <w:strike/>
                <w:color w:val="000000" w:themeColor="text1"/>
              </w:rPr>
            </w:pPr>
            <w:r w:rsidRPr="00815740">
              <w:rPr>
                <w:color w:val="000000" w:themeColor="text1"/>
              </w:rPr>
              <w:t>Dysphagia</w:t>
            </w:r>
          </w:p>
        </w:tc>
      </w:tr>
      <w:tr w:rsidR="007054FB" w14:paraId="4AA9363B" w14:textId="77777777" w:rsidTr="00792475">
        <w:trPr>
          <w:cantSplit/>
          <w:jc w:val="center"/>
        </w:trPr>
        <w:tc>
          <w:tcPr>
            <w:tcW w:w="3088" w:type="dxa"/>
            <w:vMerge w:val="restart"/>
            <w:shd w:val="clear" w:color="auto" w:fill="auto"/>
          </w:tcPr>
          <w:p w14:paraId="774143F3" w14:textId="77777777" w:rsidR="007054FB" w:rsidRPr="003C5B2B" w:rsidRDefault="007054FB" w:rsidP="003733A7">
            <w:pPr>
              <w:pStyle w:val="TblTextCenter"/>
              <w:jc w:val="left"/>
            </w:pPr>
            <w:r w:rsidRPr="003C5B2B">
              <w:t>Skin and subcutaneous tissue disorders</w:t>
            </w:r>
          </w:p>
        </w:tc>
        <w:tc>
          <w:tcPr>
            <w:tcW w:w="1448" w:type="dxa"/>
            <w:shd w:val="clear" w:color="auto" w:fill="auto"/>
          </w:tcPr>
          <w:p w14:paraId="1DD8AAEE" w14:textId="77777777" w:rsidR="007054FB" w:rsidRPr="00792475" w:rsidRDefault="007054FB" w:rsidP="003733A7">
            <w:pPr>
              <w:pStyle w:val="TblTextCenter"/>
              <w:jc w:val="left"/>
              <w:rPr>
                <w:color w:val="000000" w:themeColor="text1"/>
              </w:rPr>
            </w:pPr>
            <w:r w:rsidRPr="00792475">
              <w:rPr>
                <w:color w:val="000000" w:themeColor="text1"/>
              </w:rPr>
              <w:t>Common</w:t>
            </w:r>
          </w:p>
        </w:tc>
        <w:tc>
          <w:tcPr>
            <w:tcW w:w="2694" w:type="dxa"/>
            <w:shd w:val="clear" w:color="auto" w:fill="auto"/>
          </w:tcPr>
          <w:p w14:paraId="1AA9B056" w14:textId="77777777" w:rsidR="007054FB" w:rsidRPr="00792475" w:rsidRDefault="007054FB" w:rsidP="007054FB">
            <w:pPr>
              <w:pStyle w:val="TblTextCenter"/>
              <w:jc w:val="left"/>
              <w:rPr>
                <w:color w:val="000000" w:themeColor="text1"/>
              </w:rPr>
            </w:pPr>
            <w:r w:rsidRPr="00792475">
              <w:rPr>
                <w:color w:val="000000" w:themeColor="text1"/>
              </w:rPr>
              <w:t>Pruritus</w:t>
            </w:r>
          </w:p>
          <w:p w14:paraId="7ADE8597" w14:textId="77777777" w:rsidR="007054FB" w:rsidRPr="00792475" w:rsidRDefault="007054FB" w:rsidP="007054FB">
            <w:pPr>
              <w:pStyle w:val="TblTextCenter"/>
              <w:jc w:val="left"/>
              <w:rPr>
                <w:color w:val="000000" w:themeColor="text1"/>
              </w:rPr>
            </w:pPr>
            <w:r w:rsidRPr="00792475">
              <w:rPr>
                <w:color w:val="000000" w:themeColor="text1"/>
              </w:rPr>
              <w:t>Rash</w:t>
            </w:r>
          </w:p>
          <w:p w14:paraId="45B7F475" w14:textId="77777777" w:rsidR="007054FB" w:rsidRPr="00792475" w:rsidRDefault="007054FB" w:rsidP="007054FB">
            <w:pPr>
              <w:pStyle w:val="TblTextCenter"/>
              <w:jc w:val="left"/>
              <w:rPr>
                <w:color w:val="000000" w:themeColor="text1"/>
              </w:rPr>
            </w:pPr>
            <w:r w:rsidRPr="00792475">
              <w:rPr>
                <w:color w:val="000000" w:themeColor="text1"/>
              </w:rPr>
              <w:t>Urticaria</w:t>
            </w:r>
          </w:p>
          <w:p w14:paraId="3D29F70F" w14:textId="77777777" w:rsidR="007054FB" w:rsidRPr="00792475" w:rsidRDefault="007054FB" w:rsidP="007054FB">
            <w:pPr>
              <w:pStyle w:val="TblTextCenter"/>
              <w:jc w:val="left"/>
              <w:rPr>
                <w:color w:val="000000" w:themeColor="text1"/>
              </w:rPr>
            </w:pPr>
            <w:r w:rsidRPr="00792475">
              <w:rPr>
                <w:color w:val="000000" w:themeColor="text1"/>
              </w:rPr>
              <w:t>Erythema</w:t>
            </w:r>
          </w:p>
          <w:p w14:paraId="3044637B" w14:textId="0DF7CA07" w:rsidR="007054FB" w:rsidRPr="00792475" w:rsidRDefault="007054FB" w:rsidP="007054FB">
            <w:pPr>
              <w:pStyle w:val="TblTextCenter"/>
              <w:jc w:val="left"/>
              <w:rPr>
                <w:strike/>
                <w:color w:val="000000" w:themeColor="text1"/>
              </w:rPr>
            </w:pPr>
            <w:r w:rsidRPr="00792475">
              <w:rPr>
                <w:color w:val="000000" w:themeColor="text1"/>
              </w:rPr>
              <w:t>Palmer erythema</w:t>
            </w:r>
          </w:p>
        </w:tc>
      </w:tr>
      <w:tr w:rsidR="007054FB" w14:paraId="1C2F10CC" w14:textId="77777777" w:rsidTr="00792475">
        <w:trPr>
          <w:cantSplit/>
          <w:jc w:val="center"/>
        </w:trPr>
        <w:tc>
          <w:tcPr>
            <w:tcW w:w="3088" w:type="dxa"/>
            <w:vMerge/>
            <w:shd w:val="clear" w:color="auto" w:fill="auto"/>
          </w:tcPr>
          <w:p w14:paraId="7C9881C5" w14:textId="77777777" w:rsidR="007054FB" w:rsidRPr="003C5B2B" w:rsidRDefault="007054FB" w:rsidP="003733A7">
            <w:pPr>
              <w:pStyle w:val="TblTextCenter"/>
              <w:jc w:val="left"/>
            </w:pPr>
          </w:p>
        </w:tc>
        <w:tc>
          <w:tcPr>
            <w:tcW w:w="1448" w:type="dxa"/>
            <w:shd w:val="clear" w:color="auto" w:fill="auto"/>
          </w:tcPr>
          <w:p w14:paraId="01B7622C" w14:textId="2CAE068D" w:rsidR="007054FB" w:rsidRPr="00792475" w:rsidRDefault="007054FB" w:rsidP="003733A7">
            <w:pPr>
              <w:pStyle w:val="TblTextCenter"/>
              <w:jc w:val="left"/>
              <w:rPr>
                <w:color w:val="000000" w:themeColor="text1"/>
              </w:rPr>
            </w:pPr>
            <w:r w:rsidRPr="00792475">
              <w:rPr>
                <w:color w:val="000000" w:themeColor="text1"/>
              </w:rPr>
              <w:t xml:space="preserve">Uncommon </w:t>
            </w:r>
          </w:p>
        </w:tc>
        <w:tc>
          <w:tcPr>
            <w:tcW w:w="2694" w:type="dxa"/>
            <w:shd w:val="clear" w:color="auto" w:fill="auto"/>
          </w:tcPr>
          <w:p w14:paraId="21440755" w14:textId="77777777" w:rsidR="007054FB" w:rsidRPr="00792475" w:rsidRDefault="007054FB" w:rsidP="007054FB">
            <w:pPr>
              <w:autoSpaceDE w:val="0"/>
              <w:autoSpaceDN w:val="0"/>
              <w:adjustRightInd w:val="0"/>
              <w:spacing w:before="0"/>
              <w:rPr>
                <w:rFonts w:ascii="Arial Narrow" w:eastAsia="MS Gothic" w:hAnsi="Arial Narrow"/>
                <w:color w:val="000000" w:themeColor="text1"/>
                <w:sz w:val="20"/>
                <w:szCs w:val="20"/>
              </w:rPr>
            </w:pPr>
            <w:r w:rsidRPr="00792475">
              <w:rPr>
                <w:rFonts w:ascii="Arial Narrow" w:eastAsia="MS Gothic" w:hAnsi="Arial Narrow"/>
                <w:color w:val="000000" w:themeColor="text1"/>
                <w:sz w:val="20"/>
                <w:szCs w:val="20"/>
              </w:rPr>
              <w:t>Angioedema</w:t>
            </w:r>
          </w:p>
          <w:p w14:paraId="2D6660C2" w14:textId="77777777" w:rsidR="007054FB" w:rsidRDefault="007054FB" w:rsidP="007054FB">
            <w:pPr>
              <w:pStyle w:val="TblTextCenter"/>
              <w:jc w:val="left"/>
              <w:rPr>
                <w:color w:val="000000" w:themeColor="text1"/>
              </w:rPr>
            </w:pPr>
            <w:r w:rsidRPr="00792475">
              <w:rPr>
                <w:color w:val="000000" w:themeColor="text1"/>
              </w:rPr>
              <w:t>Hyperhidrosis</w:t>
            </w:r>
          </w:p>
          <w:p w14:paraId="2A871B4D" w14:textId="4B9AB1F1" w:rsidR="00815740" w:rsidRPr="00792475" w:rsidRDefault="00815740" w:rsidP="007054FB">
            <w:pPr>
              <w:pStyle w:val="TblTextCenter"/>
              <w:jc w:val="left"/>
              <w:rPr>
                <w:strike/>
                <w:color w:val="000000" w:themeColor="text1"/>
              </w:rPr>
            </w:pPr>
            <w:r w:rsidRPr="00815740">
              <w:rPr>
                <w:color w:val="000000" w:themeColor="text1"/>
              </w:rPr>
              <w:t xml:space="preserve">Skin </w:t>
            </w:r>
            <w:proofErr w:type="spellStart"/>
            <w:r w:rsidRPr="00815740">
              <w:rPr>
                <w:color w:val="000000" w:themeColor="text1"/>
              </w:rPr>
              <w:t>discolouration</w:t>
            </w:r>
            <w:proofErr w:type="spellEnd"/>
          </w:p>
        </w:tc>
      </w:tr>
      <w:tr w:rsidR="00815740" w14:paraId="310C0937" w14:textId="77777777" w:rsidTr="00792475">
        <w:trPr>
          <w:cantSplit/>
          <w:jc w:val="center"/>
        </w:trPr>
        <w:tc>
          <w:tcPr>
            <w:tcW w:w="3088" w:type="dxa"/>
            <w:vMerge w:val="restart"/>
            <w:shd w:val="clear" w:color="auto" w:fill="auto"/>
          </w:tcPr>
          <w:p w14:paraId="58925963" w14:textId="77777777" w:rsidR="00815740" w:rsidRPr="003C5B2B" w:rsidRDefault="00815740" w:rsidP="003733A7">
            <w:pPr>
              <w:pStyle w:val="TblTextCenter"/>
              <w:jc w:val="left"/>
            </w:pPr>
            <w:r w:rsidRPr="003C5B2B">
              <w:t>Musculoskeletal and connective tissue disorders</w:t>
            </w:r>
          </w:p>
        </w:tc>
        <w:tc>
          <w:tcPr>
            <w:tcW w:w="1448" w:type="dxa"/>
            <w:shd w:val="clear" w:color="auto" w:fill="auto"/>
          </w:tcPr>
          <w:p w14:paraId="017C10A6" w14:textId="77777777" w:rsidR="00815740" w:rsidRPr="00792475" w:rsidRDefault="00815740" w:rsidP="003733A7">
            <w:pPr>
              <w:pStyle w:val="TblTextCenter"/>
              <w:jc w:val="left"/>
              <w:rPr>
                <w:color w:val="000000" w:themeColor="text1"/>
              </w:rPr>
            </w:pPr>
            <w:r w:rsidRPr="00792475">
              <w:rPr>
                <w:color w:val="000000" w:themeColor="text1"/>
              </w:rPr>
              <w:t>Common</w:t>
            </w:r>
          </w:p>
        </w:tc>
        <w:tc>
          <w:tcPr>
            <w:tcW w:w="2694" w:type="dxa"/>
            <w:shd w:val="clear" w:color="auto" w:fill="auto"/>
          </w:tcPr>
          <w:p w14:paraId="50AA9B94" w14:textId="77777777" w:rsidR="00815740" w:rsidRPr="00792475" w:rsidRDefault="00815740" w:rsidP="007054FB">
            <w:pPr>
              <w:pStyle w:val="TblTextCenter"/>
              <w:jc w:val="left"/>
              <w:rPr>
                <w:color w:val="000000" w:themeColor="text1"/>
              </w:rPr>
            </w:pPr>
            <w:r w:rsidRPr="00792475">
              <w:rPr>
                <w:color w:val="000000" w:themeColor="text1"/>
              </w:rPr>
              <w:t>Muscle spasms</w:t>
            </w:r>
          </w:p>
          <w:p w14:paraId="2641454B" w14:textId="3C1F6B36" w:rsidR="00815740" w:rsidRPr="00792475" w:rsidRDefault="00815740" w:rsidP="007054FB">
            <w:pPr>
              <w:pStyle w:val="TblTextCenter"/>
              <w:jc w:val="left"/>
              <w:rPr>
                <w:strike/>
                <w:color w:val="000000" w:themeColor="text1"/>
              </w:rPr>
            </w:pPr>
            <w:r w:rsidRPr="00792475">
              <w:rPr>
                <w:color w:val="000000" w:themeColor="text1"/>
              </w:rPr>
              <w:t>Myalgia</w:t>
            </w:r>
          </w:p>
        </w:tc>
      </w:tr>
      <w:tr w:rsidR="00815740" w14:paraId="698D359E" w14:textId="77777777" w:rsidTr="00792475">
        <w:trPr>
          <w:cantSplit/>
          <w:jc w:val="center"/>
        </w:trPr>
        <w:tc>
          <w:tcPr>
            <w:tcW w:w="3088" w:type="dxa"/>
            <w:vMerge/>
            <w:shd w:val="clear" w:color="auto" w:fill="auto"/>
          </w:tcPr>
          <w:p w14:paraId="6E398266" w14:textId="77777777" w:rsidR="00815740" w:rsidRPr="003C5B2B" w:rsidRDefault="00815740" w:rsidP="003733A7">
            <w:pPr>
              <w:pStyle w:val="TblTextCenter"/>
              <w:jc w:val="left"/>
            </w:pPr>
          </w:p>
        </w:tc>
        <w:tc>
          <w:tcPr>
            <w:tcW w:w="1448" w:type="dxa"/>
            <w:shd w:val="clear" w:color="auto" w:fill="auto"/>
          </w:tcPr>
          <w:p w14:paraId="2F4C72C6" w14:textId="7094C61D" w:rsidR="00815740" w:rsidRPr="00792475" w:rsidRDefault="00815740" w:rsidP="003733A7">
            <w:pPr>
              <w:pStyle w:val="TblTextCenter"/>
              <w:jc w:val="left"/>
              <w:rPr>
                <w:color w:val="000000" w:themeColor="text1"/>
              </w:rPr>
            </w:pPr>
            <w:r>
              <w:rPr>
                <w:color w:val="000000" w:themeColor="text1"/>
              </w:rPr>
              <w:t xml:space="preserve">Uncommon </w:t>
            </w:r>
          </w:p>
        </w:tc>
        <w:tc>
          <w:tcPr>
            <w:tcW w:w="2694" w:type="dxa"/>
            <w:shd w:val="clear" w:color="auto" w:fill="auto"/>
          </w:tcPr>
          <w:p w14:paraId="22DBE92D" w14:textId="12902321" w:rsidR="00815740" w:rsidRPr="00792475" w:rsidRDefault="00815740" w:rsidP="007054FB">
            <w:pPr>
              <w:pStyle w:val="TblTextCenter"/>
              <w:jc w:val="left"/>
              <w:rPr>
                <w:color w:val="000000" w:themeColor="text1"/>
              </w:rPr>
            </w:pPr>
            <w:r w:rsidRPr="00815740">
              <w:rPr>
                <w:color w:val="000000" w:themeColor="text1"/>
              </w:rPr>
              <w:t>Pain in extremity</w:t>
            </w:r>
          </w:p>
        </w:tc>
      </w:tr>
      <w:tr w:rsidR="007054FB" w14:paraId="0305EC27" w14:textId="77777777" w:rsidTr="00792475">
        <w:trPr>
          <w:cantSplit/>
          <w:jc w:val="center"/>
        </w:trPr>
        <w:tc>
          <w:tcPr>
            <w:tcW w:w="3088" w:type="dxa"/>
            <w:vMerge w:val="restart"/>
            <w:shd w:val="clear" w:color="auto" w:fill="auto"/>
          </w:tcPr>
          <w:p w14:paraId="35CA5AF2" w14:textId="77777777" w:rsidR="007054FB" w:rsidRPr="003C5B2B" w:rsidRDefault="007054FB" w:rsidP="003733A7">
            <w:pPr>
              <w:pStyle w:val="TblTextCenter"/>
              <w:jc w:val="left"/>
            </w:pPr>
            <w:r w:rsidRPr="003C5B2B">
              <w:t>General disorders and administration site conditions</w:t>
            </w:r>
          </w:p>
        </w:tc>
        <w:tc>
          <w:tcPr>
            <w:tcW w:w="1448" w:type="dxa"/>
            <w:shd w:val="clear" w:color="auto" w:fill="auto"/>
          </w:tcPr>
          <w:p w14:paraId="2F0FD932" w14:textId="77777777" w:rsidR="007054FB" w:rsidRPr="00792475" w:rsidRDefault="007054FB" w:rsidP="003733A7">
            <w:pPr>
              <w:pStyle w:val="TblTextCenter"/>
              <w:jc w:val="left"/>
              <w:rPr>
                <w:color w:val="000000" w:themeColor="text1"/>
              </w:rPr>
            </w:pPr>
            <w:r w:rsidRPr="00792475">
              <w:rPr>
                <w:color w:val="000000" w:themeColor="text1"/>
              </w:rPr>
              <w:t>Common</w:t>
            </w:r>
          </w:p>
        </w:tc>
        <w:tc>
          <w:tcPr>
            <w:tcW w:w="2694" w:type="dxa"/>
            <w:shd w:val="clear" w:color="auto" w:fill="auto"/>
          </w:tcPr>
          <w:p w14:paraId="082CD5C7" w14:textId="77777777" w:rsidR="007054FB" w:rsidRPr="00792475" w:rsidRDefault="007054FB" w:rsidP="007054FB">
            <w:pPr>
              <w:pStyle w:val="TblTextCenter"/>
              <w:jc w:val="left"/>
              <w:rPr>
                <w:color w:val="000000" w:themeColor="text1"/>
              </w:rPr>
            </w:pPr>
            <w:r w:rsidRPr="00792475">
              <w:rPr>
                <w:color w:val="000000" w:themeColor="text1"/>
              </w:rPr>
              <w:t>Fatigue</w:t>
            </w:r>
          </w:p>
          <w:p w14:paraId="3B11D7DC" w14:textId="77777777" w:rsidR="007054FB" w:rsidRPr="00792475" w:rsidRDefault="007054FB" w:rsidP="007054FB">
            <w:pPr>
              <w:pStyle w:val="TblTextCenter"/>
              <w:jc w:val="left"/>
              <w:rPr>
                <w:color w:val="000000" w:themeColor="text1"/>
              </w:rPr>
            </w:pPr>
            <w:r w:rsidRPr="00792475">
              <w:rPr>
                <w:color w:val="000000" w:themeColor="text1"/>
              </w:rPr>
              <w:t>Chills</w:t>
            </w:r>
          </w:p>
          <w:p w14:paraId="3692DEFA" w14:textId="77777777" w:rsidR="007054FB" w:rsidRPr="00792475" w:rsidRDefault="007054FB" w:rsidP="007054FB">
            <w:pPr>
              <w:pStyle w:val="TblTextCenter"/>
              <w:jc w:val="left"/>
              <w:rPr>
                <w:color w:val="000000" w:themeColor="text1"/>
              </w:rPr>
            </w:pPr>
            <w:r w:rsidRPr="00792475">
              <w:rPr>
                <w:color w:val="000000" w:themeColor="text1"/>
              </w:rPr>
              <w:t>Chest discomfort</w:t>
            </w:r>
          </w:p>
          <w:p w14:paraId="3B80DE4F" w14:textId="77777777" w:rsidR="007054FB" w:rsidRPr="00792475" w:rsidRDefault="007054FB" w:rsidP="007054FB">
            <w:pPr>
              <w:pStyle w:val="TblTextCenter"/>
              <w:jc w:val="left"/>
              <w:rPr>
                <w:color w:val="000000" w:themeColor="text1"/>
              </w:rPr>
            </w:pPr>
            <w:r w:rsidRPr="00792475">
              <w:rPr>
                <w:color w:val="000000" w:themeColor="text1"/>
              </w:rPr>
              <w:t>Pain</w:t>
            </w:r>
          </w:p>
          <w:p w14:paraId="59DD4D19" w14:textId="77777777" w:rsidR="007054FB" w:rsidRPr="00792475" w:rsidRDefault="007054FB" w:rsidP="007054FB">
            <w:pPr>
              <w:pStyle w:val="TblTextCenter"/>
              <w:jc w:val="left"/>
              <w:rPr>
                <w:color w:val="000000" w:themeColor="text1"/>
              </w:rPr>
            </w:pPr>
            <w:r w:rsidRPr="00792475">
              <w:rPr>
                <w:color w:val="000000" w:themeColor="text1"/>
              </w:rPr>
              <w:t>Influenza like illness</w:t>
            </w:r>
          </w:p>
          <w:p w14:paraId="26FE40BA" w14:textId="19E38E1A" w:rsidR="007054FB" w:rsidRPr="00792475" w:rsidRDefault="007054FB" w:rsidP="007054FB">
            <w:pPr>
              <w:pStyle w:val="TblTextCenter"/>
              <w:jc w:val="left"/>
              <w:rPr>
                <w:strike/>
                <w:color w:val="000000" w:themeColor="text1"/>
              </w:rPr>
            </w:pPr>
            <w:r w:rsidRPr="00792475">
              <w:rPr>
                <w:color w:val="000000" w:themeColor="text1"/>
              </w:rPr>
              <w:t>Infusion site pain</w:t>
            </w:r>
          </w:p>
        </w:tc>
      </w:tr>
      <w:tr w:rsidR="007054FB" w14:paraId="1BC22581" w14:textId="77777777" w:rsidTr="00792475">
        <w:trPr>
          <w:cantSplit/>
          <w:jc w:val="center"/>
        </w:trPr>
        <w:tc>
          <w:tcPr>
            <w:tcW w:w="3088" w:type="dxa"/>
            <w:vMerge/>
            <w:shd w:val="clear" w:color="auto" w:fill="auto"/>
          </w:tcPr>
          <w:p w14:paraId="01B80C76" w14:textId="77777777" w:rsidR="007054FB" w:rsidRPr="003C5B2B" w:rsidRDefault="007054FB" w:rsidP="003733A7">
            <w:pPr>
              <w:pStyle w:val="TblTextCenter"/>
              <w:jc w:val="left"/>
            </w:pPr>
          </w:p>
        </w:tc>
        <w:tc>
          <w:tcPr>
            <w:tcW w:w="1448" w:type="dxa"/>
            <w:shd w:val="clear" w:color="auto" w:fill="auto"/>
          </w:tcPr>
          <w:p w14:paraId="0CC2BA9A" w14:textId="68D8DF4B" w:rsidR="007054FB" w:rsidRPr="00792475" w:rsidRDefault="007054FB" w:rsidP="003733A7">
            <w:pPr>
              <w:pStyle w:val="TblTextCenter"/>
              <w:jc w:val="left"/>
              <w:rPr>
                <w:color w:val="000000" w:themeColor="text1"/>
              </w:rPr>
            </w:pPr>
            <w:r w:rsidRPr="00792475">
              <w:rPr>
                <w:color w:val="000000" w:themeColor="text1"/>
              </w:rPr>
              <w:t>Uncommon</w:t>
            </w:r>
          </w:p>
        </w:tc>
        <w:tc>
          <w:tcPr>
            <w:tcW w:w="2694" w:type="dxa"/>
            <w:shd w:val="clear" w:color="auto" w:fill="auto"/>
          </w:tcPr>
          <w:p w14:paraId="223C0843" w14:textId="77777777" w:rsidR="007054FB" w:rsidRPr="00792475" w:rsidRDefault="007054FB" w:rsidP="007054FB">
            <w:pPr>
              <w:pStyle w:val="TblTextCenter"/>
              <w:jc w:val="left"/>
              <w:rPr>
                <w:color w:val="000000" w:themeColor="text1"/>
              </w:rPr>
            </w:pPr>
            <w:r w:rsidRPr="00792475">
              <w:rPr>
                <w:color w:val="000000" w:themeColor="text1"/>
              </w:rPr>
              <w:t>Facial pain</w:t>
            </w:r>
          </w:p>
          <w:p w14:paraId="7415C06A" w14:textId="77777777" w:rsidR="007054FB" w:rsidRPr="00792475" w:rsidRDefault="007054FB" w:rsidP="007054FB">
            <w:pPr>
              <w:pStyle w:val="TblTextCenter"/>
              <w:jc w:val="left"/>
              <w:rPr>
                <w:color w:val="000000" w:themeColor="text1"/>
              </w:rPr>
            </w:pPr>
            <w:r w:rsidRPr="00792475">
              <w:rPr>
                <w:color w:val="000000" w:themeColor="text1"/>
              </w:rPr>
              <w:t>Hyperthermia</w:t>
            </w:r>
          </w:p>
          <w:p w14:paraId="018386B1" w14:textId="77777777" w:rsidR="007054FB" w:rsidRPr="00792475" w:rsidRDefault="007054FB" w:rsidP="007054FB">
            <w:pPr>
              <w:pStyle w:val="TblTextCenter"/>
              <w:jc w:val="left"/>
              <w:rPr>
                <w:color w:val="000000" w:themeColor="text1"/>
              </w:rPr>
            </w:pPr>
            <w:r w:rsidRPr="00792475">
              <w:rPr>
                <w:color w:val="000000" w:themeColor="text1"/>
              </w:rPr>
              <w:t>Infusion site extravasation</w:t>
            </w:r>
          </w:p>
          <w:p w14:paraId="2DD2E23C" w14:textId="77777777" w:rsidR="007054FB" w:rsidRPr="00792475" w:rsidRDefault="007054FB" w:rsidP="007054FB">
            <w:pPr>
              <w:pStyle w:val="TblTextCenter"/>
              <w:jc w:val="left"/>
              <w:rPr>
                <w:color w:val="000000" w:themeColor="text1"/>
              </w:rPr>
            </w:pPr>
            <w:r w:rsidRPr="00792475">
              <w:rPr>
                <w:color w:val="000000" w:themeColor="text1"/>
              </w:rPr>
              <w:t>Infusion site joint pain</w:t>
            </w:r>
          </w:p>
          <w:p w14:paraId="0E3DD88A" w14:textId="77777777" w:rsidR="007054FB" w:rsidRPr="00792475" w:rsidRDefault="007054FB" w:rsidP="007054FB">
            <w:pPr>
              <w:pStyle w:val="TblTextCenter"/>
              <w:jc w:val="left"/>
              <w:rPr>
                <w:color w:val="000000" w:themeColor="text1"/>
              </w:rPr>
            </w:pPr>
            <w:r w:rsidRPr="00792475">
              <w:rPr>
                <w:color w:val="000000" w:themeColor="text1"/>
              </w:rPr>
              <w:t>Infusion site rash</w:t>
            </w:r>
          </w:p>
          <w:p w14:paraId="75A8E2B6" w14:textId="77777777" w:rsidR="007054FB" w:rsidRPr="00792475" w:rsidRDefault="007054FB" w:rsidP="007054FB">
            <w:pPr>
              <w:pStyle w:val="TblTextCenter"/>
              <w:jc w:val="left"/>
              <w:rPr>
                <w:color w:val="000000" w:themeColor="text1"/>
              </w:rPr>
            </w:pPr>
            <w:r w:rsidRPr="00792475">
              <w:rPr>
                <w:color w:val="000000" w:themeColor="text1"/>
              </w:rPr>
              <w:t>Infusion site reaction</w:t>
            </w:r>
          </w:p>
          <w:p w14:paraId="6B0E47A1" w14:textId="77777777" w:rsidR="007054FB" w:rsidRPr="00792475" w:rsidRDefault="007054FB" w:rsidP="007054FB">
            <w:pPr>
              <w:pStyle w:val="TblTextCenter"/>
              <w:jc w:val="left"/>
              <w:rPr>
                <w:color w:val="000000" w:themeColor="text1"/>
              </w:rPr>
            </w:pPr>
            <w:r w:rsidRPr="00792475">
              <w:rPr>
                <w:color w:val="000000" w:themeColor="text1"/>
              </w:rPr>
              <w:t>Infusion site urticaria</w:t>
            </w:r>
          </w:p>
          <w:p w14:paraId="1DDED61D" w14:textId="77777777" w:rsidR="007054FB" w:rsidRPr="00792475" w:rsidRDefault="007054FB" w:rsidP="007054FB">
            <w:pPr>
              <w:pStyle w:val="TblTextCenter"/>
              <w:jc w:val="left"/>
              <w:rPr>
                <w:color w:val="000000" w:themeColor="text1"/>
              </w:rPr>
            </w:pPr>
            <w:r w:rsidRPr="00792475">
              <w:rPr>
                <w:color w:val="000000" w:themeColor="text1"/>
              </w:rPr>
              <w:t>Localized edema</w:t>
            </w:r>
          </w:p>
          <w:p w14:paraId="08C8DC4C" w14:textId="77777777" w:rsidR="007054FB" w:rsidRPr="00792475" w:rsidRDefault="007054FB" w:rsidP="007054FB">
            <w:pPr>
              <w:pStyle w:val="TblTextCenter"/>
              <w:jc w:val="left"/>
              <w:rPr>
                <w:color w:val="000000" w:themeColor="text1"/>
              </w:rPr>
            </w:pPr>
            <w:r w:rsidRPr="00792475">
              <w:rPr>
                <w:color w:val="000000" w:themeColor="text1"/>
              </w:rPr>
              <w:t>Peripheral Swelling</w:t>
            </w:r>
          </w:p>
          <w:p w14:paraId="37C13A9F" w14:textId="77777777" w:rsidR="007054FB" w:rsidRDefault="007054FB" w:rsidP="007054FB">
            <w:pPr>
              <w:pStyle w:val="TblTextCenter"/>
              <w:jc w:val="left"/>
              <w:rPr>
                <w:color w:val="000000" w:themeColor="text1"/>
              </w:rPr>
            </w:pPr>
            <w:r w:rsidRPr="00792475">
              <w:rPr>
                <w:color w:val="000000" w:themeColor="text1"/>
              </w:rPr>
              <w:t>Pyrexia</w:t>
            </w:r>
          </w:p>
          <w:p w14:paraId="532A606D" w14:textId="0AF2B3FE" w:rsidR="00815740" w:rsidRPr="00792475" w:rsidRDefault="00815740" w:rsidP="007054FB">
            <w:pPr>
              <w:pStyle w:val="TblTextCenter"/>
              <w:jc w:val="left"/>
              <w:rPr>
                <w:strike/>
                <w:color w:val="000000" w:themeColor="text1"/>
              </w:rPr>
            </w:pPr>
            <w:r w:rsidRPr="00815740">
              <w:rPr>
                <w:color w:val="000000" w:themeColor="text1"/>
              </w:rPr>
              <w:t>Asthenia</w:t>
            </w:r>
          </w:p>
        </w:tc>
      </w:tr>
      <w:tr w:rsidR="007054FB" w14:paraId="02D1CEA7" w14:textId="77777777" w:rsidTr="00792475">
        <w:trPr>
          <w:cantSplit/>
          <w:jc w:val="center"/>
        </w:trPr>
        <w:tc>
          <w:tcPr>
            <w:tcW w:w="3088" w:type="dxa"/>
            <w:vMerge w:val="restart"/>
            <w:shd w:val="clear" w:color="auto" w:fill="auto"/>
          </w:tcPr>
          <w:p w14:paraId="57850F73" w14:textId="0FB86220" w:rsidR="007054FB" w:rsidRPr="003C5B2B" w:rsidRDefault="007054FB" w:rsidP="003733A7">
            <w:pPr>
              <w:pStyle w:val="TblTextCenter"/>
              <w:jc w:val="left"/>
            </w:pPr>
            <w:r>
              <w:t xml:space="preserve">Investigation </w:t>
            </w:r>
          </w:p>
        </w:tc>
        <w:tc>
          <w:tcPr>
            <w:tcW w:w="1448" w:type="dxa"/>
            <w:shd w:val="clear" w:color="auto" w:fill="auto"/>
          </w:tcPr>
          <w:p w14:paraId="04DD411A" w14:textId="77777777" w:rsidR="007054FB" w:rsidRPr="00792475" w:rsidRDefault="007054FB" w:rsidP="001F20BE">
            <w:pPr>
              <w:pStyle w:val="TblTextCenter"/>
              <w:jc w:val="left"/>
              <w:rPr>
                <w:color w:val="000000" w:themeColor="text1"/>
              </w:rPr>
            </w:pPr>
            <w:r w:rsidRPr="00792475">
              <w:rPr>
                <w:color w:val="000000" w:themeColor="text1"/>
              </w:rPr>
              <w:t>Common</w:t>
            </w:r>
          </w:p>
          <w:p w14:paraId="26AE9D4C" w14:textId="511C94FD" w:rsidR="007054FB" w:rsidRPr="00792475" w:rsidRDefault="007054FB" w:rsidP="001F20BE">
            <w:pPr>
              <w:pStyle w:val="TblTextCenter"/>
              <w:jc w:val="left"/>
              <w:rPr>
                <w:color w:val="000000" w:themeColor="text1"/>
              </w:rPr>
            </w:pPr>
          </w:p>
        </w:tc>
        <w:tc>
          <w:tcPr>
            <w:tcW w:w="2694" w:type="dxa"/>
            <w:shd w:val="clear" w:color="auto" w:fill="auto"/>
          </w:tcPr>
          <w:p w14:paraId="52E75860" w14:textId="77777777" w:rsidR="007054FB" w:rsidRPr="00792475" w:rsidRDefault="007054FB" w:rsidP="007054FB">
            <w:pPr>
              <w:pStyle w:val="TblTextCenter"/>
              <w:jc w:val="left"/>
              <w:rPr>
                <w:color w:val="000000" w:themeColor="text1"/>
              </w:rPr>
            </w:pPr>
            <w:r w:rsidRPr="00792475">
              <w:rPr>
                <w:color w:val="000000" w:themeColor="text1"/>
              </w:rPr>
              <w:t>Blood pressure increased</w:t>
            </w:r>
          </w:p>
          <w:p w14:paraId="7786A0C0" w14:textId="10363DA2" w:rsidR="007054FB" w:rsidRPr="00792475" w:rsidRDefault="007054FB" w:rsidP="007054FB">
            <w:pPr>
              <w:pStyle w:val="TblTextCenter"/>
              <w:jc w:val="left"/>
              <w:rPr>
                <w:strike/>
                <w:color w:val="000000" w:themeColor="text1"/>
              </w:rPr>
            </w:pPr>
            <w:r w:rsidRPr="00792475">
              <w:rPr>
                <w:color w:val="000000" w:themeColor="text1"/>
              </w:rPr>
              <w:t>Oxygen saturation decreased</w:t>
            </w:r>
          </w:p>
        </w:tc>
      </w:tr>
      <w:tr w:rsidR="007054FB" w14:paraId="257E1375" w14:textId="77777777" w:rsidTr="00792475">
        <w:trPr>
          <w:cantSplit/>
          <w:jc w:val="center"/>
        </w:trPr>
        <w:tc>
          <w:tcPr>
            <w:tcW w:w="3088" w:type="dxa"/>
            <w:vMerge/>
            <w:shd w:val="clear" w:color="auto" w:fill="auto"/>
          </w:tcPr>
          <w:p w14:paraId="15F34DC4" w14:textId="77777777" w:rsidR="007054FB" w:rsidRDefault="007054FB" w:rsidP="003733A7">
            <w:pPr>
              <w:pStyle w:val="TblTextCenter"/>
              <w:jc w:val="left"/>
            </w:pPr>
          </w:p>
        </w:tc>
        <w:tc>
          <w:tcPr>
            <w:tcW w:w="1448" w:type="dxa"/>
            <w:shd w:val="clear" w:color="auto" w:fill="auto"/>
          </w:tcPr>
          <w:p w14:paraId="31FB284D" w14:textId="2635635A" w:rsidR="007054FB" w:rsidRPr="00792475" w:rsidRDefault="007054FB" w:rsidP="001F20BE">
            <w:pPr>
              <w:pStyle w:val="TblTextCenter"/>
              <w:jc w:val="left"/>
              <w:rPr>
                <w:color w:val="000000" w:themeColor="text1"/>
              </w:rPr>
            </w:pPr>
            <w:r w:rsidRPr="00792475">
              <w:rPr>
                <w:color w:val="000000" w:themeColor="text1"/>
              </w:rPr>
              <w:t>Uncommon</w:t>
            </w:r>
          </w:p>
        </w:tc>
        <w:tc>
          <w:tcPr>
            <w:tcW w:w="2694" w:type="dxa"/>
            <w:shd w:val="clear" w:color="auto" w:fill="auto"/>
          </w:tcPr>
          <w:p w14:paraId="212C404B" w14:textId="77777777" w:rsidR="007054FB" w:rsidRPr="00792475" w:rsidRDefault="007054FB" w:rsidP="007054FB">
            <w:pPr>
              <w:pStyle w:val="TblTextCenter"/>
              <w:jc w:val="left"/>
              <w:rPr>
                <w:color w:val="000000" w:themeColor="text1"/>
              </w:rPr>
            </w:pPr>
            <w:r w:rsidRPr="00792475">
              <w:rPr>
                <w:color w:val="000000" w:themeColor="text1"/>
              </w:rPr>
              <w:t>Body temperature increase</w:t>
            </w:r>
          </w:p>
          <w:p w14:paraId="39AB307F" w14:textId="77777777" w:rsidR="007054FB" w:rsidRPr="00792475" w:rsidRDefault="007054FB" w:rsidP="007054FB">
            <w:pPr>
              <w:pStyle w:val="TblTextCenter"/>
              <w:jc w:val="left"/>
              <w:rPr>
                <w:color w:val="000000" w:themeColor="text1"/>
              </w:rPr>
            </w:pPr>
            <w:r w:rsidRPr="00792475">
              <w:rPr>
                <w:color w:val="000000" w:themeColor="text1"/>
              </w:rPr>
              <w:t>Heart rate increased</w:t>
            </w:r>
          </w:p>
          <w:p w14:paraId="77705B44" w14:textId="77777777" w:rsidR="007054FB" w:rsidRPr="00792475" w:rsidRDefault="007054FB" w:rsidP="007054FB">
            <w:pPr>
              <w:pStyle w:val="TblTextCenter"/>
              <w:jc w:val="left"/>
              <w:rPr>
                <w:color w:val="000000" w:themeColor="text1"/>
              </w:rPr>
            </w:pPr>
            <w:r w:rsidRPr="00792475">
              <w:rPr>
                <w:color w:val="000000" w:themeColor="text1"/>
              </w:rPr>
              <w:t>Breath sounds abnormal</w:t>
            </w:r>
          </w:p>
          <w:p w14:paraId="2C6A2575" w14:textId="77777777" w:rsidR="007054FB" w:rsidRPr="00792475" w:rsidRDefault="007054FB" w:rsidP="007054FB">
            <w:pPr>
              <w:pStyle w:val="TblTextCenter"/>
              <w:jc w:val="left"/>
              <w:rPr>
                <w:color w:val="000000" w:themeColor="text1"/>
              </w:rPr>
            </w:pPr>
            <w:r w:rsidRPr="00792475">
              <w:rPr>
                <w:color w:val="000000" w:themeColor="text1"/>
              </w:rPr>
              <w:t>Complement factor increased</w:t>
            </w:r>
          </w:p>
          <w:p w14:paraId="157430BA" w14:textId="7F2BC6C0" w:rsidR="007054FB" w:rsidRPr="00792475" w:rsidRDefault="007054FB" w:rsidP="007054FB">
            <w:pPr>
              <w:pStyle w:val="TblTextCenter"/>
              <w:jc w:val="left"/>
              <w:rPr>
                <w:strike/>
                <w:color w:val="000000" w:themeColor="text1"/>
              </w:rPr>
            </w:pPr>
            <w:r w:rsidRPr="00792475">
              <w:rPr>
                <w:color w:val="000000" w:themeColor="text1"/>
              </w:rPr>
              <w:t>Immune Complex level increased</w:t>
            </w:r>
          </w:p>
        </w:tc>
      </w:tr>
      <w:tr w:rsidR="003C5B2B" w14:paraId="470FF230" w14:textId="77777777" w:rsidTr="00792475">
        <w:trPr>
          <w:cantSplit/>
          <w:jc w:val="center"/>
        </w:trPr>
        <w:tc>
          <w:tcPr>
            <w:tcW w:w="7230" w:type="dxa"/>
            <w:gridSpan w:val="3"/>
            <w:shd w:val="clear" w:color="auto" w:fill="auto"/>
          </w:tcPr>
          <w:p w14:paraId="550F4D29" w14:textId="3BDB6A4E" w:rsidR="003C5B2B" w:rsidRPr="00792475" w:rsidRDefault="001F20BE" w:rsidP="001F20BE">
            <w:pPr>
              <w:pStyle w:val="TblTextCenter"/>
              <w:jc w:val="left"/>
              <w:rPr>
                <w:noProof/>
                <w:color w:val="000000" w:themeColor="text1"/>
              </w:rPr>
            </w:pPr>
            <w:r w:rsidRPr="00792475">
              <w:rPr>
                <w:color w:val="000000" w:themeColor="text1"/>
                <w:sz w:val="18"/>
                <w:szCs w:val="18"/>
              </w:rPr>
              <w:lastRenderedPageBreak/>
              <w:t xml:space="preserve">Includes treatment related adverse events that are considered biologically plausibly related to </w:t>
            </w:r>
            <w:proofErr w:type="spellStart"/>
            <w:r w:rsidR="00F77F7C" w:rsidRPr="00792475">
              <w:rPr>
                <w:color w:val="000000" w:themeColor="text1"/>
                <w:sz w:val="18"/>
                <w:szCs w:val="18"/>
              </w:rPr>
              <w:t>Nexviazyme</w:t>
            </w:r>
            <w:proofErr w:type="spellEnd"/>
            <w:r w:rsidR="00F77F7C" w:rsidRPr="00792475">
              <w:rPr>
                <w:color w:val="000000" w:themeColor="text1"/>
                <w:sz w:val="18"/>
                <w:szCs w:val="18"/>
              </w:rPr>
              <w:t xml:space="preserve"> </w:t>
            </w:r>
            <w:r w:rsidRPr="00792475">
              <w:rPr>
                <w:color w:val="000000" w:themeColor="text1"/>
                <w:sz w:val="18"/>
                <w:szCs w:val="18"/>
              </w:rPr>
              <w:t xml:space="preserve">based on the </w:t>
            </w:r>
            <w:proofErr w:type="spellStart"/>
            <w:r w:rsidRPr="00792475">
              <w:rPr>
                <w:color w:val="000000" w:themeColor="text1"/>
                <w:sz w:val="18"/>
                <w:szCs w:val="18"/>
              </w:rPr>
              <w:t>alglucosidase</w:t>
            </w:r>
            <w:proofErr w:type="spellEnd"/>
            <w:r w:rsidRPr="00792475">
              <w:rPr>
                <w:color w:val="000000" w:themeColor="text1"/>
                <w:sz w:val="18"/>
                <w:szCs w:val="18"/>
              </w:rPr>
              <w:t xml:space="preserve"> alfa</w:t>
            </w:r>
            <w:r w:rsidR="000855E7" w:rsidRPr="00792475">
              <w:rPr>
                <w:color w:val="000000" w:themeColor="text1"/>
                <w:sz w:val="18"/>
                <w:szCs w:val="18"/>
              </w:rPr>
              <w:t>.</w:t>
            </w:r>
          </w:p>
        </w:tc>
      </w:tr>
    </w:tbl>
    <w:p w14:paraId="56F34359" w14:textId="05874EE4" w:rsidR="003C5B2B" w:rsidRDefault="003C5B2B" w:rsidP="003C5B2B">
      <w:pPr>
        <w:rPr>
          <w:lang w:val="en-AU"/>
        </w:rPr>
      </w:pPr>
      <w:r w:rsidRPr="003C5B2B">
        <w:rPr>
          <w:lang w:val="en-AU"/>
        </w:rPr>
        <w:t>In a comparative study, EFC14028</w:t>
      </w:r>
      <w:r>
        <w:rPr>
          <w:lang w:val="en-AU"/>
        </w:rPr>
        <w:t xml:space="preserve"> (</w:t>
      </w:r>
      <w:r w:rsidRPr="003C5B2B">
        <w:rPr>
          <w:lang w:val="en-AU"/>
        </w:rPr>
        <w:t>COMET</w:t>
      </w:r>
      <w:r>
        <w:rPr>
          <w:lang w:val="en-AU"/>
        </w:rPr>
        <w:t>)</w:t>
      </w:r>
      <w:r w:rsidRPr="003C5B2B">
        <w:rPr>
          <w:lang w:val="en-AU"/>
        </w:rPr>
        <w:t>, 100 LOPD patients aged 16 to 78 naïve to enzyme</w:t>
      </w:r>
      <w:r>
        <w:rPr>
          <w:lang w:val="en-AU"/>
        </w:rPr>
        <w:t xml:space="preserve"> </w:t>
      </w:r>
      <w:r w:rsidRPr="003C5B2B">
        <w:rPr>
          <w:lang w:val="en-AU"/>
        </w:rPr>
        <w:t>replacement therapy were treated</w:t>
      </w:r>
      <w:r w:rsidR="004910A1">
        <w:rPr>
          <w:lang w:val="en-AU"/>
        </w:rPr>
        <w:t xml:space="preserve"> </w:t>
      </w:r>
      <w:r w:rsidR="004910A1" w:rsidRPr="00792475">
        <w:rPr>
          <w:color w:val="000000" w:themeColor="text1"/>
          <w:lang w:val="en-AU"/>
        </w:rPr>
        <w:t>every other week</w:t>
      </w:r>
      <w:r w:rsidRPr="00792475">
        <w:rPr>
          <w:color w:val="000000" w:themeColor="text1"/>
          <w:lang w:val="en-AU"/>
        </w:rPr>
        <w:t xml:space="preserve"> </w:t>
      </w:r>
      <w:r w:rsidRPr="003C5B2B">
        <w:rPr>
          <w:lang w:val="en-AU"/>
        </w:rPr>
        <w:t>either with 20 mg/kg of</w:t>
      </w:r>
      <w:r>
        <w:rPr>
          <w:lang w:val="en-AU"/>
        </w:rPr>
        <w:t xml:space="preserve"> </w:t>
      </w:r>
      <w:proofErr w:type="spellStart"/>
      <w:r>
        <w:rPr>
          <w:lang w:val="en-AU"/>
        </w:rPr>
        <w:t>Nexviazyme</w:t>
      </w:r>
      <w:proofErr w:type="spellEnd"/>
      <w:r>
        <w:rPr>
          <w:lang w:val="en-AU"/>
        </w:rPr>
        <w:t xml:space="preserve"> </w:t>
      </w:r>
      <w:r w:rsidRPr="003C5B2B">
        <w:rPr>
          <w:lang w:val="en-AU"/>
        </w:rPr>
        <w:t xml:space="preserve">(n=51) or 20 mg/kg of </w:t>
      </w:r>
      <w:proofErr w:type="spellStart"/>
      <w:r w:rsidRPr="003C5B2B">
        <w:rPr>
          <w:lang w:val="en-AU"/>
        </w:rPr>
        <w:t>alglucosidase</w:t>
      </w:r>
      <w:proofErr w:type="spellEnd"/>
      <w:r>
        <w:rPr>
          <w:lang w:val="en-AU"/>
        </w:rPr>
        <w:t xml:space="preserve"> </w:t>
      </w:r>
      <w:r w:rsidRPr="003C5B2B">
        <w:rPr>
          <w:lang w:val="en-AU"/>
        </w:rPr>
        <w:t xml:space="preserve">alfa (n=49). Serious adverse reactions were reported in 2% of patients treated with </w:t>
      </w:r>
      <w:proofErr w:type="spellStart"/>
      <w:r>
        <w:rPr>
          <w:lang w:val="en-AU"/>
        </w:rPr>
        <w:t>Nexviazyme</w:t>
      </w:r>
      <w:proofErr w:type="spellEnd"/>
      <w:r>
        <w:rPr>
          <w:lang w:val="en-AU"/>
        </w:rPr>
        <w:t xml:space="preserve"> </w:t>
      </w:r>
      <w:r w:rsidRPr="003C5B2B">
        <w:rPr>
          <w:lang w:val="en-AU"/>
        </w:rPr>
        <w:t>and 6.1% of</w:t>
      </w:r>
      <w:r>
        <w:rPr>
          <w:lang w:val="en-AU"/>
        </w:rPr>
        <w:t xml:space="preserve"> </w:t>
      </w:r>
      <w:r w:rsidRPr="003C5B2B">
        <w:rPr>
          <w:lang w:val="en-AU"/>
        </w:rPr>
        <w:t xml:space="preserve">those treated with </w:t>
      </w:r>
      <w:proofErr w:type="spellStart"/>
      <w:r w:rsidRPr="003C5B2B">
        <w:rPr>
          <w:lang w:val="en-AU"/>
        </w:rPr>
        <w:t>alglucosidase</w:t>
      </w:r>
      <w:proofErr w:type="spellEnd"/>
      <w:r w:rsidRPr="003C5B2B">
        <w:rPr>
          <w:lang w:val="en-AU"/>
        </w:rPr>
        <w:t xml:space="preserve"> alfa. A total of 4 patients receiving </w:t>
      </w:r>
      <w:proofErr w:type="spellStart"/>
      <w:r w:rsidRPr="003C5B2B">
        <w:rPr>
          <w:lang w:val="en-AU"/>
        </w:rPr>
        <w:t>alglucosidase</w:t>
      </w:r>
      <w:proofErr w:type="spellEnd"/>
      <w:r w:rsidRPr="003C5B2B">
        <w:rPr>
          <w:lang w:val="en-AU"/>
        </w:rPr>
        <w:t xml:space="preserve"> alfa in the study</w:t>
      </w:r>
      <w:r>
        <w:rPr>
          <w:lang w:val="en-AU"/>
        </w:rPr>
        <w:t xml:space="preserve"> </w:t>
      </w:r>
      <w:r w:rsidRPr="003C5B2B">
        <w:rPr>
          <w:lang w:val="en-AU"/>
        </w:rPr>
        <w:t>permanently discontinued treatment due to adverse reactions; none of the patients from the</w:t>
      </w:r>
      <w:r>
        <w:rPr>
          <w:lang w:val="en-AU"/>
        </w:rPr>
        <w:t xml:space="preserve"> </w:t>
      </w:r>
      <w:proofErr w:type="spellStart"/>
      <w:r>
        <w:rPr>
          <w:lang w:val="en-AU"/>
        </w:rPr>
        <w:t>Nexviazyme</w:t>
      </w:r>
      <w:proofErr w:type="spellEnd"/>
      <w:r w:rsidRPr="003C5B2B">
        <w:rPr>
          <w:lang w:val="en-AU"/>
        </w:rPr>
        <w:t xml:space="preserve"> group</w:t>
      </w:r>
      <w:r>
        <w:rPr>
          <w:lang w:val="en-AU"/>
        </w:rPr>
        <w:t xml:space="preserve"> </w:t>
      </w:r>
      <w:r w:rsidRPr="003C5B2B">
        <w:rPr>
          <w:lang w:val="en-AU"/>
        </w:rPr>
        <w:t>permanently discontinued the treatment. The most frequently reported ADRs (&gt;5%) were headache,</w:t>
      </w:r>
      <w:r>
        <w:rPr>
          <w:lang w:val="en-AU"/>
        </w:rPr>
        <w:t xml:space="preserve"> </w:t>
      </w:r>
      <w:r w:rsidRPr="003C5B2B">
        <w:rPr>
          <w:lang w:val="en-AU"/>
        </w:rPr>
        <w:t>nausea, pruritus, urticaria, and fatigue.</w:t>
      </w:r>
    </w:p>
    <w:p w14:paraId="5721A683" w14:textId="245B2DC8" w:rsidR="00112BD8" w:rsidRDefault="00112BD8" w:rsidP="003C5B2B">
      <w:pPr>
        <w:rPr>
          <w:color w:val="000000" w:themeColor="text1"/>
          <w:lang w:val="en-AU"/>
        </w:rPr>
      </w:pPr>
      <w:r w:rsidRPr="00792475">
        <w:rPr>
          <w:color w:val="000000" w:themeColor="text1"/>
          <w:lang w:val="en-AU"/>
        </w:rPr>
        <w:t xml:space="preserve">The most commonly reported </w:t>
      </w:r>
      <w:r w:rsidR="00715D86" w:rsidRPr="00792475">
        <w:rPr>
          <w:color w:val="000000" w:themeColor="text1"/>
          <w:lang w:val="en-AU"/>
        </w:rPr>
        <w:t>treatment-emergent adverse events (</w:t>
      </w:r>
      <w:proofErr w:type="gramStart"/>
      <w:r w:rsidRPr="00792475">
        <w:rPr>
          <w:color w:val="000000" w:themeColor="text1"/>
          <w:lang w:val="en-AU"/>
        </w:rPr>
        <w:t>TEAEs</w:t>
      </w:r>
      <w:r w:rsidR="00715D86" w:rsidRPr="00792475">
        <w:rPr>
          <w:color w:val="000000" w:themeColor="text1"/>
          <w:lang w:val="en-AU"/>
        </w:rPr>
        <w:t xml:space="preserve">) </w:t>
      </w:r>
      <w:r w:rsidRPr="00792475">
        <w:rPr>
          <w:color w:val="000000" w:themeColor="text1"/>
          <w:lang w:val="en-AU"/>
        </w:rPr>
        <w:t xml:space="preserve"> (</w:t>
      </w:r>
      <w:proofErr w:type="gramEnd"/>
      <w:r w:rsidRPr="00792475">
        <w:rPr>
          <w:color w:val="000000" w:themeColor="text1"/>
          <w:lang w:val="en-AU"/>
        </w:rPr>
        <w:t xml:space="preserve">≥20%) were nasopharyngitis (23.5%), back pain (23.5%), and headache (21.6%) in the </w:t>
      </w:r>
      <w:proofErr w:type="spellStart"/>
      <w:r w:rsidR="004910A1" w:rsidRPr="00792475">
        <w:rPr>
          <w:color w:val="000000" w:themeColor="text1"/>
          <w:lang w:val="en-AU"/>
        </w:rPr>
        <w:t>Nexviazyme</w:t>
      </w:r>
      <w:proofErr w:type="spellEnd"/>
      <w:r w:rsidRPr="00792475">
        <w:rPr>
          <w:color w:val="000000" w:themeColor="text1"/>
          <w:lang w:val="en-AU"/>
        </w:rPr>
        <w:t xml:space="preserve"> group and headache (32.7%), nasopharyngitis (24.5%), and fall (20.4%) in the </w:t>
      </w:r>
      <w:proofErr w:type="spellStart"/>
      <w:r w:rsidRPr="00792475">
        <w:rPr>
          <w:color w:val="000000" w:themeColor="text1"/>
          <w:lang w:val="en-AU"/>
        </w:rPr>
        <w:t>alglucosidase</w:t>
      </w:r>
      <w:proofErr w:type="spellEnd"/>
      <w:r w:rsidRPr="00792475">
        <w:rPr>
          <w:color w:val="000000" w:themeColor="text1"/>
          <w:lang w:val="en-AU"/>
        </w:rPr>
        <w:t xml:space="preserve"> alfa group .</w:t>
      </w:r>
    </w:p>
    <w:p w14:paraId="58F8105F" w14:textId="77777777" w:rsidR="0055349C" w:rsidRPr="00792475" w:rsidRDefault="0055349C" w:rsidP="003C5B2B">
      <w:pPr>
        <w:rPr>
          <w:color w:val="000000" w:themeColor="text1"/>
          <w:lang w:val="en-AU"/>
        </w:rPr>
      </w:pPr>
    </w:p>
    <w:p w14:paraId="65DADBCE" w14:textId="50B028C9" w:rsidR="00112BD8" w:rsidRPr="00792475" w:rsidRDefault="00112BD8" w:rsidP="00112BD8">
      <w:pPr>
        <w:pStyle w:val="Caption"/>
        <w:rPr>
          <w:color w:val="000000" w:themeColor="text1"/>
          <w:lang w:val="en-AU"/>
        </w:rPr>
      </w:pPr>
      <w:r w:rsidRPr="00792475">
        <w:rPr>
          <w:color w:val="000000" w:themeColor="text1"/>
          <w:lang w:val="en-AU"/>
        </w:rPr>
        <w:t xml:space="preserve"> </w:t>
      </w:r>
      <w:r w:rsidRPr="00792475">
        <w:rPr>
          <w:color w:val="000000" w:themeColor="text1"/>
        </w:rPr>
        <w:t>Table </w:t>
      </w:r>
      <w:r w:rsidRPr="00792475">
        <w:rPr>
          <w:color w:val="000000" w:themeColor="text1"/>
        </w:rPr>
        <w:fldChar w:fldCharType="begin"/>
      </w:r>
      <w:r w:rsidRPr="00792475">
        <w:rPr>
          <w:color w:val="000000" w:themeColor="text1"/>
        </w:rPr>
        <w:instrText xml:space="preserve"> SEQ Table \* ARABIC </w:instrText>
      </w:r>
      <w:r w:rsidRPr="00792475">
        <w:rPr>
          <w:color w:val="000000" w:themeColor="text1"/>
        </w:rPr>
        <w:fldChar w:fldCharType="separate"/>
      </w:r>
      <w:r w:rsidR="00751605">
        <w:rPr>
          <w:noProof/>
          <w:color w:val="000000" w:themeColor="text1"/>
        </w:rPr>
        <w:t>4</w:t>
      </w:r>
      <w:r w:rsidRPr="00792475">
        <w:rPr>
          <w:color w:val="000000" w:themeColor="text1"/>
        </w:rPr>
        <w:fldChar w:fldCharType="end"/>
      </w:r>
      <w:r w:rsidRPr="00792475">
        <w:rPr>
          <w:color w:val="000000" w:themeColor="text1"/>
        </w:rPr>
        <w:t xml:space="preserve"> ­ </w:t>
      </w:r>
      <w:r w:rsidRPr="00792475">
        <w:rPr>
          <w:color w:val="000000" w:themeColor="text1"/>
          <w:lang w:val="en-AU"/>
        </w:rPr>
        <w:t>St</w:t>
      </w:r>
      <w:r w:rsidR="00E424FC" w:rsidRPr="00792475">
        <w:rPr>
          <w:color w:val="000000" w:themeColor="text1"/>
          <w:lang w:val="en-AU"/>
        </w:rPr>
        <w:t>udy</w:t>
      </w:r>
      <w:r w:rsidRPr="00792475">
        <w:rPr>
          <w:color w:val="000000" w:themeColor="text1"/>
          <w:lang w:val="en-AU"/>
        </w:rPr>
        <w:t xml:space="preserve"> EFC14028</w:t>
      </w:r>
      <w:r w:rsidR="00F84271" w:rsidRPr="00792475">
        <w:rPr>
          <w:color w:val="000000" w:themeColor="text1"/>
          <w:lang w:val="en-AU"/>
        </w:rPr>
        <w:t xml:space="preserve"> (COMET)</w:t>
      </w:r>
      <w:r w:rsidR="00E424FC" w:rsidRPr="00792475">
        <w:rPr>
          <w:color w:val="000000" w:themeColor="text1"/>
          <w:lang w:val="en-AU"/>
        </w:rPr>
        <w:t xml:space="preserve"> Most common treatment-emergent adverse events* </w:t>
      </w:r>
    </w:p>
    <w:tbl>
      <w:tblPr>
        <w:tblW w:w="0" w:type="auto"/>
        <w:jc w:val="center"/>
        <w:tblBorders>
          <w:top w:val="single" w:sz="2" w:space="0" w:color="000000"/>
        </w:tblBorders>
        <w:tblLook w:val="0000" w:firstRow="0" w:lastRow="0" w:firstColumn="0" w:lastColumn="0" w:noHBand="0" w:noVBand="0"/>
      </w:tblPr>
      <w:tblGrid>
        <w:gridCol w:w="5346"/>
        <w:gridCol w:w="1362"/>
        <w:gridCol w:w="1973"/>
      </w:tblGrid>
      <w:tr w:rsidR="00112BD8" w:rsidRPr="00792475" w14:paraId="7009FD5A" w14:textId="77777777" w:rsidTr="00112BD8">
        <w:trPr>
          <w:cantSplit/>
          <w:trHeight w:val="260"/>
          <w:tblHeader/>
          <w:jc w:val="center"/>
        </w:trPr>
        <w:tc>
          <w:tcPr>
            <w:tcW w:w="0" w:type="auto"/>
            <w:tcBorders>
              <w:top w:val="single" w:sz="4" w:space="0" w:color="000000"/>
              <w:bottom w:val="single" w:sz="4" w:space="0" w:color="000000"/>
            </w:tcBorders>
            <w:shd w:val="clear" w:color="auto" w:fill="auto"/>
          </w:tcPr>
          <w:p w14:paraId="6171BA95" w14:textId="77777777" w:rsidR="00112BD8" w:rsidRPr="00792475" w:rsidRDefault="00112BD8" w:rsidP="00112BD8">
            <w:pPr>
              <w:pStyle w:val="TblHeadingCenter"/>
              <w:rPr>
                <w:color w:val="000000" w:themeColor="text1"/>
              </w:rPr>
            </w:pPr>
            <w:r w:rsidRPr="00792475">
              <w:rPr>
                <w:color w:val="000000" w:themeColor="text1"/>
              </w:rPr>
              <w:t xml:space="preserve">PRIMARY SYSTEM ORGAN CLASS </w:t>
            </w:r>
          </w:p>
          <w:p w14:paraId="630FDBEA" w14:textId="77777777" w:rsidR="00112BD8" w:rsidRPr="00792475" w:rsidRDefault="00112BD8" w:rsidP="00112BD8">
            <w:pPr>
              <w:pStyle w:val="TblHeadingCenter"/>
              <w:rPr>
                <w:color w:val="000000" w:themeColor="text1"/>
              </w:rPr>
            </w:pPr>
            <w:r w:rsidRPr="00792475">
              <w:rPr>
                <w:color w:val="000000" w:themeColor="text1"/>
              </w:rPr>
              <w:t xml:space="preserve">Preferred Term n(%) </w:t>
            </w:r>
          </w:p>
        </w:tc>
        <w:tc>
          <w:tcPr>
            <w:tcW w:w="0" w:type="auto"/>
            <w:tcBorders>
              <w:top w:val="single" w:sz="4" w:space="0" w:color="000000"/>
              <w:bottom w:val="single" w:sz="4" w:space="0" w:color="000000"/>
            </w:tcBorders>
            <w:shd w:val="clear" w:color="auto" w:fill="auto"/>
          </w:tcPr>
          <w:p w14:paraId="72748E86" w14:textId="295CE049" w:rsidR="00112BD8" w:rsidRPr="00792475" w:rsidRDefault="00056DAB" w:rsidP="00112BD8">
            <w:pPr>
              <w:pStyle w:val="TblHeadingCenter"/>
              <w:rPr>
                <w:color w:val="000000" w:themeColor="text1"/>
              </w:rPr>
            </w:pPr>
            <w:r w:rsidRPr="00792475">
              <w:rPr>
                <w:color w:val="000000" w:themeColor="text1"/>
              </w:rPr>
              <w:t>Nexviazyme</w:t>
            </w:r>
          </w:p>
          <w:p w14:paraId="7C8CA7CE" w14:textId="77777777" w:rsidR="00112BD8" w:rsidRPr="00792475" w:rsidRDefault="00112BD8" w:rsidP="00112BD8">
            <w:pPr>
              <w:pStyle w:val="TblHeadingCenter"/>
              <w:rPr>
                <w:color w:val="000000" w:themeColor="text1"/>
              </w:rPr>
            </w:pPr>
            <w:r w:rsidRPr="00792475">
              <w:rPr>
                <w:color w:val="000000" w:themeColor="text1"/>
              </w:rPr>
              <w:t xml:space="preserve">(N=51) </w:t>
            </w:r>
          </w:p>
        </w:tc>
        <w:tc>
          <w:tcPr>
            <w:tcW w:w="0" w:type="auto"/>
            <w:tcBorders>
              <w:top w:val="single" w:sz="4" w:space="0" w:color="000000"/>
              <w:bottom w:val="single" w:sz="4" w:space="0" w:color="000000"/>
            </w:tcBorders>
            <w:shd w:val="clear" w:color="auto" w:fill="auto"/>
          </w:tcPr>
          <w:p w14:paraId="3B0E973A" w14:textId="77777777" w:rsidR="00112BD8" w:rsidRPr="00792475" w:rsidRDefault="00112BD8" w:rsidP="00112BD8">
            <w:pPr>
              <w:pStyle w:val="TblHeadingCenter"/>
              <w:rPr>
                <w:color w:val="000000" w:themeColor="text1"/>
              </w:rPr>
            </w:pPr>
            <w:r w:rsidRPr="00792475">
              <w:rPr>
                <w:color w:val="000000" w:themeColor="text1"/>
              </w:rPr>
              <w:t xml:space="preserve">Alglucosidase alfa </w:t>
            </w:r>
          </w:p>
          <w:p w14:paraId="39CC5C9E" w14:textId="77777777" w:rsidR="00112BD8" w:rsidRPr="00792475" w:rsidRDefault="00112BD8" w:rsidP="00112BD8">
            <w:pPr>
              <w:pStyle w:val="TblHeadingCenter"/>
              <w:rPr>
                <w:color w:val="000000" w:themeColor="text1"/>
              </w:rPr>
            </w:pPr>
            <w:r w:rsidRPr="00792475">
              <w:rPr>
                <w:color w:val="000000" w:themeColor="text1"/>
              </w:rPr>
              <w:t xml:space="preserve">(N=49) </w:t>
            </w:r>
          </w:p>
        </w:tc>
      </w:tr>
      <w:tr w:rsidR="00112BD8" w:rsidRPr="00792475" w14:paraId="44896B34" w14:textId="77777777" w:rsidTr="00112BD8">
        <w:trPr>
          <w:cantSplit/>
          <w:trHeight w:val="133"/>
          <w:jc w:val="center"/>
        </w:trPr>
        <w:tc>
          <w:tcPr>
            <w:tcW w:w="0" w:type="auto"/>
            <w:tcBorders>
              <w:top w:val="single" w:sz="4" w:space="0" w:color="000000"/>
            </w:tcBorders>
            <w:shd w:val="clear" w:color="auto" w:fill="auto"/>
          </w:tcPr>
          <w:p w14:paraId="4A494B5F" w14:textId="77777777" w:rsidR="00112BD8" w:rsidRPr="00792475" w:rsidRDefault="00112BD8" w:rsidP="009F1981">
            <w:pPr>
              <w:pStyle w:val="TblTextCenter"/>
              <w:jc w:val="left"/>
              <w:rPr>
                <w:color w:val="000000" w:themeColor="text1"/>
              </w:rPr>
            </w:pPr>
            <w:r w:rsidRPr="00792475">
              <w:rPr>
                <w:color w:val="000000" w:themeColor="text1"/>
              </w:rPr>
              <w:t xml:space="preserve">Patients with at least one AE </w:t>
            </w:r>
          </w:p>
        </w:tc>
        <w:tc>
          <w:tcPr>
            <w:tcW w:w="0" w:type="auto"/>
            <w:tcBorders>
              <w:top w:val="single" w:sz="4" w:space="0" w:color="000000"/>
            </w:tcBorders>
            <w:shd w:val="clear" w:color="auto" w:fill="auto"/>
          </w:tcPr>
          <w:p w14:paraId="78DD6814" w14:textId="77777777" w:rsidR="00112BD8" w:rsidRPr="00792475" w:rsidRDefault="00112BD8" w:rsidP="00112BD8">
            <w:pPr>
              <w:pStyle w:val="TblTextCenter"/>
              <w:rPr>
                <w:color w:val="000000" w:themeColor="text1"/>
              </w:rPr>
            </w:pPr>
            <w:r w:rsidRPr="00792475">
              <w:rPr>
                <w:color w:val="000000" w:themeColor="text1"/>
              </w:rPr>
              <w:t xml:space="preserve">44 (86.3) </w:t>
            </w:r>
          </w:p>
        </w:tc>
        <w:tc>
          <w:tcPr>
            <w:tcW w:w="0" w:type="auto"/>
            <w:tcBorders>
              <w:top w:val="single" w:sz="4" w:space="0" w:color="000000"/>
            </w:tcBorders>
            <w:shd w:val="clear" w:color="auto" w:fill="auto"/>
          </w:tcPr>
          <w:p w14:paraId="60EECF09" w14:textId="77777777" w:rsidR="00112BD8" w:rsidRPr="00792475" w:rsidRDefault="00112BD8" w:rsidP="00112BD8">
            <w:pPr>
              <w:pStyle w:val="TblTextCenter"/>
              <w:rPr>
                <w:color w:val="000000" w:themeColor="text1"/>
              </w:rPr>
            </w:pPr>
            <w:r w:rsidRPr="00792475">
              <w:rPr>
                <w:color w:val="000000" w:themeColor="text1"/>
              </w:rPr>
              <w:t xml:space="preserve">45 (91.8) </w:t>
            </w:r>
          </w:p>
        </w:tc>
      </w:tr>
      <w:tr w:rsidR="00112BD8" w:rsidRPr="00792475" w14:paraId="10CF24A7" w14:textId="77777777" w:rsidTr="00112BD8">
        <w:trPr>
          <w:cantSplit/>
          <w:trHeight w:val="133"/>
          <w:jc w:val="center"/>
        </w:trPr>
        <w:tc>
          <w:tcPr>
            <w:tcW w:w="0" w:type="auto"/>
            <w:shd w:val="clear" w:color="auto" w:fill="auto"/>
          </w:tcPr>
          <w:p w14:paraId="66E2890C" w14:textId="77777777" w:rsidR="00112BD8" w:rsidRPr="00792475" w:rsidRDefault="00112BD8" w:rsidP="009F1981">
            <w:pPr>
              <w:pStyle w:val="TblTextCenter"/>
              <w:jc w:val="left"/>
              <w:rPr>
                <w:color w:val="000000" w:themeColor="text1"/>
              </w:rPr>
            </w:pPr>
            <w:r w:rsidRPr="00792475">
              <w:rPr>
                <w:color w:val="000000" w:themeColor="text1"/>
              </w:rPr>
              <w:t xml:space="preserve">INFECTIONS AND INFESTATIONS </w:t>
            </w:r>
          </w:p>
        </w:tc>
        <w:tc>
          <w:tcPr>
            <w:tcW w:w="0" w:type="auto"/>
            <w:shd w:val="clear" w:color="auto" w:fill="auto"/>
          </w:tcPr>
          <w:p w14:paraId="1BB0856D" w14:textId="77777777" w:rsidR="00112BD8" w:rsidRPr="00792475" w:rsidRDefault="00112BD8" w:rsidP="00112BD8">
            <w:pPr>
              <w:pStyle w:val="TblTextCenter"/>
              <w:rPr>
                <w:color w:val="000000" w:themeColor="text1"/>
              </w:rPr>
            </w:pPr>
            <w:r w:rsidRPr="00792475">
              <w:rPr>
                <w:color w:val="000000" w:themeColor="text1"/>
              </w:rPr>
              <w:t xml:space="preserve">30 (58.8) </w:t>
            </w:r>
          </w:p>
        </w:tc>
        <w:tc>
          <w:tcPr>
            <w:tcW w:w="0" w:type="auto"/>
            <w:shd w:val="clear" w:color="auto" w:fill="auto"/>
          </w:tcPr>
          <w:p w14:paraId="5DFB67EF" w14:textId="77777777" w:rsidR="00112BD8" w:rsidRPr="00792475" w:rsidRDefault="00112BD8" w:rsidP="00112BD8">
            <w:pPr>
              <w:pStyle w:val="TblTextCenter"/>
              <w:rPr>
                <w:color w:val="000000" w:themeColor="text1"/>
              </w:rPr>
            </w:pPr>
            <w:r w:rsidRPr="00792475">
              <w:rPr>
                <w:color w:val="000000" w:themeColor="text1"/>
              </w:rPr>
              <w:t xml:space="preserve">25 (51.0) </w:t>
            </w:r>
          </w:p>
        </w:tc>
      </w:tr>
      <w:tr w:rsidR="00112BD8" w:rsidRPr="00792475" w14:paraId="53078628" w14:textId="77777777" w:rsidTr="00112BD8">
        <w:trPr>
          <w:cantSplit/>
          <w:trHeight w:val="133"/>
          <w:jc w:val="center"/>
        </w:trPr>
        <w:tc>
          <w:tcPr>
            <w:tcW w:w="0" w:type="auto"/>
            <w:shd w:val="clear" w:color="auto" w:fill="auto"/>
          </w:tcPr>
          <w:p w14:paraId="75BDD290" w14:textId="77777777" w:rsidR="00112BD8" w:rsidRPr="00792475" w:rsidRDefault="00112BD8" w:rsidP="009F1981">
            <w:pPr>
              <w:pStyle w:val="TblTextCenter"/>
              <w:jc w:val="left"/>
              <w:rPr>
                <w:color w:val="000000" w:themeColor="text1"/>
              </w:rPr>
            </w:pPr>
            <w:r w:rsidRPr="00792475">
              <w:rPr>
                <w:color w:val="000000" w:themeColor="text1"/>
              </w:rPr>
              <w:t xml:space="preserve">Nasopharyngitis </w:t>
            </w:r>
          </w:p>
        </w:tc>
        <w:tc>
          <w:tcPr>
            <w:tcW w:w="0" w:type="auto"/>
            <w:shd w:val="clear" w:color="auto" w:fill="auto"/>
          </w:tcPr>
          <w:p w14:paraId="0E43CB7D" w14:textId="77777777" w:rsidR="00112BD8" w:rsidRPr="00792475" w:rsidRDefault="00112BD8" w:rsidP="00112BD8">
            <w:pPr>
              <w:pStyle w:val="TblTextCenter"/>
              <w:rPr>
                <w:color w:val="000000" w:themeColor="text1"/>
              </w:rPr>
            </w:pPr>
            <w:r w:rsidRPr="00792475">
              <w:rPr>
                <w:color w:val="000000" w:themeColor="text1"/>
              </w:rPr>
              <w:t xml:space="preserve">12 (23.5) </w:t>
            </w:r>
          </w:p>
        </w:tc>
        <w:tc>
          <w:tcPr>
            <w:tcW w:w="0" w:type="auto"/>
            <w:shd w:val="clear" w:color="auto" w:fill="auto"/>
          </w:tcPr>
          <w:p w14:paraId="59E2208C" w14:textId="77777777" w:rsidR="00112BD8" w:rsidRPr="00792475" w:rsidRDefault="00112BD8" w:rsidP="00112BD8">
            <w:pPr>
              <w:pStyle w:val="TblTextCenter"/>
              <w:rPr>
                <w:color w:val="000000" w:themeColor="text1"/>
              </w:rPr>
            </w:pPr>
            <w:r w:rsidRPr="00792475">
              <w:rPr>
                <w:color w:val="000000" w:themeColor="text1"/>
              </w:rPr>
              <w:t xml:space="preserve">12 (24.5) </w:t>
            </w:r>
          </w:p>
        </w:tc>
      </w:tr>
      <w:tr w:rsidR="00112BD8" w:rsidRPr="00792475" w14:paraId="29A29EE3" w14:textId="77777777" w:rsidTr="00112BD8">
        <w:trPr>
          <w:cantSplit/>
          <w:trHeight w:val="133"/>
          <w:jc w:val="center"/>
        </w:trPr>
        <w:tc>
          <w:tcPr>
            <w:tcW w:w="0" w:type="auto"/>
            <w:shd w:val="clear" w:color="auto" w:fill="auto"/>
          </w:tcPr>
          <w:p w14:paraId="62B28A91" w14:textId="77777777" w:rsidR="00112BD8" w:rsidRPr="00792475" w:rsidRDefault="00112BD8" w:rsidP="009F1981">
            <w:pPr>
              <w:pStyle w:val="TblTextCenter"/>
              <w:jc w:val="left"/>
              <w:rPr>
                <w:color w:val="000000" w:themeColor="text1"/>
              </w:rPr>
            </w:pPr>
            <w:r w:rsidRPr="00792475">
              <w:rPr>
                <w:color w:val="000000" w:themeColor="text1"/>
              </w:rPr>
              <w:t xml:space="preserve">Influenza </w:t>
            </w:r>
          </w:p>
        </w:tc>
        <w:tc>
          <w:tcPr>
            <w:tcW w:w="0" w:type="auto"/>
            <w:shd w:val="clear" w:color="auto" w:fill="auto"/>
          </w:tcPr>
          <w:p w14:paraId="767AB4F0" w14:textId="77777777" w:rsidR="00112BD8" w:rsidRPr="00792475" w:rsidRDefault="00112BD8" w:rsidP="00112BD8">
            <w:pPr>
              <w:pStyle w:val="TblTextCenter"/>
              <w:rPr>
                <w:color w:val="000000" w:themeColor="text1"/>
              </w:rPr>
            </w:pPr>
            <w:r w:rsidRPr="00792475">
              <w:rPr>
                <w:color w:val="000000" w:themeColor="text1"/>
              </w:rPr>
              <w:t xml:space="preserve">9 (17.6) </w:t>
            </w:r>
          </w:p>
        </w:tc>
        <w:tc>
          <w:tcPr>
            <w:tcW w:w="0" w:type="auto"/>
            <w:shd w:val="clear" w:color="auto" w:fill="auto"/>
          </w:tcPr>
          <w:p w14:paraId="5C7C5A57" w14:textId="77777777" w:rsidR="00112BD8" w:rsidRPr="00792475" w:rsidRDefault="00112BD8" w:rsidP="00112BD8">
            <w:pPr>
              <w:pStyle w:val="TblTextCenter"/>
              <w:rPr>
                <w:color w:val="000000" w:themeColor="text1"/>
              </w:rPr>
            </w:pPr>
            <w:r w:rsidRPr="00792475">
              <w:rPr>
                <w:color w:val="000000" w:themeColor="text1"/>
              </w:rPr>
              <w:t xml:space="preserve">2 (4.1) </w:t>
            </w:r>
          </w:p>
        </w:tc>
      </w:tr>
      <w:tr w:rsidR="00112BD8" w:rsidRPr="00792475" w14:paraId="629B2F43" w14:textId="77777777" w:rsidTr="00112BD8">
        <w:trPr>
          <w:cantSplit/>
          <w:trHeight w:val="133"/>
          <w:jc w:val="center"/>
        </w:trPr>
        <w:tc>
          <w:tcPr>
            <w:tcW w:w="0" w:type="auto"/>
            <w:shd w:val="clear" w:color="auto" w:fill="auto"/>
          </w:tcPr>
          <w:p w14:paraId="5EB637CA" w14:textId="77777777" w:rsidR="00112BD8" w:rsidRPr="00792475" w:rsidRDefault="00112BD8" w:rsidP="009F1981">
            <w:pPr>
              <w:pStyle w:val="TblTextCenter"/>
              <w:jc w:val="left"/>
              <w:rPr>
                <w:color w:val="000000" w:themeColor="text1"/>
              </w:rPr>
            </w:pPr>
            <w:r w:rsidRPr="00792475">
              <w:rPr>
                <w:color w:val="000000" w:themeColor="text1"/>
              </w:rPr>
              <w:t xml:space="preserve">Upper respiratory tract infection </w:t>
            </w:r>
          </w:p>
        </w:tc>
        <w:tc>
          <w:tcPr>
            <w:tcW w:w="0" w:type="auto"/>
            <w:shd w:val="clear" w:color="auto" w:fill="auto"/>
          </w:tcPr>
          <w:p w14:paraId="0F872B9C" w14:textId="77777777" w:rsidR="00112BD8" w:rsidRPr="00792475" w:rsidRDefault="00112BD8" w:rsidP="00112BD8">
            <w:pPr>
              <w:pStyle w:val="TblTextCenter"/>
              <w:rPr>
                <w:color w:val="000000" w:themeColor="text1"/>
              </w:rPr>
            </w:pPr>
            <w:r w:rsidRPr="00792475">
              <w:rPr>
                <w:color w:val="000000" w:themeColor="text1"/>
              </w:rPr>
              <w:t xml:space="preserve">4 (7.8) </w:t>
            </w:r>
          </w:p>
        </w:tc>
        <w:tc>
          <w:tcPr>
            <w:tcW w:w="0" w:type="auto"/>
            <w:shd w:val="clear" w:color="auto" w:fill="auto"/>
          </w:tcPr>
          <w:p w14:paraId="4FA0B060" w14:textId="77777777" w:rsidR="00112BD8" w:rsidRPr="00792475" w:rsidRDefault="00112BD8" w:rsidP="00112BD8">
            <w:pPr>
              <w:pStyle w:val="TblTextCenter"/>
              <w:rPr>
                <w:color w:val="000000" w:themeColor="text1"/>
              </w:rPr>
            </w:pPr>
            <w:r w:rsidRPr="00792475">
              <w:rPr>
                <w:color w:val="000000" w:themeColor="text1"/>
              </w:rPr>
              <w:t xml:space="preserve">2 (4.1) </w:t>
            </w:r>
          </w:p>
        </w:tc>
      </w:tr>
      <w:tr w:rsidR="00112BD8" w:rsidRPr="00792475" w14:paraId="0BC0EB85" w14:textId="77777777" w:rsidTr="00112BD8">
        <w:trPr>
          <w:cantSplit/>
          <w:trHeight w:val="133"/>
          <w:jc w:val="center"/>
        </w:trPr>
        <w:tc>
          <w:tcPr>
            <w:tcW w:w="0" w:type="auto"/>
            <w:shd w:val="clear" w:color="auto" w:fill="auto"/>
          </w:tcPr>
          <w:p w14:paraId="7670F5C1" w14:textId="77777777" w:rsidR="00112BD8" w:rsidRPr="00792475" w:rsidRDefault="00112BD8" w:rsidP="009F1981">
            <w:pPr>
              <w:pStyle w:val="TblTextCenter"/>
              <w:jc w:val="left"/>
              <w:rPr>
                <w:color w:val="000000" w:themeColor="text1"/>
              </w:rPr>
            </w:pPr>
            <w:r w:rsidRPr="00792475">
              <w:rPr>
                <w:color w:val="000000" w:themeColor="text1"/>
              </w:rPr>
              <w:t xml:space="preserve">Cystitis </w:t>
            </w:r>
          </w:p>
        </w:tc>
        <w:tc>
          <w:tcPr>
            <w:tcW w:w="0" w:type="auto"/>
            <w:shd w:val="clear" w:color="auto" w:fill="auto"/>
          </w:tcPr>
          <w:p w14:paraId="6690D3D7" w14:textId="77777777" w:rsidR="00112BD8" w:rsidRPr="00792475" w:rsidRDefault="00112BD8" w:rsidP="00112BD8">
            <w:pPr>
              <w:pStyle w:val="TblTextCenter"/>
              <w:rPr>
                <w:color w:val="000000" w:themeColor="text1"/>
              </w:rPr>
            </w:pPr>
            <w:r w:rsidRPr="00792475">
              <w:rPr>
                <w:color w:val="000000" w:themeColor="text1"/>
              </w:rPr>
              <w:t xml:space="preserve">3 (5.9) </w:t>
            </w:r>
          </w:p>
        </w:tc>
        <w:tc>
          <w:tcPr>
            <w:tcW w:w="0" w:type="auto"/>
            <w:shd w:val="clear" w:color="auto" w:fill="auto"/>
          </w:tcPr>
          <w:p w14:paraId="5D1BBA24" w14:textId="77777777" w:rsidR="00112BD8" w:rsidRPr="00792475" w:rsidRDefault="00112BD8" w:rsidP="00112BD8">
            <w:pPr>
              <w:pStyle w:val="TblTextCenter"/>
              <w:rPr>
                <w:color w:val="000000" w:themeColor="text1"/>
              </w:rPr>
            </w:pPr>
            <w:r w:rsidRPr="00792475">
              <w:rPr>
                <w:color w:val="000000" w:themeColor="text1"/>
              </w:rPr>
              <w:t xml:space="preserve">0 </w:t>
            </w:r>
          </w:p>
        </w:tc>
      </w:tr>
      <w:tr w:rsidR="00112BD8" w:rsidRPr="00792475" w14:paraId="18B82A8D" w14:textId="77777777" w:rsidTr="00112BD8">
        <w:trPr>
          <w:cantSplit/>
          <w:trHeight w:val="133"/>
          <w:jc w:val="center"/>
        </w:trPr>
        <w:tc>
          <w:tcPr>
            <w:tcW w:w="0" w:type="auto"/>
            <w:shd w:val="clear" w:color="auto" w:fill="auto"/>
          </w:tcPr>
          <w:p w14:paraId="03180B23" w14:textId="77777777" w:rsidR="00112BD8" w:rsidRPr="00792475" w:rsidRDefault="00112BD8" w:rsidP="009F1981">
            <w:pPr>
              <w:pStyle w:val="TblTextCenter"/>
              <w:jc w:val="left"/>
              <w:rPr>
                <w:color w:val="000000" w:themeColor="text1"/>
              </w:rPr>
            </w:pPr>
            <w:r w:rsidRPr="00792475">
              <w:rPr>
                <w:color w:val="000000" w:themeColor="text1"/>
              </w:rPr>
              <w:t xml:space="preserve">NERVOUS SYSTEM DISORDERS </w:t>
            </w:r>
          </w:p>
        </w:tc>
        <w:tc>
          <w:tcPr>
            <w:tcW w:w="0" w:type="auto"/>
            <w:shd w:val="clear" w:color="auto" w:fill="auto"/>
          </w:tcPr>
          <w:p w14:paraId="4C6FEB92" w14:textId="77777777" w:rsidR="00112BD8" w:rsidRPr="00792475" w:rsidRDefault="00112BD8" w:rsidP="00112BD8">
            <w:pPr>
              <w:pStyle w:val="TblTextCenter"/>
              <w:rPr>
                <w:color w:val="000000" w:themeColor="text1"/>
              </w:rPr>
            </w:pPr>
            <w:r w:rsidRPr="00792475">
              <w:rPr>
                <w:color w:val="000000" w:themeColor="text1"/>
              </w:rPr>
              <w:t xml:space="preserve">20 (39.2) </w:t>
            </w:r>
          </w:p>
        </w:tc>
        <w:tc>
          <w:tcPr>
            <w:tcW w:w="0" w:type="auto"/>
            <w:shd w:val="clear" w:color="auto" w:fill="auto"/>
          </w:tcPr>
          <w:p w14:paraId="7CAD202C" w14:textId="77777777" w:rsidR="00112BD8" w:rsidRPr="00792475" w:rsidRDefault="00112BD8" w:rsidP="00112BD8">
            <w:pPr>
              <w:pStyle w:val="TblTextCenter"/>
              <w:rPr>
                <w:color w:val="000000" w:themeColor="text1"/>
              </w:rPr>
            </w:pPr>
            <w:r w:rsidRPr="00792475">
              <w:rPr>
                <w:color w:val="000000" w:themeColor="text1"/>
              </w:rPr>
              <w:t xml:space="preserve">21 (42.9) </w:t>
            </w:r>
          </w:p>
        </w:tc>
      </w:tr>
      <w:tr w:rsidR="00112BD8" w:rsidRPr="00792475" w14:paraId="5848B0EE" w14:textId="77777777" w:rsidTr="00112BD8">
        <w:trPr>
          <w:cantSplit/>
          <w:trHeight w:val="133"/>
          <w:jc w:val="center"/>
        </w:trPr>
        <w:tc>
          <w:tcPr>
            <w:tcW w:w="0" w:type="auto"/>
            <w:shd w:val="clear" w:color="auto" w:fill="auto"/>
          </w:tcPr>
          <w:p w14:paraId="6C4532B8" w14:textId="77777777" w:rsidR="00112BD8" w:rsidRPr="00792475" w:rsidRDefault="00112BD8" w:rsidP="009F1981">
            <w:pPr>
              <w:pStyle w:val="TblTextCenter"/>
              <w:jc w:val="left"/>
              <w:rPr>
                <w:color w:val="000000" w:themeColor="text1"/>
              </w:rPr>
            </w:pPr>
            <w:r w:rsidRPr="00792475">
              <w:rPr>
                <w:color w:val="000000" w:themeColor="text1"/>
              </w:rPr>
              <w:t xml:space="preserve">Headache </w:t>
            </w:r>
          </w:p>
        </w:tc>
        <w:tc>
          <w:tcPr>
            <w:tcW w:w="0" w:type="auto"/>
            <w:shd w:val="clear" w:color="auto" w:fill="auto"/>
          </w:tcPr>
          <w:p w14:paraId="35B7B255" w14:textId="77777777" w:rsidR="00112BD8" w:rsidRPr="00792475" w:rsidRDefault="00112BD8" w:rsidP="00112BD8">
            <w:pPr>
              <w:pStyle w:val="TblTextCenter"/>
              <w:rPr>
                <w:color w:val="000000" w:themeColor="text1"/>
              </w:rPr>
            </w:pPr>
            <w:r w:rsidRPr="00792475">
              <w:rPr>
                <w:color w:val="000000" w:themeColor="text1"/>
              </w:rPr>
              <w:t xml:space="preserve">11 (21.6) </w:t>
            </w:r>
          </w:p>
        </w:tc>
        <w:tc>
          <w:tcPr>
            <w:tcW w:w="0" w:type="auto"/>
            <w:shd w:val="clear" w:color="auto" w:fill="auto"/>
          </w:tcPr>
          <w:p w14:paraId="63413986" w14:textId="77777777" w:rsidR="00112BD8" w:rsidRPr="00792475" w:rsidRDefault="00112BD8" w:rsidP="00112BD8">
            <w:pPr>
              <w:pStyle w:val="TblTextCenter"/>
              <w:rPr>
                <w:color w:val="000000" w:themeColor="text1"/>
              </w:rPr>
            </w:pPr>
            <w:r w:rsidRPr="00792475">
              <w:rPr>
                <w:color w:val="000000" w:themeColor="text1"/>
              </w:rPr>
              <w:t xml:space="preserve">16 (32.7) </w:t>
            </w:r>
          </w:p>
        </w:tc>
      </w:tr>
      <w:tr w:rsidR="00112BD8" w:rsidRPr="00792475" w14:paraId="3B02E868" w14:textId="77777777" w:rsidTr="00112BD8">
        <w:trPr>
          <w:cantSplit/>
          <w:trHeight w:val="133"/>
          <w:jc w:val="center"/>
        </w:trPr>
        <w:tc>
          <w:tcPr>
            <w:tcW w:w="0" w:type="auto"/>
            <w:shd w:val="clear" w:color="auto" w:fill="auto"/>
          </w:tcPr>
          <w:p w14:paraId="77B87FD6" w14:textId="77777777" w:rsidR="00112BD8" w:rsidRPr="00792475" w:rsidRDefault="00112BD8" w:rsidP="009F1981">
            <w:pPr>
              <w:pStyle w:val="TblTextCenter"/>
              <w:jc w:val="left"/>
              <w:rPr>
                <w:color w:val="000000" w:themeColor="text1"/>
              </w:rPr>
            </w:pPr>
            <w:r w:rsidRPr="00792475">
              <w:rPr>
                <w:color w:val="000000" w:themeColor="text1"/>
              </w:rPr>
              <w:t xml:space="preserve">Dizziness </w:t>
            </w:r>
          </w:p>
        </w:tc>
        <w:tc>
          <w:tcPr>
            <w:tcW w:w="0" w:type="auto"/>
            <w:shd w:val="clear" w:color="auto" w:fill="auto"/>
          </w:tcPr>
          <w:p w14:paraId="7C0D2BBA" w14:textId="77777777" w:rsidR="00112BD8" w:rsidRPr="00792475" w:rsidRDefault="00112BD8" w:rsidP="00112BD8">
            <w:pPr>
              <w:pStyle w:val="TblTextCenter"/>
              <w:rPr>
                <w:color w:val="000000" w:themeColor="text1"/>
              </w:rPr>
            </w:pPr>
            <w:r w:rsidRPr="00792475">
              <w:rPr>
                <w:color w:val="000000" w:themeColor="text1"/>
              </w:rPr>
              <w:t xml:space="preserve">5 (9.8) </w:t>
            </w:r>
          </w:p>
        </w:tc>
        <w:tc>
          <w:tcPr>
            <w:tcW w:w="0" w:type="auto"/>
            <w:shd w:val="clear" w:color="auto" w:fill="auto"/>
          </w:tcPr>
          <w:p w14:paraId="2053697F" w14:textId="77777777" w:rsidR="00112BD8" w:rsidRPr="00792475" w:rsidRDefault="00112BD8" w:rsidP="00112BD8">
            <w:pPr>
              <w:pStyle w:val="TblTextCenter"/>
              <w:rPr>
                <w:color w:val="000000" w:themeColor="text1"/>
              </w:rPr>
            </w:pPr>
            <w:r w:rsidRPr="00792475">
              <w:rPr>
                <w:color w:val="000000" w:themeColor="text1"/>
              </w:rPr>
              <w:t xml:space="preserve">4 (8.2) </w:t>
            </w:r>
          </w:p>
        </w:tc>
      </w:tr>
      <w:tr w:rsidR="00112BD8" w:rsidRPr="00792475" w14:paraId="4187381F" w14:textId="77777777" w:rsidTr="00112BD8">
        <w:trPr>
          <w:cantSplit/>
          <w:trHeight w:val="133"/>
          <w:jc w:val="center"/>
        </w:trPr>
        <w:tc>
          <w:tcPr>
            <w:tcW w:w="0" w:type="auto"/>
            <w:shd w:val="clear" w:color="auto" w:fill="auto"/>
          </w:tcPr>
          <w:p w14:paraId="799AAB41" w14:textId="77777777" w:rsidR="00112BD8" w:rsidRPr="00792475" w:rsidRDefault="00112BD8" w:rsidP="009F1981">
            <w:pPr>
              <w:pStyle w:val="TblTextCenter"/>
              <w:jc w:val="left"/>
              <w:rPr>
                <w:color w:val="000000" w:themeColor="text1"/>
              </w:rPr>
            </w:pPr>
            <w:proofErr w:type="spellStart"/>
            <w:r w:rsidRPr="00792475">
              <w:rPr>
                <w:color w:val="000000" w:themeColor="text1"/>
              </w:rPr>
              <w:t>Paraesthesia</w:t>
            </w:r>
            <w:proofErr w:type="spellEnd"/>
            <w:r w:rsidRPr="00792475">
              <w:rPr>
                <w:color w:val="000000" w:themeColor="text1"/>
              </w:rPr>
              <w:t xml:space="preserve"> </w:t>
            </w:r>
          </w:p>
        </w:tc>
        <w:tc>
          <w:tcPr>
            <w:tcW w:w="0" w:type="auto"/>
            <w:shd w:val="clear" w:color="auto" w:fill="auto"/>
          </w:tcPr>
          <w:p w14:paraId="3DA8D5C6" w14:textId="77777777" w:rsidR="00112BD8" w:rsidRPr="00792475" w:rsidRDefault="00112BD8" w:rsidP="00112BD8">
            <w:pPr>
              <w:pStyle w:val="TblTextCenter"/>
              <w:rPr>
                <w:color w:val="000000" w:themeColor="text1"/>
              </w:rPr>
            </w:pPr>
            <w:r w:rsidRPr="00792475">
              <w:rPr>
                <w:color w:val="000000" w:themeColor="text1"/>
              </w:rPr>
              <w:t xml:space="preserve">3 (5.9) </w:t>
            </w:r>
          </w:p>
        </w:tc>
        <w:tc>
          <w:tcPr>
            <w:tcW w:w="0" w:type="auto"/>
            <w:shd w:val="clear" w:color="auto" w:fill="auto"/>
          </w:tcPr>
          <w:p w14:paraId="111DDBD5" w14:textId="77777777" w:rsidR="00112BD8" w:rsidRPr="00792475" w:rsidRDefault="00112BD8" w:rsidP="00112BD8">
            <w:pPr>
              <w:pStyle w:val="TblTextCenter"/>
              <w:rPr>
                <w:color w:val="000000" w:themeColor="text1"/>
              </w:rPr>
            </w:pPr>
            <w:r w:rsidRPr="00792475">
              <w:rPr>
                <w:color w:val="000000" w:themeColor="text1"/>
              </w:rPr>
              <w:t xml:space="preserve">2 (4.1) </w:t>
            </w:r>
          </w:p>
        </w:tc>
      </w:tr>
      <w:tr w:rsidR="00112BD8" w:rsidRPr="00792475" w14:paraId="401CDCC9" w14:textId="77777777" w:rsidTr="00112BD8">
        <w:trPr>
          <w:cantSplit/>
          <w:trHeight w:val="255"/>
          <w:jc w:val="center"/>
        </w:trPr>
        <w:tc>
          <w:tcPr>
            <w:tcW w:w="0" w:type="auto"/>
            <w:shd w:val="clear" w:color="auto" w:fill="auto"/>
          </w:tcPr>
          <w:p w14:paraId="7B80CA82" w14:textId="77777777" w:rsidR="00112BD8" w:rsidRPr="00792475" w:rsidRDefault="00112BD8" w:rsidP="009F1981">
            <w:pPr>
              <w:pStyle w:val="TblTextCenter"/>
              <w:jc w:val="left"/>
              <w:rPr>
                <w:color w:val="000000" w:themeColor="text1"/>
              </w:rPr>
            </w:pPr>
            <w:r w:rsidRPr="00792475">
              <w:rPr>
                <w:color w:val="000000" w:themeColor="text1"/>
              </w:rPr>
              <w:t xml:space="preserve">RESPIRATORY, THORACIC AND MEDIASTINAL DISORDERS </w:t>
            </w:r>
          </w:p>
        </w:tc>
        <w:tc>
          <w:tcPr>
            <w:tcW w:w="0" w:type="auto"/>
            <w:shd w:val="clear" w:color="auto" w:fill="auto"/>
          </w:tcPr>
          <w:p w14:paraId="16E5E7D9" w14:textId="77777777" w:rsidR="00112BD8" w:rsidRPr="00792475" w:rsidRDefault="00112BD8" w:rsidP="00112BD8">
            <w:pPr>
              <w:pStyle w:val="TblTextCenter"/>
              <w:rPr>
                <w:color w:val="000000" w:themeColor="text1"/>
              </w:rPr>
            </w:pPr>
            <w:r w:rsidRPr="00792475">
              <w:rPr>
                <w:color w:val="000000" w:themeColor="text1"/>
              </w:rPr>
              <w:t xml:space="preserve">12 (23.5) </w:t>
            </w:r>
          </w:p>
        </w:tc>
        <w:tc>
          <w:tcPr>
            <w:tcW w:w="0" w:type="auto"/>
            <w:shd w:val="clear" w:color="auto" w:fill="auto"/>
          </w:tcPr>
          <w:p w14:paraId="0CFC24CF" w14:textId="77777777" w:rsidR="00112BD8" w:rsidRPr="00792475" w:rsidRDefault="00112BD8" w:rsidP="00112BD8">
            <w:pPr>
              <w:pStyle w:val="TblTextCenter"/>
              <w:rPr>
                <w:color w:val="000000" w:themeColor="text1"/>
              </w:rPr>
            </w:pPr>
            <w:r w:rsidRPr="00792475">
              <w:rPr>
                <w:color w:val="000000" w:themeColor="text1"/>
              </w:rPr>
              <w:t xml:space="preserve">16 (32.7) </w:t>
            </w:r>
          </w:p>
        </w:tc>
      </w:tr>
      <w:tr w:rsidR="00112BD8" w:rsidRPr="00792475" w14:paraId="4365E345" w14:textId="77777777" w:rsidTr="00112BD8">
        <w:trPr>
          <w:cantSplit/>
          <w:trHeight w:val="133"/>
          <w:jc w:val="center"/>
        </w:trPr>
        <w:tc>
          <w:tcPr>
            <w:tcW w:w="0" w:type="auto"/>
            <w:shd w:val="clear" w:color="auto" w:fill="auto"/>
          </w:tcPr>
          <w:p w14:paraId="2E4EDEB7" w14:textId="77777777" w:rsidR="00112BD8" w:rsidRPr="00792475" w:rsidRDefault="00112BD8" w:rsidP="009F1981">
            <w:pPr>
              <w:pStyle w:val="TblTextCenter"/>
              <w:jc w:val="left"/>
              <w:rPr>
                <w:color w:val="000000" w:themeColor="text1"/>
              </w:rPr>
            </w:pPr>
            <w:proofErr w:type="spellStart"/>
            <w:r w:rsidRPr="00792475">
              <w:rPr>
                <w:color w:val="000000" w:themeColor="text1"/>
              </w:rPr>
              <w:t>Dyspnoea</w:t>
            </w:r>
            <w:proofErr w:type="spellEnd"/>
            <w:r w:rsidRPr="00792475">
              <w:rPr>
                <w:color w:val="000000" w:themeColor="text1"/>
              </w:rPr>
              <w:t xml:space="preserve"> </w:t>
            </w:r>
          </w:p>
        </w:tc>
        <w:tc>
          <w:tcPr>
            <w:tcW w:w="0" w:type="auto"/>
            <w:shd w:val="clear" w:color="auto" w:fill="auto"/>
          </w:tcPr>
          <w:p w14:paraId="22C2E833" w14:textId="77777777" w:rsidR="00112BD8" w:rsidRPr="00792475" w:rsidRDefault="00112BD8" w:rsidP="00112BD8">
            <w:pPr>
              <w:pStyle w:val="TblTextCenter"/>
              <w:rPr>
                <w:color w:val="000000" w:themeColor="text1"/>
              </w:rPr>
            </w:pPr>
            <w:r w:rsidRPr="00792475">
              <w:rPr>
                <w:color w:val="000000" w:themeColor="text1"/>
              </w:rPr>
              <w:t xml:space="preserve">3 (5.9) </w:t>
            </w:r>
          </w:p>
        </w:tc>
        <w:tc>
          <w:tcPr>
            <w:tcW w:w="0" w:type="auto"/>
            <w:shd w:val="clear" w:color="auto" w:fill="auto"/>
          </w:tcPr>
          <w:p w14:paraId="2A52BE93" w14:textId="77777777" w:rsidR="00112BD8" w:rsidRPr="00792475" w:rsidRDefault="00112BD8" w:rsidP="00112BD8">
            <w:pPr>
              <w:pStyle w:val="TblTextCenter"/>
              <w:rPr>
                <w:color w:val="000000" w:themeColor="text1"/>
              </w:rPr>
            </w:pPr>
            <w:r w:rsidRPr="00792475">
              <w:rPr>
                <w:color w:val="000000" w:themeColor="text1"/>
              </w:rPr>
              <w:t xml:space="preserve">4 (8.2) </w:t>
            </w:r>
          </w:p>
        </w:tc>
      </w:tr>
      <w:tr w:rsidR="00112BD8" w:rsidRPr="00792475" w14:paraId="1E0373C3" w14:textId="77777777" w:rsidTr="00112BD8">
        <w:trPr>
          <w:cantSplit/>
          <w:trHeight w:val="133"/>
          <w:jc w:val="center"/>
        </w:trPr>
        <w:tc>
          <w:tcPr>
            <w:tcW w:w="0" w:type="auto"/>
            <w:shd w:val="clear" w:color="auto" w:fill="auto"/>
          </w:tcPr>
          <w:p w14:paraId="36CCAE0D" w14:textId="77777777" w:rsidR="00112BD8" w:rsidRPr="00792475" w:rsidRDefault="00112BD8" w:rsidP="009F1981">
            <w:pPr>
              <w:pStyle w:val="TblTextCenter"/>
              <w:jc w:val="left"/>
              <w:rPr>
                <w:color w:val="000000" w:themeColor="text1"/>
              </w:rPr>
            </w:pPr>
            <w:r w:rsidRPr="00792475">
              <w:rPr>
                <w:color w:val="000000" w:themeColor="text1"/>
              </w:rPr>
              <w:t xml:space="preserve">GASTROINTESTINAL DISORDERS </w:t>
            </w:r>
          </w:p>
        </w:tc>
        <w:tc>
          <w:tcPr>
            <w:tcW w:w="0" w:type="auto"/>
            <w:shd w:val="clear" w:color="auto" w:fill="auto"/>
          </w:tcPr>
          <w:p w14:paraId="653DF659" w14:textId="77777777" w:rsidR="00112BD8" w:rsidRPr="00792475" w:rsidRDefault="00112BD8" w:rsidP="00112BD8">
            <w:pPr>
              <w:pStyle w:val="TblTextCenter"/>
              <w:rPr>
                <w:color w:val="000000" w:themeColor="text1"/>
              </w:rPr>
            </w:pPr>
            <w:r w:rsidRPr="00792475">
              <w:rPr>
                <w:color w:val="000000" w:themeColor="text1"/>
              </w:rPr>
              <w:t xml:space="preserve">16 (31.4) </w:t>
            </w:r>
          </w:p>
        </w:tc>
        <w:tc>
          <w:tcPr>
            <w:tcW w:w="0" w:type="auto"/>
            <w:shd w:val="clear" w:color="auto" w:fill="auto"/>
          </w:tcPr>
          <w:p w14:paraId="15209511" w14:textId="77777777" w:rsidR="00112BD8" w:rsidRPr="00792475" w:rsidRDefault="00112BD8" w:rsidP="00112BD8">
            <w:pPr>
              <w:pStyle w:val="TblTextCenter"/>
              <w:rPr>
                <w:color w:val="000000" w:themeColor="text1"/>
              </w:rPr>
            </w:pPr>
            <w:r w:rsidRPr="00792475">
              <w:rPr>
                <w:color w:val="000000" w:themeColor="text1"/>
              </w:rPr>
              <w:t xml:space="preserve">22 (44.9) </w:t>
            </w:r>
          </w:p>
        </w:tc>
      </w:tr>
      <w:tr w:rsidR="00112BD8" w:rsidRPr="00792475" w14:paraId="278FEF22" w14:textId="77777777" w:rsidTr="00112BD8">
        <w:trPr>
          <w:cantSplit/>
          <w:trHeight w:val="133"/>
          <w:jc w:val="center"/>
        </w:trPr>
        <w:tc>
          <w:tcPr>
            <w:tcW w:w="0" w:type="auto"/>
            <w:shd w:val="clear" w:color="auto" w:fill="auto"/>
          </w:tcPr>
          <w:p w14:paraId="057CB75E" w14:textId="77777777" w:rsidR="00112BD8" w:rsidRPr="00792475" w:rsidRDefault="00112BD8" w:rsidP="009F1981">
            <w:pPr>
              <w:pStyle w:val="TblTextCenter"/>
              <w:jc w:val="left"/>
              <w:rPr>
                <w:color w:val="000000" w:themeColor="text1"/>
              </w:rPr>
            </w:pPr>
            <w:proofErr w:type="spellStart"/>
            <w:r w:rsidRPr="00792475">
              <w:rPr>
                <w:color w:val="000000" w:themeColor="text1"/>
              </w:rPr>
              <w:t>Diarrhoea</w:t>
            </w:r>
            <w:proofErr w:type="spellEnd"/>
            <w:r w:rsidRPr="00792475">
              <w:rPr>
                <w:color w:val="000000" w:themeColor="text1"/>
              </w:rPr>
              <w:t xml:space="preserve"> </w:t>
            </w:r>
          </w:p>
        </w:tc>
        <w:tc>
          <w:tcPr>
            <w:tcW w:w="0" w:type="auto"/>
            <w:shd w:val="clear" w:color="auto" w:fill="auto"/>
          </w:tcPr>
          <w:p w14:paraId="1C93351E" w14:textId="77777777" w:rsidR="00112BD8" w:rsidRPr="00792475" w:rsidRDefault="00112BD8" w:rsidP="00112BD8">
            <w:pPr>
              <w:pStyle w:val="TblTextCenter"/>
              <w:rPr>
                <w:color w:val="000000" w:themeColor="text1"/>
              </w:rPr>
            </w:pPr>
            <w:r w:rsidRPr="00792475">
              <w:rPr>
                <w:color w:val="000000" w:themeColor="text1"/>
              </w:rPr>
              <w:t xml:space="preserve">6 (11.8) </w:t>
            </w:r>
          </w:p>
        </w:tc>
        <w:tc>
          <w:tcPr>
            <w:tcW w:w="0" w:type="auto"/>
            <w:shd w:val="clear" w:color="auto" w:fill="auto"/>
          </w:tcPr>
          <w:p w14:paraId="56697A91" w14:textId="77777777" w:rsidR="00112BD8" w:rsidRPr="00792475" w:rsidRDefault="00112BD8" w:rsidP="00112BD8">
            <w:pPr>
              <w:pStyle w:val="TblTextCenter"/>
              <w:rPr>
                <w:color w:val="000000" w:themeColor="text1"/>
              </w:rPr>
            </w:pPr>
            <w:r w:rsidRPr="00792475">
              <w:rPr>
                <w:color w:val="000000" w:themeColor="text1"/>
              </w:rPr>
              <w:t xml:space="preserve">8 (16.3) </w:t>
            </w:r>
          </w:p>
        </w:tc>
      </w:tr>
      <w:tr w:rsidR="00112BD8" w:rsidRPr="00792475" w14:paraId="3F4F5BE6" w14:textId="77777777" w:rsidTr="00112BD8">
        <w:trPr>
          <w:cantSplit/>
          <w:trHeight w:val="133"/>
          <w:jc w:val="center"/>
        </w:trPr>
        <w:tc>
          <w:tcPr>
            <w:tcW w:w="0" w:type="auto"/>
            <w:shd w:val="clear" w:color="auto" w:fill="auto"/>
          </w:tcPr>
          <w:p w14:paraId="57D5B8C0" w14:textId="77777777" w:rsidR="00112BD8" w:rsidRPr="00792475" w:rsidRDefault="00112BD8" w:rsidP="009F1981">
            <w:pPr>
              <w:pStyle w:val="TblTextCenter"/>
              <w:jc w:val="left"/>
              <w:rPr>
                <w:color w:val="000000" w:themeColor="text1"/>
              </w:rPr>
            </w:pPr>
            <w:r w:rsidRPr="00792475">
              <w:rPr>
                <w:color w:val="000000" w:themeColor="text1"/>
              </w:rPr>
              <w:t xml:space="preserve">Nausea </w:t>
            </w:r>
          </w:p>
        </w:tc>
        <w:tc>
          <w:tcPr>
            <w:tcW w:w="0" w:type="auto"/>
            <w:shd w:val="clear" w:color="auto" w:fill="auto"/>
          </w:tcPr>
          <w:p w14:paraId="3D1D8FF1" w14:textId="77777777" w:rsidR="00112BD8" w:rsidRPr="00792475" w:rsidRDefault="00112BD8" w:rsidP="00112BD8">
            <w:pPr>
              <w:pStyle w:val="TblTextCenter"/>
              <w:rPr>
                <w:color w:val="000000" w:themeColor="text1"/>
              </w:rPr>
            </w:pPr>
            <w:r w:rsidRPr="00792475">
              <w:rPr>
                <w:color w:val="000000" w:themeColor="text1"/>
              </w:rPr>
              <w:t xml:space="preserve">6 (11.8) </w:t>
            </w:r>
          </w:p>
        </w:tc>
        <w:tc>
          <w:tcPr>
            <w:tcW w:w="0" w:type="auto"/>
            <w:shd w:val="clear" w:color="auto" w:fill="auto"/>
          </w:tcPr>
          <w:p w14:paraId="3227E37F" w14:textId="77777777" w:rsidR="00112BD8" w:rsidRPr="00792475" w:rsidRDefault="00112BD8" w:rsidP="00112BD8">
            <w:pPr>
              <w:pStyle w:val="TblTextCenter"/>
              <w:rPr>
                <w:color w:val="000000" w:themeColor="text1"/>
              </w:rPr>
            </w:pPr>
            <w:r w:rsidRPr="00792475">
              <w:rPr>
                <w:color w:val="000000" w:themeColor="text1"/>
              </w:rPr>
              <w:t xml:space="preserve">7 (14.3) </w:t>
            </w:r>
          </w:p>
        </w:tc>
      </w:tr>
      <w:tr w:rsidR="00112BD8" w:rsidRPr="00792475" w14:paraId="4BA95831" w14:textId="77777777" w:rsidTr="00112BD8">
        <w:trPr>
          <w:cantSplit/>
          <w:trHeight w:val="133"/>
          <w:jc w:val="center"/>
        </w:trPr>
        <w:tc>
          <w:tcPr>
            <w:tcW w:w="0" w:type="auto"/>
            <w:shd w:val="clear" w:color="auto" w:fill="auto"/>
          </w:tcPr>
          <w:p w14:paraId="62855B72" w14:textId="77777777" w:rsidR="00112BD8" w:rsidRPr="00792475" w:rsidRDefault="00112BD8" w:rsidP="009F1981">
            <w:pPr>
              <w:pStyle w:val="TblTextCenter"/>
              <w:jc w:val="left"/>
              <w:rPr>
                <w:color w:val="000000" w:themeColor="text1"/>
              </w:rPr>
            </w:pPr>
            <w:r w:rsidRPr="00792475">
              <w:rPr>
                <w:color w:val="000000" w:themeColor="text1"/>
              </w:rPr>
              <w:t xml:space="preserve">Vomiting </w:t>
            </w:r>
          </w:p>
        </w:tc>
        <w:tc>
          <w:tcPr>
            <w:tcW w:w="0" w:type="auto"/>
            <w:shd w:val="clear" w:color="auto" w:fill="auto"/>
          </w:tcPr>
          <w:p w14:paraId="31121CE6" w14:textId="77777777" w:rsidR="00112BD8" w:rsidRPr="00792475" w:rsidRDefault="00112BD8" w:rsidP="00112BD8">
            <w:pPr>
              <w:pStyle w:val="TblTextCenter"/>
              <w:rPr>
                <w:color w:val="000000" w:themeColor="text1"/>
              </w:rPr>
            </w:pPr>
            <w:r w:rsidRPr="00792475">
              <w:rPr>
                <w:color w:val="000000" w:themeColor="text1"/>
              </w:rPr>
              <w:t xml:space="preserve">4 (7.8) </w:t>
            </w:r>
          </w:p>
        </w:tc>
        <w:tc>
          <w:tcPr>
            <w:tcW w:w="0" w:type="auto"/>
            <w:shd w:val="clear" w:color="auto" w:fill="auto"/>
          </w:tcPr>
          <w:p w14:paraId="1EEB8065" w14:textId="77777777" w:rsidR="00112BD8" w:rsidRPr="00792475" w:rsidRDefault="00112BD8" w:rsidP="00112BD8">
            <w:pPr>
              <w:pStyle w:val="TblTextCenter"/>
              <w:rPr>
                <w:color w:val="000000" w:themeColor="text1"/>
              </w:rPr>
            </w:pPr>
            <w:r w:rsidRPr="00792475">
              <w:rPr>
                <w:color w:val="000000" w:themeColor="text1"/>
              </w:rPr>
              <w:t xml:space="preserve">3 (6.1) </w:t>
            </w:r>
          </w:p>
        </w:tc>
      </w:tr>
      <w:tr w:rsidR="00112BD8" w:rsidRPr="00792475" w14:paraId="1D15ABC5" w14:textId="77777777" w:rsidTr="00112BD8">
        <w:trPr>
          <w:cantSplit/>
          <w:trHeight w:val="133"/>
          <w:jc w:val="center"/>
        </w:trPr>
        <w:tc>
          <w:tcPr>
            <w:tcW w:w="0" w:type="auto"/>
            <w:shd w:val="clear" w:color="auto" w:fill="auto"/>
          </w:tcPr>
          <w:p w14:paraId="3AA91DCD" w14:textId="77777777" w:rsidR="00112BD8" w:rsidRPr="00792475" w:rsidRDefault="00112BD8" w:rsidP="009F1981">
            <w:pPr>
              <w:pStyle w:val="TblTextCenter"/>
              <w:jc w:val="left"/>
              <w:rPr>
                <w:color w:val="000000" w:themeColor="text1"/>
              </w:rPr>
            </w:pPr>
            <w:r w:rsidRPr="00792475">
              <w:rPr>
                <w:color w:val="000000" w:themeColor="text1"/>
              </w:rPr>
              <w:t xml:space="preserve">Dyspepsia </w:t>
            </w:r>
          </w:p>
        </w:tc>
        <w:tc>
          <w:tcPr>
            <w:tcW w:w="0" w:type="auto"/>
            <w:shd w:val="clear" w:color="auto" w:fill="auto"/>
          </w:tcPr>
          <w:p w14:paraId="04E91EB0" w14:textId="77777777" w:rsidR="00112BD8" w:rsidRPr="00792475" w:rsidRDefault="00112BD8" w:rsidP="00112BD8">
            <w:pPr>
              <w:pStyle w:val="TblTextCenter"/>
              <w:rPr>
                <w:color w:val="000000" w:themeColor="text1"/>
              </w:rPr>
            </w:pPr>
            <w:r w:rsidRPr="00792475">
              <w:rPr>
                <w:color w:val="000000" w:themeColor="text1"/>
              </w:rPr>
              <w:t xml:space="preserve">3 (5.9) </w:t>
            </w:r>
          </w:p>
        </w:tc>
        <w:tc>
          <w:tcPr>
            <w:tcW w:w="0" w:type="auto"/>
            <w:shd w:val="clear" w:color="auto" w:fill="auto"/>
          </w:tcPr>
          <w:p w14:paraId="7E4AF7E9" w14:textId="77777777" w:rsidR="00112BD8" w:rsidRPr="00792475" w:rsidRDefault="00112BD8" w:rsidP="00112BD8">
            <w:pPr>
              <w:pStyle w:val="TblTextCenter"/>
              <w:rPr>
                <w:color w:val="000000" w:themeColor="text1"/>
              </w:rPr>
            </w:pPr>
            <w:r w:rsidRPr="00792475">
              <w:rPr>
                <w:color w:val="000000" w:themeColor="text1"/>
              </w:rPr>
              <w:t xml:space="preserve">3 (6.1) </w:t>
            </w:r>
          </w:p>
        </w:tc>
      </w:tr>
      <w:tr w:rsidR="00112BD8" w:rsidRPr="00792475" w14:paraId="26961A6B" w14:textId="77777777" w:rsidTr="00112BD8">
        <w:trPr>
          <w:cantSplit/>
          <w:trHeight w:val="133"/>
          <w:jc w:val="center"/>
        </w:trPr>
        <w:tc>
          <w:tcPr>
            <w:tcW w:w="0" w:type="auto"/>
            <w:shd w:val="clear" w:color="auto" w:fill="auto"/>
          </w:tcPr>
          <w:p w14:paraId="636B5D6F" w14:textId="77777777" w:rsidR="00112BD8" w:rsidRPr="00792475" w:rsidRDefault="00112BD8" w:rsidP="009F1981">
            <w:pPr>
              <w:pStyle w:val="TblTextCenter"/>
              <w:jc w:val="left"/>
              <w:rPr>
                <w:color w:val="000000" w:themeColor="text1"/>
              </w:rPr>
            </w:pPr>
            <w:r w:rsidRPr="00792475">
              <w:rPr>
                <w:color w:val="000000" w:themeColor="text1"/>
              </w:rPr>
              <w:lastRenderedPageBreak/>
              <w:t xml:space="preserve">SKIN AND SUBCUTANEOUS TISSUE DISORDERS </w:t>
            </w:r>
          </w:p>
        </w:tc>
        <w:tc>
          <w:tcPr>
            <w:tcW w:w="0" w:type="auto"/>
            <w:shd w:val="clear" w:color="auto" w:fill="auto"/>
          </w:tcPr>
          <w:p w14:paraId="28EC665C" w14:textId="77777777" w:rsidR="00112BD8" w:rsidRPr="00792475" w:rsidRDefault="00112BD8" w:rsidP="00112BD8">
            <w:pPr>
              <w:pStyle w:val="TblTextCenter"/>
              <w:rPr>
                <w:color w:val="000000" w:themeColor="text1"/>
              </w:rPr>
            </w:pPr>
            <w:r w:rsidRPr="00792475">
              <w:rPr>
                <w:color w:val="000000" w:themeColor="text1"/>
              </w:rPr>
              <w:t xml:space="preserve">9 (17.6) </w:t>
            </w:r>
          </w:p>
        </w:tc>
        <w:tc>
          <w:tcPr>
            <w:tcW w:w="0" w:type="auto"/>
            <w:shd w:val="clear" w:color="auto" w:fill="auto"/>
          </w:tcPr>
          <w:p w14:paraId="101F94A4" w14:textId="77777777" w:rsidR="00112BD8" w:rsidRPr="00792475" w:rsidRDefault="00112BD8" w:rsidP="00112BD8">
            <w:pPr>
              <w:pStyle w:val="TblTextCenter"/>
              <w:rPr>
                <w:color w:val="000000" w:themeColor="text1"/>
              </w:rPr>
            </w:pPr>
            <w:r w:rsidRPr="00792475">
              <w:rPr>
                <w:color w:val="000000" w:themeColor="text1"/>
              </w:rPr>
              <w:t xml:space="preserve">15 (30.6) </w:t>
            </w:r>
          </w:p>
        </w:tc>
      </w:tr>
      <w:tr w:rsidR="00112BD8" w:rsidRPr="00792475" w14:paraId="06D26DC7" w14:textId="77777777" w:rsidTr="00112BD8">
        <w:trPr>
          <w:cantSplit/>
          <w:trHeight w:val="133"/>
          <w:jc w:val="center"/>
        </w:trPr>
        <w:tc>
          <w:tcPr>
            <w:tcW w:w="0" w:type="auto"/>
            <w:shd w:val="clear" w:color="auto" w:fill="auto"/>
          </w:tcPr>
          <w:p w14:paraId="67802F3E" w14:textId="77777777" w:rsidR="00112BD8" w:rsidRPr="00792475" w:rsidRDefault="00112BD8" w:rsidP="009F1981">
            <w:pPr>
              <w:pStyle w:val="TblTextCenter"/>
              <w:jc w:val="left"/>
              <w:rPr>
                <w:color w:val="000000" w:themeColor="text1"/>
              </w:rPr>
            </w:pPr>
            <w:r w:rsidRPr="00792475">
              <w:rPr>
                <w:color w:val="000000" w:themeColor="text1"/>
              </w:rPr>
              <w:t xml:space="preserve">Pruritus </w:t>
            </w:r>
          </w:p>
        </w:tc>
        <w:tc>
          <w:tcPr>
            <w:tcW w:w="0" w:type="auto"/>
            <w:shd w:val="clear" w:color="auto" w:fill="auto"/>
          </w:tcPr>
          <w:p w14:paraId="3BA15C74" w14:textId="77777777" w:rsidR="00112BD8" w:rsidRPr="00792475" w:rsidRDefault="00112BD8" w:rsidP="00112BD8">
            <w:pPr>
              <w:pStyle w:val="TblTextCenter"/>
              <w:rPr>
                <w:color w:val="000000" w:themeColor="text1"/>
              </w:rPr>
            </w:pPr>
            <w:r w:rsidRPr="00792475">
              <w:rPr>
                <w:color w:val="000000" w:themeColor="text1"/>
              </w:rPr>
              <w:t xml:space="preserve">4 (7.8) </w:t>
            </w:r>
          </w:p>
        </w:tc>
        <w:tc>
          <w:tcPr>
            <w:tcW w:w="0" w:type="auto"/>
            <w:shd w:val="clear" w:color="auto" w:fill="auto"/>
          </w:tcPr>
          <w:p w14:paraId="38649C71" w14:textId="77777777" w:rsidR="00112BD8" w:rsidRPr="00792475" w:rsidRDefault="00112BD8" w:rsidP="00112BD8">
            <w:pPr>
              <w:pStyle w:val="TblTextCenter"/>
              <w:rPr>
                <w:color w:val="000000" w:themeColor="text1"/>
              </w:rPr>
            </w:pPr>
            <w:r w:rsidRPr="00792475">
              <w:rPr>
                <w:color w:val="000000" w:themeColor="text1"/>
              </w:rPr>
              <w:t xml:space="preserve">4 (8.2) </w:t>
            </w:r>
          </w:p>
        </w:tc>
      </w:tr>
      <w:tr w:rsidR="00112BD8" w:rsidRPr="00792475" w14:paraId="57FD8CC8" w14:textId="77777777" w:rsidTr="00112BD8">
        <w:trPr>
          <w:cantSplit/>
          <w:trHeight w:val="133"/>
          <w:jc w:val="center"/>
        </w:trPr>
        <w:tc>
          <w:tcPr>
            <w:tcW w:w="0" w:type="auto"/>
            <w:shd w:val="clear" w:color="auto" w:fill="auto"/>
          </w:tcPr>
          <w:p w14:paraId="51CA0CC9" w14:textId="77777777" w:rsidR="00112BD8" w:rsidRPr="00792475" w:rsidRDefault="00112BD8" w:rsidP="009F1981">
            <w:pPr>
              <w:pStyle w:val="TblTextCenter"/>
              <w:jc w:val="left"/>
              <w:rPr>
                <w:color w:val="000000" w:themeColor="text1"/>
              </w:rPr>
            </w:pPr>
            <w:r w:rsidRPr="00792475">
              <w:rPr>
                <w:color w:val="000000" w:themeColor="text1"/>
              </w:rPr>
              <w:t xml:space="preserve">Erythema </w:t>
            </w:r>
          </w:p>
        </w:tc>
        <w:tc>
          <w:tcPr>
            <w:tcW w:w="0" w:type="auto"/>
            <w:shd w:val="clear" w:color="auto" w:fill="auto"/>
          </w:tcPr>
          <w:p w14:paraId="4F595C47" w14:textId="77777777" w:rsidR="00112BD8" w:rsidRPr="00792475" w:rsidRDefault="00112BD8" w:rsidP="00112BD8">
            <w:pPr>
              <w:pStyle w:val="TblTextCenter"/>
              <w:rPr>
                <w:color w:val="000000" w:themeColor="text1"/>
              </w:rPr>
            </w:pPr>
            <w:r w:rsidRPr="00792475">
              <w:rPr>
                <w:color w:val="000000" w:themeColor="text1"/>
              </w:rPr>
              <w:t xml:space="preserve">3 (5.9) </w:t>
            </w:r>
          </w:p>
        </w:tc>
        <w:tc>
          <w:tcPr>
            <w:tcW w:w="0" w:type="auto"/>
            <w:shd w:val="clear" w:color="auto" w:fill="auto"/>
          </w:tcPr>
          <w:p w14:paraId="3235E0CB" w14:textId="77777777" w:rsidR="00112BD8" w:rsidRPr="00792475" w:rsidRDefault="00112BD8" w:rsidP="00112BD8">
            <w:pPr>
              <w:pStyle w:val="TblTextCenter"/>
              <w:rPr>
                <w:color w:val="000000" w:themeColor="text1"/>
              </w:rPr>
            </w:pPr>
            <w:r w:rsidRPr="00792475">
              <w:rPr>
                <w:color w:val="000000" w:themeColor="text1"/>
              </w:rPr>
              <w:t xml:space="preserve">3 (6.1) </w:t>
            </w:r>
          </w:p>
        </w:tc>
      </w:tr>
      <w:tr w:rsidR="00112BD8" w:rsidRPr="00792475" w14:paraId="7FD16105" w14:textId="77777777" w:rsidTr="00112BD8">
        <w:trPr>
          <w:cantSplit/>
          <w:trHeight w:val="133"/>
          <w:jc w:val="center"/>
        </w:trPr>
        <w:tc>
          <w:tcPr>
            <w:tcW w:w="0" w:type="auto"/>
            <w:shd w:val="clear" w:color="auto" w:fill="auto"/>
          </w:tcPr>
          <w:p w14:paraId="350EC7F9" w14:textId="77777777" w:rsidR="00112BD8" w:rsidRPr="00792475" w:rsidRDefault="00112BD8" w:rsidP="009F1981">
            <w:pPr>
              <w:pStyle w:val="TblTextCenter"/>
              <w:jc w:val="left"/>
              <w:rPr>
                <w:color w:val="000000" w:themeColor="text1"/>
              </w:rPr>
            </w:pPr>
            <w:r w:rsidRPr="00792475">
              <w:rPr>
                <w:color w:val="000000" w:themeColor="text1"/>
              </w:rPr>
              <w:t xml:space="preserve">Urticaria </w:t>
            </w:r>
          </w:p>
        </w:tc>
        <w:tc>
          <w:tcPr>
            <w:tcW w:w="0" w:type="auto"/>
            <w:shd w:val="clear" w:color="auto" w:fill="auto"/>
          </w:tcPr>
          <w:p w14:paraId="131A63D7" w14:textId="77777777" w:rsidR="00112BD8" w:rsidRPr="00792475" w:rsidRDefault="00112BD8" w:rsidP="00112BD8">
            <w:pPr>
              <w:pStyle w:val="TblTextCenter"/>
              <w:rPr>
                <w:color w:val="000000" w:themeColor="text1"/>
              </w:rPr>
            </w:pPr>
            <w:r w:rsidRPr="00792475">
              <w:rPr>
                <w:color w:val="000000" w:themeColor="text1"/>
              </w:rPr>
              <w:t xml:space="preserve">3 (5.9) </w:t>
            </w:r>
          </w:p>
        </w:tc>
        <w:tc>
          <w:tcPr>
            <w:tcW w:w="0" w:type="auto"/>
            <w:shd w:val="clear" w:color="auto" w:fill="auto"/>
          </w:tcPr>
          <w:p w14:paraId="7674F469" w14:textId="77777777" w:rsidR="00112BD8" w:rsidRPr="00792475" w:rsidRDefault="00112BD8" w:rsidP="00112BD8">
            <w:pPr>
              <w:pStyle w:val="TblTextCenter"/>
              <w:rPr>
                <w:color w:val="000000" w:themeColor="text1"/>
              </w:rPr>
            </w:pPr>
            <w:r w:rsidRPr="00792475">
              <w:rPr>
                <w:color w:val="000000" w:themeColor="text1"/>
              </w:rPr>
              <w:t xml:space="preserve">1 (2.0) </w:t>
            </w:r>
          </w:p>
        </w:tc>
      </w:tr>
      <w:tr w:rsidR="00112BD8" w:rsidRPr="00792475" w14:paraId="7195C291" w14:textId="77777777" w:rsidTr="00112BD8">
        <w:trPr>
          <w:cantSplit/>
          <w:trHeight w:val="255"/>
          <w:jc w:val="center"/>
        </w:trPr>
        <w:tc>
          <w:tcPr>
            <w:tcW w:w="0" w:type="auto"/>
            <w:shd w:val="clear" w:color="auto" w:fill="auto"/>
          </w:tcPr>
          <w:p w14:paraId="1E83E6D8" w14:textId="77777777" w:rsidR="00112BD8" w:rsidRPr="00792475" w:rsidRDefault="00112BD8" w:rsidP="009F1981">
            <w:pPr>
              <w:pStyle w:val="TblTextCenter"/>
              <w:jc w:val="left"/>
              <w:rPr>
                <w:color w:val="000000" w:themeColor="text1"/>
              </w:rPr>
            </w:pPr>
            <w:r w:rsidRPr="00792475">
              <w:rPr>
                <w:color w:val="000000" w:themeColor="text1"/>
              </w:rPr>
              <w:t xml:space="preserve">MUSCULOSKELETAL AND CONNECTIVE TISSUE DISORDERS </w:t>
            </w:r>
          </w:p>
        </w:tc>
        <w:tc>
          <w:tcPr>
            <w:tcW w:w="0" w:type="auto"/>
            <w:shd w:val="clear" w:color="auto" w:fill="auto"/>
          </w:tcPr>
          <w:p w14:paraId="453BA0D8" w14:textId="77777777" w:rsidR="00112BD8" w:rsidRPr="00792475" w:rsidRDefault="00112BD8" w:rsidP="00112BD8">
            <w:pPr>
              <w:pStyle w:val="TblTextCenter"/>
              <w:rPr>
                <w:color w:val="000000" w:themeColor="text1"/>
              </w:rPr>
            </w:pPr>
            <w:r w:rsidRPr="00792475">
              <w:rPr>
                <w:color w:val="000000" w:themeColor="text1"/>
              </w:rPr>
              <w:t xml:space="preserve">29 (56.9) </w:t>
            </w:r>
          </w:p>
        </w:tc>
        <w:tc>
          <w:tcPr>
            <w:tcW w:w="0" w:type="auto"/>
            <w:shd w:val="clear" w:color="auto" w:fill="auto"/>
          </w:tcPr>
          <w:p w14:paraId="1B965709" w14:textId="77777777" w:rsidR="00112BD8" w:rsidRPr="00792475" w:rsidRDefault="00112BD8" w:rsidP="00112BD8">
            <w:pPr>
              <w:pStyle w:val="TblTextCenter"/>
              <w:rPr>
                <w:color w:val="000000" w:themeColor="text1"/>
              </w:rPr>
            </w:pPr>
            <w:r w:rsidRPr="00792475">
              <w:rPr>
                <w:color w:val="000000" w:themeColor="text1"/>
              </w:rPr>
              <w:t xml:space="preserve">26 (53.1) </w:t>
            </w:r>
          </w:p>
        </w:tc>
      </w:tr>
      <w:tr w:rsidR="00112BD8" w:rsidRPr="00792475" w14:paraId="164D48BC" w14:textId="77777777" w:rsidTr="00112BD8">
        <w:trPr>
          <w:cantSplit/>
          <w:trHeight w:val="133"/>
          <w:jc w:val="center"/>
        </w:trPr>
        <w:tc>
          <w:tcPr>
            <w:tcW w:w="0" w:type="auto"/>
            <w:shd w:val="clear" w:color="auto" w:fill="auto"/>
          </w:tcPr>
          <w:p w14:paraId="19562DC3" w14:textId="77777777" w:rsidR="00112BD8" w:rsidRPr="00792475" w:rsidRDefault="00112BD8" w:rsidP="009F1981">
            <w:pPr>
              <w:pStyle w:val="TblTextCenter"/>
              <w:jc w:val="left"/>
              <w:rPr>
                <w:color w:val="000000" w:themeColor="text1"/>
              </w:rPr>
            </w:pPr>
            <w:r w:rsidRPr="00792475">
              <w:rPr>
                <w:color w:val="000000" w:themeColor="text1"/>
              </w:rPr>
              <w:t xml:space="preserve">Back pain </w:t>
            </w:r>
          </w:p>
        </w:tc>
        <w:tc>
          <w:tcPr>
            <w:tcW w:w="0" w:type="auto"/>
            <w:shd w:val="clear" w:color="auto" w:fill="auto"/>
          </w:tcPr>
          <w:p w14:paraId="1A2659B3" w14:textId="77777777" w:rsidR="00112BD8" w:rsidRPr="00792475" w:rsidRDefault="00112BD8" w:rsidP="00112BD8">
            <w:pPr>
              <w:pStyle w:val="TblTextCenter"/>
              <w:rPr>
                <w:color w:val="000000" w:themeColor="text1"/>
              </w:rPr>
            </w:pPr>
            <w:r w:rsidRPr="00792475">
              <w:rPr>
                <w:color w:val="000000" w:themeColor="text1"/>
              </w:rPr>
              <w:t xml:space="preserve">12 (23.5) </w:t>
            </w:r>
          </w:p>
        </w:tc>
        <w:tc>
          <w:tcPr>
            <w:tcW w:w="0" w:type="auto"/>
            <w:shd w:val="clear" w:color="auto" w:fill="auto"/>
          </w:tcPr>
          <w:p w14:paraId="4C4BE2EC" w14:textId="77777777" w:rsidR="00112BD8" w:rsidRPr="00792475" w:rsidRDefault="00112BD8" w:rsidP="00112BD8">
            <w:pPr>
              <w:pStyle w:val="TblTextCenter"/>
              <w:rPr>
                <w:color w:val="000000" w:themeColor="text1"/>
              </w:rPr>
            </w:pPr>
            <w:r w:rsidRPr="00792475">
              <w:rPr>
                <w:color w:val="000000" w:themeColor="text1"/>
              </w:rPr>
              <w:t xml:space="preserve">5 (10.2) </w:t>
            </w:r>
          </w:p>
        </w:tc>
      </w:tr>
      <w:tr w:rsidR="00112BD8" w:rsidRPr="00792475" w14:paraId="2702C72B" w14:textId="77777777" w:rsidTr="00112BD8">
        <w:trPr>
          <w:cantSplit/>
          <w:trHeight w:val="133"/>
          <w:jc w:val="center"/>
        </w:trPr>
        <w:tc>
          <w:tcPr>
            <w:tcW w:w="0" w:type="auto"/>
            <w:shd w:val="clear" w:color="auto" w:fill="auto"/>
          </w:tcPr>
          <w:p w14:paraId="2DEC1556" w14:textId="77777777" w:rsidR="00112BD8" w:rsidRPr="00792475" w:rsidRDefault="00112BD8" w:rsidP="009F1981">
            <w:pPr>
              <w:pStyle w:val="TblTextCenter"/>
              <w:jc w:val="left"/>
              <w:rPr>
                <w:color w:val="000000" w:themeColor="text1"/>
              </w:rPr>
            </w:pPr>
            <w:r w:rsidRPr="00792475">
              <w:rPr>
                <w:color w:val="000000" w:themeColor="text1"/>
              </w:rPr>
              <w:t xml:space="preserve">Pain in extremity </w:t>
            </w:r>
          </w:p>
        </w:tc>
        <w:tc>
          <w:tcPr>
            <w:tcW w:w="0" w:type="auto"/>
            <w:shd w:val="clear" w:color="auto" w:fill="auto"/>
          </w:tcPr>
          <w:p w14:paraId="54FB5131" w14:textId="77777777" w:rsidR="00112BD8" w:rsidRPr="00792475" w:rsidRDefault="00112BD8" w:rsidP="00112BD8">
            <w:pPr>
              <w:pStyle w:val="TblTextCenter"/>
              <w:rPr>
                <w:color w:val="000000" w:themeColor="text1"/>
              </w:rPr>
            </w:pPr>
            <w:r w:rsidRPr="00792475">
              <w:rPr>
                <w:color w:val="000000" w:themeColor="text1"/>
              </w:rPr>
              <w:t xml:space="preserve">8 (15.7) </w:t>
            </w:r>
          </w:p>
        </w:tc>
        <w:tc>
          <w:tcPr>
            <w:tcW w:w="0" w:type="auto"/>
            <w:shd w:val="clear" w:color="auto" w:fill="auto"/>
          </w:tcPr>
          <w:p w14:paraId="4866B38B" w14:textId="77777777" w:rsidR="00112BD8" w:rsidRPr="00792475" w:rsidRDefault="00112BD8" w:rsidP="00112BD8">
            <w:pPr>
              <w:pStyle w:val="TblTextCenter"/>
              <w:rPr>
                <w:color w:val="000000" w:themeColor="text1"/>
              </w:rPr>
            </w:pPr>
            <w:r w:rsidRPr="00792475">
              <w:rPr>
                <w:color w:val="000000" w:themeColor="text1"/>
              </w:rPr>
              <w:t xml:space="preserve">7 (14.3) </w:t>
            </w:r>
          </w:p>
        </w:tc>
      </w:tr>
      <w:tr w:rsidR="00112BD8" w:rsidRPr="00792475" w14:paraId="1FC82DE2" w14:textId="77777777" w:rsidTr="00112BD8">
        <w:trPr>
          <w:cantSplit/>
          <w:trHeight w:val="133"/>
          <w:jc w:val="center"/>
        </w:trPr>
        <w:tc>
          <w:tcPr>
            <w:tcW w:w="0" w:type="auto"/>
            <w:shd w:val="clear" w:color="auto" w:fill="auto"/>
          </w:tcPr>
          <w:p w14:paraId="309F9723" w14:textId="77777777" w:rsidR="00112BD8" w:rsidRPr="00792475" w:rsidRDefault="00112BD8" w:rsidP="009F1981">
            <w:pPr>
              <w:pStyle w:val="TblTextCenter"/>
              <w:jc w:val="left"/>
              <w:rPr>
                <w:color w:val="000000" w:themeColor="text1"/>
              </w:rPr>
            </w:pPr>
            <w:r w:rsidRPr="00792475">
              <w:rPr>
                <w:color w:val="000000" w:themeColor="text1"/>
              </w:rPr>
              <w:t xml:space="preserve">Arthralgia </w:t>
            </w:r>
          </w:p>
        </w:tc>
        <w:tc>
          <w:tcPr>
            <w:tcW w:w="0" w:type="auto"/>
            <w:shd w:val="clear" w:color="auto" w:fill="auto"/>
          </w:tcPr>
          <w:p w14:paraId="7575DD5F" w14:textId="77777777" w:rsidR="00112BD8" w:rsidRPr="00792475" w:rsidRDefault="00112BD8" w:rsidP="00112BD8">
            <w:pPr>
              <w:pStyle w:val="TblTextCenter"/>
              <w:rPr>
                <w:color w:val="000000" w:themeColor="text1"/>
              </w:rPr>
            </w:pPr>
            <w:r w:rsidRPr="00792475">
              <w:rPr>
                <w:color w:val="000000" w:themeColor="text1"/>
              </w:rPr>
              <w:t xml:space="preserve">5 (9.8) </w:t>
            </w:r>
          </w:p>
        </w:tc>
        <w:tc>
          <w:tcPr>
            <w:tcW w:w="0" w:type="auto"/>
            <w:shd w:val="clear" w:color="auto" w:fill="auto"/>
          </w:tcPr>
          <w:p w14:paraId="45BA868A" w14:textId="77777777" w:rsidR="00112BD8" w:rsidRPr="00792475" w:rsidRDefault="00112BD8" w:rsidP="00112BD8">
            <w:pPr>
              <w:pStyle w:val="TblTextCenter"/>
              <w:rPr>
                <w:color w:val="000000" w:themeColor="text1"/>
              </w:rPr>
            </w:pPr>
            <w:r w:rsidRPr="00792475">
              <w:rPr>
                <w:color w:val="000000" w:themeColor="text1"/>
              </w:rPr>
              <w:t xml:space="preserve">8 (16.3) </w:t>
            </w:r>
          </w:p>
        </w:tc>
      </w:tr>
      <w:tr w:rsidR="00112BD8" w:rsidRPr="00792475" w14:paraId="6844B221" w14:textId="77777777" w:rsidTr="00112BD8">
        <w:trPr>
          <w:cantSplit/>
          <w:trHeight w:val="133"/>
          <w:jc w:val="center"/>
        </w:trPr>
        <w:tc>
          <w:tcPr>
            <w:tcW w:w="0" w:type="auto"/>
            <w:shd w:val="clear" w:color="auto" w:fill="auto"/>
          </w:tcPr>
          <w:p w14:paraId="5D94F118" w14:textId="77777777" w:rsidR="00112BD8" w:rsidRPr="00792475" w:rsidRDefault="00112BD8" w:rsidP="009F1981">
            <w:pPr>
              <w:pStyle w:val="TblTextCenter"/>
              <w:jc w:val="left"/>
              <w:rPr>
                <w:color w:val="000000" w:themeColor="text1"/>
              </w:rPr>
            </w:pPr>
            <w:r w:rsidRPr="00792475">
              <w:rPr>
                <w:color w:val="000000" w:themeColor="text1"/>
              </w:rPr>
              <w:t xml:space="preserve">Myalgia </w:t>
            </w:r>
          </w:p>
        </w:tc>
        <w:tc>
          <w:tcPr>
            <w:tcW w:w="0" w:type="auto"/>
            <w:shd w:val="clear" w:color="auto" w:fill="auto"/>
          </w:tcPr>
          <w:p w14:paraId="35F21630" w14:textId="77777777" w:rsidR="00112BD8" w:rsidRPr="00792475" w:rsidRDefault="00112BD8" w:rsidP="00112BD8">
            <w:pPr>
              <w:pStyle w:val="TblTextCenter"/>
              <w:rPr>
                <w:color w:val="000000" w:themeColor="text1"/>
              </w:rPr>
            </w:pPr>
            <w:r w:rsidRPr="00792475">
              <w:rPr>
                <w:color w:val="000000" w:themeColor="text1"/>
              </w:rPr>
              <w:t xml:space="preserve">5 (9.8) </w:t>
            </w:r>
          </w:p>
        </w:tc>
        <w:tc>
          <w:tcPr>
            <w:tcW w:w="0" w:type="auto"/>
            <w:shd w:val="clear" w:color="auto" w:fill="auto"/>
          </w:tcPr>
          <w:p w14:paraId="2349FB91" w14:textId="77777777" w:rsidR="00112BD8" w:rsidRPr="00792475" w:rsidRDefault="00112BD8" w:rsidP="00112BD8">
            <w:pPr>
              <w:pStyle w:val="TblTextCenter"/>
              <w:rPr>
                <w:color w:val="000000" w:themeColor="text1"/>
              </w:rPr>
            </w:pPr>
            <w:r w:rsidRPr="00792475">
              <w:rPr>
                <w:color w:val="000000" w:themeColor="text1"/>
              </w:rPr>
              <w:t xml:space="preserve">7 (14.3) </w:t>
            </w:r>
          </w:p>
        </w:tc>
      </w:tr>
      <w:tr w:rsidR="00112BD8" w:rsidRPr="00792475" w14:paraId="7BDEDBDA" w14:textId="77777777" w:rsidTr="00112BD8">
        <w:trPr>
          <w:cantSplit/>
          <w:trHeight w:val="133"/>
          <w:jc w:val="center"/>
        </w:trPr>
        <w:tc>
          <w:tcPr>
            <w:tcW w:w="0" w:type="auto"/>
            <w:shd w:val="clear" w:color="auto" w:fill="auto"/>
          </w:tcPr>
          <w:p w14:paraId="2E728EA1" w14:textId="77777777" w:rsidR="00112BD8" w:rsidRPr="00792475" w:rsidRDefault="00112BD8" w:rsidP="009F1981">
            <w:pPr>
              <w:pStyle w:val="TblTextCenter"/>
              <w:jc w:val="left"/>
              <w:rPr>
                <w:color w:val="000000" w:themeColor="text1"/>
              </w:rPr>
            </w:pPr>
            <w:r w:rsidRPr="00792475">
              <w:rPr>
                <w:color w:val="000000" w:themeColor="text1"/>
              </w:rPr>
              <w:t xml:space="preserve">Muscle spasms </w:t>
            </w:r>
          </w:p>
        </w:tc>
        <w:tc>
          <w:tcPr>
            <w:tcW w:w="0" w:type="auto"/>
            <w:shd w:val="clear" w:color="auto" w:fill="auto"/>
          </w:tcPr>
          <w:p w14:paraId="7BD68CE1" w14:textId="77777777" w:rsidR="00112BD8" w:rsidRPr="00792475" w:rsidRDefault="00112BD8" w:rsidP="00112BD8">
            <w:pPr>
              <w:pStyle w:val="TblTextCenter"/>
              <w:rPr>
                <w:color w:val="000000" w:themeColor="text1"/>
              </w:rPr>
            </w:pPr>
            <w:r w:rsidRPr="00792475">
              <w:rPr>
                <w:color w:val="000000" w:themeColor="text1"/>
              </w:rPr>
              <w:t xml:space="preserve">3 (5.9) </w:t>
            </w:r>
          </w:p>
        </w:tc>
        <w:tc>
          <w:tcPr>
            <w:tcW w:w="0" w:type="auto"/>
            <w:shd w:val="clear" w:color="auto" w:fill="auto"/>
          </w:tcPr>
          <w:p w14:paraId="70E77E22" w14:textId="77777777" w:rsidR="00112BD8" w:rsidRPr="00792475" w:rsidRDefault="00112BD8" w:rsidP="00112BD8">
            <w:pPr>
              <w:pStyle w:val="TblTextCenter"/>
              <w:rPr>
                <w:color w:val="000000" w:themeColor="text1"/>
              </w:rPr>
            </w:pPr>
            <w:r w:rsidRPr="00792475">
              <w:rPr>
                <w:color w:val="000000" w:themeColor="text1"/>
              </w:rPr>
              <w:t xml:space="preserve">5 (10.2) </w:t>
            </w:r>
          </w:p>
        </w:tc>
      </w:tr>
      <w:tr w:rsidR="00112BD8" w:rsidRPr="00792475" w14:paraId="58879396" w14:textId="77777777" w:rsidTr="00112BD8">
        <w:trPr>
          <w:cantSplit/>
          <w:trHeight w:val="254"/>
          <w:jc w:val="center"/>
        </w:trPr>
        <w:tc>
          <w:tcPr>
            <w:tcW w:w="0" w:type="auto"/>
            <w:shd w:val="clear" w:color="auto" w:fill="auto"/>
          </w:tcPr>
          <w:p w14:paraId="2FA543FD" w14:textId="77777777" w:rsidR="00112BD8" w:rsidRPr="00792475" w:rsidRDefault="00112BD8" w:rsidP="009F1981">
            <w:pPr>
              <w:pStyle w:val="TblTextCenter"/>
              <w:jc w:val="left"/>
              <w:rPr>
                <w:color w:val="000000" w:themeColor="text1"/>
              </w:rPr>
            </w:pPr>
            <w:r w:rsidRPr="00792475">
              <w:rPr>
                <w:color w:val="000000" w:themeColor="text1"/>
              </w:rPr>
              <w:t xml:space="preserve">GENERAL DISORDERS AND ADMINISTRATION SITE CONDITIONS </w:t>
            </w:r>
          </w:p>
        </w:tc>
        <w:tc>
          <w:tcPr>
            <w:tcW w:w="0" w:type="auto"/>
            <w:shd w:val="clear" w:color="auto" w:fill="auto"/>
          </w:tcPr>
          <w:p w14:paraId="722E1C3F" w14:textId="77777777" w:rsidR="00112BD8" w:rsidRPr="00792475" w:rsidRDefault="00112BD8" w:rsidP="00112BD8">
            <w:pPr>
              <w:pStyle w:val="TblTextCenter"/>
              <w:rPr>
                <w:color w:val="000000" w:themeColor="text1"/>
              </w:rPr>
            </w:pPr>
            <w:r w:rsidRPr="00792475">
              <w:rPr>
                <w:color w:val="000000" w:themeColor="text1"/>
              </w:rPr>
              <w:t xml:space="preserve">21 (41.2) </w:t>
            </w:r>
          </w:p>
        </w:tc>
        <w:tc>
          <w:tcPr>
            <w:tcW w:w="0" w:type="auto"/>
            <w:shd w:val="clear" w:color="auto" w:fill="auto"/>
          </w:tcPr>
          <w:p w14:paraId="6DFE86D5" w14:textId="77777777" w:rsidR="00112BD8" w:rsidRPr="00792475" w:rsidRDefault="00112BD8" w:rsidP="00112BD8">
            <w:pPr>
              <w:pStyle w:val="TblTextCenter"/>
              <w:rPr>
                <w:color w:val="000000" w:themeColor="text1"/>
              </w:rPr>
            </w:pPr>
            <w:r w:rsidRPr="00792475">
              <w:rPr>
                <w:color w:val="000000" w:themeColor="text1"/>
              </w:rPr>
              <w:t xml:space="preserve">24 (49.0) </w:t>
            </w:r>
          </w:p>
        </w:tc>
      </w:tr>
      <w:tr w:rsidR="00112BD8" w:rsidRPr="00792475" w14:paraId="5BFCA719" w14:textId="77777777" w:rsidTr="00112BD8">
        <w:trPr>
          <w:cantSplit/>
          <w:trHeight w:val="254"/>
          <w:jc w:val="center"/>
        </w:trPr>
        <w:tc>
          <w:tcPr>
            <w:tcW w:w="0" w:type="auto"/>
            <w:shd w:val="clear" w:color="auto" w:fill="auto"/>
          </w:tcPr>
          <w:p w14:paraId="6435C538" w14:textId="77777777" w:rsidR="00112BD8" w:rsidRPr="00792475" w:rsidRDefault="00112BD8" w:rsidP="009F1981">
            <w:pPr>
              <w:pStyle w:val="TblTextCenter"/>
              <w:jc w:val="left"/>
              <w:rPr>
                <w:color w:val="000000" w:themeColor="text1"/>
              </w:rPr>
            </w:pPr>
            <w:r w:rsidRPr="00792475">
              <w:rPr>
                <w:color w:val="000000" w:themeColor="text1"/>
              </w:rPr>
              <w:t xml:space="preserve">Fatigue </w:t>
            </w:r>
          </w:p>
        </w:tc>
        <w:tc>
          <w:tcPr>
            <w:tcW w:w="0" w:type="auto"/>
            <w:shd w:val="clear" w:color="auto" w:fill="auto"/>
          </w:tcPr>
          <w:p w14:paraId="7DDBEC7A" w14:textId="77777777" w:rsidR="00112BD8" w:rsidRPr="00792475" w:rsidRDefault="00112BD8" w:rsidP="00112BD8">
            <w:pPr>
              <w:pStyle w:val="TblTextCenter"/>
              <w:rPr>
                <w:color w:val="000000" w:themeColor="text1"/>
              </w:rPr>
            </w:pPr>
            <w:r w:rsidRPr="00792475">
              <w:rPr>
                <w:color w:val="000000" w:themeColor="text1"/>
              </w:rPr>
              <w:t xml:space="preserve">9 (17.6) </w:t>
            </w:r>
          </w:p>
        </w:tc>
        <w:tc>
          <w:tcPr>
            <w:tcW w:w="0" w:type="auto"/>
            <w:shd w:val="clear" w:color="auto" w:fill="auto"/>
          </w:tcPr>
          <w:p w14:paraId="790BFD2D" w14:textId="77777777" w:rsidR="00112BD8" w:rsidRPr="00792475" w:rsidRDefault="00112BD8" w:rsidP="00112BD8">
            <w:pPr>
              <w:pStyle w:val="TblTextCenter"/>
              <w:rPr>
                <w:color w:val="000000" w:themeColor="text1"/>
              </w:rPr>
            </w:pPr>
            <w:r w:rsidRPr="00792475">
              <w:rPr>
                <w:color w:val="000000" w:themeColor="text1"/>
              </w:rPr>
              <w:t xml:space="preserve">7 (14.3) </w:t>
            </w:r>
          </w:p>
        </w:tc>
      </w:tr>
      <w:tr w:rsidR="00112BD8" w:rsidRPr="00792475" w14:paraId="2CAA17CD" w14:textId="77777777" w:rsidTr="00112BD8">
        <w:trPr>
          <w:cantSplit/>
          <w:trHeight w:val="254"/>
          <w:jc w:val="center"/>
        </w:trPr>
        <w:tc>
          <w:tcPr>
            <w:tcW w:w="0" w:type="auto"/>
            <w:shd w:val="clear" w:color="auto" w:fill="auto"/>
          </w:tcPr>
          <w:p w14:paraId="06A35EC0" w14:textId="77777777" w:rsidR="00112BD8" w:rsidRPr="00792475" w:rsidRDefault="00112BD8" w:rsidP="009F1981">
            <w:pPr>
              <w:pStyle w:val="TblTextCenter"/>
              <w:jc w:val="left"/>
              <w:rPr>
                <w:color w:val="000000" w:themeColor="text1"/>
              </w:rPr>
            </w:pPr>
            <w:r w:rsidRPr="00792475">
              <w:rPr>
                <w:color w:val="000000" w:themeColor="text1"/>
              </w:rPr>
              <w:t xml:space="preserve">Influenza like illness </w:t>
            </w:r>
          </w:p>
        </w:tc>
        <w:tc>
          <w:tcPr>
            <w:tcW w:w="0" w:type="auto"/>
            <w:shd w:val="clear" w:color="auto" w:fill="auto"/>
          </w:tcPr>
          <w:p w14:paraId="4476981C" w14:textId="77777777" w:rsidR="00112BD8" w:rsidRPr="00792475" w:rsidRDefault="00112BD8" w:rsidP="00112BD8">
            <w:pPr>
              <w:pStyle w:val="TblTextCenter"/>
              <w:rPr>
                <w:color w:val="000000" w:themeColor="text1"/>
              </w:rPr>
            </w:pPr>
            <w:r w:rsidRPr="00792475">
              <w:rPr>
                <w:color w:val="000000" w:themeColor="text1"/>
              </w:rPr>
              <w:t xml:space="preserve">3 (5.9) </w:t>
            </w:r>
          </w:p>
        </w:tc>
        <w:tc>
          <w:tcPr>
            <w:tcW w:w="0" w:type="auto"/>
            <w:shd w:val="clear" w:color="auto" w:fill="auto"/>
          </w:tcPr>
          <w:p w14:paraId="14B63208" w14:textId="77777777" w:rsidR="00112BD8" w:rsidRPr="00792475" w:rsidRDefault="00112BD8" w:rsidP="00112BD8">
            <w:pPr>
              <w:pStyle w:val="TblTextCenter"/>
              <w:rPr>
                <w:color w:val="000000" w:themeColor="text1"/>
              </w:rPr>
            </w:pPr>
            <w:r w:rsidRPr="00792475">
              <w:rPr>
                <w:color w:val="000000" w:themeColor="text1"/>
              </w:rPr>
              <w:t xml:space="preserve">1 (2.0) </w:t>
            </w:r>
          </w:p>
        </w:tc>
      </w:tr>
      <w:tr w:rsidR="00112BD8" w:rsidRPr="00792475" w14:paraId="0136663E" w14:textId="77777777" w:rsidTr="00112BD8">
        <w:trPr>
          <w:cantSplit/>
          <w:trHeight w:val="254"/>
          <w:jc w:val="center"/>
        </w:trPr>
        <w:tc>
          <w:tcPr>
            <w:tcW w:w="0" w:type="auto"/>
            <w:shd w:val="clear" w:color="auto" w:fill="auto"/>
          </w:tcPr>
          <w:p w14:paraId="145FE479" w14:textId="77777777" w:rsidR="00112BD8" w:rsidRPr="00792475" w:rsidRDefault="00112BD8" w:rsidP="009F1981">
            <w:pPr>
              <w:pStyle w:val="TblTextCenter"/>
              <w:jc w:val="left"/>
              <w:rPr>
                <w:color w:val="000000" w:themeColor="text1"/>
              </w:rPr>
            </w:pPr>
            <w:r w:rsidRPr="00792475">
              <w:rPr>
                <w:color w:val="000000" w:themeColor="text1"/>
              </w:rPr>
              <w:t xml:space="preserve">Non-cardiac chest pain </w:t>
            </w:r>
          </w:p>
        </w:tc>
        <w:tc>
          <w:tcPr>
            <w:tcW w:w="0" w:type="auto"/>
            <w:shd w:val="clear" w:color="auto" w:fill="auto"/>
          </w:tcPr>
          <w:p w14:paraId="3DCCB6FF" w14:textId="77777777" w:rsidR="00112BD8" w:rsidRPr="00792475" w:rsidRDefault="00112BD8" w:rsidP="00112BD8">
            <w:pPr>
              <w:pStyle w:val="TblTextCenter"/>
              <w:rPr>
                <w:color w:val="000000" w:themeColor="text1"/>
              </w:rPr>
            </w:pPr>
            <w:r w:rsidRPr="00792475">
              <w:rPr>
                <w:color w:val="000000" w:themeColor="text1"/>
              </w:rPr>
              <w:t xml:space="preserve">3 (5.9) </w:t>
            </w:r>
          </w:p>
        </w:tc>
        <w:tc>
          <w:tcPr>
            <w:tcW w:w="0" w:type="auto"/>
            <w:shd w:val="clear" w:color="auto" w:fill="auto"/>
          </w:tcPr>
          <w:p w14:paraId="71952196" w14:textId="77777777" w:rsidR="00112BD8" w:rsidRPr="00792475" w:rsidRDefault="00112BD8" w:rsidP="00112BD8">
            <w:pPr>
              <w:pStyle w:val="TblTextCenter"/>
              <w:rPr>
                <w:color w:val="000000" w:themeColor="text1"/>
              </w:rPr>
            </w:pPr>
            <w:r w:rsidRPr="00792475">
              <w:rPr>
                <w:color w:val="000000" w:themeColor="text1"/>
              </w:rPr>
              <w:t xml:space="preserve">0 </w:t>
            </w:r>
          </w:p>
        </w:tc>
      </w:tr>
      <w:tr w:rsidR="00112BD8" w:rsidRPr="00792475" w14:paraId="07227CA3" w14:textId="77777777" w:rsidTr="00112BD8">
        <w:trPr>
          <w:cantSplit/>
          <w:trHeight w:val="254"/>
          <w:jc w:val="center"/>
        </w:trPr>
        <w:tc>
          <w:tcPr>
            <w:tcW w:w="0" w:type="auto"/>
            <w:shd w:val="clear" w:color="auto" w:fill="auto"/>
          </w:tcPr>
          <w:p w14:paraId="1EFCF79F" w14:textId="77777777" w:rsidR="00112BD8" w:rsidRPr="00792475" w:rsidRDefault="00112BD8" w:rsidP="009F1981">
            <w:pPr>
              <w:pStyle w:val="TblTextCenter"/>
              <w:jc w:val="left"/>
              <w:rPr>
                <w:color w:val="000000" w:themeColor="text1"/>
              </w:rPr>
            </w:pPr>
            <w:r w:rsidRPr="00792475">
              <w:rPr>
                <w:color w:val="000000" w:themeColor="text1"/>
              </w:rPr>
              <w:t xml:space="preserve">Oedema peripheral </w:t>
            </w:r>
          </w:p>
        </w:tc>
        <w:tc>
          <w:tcPr>
            <w:tcW w:w="0" w:type="auto"/>
            <w:shd w:val="clear" w:color="auto" w:fill="auto"/>
          </w:tcPr>
          <w:p w14:paraId="69B450D9" w14:textId="77777777" w:rsidR="00112BD8" w:rsidRPr="00792475" w:rsidRDefault="00112BD8" w:rsidP="00112BD8">
            <w:pPr>
              <w:pStyle w:val="TblTextCenter"/>
              <w:rPr>
                <w:color w:val="000000" w:themeColor="text1"/>
              </w:rPr>
            </w:pPr>
            <w:r w:rsidRPr="00792475">
              <w:rPr>
                <w:color w:val="000000" w:themeColor="text1"/>
              </w:rPr>
              <w:t xml:space="preserve">3 (5.9) </w:t>
            </w:r>
          </w:p>
        </w:tc>
        <w:tc>
          <w:tcPr>
            <w:tcW w:w="0" w:type="auto"/>
            <w:shd w:val="clear" w:color="auto" w:fill="auto"/>
          </w:tcPr>
          <w:p w14:paraId="458E821D" w14:textId="77777777" w:rsidR="00112BD8" w:rsidRPr="00792475" w:rsidRDefault="00112BD8" w:rsidP="00112BD8">
            <w:pPr>
              <w:pStyle w:val="TblTextCenter"/>
              <w:rPr>
                <w:color w:val="000000" w:themeColor="text1"/>
              </w:rPr>
            </w:pPr>
            <w:r w:rsidRPr="00792475">
              <w:rPr>
                <w:color w:val="000000" w:themeColor="text1"/>
              </w:rPr>
              <w:t xml:space="preserve">3 (6.1) </w:t>
            </w:r>
          </w:p>
        </w:tc>
      </w:tr>
      <w:tr w:rsidR="00112BD8" w:rsidRPr="00792475" w14:paraId="275FF826" w14:textId="77777777" w:rsidTr="00112BD8">
        <w:trPr>
          <w:cantSplit/>
          <w:trHeight w:val="254"/>
          <w:jc w:val="center"/>
        </w:trPr>
        <w:tc>
          <w:tcPr>
            <w:tcW w:w="0" w:type="auto"/>
            <w:shd w:val="clear" w:color="auto" w:fill="auto"/>
          </w:tcPr>
          <w:p w14:paraId="5114347B" w14:textId="77777777" w:rsidR="00112BD8" w:rsidRPr="00792475" w:rsidRDefault="00112BD8" w:rsidP="009F1981">
            <w:pPr>
              <w:pStyle w:val="TblTextCenter"/>
              <w:jc w:val="left"/>
              <w:rPr>
                <w:color w:val="000000" w:themeColor="text1"/>
              </w:rPr>
            </w:pPr>
            <w:r w:rsidRPr="00792475">
              <w:rPr>
                <w:color w:val="000000" w:themeColor="text1"/>
              </w:rPr>
              <w:t xml:space="preserve">INJURY, POISONING AND PROCEDURAL COMPLICATIONS </w:t>
            </w:r>
          </w:p>
        </w:tc>
        <w:tc>
          <w:tcPr>
            <w:tcW w:w="0" w:type="auto"/>
            <w:shd w:val="clear" w:color="auto" w:fill="auto"/>
          </w:tcPr>
          <w:p w14:paraId="0F2E4687" w14:textId="77777777" w:rsidR="00112BD8" w:rsidRPr="00792475" w:rsidRDefault="00112BD8" w:rsidP="00112BD8">
            <w:pPr>
              <w:pStyle w:val="TblTextCenter"/>
              <w:rPr>
                <w:color w:val="000000" w:themeColor="text1"/>
              </w:rPr>
            </w:pPr>
            <w:r w:rsidRPr="00792475">
              <w:rPr>
                <w:color w:val="000000" w:themeColor="text1"/>
              </w:rPr>
              <w:t xml:space="preserve">13 (25.5) </w:t>
            </w:r>
          </w:p>
        </w:tc>
        <w:tc>
          <w:tcPr>
            <w:tcW w:w="0" w:type="auto"/>
            <w:shd w:val="clear" w:color="auto" w:fill="auto"/>
          </w:tcPr>
          <w:p w14:paraId="7D545579" w14:textId="77777777" w:rsidR="00112BD8" w:rsidRPr="00792475" w:rsidRDefault="00112BD8" w:rsidP="00112BD8">
            <w:pPr>
              <w:pStyle w:val="TblTextCenter"/>
              <w:rPr>
                <w:color w:val="000000" w:themeColor="text1"/>
              </w:rPr>
            </w:pPr>
            <w:r w:rsidRPr="00792475">
              <w:rPr>
                <w:color w:val="000000" w:themeColor="text1"/>
              </w:rPr>
              <w:t xml:space="preserve">15 (30.6) </w:t>
            </w:r>
          </w:p>
        </w:tc>
      </w:tr>
      <w:tr w:rsidR="00112BD8" w:rsidRPr="00792475" w14:paraId="6A40B700" w14:textId="77777777" w:rsidTr="00112BD8">
        <w:trPr>
          <w:cantSplit/>
          <w:trHeight w:val="254"/>
          <w:jc w:val="center"/>
        </w:trPr>
        <w:tc>
          <w:tcPr>
            <w:tcW w:w="0" w:type="auto"/>
            <w:shd w:val="clear" w:color="auto" w:fill="auto"/>
          </w:tcPr>
          <w:p w14:paraId="27BF8094" w14:textId="77777777" w:rsidR="00112BD8" w:rsidRPr="00792475" w:rsidRDefault="00112BD8" w:rsidP="009F1981">
            <w:pPr>
              <w:pStyle w:val="TblTextCenter"/>
              <w:jc w:val="left"/>
              <w:rPr>
                <w:color w:val="000000" w:themeColor="text1"/>
              </w:rPr>
            </w:pPr>
            <w:r w:rsidRPr="00792475">
              <w:rPr>
                <w:color w:val="000000" w:themeColor="text1"/>
              </w:rPr>
              <w:t xml:space="preserve">Fall </w:t>
            </w:r>
          </w:p>
        </w:tc>
        <w:tc>
          <w:tcPr>
            <w:tcW w:w="0" w:type="auto"/>
            <w:shd w:val="clear" w:color="auto" w:fill="auto"/>
          </w:tcPr>
          <w:p w14:paraId="78B47F22" w14:textId="77777777" w:rsidR="00112BD8" w:rsidRPr="00792475" w:rsidRDefault="00112BD8" w:rsidP="00112BD8">
            <w:pPr>
              <w:pStyle w:val="TblTextCenter"/>
              <w:rPr>
                <w:color w:val="000000" w:themeColor="text1"/>
              </w:rPr>
            </w:pPr>
            <w:r w:rsidRPr="00792475">
              <w:rPr>
                <w:color w:val="000000" w:themeColor="text1"/>
              </w:rPr>
              <w:t xml:space="preserve">7 (13.7) </w:t>
            </w:r>
          </w:p>
        </w:tc>
        <w:tc>
          <w:tcPr>
            <w:tcW w:w="0" w:type="auto"/>
            <w:shd w:val="clear" w:color="auto" w:fill="auto"/>
          </w:tcPr>
          <w:p w14:paraId="3F7E4598" w14:textId="77777777" w:rsidR="00112BD8" w:rsidRPr="00792475" w:rsidRDefault="00112BD8" w:rsidP="00112BD8">
            <w:pPr>
              <w:pStyle w:val="TblTextCenter"/>
              <w:rPr>
                <w:color w:val="000000" w:themeColor="text1"/>
              </w:rPr>
            </w:pPr>
            <w:r w:rsidRPr="00792475">
              <w:rPr>
                <w:color w:val="000000" w:themeColor="text1"/>
              </w:rPr>
              <w:t xml:space="preserve">10 (20.4) </w:t>
            </w:r>
          </w:p>
        </w:tc>
      </w:tr>
      <w:tr w:rsidR="00E424FC" w:rsidRPr="00792475" w14:paraId="4DA13C4C" w14:textId="77777777" w:rsidTr="00112BD8">
        <w:trPr>
          <w:cantSplit/>
          <w:trHeight w:val="254"/>
          <w:jc w:val="center"/>
        </w:trPr>
        <w:tc>
          <w:tcPr>
            <w:tcW w:w="0" w:type="auto"/>
            <w:tcBorders>
              <w:bottom w:val="single" w:sz="12" w:space="0" w:color="auto"/>
            </w:tcBorders>
            <w:shd w:val="clear" w:color="auto" w:fill="auto"/>
          </w:tcPr>
          <w:p w14:paraId="4FB97296" w14:textId="77777777" w:rsidR="00112BD8" w:rsidRPr="00792475" w:rsidRDefault="00112BD8" w:rsidP="009F1981">
            <w:pPr>
              <w:pStyle w:val="TblTextCenter"/>
              <w:jc w:val="left"/>
              <w:rPr>
                <w:color w:val="000000" w:themeColor="text1"/>
              </w:rPr>
            </w:pPr>
            <w:r w:rsidRPr="00792475">
              <w:rPr>
                <w:color w:val="000000" w:themeColor="text1"/>
              </w:rPr>
              <w:t xml:space="preserve">Contusion </w:t>
            </w:r>
          </w:p>
        </w:tc>
        <w:tc>
          <w:tcPr>
            <w:tcW w:w="0" w:type="auto"/>
            <w:tcBorders>
              <w:bottom w:val="single" w:sz="12" w:space="0" w:color="auto"/>
            </w:tcBorders>
            <w:shd w:val="clear" w:color="auto" w:fill="auto"/>
          </w:tcPr>
          <w:p w14:paraId="186DBA70" w14:textId="77777777" w:rsidR="00112BD8" w:rsidRPr="00792475" w:rsidRDefault="00112BD8" w:rsidP="00112BD8">
            <w:pPr>
              <w:pStyle w:val="TblTextCenter"/>
              <w:rPr>
                <w:color w:val="000000" w:themeColor="text1"/>
              </w:rPr>
            </w:pPr>
            <w:r w:rsidRPr="00792475">
              <w:rPr>
                <w:color w:val="000000" w:themeColor="text1"/>
              </w:rPr>
              <w:t xml:space="preserve">5 (9.8) </w:t>
            </w:r>
          </w:p>
        </w:tc>
        <w:tc>
          <w:tcPr>
            <w:tcW w:w="0" w:type="auto"/>
            <w:tcBorders>
              <w:bottom w:val="single" w:sz="12" w:space="0" w:color="auto"/>
            </w:tcBorders>
            <w:shd w:val="clear" w:color="auto" w:fill="auto"/>
          </w:tcPr>
          <w:p w14:paraId="44961B47" w14:textId="77777777" w:rsidR="00112BD8" w:rsidRPr="00792475" w:rsidRDefault="00112BD8" w:rsidP="00112BD8">
            <w:pPr>
              <w:pStyle w:val="TblTextCenter"/>
              <w:rPr>
                <w:color w:val="000000" w:themeColor="text1"/>
              </w:rPr>
            </w:pPr>
            <w:r w:rsidRPr="00792475">
              <w:rPr>
                <w:color w:val="000000" w:themeColor="text1"/>
              </w:rPr>
              <w:t xml:space="preserve">4 (8.2) </w:t>
            </w:r>
          </w:p>
        </w:tc>
      </w:tr>
      <w:tr w:rsidR="00E424FC" w:rsidRPr="00792475" w14:paraId="46222593" w14:textId="77777777" w:rsidTr="00112BD8">
        <w:trPr>
          <w:cantSplit/>
          <w:trHeight w:val="254"/>
          <w:jc w:val="center"/>
        </w:trPr>
        <w:tc>
          <w:tcPr>
            <w:tcW w:w="0" w:type="auto"/>
            <w:gridSpan w:val="3"/>
            <w:tcBorders>
              <w:top w:val="single" w:sz="12" w:space="0" w:color="auto"/>
            </w:tcBorders>
            <w:shd w:val="clear" w:color="auto" w:fill="auto"/>
          </w:tcPr>
          <w:p w14:paraId="6E7FB03D" w14:textId="6967A78E" w:rsidR="00112BD8" w:rsidRPr="00792475" w:rsidRDefault="00E424FC" w:rsidP="00112BD8">
            <w:pPr>
              <w:pStyle w:val="TblFigFootnote"/>
              <w:rPr>
                <w:color w:val="000000" w:themeColor="text1"/>
              </w:rPr>
            </w:pPr>
            <w:r w:rsidRPr="00792475">
              <w:rPr>
                <w:color w:val="000000" w:themeColor="text1"/>
              </w:rPr>
              <w:t xml:space="preserve">* </w:t>
            </w:r>
            <w:proofErr w:type="gramStart"/>
            <w:r w:rsidRPr="00792475">
              <w:rPr>
                <w:color w:val="000000" w:themeColor="text1"/>
              </w:rPr>
              <w:t>primary</w:t>
            </w:r>
            <w:proofErr w:type="gramEnd"/>
            <w:r w:rsidRPr="00792475">
              <w:rPr>
                <w:color w:val="000000" w:themeColor="text1"/>
              </w:rPr>
              <w:t xml:space="preserve"> analysis period</w:t>
            </w:r>
            <w:r w:rsidR="00F33B21" w:rsidRPr="00792475">
              <w:rPr>
                <w:color w:val="000000" w:themeColor="text1"/>
              </w:rPr>
              <w:t xml:space="preserve"> (PAP)</w:t>
            </w:r>
            <w:r w:rsidR="00907303" w:rsidRPr="00792475">
              <w:rPr>
                <w:color w:val="000000" w:themeColor="text1"/>
              </w:rPr>
              <w:t xml:space="preserve"> of 49 weeks</w:t>
            </w:r>
          </w:p>
          <w:p w14:paraId="2655D6E7" w14:textId="0852E09E" w:rsidR="00F33B21" w:rsidRPr="00792475" w:rsidRDefault="00F33B21" w:rsidP="00112BD8">
            <w:pPr>
              <w:pStyle w:val="TblFigFootnote"/>
              <w:rPr>
                <w:color w:val="000000" w:themeColor="text1"/>
              </w:rPr>
            </w:pPr>
          </w:p>
        </w:tc>
      </w:tr>
    </w:tbl>
    <w:p w14:paraId="2C820C11" w14:textId="61AC1EC5" w:rsidR="00696458" w:rsidRDefault="003C5B2B" w:rsidP="003C5B2B">
      <w:pPr>
        <w:rPr>
          <w:lang w:val="en-AU"/>
        </w:rPr>
      </w:pPr>
      <w:r w:rsidRPr="003C5B2B">
        <w:rPr>
          <w:lang w:val="en-AU"/>
        </w:rPr>
        <w:t xml:space="preserve">IARs were reported in 25.5% of the patients treated with </w:t>
      </w:r>
      <w:proofErr w:type="spellStart"/>
      <w:r>
        <w:rPr>
          <w:lang w:val="en-AU"/>
        </w:rPr>
        <w:t>Nexviazyme</w:t>
      </w:r>
      <w:proofErr w:type="spellEnd"/>
      <w:r w:rsidRPr="003C5B2B">
        <w:rPr>
          <w:lang w:val="en-AU"/>
        </w:rPr>
        <w:t>, compared to 32.7% of patients treated</w:t>
      </w:r>
      <w:r>
        <w:rPr>
          <w:lang w:val="en-AU"/>
        </w:rPr>
        <w:t xml:space="preserve"> </w:t>
      </w:r>
      <w:r w:rsidRPr="003C5B2B">
        <w:rPr>
          <w:lang w:val="en-AU"/>
        </w:rPr>
        <w:t xml:space="preserve">with </w:t>
      </w:r>
      <w:proofErr w:type="spellStart"/>
      <w:r w:rsidRPr="003C5B2B">
        <w:rPr>
          <w:lang w:val="en-AU"/>
        </w:rPr>
        <w:t>alglucosidase</w:t>
      </w:r>
      <w:proofErr w:type="spellEnd"/>
      <w:r w:rsidRPr="003C5B2B">
        <w:rPr>
          <w:lang w:val="en-AU"/>
        </w:rPr>
        <w:t xml:space="preserve"> alfa. All the IARs reported in more than 1 patient were mild to moderate and included</w:t>
      </w:r>
      <w:r>
        <w:rPr>
          <w:lang w:val="en-AU"/>
        </w:rPr>
        <w:t xml:space="preserve"> </w:t>
      </w:r>
      <w:r w:rsidRPr="003C5B2B">
        <w:rPr>
          <w:lang w:val="en-AU"/>
        </w:rPr>
        <w:t xml:space="preserve">headache, chills, dizziness, </w:t>
      </w:r>
      <w:r w:rsidR="006E20CB">
        <w:rPr>
          <w:lang w:val="en-AU"/>
        </w:rPr>
        <w:t>dyspnoea</w:t>
      </w:r>
      <w:r w:rsidRPr="003C5B2B">
        <w:rPr>
          <w:lang w:val="en-AU"/>
        </w:rPr>
        <w:t xml:space="preserve">, erythema, flushing, </w:t>
      </w:r>
      <w:r w:rsidR="00306657">
        <w:rPr>
          <w:lang w:val="en-AU"/>
        </w:rPr>
        <w:t>diarrhoea</w:t>
      </w:r>
      <w:r w:rsidRPr="003C5B2B">
        <w:rPr>
          <w:lang w:val="en-AU"/>
        </w:rPr>
        <w:t>, nausea, pruritus, rash, urticaria and</w:t>
      </w:r>
      <w:r>
        <w:rPr>
          <w:lang w:val="en-AU"/>
        </w:rPr>
        <w:t xml:space="preserve"> </w:t>
      </w:r>
      <w:r w:rsidRPr="003C5B2B">
        <w:rPr>
          <w:lang w:val="en-AU"/>
        </w:rPr>
        <w:t xml:space="preserve">feeling hot. Severe IARs were reported in 2 patients treated with </w:t>
      </w:r>
      <w:proofErr w:type="spellStart"/>
      <w:r w:rsidRPr="003C5B2B">
        <w:rPr>
          <w:lang w:val="en-AU"/>
        </w:rPr>
        <w:t>alglucosidase</w:t>
      </w:r>
      <w:proofErr w:type="spellEnd"/>
      <w:r w:rsidRPr="003C5B2B">
        <w:rPr>
          <w:lang w:val="en-AU"/>
        </w:rPr>
        <w:t xml:space="preserve"> alfa; there were no reports</w:t>
      </w:r>
      <w:r>
        <w:rPr>
          <w:lang w:val="en-AU"/>
        </w:rPr>
        <w:t xml:space="preserve"> </w:t>
      </w:r>
      <w:r w:rsidRPr="003C5B2B">
        <w:rPr>
          <w:lang w:val="en-AU"/>
        </w:rPr>
        <w:t xml:space="preserve">of severe IARs in patients treated with </w:t>
      </w:r>
      <w:proofErr w:type="spellStart"/>
      <w:r>
        <w:rPr>
          <w:lang w:val="en-AU"/>
        </w:rPr>
        <w:t>Nexviazyme</w:t>
      </w:r>
      <w:proofErr w:type="spellEnd"/>
      <w:r w:rsidRPr="003C5B2B">
        <w:rPr>
          <w:lang w:val="en-AU"/>
        </w:rPr>
        <w:t>.</w:t>
      </w:r>
    </w:p>
    <w:p w14:paraId="6E13C312" w14:textId="77777777" w:rsidR="003C5B2B" w:rsidRPr="003C5B2B" w:rsidRDefault="003C5B2B" w:rsidP="003C5B2B">
      <w:pPr>
        <w:pStyle w:val="Heading3"/>
        <w:numPr>
          <w:ilvl w:val="0"/>
          <w:numId w:val="0"/>
        </w:numPr>
        <w:ind w:left="680" w:hanging="680"/>
        <w:rPr>
          <w:lang w:val="en-AU"/>
        </w:rPr>
      </w:pPr>
      <w:r w:rsidRPr="003C5B2B">
        <w:rPr>
          <w:lang w:val="en-AU"/>
        </w:rPr>
        <w:t>Description of selected adverse reactions</w:t>
      </w:r>
    </w:p>
    <w:p w14:paraId="072F6BEC" w14:textId="77777777" w:rsidR="003C5B2B" w:rsidRPr="003C5B2B" w:rsidRDefault="003C5B2B" w:rsidP="003C5B2B">
      <w:pPr>
        <w:pStyle w:val="Heading5"/>
        <w:numPr>
          <w:ilvl w:val="0"/>
          <w:numId w:val="0"/>
        </w:numPr>
        <w:ind w:left="1009" w:hanging="1009"/>
        <w:rPr>
          <w:lang w:val="en-AU"/>
        </w:rPr>
      </w:pPr>
      <w:r w:rsidRPr="003C5B2B">
        <w:rPr>
          <w:lang w:val="en-AU"/>
        </w:rPr>
        <w:t>Immunogenicity</w:t>
      </w:r>
    </w:p>
    <w:p w14:paraId="320E04C1" w14:textId="45DD2191" w:rsidR="003C5B2B" w:rsidRPr="003C5B2B" w:rsidRDefault="003C5B2B" w:rsidP="003C5B2B">
      <w:pPr>
        <w:rPr>
          <w:lang w:val="en-AU"/>
        </w:rPr>
      </w:pPr>
      <w:r w:rsidRPr="003C5B2B">
        <w:rPr>
          <w:lang w:val="en-AU"/>
        </w:rPr>
        <w:t>As with all therapeutic proteins, there is a potential for immunogenicity. The detection of antibody</w:t>
      </w:r>
      <w:r>
        <w:rPr>
          <w:lang w:val="en-AU"/>
        </w:rPr>
        <w:t xml:space="preserve"> </w:t>
      </w:r>
      <w:r w:rsidRPr="003C5B2B">
        <w:rPr>
          <w:lang w:val="en-AU"/>
        </w:rPr>
        <w:t>formation is highly dependent on the sensitivity and specificity of the assay. Additionally, the</w:t>
      </w:r>
      <w:r>
        <w:rPr>
          <w:lang w:val="en-AU"/>
        </w:rPr>
        <w:t xml:space="preserve"> </w:t>
      </w:r>
      <w:r w:rsidRPr="003C5B2B">
        <w:rPr>
          <w:lang w:val="en-AU"/>
        </w:rPr>
        <w:t>observed incidence of antibody (including neutrali</w:t>
      </w:r>
      <w:r w:rsidR="00C61EC0">
        <w:rPr>
          <w:lang w:val="en-AU"/>
        </w:rPr>
        <w:t>s</w:t>
      </w:r>
      <w:r w:rsidRPr="003C5B2B">
        <w:rPr>
          <w:lang w:val="en-AU"/>
        </w:rPr>
        <w:t>ing antibody) positivity in an assay may be</w:t>
      </w:r>
      <w:r>
        <w:rPr>
          <w:lang w:val="en-AU"/>
        </w:rPr>
        <w:t xml:space="preserve"> </w:t>
      </w:r>
      <w:r w:rsidRPr="003C5B2B">
        <w:rPr>
          <w:lang w:val="en-AU"/>
        </w:rPr>
        <w:t>influenced by several factors, including assay methodology, sample handling, timing of sample</w:t>
      </w:r>
      <w:r>
        <w:rPr>
          <w:lang w:val="en-AU"/>
        </w:rPr>
        <w:t xml:space="preserve"> </w:t>
      </w:r>
      <w:r w:rsidRPr="003C5B2B">
        <w:rPr>
          <w:lang w:val="en-AU"/>
        </w:rPr>
        <w:t>collection, concomitant medications, and underlying disease. For these reasons, comparison of the</w:t>
      </w:r>
      <w:r>
        <w:rPr>
          <w:lang w:val="en-AU"/>
        </w:rPr>
        <w:t xml:space="preserve"> </w:t>
      </w:r>
      <w:r w:rsidRPr="003C5B2B">
        <w:rPr>
          <w:lang w:val="en-AU"/>
        </w:rPr>
        <w:t xml:space="preserve">incidence of antibodies to </w:t>
      </w:r>
      <w:proofErr w:type="spellStart"/>
      <w:r>
        <w:rPr>
          <w:lang w:val="en-AU"/>
        </w:rPr>
        <w:t>Nexviazyme</w:t>
      </w:r>
      <w:proofErr w:type="spellEnd"/>
      <w:r>
        <w:rPr>
          <w:lang w:val="en-AU"/>
        </w:rPr>
        <w:t xml:space="preserve"> </w:t>
      </w:r>
      <w:r w:rsidRPr="003C5B2B">
        <w:rPr>
          <w:lang w:val="en-AU"/>
        </w:rPr>
        <w:t xml:space="preserve">in the studies </w:t>
      </w:r>
      <w:r w:rsidRPr="003C5B2B">
        <w:rPr>
          <w:lang w:val="en-AU"/>
        </w:rPr>
        <w:lastRenderedPageBreak/>
        <w:t>described below with the incidence of antibodies in</w:t>
      </w:r>
      <w:r>
        <w:rPr>
          <w:lang w:val="en-AU"/>
        </w:rPr>
        <w:t xml:space="preserve"> </w:t>
      </w:r>
      <w:r w:rsidRPr="003C5B2B">
        <w:rPr>
          <w:lang w:val="en-AU"/>
        </w:rPr>
        <w:t>other studies or to other products may be misleading.</w:t>
      </w:r>
    </w:p>
    <w:p w14:paraId="1EE3E61B" w14:textId="05C905F0" w:rsidR="00696458" w:rsidRDefault="003C5B2B" w:rsidP="003C5B2B">
      <w:pPr>
        <w:rPr>
          <w:lang w:val="en-AU"/>
        </w:rPr>
      </w:pPr>
      <w:r w:rsidRPr="003C5B2B">
        <w:rPr>
          <w:lang w:val="en-AU"/>
        </w:rPr>
        <w:t xml:space="preserve">The incidence of ADA response to </w:t>
      </w:r>
      <w:proofErr w:type="spellStart"/>
      <w:r w:rsidRPr="003C5B2B">
        <w:rPr>
          <w:lang w:val="en-AU"/>
        </w:rPr>
        <w:t>avalglucosidase</w:t>
      </w:r>
      <w:proofErr w:type="spellEnd"/>
      <w:r w:rsidRPr="003C5B2B">
        <w:rPr>
          <w:lang w:val="en-AU"/>
        </w:rPr>
        <w:t xml:space="preserve"> alfa in </w:t>
      </w:r>
      <w:proofErr w:type="spellStart"/>
      <w:r w:rsidR="004D26C3">
        <w:rPr>
          <w:lang w:val="en-AU"/>
        </w:rPr>
        <w:t>Nexviazyme</w:t>
      </w:r>
      <w:proofErr w:type="spellEnd"/>
      <w:r w:rsidRPr="003C5B2B">
        <w:rPr>
          <w:lang w:val="en-AU"/>
        </w:rPr>
        <w:t xml:space="preserve">-treated patients with </w:t>
      </w:r>
      <w:proofErr w:type="spellStart"/>
      <w:r w:rsidRPr="003C5B2B">
        <w:rPr>
          <w:lang w:val="en-AU"/>
        </w:rPr>
        <w:t>Pompe</w:t>
      </w:r>
      <w:proofErr w:type="spellEnd"/>
      <w:r w:rsidRPr="003C5B2B">
        <w:rPr>
          <w:lang w:val="en-AU"/>
        </w:rPr>
        <w:t xml:space="preserve"> disease</w:t>
      </w:r>
      <w:r>
        <w:rPr>
          <w:lang w:val="en-AU"/>
        </w:rPr>
        <w:t xml:space="preserve"> </w:t>
      </w:r>
      <w:r w:rsidRPr="003C5B2B">
        <w:rPr>
          <w:lang w:val="en-AU"/>
        </w:rPr>
        <w:t>is shown in</w:t>
      </w:r>
      <w:r w:rsidR="00FE0B6F">
        <w:rPr>
          <w:lang w:val="en-AU"/>
        </w:rPr>
        <w:t xml:space="preserve"> </w:t>
      </w:r>
      <w:r w:rsidR="00FE0B6F" w:rsidRPr="00FE0B6F">
        <w:rPr>
          <w:color w:val="0000FF"/>
          <w:lang w:val="en-AU"/>
        </w:rPr>
        <w:fldChar w:fldCharType="begin"/>
      </w:r>
      <w:r w:rsidR="00FE0B6F" w:rsidRPr="00FE0B6F">
        <w:rPr>
          <w:color w:val="0000FF"/>
          <w:lang w:val="en-AU"/>
        </w:rPr>
        <w:instrText xml:space="preserve"> REF _Ref52145286 \h  \* MERGEFORMAT </w:instrText>
      </w:r>
      <w:r w:rsidR="00FE0B6F" w:rsidRPr="00FE0B6F">
        <w:rPr>
          <w:color w:val="0000FF"/>
          <w:lang w:val="en-AU"/>
        </w:rPr>
      </w:r>
      <w:r w:rsidR="00FE0B6F" w:rsidRPr="00FE0B6F">
        <w:rPr>
          <w:color w:val="0000FF"/>
          <w:lang w:val="en-AU"/>
        </w:rPr>
        <w:fldChar w:fldCharType="separate"/>
      </w:r>
      <w:r w:rsidR="00751605" w:rsidRPr="00751605">
        <w:rPr>
          <w:color w:val="0000FF"/>
        </w:rPr>
        <w:t>Table 5</w:t>
      </w:r>
      <w:r w:rsidR="00FE0B6F" w:rsidRPr="00FE0B6F">
        <w:rPr>
          <w:color w:val="0000FF"/>
          <w:lang w:val="en-AU"/>
        </w:rPr>
        <w:fldChar w:fldCharType="end"/>
      </w:r>
      <w:r w:rsidRPr="003C5B2B">
        <w:rPr>
          <w:lang w:val="en-AU"/>
        </w:rPr>
        <w:t>. The median time to seroconversion was 8.3 weeks.</w:t>
      </w:r>
    </w:p>
    <w:p w14:paraId="270F569A" w14:textId="619091B5" w:rsidR="004D26C3" w:rsidRPr="004D26C3" w:rsidRDefault="004D26C3" w:rsidP="004D26C3">
      <w:pPr>
        <w:rPr>
          <w:lang w:val="en-AU"/>
        </w:rPr>
      </w:pPr>
      <w:r w:rsidRPr="004D26C3">
        <w:rPr>
          <w:lang w:val="en-AU"/>
        </w:rPr>
        <w:t>In treatment-naïve adult patients, the occurrence of IAR was observed in both ADA-positive and</w:t>
      </w:r>
      <w:r>
        <w:rPr>
          <w:lang w:val="en-AU"/>
        </w:rPr>
        <w:t xml:space="preserve"> </w:t>
      </w:r>
      <w:r w:rsidRPr="004D26C3">
        <w:rPr>
          <w:lang w:val="en-AU"/>
        </w:rPr>
        <w:t>ADA-negative patients. Increase in the incidence of IAR and hypersensitivity were observed with</w:t>
      </w:r>
      <w:r>
        <w:rPr>
          <w:lang w:val="en-AU"/>
        </w:rPr>
        <w:t xml:space="preserve"> </w:t>
      </w:r>
      <w:r w:rsidRPr="004D26C3">
        <w:rPr>
          <w:lang w:val="en-AU"/>
        </w:rPr>
        <w:t xml:space="preserve">higher IgG ADA </w:t>
      </w:r>
      <w:r w:rsidR="00FE0B6F" w:rsidRPr="004D26C3">
        <w:rPr>
          <w:lang w:val="en-AU"/>
        </w:rPr>
        <w:t>titres</w:t>
      </w:r>
      <w:r w:rsidRPr="004D26C3">
        <w:rPr>
          <w:lang w:val="en-AU"/>
        </w:rPr>
        <w:t>. In enzyme replacement therapy (ERT) experienced adult patients, the</w:t>
      </w:r>
      <w:r>
        <w:rPr>
          <w:lang w:val="en-AU"/>
        </w:rPr>
        <w:t xml:space="preserve"> </w:t>
      </w:r>
      <w:r w:rsidRPr="004D26C3">
        <w:rPr>
          <w:lang w:val="en-AU"/>
        </w:rPr>
        <w:t>occurrences of IARs and hypersensitivity were higher in patients who developed treatment emergent</w:t>
      </w:r>
      <w:r>
        <w:rPr>
          <w:lang w:val="en-AU"/>
        </w:rPr>
        <w:t xml:space="preserve"> </w:t>
      </w:r>
      <w:r w:rsidRPr="004D26C3">
        <w:rPr>
          <w:lang w:val="en-AU"/>
        </w:rPr>
        <w:t>ADA compared to patients who were ADA negative. One</w:t>
      </w:r>
      <w:r w:rsidR="00FE0B6F">
        <w:rPr>
          <w:lang w:val="en-AU"/>
        </w:rPr>
        <w:t xml:space="preserve"> </w:t>
      </w:r>
      <w:r w:rsidRPr="004D26C3">
        <w:rPr>
          <w:lang w:val="en-AU"/>
        </w:rPr>
        <w:t xml:space="preserve">treatment naïve patient and </w:t>
      </w:r>
      <w:r w:rsidR="00FE0B6F">
        <w:rPr>
          <w:lang w:val="en-AU"/>
        </w:rPr>
        <w:t>one</w:t>
      </w:r>
      <w:r w:rsidRPr="004D26C3">
        <w:rPr>
          <w:lang w:val="en-AU"/>
        </w:rPr>
        <w:t xml:space="preserve"> treatment</w:t>
      </w:r>
      <w:r>
        <w:rPr>
          <w:lang w:val="en-AU"/>
        </w:rPr>
        <w:t xml:space="preserve"> </w:t>
      </w:r>
      <w:r w:rsidRPr="004D26C3">
        <w:rPr>
          <w:lang w:val="en-AU"/>
        </w:rPr>
        <w:t>experienced patient developed anaphylaxis. The occurrences of IARs were similar between p</w:t>
      </w:r>
      <w:r w:rsidR="00FE0B6F">
        <w:rPr>
          <w:lang w:val="en-AU"/>
        </w:rPr>
        <w:t>a</w:t>
      </w:r>
      <w:r w:rsidRPr="004D26C3">
        <w:rPr>
          <w:lang w:val="en-AU"/>
        </w:rPr>
        <w:t>ediatric</w:t>
      </w:r>
      <w:r>
        <w:rPr>
          <w:lang w:val="en-AU"/>
        </w:rPr>
        <w:t xml:space="preserve"> </w:t>
      </w:r>
      <w:r w:rsidRPr="004D26C3">
        <w:rPr>
          <w:lang w:val="en-AU"/>
        </w:rPr>
        <w:t>patients with ADA positive and negative status. There were no p</w:t>
      </w:r>
      <w:r w:rsidR="00FE0B6F">
        <w:rPr>
          <w:lang w:val="en-AU"/>
        </w:rPr>
        <w:t>a</w:t>
      </w:r>
      <w:r w:rsidRPr="004D26C3">
        <w:rPr>
          <w:lang w:val="en-AU"/>
        </w:rPr>
        <w:t>ediatric patients who developed</w:t>
      </w:r>
      <w:r>
        <w:rPr>
          <w:lang w:val="en-AU"/>
        </w:rPr>
        <w:t xml:space="preserve"> </w:t>
      </w:r>
      <w:r w:rsidRPr="004D26C3">
        <w:rPr>
          <w:lang w:val="en-AU"/>
        </w:rPr>
        <w:t>anaphylactic reactions (</w:t>
      </w:r>
      <w:r w:rsidR="00FE0B6F">
        <w:rPr>
          <w:lang w:val="en-AU"/>
        </w:rPr>
        <w:t xml:space="preserve">Section </w:t>
      </w:r>
      <w:r w:rsidR="00FE0B6F" w:rsidRPr="00FE0B6F">
        <w:rPr>
          <w:color w:val="0000FF"/>
          <w:lang w:val="en-AU"/>
        </w:rPr>
        <w:fldChar w:fldCharType="begin"/>
      </w:r>
      <w:r w:rsidR="00FE0B6F" w:rsidRPr="00FE0B6F">
        <w:rPr>
          <w:color w:val="0000FF"/>
          <w:lang w:val="en-AU"/>
        </w:rPr>
        <w:instrText xml:space="preserve"> REF _Ref52141112 \r \h  \* MERGEFORMAT </w:instrText>
      </w:r>
      <w:r w:rsidR="00FE0B6F" w:rsidRPr="00FE0B6F">
        <w:rPr>
          <w:color w:val="0000FF"/>
          <w:lang w:val="en-AU"/>
        </w:rPr>
      </w:r>
      <w:r w:rsidR="00FE0B6F" w:rsidRPr="00FE0B6F">
        <w:rPr>
          <w:color w:val="0000FF"/>
          <w:lang w:val="en-AU"/>
        </w:rPr>
        <w:fldChar w:fldCharType="separate"/>
      </w:r>
      <w:r w:rsidR="00751605">
        <w:rPr>
          <w:color w:val="0000FF"/>
          <w:lang w:val="en-AU"/>
        </w:rPr>
        <w:t>4.4</w:t>
      </w:r>
      <w:r w:rsidR="00FE0B6F" w:rsidRPr="00FE0B6F">
        <w:rPr>
          <w:color w:val="0000FF"/>
          <w:lang w:val="en-AU"/>
        </w:rPr>
        <w:fldChar w:fldCharType="end"/>
      </w:r>
      <w:r w:rsidRPr="004D26C3">
        <w:rPr>
          <w:lang w:val="en-AU"/>
        </w:rPr>
        <w:t>).</w:t>
      </w:r>
    </w:p>
    <w:p w14:paraId="53F2A26C" w14:textId="6E0B116C" w:rsidR="00D21561" w:rsidRDefault="004D26C3" w:rsidP="004D26C3">
      <w:r w:rsidRPr="004D26C3">
        <w:rPr>
          <w:lang w:val="en-AU"/>
        </w:rPr>
        <w:t>In clinical study EFC14028</w:t>
      </w:r>
      <w:r w:rsidR="00616520">
        <w:rPr>
          <w:lang w:val="en-AU"/>
        </w:rPr>
        <w:t xml:space="preserve"> (</w:t>
      </w:r>
      <w:r w:rsidRPr="004D26C3">
        <w:rPr>
          <w:lang w:val="en-AU"/>
        </w:rPr>
        <w:t>COMET</w:t>
      </w:r>
      <w:r w:rsidR="00616520">
        <w:rPr>
          <w:lang w:val="en-AU"/>
        </w:rPr>
        <w:t>)</w:t>
      </w:r>
      <w:r w:rsidRPr="004D26C3">
        <w:rPr>
          <w:lang w:val="en-AU"/>
        </w:rPr>
        <w:t xml:space="preserve">, 2 patients reported High Sustained Antibody </w:t>
      </w:r>
      <w:r w:rsidR="00FE0B6F" w:rsidRPr="004D26C3">
        <w:rPr>
          <w:lang w:val="en-AU"/>
        </w:rPr>
        <w:t>Titres</w:t>
      </w:r>
      <w:r w:rsidRPr="004D26C3">
        <w:rPr>
          <w:lang w:val="en-AU"/>
        </w:rPr>
        <w:t xml:space="preserve"> (HSAT) to</w:t>
      </w:r>
      <w:r w:rsidR="00316BDD">
        <w:rPr>
          <w:lang w:val="en-AU"/>
        </w:rPr>
        <w:t xml:space="preserve"> </w:t>
      </w:r>
      <w:proofErr w:type="spellStart"/>
      <w:proofErr w:type="gramStart"/>
      <w:r w:rsidR="00316BDD">
        <w:rPr>
          <w:lang w:val="en-AU"/>
        </w:rPr>
        <w:t>Nexviazyme</w:t>
      </w:r>
      <w:proofErr w:type="spellEnd"/>
      <w:proofErr w:type="gramEnd"/>
      <w:r w:rsidR="00316BDD">
        <w:rPr>
          <w:lang w:val="en-AU"/>
        </w:rPr>
        <w:t xml:space="preserve"> </w:t>
      </w:r>
      <w:r w:rsidRPr="004D26C3">
        <w:rPr>
          <w:lang w:val="en-AU"/>
        </w:rPr>
        <w:t xml:space="preserve">but this was not associated with a loss of efficacy. ADA cross reactivity studies showed that </w:t>
      </w:r>
      <w:proofErr w:type="gramStart"/>
      <w:r w:rsidRPr="004D26C3">
        <w:rPr>
          <w:lang w:val="en-AU"/>
        </w:rPr>
        <w:t>the</w:t>
      </w:r>
      <w:r>
        <w:rPr>
          <w:lang w:val="en-AU"/>
        </w:rPr>
        <w:t xml:space="preserve"> </w:t>
      </w:r>
      <w:r w:rsidRPr="004D26C3">
        <w:rPr>
          <w:lang w:val="en-AU"/>
        </w:rPr>
        <w:t>majority of</w:t>
      </w:r>
      <w:proofErr w:type="gramEnd"/>
      <w:r w:rsidRPr="004D26C3">
        <w:rPr>
          <w:lang w:val="en-AU"/>
        </w:rPr>
        <w:t xml:space="preserve"> patients generate antibodies that are cross-reactive to </w:t>
      </w:r>
      <w:proofErr w:type="spellStart"/>
      <w:r w:rsidRPr="004D26C3">
        <w:rPr>
          <w:lang w:val="en-AU"/>
        </w:rPr>
        <w:t>alglucosidase</w:t>
      </w:r>
      <w:proofErr w:type="spellEnd"/>
      <w:r w:rsidRPr="004D26C3">
        <w:rPr>
          <w:lang w:val="en-AU"/>
        </w:rPr>
        <w:t xml:space="preserve"> alfa. At week 49,</w:t>
      </w:r>
      <w:r>
        <w:rPr>
          <w:lang w:val="en-AU"/>
        </w:rPr>
        <w:t xml:space="preserve"> </w:t>
      </w:r>
      <w:r w:rsidRPr="004D26C3">
        <w:rPr>
          <w:lang w:val="en-AU"/>
        </w:rPr>
        <w:t>antibodies specific to</w:t>
      </w:r>
      <w:r w:rsidR="00FE0B6F">
        <w:rPr>
          <w:lang w:val="en-AU"/>
        </w:rPr>
        <w:t xml:space="preserve"> </w:t>
      </w:r>
      <w:proofErr w:type="spellStart"/>
      <w:r w:rsidR="00FE0B6F">
        <w:rPr>
          <w:lang w:val="en-AU"/>
        </w:rPr>
        <w:t>Nexviazyme</w:t>
      </w:r>
      <w:proofErr w:type="spellEnd"/>
      <w:r w:rsidR="00FE0B6F">
        <w:rPr>
          <w:lang w:val="en-AU"/>
        </w:rPr>
        <w:t xml:space="preserve"> </w:t>
      </w:r>
      <w:r w:rsidRPr="004D26C3">
        <w:rPr>
          <w:lang w:val="en-AU"/>
        </w:rPr>
        <w:t>were detected in 3 (5.9%) patients. ADA did not impact measures of</w:t>
      </w:r>
      <w:r>
        <w:rPr>
          <w:lang w:val="en-AU"/>
        </w:rPr>
        <w:t xml:space="preserve"> </w:t>
      </w:r>
      <w:r w:rsidRPr="004D26C3">
        <w:rPr>
          <w:lang w:val="en-AU"/>
        </w:rPr>
        <w:t xml:space="preserve">efficacy while limited impacts on PK and PD were observed primarily with high </w:t>
      </w:r>
      <w:r w:rsidR="00FE0B6F" w:rsidRPr="004D26C3">
        <w:rPr>
          <w:lang w:val="en-AU"/>
        </w:rPr>
        <w:t>titre</w:t>
      </w:r>
      <w:r w:rsidRPr="004D26C3">
        <w:rPr>
          <w:lang w:val="en-AU"/>
        </w:rPr>
        <w:t xml:space="preserve"> patients (see</w:t>
      </w:r>
      <w:r>
        <w:rPr>
          <w:lang w:val="en-AU"/>
        </w:rPr>
        <w:t xml:space="preserve"> </w:t>
      </w:r>
      <w:r w:rsidR="00FE0B6F">
        <w:rPr>
          <w:lang w:val="en-AU"/>
        </w:rPr>
        <w:t xml:space="preserve">Section </w:t>
      </w:r>
      <w:r w:rsidR="00FE0B6F" w:rsidRPr="00FE0B6F">
        <w:rPr>
          <w:color w:val="0000FF"/>
          <w:lang w:val="en-AU"/>
        </w:rPr>
        <w:fldChar w:fldCharType="begin"/>
      </w:r>
      <w:r w:rsidR="00FE0B6F" w:rsidRPr="00FE0B6F">
        <w:rPr>
          <w:color w:val="0000FF"/>
          <w:lang w:val="en-AU"/>
        </w:rPr>
        <w:instrText xml:space="preserve"> REF _Ref52141550 \r \h  \* MERGEFORMAT </w:instrText>
      </w:r>
      <w:r w:rsidR="00FE0B6F" w:rsidRPr="00FE0B6F">
        <w:rPr>
          <w:color w:val="0000FF"/>
          <w:lang w:val="en-AU"/>
        </w:rPr>
      </w:r>
      <w:r w:rsidR="00FE0B6F" w:rsidRPr="00FE0B6F">
        <w:rPr>
          <w:color w:val="0000FF"/>
          <w:lang w:val="en-AU"/>
        </w:rPr>
        <w:fldChar w:fldCharType="separate"/>
      </w:r>
      <w:r w:rsidR="00751605">
        <w:rPr>
          <w:color w:val="0000FF"/>
          <w:lang w:val="en-AU"/>
        </w:rPr>
        <w:t>5.2</w:t>
      </w:r>
      <w:r w:rsidR="00FE0B6F" w:rsidRPr="00FE0B6F">
        <w:rPr>
          <w:color w:val="0000FF"/>
          <w:lang w:val="en-AU"/>
        </w:rPr>
        <w:fldChar w:fldCharType="end"/>
      </w:r>
      <w:r w:rsidRPr="004D26C3">
        <w:rPr>
          <w:lang w:val="en-AU"/>
        </w:rPr>
        <w:t>).</w:t>
      </w:r>
      <w:r w:rsidR="00D21561" w:rsidRPr="00D21561">
        <w:t xml:space="preserve"> </w:t>
      </w:r>
    </w:p>
    <w:p w14:paraId="67FABA2B" w14:textId="18C4E3AF" w:rsidR="0055349C" w:rsidRDefault="0055349C" w:rsidP="004D26C3"/>
    <w:p w14:paraId="545F5ECE" w14:textId="77777777" w:rsidR="0055349C" w:rsidRDefault="0055349C" w:rsidP="004D26C3"/>
    <w:p w14:paraId="3315DCB7" w14:textId="1A351709" w:rsidR="008A2F32" w:rsidRDefault="008A2F32" w:rsidP="008A2F32">
      <w:pPr>
        <w:pStyle w:val="Caption"/>
        <w:rPr>
          <w:lang w:val="en-AU"/>
        </w:rPr>
      </w:pPr>
      <w:bookmarkStart w:id="11" w:name="_Ref52145286"/>
      <w:bookmarkStart w:id="12" w:name="_Hlk72843053"/>
      <w:r>
        <w:t>Table </w:t>
      </w:r>
      <w:r>
        <w:fldChar w:fldCharType="begin"/>
      </w:r>
      <w:r>
        <w:instrText xml:space="preserve"> SEQ Table \* ARABIC </w:instrText>
      </w:r>
      <w:r>
        <w:fldChar w:fldCharType="separate"/>
      </w:r>
      <w:r w:rsidR="00751605">
        <w:rPr>
          <w:noProof/>
        </w:rPr>
        <w:t>5</w:t>
      </w:r>
      <w:r>
        <w:fldChar w:fldCharType="end"/>
      </w:r>
      <w:bookmarkEnd w:id="11"/>
      <w:r>
        <w:t xml:space="preserve"> ­ </w:t>
      </w:r>
      <w:r w:rsidRPr="008A2F32">
        <w:rPr>
          <w:lang w:val="en-AU"/>
        </w:rPr>
        <w:t>Incidence of ADA response in patients with LOPD and IOPD</w:t>
      </w:r>
    </w:p>
    <w:tbl>
      <w:tblPr>
        <w:tblStyle w:val="TableGrid"/>
        <w:tblW w:w="0" w:type="auto"/>
        <w:jc w:val="center"/>
        <w:tblBorders>
          <w:top w:val="single" w:sz="2" w:space="0" w:color="0000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5"/>
        <w:gridCol w:w="1908"/>
        <w:gridCol w:w="1043"/>
        <w:gridCol w:w="1144"/>
        <w:gridCol w:w="1144"/>
        <w:gridCol w:w="956"/>
        <w:gridCol w:w="1506"/>
      </w:tblGrid>
      <w:tr w:rsidR="008A2F32" w:rsidRPr="0043635C" w14:paraId="357CB78E" w14:textId="77777777" w:rsidTr="008A2F32">
        <w:trPr>
          <w:cantSplit/>
          <w:tblHeader/>
          <w:jc w:val="center"/>
        </w:trPr>
        <w:tc>
          <w:tcPr>
            <w:tcW w:w="0" w:type="auto"/>
            <w:tcBorders>
              <w:top w:val="single" w:sz="4" w:space="0" w:color="000000"/>
              <w:bottom w:val="single" w:sz="4" w:space="0" w:color="000000"/>
            </w:tcBorders>
            <w:shd w:val="clear" w:color="auto" w:fill="auto"/>
          </w:tcPr>
          <w:p w14:paraId="4B2B9B4E" w14:textId="77777777" w:rsidR="008A2F32" w:rsidRPr="0043635C" w:rsidRDefault="008A2F32" w:rsidP="008A2F32">
            <w:pPr>
              <w:pStyle w:val="TblHeadingCenter"/>
            </w:pPr>
            <w:bookmarkStart w:id="13" w:name="_Hlk47101844"/>
          </w:p>
        </w:tc>
        <w:tc>
          <w:tcPr>
            <w:tcW w:w="0" w:type="auto"/>
            <w:gridSpan w:val="4"/>
            <w:tcBorders>
              <w:top w:val="single" w:sz="4" w:space="0" w:color="000000"/>
              <w:bottom w:val="single" w:sz="4" w:space="0" w:color="000000"/>
            </w:tcBorders>
            <w:shd w:val="clear" w:color="auto" w:fill="auto"/>
          </w:tcPr>
          <w:p w14:paraId="62F1E337" w14:textId="436BC381" w:rsidR="008A2F32" w:rsidRPr="0043635C" w:rsidRDefault="008A2F32" w:rsidP="008A2F32">
            <w:pPr>
              <w:pStyle w:val="TblHeadingCenter"/>
            </w:pPr>
            <w:r>
              <w:t>Nexviazyme</w:t>
            </w:r>
          </w:p>
        </w:tc>
        <w:tc>
          <w:tcPr>
            <w:tcW w:w="0" w:type="auto"/>
            <w:gridSpan w:val="2"/>
            <w:tcBorders>
              <w:top w:val="single" w:sz="4" w:space="0" w:color="000000"/>
              <w:bottom w:val="single" w:sz="4" w:space="0" w:color="000000"/>
            </w:tcBorders>
            <w:shd w:val="clear" w:color="auto" w:fill="auto"/>
          </w:tcPr>
          <w:p w14:paraId="74A693B0" w14:textId="77777777" w:rsidR="008A2F32" w:rsidRPr="0043635C" w:rsidRDefault="008A2F32" w:rsidP="008A2F32">
            <w:pPr>
              <w:pStyle w:val="TblHeadingCenter"/>
            </w:pPr>
            <w:r w:rsidRPr="0043635C">
              <w:t>Alglucosidase alfa</w:t>
            </w:r>
          </w:p>
        </w:tc>
      </w:tr>
      <w:tr w:rsidR="002F62B6" w:rsidRPr="0043635C" w14:paraId="12FBBF62" w14:textId="77777777" w:rsidTr="002F62B6">
        <w:trPr>
          <w:cantSplit/>
          <w:jc w:val="center"/>
        </w:trPr>
        <w:tc>
          <w:tcPr>
            <w:tcW w:w="0" w:type="auto"/>
            <w:tcBorders>
              <w:top w:val="single" w:sz="4" w:space="0" w:color="000000"/>
            </w:tcBorders>
            <w:shd w:val="clear" w:color="auto" w:fill="auto"/>
          </w:tcPr>
          <w:p w14:paraId="0C9A9CBA" w14:textId="77777777" w:rsidR="008A2F32" w:rsidRPr="008A2F32" w:rsidRDefault="008A2F32" w:rsidP="008A2F32">
            <w:pPr>
              <w:pStyle w:val="TblTextCenter"/>
            </w:pPr>
          </w:p>
        </w:tc>
        <w:tc>
          <w:tcPr>
            <w:tcW w:w="0" w:type="auto"/>
            <w:tcBorders>
              <w:top w:val="single" w:sz="4" w:space="0" w:color="000000"/>
              <w:bottom w:val="nil"/>
            </w:tcBorders>
            <w:shd w:val="clear" w:color="auto" w:fill="auto"/>
          </w:tcPr>
          <w:p w14:paraId="227B52C1" w14:textId="282682A3" w:rsidR="008A2F32" w:rsidRPr="008A2F32" w:rsidRDefault="008A2F32" w:rsidP="008A2F32">
            <w:pPr>
              <w:pStyle w:val="TblTextCenter"/>
            </w:pPr>
            <w:r w:rsidRPr="008A2F32">
              <w:t xml:space="preserve">Treatment-naïve patients </w:t>
            </w:r>
            <w:proofErr w:type="spellStart"/>
            <w:r w:rsidRPr="008A2F32">
              <w:t>Avalglucosidase</w:t>
            </w:r>
            <w:proofErr w:type="spellEnd"/>
            <w:r w:rsidRPr="008A2F32">
              <w:t xml:space="preserve"> alfa </w:t>
            </w:r>
            <w:proofErr w:type="spellStart"/>
            <w:r w:rsidRPr="008A2F32">
              <w:t>ADA</w:t>
            </w:r>
            <w:r w:rsidR="00FE369F" w:rsidRPr="00792475">
              <w:rPr>
                <w:color w:val="000000" w:themeColor="text1"/>
                <w:vertAlign w:val="superscript"/>
              </w:rPr>
              <w:t>a</w:t>
            </w:r>
            <w:proofErr w:type="spellEnd"/>
            <w:r w:rsidRPr="008A2F32">
              <w:t xml:space="preserve"> (N=61)</w:t>
            </w:r>
          </w:p>
        </w:tc>
        <w:tc>
          <w:tcPr>
            <w:tcW w:w="0" w:type="auto"/>
            <w:gridSpan w:val="3"/>
            <w:tcBorders>
              <w:top w:val="single" w:sz="4" w:space="0" w:color="000000"/>
              <w:bottom w:val="nil"/>
              <w:right w:val="single" w:sz="4" w:space="0" w:color="auto"/>
            </w:tcBorders>
            <w:shd w:val="clear" w:color="auto" w:fill="auto"/>
          </w:tcPr>
          <w:p w14:paraId="70227F04" w14:textId="1714960C" w:rsidR="008A2F32" w:rsidRPr="00F14210" w:rsidRDefault="008A2F32" w:rsidP="008A2F32">
            <w:pPr>
              <w:pStyle w:val="TblTextCenter"/>
              <w:rPr>
                <w:vertAlign w:val="superscript"/>
              </w:rPr>
            </w:pPr>
            <w:r w:rsidRPr="008A2F32">
              <w:t xml:space="preserve">Treatment experienced </w:t>
            </w:r>
            <w:proofErr w:type="spellStart"/>
            <w:r w:rsidRPr="008A2F32">
              <w:t>patients</w:t>
            </w:r>
            <w:r w:rsidR="00F14210">
              <w:rPr>
                <w:vertAlign w:val="superscript"/>
              </w:rPr>
              <w:t>c</w:t>
            </w:r>
            <w:proofErr w:type="spellEnd"/>
          </w:p>
          <w:p w14:paraId="766FB28A" w14:textId="77777777" w:rsidR="008A2F32" w:rsidRPr="008A2F32" w:rsidRDefault="008A2F32" w:rsidP="008A2F32">
            <w:pPr>
              <w:pStyle w:val="TblTextCenter"/>
            </w:pPr>
            <w:proofErr w:type="spellStart"/>
            <w:r w:rsidRPr="008A2F32">
              <w:t>Avalglucosidase</w:t>
            </w:r>
            <w:proofErr w:type="spellEnd"/>
            <w:r w:rsidRPr="008A2F32">
              <w:t xml:space="preserve"> alfa ADA</w:t>
            </w:r>
          </w:p>
          <w:p w14:paraId="36213C2A" w14:textId="23AF4C73" w:rsidR="008A2F32" w:rsidRPr="008A2F32" w:rsidRDefault="008A2F32" w:rsidP="008A2F32">
            <w:pPr>
              <w:pStyle w:val="TblTextCenter"/>
            </w:pPr>
            <w:r w:rsidRPr="008A2F32">
              <w:t>(N=7</w:t>
            </w:r>
            <w:r w:rsidR="00F14210">
              <w:t>1</w:t>
            </w:r>
            <w:r w:rsidRPr="008A2F32">
              <w:t>)</w:t>
            </w:r>
          </w:p>
        </w:tc>
        <w:tc>
          <w:tcPr>
            <w:tcW w:w="0" w:type="auto"/>
            <w:gridSpan w:val="2"/>
            <w:tcBorders>
              <w:top w:val="single" w:sz="4" w:space="0" w:color="000000"/>
              <w:left w:val="single" w:sz="4" w:space="0" w:color="auto"/>
              <w:bottom w:val="nil"/>
            </w:tcBorders>
            <w:shd w:val="clear" w:color="auto" w:fill="auto"/>
          </w:tcPr>
          <w:p w14:paraId="340DDD9E" w14:textId="77777777" w:rsidR="008A2F32" w:rsidRPr="008A2F32" w:rsidRDefault="008A2F32" w:rsidP="008A2F32">
            <w:pPr>
              <w:pStyle w:val="TblTextCenter"/>
            </w:pPr>
            <w:r w:rsidRPr="008A2F32">
              <w:t xml:space="preserve">In Primary analysis period - </w:t>
            </w:r>
            <w:proofErr w:type="spellStart"/>
            <w:r w:rsidRPr="008A2F32">
              <w:t>Alglucosidase</w:t>
            </w:r>
            <w:proofErr w:type="spellEnd"/>
            <w:r w:rsidRPr="008A2F32">
              <w:t xml:space="preserve"> alfa ADA</w:t>
            </w:r>
          </w:p>
        </w:tc>
      </w:tr>
      <w:tr w:rsidR="002F62B6" w:rsidRPr="0043635C" w14:paraId="1B2F3E5D" w14:textId="77777777" w:rsidTr="002F62B6">
        <w:trPr>
          <w:cantSplit/>
          <w:trHeight w:val="1754"/>
          <w:jc w:val="center"/>
        </w:trPr>
        <w:tc>
          <w:tcPr>
            <w:tcW w:w="0" w:type="auto"/>
            <w:shd w:val="clear" w:color="auto" w:fill="auto"/>
          </w:tcPr>
          <w:p w14:paraId="5EE9C2EE" w14:textId="77777777" w:rsidR="008A2F32" w:rsidRPr="008A2F32" w:rsidRDefault="008A2F32" w:rsidP="008A2F32">
            <w:pPr>
              <w:pStyle w:val="TblTextCenter"/>
            </w:pPr>
          </w:p>
        </w:tc>
        <w:tc>
          <w:tcPr>
            <w:tcW w:w="0" w:type="auto"/>
            <w:tcBorders>
              <w:top w:val="nil"/>
              <w:bottom w:val="single" w:sz="4" w:space="0" w:color="auto"/>
            </w:tcBorders>
            <w:shd w:val="clear" w:color="auto" w:fill="auto"/>
          </w:tcPr>
          <w:p w14:paraId="48E8045E" w14:textId="77777777" w:rsidR="008A2F32" w:rsidRPr="008A2F32" w:rsidRDefault="008A2F32" w:rsidP="008A2F32">
            <w:pPr>
              <w:pStyle w:val="TblTextCenter"/>
            </w:pPr>
            <w:r w:rsidRPr="008A2F32">
              <w:t>Adults</w:t>
            </w:r>
          </w:p>
          <w:p w14:paraId="07FC772C" w14:textId="77777777" w:rsidR="008A2F32" w:rsidRPr="008A2F32" w:rsidRDefault="008A2F32" w:rsidP="008A2F32">
            <w:pPr>
              <w:pStyle w:val="TblTextCenter"/>
            </w:pPr>
            <w:r w:rsidRPr="008A2F32">
              <w:t>20 mg/kg every other week (N=61)</w:t>
            </w:r>
          </w:p>
          <w:p w14:paraId="7B749179" w14:textId="77777777" w:rsidR="008A2F32" w:rsidRPr="008A2F32" w:rsidRDefault="008A2F32" w:rsidP="008A2F32">
            <w:pPr>
              <w:pStyle w:val="TblTextCenter"/>
            </w:pPr>
            <w:r w:rsidRPr="008A2F32">
              <w:t>N (%)</w:t>
            </w:r>
          </w:p>
        </w:tc>
        <w:tc>
          <w:tcPr>
            <w:tcW w:w="0" w:type="auto"/>
            <w:tcBorders>
              <w:top w:val="nil"/>
              <w:bottom w:val="single" w:sz="4" w:space="0" w:color="auto"/>
            </w:tcBorders>
            <w:shd w:val="clear" w:color="auto" w:fill="auto"/>
          </w:tcPr>
          <w:p w14:paraId="41FDBB87" w14:textId="77777777" w:rsidR="008A2F32" w:rsidRPr="008A2F32" w:rsidRDefault="008A2F32" w:rsidP="008A2F32">
            <w:pPr>
              <w:pStyle w:val="TblTextCenter"/>
            </w:pPr>
            <w:r w:rsidRPr="008A2F32">
              <w:t>Adults</w:t>
            </w:r>
          </w:p>
          <w:p w14:paraId="3E100B86" w14:textId="77777777" w:rsidR="008A2F32" w:rsidRPr="008A2F32" w:rsidRDefault="008A2F32" w:rsidP="008A2F32">
            <w:pPr>
              <w:pStyle w:val="TblTextCenter"/>
            </w:pPr>
            <w:r w:rsidRPr="008A2F32">
              <w:t>20 mg/kg every other week (N=55)</w:t>
            </w:r>
          </w:p>
          <w:p w14:paraId="0896F996" w14:textId="77777777" w:rsidR="008A2F32" w:rsidRPr="008A2F32" w:rsidRDefault="008A2F32" w:rsidP="008A2F32">
            <w:pPr>
              <w:pStyle w:val="TblTextCenter"/>
            </w:pPr>
            <w:r w:rsidRPr="008A2F32">
              <w:t>N (%)</w:t>
            </w:r>
          </w:p>
        </w:tc>
        <w:tc>
          <w:tcPr>
            <w:tcW w:w="0" w:type="auto"/>
            <w:tcBorders>
              <w:top w:val="nil"/>
              <w:bottom w:val="single" w:sz="4" w:space="0" w:color="auto"/>
            </w:tcBorders>
            <w:shd w:val="clear" w:color="auto" w:fill="auto"/>
          </w:tcPr>
          <w:p w14:paraId="22F1A42B" w14:textId="2AE23E4A" w:rsidR="008A2F32" w:rsidRPr="008A2F32" w:rsidRDefault="008A2F32" w:rsidP="008A2F32">
            <w:pPr>
              <w:pStyle w:val="TblTextCenter"/>
            </w:pPr>
            <w:proofErr w:type="spellStart"/>
            <w:r w:rsidRPr="008A2F32">
              <w:t>P</w:t>
            </w:r>
            <w:r w:rsidR="002F62B6">
              <w:t>a</w:t>
            </w:r>
            <w:r w:rsidRPr="008A2F32">
              <w:t>ediatric</w:t>
            </w:r>
            <w:proofErr w:type="spellEnd"/>
          </w:p>
          <w:p w14:paraId="2B33D3B3" w14:textId="77777777" w:rsidR="008A2F32" w:rsidRPr="008A2F32" w:rsidRDefault="008A2F32" w:rsidP="008A2F32">
            <w:pPr>
              <w:pStyle w:val="TblTextCenter"/>
            </w:pPr>
            <w:r w:rsidRPr="008A2F32">
              <w:t>20 mg/kg every other week</w:t>
            </w:r>
          </w:p>
          <w:p w14:paraId="7E4D37D7" w14:textId="77777777" w:rsidR="008A2F32" w:rsidRPr="008A2F32" w:rsidRDefault="008A2F32" w:rsidP="008A2F32">
            <w:pPr>
              <w:pStyle w:val="TblTextCenter"/>
            </w:pPr>
            <w:r w:rsidRPr="008A2F32">
              <w:t>(N=6)</w:t>
            </w:r>
          </w:p>
          <w:p w14:paraId="73642DAF" w14:textId="77777777" w:rsidR="008A2F32" w:rsidRPr="008A2F32" w:rsidRDefault="008A2F32" w:rsidP="008A2F32">
            <w:pPr>
              <w:pStyle w:val="TblTextCenter"/>
            </w:pPr>
            <w:r w:rsidRPr="008A2F32">
              <w:t>N (%)</w:t>
            </w:r>
          </w:p>
        </w:tc>
        <w:tc>
          <w:tcPr>
            <w:tcW w:w="0" w:type="auto"/>
            <w:tcBorders>
              <w:top w:val="nil"/>
              <w:bottom w:val="single" w:sz="4" w:space="0" w:color="auto"/>
              <w:right w:val="single" w:sz="4" w:space="0" w:color="auto"/>
            </w:tcBorders>
            <w:shd w:val="clear" w:color="auto" w:fill="auto"/>
          </w:tcPr>
          <w:p w14:paraId="65399912" w14:textId="447C78F8" w:rsidR="008A2F32" w:rsidRPr="008A2F32" w:rsidRDefault="008A2F32" w:rsidP="008A2F32">
            <w:pPr>
              <w:pStyle w:val="TblTextCenter"/>
            </w:pPr>
            <w:proofErr w:type="spellStart"/>
            <w:r w:rsidRPr="008A2F32">
              <w:t>P</w:t>
            </w:r>
            <w:r w:rsidR="002F62B6">
              <w:t>a</w:t>
            </w:r>
            <w:r w:rsidRPr="008A2F32">
              <w:t>ediatric</w:t>
            </w:r>
            <w:proofErr w:type="spellEnd"/>
          </w:p>
          <w:p w14:paraId="6DB2232D" w14:textId="77777777" w:rsidR="008A2F32" w:rsidRPr="008A2F32" w:rsidRDefault="008A2F32" w:rsidP="008A2F32">
            <w:pPr>
              <w:pStyle w:val="TblTextCenter"/>
            </w:pPr>
            <w:r w:rsidRPr="008A2F32">
              <w:t>40 mg/kg every other week</w:t>
            </w:r>
          </w:p>
          <w:p w14:paraId="65FC54CE" w14:textId="77777777" w:rsidR="008A2F32" w:rsidRPr="008A2F32" w:rsidRDefault="008A2F32" w:rsidP="008A2F32">
            <w:pPr>
              <w:pStyle w:val="TblTextCenter"/>
            </w:pPr>
            <w:r w:rsidRPr="008A2F32">
              <w:t>(N=10)</w:t>
            </w:r>
          </w:p>
          <w:p w14:paraId="1C4E4C90" w14:textId="77777777" w:rsidR="008A2F32" w:rsidRPr="008A2F32" w:rsidRDefault="008A2F32" w:rsidP="008A2F32">
            <w:pPr>
              <w:pStyle w:val="TblTextCenter"/>
            </w:pPr>
            <w:r w:rsidRPr="008A2F32">
              <w:t>N (%)</w:t>
            </w:r>
          </w:p>
        </w:tc>
        <w:tc>
          <w:tcPr>
            <w:tcW w:w="0" w:type="auto"/>
            <w:tcBorders>
              <w:top w:val="nil"/>
              <w:left w:val="single" w:sz="4" w:space="0" w:color="auto"/>
              <w:bottom w:val="single" w:sz="4" w:space="0" w:color="auto"/>
            </w:tcBorders>
            <w:shd w:val="clear" w:color="auto" w:fill="auto"/>
          </w:tcPr>
          <w:p w14:paraId="02DBEF1B" w14:textId="77777777" w:rsidR="008A2F32" w:rsidRPr="008A2F32" w:rsidRDefault="008A2F32" w:rsidP="008A2F32">
            <w:pPr>
              <w:pStyle w:val="TblTextCenter"/>
            </w:pPr>
            <w:r w:rsidRPr="008A2F32">
              <w:t>Adults</w:t>
            </w:r>
          </w:p>
          <w:p w14:paraId="4A709A87" w14:textId="77777777" w:rsidR="008A2F32" w:rsidRPr="008A2F32" w:rsidRDefault="008A2F32" w:rsidP="008A2F32">
            <w:pPr>
              <w:pStyle w:val="TblTextCenter"/>
            </w:pPr>
            <w:r w:rsidRPr="008A2F32">
              <w:t>20 mg/kg every other week</w:t>
            </w:r>
          </w:p>
          <w:p w14:paraId="5CE4FDF7" w14:textId="77777777" w:rsidR="008A2F32" w:rsidRPr="008A2F32" w:rsidRDefault="008A2F32" w:rsidP="008A2F32">
            <w:pPr>
              <w:pStyle w:val="TblTextCenter"/>
            </w:pPr>
            <w:r w:rsidRPr="008A2F32">
              <w:t>(N=48)</w:t>
            </w:r>
          </w:p>
          <w:p w14:paraId="57EFE42A" w14:textId="77777777" w:rsidR="008A2F32" w:rsidRPr="008A2F32" w:rsidRDefault="008A2F32" w:rsidP="008A2F32">
            <w:pPr>
              <w:pStyle w:val="TblTextCenter"/>
            </w:pPr>
            <w:r w:rsidRPr="008A2F32">
              <w:t>N (%)</w:t>
            </w:r>
          </w:p>
        </w:tc>
        <w:tc>
          <w:tcPr>
            <w:tcW w:w="0" w:type="auto"/>
            <w:tcBorders>
              <w:top w:val="nil"/>
              <w:bottom w:val="single" w:sz="4" w:space="0" w:color="auto"/>
            </w:tcBorders>
            <w:shd w:val="clear" w:color="auto" w:fill="auto"/>
          </w:tcPr>
          <w:p w14:paraId="29110DA1" w14:textId="7639A4FF" w:rsidR="008A2F32" w:rsidRPr="008A2F32" w:rsidRDefault="008A2F32" w:rsidP="008A2F32">
            <w:pPr>
              <w:pStyle w:val="TblTextCenter"/>
            </w:pPr>
            <w:proofErr w:type="spellStart"/>
            <w:r w:rsidRPr="008A2F32">
              <w:t>P</w:t>
            </w:r>
            <w:r w:rsidR="002F62B6">
              <w:t>a</w:t>
            </w:r>
            <w:r w:rsidRPr="008A2F32">
              <w:t>ediatric</w:t>
            </w:r>
            <w:proofErr w:type="spellEnd"/>
          </w:p>
          <w:p w14:paraId="0E44A252" w14:textId="77777777" w:rsidR="008A2F32" w:rsidRPr="008A2F32" w:rsidRDefault="008A2F32" w:rsidP="008A2F32">
            <w:pPr>
              <w:pStyle w:val="TblTextCenter"/>
            </w:pPr>
            <w:r w:rsidRPr="008A2F32">
              <w:t>20 mg/kg every other week to 40 mg/kg every week mg/kg</w:t>
            </w:r>
          </w:p>
          <w:p w14:paraId="7A13EC8B" w14:textId="77777777" w:rsidR="008A2F32" w:rsidRPr="008A2F32" w:rsidRDefault="008A2F32" w:rsidP="008A2F32">
            <w:pPr>
              <w:pStyle w:val="TblTextCenter"/>
            </w:pPr>
            <w:r w:rsidRPr="008A2F32">
              <w:t>(N=6)</w:t>
            </w:r>
          </w:p>
          <w:p w14:paraId="696678A5" w14:textId="77777777" w:rsidR="008A2F32" w:rsidRPr="008A2F32" w:rsidRDefault="008A2F32" w:rsidP="008A2F32">
            <w:pPr>
              <w:pStyle w:val="TblTextCenter"/>
            </w:pPr>
            <w:r w:rsidRPr="008A2F32">
              <w:t>N (%)</w:t>
            </w:r>
          </w:p>
        </w:tc>
      </w:tr>
      <w:tr w:rsidR="002F62B6" w:rsidRPr="0043635C" w14:paraId="2692EDFA" w14:textId="77777777" w:rsidTr="002F62B6">
        <w:trPr>
          <w:cantSplit/>
          <w:trHeight w:val="543"/>
          <w:jc w:val="center"/>
        </w:trPr>
        <w:tc>
          <w:tcPr>
            <w:tcW w:w="0" w:type="auto"/>
            <w:shd w:val="clear" w:color="auto" w:fill="auto"/>
          </w:tcPr>
          <w:p w14:paraId="7E784940" w14:textId="77777777" w:rsidR="008A2F32" w:rsidRPr="008A2F32" w:rsidRDefault="008A2F32" w:rsidP="008A2F32">
            <w:pPr>
              <w:pStyle w:val="TblTextCenter"/>
            </w:pPr>
            <w:r w:rsidRPr="008A2F32">
              <w:t>ADA at baseline</w:t>
            </w:r>
          </w:p>
        </w:tc>
        <w:tc>
          <w:tcPr>
            <w:tcW w:w="0" w:type="auto"/>
            <w:tcBorders>
              <w:top w:val="single" w:sz="4" w:space="0" w:color="auto"/>
            </w:tcBorders>
            <w:shd w:val="clear" w:color="auto" w:fill="auto"/>
          </w:tcPr>
          <w:p w14:paraId="679F29CA" w14:textId="7F727C79" w:rsidR="008A2F32" w:rsidRPr="008A2F32" w:rsidRDefault="008A2F32" w:rsidP="008A2F32">
            <w:pPr>
              <w:pStyle w:val="TblTextCenter"/>
            </w:pPr>
            <w:r w:rsidRPr="008A2F32">
              <w:t>2 (3.3)</w:t>
            </w:r>
          </w:p>
        </w:tc>
        <w:tc>
          <w:tcPr>
            <w:tcW w:w="0" w:type="auto"/>
            <w:tcBorders>
              <w:top w:val="single" w:sz="4" w:space="0" w:color="auto"/>
            </w:tcBorders>
            <w:shd w:val="clear" w:color="auto" w:fill="auto"/>
          </w:tcPr>
          <w:p w14:paraId="601308DE" w14:textId="59507A59" w:rsidR="008A2F32" w:rsidRPr="008A2F32" w:rsidRDefault="008A2F32" w:rsidP="008A2F32">
            <w:pPr>
              <w:pStyle w:val="TblTextCenter"/>
            </w:pPr>
            <w:r w:rsidRPr="008A2F32">
              <w:t xml:space="preserve">40 (72.7) </w:t>
            </w:r>
          </w:p>
        </w:tc>
        <w:tc>
          <w:tcPr>
            <w:tcW w:w="0" w:type="auto"/>
            <w:tcBorders>
              <w:top w:val="single" w:sz="4" w:space="0" w:color="auto"/>
            </w:tcBorders>
            <w:shd w:val="clear" w:color="auto" w:fill="auto"/>
          </w:tcPr>
          <w:p w14:paraId="5548085C" w14:textId="661E2D7C" w:rsidR="008A2F32" w:rsidRPr="008A2F32" w:rsidRDefault="008A2F32" w:rsidP="008A2F32">
            <w:pPr>
              <w:pStyle w:val="TblTextCenter"/>
            </w:pPr>
            <w:r w:rsidRPr="008A2F32">
              <w:t>1 (16.7)</w:t>
            </w:r>
          </w:p>
        </w:tc>
        <w:tc>
          <w:tcPr>
            <w:tcW w:w="0" w:type="auto"/>
            <w:tcBorders>
              <w:top w:val="single" w:sz="4" w:space="0" w:color="auto"/>
              <w:right w:val="single" w:sz="4" w:space="0" w:color="auto"/>
            </w:tcBorders>
            <w:shd w:val="clear" w:color="auto" w:fill="auto"/>
          </w:tcPr>
          <w:p w14:paraId="477597D9" w14:textId="2EC3CDE2" w:rsidR="008A2F32" w:rsidRPr="008A2F32" w:rsidRDefault="008A2F32" w:rsidP="008A2F32">
            <w:pPr>
              <w:pStyle w:val="TblTextCenter"/>
            </w:pPr>
            <w:r w:rsidRPr="008A2F32">
              <w:t>1 (10)</w:t>
            </w:r>
          </w:p>
        </w:tc>
        <w:tc>
          <w:tcPr>
            <w:tcW w:w="0" w:type="auto"/>
            <w:tcBorders>
              <w:top w:val="single" w:sz="4" w:space="0" w:color="auto"/>
              <w:left w:val="single" w:sz="4" w:space="0" w:color="auto"/>
            </w:tcBorders>
            <w:shd w:val="clear" w:color="auto" w:fill="auto"/>
          </w:tcPr>
          <w:p w14:paraId="054F454A" w14:textId="28BE16CB" w:rsidR="008A2F32" w:rsidRPr="008A2F32" w:rsidRDefault="008A2F32" w:rsidP="008A2F32">
            <w:pPr>
              <w:pStyle w:val="TblTextCenter"/>
            </w:pPr>
            <w:r w:rsidRPr="008A2F32">
              <w:t>2 (4.2)</w:t>
            </w:r>
          </w:p>
        </w:tc>
        <w:tc>
          <w:tcPr>
            <w:tcW w:w="0" w:type="auto"/>
            <w:tcBorders>
              <w:top w:val="single" w:sz="4" w:space="0" w:color="auto"/>
            </w:tcBorders>
            <w:shd w:val="clear" w:color="auto" w:fill="auto"/>
          </w:tcPr>
          <w:p w14:paraId="4D21D91C" w14:textId="1F7D2C5C" w:rsidR="008A2F32" w:rsidRPr="008A2F32" w:rsidRDefault="008A2F32" w:rsidP="008A2F32">
            <w:pPr>
              <w:pStyle w:val="TblTextCenter"/>
            </w:pPr>
            <w:r w:rsidRPr="008A2F32">
              <w:t>3 (50)</w:t>
            </w:r>
          </w:p>
        </w:tc>
      </w:tr>
      <w:tr w:rsidR="002F62B6" w:rsidRPr="0043635C" w14:paraId="3CE3A026" w14:textId="77777777" w:rsidTr="002F62B6">
        <w:trPr>
          <w:cantSplit/>
          <w:jc w:val="center"/>
        </w:trPr>
        <w:tc>
          <w:tcPr>
            <w:tcW w:w="0" w:type="auto"/>
            <w:shd w:val="clear" w:color="auto" w:fill="auto"/>
          </w:tcPr>
          <w:p w14:paraId="6DC04B63" w14:textId="60C99018" w:rsidR="008A2F32" w:rsidRPr="00792475" w:rsidRDefault="00EC77EB" w:rsidP="008A2F32">
            <w:pPr>
              <w:pStyle w:val="TblTextCenter"/>
            </w:pPr>
            <w:r w:rsidRPr="00792475">
              <w:rPr>
                <w:color w:val="000000" w:themeColor="text1"/>
              </w:rPr>
              <w:t>ADA after t</w:t>
            </w:r>
            <w:r w:rsidR="008A2F32" w:rsidRPr="00792475">
              <w:rPr>
                <w:color w:val="000000" w:themeColor="text1"/>
              </w:rPr>
              <w:t xml:space="preserve">reatment </w:t>
            </w:r>
          </w:p>
        </w:tc>
        <w:tc>
          <w:tcPr>
            <w:tcW w:w="0" w:type="auto"/>
            <w:shd w:val="clear" w:color="auto" w:fill="auto"/>
          </w:tcPr>
          <w:p w14:paraId="0518FE51" w14:textId="5BBA218A" w:rsidR="008A2F32" w:rsidRPr="008A2F32" w:rsidRDefault="008A2F32" w:rsidP="008A2F32">
            <w:pPr>
              <w:pStyle w:val="TblTextCenter"/>
            </w:pPr>
            <w:r w:rsidRPr="008A2F32">
              <w:t>58 (95.1)</w:t>
            </w:r>
          </w:p>
        </w:tc>
        <w:tc>
          <w:tcPr>
            <w:tcW w:w="0" w:type="auto"/>
            <w:shd w:val="clear" w:color="auto" w:fill="auto"/>
          </w:tcPr>
          <w:p w14:paraId="2AE12BE4" w14:textId="0EA59EAD" w:rsidR="008A2F32" w:rsidRPr="008A2F32" w:rsidRDefault="008A2F32" w:rsidP="008A2F32">
            <w:pPr>
              <w:pStyle w:val="TblTextCenter"/>
            </w:pPr>
            <w:r w:rsidRPr="008A2F32">
              <w:t>27 (49.1)</w:t>
            </w:r>
          </w:p>
        </w:tc>
        <w:tc>
          <w:tcPr>
            <w:tcW w:w="0" w:type="auto"/>
            <w:shd w:val="clear" w:color="auto" w:fill="auto"/>
          </w:tcPr>
          <w:p w14:paraId="1B5D81BA" w14:textId="2FA9CC26" w:rsidR="008A2F32" w:rsidRPr="008A2F32" w:rsidRDefault="008A2F32" w:rsidP="008A2F32">
            <w:pPr>
              <w:pStyle w:val="TblTextCenter"/>
            </w:pPr>
            <w:r w:rsidRPr="008A2F32">
              <w:t>1(16.</w:t>
            </w:r>
            <w:r w:rsidR="00EC77EB" w:rsidRPr="00792475">
              <w:rPr>
                <w:color w:val="000000" w:themeColor="text1"/>
              </w:rPr>
              <w:t>7</w:t>
            </w:r>
            <w:r w:rsidRPr="008A2F32">
              <w:t>)</w:t>
            </w:r>
          </w:p>
        </w:tc>
        <w:tc>
          <w:tcPr>
            <w:tcW w:w="0" w:type="auto"/>
            <w:tcBorders>
              <w:top w:val="nil"/>
              <w:right w:val="single" w:sz="4" w:space="0" w:color="auto"/>
            </w:tcBorders>
            <w:shd w:val="clear" w:color="auto" w:fill="auto"/>
          </w:tcPr>
          <w:p w14:paraId="6D468360" w14:textId="5C14A9E0" w:rsidR="008A2F32" w:rsidRPr="008A2F32" w:rsidRDefault="008A2F32" w:rsidP="008A2F32">
            <w:pPr>
              <w:pStyle w:val="TblTextCenter"/>
            </w:pPr>
            <w:r w:rsidRPr="008A2F32">
              <w:t>5 (50)</w:t>
            </w:r>
          </w:p>
        </w:tc>
        <w:tc>
          <w:tcPr>
            <w:tcW w:w="0" w:type="auto"/>
            <w:tcBorders>
              <w:top w:val="nil"/>
              <w:left w:val="single" w:sz="4" w:space="0" w:color="auto"/>
            </w:tcBorders>
            <w:shd w:val="clear" w:color="auto" w:fill="auto"/>
          </w:tcPr>
          <w:p w14:paraId="452AECAA" w14:textId="1FC5D204" w:rsidR="008A2F32" w:rsidRPr="008A2F32" w:rsidRDefault="008A2F32" w:rsidP="008A2F32">
            <w:pPr>
              <w:pStyle w:val="TblTextCenter"/>
            </w:pPr>
            <w:r w:rsidRPr="008A2F32">
              <w:t>46 (95.8)</w:t>
            </w:r>
          </w:p>
        </w:tc>
        <w:tc>
          <w:tcPr>
            <w:tcW w:w="0" w:type="auto"/>
            <w:shd w:val="clear" w:color="auto" w:fill="auto"/>
          </w:tcPr>
          <w:p w14:paraId="1AC61A17" w14:textId="77777777" w:rsidR="008A2F32" w:rsidRPr="008A2F32" w:rsidRDefault="008A2F32" w:rsidP="008A2F32">
            <w:pPr>
              <w:pStyle w:val="TblTextCenter"/>
            </w:pPr>
            <w:r w:rsidRPr="008A2F32">
              <w:t>3 (50)</w:t>
            </w:r>
          </w:p>
        </w:tc>
      </w:tr>
      <w:tr w:rsidR="002F62B6" w:rsidRPr="0043635C" w14:paraId="40705AF7" w14:textId="77777777" w:rsidTr="002F62B6">
        <w:trPr>
          <w:cantSplit/>
          <w:trHeight w:hRule="exact" w:val="598"/>
          <w:jc w:val="center"/>
        </w:trPr>
        <w:tc>
          <w:tcPr>
            <w:tcW w:w="0" w:type="auto"/>
            <w:shd w:val="clear" w:color="auto" w:fill="auto"/>
            <w:vAlign w:val="center"/>
          </w:tcPr>
          <w:p w14:paraId="14A79FFB" w14:textId="384B2A92" w:rsidR="008A2F32" w:rsidRPr="008A2F32" w:rsidRDefault="008A2F32" w:rsidP="008A2F32">
            <w:pPr>
              <w:pStyle w:val="TblTextCenter"/>
            </w:pPr>
            <w:proofErr w:type="spellStart"/>
            <w:r w:rsidRPr="009F7E53">
              <w:t>Neutrali</w:t>
            </w:r>
            <w:r w:rsidR="00D93FD4">
              <w:t>s</w:t>
            </w:r>
            <w:r w:rsidRPr="009F7E53">
              <w:t>ing</w:t>
            </w:r>
            <w:proofErr w:type="spellEnd"/>
            <w:r w:rsidRPr="009F7E53">
              <w:t xml:space="preserve"> antibody</w:t>
            </w:r>
            <w:r w:rsidR="00616520">
              <w:t xml:space="preserve"> (Nab)</w:t>
            </w:r>
          </w:p>
        </w:tc>
        <w:tc>
          <w:tcPr>
            <w:tcW w:w="0" w:type="auto"/>
            <w:shd w:val="clear" w:color="auto" w:fill="auto"/>
            <w:vAlign w:val="center"/>
          </w:tcPr>
          <w:p w14:paraId="7DB11395" w14:textId="77777777" w:rsidR="008A2F32" w:rsidRPr="008A2F32" w:rsidRDefault="008A2F32" w:rsidP="008A2F32">
            <w:pPr>
              <w:pStyle w:val="TblTextCenter"/>
            </w:pPr>
          </w:p>
        </w:tc>
        <w:tc>
          <w:tcPr>
            <w:tcW w:w="0" w:type="auto"/>
            <w:shd w:val="clear" w:color="auto" w:fill="auto"/>
            <w:vAlign w:val="center"/>
          </w:tcPr>
          <w:p w14:paraId="0D492C33" w14:textId="77777777" w:rsidR="008A2F32" w:rsidRPr="008A2F32" w:rsidRDefault="008A2F32" w:rsidP="008A2F32">
            <w:pPr>
              <w:pStyle w:val="TblTextCenter"/>
            </w:pPr>
          </w:p>
        </w:tc>
        <w:tc>
          <w:tcPr>
            <w:tcW w:w="0" w:type="auto"/>
            <w:shd w:val="clear" w:color="auto" w:fill="auto"/>
            <w:vAlign w:val="center"/>
          </w:tcPr>
          <w:p w14:paraId="4B3157C0" w14:textId="77777777" w:rsidR="008A2F32" w:rsidRPr="008A2F32" w:rsidRDefault="008A2F32" w:rsidP="008A2F32">
            <w:pPr>
              <w:pStyle w:val="TblTextCenter"/>
            </w:pPr>
          </w:p>
        </w:tc>
        <w:tc>
          <w:tcPr>
            <w:tcW w:w="0" w:type="auto"/>
            <w:tcBorders>
              <w:top w:val="nil"/>
              <w:right w:val="single" w:sz="4" w:space="0" w:color="auto"/>
            </w:tcBorders>
            <w:shd w:val="clear" w:color="auto" w:fill="auto"/>
            <w:vAlign w:val="center"/>
          </w:tcPr>
          <w:p w14:paraId="3F003592" w14:textId="77777777" w:rsidR="008A2F32" w:rsidRPr="008A2F32" w:rsidRDefault="008A2F32" w:rsidP="008A2F32">
            <w:pPr>
              <w:pStyle w:val="TblTextCenter"/>
            </w:pPr>
          </w:p>
        </w:tc>
        <w:tc>
          <w:tcPr>
            <w:tcW w:w="0" w:type="auto"/>
            <w:tcBorders>
              <w:top w:val="nil"/>
              <w:left w:val="single" w:sz="4" w:space="0" w:color="auto"/>
            </w:tcBorders>
            <w:shd w:val="clear" w:color="auto" w:fill="auto"/>
            <w:vAlign w:val="center"/>
          </w:tcPr>
          <w:p w14:paraId="0613ED32" w14:textId="77777777" w:rsidR="008A2F32" w:rsidRPr="008A2F32" w:rsidRDefault="008A2F32" w:rsidP="008A2F32">
            <w:pPr>
              <w:pStyle w:val="TblTextCenter"/>
            </w:pPr>
          </w:p>
        </w:tc>
        <w:tc>
          <w:tcPr>
            <w:tcW w:w="0" w:type="auto"/>
            <w:shd w:val="clear" w:color="auto" w:fill="auto"/>
            <w:vAlign w:val="center"/>
          </w:tcPr>
          <w:p w14:paraId="457F51C2" w14:textId="77777777" w:rsidR="008A2F32" w:rsidRPr="008A2F32" w:rsidRDefault="008A2F32" w:rsidP="008A2F32">
            <w:pPr>
              <w:pStyle w:val="TblTextCenter"/>
            </w:pPr>
          </w:p>
        </w:tc>
      </w:tr>
      <w:tr w:rsidR="002F62B6" w:rsidRPr="0043635C" w14:paraId="343407EB" w14:textId="77777777" w:rsidTr="002F62B6">
        <w:trPr>
          <w:cantSplit/>
          <w:jc w:val="center"/>
        </w:trPr>
        <w:tc>
          <w:tcPr>
            <w:tcW w:w="0" w:type="auto"/>
            <w:shd w:val="clear" w:color="auto" w:fill="auto"/>
          </w:tcPr>
          <w:p w14:paraId="315E8741" w14:textId="77777777" w:rsidR="008A2F32" w:rsidRPr="008A2F32" w:rsidRDefault="008A2F32" w:rsidP="008A2F32">
            <w:pPr>
              <w:pStyle w:val="TblTextCenter"/>
            </w:pPr>
            <w:r w:rsidRPr="008A2F32">
              <w:lastRenderedPageBreak/>
              <w:t xml:space="preserve">Both </w:t>
            </w:r>
            <w:proofErr w:type="spellStart"/>
            <w:r w:rsidRPr="008A2F32">
              <w:t>NAb</w:t>
            </w:r>
            <w:proofErr w:type="spellEnd"/>
            <w:r w:rsidRPr="008A2F32">
              <w:t xml:space="preserve"> types</w:t>
            </w:r>
          </w:p>
        </w:tc>
        <w:tc>
          <w:tcPr>
            <w:tcW w:w="0" w:type="auto"/>
            <w:shd w:val="clear" w:color="auto" w:fill="auto"/>
          </w:tcPr>
          <w:p w14:paraId="12779412" w14:textId="31953BC2" w:rsidR="008A2F32" w:rsidRPr="008A2F32" w:rsidRDefault="008A2F32" w:rsidP="008A2F32">
            <w:pPr>
              <w:pStyle w:val="TblTextCenter"/>
            </w:pPr>
            <w:r w:rsidRPr="008A2F32">
              <w:t>13 (21.1)</w:t>
            </w:r>
          </w:p>
        </w:tc>
        <w:tc>
          <w:tcPr>
            <w:tcW w:w="0" w:type="auto"/>
            <w:shd w:val="clear" w:color="auto" w:fill="auto"/>
          </w:tcPr>
          <w:p w14:paraId="107826A5" w14:textId="2FE04584" w:rsidR="008A2F32" w:rsidRPr="008A2F32" w:rsidRDefault="008A2F32" w:rsidP="008A2F32">
            <w:pPr>
              <w:pStyle w:val="TblTextCenter"/>
            </w:pPr>
            <w:r w:rsidRPr="008A2F32">
              <w:t>2 (3.6)</w:t>
            </w:r>
          </w:p>
        </w:tc>
        <w:tc>
          <w:tcPr>
            <w:tcW w:w="0" w:type="auto"/>
            <w:shd w:val="clear" w:color="auto" w:fill="auto"/>
          </w:tcPr>
          <w:p w14:paraId="6C6F52F1" w14:textId="49D7A7B4" w:rsidR="008A2F32" w:rsidRPr="008A2F32" w:rsidRDefault="008A2F32" w:rsidP="008A2F32">
            <w:pPr>
              <w:pStyle w:val="TblTextCenter"/>
            </w:pPr>
            <w:r w:rsidRPr="008A2F32">
              <w:t>0</w:t>
            </w:r>
          </w:p>
        </w:tc>
        <w:tc>
          <w:tcPr>
            <w:tcW w:w="0" w:type="auto"/>
            <w:tcBorders>
              <w:top w:val="nil"/>
              <w:right w:val="single" w:sz="4" w:space="0" w:color="auto"/>
            </w:tcBorders>
            <w:shd w:val="clear" w:color="auto" w:fill="auto"/>
          </w:tcPr>
          <w:p w14:paraId="05CDE0F0" w14:textId="71497A8E" w:rsidR="008A2F32" w:rsidRPr="008A2F32" w:rsidRDefault="008A2F32" w:rsidP="008A2F32">
            <w:pPr>
              <w:pStyle w:val="TblTextCenter"/>
            </w:pPr>
            <w:r w:rsidRPr="008A2F32">
              <w:t xml:space="preserve">0 </w:t>
            </w:r>
          </w:p>
        </w:tc>
        <w:tc>
          <w:tcPr>
            <w:tcW w:w="0" w:type="auto"/>
            <w:tcBorders>
              <w:top w:val="nil"/>
              <w:left w:val="single" w:sz="4" w:space="0" w:color="auto"/>
            </w:tcBorders>
            <w:shd w:val="clear" w:color="auto" w:fill="auto"/>
          </w:tcPr>
          <w:p w14:paraId="463B148E" w14:textId="2009A912" w:rsidR="008A2F32" w:rsidRPr="00792475" w:rsidRDefault="008A2F32" w:rsidP="008A2F32">
            <w:pPr>
              <w:pStyle w:val="TblTextCenter"/>
              <w:rPr>
                <w:color w:val="000000" w:themeColor="text1"/>
              </w:rPr>
            </w:pPr>
            <w:proofErr w:type="spellStart"/>
            <w:r w:rsidRPr="00792475">
              <w:rPr>
                <w:color w:val="000000" w:themeColor="text1"/>
              </w:rPr>
              <w:t>ND</w:t>
            </w:r>
            <w:r w:rsidR="00FE369F" w:rsidRPr="00792475">
              <w:rPr>
                <w:color w:val="000000" w:themeColor="text1"/>
                <w:vertAlign w:val="superscript"/>
              </w:rPr>
              <w:t>b</w:t>
            </w:r>
            <w:proofErr w:type="spellEnd"/>
          </w:p>
        </w:tc>
        <w:tc>
          <w:tcPr>
            <w:tcW w:w="0" w:type="auto"/>
            <w:shd w:val="clear" w:color="auto" w:fill="auto"/>
          </w:tcPr>
          <w:p w14:paraId="63905C5B" w14:textId="2DA7D428" w:rsidR="008A2F32" w:rsidRPr="00792475" w:rsidRDefault="008A2F32" w:rsidP="008A2F32">
            <w:pPr>
              <w:pStyle w:val="TblTextCenter"/>
              <w:rPr>
                <w:color w:val="000000" w:themeColor="text1"/>
              </w:rPr>
            </w:pPr>
            <w:proofErr w:type="spellStart"/>
            <w:r w:rsidRPr="00792475">
              <w:rPr>
                <w:color w:val="000000" w:themeColor="text1"/>
              </w:rPr>
              <w:t>ND</w:t>
            </w:r>
            <w:r w:rsidR="00FE369F" w:rsidRPr="00792475">
              <w:rPr>
                <w:color w:val="000000" w:themeColor="text1"/>
                <w:vertAlign w:val="superscript"/>
              </w:rPr>
              <w:t>b</w:t>
            </w:r>
            <w:proofErr w:type="spellEnd"/>
          </w:p>
        </w:tc>
      </w:tr>
      <w:tr w:rsidR="002F62B6" w:rsidRPr="0043635C" w14:paraId="38F6A778" w14:textId="77777777" w:rsidTr="002F62B6">
        <w:trPr>
          <w:cantSplit/>
          <w:jc w:val="center"/>
        </w:trPr>
        <w:tc>
          <w:tcPr>
            <w:tcW w:w="0" w:type="auto"/>
            <w:shd w:val="clear" w:color="auto" w:fill="auto"/>
          </w:tcPr>
          <w:p w14:paraId="4B209BAF" w14:textId="77777777" w:rsidR="008A2F32" w:rsidRPr="008A2F32" w:rsidRDefault="008A2F32" w:rsidP="008A2F32">
            <w:pPr>
              <w:pStyle w:val="TblTextCenter"/>
            </w:pPr>
            <w:r w:rsidRPr="008A2F32">
              <w:t>Inhibition enzyme activity, only</w:t>
            </w:r>
          </w:p>
        </w:tc>
        <w:tc>
          <w:tcPr>
            <w:tcW w:w="0" w:type="auto"/>
            <w:shd w:val="clear" w:color="auto" w:fill="auto"/>
          </w:tcPr>
          <w:p w14:paraId="3D017632" w14:textId="452253BF" w:rsidR="008A2F32" w:rsidRPr="008A2F32" w:rsidRDefault="008A2F32" w:rsidP="008A2F32">
            <w:pPr>
              <w:pStyle w:val="TblTextCenter"/>
            </w:pPr>
            <w:r w:rsidRPr="008A2F32">
              <w:t xml:space="preserve">4 (6.6) </w:t>
            </w:r>
          </w:p>
        </w:tc>
        <w:tc>
          <w:tcPr>
            <w:tcW w:w="0" w:type="auto"/>
            <w:shd w:val="clear" w:color="auto" w:fill="auto"/>
          </w:tcPr>
          <w:p w14:paraId="7C202C09" w14:textId="50F3B129" w:rsidR="008A2F32" w:rsidRPr="008A2F32" w:rsidRDefault="008A2F32" w:rsidP="008A2F32">
            <w:pPr>
              <w:pStyle w:val="TblTextCenter"/>
            </w:pPr>
            <w:r w:rsidRPr="008A2F32">
              <w:t xml:space="preserve">8 (14.5) </w:t>
            </w:r>
          </w:p>
        </w:tc>
        <w:tc>
          <w:tcPr>
            <w:tcW w:w="0" w:type="auto"/>
            <w:shd w:val="clear" w:color="auto" w:fill="auto"/>
          </w:tcPr>
          <w:p w14:paraId="7946473B" w14:textId="4444F3A1" w:rsidR="008A2F32" w:rsidRPr="008A2F32" w:rsidRDefault="008A2F32" w:rsidP="008A2F32">
            <w:pPr>
              <w:pStyle w:val="TblTextCenter"/>
            </w:pPr>
            <w:r w:rsidRPr="008A2F32">
              <w:t xml:space="preserve">0 </w:t>
            </w:r>
          </w:p>
        </w:tc>
        <w:tc>
          <w:tcPr>
            <w:tcW w:w="0" w:type="auto"/>
            <w:tcBorders>
              <w:top w:val="nil"/>
              <w:right w:val="single" w:sz="4" w:space="0" w:color="auto"/>
            </w:tcBorders>
            <w:shd w:val="clear" w:color="auto" w:fill="auto"/>
          </w:tcPr>
          <w:p w14:paraId="1827AD47" w14:textId="2AEF9572" w:rsidR="008A2F32" w:rsidRPr="008A2F32" w:rsidRDefault="008A2F32" w:rsidP="008A2F32">
            <w:pPr>
              <w:pStyle w:val="TblTextCenter"/>
            </w:pPr>
            <w:r w:rsidRPr="008A2F32">
              <w:t xml:space="preserve">0 </w:t>
            </w:r>
          </w:p>
        </w:tc>
        <w:tc>
          <w:tcPr>
            <w:tcW w:w="0" w:type="auto"/>
            <w:tcBorders>
              <w:top w:val="nil"/>
              <w:left w:val="single" w:sz="4" w:space="0" w:color="auto"/>
            </w:tcBorders>
            <w:shd w:val="clear" w:color="auto" w:fill="auto"/>
          </w:tcPr>
          <w:p w14:paraId="452F4699" w14:textId="244350B1" w:rsidR="008A2F32" w:rsidRPr="008A2F32" w:rsidRDefault="008A2F32" w:rsidP="008A2F32">
            <w:pPr>
              <w:pStyle w:val="TblTextCenter"/>
            </w:pPr>
            <w:r w:rsidRPr="008A2F32">
              <w:t>4 (8.3)</w:t>
            </w:r>
          </w:p>
        </w:tc>
        <w:tc>
          <w:tcPr>
            <w:tcW w:w="0" w:type="auto"/>
            <w:shd w:val="clear" w:color="auto" w:fill="auto"/>
          </w:tcPr>
          <w:p w14:paraId="41B43233" w14:textId="457B4AAD" w:rsidR="008A2F32" w:rsidRPr="008A2F32" w:rsidRDefault="008A2F32" w:rsidP="008A2F32">
            <w:pPr>
              <w:pStyle w:val="TblTextCenter"/>
            </w:pPr>
            <w:r w:rsidRPr="008A2F32">
              <w:t>2 (33.3)</w:t>
            </w:r>
          </w:p>
        </w:tc>
      </w:tr>
      <w:tr w:rsidR="002F62B6" w:rsidRPr="0043635C" w14:paraId="258D31F8" w14:textId="77777777" w:rsidTr="002F62B6">
        <w:trPr>
          <w:cantSplit/>
          <w:jc w:val="center"/>
        </w:trPr>
        <w:tc>
          <w:tcPr>
            <w:tcW w:w="0" w:type="auto"/>
            <w:tcBorders>
              <w:bottom w:val="single" w:sz="12" w:space="0" w:color="auto"/>
            </w:tcBorders>
            <w:shd w:val="clear" w:color="auto" w:fill="auto"/>
          </w:tcPr>
          <w:p w14:paraId="6983715F" w14:textId="77777777" w:rsidR="008A2F32" w:rsidRPr="008A2F32" w:rsidRDefault="008A2F32" w:rsidP="008A2F32">
            <w:pPr>
              <w:pStyle w:val="TblTextCenter"/>
            </w:pPr>
            <w:r w:rsidRPr="008A2F32">
              <w:t>Inhibition of enzyme uptake, only</w:t>
            </w:r>
          </w:p>
        </w:tc>
        <w:tc>
          <w:tcPr>
            <w:tcW w:w="0" w:type="auto"/>
            <w:tcBorders>
              <w:bottom w:val="single" w:sz="12" w:space="0" w:color="auto"/>
            </w:tcBorders>
            <w:shd w:val="clear" w:color="auto" w:fill="auto"/>
          </w:tcPr>
          <w:p w14:paraId="72A12DFD" w14:textId="25ECA76A" w:rsidR="008A2F32" w:rsidRPr="008A2F32" w:rsidRDefault="008A2F32" w:rsidP="008A2F32">
            <w:pPr>
              <w:pStyle w:val="TblTextCenter"/>
            </w:pPr>
            <w:r w:rsidRPr="008A2F32">
              <w:t xml:space="preserve">10 (16.4) </w:t>
            </w:r>
          </w:p>
        </w:tc>
        <w:tc>
          <w:tcPr>
            <w:tcW w:w="0" w:type="auto"/>
            <w:tcBorders>
              <w:bottom w:val="single" w:sz="12" w:space="0" w:color="auto"/>
            </w:tcBorders>
            <w:shd w:val="clear" w:color="auto" w:fill="auto"/>
          </w:tcPr>
          <w:p w14:paraId="2C6E3301" w14:textId="02DF5BD0" w:rsidR="008A2F32" w:rsidRPr="008A2F32" w:rsidRDefault="008A2F32" w:rsidP="008A2F32">
            <w:pPr>
              <w:pStyle w:val="TblTextCenter"/>
            </w:pPr>
            <w:r w:rsidRPr="008A2F32">
              <w:t xml:space="preserve">8 (14.5) </w:t>
            </w:r>
          </w:p>
        </w:tc>
        <w:tc>
          <w:tcPr>
            <w:tcW w:w="0" w:type="auto"/>
            <w:tcBorders>
              <w:bottom w:val="single" w:sz="12" w:space="0" w:color="auto"/>
            </w:tcBorders>
            <w:shd w:val="clear" w:color="auto" w:fill="auto"/>
          </w:tcPr>
          <w:p w14:paraId="1AA77D04" w14:textId="4DD1E6EB" w:rsidR="008A2F32" w:rsidRPr="008A2F32" w:rsidRDefault="008A2F32" w:rsidP="008A2F32">
            <w:pPr>
              <w:pStyle w:val="TblTextCenter"/>
            </w:pPr>
            <w:r w:rsidRPr="008A2F32">
              <w:t xml:space="preserve">0 </w:t>
            </w:r>
          </w:p>
        </w:tc>
        <w:tc>
          <w:tcPr>
            <w:tcW w:w="0" w:type="auto"/>
            <w:tcBorders>
              <w:top w:val="nil"/>
              <w:bottom w:val="single" w:sz="12" w:space="0" w:color="auto"/>
              <w:right w:val="single" w:sz="4" w:space="0" w:color="auto"/>
            </w:tcBorders>
            <w:shd w:val="clear" w:color="auto" w:fill="auto"/>
          </w:tcPr>
          <w:p w14:paraId="2673B927" w14:textId="0894B399" w:rsidR="008A2F32" w:rsidRPr="008A2F32" w:rsidRDefault="008A2F32" w:rsidP="008A2F32">
            <w:pPr>
              <w:pStyle w:val="TblTextCenter"/>
            </w:pPr>
            <w:r w:rsidRPr="008A2F32">
              <w:t xml:space="preserve">0 </w:t>
            </w:r>
          </w:p>
        </w:tc>
        <w:tc>
          <w:tcPr>
            <w:tcW w:w="0" w:type="auto"/>
            <w:tcBorders>
              <w:top w:val="nil"/>
              <w:left w:val="single" w:sz="4" w:space="0" w:color="auto"/>
              <w:bottom w:val="single" w:sz="12" w:space="0" w:color="auto"/>
            </w:tcBorders>
            <w:shd w:val="clear" w:color="auto" w:fill="auto"/>
          </w:tcPr>
          <w:p w14:paraId="4092D792" w14:textId="1B6EDAE3" w:rsidR="008A2F32" w:rsidRPr="008A2F32" w:rsidRDefault="008A2F32" w:rsidP="008A2F32">
            <w:pPr>
              <w:pStyle w:val="TblTextCenter"/>
            </w:pPr>
            <w:r w:rsidRPr="008A2F32">
              <w:t xml:space="preserve">19 (39.6) </w:t>
            </w:r>
          </w:p>
        </w:tc>
        <w:tc>
          <w:tcPr>
            <w:tcW w:w="0" w:type="auto"/>
            <w:tcBorders>
              <w:bottom w:val="single" w:sz="12" w:space="0" w:color="auto"/>
            </w:tcBorders>
            <w:shd w:val="clear" w:color="auto" w:fill="auto"/>
          </w:tcPr>
          <w:p w14:paraId="5C64E40A" w14:textId="06CFF136" w:rsidR="008A2F32" w:rsidRPr="008A2F32" w:rsidRDefault="008A2F32" w:rsidP="008A2F32">
            <w:pPr>
              <w:pStyle w:val="TblTextCenter"/>
            </w:pPr>
            <w:r w:rsidRPr="008A2F32">
              <w:t>0</w:t>
            </w:r>
          </w:p>
        </w:tc>
      </w:tr>
      <w:tr w:rsidR="008A2F32" w:rsidRPr="0043635C" w14:paraId="694C98BD" w14:textId="77777777" w:rsidTr="008A2F32">
        <w:trPr>
          <w:cantSplit/>
          <w:jc w:val="center"/>
        </w:trPr>
        <w:tc>
          <w:tcPr>
            <w:tcW w:w="0" w:type="auto"/>
            <w:gridSpan w:val="7"/>
            <w:tcBorders>
              <w:top w:val="single" w:sz="12" w:space="0" w:color="auto"/>
            </w:tcBorders>
            <w:shd w:val="clear" w:color="auto" w:fill="auto"/>
          </w:tcPr>
          <w:p w14:paraId="10DCED79" w14:textId="3C4E1DE9" w:rsidR="002F62B6" w:rsidRPr="00792475" w:rsidRDefault="002F62B6" w:rsidP="002F62B6">
            <w:pPr>
              <w:pStyle w:val="TblFigFootnote"/>
              <w:rPr>
                <w:color w:val="000000" w:themeColor="text1"/>
              </w:rPr>
            </w:pPr>
            <w:proofErr w:type="spellStart"/>
            <w:proofErr w:type="gramStart"/>
            <w:r w:rsidRPr="00792475">
              <w:rPr>
                <w:color w:val="000000" w:themeColor="text1"/>
                <w:vertAlign w:val="superscript"/>
              </w:rPr>
              <w:t>a</w:t>
            </w:r>
            <w:proofErr w:type="spellEnd"/>
            <w:r w:rsidRPr="00792475">
              <w:rPr>
                <w:color w:val="000000" w:themeColor="text1"/>
                <w:vertAlign w:val="superscript"/>
              </w:rPr>
              <w:t xml:space="preserve"> </w:t>
            </w:r>
            <w:r w:rsidR="00792475">
              <w:rPr>
                <w:color w:val="000000" w:themeColor="text1"/>
                <w:vertAlign w:val="superscript"/>
              </w:rPr>
              <w:t xml:space="preserve"> </w:t>
            </w:r>
            <w:r w:rsidR="00FE369F" w:rsidRPr="00792475">
              <w:rPr>
                <w:color w:val="000000" w:themeColor="text1"/>
              </w:rPr>
              <w:t>Includes</w:t>
            </w:r>
            <w:proofErr w:type="gramEnd"/>
            <w:r w:rsidR="00FE369F" w:rsidRPr="00792475">
              <w:rPr>
                <w:color w:val="000000" w:themeColor="text1"/>
              </w:rPr>
              <w:t xml:space="preserve"> one </w:t>
            </w:r>
            <w:proofErr w:type="spellStart"/>
            <w:r w:rsidR="00FE369F" w:rsidRPr="00792475">
              <w:rPr>
                <w:color w:val="000000" w:themeColor="text1"/>
              </w:rPr>
              <w:t>paediatric</w:t>
            </w:r>
            <w:proofErr w:type="spellEnd"/>
            <w:r w:rsidR="00FE369F" w:rsidRPr="00792475">
              <w:rPr>
                <w:color w:val="000000" w:themeColor="text1"/>
              </w:rPr>
              <w:t xml:space="preserve"> patient </w:t>
            </w:r>
          </w:p>
          <w:p w14:paraId="068EF315" w14:textId="7A4C559C" w:rsidR="002F62B6" w:rsidRPr="00792475" w:rsidRDefault="002F62B6" w:rsidP="002F62B6">
            <w:pPr>
              <w:pStyle w:val="TblFigFootnote"/>
              <w:rPr>
                <w:strike/>
                <w:color w:val="000000" w:themeColor="text1"/>
              </w:rPr>
            </w:pPr>
            <w:r w:rsidRPr="00792475">
              <w:rPr>
                <w:color w:val="000000" w:themeColor="text1"/>
                <w:vertAlign w:val="superscript"/>
              </w:rPr>
              <w:t>b</w:t>
            </w:r>
            <w:r w:rsidR="00792475">
              <w:rPr>
                <w:color w:val="000000" w:themeColor="text1"/>
                <w:vertAlign w:val="superscript"/>
              </w:rPr>
              <w:t xml:space="preserve"> </w:t>
            </w:r>
            <w:r w:rsidR="00FE369F" w:rsidRPr="00792475">
              <w:rPr>
                <w:color w:val="000000" w:themeColor="text1"/>
              </w:rPr>
              <w:t>Not determined.</w:t>
            </w:r>
          </w:p>
          <w:p w14:paraId="26F03C78" w14:textId="51DF702A" w:rsidR="008A2F32" w:rsidRPr="0043635C" w:rsidRDefault="00F14210" w:rsidP="002F62B6">
            <w:pPr>
              <w:pStyle w:val="TblFigFootnote"/>
            </w:pPr>
            <w:r w:rsidRPr="00F14210">
              <w:rPr>
                <w:color w:val="000000" w:themeColor="text1"/>
                <w:vertAlign w:val="superscript"/>
              </w:rPr>
              <w:t>c</w:t>
            </w:r>
            <w:r w:rsidRPr="00F14210">
              <w:rPr>
                <w:color w:val="000000" w:themeColor="text1"/>
              </w:rPr>
              <w:t xml:space="preserve"> Treatment experienced patients received </w:t>
            </w:r>
            <w:proofErr w:type="spellStart"/>
            <w:r w:rsidRPr="00F14210">
              <w:rPr>
                <w:color w:val="000000" w:themeColor="text1"/>
              </w:rPr>
              <w:t>alglucosidase</w:t>
            </w:r>
            <w:proofErr w:type="spellEnd"/>
            <w:r w:rsidRPr="00F14210">
              <w:rPr>
                <w:color w:val="000000" w:themeColor="text1"/>
              </w:rPr>
              <w:t xml:space="preserve"> alfa treatment before or during the clinical study within a range of 0.9-9.9 years for adult patients and 0.5-11.7 years for </w:t>
            </w:r>
            <w:proofErr w:type="spellStart"/>
            <w:r w:rsidRPr="00F14210">
              <w:rPr>
                <w:color w:val="000000" w:themeColor="text1"/>
              </w:rPr>
              <w:t>paediatric</w:t>
            </w:r>
            <w:proofErr w:type="spellEnd"/>
            <w:r w:rsidRPr="00F14210">
              <w:rPr>
                <w:color w:val="000000" w:themeColor="text1"/>
              </w:rPr>
              <w:t xml:space="preserve"> patients.</w:t>
            </w:r>
          </w:p>
        </w:tc>
      </w:tr>
    </w:tbl>
    <w:bookmarkEnd w:id="13"/>
    <w:bookmarkEnd w:id="12"/>
    <w:p w14:paraId="6387A261" w14:textId="036580D9" w:rsidR="008A2F32" w:rsidRPr="008A2F32" w:rsidRDefault="008A2F32" w:rsidP="008A2F32">
      <w:pPr>
        <w:pStyle w:val="Heading5"/>
        <w:numPr>
          <w:ilvl w:val="0"/>
          <w:numId w:val="0"/>
        </w:numPr>
        <w:ind w:left="1009" w:hanging="1009"/>
        <w:rPr>
          <w:lang w:val="en-AU"/>
        </w:rPr>
      </w:pPr>
      <w:r w:rsidRPr="008A2F32">
        <w:rPr>
          <w:lang w:val="en-AU"/>
        </w:rPr>
        <w:t>P</w:t>
      </w:r>
      <w:r w:rsidR="00CE056A">
        <w:rPr>
          <w:lang w:val="en-AU"/>
        </w:rPr>
        <w:t>a</w:t>
      </w:r>
      <w:r w:rsidRPr="008A2F32">
        <w:rPr>
          <w:lang w:val="en-AU"/>
        </w:rPr>
        <w:t>ediatric population</w:t>
      </w:r>
    </w:p>
    <w:p w14:paraId="218BC3AD" w14:textId="0695778D" w:rsidR="004D26C3" w:rsidRDefault="008A2F32" w:rsidP="004D26C3">
      <w:pPr>
        <w:rPr>
          <w:lang w:val="en-AU"/>
        </w:rPr>
      </w:pPr>
      <w:r w:rsidRPr="008A2F32">
        <w:rPr>
          <w:lang w:val="en-AU"/>
        </w:rPr>
        <w:t>Adverse drug reactions reported from clinical trials in the p</w:t>
      </w:r>
      <w:r w:rsidR="00CE056A">
        <w:rPr>
          <w:lang w:val="en-AU"/>
        </w:rPr>
        <w:t>a</w:t>
      </w:r>
      <w:r w:rsidRPr="008A2F32">
        <w:rPr>
          <w:lang w:val="en-AU"/>
        </w:rPr>
        <w:t>ediatric population (19 p</w:t>
      </w:r>
      <w:r w:rsidR="00CE056A">
        <w:rPr>
          <w:lang w:val="en-AU"/>
        </w:rPr>
        <w:t>a</w:t>
      </w:r>
      <w:r w:rsidRPr="008A2F32">
        <w:rPr>
          <w:lang w:val="en-AU"/>
        </w:rPr>
        <w:t>ediatric patients</w:t>
      </w:r>
      <w:r>
        <w:rPr>
          <w:lang w:val="en-AU"/>
        </w:rPr>
        <w:t xml:space="preserve"> </w:t>
      </w:r>
      <w:r w:rsidRPr="008A2F32">
        <w:rPr>
          <w:lang w:val="en-AU"/>
        </w:rPr>
        <w:t>with IOPD and 1 p</w:t>
      </w:r>
      <w:r w:rsidR="00CE056A">
        <w:rPr>
          <w:lang w:val="en-AU"/>
        </w:rPr>
        <w:t>a</w:t>
      </w:r>
      <w:r w:rsidRPr="008A2F32">
        <w:rPr>
          <w:lang w:val="en-AU"/>
        </w:rPr>
        <w:t xml:space="preserve">ediatric patient with LOPD) were </w:t>
      </w:r>
      <w:proofErr w:type="gramStart"/>
      <w:r w:rsidRPr="008A2F32">
        <w:rPr>
          <w:lang w:val="en-AU"/>
        </w:rPr>
        <w:t>similar to</w:t>
      </w:r>
      <w:proofErr w:type="gramEnd"/>
      <w:r w:rsidRPr="008A2F32">
        <w:rPr>
          <w:lang w:val="en-AU"/>
        </w:rPr>
        <w:t xml:space="preserve"> those reported in adults.</w:t>
      </w:r>
    </w:p>
    <w:p w14:paraId="2F180F66" w14:textId="663D5DBF" w:rsidR="00E424FC" w:rsidRDefault="00E424FC" w:rsidP="004D26C3">
      <w:pPr>
        <w:rPr>
          <w:color w:val="000000" w:themeColor="text1"/>
          <w:lang w:val="en-AU"/>
        </w:rPr>
      </w:pPr>
      <w:r w:rsidRPr="00792475">
        <w:rPr>
          <w:color w:val="000000" w:themeColor="text1"/>
          <w:lang w:val="en-AU"/>
        </w:rPr>
        <w:t>In Study ACT14132</w:t>
      </w:r>
      <w:r w:rsidR="00F84271" w:rsidRPr="00792475">
        <w:rPr>
          <w:color w:val="000000" w:themeColor="text1"/>
          <w:lang w:val="en-AU"/>
        </w:rPr>
        <w:t xml:space="preserve"> (mini-COMET)</w:t>
      </w:r>
      <w:r w:rsidRPr="00792475">
        <w:rPr>
          <w:color w:val="000000" w:themeColor="text1"/>
          <w:lang w:val="en-AU"/>
        </w:rPr>
        <w:t xml:space="preserve"> in IOPD patients, which compared </w:t>
      </w:r>
      <w:proofErr w:type="spellStart"/>
      <w:r w:rsidRPr="00792475">
        <w:rPr>
          <w:color w:val="000000" w:themeColor="text1"/>
          <w:lang w:val="en-AU"/>
        </w:rPr>
        <w:t>avalglucosidase</w:t>
      </w:r>
      <w:proofErr w:type="spellEnd"/>
      <w:r w:rsidRPr="00792475">
        <w:rPr>
          <w:color w:val="000000" w:themeColor="text1"/>
          <w:lang w:val="en-AU"/>
        </w:rPr>
        <w:t xml:space="preserve"> alfa with </w:t>
      </w:r>
      <w:proofErr w:type="spellStart"/>
      <w:r w:rsidRPr="00792475">
        <w:rPr>
          <w:color w:val="000000" w:themeColor="text1"/>
          <w:lang w:val="en-AU"/>
        </w:rPr>
        <w:t>alglucosidase</w:t>
      </w:r>
      <w:proofErr w:type="spellEnd"/>
      <w:r w:rsidRPr="00792475">
        <w:rPr>
          <w:color w:val="000000" w:themeColor="text1"/>
          <w:lang w:val="en-AU"/>
        </w:rPr>
        <w:t xml:space="preserve"> alfa, 5/5 patients (100%) in the </w:t>
      </w:r>
      <w:proofErr w:type="spellStart"/>
      <w:r w:rsidRPr="00792475">
        <w:rPr>
          <w:color w:val="000000" w:themeColor="text1"/>
          <w:lang w:val="en-AU"/>
        </w:rPr>
        <w:t>avalglucosidase</w:t>
      </w:r>
      <w:proofErr w:type="spellEnd"/>
      <w:r w:rsidRPr="00792475">
        <w:rPr>
          <w:color w:val="000000" w:themeColor="text1"/>
          <w:lang w:val="en-AU"/>
        </w:rPr>
        <w:t xml:space="preserve"> alfa group reported adverse events compared with 5/6 patients (83%) in the </w:t>
      </w:r>
      <w:proofErr w:type="spellStart"/>
      <w:r w:rsidRPr="00792475">
        <w:rPr>
          <w:color w:val="000000" w:themeColor="text1"/>
          <w:lang w:val="en-AU"/>
        </w:rPr>
        <w:t>alglucosidase</w:t>
      </w:r>
      <w:proofErr w:type="spellEnd"/>
      <w:r w:rsidRPr="00792475">
        <w:rPr>
          <w:color w:val="000000" w:themeColor="text1"/>
          <w:lang w:val="en-AU"/>
        </w:rPr>
        <w:t xml:space="preserve"> group</w:t>
      </w:r>
      <w:r w:rsidR="00F33B21" w:rsidRPr="00792475">
        <w:rPr>
          <w:color w:val="000000" w:themeColor="text1"/>
          <w:lang w:val="en-AU"/>
        </w:rPr>
        <w:t xml:space="preserve"> </w:t>
      </w:r>
      <w:r w:rsidR="00F33B21" w:rsidRPr="00792475">
        <w:rPr>
          <w:color w:val="000000" w:themeColor="text1"/>
          <w:lang w:val="en-AU"/>
        </w:rPr>
        <w:fldChar w:fldCharType="begin"/>
      </w:r>
      <w:r w:rsidR="00F33B21" w:rsidRPr="00792475">
        <w:rPr>
          <w:color w:val="000000" w:themeColor="text1"/>
          <w:lang w:val="en-AU"/>
        </w:rPr>
        <w:instrText xml:space="preserve"> REF _Ref71926671 \h  \* MERGEFORMAT </w:instrText>
      </w:r>
      <w:r w:rsidR="00F33B21" w:rsidRPr="00792475">
        <w:rPr>
          <w:color w:val="000000" w:themeColor="text1"/>
          <w:lang w:val="en-AU"/>
        </w:rPr>
      </w:r>
      <w:r w:rsidR="00F33B21" w:rsidRPr="00792475">
        <w:rPr>
          <w:color w:val="000000" w:themeColor="text1"/>
          <w:lang w:val="en-AU"/>
        </w:rPr>
        <w:fldChar w:fldCharType="separate"/>
      </w:r>
      <w:r w:rsidR="00751605" w:rsidRPr="00792475">
        <w:rPr>
          <w:color w:val="000000" w:themeColor="text1"/>
        </w:rPr>
        <w:t>Table </w:t>
      </w:r>
      <w:r w:rsidR="00751605">
        <w:rPr>
          <w:color w:val="000000" w:themeColor="text1"/>
        </w:rPr>
        <w:t>6</w:t>
      </w:r>
      <w:r w:rsidR="00F33B21" w:rsidRPr="00792475">
        <w:rPr>
          <w:color w:val="000000" w:themeColor="text1"/>
          <w:lang w:val="en-AU"/>
        </w:rPr>
        <w:fldChar w:fldCharType="end"/>
      </w:r>
      <w:r w:rsidRPr="00792475">
        <w:rPr>
          <w:color w:val="000000" w:themeColor="text1"/>
          <w:lang w:val="en-AU"/>
        </w:rPr>
        <w:t>.</w:t>
      </w:r>
    </w:p>
    <w:p w14:paraId="539B547B" w14:textId="4ADA1CDB" w:rsidR="0055349C" w:rsidRDefault="0055349C" w:rsidP="004D26C3">
      <w:pPr>
        <w:rPr>
          <w:color w:val="000000" w:themeColor="text1"/>
          <w:lang w:val="en-AU"/>
        </w:rPr>
      </w:pPr>
    </w:p>
    <w:p w14:paraId="2C91D2C1" w14:textId="77777777" w:rsidR="0055349C" w:rsidRPr="00792475" w:rsidRDefault="0055349C" w:rsidP="004D26C3">
      <w:pPr>
        <w:rPr>
          <w:color w:val="000000" w:themeColor="text1"/>
          <w:lang w:val="en-AU"/>
        </w:rPr>
      </w:pPr>
    </w:p>
    <w:p w14:paraId="6A48D34B" w14:textId="6C7372C6" w:rsidR="00E424FC" w:rsidRPr="00792475" w:rsidRDefault="00F33B21" w:rsidP="00F33B21">
      <w:pPr>
        <w:pStyle w:val="Caption"/>
        <w:rPr>
          <w:color w:val="000000" w:themeColor="text1"/>
          <w:lang w:val="en-AU"/>
        </w:rPr>
      </w:pPr>
      <w:bookmarkStart w:id="14" w:name="_Ref71926671"/>
      <w:r w:rsidRPr="00792475">
        <w:rPr>
          <w:color w:val="000000" w:themeColor="text1"/>
        </w:rPr>
        <w:t>Table </w:t>
      </w:r>
      <w:r w:rsidRPr="00792475">
        <w:rPr>
          <w:color w:val="000000" w:themeColor="text1"/>
        </w:rPr>
        <w:fldChar w:fldCharType="begin"/>
      </w:r>
      <w:r w:rsidRPr="00792475">
        <w:rPr>
          <w:color w:val="000000" w:themeColor="text1"/>
        </w:rPr>
        <w:instrText xml:space="preserve"> SEQ Table \* ARABIC </w:instrText>
      </w:r>
      <w:r w:rsidRPr="00792475">
        <w:rPr>
          <w:color w:val="000000" w:themeColor="text1"/>
        </w:rPr>
        <w:fldChar w:fldCharType="separate"/>
      </w:r>
      <w:r w:rsidR="00751605">
        <w:rPr>
          <w:noProof/>
          <w:color w:val="000000" w:themeColor="text1"/>
        </w:rPr>
        <w:t>6</w:t>
      </w:r>
      <w:r w:rsidRPr="00792475">
        <w:rPr>
          <w:color w:val="000000" w:themeColor="text1"/>
        </w:rPr>
        <w:fldChar w:fldCharType="end"/>
      </w:r>
      <w:bookmarkEnd w:id="14"/>
      <w:r w:rsidRPr="00792475">
        <w:rPr>
          <w:color w:val="000000" w:themeColor="text1"/>
        </w:rPr>
        <w:t xml:space="preserve"> ­ Study ACT14132</w:t>
      </w:r>
      <w:r w:rsidR="00F84271" w:rsidRPr="00792475">
        <w:rPr>
          <w:color w:val="000000" w:themeColor="text1"/>
        </w:rPr>
        <w:t xml:space="preserve"> (mini-COMET)</w:t>
      </w:r>
      <w:r w:rsidRPr="00792475">
        <w:rPr>
          <w:color w:val="000000" w:themeColor="text1"/>
        </w:rPr>
        <w:t xml:space="preserve"> Most common treatment-emergent adverse events* </w:t>
      </w:r>
    </w:p>
    <w:tbl>
      <w:tblPr>
        <w:tblW w:w="9356" w:type="dxa"/>
        <w:jc w:val="center"/>
        <w:tblBorders>
          <w:top w:val="single" w:sz="2" w:space="0" w:color="000000"/>
        </w:tblBorders>
        <w:tblLook w:val="0000" w:firstRow="0" w:lastRow="0" w:firstColumn="0" w:lastColumn="0" w:noHBand="0" w:noVBand="0"/>
      </w:tblPr>
      <w:tblGrid>
        <w:gridCol w:w="5529"/>
        <w:gridCol w:w="1922"/>
        <w:gridCol w:w="1905"/>
      </w:tblGrid>
      <w:tr w:rsidR="00F33B21" w:rsidRPr="00792475" w14:paraId="53E7CD1F" w14:textId="77777777" w:rsidTr="000855E7">
        <w:trPr>
          <w:cantSplit/>
          <w:trHeight w:val="343"/>
          <w:tblHeader/>
          <w:jc w:val="center"/>
        </w:trPr>
        <w:tc>
          <w:tcPr>
            <w:tcW w:w="5529" w:type="dxa"/>
            <w:tcBorders>
              <w:top w:val="single" w:sz="4" w:space="0" w:color="000000"/>
              <w:bottom w:val="single" w:sz="4" w:space="0" w:color="000000"/>
            </w:tcBorders>
            <w:shd w:val="clear" w:color="auto" w:fill="auto"/>
          </w:tcPr>
          <w:p w14:paraId="213CE036" w14:textId="77777777" w:rsidR="00F33B21" w:rsidRPr="00792475" w:rsidRDefault="00F33B21" w:rsidP="00E424FC">
            <w:pPr>
              <w:pStyle w:val="TblHeadingCenter"/>
              <w:rPr>
                <w:color w:val="000000" w:themeColor="text1"/>
              </w:rPr>
            </w:pPr>
            <w:r w:rsidRPr="00792475">
              <w:rPr>
                <w:color w:val="000000" w:themeColor="text1"/>
              </w:rPr>
              <w:t xml:space="preserve">PRIMARY SYSTEM ORGAN CLASS </w:t>
            </w:r>
          </w:p>
          <w:p w14:paraId="37724253" w14:textId="77777777" w:rsidR="00F33B21" w:rsidRPr="00792475" w:rsidRDefault="00F33B21" w:rsidP="00E424FC">
            <w:pPr>
              <w:pStyle w:val="TblHeadingCenter"/>
              <w:rPr>
                <w:color w:val="000000" w:themeColor="text1"/>
              </w:rPr>
            </w:pPr>
            <w:r w:rsidRPr="00792475">
              <w:rPr>
                <w:color w:val="000000" w:themeColor="text1"/>
              </w:rPr>
              <w:t xml:space="preserve">Preferred Term n(%) </w:t>
            </w:r>
          </w:p>
        </w:tc>
        <w:tc>
          <w:tcPr>
            <w:tcW w:w="3827" w:type="dxa"/>
            <w:gridSpan w:val="2"/>
            <w:tcBorders>
              <w:top w:val="single" w:sz="4" w:space="0" w:color="000000"/>
              <w:bottom w:val="single" w:sz="4" w:space="0" w:color="000000"/>
            </w:tcBorders>
          </w:tcPr>
          <w:p w14:paraId="3567384E" w14:textId="2D897DC3" w:rsidR="00F33B21" w:rsidRPr="00792475" w:rsidRDefault="00F33B21" w:rsidP="00E424FC">
            <w:pPr>
              <w:pStyle w:val="TblHeadingCenter"/>
              <w:rPr>
                <w:color w:val="000000" w:themeColor="text1"/>
              </w:rPr>
            </w:pPr>
            <w:r w:rsidRPr="00792475">
              <w:rPr>
                <w:color w:val="000000" w:themeColor="text1"/>
              </w:rPr>
              <w:t xml:space="preserve">Cohort 3 </w:t>
            </w:r>
          </w:p>
        </w:tc>
      </w:tr>
      <w:tr w:rsidR="00F33B21" w:rsidRPr="00792475" w14:paraId="047AD3D4" w14:textId="77777777" w:rsidTr="000855E7">
        <w:trPr>
          <w:cantSplit/>
          <w:trHeight w:val="260"/>
          <w:jc w:val="center"/>
        </w:trPr>
        <w:tc>
          <w:tcPr>
            <w:tcW w:w="5529" w:type="dxa"/>
            <w:tcBorders>
              <w:top w:val="single" w:sz="4" w:space="0" w:color="000000"/>
            </w:tcBorders>
            <w:shd w:val="clear" w:color="auto" w:fill="auto"/>
          </w:tcPr>
          <w:p w14:paraId="7E291FED" w14:textId="7AC7E1C1" w:rsidR="00175A3C" w:rsidRPr="00792475" w:rsidRDefault="00175A3C" w:rsidP="00E424FC">
            <w:pPr>
              <w:pStyle w:val="TblTextCenter"/>
              <w:rPr>
                <w:color w:val="000000" w:themeColor="text1"/>
              </w:rPr>
            </w:pPr>
            <w:r w:rsidRPr="00792475">
              <w:rPr>
                <w:color w:val="000000" w:themeColor="text1"/>
              </w:rPr>
              <w:t xml:space="preserve"> </w:t>
            </w:r>
          </w:p>
        </w:tc>
        <w:tc>
          <w:tcPr>
            <w:tcW w:w="1922" w:type="dxa"/>
            <w:tcBorders>
              <w:top w:val="single" w:sz="4" w:space="0" w:color="000000"/>
            </w:tcBorders>
          </w:tcPr>
          <w:p w14:paraId="612C97EE" w14:textId="3EB98D19" w:rsidR="00175A3C" w:rsidRPr="00792475" w:rsidRDefault="00056DAB" w:rsidP="00175A3C">
            <w:pPr>
              <w:pStyle w:val="TblTextCenter"/>
              <w:rPr>
                <w:color w:val="000000" w:themeColor="text1"/>
              </w:rPr>
            </w:pPr>
            <w:proofErr w:type="spellStart"/>
            <w:r w:rsidRPr="00792475">
              <w:rPr>
                <w:color w:val="000000" w:themeColor="text1"/>
              </w:rPr>
              <w:t>Nexviazyme</w:t>
            </w:r>
            <w:r w:rsidR="000855E7" w:rsidRPr="00792475">
              <w:rPr>
                <w:color w:val="000000" w:themeColor="text1"/>
                <w:vertAlign w:val="superscript"/>
              </w:rPr>
              <w:t>a</w:t>
            </w:r>
            <w:proofErr w:type="spellEnd"/>
            <w:r w:rsidR="00175A3C" w:rsidRPr="00792475">
              <w:rPr>
                <w:color w:val="000000" w:themeColor="text1"/>
              </w:rPr>
              <w:t xml:space="preserve"> </w:t>
            </w:r>
          </w:p>
          <w:p w14:paraId="5293FCCF" w14:textId="06CD782E" w:rsidR="00175A3C" w:rsidRPr="00792475" w:rsidRDefault="00175A3C" w:rsidP="00175A3C">
            <w:pPr>
              <w:pStyle w:val="TblTextCenter"/>
              <w:rPr>
                <w:color w:val="000000" w:themeColor="text1"/>
              </w:rPr>
            </w:pPr>
            <w:r w:rsidRPr="00792475">
              <w:rPr>
                <w:color w:val="000000" w:themeColor="text1"/>
              </w:rPr>
              <w:t>(N=5)</w:t>
            </w:r>
          </w:p>
        </w:tc>
        <w:tc>
          <w:tcPr>
            <w:tcW w:w="1905" w:type="dxa"/>
            <w:tcBorders>
              <w:top w:val="single" w:sz="4" w:space="0" w:color="000000"/>
            </w:tcBorders>
            <w:shd w:val="clear" w:color="auto" w:fill="auto"/>
          </w:tcPr>
          <w:p w14:paraId="0ABAC581" w14:textId="3637E799" w:rsidR="00175A3C" w:rsidRPr="00792475" w:rsidRDefault="00175A3C" w:rsidP="00E424FC">
            <w:pPr>
              <w:pStyle w:val="TblTextCenter"/>
              <w:rPr>
                <w:color w:val="000000" w:themeColor="text1"/>
              </w:rPr>
            </w:pPr>
            <w:proofErr w:type="spellStart"/>
            <w:r w:rsidRPr="00792475">
              <w:rPr>
                <w:color w:val="000000" w:themeColor="text1"/>
              </w:rPr>
              <w:t>Alglucosidase</w:t>
            </w:r>
            <w:proofErr w:type="spellEnd"/>
            <w:r w:rsidRPr="00792475">
              <w:rPr>
                <w:color w:val="000000" w:themeColor="text1"/>
              </w:rPr>
              <w:t xml:space="preserve"> </w:t>
            </w:r>
            <w:proofErr w:type="spellStart"/>
            <w:r w:rsidRPr="00792475">
              <w:rPr>
                <w:color w:val="000000" w:themeColor="text1"/>
              </w:rPr>
              <w:t>alfa</w:t>
            </w:r>
            <w:r w:rsidR="000855E7" w:rsidRPr="00792475">
              <w:rPr>
                <w:color w:val="000000" w:themeColor="text1"/>
                <w:vertAlign w:val="superscript"/>
              </w:rPr>
              <w:t>b</w:t>
            </w:r>
            <w:proofErr w:type="spellEnd"/>
            <w:r w:rsidRPr="00792475">
              <w:rPr>
                <w:color w:val="000000" w:themeColor="text1"/>
              </w:rPr>
              <w:t xml:space="preserve"> </w:t>
            </w:r>
          </w:p>
          <w:p w14:paraId="3A37A9D3" w14:textId="77777777" w:rsidR="00175A3C" w:rsidRPr="00792475" w:rsidRDefault="00175A3C" w:rsidP="00E424FC">
            <w:pPr>
              <w:pStyle w:val="TblTextCenter"/>
              <w:rPr>
                <w:color w:val="000000" w:themeColor="text1"/>
              </w:rPr>
            </w:pPr>
            <w:r w:rsidRPr="00792475">
              <w:rPr>
                <w:color w:val="000000" w:themeColor="text1"/>
              </w:rPr>
              <w:t xml:space="preserve">(N=6) </w:t>
            </w:r>
          </w:p>
        </w:tc>
      </w:tr>
      <w:tr w:rsidR="00F33B21" w:rsidRPr="00792475" w14:paraId="1F744DF8" w14:textId="77777777" w:rsidTr="000855E7">
        <w:trPr>
          <w:cantSplit/>
          <w:trHeight w:val="133"/>
          <w:jc w:val="center"/>
        </w:trPr>
        <w:tc>
          <w:tcPr>
            <w:tcW w:w="5529" w:type="dxa"/>
            <w:shd w:val="clear" w:color="auto" w:fill="auto"/>
          </w:tcPr>
          <w:p w14:paraId="35591EE9" w14:textId="4FECB993" w:rsidR="00175A3C" w:rsidRPr="00792475" w:rsidRDefault="00175A3C" w:rsidP="009F1981">
            <w:pPr>
              <w:pStyle w:val="TblTextCenter"/>
              <w:jc w:val="left"/>
              <w:rPr>
                <w:color w:val="000000" w:themeColor="text1"/>
              </w:rPr>
            </w:pPr>
            <w:r w:rsidRPr="00792475">
              <w:rPr>
                <w:color w:val="000000" w:themeColor="text1"/>
              </w:rPr>
              <w:t>Patient with at least one TEAE</w:t>
            </w:r>
          </w:p>
        </w:tc>
        <w:tc>
          <w:tcPr>
            <w:tcW w:w="1922" w:type="dxa"/>
          </w:tcPr>
          <w:p w14:paraId="194C652F" w14:textId="120976BF" w:rsidR="00175A3C" w:rsidRPr="00792475" w:rsidRDefault="00175A3C" w:rsidP="00175A3C">
            <w:pPr>
              <w:pStyle w:val="TblTextCenter"/>
              <w:rPr>
                <w:color w:val="000000" w:themeColor="text1"/>
              </w:rPr>
            </w:pPr>
            <w:r w:rsidRPr="00792475">
              <w:rPr>
                <w:color w:val="000000" w:themeColor="text1"/>
              </w:rPr>
              <w:t xml:space="preserve">5 (100) </w:t>
            </w:r>
          </w:p>
        </w:tc>
        <w:tc>
          <w:tcPr>
            <w:tcW w:w="1905" w:type="dxa"/>
            <w:shd w:val="clear" w:color="auto" w:fill="auto"/>
          </w:tcPr>
          <w:p w14:paraId="370394E8" w14:textId="1256717C" w:rsidR="00175A3C" w:rsidRPr="00792475" w:rsidRDefault="00175A3C" w:rsidP="00175A3C">
            <w:pPr>
              <w:pStyle w:val="TblTextCenter"/>
              <w:rPr>
                <w:color w:val="000000" w:themeColor="text1"/>
              </w:rPr>
            </w:pPr>
            <w:r w:rsidRPr="00792475">
              <w:rPr>
                <w:color w:val="000000" w:themeColor="text1"/>
              </w:rPr>
              <w:t xml:space="preserve">5 (83.3) </w:t>
            </w:r>
          </w:p>
        </w:tc>
      </w:tr>
      <w:tr w:rsidR="00F33B21" w:rsidRPr="00792475" w14:paraId="663094BF" w14:textId="77777777" w:rsidTr="000855E7">
        <w:trPr>
          <w:cantSplit/>
          <w:trHeight w:val="133"/>
          <w:jc w:val="center"/>
        </w:trPr>
        <w:tc>
          <w:tcPr>
            <w:tcW w:w="5529" w:type="dxa"/>
            <w:shd w:val="clear" w:color="auto" w:fill="auto"/>
          </w:tcPr>
          <w:p w14:paraId="64CA35A0" w14:textId="47981B7C" w:rsidR="00715D86" w:rsidRPr="00792475" w:rsidRDefault="00715D86" w:rsidP="009F1981">
            <w:pPr>
              <w:pStyle w:val="TblTextCenter"/>
              <w:jc w:val="left"/>
              <w:rPr>
                <w:color w:val="000000" w:themeColor="text1"/>
              </w:rPr>
            </w:pPr>
            <w:r w:rsidRPr="00792475">
              <w:rPr>
                <w:color w:val="000000" w:themeColor="text1"/>
              </w:rPr>
              <w:t>INFECTIONS AND INFESTATIONS</w:t>
            </w:r>
          </w:p>
        </w:tc>
        <w:tc>
          <w:tcPr>
            <w:tcW w:w="1922" w:type="dxa"/>
          </w:tcPr>
          <w:p w14:paraId="025E143D" w14:textId="101D29BF" w:rsidR="00715D86" w:rsidRPr="00792475" w:rsidRDefault="00715D86" w:rsidP="00175A3C">
            <w:pPr>
              <w:pStyle w:val="TblTextCenter"/>
              <w:rPr>
                <w:color w:val="000000" w:themeColor="text1"/>
              </w:rPr>
            </w:pPr>
            <w:r w:rsidRPr="00792475">
              <w:rPr>
                <w:color w:val="000000" w:themeColor="text1"/>
              </w:rPr>
              <w:t xml:space="preserve">2 (40.0) </w:t>
            </w:r>
          </w:p>
        </w:tc>
        <w:tc>
          <w:tcPr>
            <w:tcW w:w="1905" w:type="dxa"/>
            <w:shd w:val="clear" w:color="auto" w:fill="auto"/>
          </w:tcPr>
          <w:p w14:paraId="3C7817A9" w14:textId="22D28C53" w:rsidR="00715D86" w:rsidRPr="00792475" w:rsidRDefault="00715D86" w:rsidP="00175A3C">
            <w:pPr>
              <w:pStyle w:val="TblTextCenter"/>
              <w:rPr>
                <w:color w:val="000000" w:themeColor="text1"/>
              </w:rPr>
            </w:pPr>
            <w:r w:rsidRPr="00792475">
              <w:rPr>
                <w:color w:val="000000" w:themeColor="text1"/>
              </w:rPr>
              <w:t xml:space="preserve">3 (50.0) </w:t>
            </w:r>
          </w:p>
        </w:tc>
      </w:tr>
      <w:tr w:rsidR="00F33B21" w:rsidRPr="00792475" w14:paraId="2D302A4E" w14:textId="77777777" w:rsidTr="000855E7">
        <w:trPr>
          <w:cantSplit/>
          <w:trHeight w:val="133"/>
          <w:jc w:val="center"/>
        </w:trPr>
        <w:tc>
          <w:tcPr>
            <w:tcW w:w="5529" w:type="dxa"/>
            <w:shd w:val="clear" w:color="auto" w:fill="auto"/>
          </w:tcPr>
          <w:p w14:paraId="2736E3BA" w14:textId="31635125" w:rsidR="00715D86" w:rsidRPr="00792475" w:rsidRDefault="00715D86" w:rsidP="009F1981">
            <w:pPr>
              <w:pStyle w:val="TblTextCenter"/>
              <w:jc w:val="left"/>
              <w:rPr>
                <w:color w:val="000000" w:themeColor="text1"/>
              </w:rPr>
            </w:pPr>
            <w:r w:rsidRPr="00792475">
              <w:rPr>
                <w:color w:val="000000" w:themeColor="text1"/>
              </w:rPr>
              <w:t>Upper respiratory tract infection</w:t>
            </w:r>
          </w:p>
        </w:tc>
        <w:tc>
          <w:tcPr>
            <w:tcW w:w="1922" w:type="dxa"/>
          </w:tcPr>
          <w:p w14:paraId="6B1EDF37" w14:textId="49D74C3E" w:rsidR="00715D86" w:rsidRPr="00792475" w:rsidRDefault="00715D86" w:rsidP="00175A3C">
            <w:pPr>
              <w:pStyle w:val="TblTextCenter"/>
              <w:rPr>
                <w:color w:val="000000" w:themeColor="text1"/>
              </w:rPr>
            </w:pPr>
            <w:r w:rsidRPr="00792475">
              <w:rPr>
                <w:color w:val="000000" w:themeColor="text1"/>
              </w:rPr>
              <w:t xml:space="preserve">2 (40.0) </w:t>
            </w:r>
          </w:p>
        </w:tc>
        <w:tc>
          <w:tcPr>
            <w:tcW w:w="1905" w:type="dxa"/>
            <w:shd w:val="clear" w:color="auto" w:fill="auto"/>
          </w:tcPr>
          <w:p w14:paraId="7FCB16A1" w14:textId="6E3B1198" w:rsidR="00715D86" w:rsidRPr="00792475" w:rsidRDefault="00715D86" w:rsidP="00175A3C">
            <w:pPr>
              <w:pStyle w:val="TblTextCenter"/>
              <w:rPr>
                <w:color w:val="000000" w:themeColor="text1"/>
              </w:rPr>
            </w:pPr>
            <w:r w:rsidRPr="00792475">
              <w:rPr>
                <w:color w:val="000000" w:themeColor="text1"/>
              </w:rPr>
              <w:t xml:space="preserve">1 (16.7) </w:t>
            </w:r>
          </w:p>
        </w:tc>
      </w:tr>
      <w:tr w:rsidR="00F33B21" w:rsidRPr="00792475" w14:paraId="31919AE1" w14:textId="77777777" w:rsidTr="000855E7">
        <w:trPr>
          <w:cantSplit/>
          <w:trHeight w:val="133"/>
          <w:jc w:val="center"/>
        </w:trPr>
        <w:tc>
          <w:tcPr>
            <w:tcW w:w="5529" w:type="dxa"/>
            <w:shd w:val="clear" w:color="auto" w:fill="auto"/>
          </w:tcPr>
          <w:p w14:paraId="76FC2FA3" w14:textId="4A2CBDE6" w:rsidR="00715D86" w:rsidRPr="00792475" w:rsidRDefault="00715D86" w:rsidP="009F1981">
            <w:pPr>
              <w:pStyle w:val="TblTextCenter"/>
              <w:jc w:val="left"/>
              <w:rPr>
                <w:color w:val="000000" w:themeColor="text1"/>
              </w:rPr>
            </w:pPr>
            <w:r w:rsidRPr="00792475">
              <w:rPr>
                <w:color w:val="000000" w:themeColor="text1"/>
              </w:rPr>
              <w:t>Urinary tract infection</w:t>
            </w:r>
          </w:p>
        </w:tc>
        <w:tc>
          <w:tcPr>
            <w:tcW w:w="1922" w:type="dxa"/>
          </w:tcPr>
          <w:p w14:paraId="5FC87ADB" w14:textId="6394C7C7" w:rsidR="00715D86" w:rsidRPr="00792475" w:rsidRDefault="00715D86" w:rsidP="00175A3C">
            <w:pPr>
              <w:pStyle w:val="TblTextCenter"/>
              <w:rPr>
                <w:color w:val="000000" w:themeColor="text1"/>
              </w:rPr>
            </w:pPr>
            <w:r w:rsidRPr="00792475">
              <w:rPr>
                <w:color w:val="000000" w:themeColor="text1"/>
              </w:rPr>
              <w:t xml:space="preserve">0 </w:t>
            </w:r>
          </w:p>
        </w:tc>
        <w:tc>
          <w:tcPr>
            <w:tcW w:w="1905" w:type="dxa"/>
            <w:shd w:val="clear" w:color="auto" w:fill="auto"/>
          </w:tcPr>
          <w:p w14:paraId="43BC8044" w14:textId="1A664096" w:rsidR="00715D86" w:rsidRPr="00792475" w:rsidRDefault="00715D86" w:rsidP="00175A3C">
            <w:pPr>
              <w:pStyle w:val="TblTextCenter"/>
              <w:rPr>
                <w:color w:val="000000" w:themeColor="text1"/>
              </w:rPr>
            </w:pPr>
            <w:r w:rsidRPr="00792475">
              <w:rPr>
                <w:color w:val="000000" w:themeColor="text1"/>
              </w:rPr>
              <w:t xml:space="preserve">1 (16.7) </w:t>
            </w:r>
          </w:p>
        </w:tc>
      </w:tr>
      <w:tr w:rsidR="00F33B21" w:rsidRPr="00792475" w14:paraId="6ABBBD9E" w14:textId="77777777" w:rsidTr="000855E7">
        <w:trPr>
          <w:cantSplit/>
          <w:trHeight w:val="133"/>
          <w:jc w:val="center"/>
        </w:trPr>
        <w:tc>
          <w:tcPr>
            <w:tcW w:w="5529" w:type="dxa"/>
            <w:shd w:val="clear" w:color="auto" w:fill="auto"/>
          </w:tcPr>
          <w:p w14:paraId="310E1F2D" w14:textId="317E0902" w:rsidR="00715D86" w:rsidRPr="00792475" w:rsidRDefault="00715D86" w:rsidP="009F1981">
            <w:pPr>
              <w:pStyle w:val="TblTextCenter"/>
              <w:jc w:val="left"/>
              <w:rPr>
                <w:color w:val="000000" w:themeColor="text1"/>
              </w:rPr>
            </w:pPr>
            <w:r w:rsidRPr="00792475">
              <w:rPr>
                <w:color w:val="000000" w:themeColor="text1"/>
              </w:rPr>
              <w:t>Otitis media</w:t>
            </w:r>
          </w:p>
        </w:tc>
        <w:tc>
          <w:tcPr>
            <w:tcW w:w="1922" w:type="dxa"/>
          </w:tcPr>
          <w:p w14:paraId="7EBA21C8" w14:textId="5DC114A7" w:rsidR="00715D86" w:rsidRPr="00792475" w:rsidRDefault="00715D86" w:rsidP="00175A3C">
            <w:pPr>
              <w:pStyle w:val="TblTextCenter"/>
              <w:rPr>
                <w:color w:val="000000" w:themeColor="text1"/>
              </w:rPr>
            </w:pPr>
            <w:r w:rsidRPr="00792475">
              <w:rPr>
                <w:color w:val="000000" w:themeColor="text1"/>
              </w:rPr>
              <w:t xml:space="preserve">0 </w:t>
            </w:r>
          </w:p>
        </w:tc>
        <w:tc>
          <w:tcPr>
            <w:tcW w:w="1905" w:type="dxa"/>
            <w:shd w:val="clear" w:color="auto" w:fill="auto"/>
          </w:tcPr>
          <w:p w14:paraId="05CED486" w14:textId="291DFE86" w:rsidR="00715D86" w:rsidRPr="00792475" w:rsidRDefault="00715D86" w:rsidP="00175A3C">
            <w:pPr>
              <w:pStyle w:val="TblTextCenter"/>
              <w:rPr>
                <w:color w:val="000000" w:themeColor="text1"/>
              </w:rPr>
            </w:pPr>
            <w:r w:rsidRPr="00792475">
              <w:rPr>
                <w:color w:val="000000" w:themeColor="text1"/>
              </w:rPr>
              <w:t xml:space="preserve">1 (16.7) </w:t>
            </w:r>
          </w:p>
        </w:tc>
      </w:tr>
      <w:tr w:rsidR="00F33B21" w:rsidRPr="00792475" w14:paraId="25E6DDC5" w14:textId="77777777" w:rsidTr="000855E7">
        <w:trPr>
          <w:cantSplit/>
          <w:trHeight w:val="133"/>
          <w:jc w:val="center"/>
        </w:trPr>
        <w:tc>
          <w:tcPr>
            <w:tcW w:w="5529" w:type="dxa"/>
            <w:shd w:val="clear" w:color="auto" w:fill="auto"/>
          </w:tcPr>
          <w:p w14:paraId="517D217E" w14:textId="4B2C4D25" w:rsidR="00715D86" w:rsidRPr="00792475" w:rsidRDefault="00715D86" w:rsidP="009F1981">
            <w:pPr>
              <w:pStyle w:val="TblTextCenter"/>
              <w:jc w:val="left"/>
              <w:rPr>
                <w:color w:val="000000" w:themeColor="text1"/>
              </w:rPr>
            </w:pPr>
            <w:r w:rsidRPr="00792475">
              <w:rPr>
                <w:color w:val="000000" w:themeColor="text1"/>
              </w:rPr>
              <w:t>Pneumonia</w:t>
            </w:r>
          </w:p>
        </w:tc>
        <w:tc>
          <w:tcPr>
            <w:tcW w:w="1922" w:type="dxa"/>
          </w:tcPr>
          <w:p w14:paraId="664591A2" w14:textId="53423211" w:rsidR="00715D86" w:rsidRPr="00792475" w:rsidRDefault="00715D86" w:rsidP="00175A3C">
            <w:pPr>
              <w:pStyle w:val="TblTextCenter"/>
              <w:rPr>
                <w:color w:val="000000" w:themeColor="text1"/>
              </w:rPr>
            </w:pPr>
            <w:r w:rsidRPr="00792475">
              <w:rPr>
                <w:color w:val="000000" w:themeColor="text1"/>
              </w:rPr>
              <w:t xml:space="preserve">0 </w:t>
            </w:r>
          </w:p>
        </w:tc>
        <w:tc>
          <w:tcPr>
            <w:tcW w:w="1905" w:type="dxa"/>
            <w:shd w:val="clear" w:color="auto" w:fill="auto"/>
          </w:tcPr>
          <w:p w14:paraId="487AB10B" w14:textId="45AF0452" w:rsidR="00715D86" w:rsidRPr="00792475" w:rsidRDefault="00715D86" w:rsidP="00175A3C">
            <w:pPr>
              <w:pStyle w:val="TblTextCenter"/>
              <w:rPr>
                <w:color w:val="000000" w:themeColor="text1"/>
              </w:rPr>
            </w:pPr>
            <w:r w:rsidRPr="00792475">
              <w:rPr>
                <w:color w:val="000000" w:themeColor="text1"/>
              </w:rPr>
              <w:t xml:space="preserve">1 (16.7) </w:t>
            </w:r>
          </w:p>
        </w:tc>
      </w:tr>
      <w:tr w:rsidR="00F33B21" w:rsidRPr="00792475" w14:paraId="5DE9C4CD" w14:textId="77777777" w:rsidTr="000855E7">
        <w:trPr>
          <w:cantSplit/>
          <w:trHeight w:val="133"/>
          <w:jc w:val="center"/>
        </w:trPr>
        <w:tc>
          <w:tcPr>
            <w:tcW w:w="5529" w:type="dxa"/>
            <w:shd w:val="clear" w:color="auto" w:fill="auto"/>
          </w:tcPr>
          <w:p w14:paraId="5918DA30" w14:textId="7D985FDA" w:rsidR="00715D86" w:rsidRPr="00792475" w:rsidRDefault="00715D86" w:rsidP="009F1981">
            <w:pPr>
              <w:pStyle w:val="TblTextCenter"/>
              <w:jc w:val="left"/>
              <w:rPr>
                <w:color w:val="000000" w:themeColor="text1"/>
              </w:rPr>
            </w:pPr>
            <w:r w:rsidRPr="00792475">
              <w:rPr>
                <w:color w:val="000000" w:themeColor="text1"/>
              </w:rPr>
              <w:t>Viral infection</w:t>
            </w:r>
          </w:p>
        </w:tc>
        <w:tc>
          <w:tcPr>
            <w:tcW w:w="1922" w:type="dxa"/>
          </w:tcPr>
          <w:p w14:paraId="53886008" w14:textId="2D87A97E" w:rsidR="00715D86" w:rsidRPr="00792475" w:rsidRDefault="00715D86" w:rsidP="00175A3C">
            <w:pPr>
              <w:pStyle w:val="TblTextCenter"/>
              <w:rPr>
                <w:color w:val="000000" w:themeColor="text1"/>
              </w:rPr>
            </w:pPr>
            <w:r w:rsidRPr="00792475">
              <w:rPr>
                <w:color w:val="000000" w:themeColor="text1"/>
              </w:rPr>
              <w:t xml:space="preserve">0 </w:t>
            </w:r>
          </w:p>
        </w:tc>
        <w:tc>
          <w:tcPr>
            <w:tcW w:w="1905" w:type="dxa"/>
            <w:shd w:val="clear" w:color="auto" w:fill="auto"/>
          </w:tcPr>
          <w:p w14:paraId="2977399B" w14:textId="15F0D782" w:rsidR="00715D86" w:rsidRPr="00792475" w:rsidRDefault="00715D86" w:rsidP="00175A3C">
            <w:pPr>
              <w:pStyle w:val="TblTextCenter"/>
              <w:rPr>
                <w:color w:val="000000" w:themeColor="text1"/>
              </w:rPr>
            </w:pPr>
            <w:r w:rsidRPr="00792475">
              <w:rPr>
                <w:color w:val="000000" w:themeColor="text1"/>
              </w:rPr>
              <w:t xml:space="preserve">2 (33.3) </w:t>
            </w:r>
          </w:p>
        </w:tc>
      </w:tr>
      <w:tr w:rsidR="00F33B21" w:rsidRPr="00792475" w14:paraId="2371E532" w14:textId="77777777" w:rsidTr="000855E7">
        <w:trPr>
          <w:cantSplit/>
          <w:trHeight w:val="133"/>
          <w:jc w:val="center"/>
        </w:trPr>
        <w:tc>
          <w:tcPr>
            <w:tcW w:w="5529" w:type="dxa"/>
            <w:shd w:val="clear" w:color="auto" w:fill="auto"/>
          </w:tcPr>
          <w:p w14:paraId="014A8C0E" w14:textId="59A21F1C" w:rsidR="00715D86" w:rsidRPr="00792475" w:rsidRDefault="00715D86" w:rsidP="009F1981">
            <w:pPr>
              <w:pStyle w:val="TblTextCenter"/>
              <w:jc w:val="left"/>
              <w:rPr>
                <w:color w:val="000000" w:themeColor="text1"/>
              </w:rPr>
            </w:pPr>
            <w:r w:rsidRPr="00792475">
              <w:rPr>
                <w:color w:val="000000" w:themeColor="text1"/>
              </w:rPr>
              <w:t>NERVOUS SYSTEM DISORDERS</w:t>
            </w:r>
          </w:p>
        </w:tc>
        <w:tc>
          <w:tcPr>
            <w:tcW w:w="1922" w:type="dxa"/>
          </w:tcPr>
          <w:p w14:paraId="6983929E" w14:textId="487E0F27" w:rsidR="00715D86" w:rsidRPr="00792475" w:rsidRDefault="00715D86" w:rsidP="00175A3C">
            <w:pPr>
              <w:pStyle w:val="TblTextCenter"/>
              <w:rPr>
                <w:color w:val="000000" w:themeColor="text1"/>
              </w:rPr>
            </w:pPr>
            <w:r w:rsidRPr="00792475">
              <w:rPr>
                <w:color w:val="000000" w:themeColor="text1"/>
              </w:rPr>
              <w:t xml:space="preserve">2 (40.0) </w:t>
            </w:r>
          </w:p>
        </w:tc>
        <w:tc>
          <w:tcPr>
            <w:tcW w:w="1905" w:type="dxa"/>
            <w:shd w:val="clear" w:color="auto" w:fill="auto"/>
          </w:tcPr>
          <w:p w14:paraId="23EBADA9" w14:textId="31D8E986" w:rsidR="00715D86" w:rsidRPr="00792475" w:rsidRDefault="00715D86" w:rsidP="00175A3C">
            <w:pPr>
              <w:pStyle w:val="TblTextCenter"/>
              <w:rPr>
                <w:color w:val="000000" w:themeColor="text1"/>
              </w:rPr>
            </w:pPr>
            <w:r w:rsidRPr="00792475">
              <w:rPr>
                <w:color w:val="000000" w:themeColor="text1"/>
              </w:rPr>
              <w:t xml:space="preserve">0 </w:t>
            </w:r>
          </w:p>
        </w:tc>
      </w:tr>
      <w:tr w:rsidR="00F33B21" w:rsidRPr="00792475" w14:paraId="459B2F25" w14:textId="77777777" w:rsidTr="000855E7">
        <w:trPr>
          <w:cantSplit/>
          <w:trHeight w:val="133"/>
          <w:jc w:val="center"/>
        </w:trPr>
        <w:tc>
          <w:tcPr>
            <w:tcW w:w="5529" w:type="dxa"/>
            <w:shd w:val="clear" w:color="auto" w:fill="auto"/>
          </w:tcPr>
          <w:p w14:paraId="3626905A" w14:textId="3B906B2F" w:rsidR="00715D86" w:rsidRPr="00792475" w:rsidRDefault="00715D86" w:rsidP="009F1981">
            <w:pPr>
              <w:pStyle w:val="TblTextCenter"/>
              <w:jc w:val="left"/>
              <w:rPr>
                <w:color w:val="000000" w:themeColor="text1"/>
              </w:rPr>
            </w:pPr>
            <w:r w:rsidRPr="00792475">
              <w:rPr>
                <w:color w:val="000000" w:themeColor="text1"/>
              </w:rPr>
              <w:t>Headache</w:t>
            </w:r>
          </w:p>
        </w:tc>
        <w:tc>
          <w:tcPr>
            <w:tcW w:w="1922" w:type="dxa"/>
          </w:tcPr>
          <w:p w14:paraId="4FFA9A9C" w14:textId="271836D7" w:rsidR="00715D86" w:rsidRPr="00792475" w:rsidRDefault="00715D86" w:rsidP="00175A3C">
            <w:pPr>
              <w:pStyle w:val="TblTextCenter"/>
              <w:rPr>
                <w:color w:val="000000" w:themeColor="text1"/>
              </w:rPr>
            </w:pPr>
            <w:r w:rsidRPr="00792475">
              <w:rPr>
                <w:color w:val="000000" w:themeColor="text1"/>
              </w:rPr>
              <w:t xml:space="preserve">2 (40.0) </w:t>
            </w:r>
          </w:p>
        </w:tc>
        <w:tc>
          <w:tcPr>
            <w:tcW w:w="1905" w:type="dxa"/>
            <w:shd w:val="clear" w:color="auto" w:fill="auto"/>
          </w:tcPr>
          <w:p w14:paraId="007C8F89" w14:textId="779CA889" w:rsidR="00715D86" w:rsidRPr="00792475" w:rsidRDefault="00715D86" w:rsidP="00175A3C">
            <w:pPr>
              <w:pStyle w:val="TblTextCenter"/>
              <w:rPr>
                <w:color w:val="000000" w:themeColor="text1"/>
              </w:rPr>
            </w:pPr>
            <w:r w:rsidRPr="00792475">
              <w:rPr>
                <w:color w:val="000000" w:themeColor="text1"/>
              </w:rPr>
              <w:t xml:space="preserve">0 </w:t>
            </w:r>
          </w:p>
        </w:tc>
      </w:tr>
      <w:tr w:rsidR="00F33B21" w:rsidRPr="00792475" w14:paraId="6AA58AA5" w14:textId="77777777" w:rsidTr="000855E7">
        <w:trPr>
          <w:cantSplit/>
          <w:trHeight w:val="133"/>
          <w:jc w:val="center"/>
        </w:trPr>
        <w:tc>
          <w:tcPr>
            <w:tcW w:w="5529" w:type="dxa"/>
            <w:shd w:val="clear" w:color="auto" w:fill="auto"/>
          </w:tcPr>
          <w:p w14:paraId="751E617D" w14:textId="2E6CC723" w:rsidR="00715D86" w:rsidRPr="00792475" w:rsidRDefault="00715D86" w:rsidP="009F1981">
            <w:pPr>
              <w:pStyle w:val="TblTextCenter"/>
              <w:jc w:val="left"/>
              <w:rPr>
                <w:color w:val="000000" w:themeColor="text1"/>
              </w:rPr>
            </w:pPr>
            <w:r w:rsidRPr="00792475">
              <w:rPr>
                <w:color w:val="000000" w:themeColor="text1"/>
              </w:rPr>
              <w:t>EYE DISORDERS</w:t>
            </w:r>
          </w:p>
        </w:tc>
        <w:tc>
          <w:tcPr>
            <w:tcW w:w="1922" w:type="dxa"/>
          </w:tcPr>
          <w:p w14:paraId="10B308BA" w14:textId="66FCB09E" w:rsidR="00715D86" w:rsidRPr="00792475" w:rsidRDefault="00715D86" w:rsidP="00175A3C">
            <w:pPr>
              <w:pStyle w:val="TblTextCenter"/>
              <w:rPr>
                <w:color w:val="000000" w:themeColor="text1"/>
              </w:rPr>
            </w:pPr>
            <w:r w:rsidRPr="00792475">
              <w:rPr>
                <w:color w:val="000000" w:themeColor="text1"/>
              </w:rPr>
              <w:t xml:space="preserve">2 (40.0) </w:t>
            </w:r>
          </w:p>
        </w:tc>
        <w:tc>
          <w:tcPr>
            <w:tcW w:w="1905" w:type="dxa"/>
            <w:shd w:val="clear" w:color="auto" w:fill="auto"/>
          </w:tcPr>
          <w:p w14:paraId="298EE9A1" w14:textId="5C0A42D7" w:rsidR="00715D86" w:rsidRPr="00792475" w:rsidRDefault="00715D86" w:rsidP="00175A3C">
            <w:pPr>
              <w:pStyle w:val="TblTextCenter"/>
              <w:rPr>
                <w:color w:val="000000" w:themeColor="text1"/>
              </w:rPr>
            </w:pPr>
            <w:r w:rsidRPr="00792475">
              <w:rPr>
                <w:color w:val="000000" w:themeColor="text1"/>
              </w:rPr>
              <w:t xml:space="preserve">0 </w:t>
            </w:r>
          </w:p>
        </w:tc>
      </w:tr>
      <w:tr w:rsidR="00F33B21" w:rsidRPr="00792475" w14:paraId="23C0DC61" w14:textId="77777777" w:rsidTr="000855E7">
        <w:trPr>
          <w:cantSplit/>
          <w:trHeight w:val="133"/>
          <w:jc w:val="center"/>
        </w:trPr>
        <w:tc>
          <w:tcPr>
            <w:tcW w:w="5529" w:type="dxa"/>
            <w:shd w:val="clear" w:color="auto" w:fill="auto"/>
          </w:tcPr>
          <w:p w14:paraId="78418000" w14:textId="1E20541F" w:rsidR="00715D86" w:rsidRPr="00792475" w:rsidRDefault="00715D86" w:rsidP="009F1981">
            <w:pPr>
              <w:pStyle w:val="TblTextCenter"/>
              <w:jc w:val="left"/>
              <w:rPr>
                <w:color w:val="000000" w:themeColor="text1"/>
              </w:rPr>
            </w:pPr>
            <w:r w:rsidRPr="00792475">
              <w:rPr>
                <w:color w:val="000000" w:themeColor="text1"/>
              </w:rPr>
              <w:lastRenderedPageBreak/>
              <w:t>Eye irritation</w:t>
            </w:r>
          </w:p>
        </w:tc>
        <w:tc>
          <w:tcPr>
            <w:tcW w:w="1922" w:type="dxa"/>
          </w:tcPr>
          <w:p w14:paraId="3FF4CE95" w14:textId="0710876D" w:rsidR="00715D86" w:rsidRPr="00792475" w:rsidRDefault="00715D86" w:rsidP="00175A3C">
            <w:pPr>
              <w:pStyle w:val="TblTextCenter"/>
              <w:rPr>
                <w:color w:val="000000" w:themeColor="text1"/>
              </w:rPr>
            </w:pPr>
            <w:r w:rsidRPr="00792475">
              <w:rPr>
                <w:color w:val="000000" w:themeColor="text1"/>
              </w:rPr>
              <w:t xml:space="preserve">2 (40.0) </w:t>
            </w:r>
          </w:p>
        </w:tc>
        <w:tc>
          <w:tcPr>
            <w:tcW w:w="1905" w:type="dxa"/>
            <w:shd w:val="clear" w:color="auto" w:fill="auto"/>
          </w:tcPr>
          <w:p w14:paraId="03D8805B" w14:textId="3F627A26" w:rsidR="00715D86" w:rsidRPr="00792475" w:rsidRDefault="00715D86" w:rsidP="00175A3C">
            <w:pPr>
              <w:pStyle w:val="TblTextCenter"/>
              <w:rPr>
                <w:color w:val="000000" w:themeColor="text1"/>
              </w:rPr>
            </w:pPr>
            <w:r w:rsidRPr="00792475">
              <w:rPr>
                <w:color w:val="000000" w:themeColor="text1"/>
              </w:rPr>
              <w:t xml:space="preserve">0 </w:t>
            </w:r>
          </w:p>
        </w:tc>
      </w:tr>
      <w:tr w:rsidR="00F33B21" w:rsidRPr="00792475" w14:paraId="59B63253" w14:textId="77777777" w:rsidTr="000855E7">
        <w:trPr>
          <w:cantSplit/>
          <w:trHeight w:val="133"/>
          <w:jc w:val="center"/>
        </w:trPr>
        <w:tc>
          <w:tcPr>
            <w:tcW w:w="5529" w:type="dxa"/>
            <w:shd w:val="clear" w:color="auto" w:fill="auto"/>
          </w:tcPr>
          <w:p w14:paraId="1D4B66EA" w14:textId="5947EAE6" w:rsidR="00715D86" w:rsidRPr="00792475" w:rsidRDefault="00715D86" w:rsidP="009F1981">
            <w:pPr>
              <w:pStyle w:val="TblTextCenter"/>
              <w:jc w:val="left"/>
              <w:rPr>
                <w:color w:val="000000" w:themeColor="text1"/>
              </w:rPr>
            </w:pPr>
            <w:r w:rsidRPr="00792475">
              <w:rPr>
                <w:color w:val="000000" w:themeColor="text1"/>
              </w:rPr>
              <w:t>Eyelid ptosis</w:t>
            </w:r>
          </w:p>
        </w:tc>
        <w:tc>
          <w:tcPr>
            <w:tcW w:w="1922" w:type="dxa"/>
          </w:tcPr>
          <w:p w14:paraId="568B4066" w14:textId="202814E6" w:rsidR="00715D86" w:rsidRPr="00792475" w:rsidRDefault="00715D86" w:rsidP="00175A3C">
            <w:pPr>
              <w:pStyle w:val="TblTextCenter"/>
              <w:rPr>
                <w:color w:val="000000" w:themeColor="text1"/>
              </w:rPr>
            </w:pPr>
            <w:r w:rsidRPr="00792475">
              <w:rPr>
                <w:color w:val="000000" w:themeColor="text1"/>
              </w:rPr>
              <w:t xml:space="preserve">0 </w:t>
            </w:r>
          </w:p>
        </w:tc>
        <w:tc>
          <w:tcPr>
            <w:tcW w:w="1905" w:type="dxa"/>
            <w:shd w:val="clear" w:color="auto" w:fill="auto"/>
          </w:tcPr>
          <w:p w14:paraId="70B7E417" w14:textId="2DA60E9C" w:rsidR="00715D86" w:rsidRPr="00792475" w:rsidRDefault="00715D86" w:rsidP="00175A3C">
            <w:pPr>
              <w:pStyle w:val="TblTextCenter"/>
              <w:rPr>
                <w:color w:val="000000" w:themeColor="text1"/>
              </w:rPr>
            </w:pPr>
            <w:r w:rsidRPr="00792475">
              <w:rPr>
                <w:color w:val="000000" w:themeColor="text1"/>
              </w:rPr>
              <w:t xml:space="preserve">0 </w:t>
            </w:r>
          </w:p>
        </w:tc>
      </w:tr>
      <w:tr w:rsidR="00F33B21" w:rsidRPr="00792475" w14:paraId="3B909D18" w14:textId="77777777" w:rsidTr="000855E7">
        <w:trPr>
          <w:cantSplit/>
          <w:trHeight w:val="142"/>
          <w:jc w:val="center"/>
        </w:trPr>
        <w:tc>
          <w:tcPr>
            <w:tcW w:w="5529" w:type="dxa"/>
            <w:shd w:val="clear" w:color="auto" w:fill="auto"/>
          </w:tcPr>
          <w:p w14:paraId="7979B78A" w14:textId="370B57E4" w:rsidR="00715D86" w:rsidRPr="00792475" w:rsidRDefault="00715D86" w:rsidP="009F1981">
            <w:pPr>
              <w:pStyle w:val="TblTextCenter"/>
              <w:jc w:val="left"/>
              <w:rPr>
                <w:color w:val="000000" w:themeColor="text1"/>
              </w:rPr>
            </w:pPr>
            <w:r w:rsidRPr="00792475">
              <w:rPr>
                <w:color w:val="000000" w:themeColor="text1"/>
              </w:rPr>
              <w:t>EAR AND LABYRINTH DISORDERS</w:t>
            </w:r>
          </w:p>
        </w:tc>
        <w:tc>
          <w:tcPr>
            <w:tcW w:w="1922" w:type="dxa"/>
          </w:tcPr>
          <w:p w14:paraId="27418C3D" w14:textId="3CB68D27" w:rsidR="00715D86" w:rsidRPr="00792475" w:rsidRDefault="00715D86" w:rsidP="00175A3C">
            <w:pPr>
              <w:pStyle w:val="TblTextCenter"/>
              <w:rPr>
                <w:color w:val="000000" w:themeColor="text1"/>
              </w:rPr>
            </w:pPr>
            <w:r w:rsidRPr="00792475">
              <w:rPr>
                <w:color w:val="000000" w:themeColor="text1"/>
              </w:rPr>
              <w:t xml:space="preserve">1 (20.0) </w:t>
            </w:r>
          </w:p>
        </w:tc>
        <w:tc>
          <w:tcPr>
            <w:tcW w:w="1905" w:type="dxa"/>
            <w:shd w:val="clear" w:color="auto" w:fill="auto"/>
          </w:tcPr>
          <w:p w14:paraId="4D832789" w14:textId="37327F11" w:rsidR="00715D86" w:rsidRPr="00792475" w:rsidRDefault="00715D86" w:rsidP="00175A3C">
            <w:pPr>
              <w:pStyle w:val="TblTextCenter"/>
              <w:rPr>
                <w:color w:val="000000" w:themeColor="text1"/>
              </w:rPr>
            </w:pPr>
            <w:r w:rsidRPr="00792475">
              <w:rPr>
                <w:color w:val="000000" w:themeColor="text1"/>
              </w:rPr>
              <w:t xml:space="preserve">2 (33.3) </w:t>
            </w:r>
          </w:p>
        </w:tc>
      </w:tr>
      <w:tr w:rsidR="00F33B21" w:rsidRPr="00792475" w14:paraId="1DA2F33D" w14:textId="77777777" w:rsidTr="000855E7">
        <w:trPr>
          <w:cantSplit/>
          <w:trHeight w:val="142"/>
          <w:jc w:val="center"/>
        </w:trPr>
        <w:tc>
          <w:tcPr>
            <w:tcW w:w="5529" w:type="dxa"/>
            <w:shd w:val="clear" w:color="auto" w:fill="auto"/>
          </w:tcPr>
          <w:p w14:paraId="0B091F4F" w14:textId="4937939A" w:rsidR="00715D86" w:rsidRPr="00792475" w:rsidRDefault="00715D86" w:rsidP="009F1981">
            <w:pPr>
              <w:pStyle w:val="TblTextCenter"/>
              <w:jc w:val="left"/>
              <w:rPr>
                <w:color w:val="000000" w:themeColor="text1"/>
              </w:rPr>
            </w:pPr>
            <w:r w:rsidRPr="00792475">
              <w:rPr>
                <w:color w:val="000000" w:themeColor="text1"/>
              </w:rPr>
              <w:t>Excessive cerumen production</w:t>
            </w:r>
          </w:p>
        </w:tc>
        <w:tc>
          <w:tcPr>
            <w:tcW w:w="1922" w:type="dxa"/>
          </w:tcPr>
          <w:p w14:paraId="5E40DE50" w14:textId="4251E397" w:rsidR="00715D86" w:rsidRPr="00792475" w:rsidRDefault="00715D86" w:rsidP="00175A3C">
            <w:pPr>
              <w:pStyle w:val="TblTextCenter"/>
              <w:rPr>
                <w:color w:val="000000" w:themeColor="text1"/>
              </w:rPr>
            </w:pPr>
            <w:r w:rsidRPr="00792475">
              <w:rPr>
                <w:color w:val="000000" w:themeColor="text1"/>
              </w:rPr>
              <w:t xml:space="preserve">0 </w:t>
            </w:r>
          </w:p>
        </w:tc>
        <w:tc>
          <w:tcPr>
            <w:tcW w:w="1905" w:type="dxa"/>
            <w:shd w:val="clear" w:color="auto" w:fill="auto"/>
          </w:tcPr>
          <w:p w14:paraId="7802C741" w14:textId="18ADCA91" w:rsidR="00715D86" w:rsidRPr="00792475" w:rsidRDefault="00715D86" w:rsidP="00175A3C">
            <w:pPr>
              <w:pStyle w:val="TblTextCenter"/>
              <w:rPr>
                <w:color w:val="000000" w:themeColor="text1"/>
              </w:rPr>
            </w:pPr>
            <w:r w:rsidRPr="00792475">
              <w:rPr>
                <w:color w:val="000000" w:themeColor="text1"/>
              </w:rPr>
              <w:t xml:space="preserve">1 (16.7) </w:t>
            </w:r>
          </w:p>
        </w:tc>
      </w:tr>
      <w:tr w:rsidR="00F33B21" w:rsidRPr="00792475" w14:paraId="13F49E43" w14:textId="77777777" w:rsidTr="000855E7">
        <w:trPr>
          <w:cantSplit/>
          <w:trHeight w:val="144"/>
          <w:jc w:val="center"/>
        </w:trPr>
        <w:tc>
          <w:tcPr>
            <w:tcW w:w="5529" w:type="dxa"/>
            <w:shd w:val="clear" w:color="auto" w:fill="auto"/>
          </w:tcPr>
          <w:p w14:paraId="12138556" w14:textId="7426699D" w:rsidR="00715D86" w:rsidRPr="00792475" w:rsidRDefault="00715D86" w:rsidP="009F1981">
            <w:pPr>
              <w:pStyle w:val="TblTextCenter"/>
              <w:jc w:val="left"/>
              <w:rPr>
                <w:color w:val="000000" w:themeColor="text1"/>
              </w:rPr>
            </w:pPr>
            <w:r w:rsidRPr="00792475">
              <w:rPr>
                <w:color w:val="000000" w:themeColor="text1"/>
              </w:rPr>
              <w:t>Middle ear effusion</w:t>
            </w:r>
          </w:p>
        </w:tc>
        <w:tc>
          <w:tcPr>
            <w:tcW w:w="1922" w:type="dxa"/>
          </w:tcPr>
          <w:p w14:paraId="2A79F3D5" w14:textId="5A94EA33" w:rsidR="00715D86" w:rsidRPr="00792475" w:rsidRDefault="00715D86" w:rsidP="00175A3C">
            <w:pPr>
              <w:pStyle w:val="TblTextCenter"/>
              <w:rPr>
                <w:color w:val="000000" w:themeColor="text1"/>
              </w:rPr>
            </w:pPr>
            <w:r w:rsidRPr="00792475">
              <w:rPr>
                <w:color w:val="000000" w:themeColor="text1"/>
              </w:rPr>
              <w:t xml:space="preserve">1 (20.0) </w:t>
            </w:r>
          </w:p>
        </w:tc>
        <w:tc>
          <w:tcPr>
            <w:tcW w:w="1905" w:type="dxa"/>
            <w:shd w:val="clear" w:color="auto" w:fill="auto"/>
          </w:tcPr>
          <w:p w14:paraId="11EEDF2E" w14:textId="799D8165" w:rsidR="00715D86" w:rsidRPr="00792475" w:rsidRDefault="00715D86" w:rsidP="00175A3C">
            <w:pPr>
              <w:pStyle w:val="TblTextCenter"/>
              <w:rPr>
                <w:color w:val="000000" w:themeColor="text1"/>
              </w:rPr>
            </w:pPr>
            <w:r w:rsidRPr="00792475">
              <w:rPr>
                <w:color w:val="000000" w:themeColor="text1"/>
              </w:rPr>
              <w:t xml:space="preserve">1 (16.7) </w:t>
            </w:r>
          </w:p>
        </w:tc>
      </w:tr>
      <w:tr w:rsidR="00F33B21" w:rsidRPr="00792475" w14:paraId="6339CF16" w14:textId="77777777" w:rsidTr="000855E7">
        <w:trPr>
          <w:cantSplit/>
          <w:trHeight w:val="133"/>
          <w:jc w:val="center"/>
        </w:trPr>
        <w:tc>
          <w:tcPr>
            <w:tcW w:w="5529" w:type="dxa"/>
            <w:shd w:val="clear" w:color="auto" w:fill="auto"/>
          </w:tcPr>
          <w:p w14:paraId="798BCB13" w14:textId="00AE90BE" w:rsidR="00715D86" w:rsidRPr="00792475" w:rsidRDefault="00715D86" w:rsidP="009F1981">
            <w:pPr>
              <w:pStyle w:val="TblTextCenter"/>
              <w:jc w:val="left"/>
              <w:rPr>
                <w:color w:val="000000" w:themeColor="text1"/>
              </w:rPr>
            </w:pPr>
            <w:r w:rsidRPr="00792475">
              <w:rPr>
                <w:color w:val="000000" w:themeColor="text1"/>
              </w:rPr>
              <w:t>RESPIRATORY, THORACIC AND MEDIASTINAL DISORDERS</w:t>
            </w:r>
          </w:p>
        </w:tc>
        <w:tc>
          <w:tcPr>
            <w:tcW w:w="1922" w:type="dxa"/>
          </w:tcPr>
          <w:p w14:paraId="4C22B005" w14:textId="1DE99845" w:rsidR="00715D86" w:rsidRPr="00792475" w:rsidRDefault="00715D86" w:rsidP="00175A3C">
            <w:pPr>
              <w:pStyle w:val="TblTextCenter"/>
              <w:rPr>
                <w:color w:val="000000" w:themeColor="text1"/>
              </w:rPr>
            </w:pPr>
            <w:r w:rsidRPr="00792475">
              <w:rPr>
                <w:color w:val="000000" w:themeColor="text1"/>
              </w:rPr>
              <w:t xml:space="preserve">2 (40.0) </w:t>
            </w:r>
          </w:p>
        </w:tc>
        <w:tc>
          <w:tcPr>
            <w:tcW w:w="1905" w:type="dxa"/>
            <w:shd w:val="clear" w:color="auto" w:fill="auto"/>
          </w:tcPr>
          <w:p w14:paraId="02FA9BDB" w14:textId="238BFAD6" w:rsidR="00715D86" w:rsidRPr="00792475" w:rsidRDefault="00715D86" w:rsidP="00175A3C">
            <w:pPr>
              <w:pStyle w:val="TblTextCenter"/>
              <w:rPr>
                <w:color w:val="000000" w:themeColor="text1"/>
              </w:rPr>
            </w:pPr>
            <w:r w:rsidRPr="00792475">
              <w:rPr>
                <w:color w:val="000000" w:themeColor="text1"/>
              </w:rPr>
              <w:t xml:space="preserve">1 (16.7) </w:t>
            </w:r>
          </w:p>
        </w:tc>
      </w:tr>
      <w:tr w:rsidR="00F33B21" w:rsidRPr="00792475" w14:paraId="4D737F20" w14:textId="77777777" w:rsidTr="000855E7">
        <w:trPr>
          <w:cantSplit/>
          <w:trHeight w:val="133"/>
          <w:jc w:val="center"/>
        </w:trPr>
        <w:tc>
          <w:tcPr>
            <w:tcW w:w="5529" w:type="dxa"/>
            <w:shd w:val="clear" w:color="auto" w:fill="auto"/>
          </w:tcPr>
          <w:p w14:paraId="61567728" w14:textId="43F3814B" w:rsidR="00715D86" w:rsidRPr="00792475" w:rsidRDefault="00715D86" w:rsidP="009F1981">
            <w:pPr>
              <w:pStyle w:val="TblTextCenter"/>
              <w:jc w:val="left"/>
              <w:rPr>
                <w:color w:val="000000" w:themeColor="text1"/>
              </w:rPr>
            </w:pPr>
            <w:r w:rsidRPr="00792475">
              <w:rPr>
                <w:color w:val="000000" w:themeColor="text1"/>
              </w:rPr>
              <w:t>Cough</w:t>
            </w:r>
          </w:p>
        </w:tc>
        <w:tc>
          <w:tcPr>
            <w:tcW w:w="1922" w:type="dxa"/>
          </w:tcPr>
          <w:p w14:paraId="267489A7" w14:textId="25835E91" w:rsidR="00715D86" w:rsidRPr="00792475" w:rsidRDefault="00715D86" w:rsidP="00175A3C">
            <w:pPr>
              <w:pStyle w:val="TblTextCenter"/>
              <w:rPr>
                <w:color w:val="000000" w:themeColor="text1"/>
              </w:rPr>
            </w:pPr>
            <w:r w:rsidRPr="00792475">
              <w:rPr>
                <w:color w:val="000000" w:themeColor="text1"/>
              </w:rPr>
              <w:t xml:space="preserve">2 (40.0) </w:t>
            </w:r>
          </w:p>
        </w:tc>
        <w:tc>
          <w:tcPr>
            <w:tcW w:w="1905" w:type="dxa"/>
            <w:shd w:val="clear" w:color="auto" w:fill="auto"/>
          </w:tcPr>
          <w:p w14:paraId="4D2632B1" w14:textId="69C78635" w:rsidR="00715D86" w:rsidRPr="00792475" w:rsidRDefault="00715D86" w:rsidP="00175A3C">
            <w:pPr>
              <w:pStyle w:val="TblTextCenter"/>
              <w:rPr>
                <w:color w:val="000000" w:themeColor="text1"/>
              </w:rPr>
            </w:pPr>
            <w:r w:rsidRPr="00792475">
              <w:rPr>
                <w:color w:val="000000" w:themeColor="text1"/>
              </w:rPr>
              <w:t xml:space="preserve">0 </w:t>
            </w:r>
          </w:p>
        </w:tc>
      </w:tr>
      <w:tr w:rsidR="00F33B21" w:rsidRPr="00792475" w14:paraId="4060E6D9" w14:textId="77777777" w:rsidTr="000855E7">
        <w:trPr>
          <w:cantSplit/>
          <w:trHeight w:val="133"/>
          <w:jc w:val="center"/>
        </w:trPr>
        <w:tc>
          <w:tcPr>
            <w:tcW w:w="5529" w:type="dxa"/>
            <w:shd w:val="clear" w:color="auto" w:fill="auto"/>
          </w:tcPr>
          <w:p w14:paraId="64F5C936" w14:textId="6FB403E5" w:rsidR="00715D86" w:rsidRPr="00792475" w:rsidRDefault="00715D86" w:rsidP="009F1981">
            <w:pPr>
              <w:pStyle w:val="TblTextCenter"/>
              <w:jc w:val="left"/>
              <w:rPr>
                <w:color w:val="000000" w:themeColor="text1"/>
              </w:rPr>
            </w:pPr>
            <w:r w:rsidRPr="00792475">
              <w:rPr>
                <w:color w:val="000000" w:themeColor="text1"/>
              </w:rPr>
              <w:t>Oropharyngeal pain</w:t>
            </w:r>
          </w:p>
        </w:tc>
        <w:tc>
          <w:tcPr>
            <w:tcW w:w="1922" w:type="dxa"/>
          </w:tcPr>
          <w:p w14:paraId="085FC28F" w14:textId="3BCFAFCD" w:rsidR="00715D86" w:rsidRPr="00792475" w:rsidRDefault="00715D86" w:rsidP="00175A3C">
            <w:pPr>
              <w:pStyle w:val="TblTextCenter"/>
              <w:rPr>
                <w:color w:val="000000" w:themeColor="text1"/>
              </w:rPr>
            </w:pPr>
            <w:r w:rsidRPr="00792475">
              <w:rPr>
                <w:color w:val="000000" w:themeColor="text1"/>
              </w:rPr>
              <w:t xml:space="preserve">0 </w:t>
            </w:r>
          </w:p>
        </w:tc>
        <w:tc>
          <w:tcPr>
            <w:tcW w:w="1905" w:type="dxa"/>
            <w:shd w:val="clear" w:color="auto" w:fill="auto"/>
          </w:tcPr>
          <w:p w14:paraId="4435007F" w14:textId="5FD1A2CF" w:rsidR="00715D86" w:rsidRPr="00792475" w:rsidRDefault="00715D86" w:rsidP="00175A3C">
            <w:pPr>
              <w:pStyle w:val="TblTextCenter"/>
              <w:rPr>
                <w:color w:val="000000" w:themeColor="text1"/>
              </w:rPr>
            </w:pPr>
            <w:r w:rsidRPr="00792475">
              <w:rPr>
                <w:color w:val="000000" w:themeColor="text1"/>
              </w:rPr>
              <w:t xml:space="preserve">0 </w:t>
            </w:r>
          </w:p>
        </w:tc>
      </w:tr>
      <w:tr w:rsidR="00F33B21" w:rsidRPr="00792475" w14:paraId="056F10CA" w14:textId="77777777" w:rsidTr="000855E7">
        <w:trPr>
          <w:cantSplit/>
          <w:trHeight w:val="133"/>
          <w:jc w:val="center"/>
        </w:trPr>
        <w:tc>
          <w:tcPr>
            <w:tcW w:w="5529" w:type="dxa"/>
            <w:shd w:val="clear" w:color="auto" w:fill="auto"/>
          </w:tcPr>
          <w:p w14:paraId="64226F0E" w14:textId="680651D7" w:rsidR="00715D86" w:rsidRPr="00792475" w:rsidRDefault="00715D86" w:rsidP="009F1981">
            <w:pPr>
              <w:pStyle w:val="TblTextCenter"/>
              <w:jc w:val="left"/>
              <w:rPr>
                <w:color w:val="000000" w:themeColor="text1"/>
              </w:rPr>
            </w:pPr>
            <w:proofErr w:type="spellStart"/>
            <w:r w:rsidRPr="00792475">
              <w:rPr>
                <w:color w:val="000000" w:themeColor="text1"/>
              </w:rPr>
              <w:t>Rhinorrhoea</w:t>
            </w:r>
            <w:proofErr w:type="spellEnd"/>
          </w:p>
        </w:tc>
        <w:tc>
          <w:tcPr>
            <w:tcW w:w="1922" w:type="dxa"/>
          </w:tcPr>
          <w:p w14:paraId="09FDBFD8" w14:textId="29981E1F" w:rsidR="00715D86" w:rsidRPr="00792475" w:rsidRDefault="00715D86" w:rsidP="00175A3C">
            <w:pPr>
              <w:pStyle w:val="TblTextCenter"/>
              <w:rPr>
                <w:color w:val="000000" w:themeColor="text1"/>
              </w:rPr>
            </w:pPr>
            <w:r w:rsidRPr="00792475">
              <w:rPr>
                <w:color w:val="000000" w:themeColor="text1"/>
              </w:rPr>
              <w:t xml:space="preserve">2 (40.0) </w:t>
            </w:r>
          </w:p>
        </w:tc>
        <w:tc>
          <w:tcPr>
            <w:tcW w:w="1905" w:type="dxa"/>
            <w:shd w:val="clear" w:color="auto" w:fill="auto"/>
          </w:tcPr>
          <w:p w14:paraId="180B52AA" w14:textId="5CB795E1" w:rsidR="00715D86" w:rsidRPr="00792475" w:rsidRDefault="00715D86" w:rsidP="00175A3C">
            <w:pPr>
              <w:pStyle w:val="TblTextCenter"/>
              <w:rPr>
                <w:color w:val="000000" w:themeColor="text1"/>
              </w:rPr>
            </w:pPr>
            <w:r w:rsidRPr="00792475">
              <w:rPr>
                <w:color w:val="000000" w:themeColor="text1"/>
              </w:rPr>
              <w:t xml:space="preserve">1 (16.7) </w:t>
            </w:r>
          </w:p>
        </w:tc>
      </w:tr>
      <w:tr w:rsidR="00F33B21" w:rsidRPr="00792475" w14:paraId="2F242B83" w14:textId="77777777" w:rsidTr="000855E7">
        <w:trPr>
          <w:cantSplit/>
          <w:trHeight w:val="133"/>
          <w:jc w:val="center"/>
        </w:trPr>
        <w:tc>
          <w:tcPr>
            <w:tcW w:w="5529" w:type="dxa"/>
            <w:shd w:val="clear" w:color="auto" w:fill="auto"/>
          </w:tcPr>
          <w:p w14:paraId="0C0B03B4" w14:textId="557E8370" w:rsidR="00715D86" w:rsidRPr="00792475" w:rsidRDefault="00715D86" w:rsidP="009F1981">
            <w:pPr>
              <w:pStyle w:val="TblTextCenter"/>
              <w:jc w:val="left"/>
              <w:rPr>
                <w:color w:val="000000" w:themeColor="text1"/>
              </w:rPr>
            </w:pPr>
            <w:r w:rsidRPr="00792475">
              <w:rPr>
                <w:color w:val="000000" w:themeColor="text1"/>
              </w:rPr>
              <w:t>GASTROINTESTINAL DISORDERS</w:t>
            </w:r>
          </w:p>
        </w:tc>
        <w:tc>
          <w:tcPr>
            <w:tcW w:w="1922" w:type="dxa"/>
          </w:tcPr>
          <w:p w14:paraId="59F83DB9" w14:textId="4BC84C26" w:rsidR="00715D86" w:rsidRPr="00792475" w:rsidRDefault="00715D86" w:rsidP="00175A3C">
            <w:pPr>
              <w:pStyle w:val="TblTextCenter"/>
              <w:rPr>
                <w:color w:val="000000" w:themeColor="text1"/>
              </w:rPr>
            </w:pPr>
            <w:r w:rsidRPr="00792475">
              <w:rPr>
                <w:color w:val="000000" w:themeColor="text1"/>
              </w:rPr>
              <w:t xml:space="preserve">3 (60.0) </w:t>
            </w:r>
          </w:p>
        </w:tc>
        <w:tc>
          <w:tcPr>
            <w:tcW w:w="1905" w:type="dxa"/>
            <w:shd w:val="clear" w:color="auto" w:fill="auto"/>
          </w:tcPr>
          <w:p w14:paraId="1D99C4EB" w14:textId="66B5728B" w:rsidR="00715D86" w:rsidRPr="00792475" w:rsidRDefault="00715D86" w:rsidP="00175A3C">
            <w:pPr>
              <w:pStyle w:val="TblTextCenter"/>
              <w:rPr>
                <w:color w:val="000000" w:themeColor="text1"/>
              </w:rPr>
            </w:pPr>
            <w:r w:rsidRPr="00792475">
              <w:rPr>
                <w:color w:val="000000" w:themeColor="text1"/>
              </w:rPr>
              <w:t xml:space="preserve">3 (50.0) </w:t>
            </w:r>
          </w:p>
        </w:tc>
      </w:tr>
      <w:tr w:rsidR="00F33B21" w:rsidRPr="00792475" w14:paraId="2508FA38" w14:textId="77777777" w:rsidTr="000855E7">
        <w:trPr>
          <w:cantSplit/>
          <w:trHeight w:val="133"/>
          <w:jc w:val="center"/>
        </w:trPr>
        <w:tc>
          <w:tcPr>
            <w:tcW w:w="5529" w:type="dxa"/>
            <w:shd w:val="clear" w:color="auto" w:fill="auto"/>
          </w:tcPr>
          <w:p w14:paraId="1159E1C7" w14:textId="718553D3" w:rsidR="00715D86" w:rsidRPr="00792475" w:rsidRDefault="00715D86" w:rsidP="009F1981">
            <w:pPr>
              <w:pStyle w:val="TblTextCenter"/>
              <w:jc w:val="left"/>
              <w:rPr>
                <w:color w:val="000000" w:themeColor="text1"/>
              </w:rPr>
            </w:pPr>
            <w:proofErr w:type="spellStart"/>
            <w:r w:rsidRPr="00792475">
              <w:rPr>
                <w:color w:val="000000" w:themeColor="text1"/>
              </w:rPr>
              <w:t>Diarrhoea</w:t>
            </w:r>
            <w:proofErr w:type="spellEnd"/>
          </w:p>
        </w:tc>
        <w:tc>
          <w:tcPr>
            <w:tcW w:w="1922" w:type="dxa"/>
          </w:tcPr>
          <w:p w14:paraId="6D018DD6" w14:textId="5E1E332E" w:rsidR="00715D86" w:rsidRPr="00792475" w:rsidRDefault="00715D86" w:rsidP="00175A3C">
            <w:pPr>
              <w:pStyle w:val="TblTextCenter"/>
              <w:rPr>
                <w:color w:val="000000" w:themeColor="text1"/>
              </w:rPr>
            </w:pPr>
            <w:r w:rsidRPr="00792475">
              <w:rPr>
                <w:color w:val="000000" w:themeColor="text1"/>
              </w:rPr>
              <w:t xml:space="preserve">2 (40.0) </w:t>
            </w:r>
          </w:p>
        </w:tc>
        <w:tc>
          <w:tcPr>
            <w:tcW w:w="1905" w:type="dxa"/>
            <w:shd w:val="clear" w:color="auto" w:fill="auto"/>
          </w:tcPr>
          <w:p w14:paraId="4037501B" w14:textId="2364CC62" w:rsidR="00715D86" w:rsidRPr="00792475" w:rsidRDefault="00715D86" w:rsidP="00175A3C">
            <w:pPr>
              <w:pStyle w:val="TblTextCenter"/>
              <w:rPr>
                <w:color w:val="000000" w:themeColor="text1"/>
              </w:rPr>
            </w:pPr>
            <w:r w:rsidRPr="00792475">
              <w:rPr>
                <w:color w:val="000000" w:themeColor="text1"/>
              </w:rPr>
              <w:t xml:space="preserve">0 </w:t>
            </w:r>
          </w:p>
        </w:tc>
      </w:tr>
      <w:tr w:rsidR="00F33B21" w:rsidRPr="00792475" w14:paraId="238DF6BB" w14:textId="77777777" w:rsidTr="000855E7">
        <w:trPr>
          <w:cantSplit/>
          <w:trHeight w:val="133"/>
          <w:jc w:val="center"/>
        </w:trPr>
        <w:tc>
          <w:tcPr>
            <w:tcW w:w="5529" w:type="dxa"/>
            <w:shd w:val="clear" w:color="auto" w:fill="auto"/>
          </w:tcPr>
          <w:p w14:paraId="52DA358A" w14:textId="22EDB453" w:rsidR="00715D86" w:rsidRPr="00792475" w:rsidRDefault="00715D86" w:rsidP="009F1981">
            <w:pPr>
              <w:pStyle w:val="TblTextCenter"/>
              <w:jc w:val="left"/>
              <w:rPr>
                <w:color w:val="000000" w:themeColor="text1"/>
              </w:rPr>
            </w:pPr>
            <w:r w:rsidRPr="00792475">
              <w:rPr>
                <w:color w:val="000000" w:themeColor="text1"/>
              </w:rPr>
              <w:t>Vomiting</w:t>
            </w:r>
          </w:p>
        </w:tc>
        <w:tc>
          <w:tcPr>
            <w:tcW w:w="1922" w:type="dxa"/>
          </w:tcPr>
          <w:p w14:paraId="16EE941E" w14:textId="479E62B2" w:rsidR="00715D86" w:rsidRPr="00792475" w:rsidRDefault="00715D86" w:rsidP="00175A3C">
            <w:pPr>
              <w:pStyle w:val="TblTextCenter"/>
              <w:rPr>
                <w:color w:val="000000" w:themeColor="text1"/>
              </w:rPr>
            </w:pPr>
            <w:r w:rsidRPr="00792475">
              <w:rPr>
                <w:color w:val="000000" w:themeColor="text1"/>
              </w:rPr>
              <w:t xml:space="preserve">2 (40.0) </w:t>
            </w:r>
          </w:p>
        </w:tc>
        <w:tc>
          <w:tcPr>
            <w:tcW w:w="1905" w:type="dxa"/>
            <w:shd w:val="clear" w:color="auto" w:fill="auto"/>
          </w:tcPr>
          <w:p w14:paraId="1844D437" w14:textId="6FAB3A75" w:rsidR="00715D86" w:rsidRPr="00792475" w:rsidRDefault="00715D86" w:rsidP="00175A3C">
            <w:pPr>
              <w:pStyle w:val="TblTextCenter"/>
              <w:rPr>
                <w:color w:val="000000" w:themeColor="text1"/>
              </w:rPr>
            </w:pPr>
            <w:r w:rsidRPr="00792475">
              <w:rPr>
                <w:color w:val="000000" w:themeColor="text1"/>
              </w:rPr>
              <w:t xml:space="preserve">3 (50.0) </w:t>
            </w:r>
          </w:p>
        </w:tc>
      </w:tr>
      <w:tr w:rsidR="00F33B21" w:rsidRPr="00792475" w14:paraId="5658670C" w14:textId="77777777" w:rsidTr="000855E7">
        <w:trPr>
          <w:cantSplit/>
          <w:trHeight w:val="133"/>
          <w:jc w:val="center"/>
        </w:trPr>
        <w:tc>
          <w:tcPr>
            <w:tcW w:w="5529" w:type="dxa"/>
            <w:shd w:val="clear" w:color="auto" w:fill="auto"/>
          </w:tcPr>
          <w:p w14:paraId="626951CA" w14:textId="142B9292" w:rsidR="00715D86" w:rsidRPr="00792475" w:rsidRDefault="00715D86" w:rsidP="009F1981">
            <w:pPr>
              <w:pStyle w:val="TblTextCenter"/>
              <w:jc w:val="left"/>
              <w:rPr>
                <w:color w:val="000000" w:themeColor="text1"/>
              </w:rPr>
            </w:pPr>
            <w:r w:rsidRPr="00792475">
              <w:rPr>
                <w:color w:val="000000" w:themeColor="text1"/>
              </w:rPr>
              <w:t>Abdominal pain</w:t>
            </w:r>
          </w:p>
        </w:tc>
        <w:tc>
          <w:tcPr>
            <w:tcW w:w="1922" w:type="dxa"/>
          </w:tcPr>
          <w:p w14:paraId="0D3D1F7C" w14:textId="223D3197" w:rsidR="00715D86" w:rsidRPr="00792475" w:rsidRDefault="00715D86" w:rsidP="00175A3C">
            <w:pPr>
              <w:pStyle w:val="TblTextCenter"/>
              <w:rPr>
                <w:color w:val="000000" w:themeColor="text1"/>
              </w:rPr>
            </w:pPr>
            <w:r w:rsidRPr="00792475">
              <w:rPr>
                <w:color w:val="000000" w:themeColor="text1"/>
              </w:rPr>
              <w:t xml:space="preserve">1 (20.0) </w:t>
            </w:r>
          </w:p>
        </w:tc>
        <w:tc>
          <w:tcPr>
            <w:tcW w:w="1905" w:type="dxa"/>
            <w:shd w:val="clear" w:color="auto" w:fill="auto"/>
          </w:tcPr>
          <w:p w14:paraId="7D739642" w14:textId="59B4EEE1" w:rsidR="00715D86" w:rsidRPr="00792475" w:rsidRDefault="00715D86" w:rsidP="00175A3C">
            <w:pPr>
              <w:pStyle w:val="TblTextCenter"/>
              <w:rPr>
                <w:color w:val="000000" w:themeColor="text1"/>
              </w:rPr>
            </w:pPr>
            <w:r w:rsidRPr="00792475">
              <w:rPr>
                <w:color w:val="000000" w:themeColor="text1"/>
              </w:rPr>
              <w:t xml:space="preserve">0 </w:t>
            </w:r>
          </w:p>
        </w:tc>
      </w:tr>
      <w:tr w:rsidR="00F33B21" w:rsidRPr="00792475" w14:paraId="0993A73E" w14:textId="77777777" w:rsidTr="000855E7">
        <w:trPr>
          <w:cantSplit/>
          <w:trHeight w:val="133"/>
          <w:jc w:val="center"/>
        </w:trPr>
        <w:tc>
          <w:tcPr>
            <w:tcW w:w="5529" w:type="dxa"/>
            <w:shd w:val="clear" w:color="auto" w:fill="auto"/>
          </w:tcPr>
          <w:p w14:paraId="07E87BE3" w14:textId="66A2AA47" w:rsidR="00715D86" w:rsidRPr="00792475" w:rsidRDefault="00715D86" w:rsidP="009F1981">
            <w:pPr>
              <w:pStyle w:val="TblTextCenter"/>
              <w:jc w:val="left"/>
              <w:rPr>
                <w:color w:val="000000" w:themeColor="text1"/>
              </w:rPr>
            </w:pPr>
            <w:r w:rsidRPr="00792475">
              <w:rPr>
                <w:color w:val="000000" w:themeColor="text1"/>
              </w:rPr>
              <w:t>Toothache</w:t>
            </w:r>
          </w:p>
        </w:tc>
        <w:tc>
          <w:tcPr>
            <w:tcW w:w="1922" w:type="dxa"/>
          </w:tcPr>
          <w:p w14:paraId="3E81B733" w14:textId="20A4290D" w:rsidR="00715D86" w:rsidRPr="00792475" w:rsidRDefault="00715D86" w:rsidP="00175A3C">
            <w:pPr>
              <w:pStyle w:val="TblTextCenter"/>
              <w:rPr>
                <w:color w:val="000000" w:themeColor="text1"/>
              </w:rPr>
            </w:pPr>
            <w:r w:rsidRPr="00792475">
              <w:rPr>
                <w:color w:val="000000" w:themeColor="text1"/>
              </w:rPr>
              <w:t xml:space="preserve">0 </w:t>
            </w:r>
          </w:p>
        </w:tc>
        <w:tc>
          <w:tcPr>
            <w:tcW w:w="1905" w:type="dxa"/>
            <w:shd w:val="clear" w:color="auto" w:fill="auto"/>
          </w:tcPr>
          <w:p w14:paraId="7CE573AD" w14:textId="7CED812E" w:rsidR="00715D86" w:rsidRPr="00792475" w:rsidRDefault="00715D86" w:rsidP="00175A3C">
            <w:pPr>
              <w:pStyle w:val="TblTextCenter"/>
              <w:rPr>
                <w:color w:val="000000" w:themeColor="text1"/>
              </w:rPr>
            </w:pPr>
            <w:r w:rsidRPr="00792475">
              <w:rPr>
                <w:color w:val="000000" w:themeColor="text1"/>
              </w:rPr>
              <w:t xml:space="preserve">0 </w:t>
            </w:r>
          </w:p>
        </w:tc>
      </w:tr>
      <w:tr w:rsidR="00F33B21" w:rsidRPr="00792475" w14:paraId="320BB7AE" w14:textId="77777777" w:rsidTr="000855E7">
        <w:trPr>
          <w:cantSplit/>
          <w:trHeight w:val="133"/>
          <w:jc w:val="center"/>
        </w:trPr>
        <w:tc>
          <w:tcPr>
            <w:tcW w:w="5529" w:type="dxa"/>
            <w:shd w:val="clear" w:color="auto" w:fill="auto"/>
          </w:tcPr>
          <w:p w14:paraId="5464C8C7" w14:textId="096B4B53" w:rsidR="00715D86" w:rsidRPr="00792475" w:rsidRDefault="00715D86" w:rsidP="009F1981">
            <w:pPr>
              <w:pStyle w:val="TblTextCenter"/>
              <w:jc w:val="left"/>
              <w:rPr>
                <w:color w:val="000000" w:themeColor="text1"/>
              </w:rPr>
            </w:pPr>
            <w:r w:rsidRPr="00792475">
              <w:rPr>
                <w:color w:val="000000" w:themeColor="text1"/>
              </w:rPr>
              <w:t>Nausea</w:t>
            </w:r>
          </w:p>
        </w:tc>
        <w:tc>
          <w:tcPr>
            <w:tcW w:w="1922" w:type="dxa"/>
          </w:tcPr>
          <w:p w14:paraId="5C20693C" w14:textId="54C79E3B" w:rsidR="00715D86" w:rsidRPr="00792475" w:rsidRDefault="00715D86" w:rsidP="00175A3C">
            <w:pPr>
              <w:pStyle w:val="TblTextCenter"/>
              <w:rPr>
                <w:color w:val="000000" w:themeColor="text1"/>
              </w:rPr>
            </w:pPr>
            <w:r w:rsidRPr="00792475">
              <w:rPr>
                <w:color w:val="000000" w:themeColor="text1"/>
              </w:rPr>
              <w:t xml:space="preserve">1 (20.0) </w:t>
            </w:r>
          </w:p>
        </w:tc>
        <w:tc>
          <w:tcPr>
            <w:tcW w:w="1905" w:type="dxa"/>
            <w:shd w:val="clear" w:color="auto" w:fill="auto"/>
          </w:tcPr>
          <w:p w14:paraId="3977552F" w14:textId="115DF22D" w:rsidR="00715D86" w:rsidRPr="00792475" w:rsidRDefault="00715D86" w:rsidP="00175A3C">
            <w:pPr>
              <w:pStyle w:val="TblTextCenter"/>
              <w:rPr>
                <w:color w:val="000000" w:themeColor="text1"/>
              </w:rPr>
            </w:pPr>
            <w:r w:rsidRPr="00792475">
              <w:rPr>
                <w:color w:val="000000" w:themeColor="text1"/>
              </w:rPr>
              <w:t xml:space="preserve">1 (16.7) </w:t>
            </w:r>
          </w:p>
        </w:tc>
      </w:tr>
      <w:tr w:rsidR="00F33B21" w:rsidRPr="00792475" w14:paraId="6F7230A0" w14:textId="77777777" w:rsidTr="000855E7">
        <w:trPr>
          <w:cantSplit/>
          <w:trHeight w:val="133"/>
          <w:jc w:val="center"/>
        </w:trPr>
        <w:tc>
          <w:tcPr>
            <w:tcW w:w="5529" w:type="dxa"/>
            <w:shd w:val="clear" w:color="auto" w:fill="auto"/>
          </w:tcPr>
          <w:p w14:paraId="35841C60" w14:textId="74356759" w:rsidR="00715D86" w:rsidRPr="00792475" w:rsidRDefault="00715D86" w:rsidP="009F1981">
            <w:pPr>
              <w:pStyle w:val="TblTextCenter"/>
              <w:jc w:val="left"/>
              <w:rPr>
                <w:color w:val="000000" w:themeColor="text1"/>
              </w:rPr>
            </w:pPr>
            <w:r w:rsidRPr="00792475">
              <w:rPr>
                <w:color w:val="000000" w:themeColor="text1"/>
              </w:rPr>
              <w:t>SKIN AND SUBCUTANEOUS TISSUE DISORDERS</w:t>
            </w:r>
          </w:p>
        </w:tc>
        <w:tc>
          <w:tcPr>
            <w:tcW w:w="1922" w:type="dxa"/>
          </w:tcPr>
          <w:p w14:paraId="4BB076F8" w14:textId="090E145B" w:rsidR="00715D86" w:rsidRPr="00792475" w:rsidRDefault="00715D86" w:rsidP="00175A3C">
            <w:pPr>
              <w:pStyle w:val="TblTextCenter"/>
              <w:rPr>
                <w:color w:val="000000" w:themeColor="text1"/>
              </w:rPr>
            </w:pPr>
            <w:r w:rsidRPr="00792475">
              <w:rPr>
                <w:color w:val="000000" w:themeColor="text1"/>
              </w:rPr>
              <w:t xml:space="preserve">2 (40.0) </w:t>
            </w:r>
          </w:p>
        </w:tc>
        <w:tc>
          <w:tcPr>
            <w:tcW w:w="1905" w:type="dxa"/>
            <w:shd w:val="clear" w:color="auto" w:fill="auto"/>
          </w:tcPr>
          <w:p w14:paraId="284162A6" w14:textId="6272082C" w:rsidR="00715D86" w:rsidRPr="00792475" w:rsidRDefault="00715D86" w:rsidP="00175A3C">
            <w:pPr>
              <w:pStyle w:val="TblTextCenter"/>
              <w:rPr>
                <w:color w:val="000000" w:themeColor="text1"/>
              </w:rPr>
            </w:pPr>
            <w:r w:rsidRPr="00792475">
              <w:rPr>
                <w:color w:val="000000" w:themeColor="text1"/>
              </w:rPr>
              <w:t xml:space="preserve">1 (16.7) </w:t>
            </w:r>
          </w:p>
        </w:tc>
      </w:tr>
      <w:tr w:rsidR="00F33B21" w:rsidRPr="00792475" w14:paraId="65D71F00" w14:textId="77777777" w:rsidTr="000855E7">
        <w:trPr>
          <w:cantSplit/>
          <w:trHeight w:val="133"/>
          <w:jc w:val="center"/>
        </w:trPr>
        <w:tc>
          <w:tcPr>
            <w:tcW w:w="5529" w:type="dxa"/>
            <w:shd w:val="clear" w:color="auto" w:fill="auto"/>
          </w:tcPr>
          <w:p w14:paraId="10F2DEC1" w14:textId="3FCAA403" w:rsidR="00715D86" w:rsidRPr="00792475" w:rsidRDefault="00715D86" w:rsidP="009F1981">
            <w:pPr>
              <w:pStyle w:val="TblTextCenter"/>
              <w:jc w:val="left"/>
              <w:rPr>
                <w:color w:val="000000" w:themeColor="text1"/>
              </w:rPr>
            </w:pPr>
            <w:r w:rsidRPr="00792475">
              <w:rPr>
                <w:color w:val="000000" w:themeColor="text1"/>
              </w:rPr>
              <w:t>Rash</w:t>
            </w:r>
          </w:p>
        </w:tc>
        <w:tc>
          <w:tcPr>
            <w:tcW w:w="1922" w:type="dxa"/>
          </w:tcPr>
          <w:p w14:paraId="2A07C203" w14:textId="7C2F8F24" w:rsidR="00715D86" w:rsidRPr="00792475" w:rsidRDefault="00715D86" w:rsidP="00175A3C">
            <w:pPr>
              <w:pStyle w:val="TblTextCenter"/>
              <w:rPr>
                <w:color w:val="000000" w:themeColor="text1"/>
              </w:rPr>
            </w:pPr>
            <w:r w:rsidRPr="00792475">
              <w:rPr>
                <w:color w:val="000000" w:themeColor="text1"/>
              </w:rPr>
              <w:t xml:space="preserve">2 (40.0) </w:t>
            </w:r>
          </w:p>
        </w:tc>
        <w:tc>
          <w:tcPr>
            <w:tcW w:w="1905" w:type="dxa"/>
            <w:shd w:val="clear" w:color="auto" w:fill="auto"/>
          </w:tcPr>
          <w:p w14:paraId="50584836" w14:textId="4BD0F304" w:rsidR="00715D86" w:rsidRPr="00792475" w:rsidRDefault="00715D86" w:rsidP="00175A3C">
            <w:pPr>
              <w:pStyle w:val="TblTextCenter"/>
              <w:rPr>
                <w:color w:val="000000" w:themeColor="text1"/>
              </w:rPr>
            </w:pPr>
            <w:r w:rsidRPr="00792475">
              <w:rPr>
                <w:color w:val="000000" w:themeColor="text1"/>
              </w:rPr>
              <w:t xml:space="preserve">1 (16.7) </w:t>
            </w:r>
          </w:p>
        </w:tc>
      </w:tr>
      <w:tr w:rsidR="00F33B21" w:rsidRPr="00792475" w14:paraId="1BCC6B87" w14:textId="77777777" w:rsidTr="000855E7">
        <w:trPr>
          <w:cantSplit/>
          <w:trHeight w:val="133"/>
          <w:jc w:val="center"/>
        </w:trPr>
        <w:tc>
          <w:tcPr>
            <w:tcW w:w="5529" w:type="dxa"/>
            <w:shd w:val="clear" w:color="auto" w:fill="auto"/>
          </w:tcPr>
          <w:p w14:paraId="412886A5" w14:textId="5C02E978" w:rsidR="00715D86" w:rsidRPr="00792475" w:rsidRDefault="00715D86" w:rsidP="009F1981">
            <w:pPr>
              <w:pStyle w:val="TblTextCenter"/>
              <w:jc w:val="left"/>
              <w:rPr>
                <w:color w:val="000000" w:themeColor="text1"/>
              </w:rPr>
            </w:pPr>
            <w:r w:rsidRPr="00792475">
              <w:rPr>
                <w:color w:val="000000" w:themeColor="text1"/>
              </w:rPr>
              <w:t>MUSCULOSKELETAL AND CONNECTIVE TISSUE DISORDERS</w:t>
            </w:r>
          </w:p>
        </w:tc>
        <w:tc>
          <w:tcPr>
            <w:tcW w:w="1922" w:type="dxa"/>
          </w:tcPr>
          <w:p w14:paraId="5DB8CB7F" w14:textId="47935F19" w:rsidR="00715D86" w:rsidRPr="00792475" w:rsidRDefault="00715D86" w:rsidP="00175A3C">
            <w:pPr>
              <w:pStyle w:val="TblTextCenter"/>
              <w:rPr>
                <w:color w:val="000000" w:themeColor="text1"/>
              </w:rPr>
            </w:pPr>
            <w:r w:rsidRPr="00792475">
              <w:rPr>
                <w:color w:val="000000" w:themeColor="text1"/>
              </w:rPr>
              <w:t xml:space="preserve">1 (20.0) </w:t>
            </w:r>
          </w:p>
        </w:tc>
        <w:tc>
          <w:tcPr>
            <w:tcW w:w="1905" w:type="dxa"/>
            <w:shd w:val="clear" w:color="auto" w:fill="auto"/>
          </w:tcPr>
          <w:p w14:paraId="4AC251E4" w14:textId="06AAB39A" w:rsidR="00715D86" w:rsidRPr="00792475" w:rsidRDefault="00715D86" w:rsidP="00175A3C">
            <w:pPr>
              <w:pStyle w:val="TblTextCenter"/>
              <w:rPr>
                <w:color w:val="000000" w:themeColor="text1"/>
              </w:rPr>
            </w:pPr>
            <w:r w:rsidRPr="00792475">
              <w:rPr>
                <w:color w:val="000000" w:themeColor="text1"/>
              </w:rPr>
              <w:t xml:space="preserve">0 </w:t>
            </w:r>
          </w:p>
        </w:tc>
      </w:tr>
      <w:tr w:rsidR="00F33B21" w:rsidRPr="00792475" w14:paraId="0753EC33" w14:textId="77777777" w:rsidTr="000855E7">
        <w:trPr>
          <w:cantSplit/>
          <w:trHeight w:val="133"/>
          <w:jc w:val="center"/>
        </w:trPr>
        <w:tc>
          <w:tcPr>
            <w:tcW w:w="5529" w:type="dxa"/>
            <w:shd w:val="clear" w:color="auto" w:fill="auto"/>
          </w:tcPr>
          <w:p w14:paraId="6C4C2019" w14:textId="76C38D63" w:rsidR="00715D86" w:rsidRPr="00792475" w:rsidRDefault="00715D86" w:rsidP="009F1981">
            <w:pPr>
              <w:pStyle w:val="TblTextCenter"/>
              <w:jc w:val="left"/>
              <w:rPr>
                <w:color w:val="000000" w:themeColor="text1"/>
              </w:rPr>
            </w:pPr>
            <w:r w:rsidRPr="00792475">
              <w:rPr>
                <w:color w:val="000000" w:themeColor="text1"/>
              </w:rPr>
              <w:t>Pain in extremity</w:t>
            </w:r>
          </w:p>
        </w:tc>
        <w:tc>
          <w:tcPr>
            <w:tcW w:w="1922" w:type="dxa"/>
          </w:tcPr>
          <w:p w14:paraId="2E2E39F0" w14:textId="7BB42835" w:rsidR="00715D86" w:rsidRPr="00792475" w:rsidRDefault="00715D86" w:rsidP="00175A3C">
            <w:pPr>
              <w:pStyle w:val="TblTextCenter"/>
              <w:rPr>
                <w:color w:val="000000" w:themeColor="text1"/>
              </w:rPr>
            </w:pPr>
            <w:r w:rsidRPr="00792475">
              <w:rPr>
                <w:color w:val="000000" w:themeColor="text1"/>
              </w:rPr>
              <w:t xml:space="preserve">1 (20.0) </w:t>
            </w:r>
          </w:p>
        </w:tc>
        <w:tc>
          <w:tcPr>
            <w:tcW w:w="1905" w:type="dxa"/>
            <w:shd w:val="clear" w:color="auto" w:fill="auto"/>
          </w:tcPr>
          <w:p w14:paraId="3F785B50" w14:textId="1563BBF4" w:rsidR="00715D86" w:rsidRPr="00792475" w:rsidRDefault="00715D86" w:rsidP="00175A3C">
            <w:pPr>
              <w:pStyle w:val="TblTextCenter"/>
              <w:rPr>
                <w:color w:val="000000" w:themeColor="text1"/>
              </w:rPr>
            </w:pPr>
            <w:r w:rsidRPr="00792475">
              <w:rPr>
                <w:color w:val="000000" w:themeColor="text1"/>
              </w:rPr>
              <w:t xml:space="preserve">0 </w:t>
            </w:r>
          </w:p>
        </w:tc>
      </w:tr>
      <w:tr w:rsidR="00F33B21" w:rsidRPr="00792475" w14:paraId="62799C48" w14:textId="77777777" w:rsidTr="000855E7">
        <w:trPr>
          <w:cantSplit/>
          <w:trHeight w:val="133"/>
          <w:jc w:val="center"/>
        </w:trPr>
        <w:tc>
          <w:tcPr>
            <w:tcW w:w="5529" w:type="dxa"/>
            <w:shd w:val="clear" w:color="auto" w:fill="auto"/>
          </w:tcPr>
          <w:p w14:paraId="40E35910" w14:textId="47140547" w:rsidR="00715D86" w:rsidRPr="00792475" w:rsidRDefault="00715D86" w:rsidP="009F1981">
            <w:pPr>
              <w:pStyle w:val="TblTextCenter"/>
              <w:jc w:val="left"/>
              <w:rPr>
                <w:color w:val="000000" w:themeColor="text1"/>
              </w:rPr>
            </w:pPr>
            <w:r w:rsidRPr="00792475">
              <w:rPr>
                <w:color w:val="000000" w:themeColor="text1"/>
              </w:rPr>
              <w:t>GENERAL DISORDERS AND ADMINISTRATION SITE CONDITIONS</w:t>
            </w:r>
          </w:p>
        </w:tc>
        <w:tc>
          <w:tcPr>
            <w:tcW w:w="1922" w:type="dxa"/>
          </w:tcPr>
          <w:p w14:paraId="2041797B" w14:textId="49776932" w:rsidR="00715D86" w:rsidRPr="00792475" w:rsidRDefault="00715D86" w:rsidP="00175A3C">
            <w:pPr>
              <w:pStyle w:val="TblTextCenter"/>
              <w:rPr>
                <w:color w:val="000000" w:themeColor="text1"/>
              </w:rPr>
            </w:pPr>
            <w:r w:rsidRPr="00792475">
              <w:rPr>
                <w:color w:val="000000" w:themeColor="text1"/>
              </w:rPr>
              <w:t xml:space="preserve">2 (40.0) </w:t>
            </w:r>
          </w:p>
        </w:tc>
        <w:tc>
          <w:tcPr>
            <w:tcW w:w="1905" w:type="dxa"/>
            <w:shd w:val="clear" w:color="auto" w:fill="auto"/>
          </w:tcPr>
          <w:p w14:paraId="6CDC8224" w14:textId="3E716BCD" w:rsidR="00715D86" w:rsidRPr="00792475" w:rsidRDefault="00715D86" w:rsidP="00175A3C">
            <w:pPr>
              <w:pStyle w:val="TblTextCenter"/>
              <w:rPr>
                <w:color w:val="000000" w:themeColor="text1"/>
              </w:rPr>
            </w:pPr>
            <w:r w:rsidRPr="00792475">
              <w:rPr>
                <w:color w:val="000000" w:themeColor="text1"/>
              </w:rPr>
              <w:t xml:space="preserve">1 (16.7) </w:t>
            </w:r>
          </w:p>
        </w:tc>
      </w:tr>
      <w:tr w:rsidR="00F33B21" w:rsidRPr="00792475" w14:paraId="3BE5B9BD" w14:textId="77777777" w:rsidTr="000855E7">
        <w:trPr>
          <w:cantSplit/>
          <w:trHeight w:val="133"/>
          <w:jc w:val="center"/>
        </w:trPr>
        <w:tc>
          <w:tcPr>
            <w:tcW w:w="5529" w:type="dxa"/>
            <w:shd w:val="clear" w:color="auto" w:fill="auto"/>
          </w:tcPr>
          <w:p w14:paraId="75A518A5" w14:textId="661B4770" w:rsidR="00715D86" w:rsidRPr="00792475" w:rsidRDefault="00715D86" w:rsidP="009F1981">
            <w:pPr>
              <w:pStyle w:val="TblTextCenter"/>
              <w:jc w:val="left"/>
              <w:rPr>
                <w:color w:val="000000" w:themeColor="text1"/>
              </w:rPr>
            </w:pPr>
            <w:r w:rsidRPr="00792475">
              <w:rPr>
                <w:color w:val="000000" w:themeColor="text1"/>
              </w:rPr>
              <w:t>Pyrexia</w:t>
            </w:r>
          </w:p>
        </w:tc>
        <w:tc>
          <w:tcPr>
            <w:tcW w:w="1922" w:type="dxa"/>
          </w:tcPr>
          <w:p w14:paraId="0889AAC6" w14:textId="050B8B65" w:rsidR="00715D86" w:rsidRPr="00792475" w:rsidRDefault="00715D86" w:rsidP="00175A3C">
            <w:pPr>
              <w:pStyle w:val="TblTextCenter"/>
              <w:rPr>
                <w:color w:val="000000" w:themeColor="text1"/>
              </w:rPr>
            </w:pPr>
            <w:r w:rsidRPr="00792475">
              <w:rPr>
                <w:color w:val="000000" w:themeColor="text1"/>
              </w:rPr>
              <w:t xml:space="preserve">2 (40.0) </w:t>
            </w:r>
          </w:p>
        </w:tc>
        <w:tc>
          <w:tcPr>
            <w:tcW w:w="1905" w:type="dxa"/>
            <w:shd w:val="clear" w:color="auto" w:fill="auto"/>
          </w:tcPr>
          <w:p w14:paraId="59AF79EF" w14:textId="0ADE2DA4" w:rsidR="00715D86" w:rsidRPr="00792475" w:rsidRDefault="00715D86" w:rsidP="00175A3C">
            <w:pPr>
              <w:pStyle w:val="TblTextCenter"/>
              <w:rPr>
                <w:color w:val="000000" w:themeColor="text1"/>
              </w:rPr>
            </w:pPr>
            <w:r w:rsidRPr="00792475">
              <w:rPr>
                <w:color w:val="000000" w:themeColor="text1"/>
              </w:rPr>
              <w:t xml:space="preserve">1 (16.7) </w:t>
            </w:r>
          </w:p>
        </w:tc>
      </w:tr>
      <w:tr w:rsidR="00F33B21" w:rsidRPr="00792475" w14:paraId="26F0B2C5" w14:textId="77777777" w:rsidTr="000855E7">
        <w:trPr>
          <w:cantSplit/>
          <w:trHeight w:val="133"/>
          <w:jc w:val="center"/>
        </w:trPr>
        <w:tc>
          <w:tcPr>
            <w:tcW w:w="5529" w:type="dxa"/>
            <w:shd w:val="clear" w:color="auto" w:fill="auto"/>
          </w:tcPr>
          <w:p w14:paraId="3D8D5D4D" w14:textId="3F907AF0" w:rsidR="00715D86" w:rsidRPr="00792475" w:rsidRDefault="00715D86" w:rsidP="009F1981">
            <w:pPr>
              <w:pStyle w:val="TblTextCenter"/>
              <w:jc w:val="left"/>
              <w:rPr>
                <w:color w:val="000000" w:themeColor="text1"/>
              </w:rPr>
            </w:pPr>
            <w:r w:rsidRPr="00792475">
              <w:rPr>
                <w:color w:val="000000" w:themeColor="text1"/>
              </w:rPr>
              <w:t>INJURY, POISONING AND PROCEDURAL COMPLICATIONS</w:t>
            </w:r>
          </w:p>
        </w:tc>
        <w:tc>
          <w:tcPr>
            <w:tcW w:w="1922" w:type="dxa"/>
          </w:tcPr>
          <w:p w14:paraId="6ED4B43A" w14:textId="26EF4835" w:rsidR="00715D86" w:rsidRPr="00792475" w:rsidRDefault="00715D86" w:rsidP="00175A3C">
            <w:pPr>
              <w:pStyle w:val="TblTextCenter"/>
              <w:rPr>
                <w:color w:val="000000" w:themeColor="text1"/>
              </w:rPr>
            </w:pPr>
            <w:r w:rsidRPr="00792475">
              <w:rPr>
                <w:color w:val="000000" w:themeColor="text1"/>
              </w:rPr>
              <w:t xml:space="preserve">0 </w:t>
            </w:r>
          </w:p>
        </w:tc>
        <w:tc>
          <w:tcPr>
            <w:tcW w:w="1905" w:type="dxa"/>
            <w:shd w:val="clear" w:color="auto" w:fill="auto"/>
          </w:tcPr>
          <w:p w14:paraId="7341308E" w14:textId="24691844" w:rsidR="00715D86" w:rsidRPr="00792475" w:rsidRDefault="00715D86" w:rsidP="00175A3C">
            <w:pPr>
              <w:pStyle w:val="TblTextCenter"/>
              <w:rPr>
                <w:color w:val="000000" w:themeColor="text1"/>
              </w:rPr>
            </w:pPr>
            <w:r w:rsidRPr="00792475">
              <w:rPr>
                <w:color w:val="000000" w:themeColor="text1"/>
              </w:rPr>
              <w:t xml:space="preserve">0 </w:t>
            </w:r>
          </w:p>
        </w:tc>
      </w:tr>
      <w:tr w:rsidR="00F33B21" w:rsidRPr="00792475" w14:paraId="56FA02A1" w14:textId="77777777" w:rsidTr="000855E7">
        <w:trPr>
          <w:cantSplit/>
          <w:trHeight w:val="133"/>
          <w:jc w:val="center"/>
        </w:trPr>
        <w:tc>
          <w:tcPr>
            <w:tcW w:w="5529" w:type="dxa"/>
            <w:shd w:val="clear" w:color="auto" w:fill="auto"/>
          </w:tcPr>
          <w:p w14:paraId="55CD45CD" w14:textId="24C92E91" w:rsidR="00715D86" w:rsidRPr="00792475" w:rsidRDefault="00715D86" w:rsidP="009F1981">
            <w:pPr>
              <w:pStyle w:val="TblTextCenter"/>
              <w:jc w:val="left"/>
              <w:rPr>
                <w:color w:val="000000" w:themeColor="text1"/>
              </w:rPr>
            </w:pPr>
            <w:r w:rsidRPr="00792475">
              <w:rPr>
                <w:color w:val="000000" w:themeColor="text1"/>
              </w:rPr>
              <w:t>Fall</w:t>
            </w:r>
          </w:p>
        </w:tc>
        <w:tc>
          <w:tcPr>
            <w:tcW w:w="1922" w:type="dxa"/>
          </w:tcPr>
          <w:p w14:paraId="04ADE9F9" w14:textId="44B1DAAB" w:rsidR="00715D86" w:rsidRPr="00792475" w:rsidRDefault="00715D86" w:rsidP="00175A3C">
            <w:pPr>
              <w:pStyle w:val="TblTextCenter"/>
              <w:rPr>
                <w:color w:val="000000" w:themeColor="text1"/>
              </w:rPr>
            </w:pPr>
            <w:r w:rsidRPr="00792475">
              <w:rPr>
                <w:color w:val="000000" w:themeColor="text1"/>
              </w:rPr>
              <w:t xml:space="preserve">0 </w:t>
            </w:r>
          </w:p>
        </w:tc>
        <w:tc>
          <w:tcPr>
            <w:tcW w:w="1905" w:type="dxa"/>
            <w:shd w:val="clear" w:color="auto" w:fill="auto"/>
          </w:tcPr>
          <w:p w14:paraId="3EFBA51C" w14:textId="711318DE" w:rsidR="00715D86" w:rsidRPr="00792475" w:rsidRDefault="00715D86" w:rsidP="00175A3C">
            <w:pPr>
              <w:pStyle w:val="TblTextCenter"/>
              <w:rPr>
                <w:color w:val="000000" w:themeColor="text1"/>
              </w:rPr>
            </w:pPr>
            <w:r w:rsidRPr="00792475">
              <w:rPr>
                <w:color w:val="000000" w:themeColor="text1"/>
              </w:rPr>
              <w:t xml:space="preserve">0 </w:t>
            </w:r>
          </w:p>
        </w:tc>
      </w:tr>
      <w:tr w:rsidR="00F33B21" w:rsidRPr="00792475" w14:paraId="12372BD3" w14:textId="77777777" w:rsidTr="000855E7">
        <w:trPr>
          <w:cantSplit/>
          <w:trHeight w:val="133"/>
          <w:jc w:val="center"/>
        </w:trPr>
        <w:tc>
          <w:tcPr>
            <w:tcW w:w="5529" w:type="dxa"/>
            <w:shd w:val="clear" w:color="auto" w:fill="auto"/>
          </w:tcPr>
          <w:p w14:paraId="52C57107" w14:textId="550C414C" w:rsidR="00715D86" w:rsidRPr="00792475" w:rsidRDefault="00715D86" w:rsidP="009F1981">
            <w:pPr>
              <w:pStyle w:val="TblTextCenter"/>
              <w:jc w:val="left"/>
              <w:rPr>
                <w:color w:val="000000" w:themeColor="text1"/>
              </w:rPr>
            </w:pPr>
            <w:r w:rsidRPr="00792475">
              <w:rPr>
                <w:color w:val="000000" w:themeColor="text1"/>
              </w:rPr>
              <w:t>PRODUCT ISSUES</w:t>
            </w:r>
          </w:p>
        </w:tc>
        <w:tc>
          <w:tcPr>
            <w:tcW w:w="1922" w:type="dxa"/>
          </w:tcPr>
          <w:p w14:paraId="5175A976" w14:textId="761E9B8C" w:rsidR="00715D86" w:rsidRPr="00792475" w:rsidRDefault="00715D86" w:rsidP="00175A3C">
            <w:pPr>
              <w:pStyle w:val="TblTextCenter"/>
              <w:rPr>
                <w:color w:val="000000" w:themeColor="text1"/>
              </w:rPr>
            </w:pPr>
            <w:r w:rsidRPr="00792475">
              <w:rPr>
                <w:color w:val="000000" w:themeColor="text1"/>
              </w:rPr>
              <w:t xml:space="preserve">2 (40.0) </w:t>
            </w:r>
          </w:p>
        </w:tc>
        <w:tc>
          <w:tcPr>
            <w:tcW w:w="1905" w:type="dxa"/>
            <w:shd w:val="clear" w:color="auto" w:fill="auto"/>
          </w:tcPr>
          <w:p w14:paraId="7B8E03DD" w14:textId="1EF5A989" w:rsidR="00715D86" w:rsidRPr="00792475" w:rsidRDefault="00715D86" w:rsidP="00175A3C">
            <w:pPr>
              <w:pStyle w:val="TblTextCenter"/>
              <w:rPr>
                <w:color w:val="000000" w:themeColor="text1"/>
              </w:rPr>
            </w:pPr>
            <w:r w:rsidRPr="00792475">
              <w:rPr>
                <w:color w:val="000000" w:themeColor="text1"/>
              </w:rPr>
              <w:t xml:space="preserve">0 </w:t>
            </w:r>
          </w:p>
        </w:tc>
      </w:tr>
      <w:tr w:rsidR="00F33B21" w:rsidRPr="00F33B21" w14:paraId="0B985E8F" w14:textId="77777777" w:rsidTr="000855E7">
        <w:trPr>
          <w:cantSplit/>
          <w:trHeight w:val="133"/>
          <w:jc w:val="center"/>
        </w:trPr>
        <w:tc>
          <w:tcPr>
            <w:tcW w:w="5529" w:type="dxa"/>
            <w:tcBorders>
              <w:bottom w:val="single" w:sz="12" w:space="0" w:color="auto"/>
            </w:tcBorders>
            <w:shd w:val="clear" w:color="auto" w:fill="auto"/>
          </w:tcPr>
          <w:p w14:paraId="2D7838DE" w14:textId="5231EB88" w:rsidR="00715D86" w:rsidRPr="00792475" w:rsidRDefault="00715D86" w:rsidP="009F1981">
            <w:pPr>
              <w:pStyle w:val="TblTextCenter"/>
              <w:jc w:val="left"/>
              <w:rPr>
                <w:color w:val="000000" w:themeColor="text1"/>
              </w:rPr>
            </w:pPr>
            <w:r w:rsidRPr="00792475">
              <w:rPr>
                <w:color w:val="000000" w:themeColor="text1"/>
              </w:rPr>
              <w:t>Device occlusion</w:t>
            </w:r>
          </w:p>
        </w:tc>
        <w:tc>
          <w:tcPr>
            <w:tcW w:w="1922" w:type="dxa"/>
            <w:tcBorders>
              <w:bottom w:val="single" w:sz="12" w:space="0" w:color="auto"/>
            </w:tcBorders>
          </w:tcPr>
          <w:p w14:paraId="6853C1E3" w14:textId="0F424A5D" w:rsidR="00715D86" w:rsidRPr="00792475" w:rsidRDefault="00715D86" w:rsidP="00175A3C">
            <w:pPr>
              <w:pStyle w:val="TblTextCenter"/>
              <w:rPr>
                <w:color w:val="000000" w:themeColor="text1"/>
              </w:rPr>
            </w:pPr>
            <w:r w:rsidRPr="00792475">
              <w:rPr>
                <w:color w:val="000000" w:themeColor="text1"/>
              </w:rPr>
              <w:t xml:space="preserve">2 (40.0) </w:t>
            </w:r>
          </w:p>
        </w:tc>
        <w:tc>
          <w:tcPr>
            <w:tcW w:w="1905" w:type="dxa"/>
            <w:tcBorders>
              <w:bottom w:val="single" w:sz="12" w:space="0" w:color="auto"/>
            </w:tcBorders>
            <w:shd w:val="clear" w:color="auto" w:fill="auto"/>
          </w:tcPr>
          <w:p w14:paraId="782A58AA" w14:textId="29F2F2A7" w:rsidR="00715D86" w:rsidRPr="00792475" w:rsidRDefault="00715D86" w:rsidP="00175A3C">
            <w:pPr>
              <w:pStyle w:val="TblTextCenter"/>
              <w:rPr>
                <w:color w:val="000000" w:themeColor="text1"/>
              </w:rPr>
            </w:pPr>
            <w:r w:rsidRPr="00792475">
              <w:rPr>
                <w:color w:val="000000" w:themeColor="text1"/>
              </w:rPr>
              <w:t xml:space="preserve">0 </w:t>
            </w:r>
          </w:p>
        </w:tc>
      </w:tr>
      <w:tr w:rsidR="00F33B21" w:rsidRPr="00F33B21" w14:paraId="66573AAF" w14:textId="77777777" w:rsidTr="000855E7">
        <w:trPr>
          <w:cantSplit/>
          <w:trHeight w:val="133"/>
          <w:jc w:val="center"/>
        </w:trPr>
        <w:tc>
          <w:tcPr>
            <w:tcW w:w="9356" w:type="dxa"/>
            <w:gridSpan w:val="3"/>
            <w:tcBorders>
              <w:top w:val="single" w:sz="12" w:space="0" w:color="auto"/>
            </w:tcBorders>
          </w:tcPr>
          <w:p w14:paraId="7DC28049" w14:textId="5247F5AB" w:rsidR="00715D86" w:rsidRPr="00792475" w:rsidRDefault="00F33B21" w:rsidP="00175A3C">
            <w:pPr>
              <w:pStyle w:val="TblFigFootnote"/>
              <w:rPr>
                <w:color w:val="000000" w:themeColor="text1"/>
              </w:rPr>
            </w:pPr>
            <w:r w:rsidRPr="00792475">
              <w:rPr>
                <w:color w:val="000000" w:themeColor="text1"/>
              </w:rPr>
              <w:t xml:space="preserve">* </w:t>
            </w:r>
            <w:proofErr w:type="gramStart"/>
            <w:r w:rsidRPr="00792475">
              <w:rPr>
                <w:color w:val="000000" w:themeColor="text1"/>
              </w:rPr>
              <w:t>primary</w:t>
            </w:r>
            <w:proofErr w:type="gramEnd"/>
            <w:r w:rsidRPr="00792475">
              <w:rPr>
                <w:color w:val="000000" w:themeColor="text1"/>
              </w:rPr>
              <w:t xml:space="preserve"> analysis period (PAP)</w:t>
            </w:r>
            <w:r w:rsidR="00907303" w:rsidRPr="00792475">
              <w:rPr>
                <w:color w:val="000000" w:themeColor="text1"/>
              </w:rPr>
              <w:t xml:space="preserve"> of 6 months</w:t>
            </w:r>
          </w:p>
          <w:p w14:paraId="40102687" w14:textId="111A7D33" w:rsidR="000855E7" w:rsidRPr="00792475" w:rsidRDefault="000855E7" w:rsidP="00175A3C">
            <w:pPr>
              <w:pStyle w:val="TblFigFootnote"/>
              <w:rPr>
                <w:color w:val="000000" w:themeColor="text1"/>
              </w:rPr>
            </w:pPr>
            <w:r w:rsidRPr="00792475">
              <w:rPr>
                <w:color w:val="000000" w:themeColor="text1"/>
                <w:vertAlign w:val="superscript"/>
              </w:rPr>
              <w:t>a</w:t>
            </w:r>
            <w:r w:rsidRPr="00792475">
              <w:rPr>
                <w:color w:val="000000" w:themeColor="text1"/>
              </w:rPr>
              <w:t xml:space="preserve"> dose of 40</w:t>
            </w:r>
            <w:r w:rsidR="00907303" w:rsidRPr="00792475">
              <w:rPr>
                <w:color w:val="000000" w:themeColor="text1"/>
              </w:rPr>
              <w:t xml:space="preserve"> </w:t>
            </w:r>
            <w:r w:rsidRPr="00792475">
              <w:rPr>
                <w:color w:val="000000" w:themeColor="text1"/>
              </w:rPr>
              <w:t>mg/kg</w:t>
            </w:r>
            <w:r w:rsidR="004910A1" w:rsidRPr="00792475">
              <w:rPr>
                <w:color w:val="000000" w:themeColor="text1"/>
              </w:rPr>
              <w:t xml:space="preserve"> every other week</w:t>
            </w:r>
            <w:r w:rsidRPr="00792475">
              <w:rPr>
                <w:color w:val="000000" w:themeColor="text1"/>
              </w:rPr>
              <w:t xml:space="preserve"> </w:t>
            </w:r>
          </w:p>
          <w:p w14:paraId="3817063E" w14:textId="3894E8CA" w:rsidR="000855E7" w:rsidRPr="00792475" w:rsidRDefault="000855E7" w:rsidP="00175A3C">
            <w:pPr>
              <w:pStyle w:val="TblFigFootnote"/>
              <w:rPr>
                <w:color w:val="000000" w:themeColor="text1"/>
              </w:rPr>
            </w:pPr>
            <w:r w:rsidRPr="00792475">
              <w:rPr>
                <w:color w:val="000000" w:themeColor="text1"/>
                <w:vertAlign w:val="superscript"/>
              </w:rPr>
              <w:t>b</w:t>
            </w:r>
            <w:r w:rsidRPr="00792475">
              <w:rPr>
                <w:color w:val="000000" w:themeColor="text1"/>
              </w:rPr>
              <w:t xml:space="preserve"> dose ranging from 20mg/kg to 42.6 </w:t>
            </w:r>
            <w:r w:rsidR="00907303" w:rsidRPr="00792475">
              <w:rPr>
                <w:color w:val="000000" w:themeColor="text1"/>
              </w:rPr>
              <w:t>mg/kg</w:t>
            </w:r>
            <w:r w:rsidR="004910A1" w:rsidRPr="00792475">
              <w:rPr>
                <w:color w:val="000000" w:themeColor="text1"/>
              </w:rPr>
              <w:t xml:space="preserve"> and frequency weekly or every other week</w:t>
            </w:r>
          </w:p>
        </w:tc>
      </w:tr>
    </w:tbl>
    <w:p w14:paraId="3C680C59" w14:textId="127B994A" w:rsidR="00A0746E" w:rsidRDefault="00A0746E" w:rsidP="00A0746E">
      <w:pPr>
        <w:pStyle w:val="Heading3"/>
        <w:numPr>
          <w:ilvl w:val="0"/>
          <w:numId w:val="0"/>
        </w:numPr>
        <w:rPr>
          <w:lang w:val="en-AU"/>
        </w:rPr>
      </w:pPr>
      <w:r>
        <w:rPr>
          <w:lang w:val="en-AU"/>
        </w:rPr>
        <w:t>Reporting suspected adverse effects</w:t>
      </w:r>
    </w:p>
    <w:p w14:paraId="22F02D6D" w14:textId="7C9783A1" w:rsidR="009E4A3A" w:rsidRPr="007C4C57" w:rsidRDefault="009E4A3A" w:rsidP="007C4C57">
      <w:pPr>
        <w:tabs>
          <w:tab w:val="left" w:pos="1440"/>
          <w:tab w:val="left" w:pos="2160"/>
        </w:tabs>
        <w:spacing w:before="120"/>
        <w:jc w:val="both"/>
        <w:rPr>
          <w:lang w:val="en-AU"/>
        </w:rPr>
      </w:pPr>
      <w:r w:rsidRPr="007C4C57">
        <w:rPr>
          <w:lang w:val="en-AU"/>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8" w:history="1">
        <w:r w:rsidRPr="007C4C57">
          <w:rPr>
            <w:lang w:val="en-AU"/>
          </w:rPr>
          <w:t>www.tga.gov.au/reporting-problems</w:t>
        </w:r>
      </w:hyperlink>
      <w:r w:rsidRPr="007C4C57">
        <w:rPr>
          <w:lang w:val="en-AU"/>
        </w:rPr>
        <w:t xml:space="preserve"> (Australia) or </w:t>
      </w:r>
      <w:bookmarkStart w:id="15" w:name="_Hlk86323205"/>
      <w:r w:rsidR="00BC5378">
        <w:fldChar w:fldCharType="begin"/>
      </w:r>
      <w:r w:rsidR="00BC5378">
        <w:instrText xml:space="preserve"> HYPERLINK "https://nzphvc.otago.ac.nz/reporting/" </w:instrText>
      </w:r>
      <w:r w:rsidR="00BC5378">
        <w:fldChar w:fldCharType="separate"/>
      </w:r>
      <w:r w:rsidRPr="007C4C57">
        <w:rPr>
          <w:lang w:val="en-AU"/>
        </w:rPr>
        <w:t>https://nzphvc.otago.ac.nz/reporting/</w:t>
      </w:r>
      <w:r w:rsidR="00BC5378">
        <w:rPr>
          <w:lang w:val="en-AU"/>
        </w:rPr>
        <w:fldChar w:fldCharType="end"/>
      </w:r>
      <w:r w:rsidRPr="007C4C57">
        <w:rPr>
          <w:lang w:val="en-AU"/>
        </w:rPr>
        <w:t xml:space="preserve"> (New Zealand)</w:t>
      </w:r>
      <w:bookmarkEnd w:id="15"/>
      <w:r w:rsidRPr="007C4C57">
        <w:rPr>
          <w:lang w:val="en-AU"/>
        </w:rPr>
        <w:t>.</w:t>
      </w:r>
    </w:p>
    <w:p w14:paraId="730B80CB" w14:textId="77777777" w:rsidR="009E4A3A" w:rsidRPr="00717E34" w:rsidRDefault="009E4A3A" w:rsidP="000911AA">
      <w:pPr>
        <w:rPr>
          <w:lang w:val="en-AU"/>
        </w:rPr>
      </w:pPr>
    </w:p>
    <w:p w14:paraId="1B58CF8E" w14:textId="77777777" w:rsidR="001A3992" w:rsidRPr="00717E34" w:rsidRDefault="001A3992" w:rsidP="001A3992">
      <w:pPr>
        <w:pStyle w:val="Heading2"/>
        <w:keepLines/>
        <w:spacing w:before="0" w:after="120"/>
        <w:rPr>
          <w:lang w:val="en-AU"/>
        </w:rPr>
      </w:pPr>
      <w:r w:rsidRPr="00717E34">
        <w:rPr>
          <w:lang w:val="en-AU"/>
        </w:rPr>
        <w:lastRenderedPageBreak/>
        <w:t>Overdose</w:t>
      </w:r>
    </w:p>
    <w:p w14:paraId="391F2BF7" w14:textId="5CC8879F" w:rsidR="009E4A3A" w:rsidRDefault="008A2F32" w:rsidP="008A2F32">
      <w:pPr>
        <w:tabs>
          <w:tab w:val="left" w:pos="1440"/>
          <w:tab w:val="left" w:pos="2160"/>
        </w:tabs>
        <w:spacing w:before="120"/>
        <w:jc w:val="both"/>
        <w:rPr>
          <w:lang w:val="en-AU"/>
        </w:rPr>
      </w:pPr>
      <w:r w:rsidRPr="008A2F32">
        <w:rPr>
          <w:lang w:val="en-AU"/>
        </w:rPr>
        <w:t>There have been no reports of overdose with</w:t>
      </w:r>
      <w:r>
        <w:rPr>
          <w:lang w:val="en-AU"/>
        </w:rPr>
        <w:t xml:space="preserve"> </w:t>
      </w:r>
      <w:proofErr w:type="spellStart"/>
      <w:r>
        <w:rPr>
          <w:lang w:val="en-AU"/>
        </w:rPr>
        <w:t>Nexviazyme</w:t>
      </w:r>
      <w:proofErr w:type="spellEnd"/>
      <w:r w:rsidRPr="008A2F32">
        <w:rPr>
          <w:lang w:val="en-AU"/>
        </w:rPr>
        <w:t xml:space="preserve">. </w:t>
      </w:r>
      <w:r w:rsidR="00E63F48" w:rsidRPr="00E63F48">
        <w:rPr>
          <w:lang w:val="en-AU"/>
        </w:rPr>
        <w:t>In a clinical study, p</w:t>
      </w:r>
      <w:r w:rsidR="00616520">
        <w:rPr>
          <w:lang w:val="en-AU"/>
        </w:rPr>
        <w:t>a</w:t>
      </w:r>
      <w:r w:rsidR="00E63F48" w:rsidRPr="00E63F48">
        <w:rPr>
          <w:lang w:val="en-AU"/>
        </w:rPr>
        <w:t>ediatric patients received doses up to 40 mg/kg of body weight</w:t>
      </w:r>
      <w:r w:rsidR="00C134D4">
        <w:rPr>
          <w:lang w:val="en-AU"/>
        </w:rPr>
        <w:t xml:space="preserve">. </w:t>
      </w:r>
      <w:r w:rsidR="009E4A3A" w:rsidRPr="007C4C57">
        <w:rPr>
          <w:lang w:val="en-AU"/>
        </w:rPr>
        <w:t xml:space="preserve">For </w:t>
      </w:r>
      <w:r w:rsidR="00A0746E">
        <w:rPr>
          <w:lang w:val="en-AU"/>
        </w:rPr>
        <w:t xml:space="preserve">information on the management of </w:t>
      </w:r>
      <w:r w:rsidR="009E4A3A" w:rsidRPr="007C4C57">
        <w:rPr>
          <w:lang w:val="en-AU"/>
        </w:rPr>
        <w:t>overdose</w:t>
      </w:r>
      <w:r w:rsidR="00A0746E">
        <w:rPr>
          <w:lang w:val="en-AU"/>
        </w:rPr>
        <w:t xml:space="preserve">, </w:t>
      </w:r>
      <w:r w:rsidR="009E4A3A" w:rsidRPr="007C4C57">
        <w:rPr>
          <w:lang w:val="en-AU"/>
        </w:rPr>
        <w:t>contact the Poisons Information Centre</w:t>
      </w:r>
      <w:r w:rsidR="00A0746E">
        <w:rPr>
          <w:lang w:val="en-AU"/>
        </w:rPr>
        <w:t xml:space="preserve"> on</w:t>
      </w:r>
      <w:r w:rsidR="009E4A3A" w:rsidRPr="007C4C57">
        <w:rPr>
          <w:lang w:val="en-AU"/>
        </w:rPr>
        <w:t xml:space="preserve"> 13 11 26 (Australia) or the National Poisons Centre</w:t>
      </w:r>
      <w:r w:rsidR="00A0746E">
        <w:rPr>
          <w:lang w:val="en-AU"/>
        </w:rPr>
        <w:t xml:space="preserve"> on</w:t>
      </w:r>
      <w:r w:rsidR="009E4A3A" w:rsidRPr="007C4C57">
        <w:rPr>
          <w:lang w:val="en-AU"/>
        </w:rPr>
        <w:t xml:space="preserve"> 0800 POISON or 0800 764 766 (New Zealand).</w:t>
      </w:r>
    </w:p>
    <w:p w14:paraId="7BE6711A" w14:textId="77777777" w:rsidR="00A62F6D" w:rsidRPr="00717E34" w:rsidRDefault="00A62F6D" w:rsidP="00024098">
      <w:pPr>
        <w:rPr>
          <w:lang w:val="en-AU"/>
        </w:rPr>
      </w:pPr>
    </w:p>
    <w:p w14:paraId="528DF27F" w14:textId="77777777" w:rsidR="001A3992" w:rsidRPr="00717E34" w:rsidRDefault="001A3992" w:rsidP="00024098">
      <w:pPr>
        <w:pStyle w:val="Heading1"/>
        <w:keepNext w:val="0"/>
        <w:pageBreakBefore w:val="0"/>
        <w:spacing w:before="0" w:after="120"/>
        <w:rPr>
          <w:lang w:val="en-AU"/>
        </w:rPr>
      </w:pPr>
      <w:r w:rsidRPr="00717E34">
        <w:rPr>
          <w:lang w:val="en-AU"/>
        </w:rPr>
        <w:t>Pharmacological properties</w:t>
      </w:r>
    </w:p>
    <w:p w14:paraId="2A9CDC50" w14:textId="77777777" w:rsidR="001A3992" w:rsidRDefault="001A3992" w:rsidP="001A3992">
      <w:pPr>
        <w:pStyle w:val="Heading2"/>
        <w:spacing w:before="0" w:after="120"/>
        <w:rPr>
          <w:lang w:val="en-AU"/>
        </w:rPr>
      </w:pPr>
      <w:bookmarkStart w:id="16" w:name="_Ref86221820"/>
      <w:r w:rsidRPr="00717E34">
        <w:rPr>
          <w:lang w:val="en-AU"/>
        </w:rPr>
        <w:t>Pharmacodynamic properties</w:t>
      </w:r>
      <w:bookmarkEnd w:id="16"/>
      <w:r w:rsidRPr="00717E34">
        <w:rPr>
          <w:lang w:val="en-AU"/>
        </w:rPr>
        <w:t xml:space="preserve"> </w:t>
      </w:r>
    </w:p>
    <w:p w14:paraId="7F410D68" w14:textId="40A7ECF9" w:rsidR="004C5157" w:rsidRDefault="006300D9" w:rsidP="006300D9">
      <w:pPr>
        <w:rPr>
          <w:lang w:val="en-AU"/>
        </w:rPr>
      </w:pPr>
      <w:r w:rsidRPr="006300D9">
        <w:rPr>
          <w:lang w:val="en-AU"/>
        </w:rPr>
        <w:t>Pharmacotherapeutic group:</w:t>
      </w:r>
      <w:r w:rsidR="004C5157">
        <w:rPr>
          <w:lang w:val="en-AU"/>
        </w:rPr>
        <w:t xml:space="preserve"> </w:t>
      </w:r>
      <w:r w:rsidR="004C5157" w:rsidRPr="004C5157">
        <w:rPr>
          <w:lang w:val="en-AU"/>
        </w:rPr>
        <w:t>Alimentary tract and metabolism products</w:t>
      </w:r>
      <w:r w:rsidR="00C134D4">
        <w:rPr>
          <w:lang w:val="en-AU"/>
        </w:rPr>
        <w:t xml:space="preserve">, </w:t>
      </w:r>
      <w:r w:rsidR="004C5157" w:rsidRPr="004C5157">
        <w:rPr>
          <w:lang w:val="en-AU"/>
        </w:rPr>
        <w:t>enzymes</w:t>
      </w:r>
      <w:r w:rsidR="00C134D4">
        <w:rPr>
          <w:lang w:val="en-AU"/>
        </w:rPr>
        <w:t>.</w:t>
      </w:r>
    </w:p>
    <w:p w14:paraId="5EBCAB4C" w14:textId="5185E13B" w:rsidR="006300D9" w:rsidRPr="006300D9" w:rsidRDefault="006300D9" w:rsidP="006300D9">
      <w:pPr>
        <w:rPr>
          <w:lang w:val="en-AU"/>
        </w:rPr>
      </w:pPr>
      <w:r w:rsidRPr="006300D9">
        <w:rPr>
          <w:lang w:val="en-AU"/>
        </w:rPr>
        <w:t>ATC code:</w:t>
      </w:r>
      <w:r w:rsidR="008A2F32">
        <w:rPr>
          <w:lang w:val="en-AU"/>
        </w:rPr>
        <w:t xml:space="preserve"> </w:t>
      </w:r>
      <w:r w:rsidR="00B204DE">
        <w:rPr>
          <w:lang w:val="en-AU"/>
        </w:rPr>
        <w:t>A16</w:t>
      </w:r>
      <w:r w:rsidR="00866220" w:rsidRPr="00792475">
        <w:rPr>
          <w:color w:val="000000" w:themeColor="text1"/>
          <w:lang w:val="en-AU"/>
        </w:rPr>
        <w:t xml:space="preserve">AB22 </w:t>
      </w:r>
    </w:p>
    <w:p w14:paraId="39535604" w14:textId="77777777" w:rsidR="00F77F7C" w:rsidRPr="006300D9" w:rsidRDefault="00F77F7C" w:rsidP="006300D9">
      <w:pPr>
        <w:rPr>
          <w:lang w:val="en-AU"/>
        </w:rPr>
      </w:pPr>
    </w:p>
    <w:p w14:paraId="50A2D3AF" w14:textId="7D3EA725" w:rsidR="0024632F" w:rsidRDefault="0024632F" w:rsidP="00CA73C2">
      <w:pPr>
        <w:pStyle w:val="Heading3"/>
        <w:numPr>
          <w:ilvl w:val="0"/>
          <w:numId w:val="0"/>
        </w:numPr>
        <w:spacing w:before="0" w:after="120"/>
        <w:ind w:left="680" w:hanging="680"/>
        <w:rPr>
          <w:i/>
        </w:rPr>
      </w:pPr>
      <w:r w:rsidRPr="00CA73C2">
        <w:rPr>
          <w:i/>
        </w:rPr>
        <w:t>Mechanism of action</w:t>
      </w:r>
    </w:p>
    <w:p w14:paraId="4181AB68" w14:textId="4D1E89B7" w:rsidR="008A2F32" w:rsidRDefault="008A2F32" w:rsidP="008A2F32">
      <w:proofErr w:type="spellStart"/>
      <w:r>
        <w:t>Pompe</w:t>
      </w:r>
      <w:proofErr w:type="spellEnd"/>
      <w:r>
        <w:t xml:space="preserve"> disease (also known as glycogen storage disease type II, acid maltase deficiency, and glycogenosis type II) is a rare metabolic muscle disease inherited in an autosomal recessive manner defined by a deficiency of acid α-glucosidase (GAA), which is necessary for the degradation of lysosomal glycogen. GAA cleaves al</w:t>
      </w:r>
      <w:r w:rsidR="00616520">
        <w:t>fa</w:t>
      </w:r>
      <w:r>
        <w:t>-1,4 and al</w:t>
      </w:r>
      <w:r w:rsidR="00616520">
        <w:t>f</w:t>
      </w:r>
      <w:r>
        <w:t xml:space="preserve">a-1,6 linkages in glycogen under the acidic conditions of the lysosome. </w:t>
      </w:r>
      <w:proofErr w:type="spellStart"/>
      <w:r>
        <w:t>Pompe</w:t>
      </w:r>
      <w:proofErr w:type="spellEnd"/>
      <w:r>
        <w:t xml:space="preserve"> disease results in intra-lysosomal accumulation of glycogen in various tissues, particularly cardiac and skeletal muscles, leading to the development of cardiomyopathy, progressive muscle weakness, and impairment of respiratory function. </w:t>
      </w:r>
    </w:p>
    <w:p w14:paraId="679F29E7" w14:textId="25B506DE" w:rsidR="008A2F32" w:rsidRDefault="008A2F32" w:rsidP="008A2F32">
      <w:proofErr w:type="spellStart"/>
      <w:r>
        <w:t>Avalglucosidase</w:t>
      </w:r>
      <w:proofErr w:type="spellEnd"/>
      <w:r>
        <w:t xml:space="preserve"> alfa is a recombinant human acid α-glucosidase (</w:t>
      </w:r>
      <w:proofErr w:type="spellStart"/>
      <w:r>
        <w:t>rhGAA</w:t>
      </w:r>
      <w:proofErr w:type="spellEnd"/>
      <w:r>
        <w:t xml:space="preserve">) that provides an exogenous source of GAA. </w:t>
      </w:r>
      <w:proofErr w:type="spellStart"/>
      <w:r>
        <w:t>Avalglucosidase</w:t>
      </w:r>
      <w:proofErr w:type="spellEnd"/>
      <w:r>
        <w:t xml:space="preserve"> alfa is a modification of </w:t>
      </w:r>
      <w:proofErr w:type="spellStart"/>
      <w:r>
        <w:t>alglucosidase</w:t>
      </w:r>
      <w:proofErr w:type="spellEnd"/>
      <w:r>
        <w:t xml:space="preserve"> alfa in which approximately 7 </w:t>
      </w:r>
      <w:proofErr w:type="spellStart"/>
      <w:r>
        <w:t>hexamannose</w:t>
      </w:r>
      <w:proofErr w:type="spellEnd"/>
      <w:r>
        <w:t xml:space="preserve"> structures each containing 2 terminal mannose-6-phosphate (bis-M6P) moieties are conjugated to </w:t>
      </w:r>
      <w:proofErr w:type="spellStart"/>
      <w:r>
        <w:t>oxidi</w:t>
      </w:r>
      <w:r w:rsidR="00C61EC0">
        <w:t>s</w:t>
      </w:r>
      <w:r>
        <w:t>ed</w:t>
      </w:r>
      <w:proofErr w:type="spellEnd"/>
      <w:r>
        <w:t xml:space="preserve"> sialic acid residues on </w:t>
      </w:r>
      <w:proofErr w:type="spellStart"/>
      <w:r>
        <w:t>alglucosidase</w:t>
      </w:r>
      <w:proofErr w:type="spellEnd"/>
      <w:r>
        <w:t xml:space="preserve"> alfa. </w:t>
      </w:r>
      <w:proofErr w:type="spellStart"/>
      <w:r>
        <w:t>Avalglucosidase</w:t>
      </w:r>
      <w:proofErr w:type="spellEnd"/>
      <w:r>
        <w:t xml:space="preserve"> alfa has a 15-fold increase in mannose-6-phosphate (M6P) moieties compared with </w:t>
      </w:r>
      <w:proofErr w:type="spellStart"/>
      <w:r>
        <w:t>alglucosidase</w:t>
      </w:r>
      <w:proofErr w:type="spellEnd"/>
      <w:r>
        <w:t xml:space="preserve"> alfa. Increasing the level of bis-M6P on </w:t>
      </w:r>
      <w:proofErr w:type="spellStart"/>
      <w:r>
        <w:t>rhGAA</w:t>
      </w:r>
      <w:proofErr w:type="spellEnd"/>
      <w:r>
        <w:t xml:space="preserve"> provides a mechanism to drive uptake into the diaphragm and other skeletal muscle via the cation-independent M6P receptor, where it can degrade glycogen and ameliorate tissue damage.    </w:t>
      </w:r>
    </w:p>
    <w:p w14:paraId="04477AB8" w14:textId="5317FD3A" w:rsidR="008A2F32" w:rsidRDefault="008A2F32" w:rsidP="008A2F32">
      <w:pPr>
        <w:pStyle w:val="Heading4"/>
        <w:numPr>
          <w:ilvl w:val="0"/>
          <w:numId w:val="0"/>
        </w:numPr>
        <w:ind w:left="862" w:hanging="862"/>
      </w:pPr>
      <w:r>
        <w:t>Pharmacodynamic effects</w:t>
      </w:r>
    </w:p>
    <w:p w14:paraId="78E72006" w14:textId="24261B18" w:rsidR="008A2F32" w:rsidRDefault="008A2F32" w:rsidP="008A2F32">
      <w:r>
        <w:t xml:space="preserve">In </w:t>
      </w:r>
      <w:proofErr w:type="gramStart"/>
      <w:r>
        <w:t>treatment-naïve</w:t>
      </w:r>
      <w:proofErr w:type="gramEnd"/>
      <w:r>
        <w:t xml:space="preserve"> LOPD patients aged 16 to 78, the mean percentage (SD) change in urinary hexose </w:t>
      </w:r>
      <w:proofErr w:type="spellStart"/>
      <w:r>
        <w:t>tetrasaccharides</w:t>
      </w:r>
      <w:proofErr w:type="spellEnd"/>
      <w:r>
        <w:t xml:space="preserve"> from baseline for patients treated with </w:t>
      </w:r>
      <w:proofErr w:type="spellStart"/>
      <w:r w:rsidR="0034683E">
        <w:t>Nexviazyme</w:t>
      </w:r>
      <w:proofErr w:type="spellEnd"/>
      <w:r>
        <w:t xml:space="preserve"> 20 mg/kg every other week and </w:t>
      </w:r>
      <w:proofErr w:type="spellStart"/>
      <w:r>
        <w:t>alglucosidase</w:t>
      </w:r>
      <w:proofErr w:type="spellEnd"/>
      <w:r>
        <w:t xml:space="preserve"> alfa 20 mg/kg every other week was </w:t>
      </w:r>
      <w:r w:rsidR="00F70DD5">
        <w:t>-</w:t>
      </w:r>
      <w:r>
        <w:t>53.90% (24.03) and</w:t>
      </w:r>
      <w:r w:rsidR="00F70DD5">
        <w:t xml:space="preserve">          -10.8% (</w:t>
      </w:r>
      <w:r>
        <w:t>32.33), respectively, week 49.</w:t>
      </w:r>
    </w:p>
    <w:p w14:paraId="5A5A7016" w14:textId="630B1B6B" w:rsidR="008A2F32" w:rsidRDefault="008A2F32" w:rsidP="008A2F32">
      <w:r>
        <w:t xml:space="preserve">In </w:t>
      </w:r>
      <w:proofErr w:type="spellStart"/>
      <w:r>
        <w:t>p</w:t>
      </w:r>
      <w:r w:rsidR="00F70DD5">
        <w:t>a</w:t>
      </w:r>
      <w:r>
        <w:t>ediatric</w:t>
      </w:r>
      <w:proofErr w:type="spellEnd"/>
      <w:r>
        <w:t xml:space="preserve"> IOPD patients (&lt;18 years of age) treated with </w:t>
      </w:r>
      <w:proofErr w:type="spellStart"/>
      <w:r w:rsidR="0034683E">
        <w:t>Nexviazyme</w:t>
      </w:r>
      <w:proofErr w:type="spellEnd"/>
      <w:r>
        <w:t xml:space="preserve"> at 40 mg/kg every other week who demonstrated either clinical decline (cohort 2) or sub-optimal clinical response (cohort 3) while on treatment with </w:t>
      </w:r>
      <w:proofErr w:type="spellStart"/>
      <w:r>
        <w:t>alglucosidase</w:t>
      </w:r>
      <w:proofErr w:type="spellEnd"/>
      <w:r>
        <w:t xml:space="preserve"> alfa, the mean percentage (SD) change in urinary hexose </w:t>
      </w:r>
      <w:proofErr w:type="spellStart"/>
      <w:r>
        <w:t>tetrasaccharides</w:t>
      </w:r>
      <w:proofErr w:type="spellEnd"/>
      <w:r>
        <w:t xml:space="preserve"> from baseline was </w:t>
      </w:r>
      <w:r w:rsidR="00F70DD5">
        <w:t>-</w:t>
      </w:r>
      <w:r>
        <w:t xml:space="preserve">40.97% (16.72) and -37.48% </w:t>
      </w:r>
      <w:r>
        <w:lastRenderedPageBreak/>
        <w:t>(17.16), respectively, after 6 months. In patients previously declining treated with</w:t>
      </w:r>
      <w:r w:rsidR="0034683E">
        <w:t xml:space="preserve"> </w:t>
      </w:r>
      <w:proofErr w:type="spellStart"/>
      <w:r w:rsidR="0034683E">
        <w:t>Nexviazyme</w:t>
      </w:r>
      <w:proofErr w:type="spellEnd"/>
      <w:r>
        <w:t xml:space="preserve"> at 20 mg/kg every other week, mean (SD) percentage change was 0.34% (42.09).</w:t>
      </w:r>
    </w:p>
    <w:p w14:paraId="119FD23E" w14:textId="581186D2" w:rsidR="001A3992" w:rsidRDefault="001A3992" w:rsidP="007B3168">
      <w:pPr>
        <w:pStyle w:val="Heading3"/>
        <w:numPr>
          <w:ilvl w:val="0"/>
          <w:numId w:val="0"/>
        </w:numPr>
        <w:ind w:left="680" w:hanging="680"/>
        <w:rPr>
          <w:lang w:val="en-AU"/>
        </w:rPr>
      </w:pPr>
      <w:r w:rsidRPr="00CA73C2">
        <w:rPr>
          <w:lang w:val="en-AU"/>
        </w:rPr>
        <w:t>Clinical trials</w:t>
      </w:r>
    </w:p>
    <w:p w14:paraId="336E0CDE" w14:textId="5BAE9544" w:rsidR="0034683E" w:rsidRDefault="0034683E" w:rsidP="0034683E">
      <w:pPr>
        <w:rPr>
          <w:lang w:val="en-AU"/>
        </w:rPr>
      </w:pPr>
      <w:r w:rsidRPr="0034683E">
        <w:rPr>
          <w:lang w:val="en-AU"/>
        </w:rPr>
        <w:t xml:space="preserve">The safety and efficacy of </w:t>
      </w:r>
      <w:proofErr w:type="spellStart"/>
      <w:r>
        <w:rPr>
          <w:lang w:val="en-AU"/>
        </w:rPr>
        <w:t>Nexviazyme</w:t>
      </w:r>
      <w:proofErr w:type="spellEnd"/>
      <w:r w:rsidRPr="0034683E">
        <w:rPr>
          <w:lang w:val="en-AU"/>
        </w:rPr>
        <w:t xml:space="preserve"> have been evaluated in clinical studies of patients who were either</w:t>
      </w:r>
      <w:r>
        <w:rPr>
          <w:lang w:val="en-AU"/>
        </w:rPr>
        <w:t xml:space="preserve"> </w:t>
      </w:r>
      <w:r w:rsidRPr="0034683E">
        <w:rPr>
          <w:lang w:val="en-AU"/>
        </w:rPr>
        <w:t>naïve or treatment experienced at the initiation of treatment.</w:t>
      </w:r>
    </w:p>
    <w:p w14:paraId="78EB54C6" w14:textId="77777777" w:rsidR="0034683E" w:rsidRPr="0034683E" w:rsidRDefault="0034683E" w:rsidP="0034683E">
      <w:pPr>
        <w:pStyle w:val="Heading5"/>
        <w:numPr>
          <w:ilvl w:val="0"/>
          <w:numId w:val="0"/>
        </w:numPr>
        <w:ind w:left="1009" w:hanging="1009"/>
        <w:rPr>
          <w:lang w:val="en-AU"/>
        </w:rPr>
      </w:pPr>
      <w:r w:rsidRPr="0034683E">
        <w:rPr>
          <w:lang w:val="en-AU"/>
        </w:rPr>
        <w:t>Clinical Trials in patients with LOPD</w:t>
      </w:r>
    </w:p>
    <w:p w14:paraId="2CCAFF6B" w14:textId="6CCEC8FB" w:rsidR="0034683E" w:rsidRPr="0034683E" w:rsidRDefault="00552214" w:rsidP="0034683E">
      <w:pPr>
        <w:rPr>
          <w:lang w:val="en-AU"/>
        </w:rPr>
      </w:pPr>
      <w:r>
        <w:rPr>
          <w:lang w:val="en-AU"/>
        </w:rPr>
        <w:t xml:space="preserve">Study </w:t>
      </w:r>
      <w:r w:rsidR="0034683E" w:rsidRPr="0034683E">
        <w:rPr>
          <w:lang w:val="en-AU"/>
        </w:rPr>
        <w:t>EFC14028</w:t>
      </w:r>
      <w:r w:rsidR="00616520">
        <w:rPr>
          <w:lang w:val="en-AU"/>
        </w:rPr>
        <w:t xml:space="preserve"> (</w:t>
      </w:r>
      <w:r w:rsidR="0034683E" w:rsidRPr="0034683E">
        <w:rPr>
          <w:lang w:val="en-AU"/>
        </w:rPr>
        <w:t>COMET</w:t>
      </w:r>
      <w:r w:rsidR="00616520">
        <w:rPr>
          <w:lang w:val="en-AU"/>
        </w:rPr>
        <w:t>)</w:t>
      </w:r>
      <w:r w:rsidR="0034683E" w:rsidRPr="0034683E">
        <w:rPr>
          <w:lang w:val="en-AU"/>
        </w:rPr>
        <w:t>, was a multinational, multi</w:t>
      </w:r>
      <w:r w:rsidR="00616520">
        <w:rPr>
          <w:lang w:val="en-AU"/>
        </w:rPr>
        <w:t>-</w:t>
      </w:r>
      <w:r w:rsidR="0034683E" w:rsidRPr="0034683E">
        <w:rPr>
          <w:lang w:val="en-AU"/>
        </w:rPr>
        <w:t>cent</w:t>
      </w:r>
      <w:r w:rsidR="00616520">
        <w:rPr>
          <w:lang w:val="en-AU"/>
        </w:rPr>
        <w:t>re</w:t>
      </w:r>
      <w:r w:rsidR="0034683E" w:rsidRPr="0034683E">
        <w:rPr>
          <w:lang w:val="en-AU"/>
        </w:rPr>
        <w:t>, randomi</w:t>
      </w:r>
      <w:r w:rsidR="00C61EC0">
        <w:rPr>
          <w:lang w:val="en-AU"/>
        </w:rPr>
        <w:t>s</w:t>
      </w:r>
      <w:r w:rsidR="0034683E" w:rsidRPr="0034683E">
        <w:rPr>
          <w:lang w:val="en-AU"/>
        </w:rPr>
        <w:t>ed, double-blinded study</w:t>
      </w:r>
      <w:r w:rsidR="0034683E">
        <w:rPr>
          <w:lang w:val="en-AU"/>
        </w:rPr>
        <w:t xml:space="preserve"> </w:t>
      </w:r>
      <w:r w:rsidR="0034683E" w:rsidRPr="0034683E">
        <w:rPr>
          <w:lang w:val="en-AU"/>
        </w:rPr>
        <w:t xml:space="preserve">comparing the efficacy and safety of </w:t>
      </w:r>
      <w:proofErr w:type="spellStart"/>
      <w:r w:rsidR="00165D09">
        <w:rPr>
          <w:lang w:val="en-AU"/>
        </w:rPr>
        <w:t>Nexviazyme</w:t>
      </w:r>
      <w:proofErr w:type="spellEnd"/>
      <w:r w:rsidR="00165D09">
        <w:rPr>
          <w:lang w:val="en-AU"/>
        </w:rPr>
        <w:t xml:space="preserve"> </w:t>
      </w:r>
      <w:r w:rsidR="0034683E" w:rsidRPr="0034683E">
        <w:rPr>
          <w:lang w:val="en-AU"/>
        </w:rPr>
        <w:t xml:space="preserve">and </w:t>
      </w:r>
      <w:proofErr w:type="spellStart"/>
      <w:r w:rsidR="0034683E" w:rsidRPr="0034683E">
        <w:rPr>
          <w:lang w:val="en-AU"/>
        </w:rPr>
        <w:t>alglucosidase</w:t>
      </w:r>
      <w:proofErr w:type="spellEnd"/>
      <w:r w:rsidR="0034683E" w:rsidRPr="0034683E">
        <w:rPr>
          <w:lang w:val="en-AU"/>
        </w:rPr>
        <w:t xml:space="preserve"> alfa in 100 treatment-naïve LOPD</w:t>
      </w:r>
      <w:r w:rsidR="0034683E">
        <w:rPr>
          <w:lang w:val="en-AU"/>
        </w:rPr>
        <w:t xml:space="preserve"> </w:t>
      </w:r>
      <w:r w:rsidR="0034683E" w:rsidRPr="0034683E">
        <w:rPr>
          <w:lang w:val="en-AU"/>
        </w:rPr>
        <w:t xml:space="preserve">patients aged </w:t>
      </w:r>
      <w:r w:rsidR="00F14210">
        <w:rPr>
          <w:lang w:val="en-AU"/>
        </w:rPr>
        <w:t>16 to 78 years</w:t>
      </w:r>
      <w:r w:rsidR="0034683E" w:rsidRPr="0034683E">
        <w:rPr>
          <w:lang w:val="en-AU"/>
        </w:rPr>
        <w:t xml:space="preserve"> at the initiation of treatment. Patients were randomi</w:t>
      </w:r>
      <w:r w:rsidR="00616520">
        <w:rPr>
          <w:lang w:val="en-AU"/>
        </w:rPr>
        <w:t>s</w:t>
      </w:r>
      <w:r w:rsidR="0034683E" w:rsidRPr="0034683E">
        <w:rPr>
          <w:lang w:val="en-AU"/>
        </w:rPr>
        <w:t>ed in a 1:1 ratio</w:t>
      </w:r>
      <w:r w:rsidR="0034683E">
        <w:rPr>
          <w:lang w:val="en-AU"/>
        </w:rPr>
        <w:t xml:space="preserve"> </w:t>
      </w:r>
      <w:r w:rsidR="0034683E" w:rsidRPr="0034683E">
        <w:rPr>
          <w:lang w:val="en-AU"/>
        </w:rPr>
        <w:t xml:space="preserve">based on baseline forced vital capacity (FVC), gender, age, and country to receive 20 mg/kg of </w:t>
      </w:r>
      <w:proofErr w:type="spellStart"/>
      <w:r w:rsidR="00165D09">
        <w:rPr>
          <w:lang w:val="en-AU"/>
        </w:rPr>
        <w:t>Nexviazyme</w:t>
      </w:r>
      <w:proofErr w:type="spellEnd"/>
      <w:r w:rsidR="00165D09">
        <w:rPr>
          <w:lang w:val="en-AU"/>
        </w:rPr>
        <w:t xml:space="preserve"> </w:t>
      </w:r>
      <w:r w:rsidR="0034683E" w:rsidRPr="0034683E">
        <w:rPr>
          <w:lang w:val="en-AU"/>
        </w:rPr>
        <w:t xml:space="preserve">or </w:t>
      </w:r>
      <w:proofErr w:type="spellStart"/>
      <w:r w:rsidR="0034683E" w:rsidRPr="0034683E">
        <w:rPr>
          <w:lang w:val="en-AU"/>
        </w:rPr>
        <w:t>alglucosidase</w:t>
      </w:r>
      <w:proofErr w:type="spellEnd"/>
      <w:r w:rsidR="0034683E" w:rsidRPr="0034683E">
        <w:rPr>
          <w:lang w:val="en-AU"/>
        </w:rPr>
        <w:t xml:space="preserve"> alfa once every other week for 12 months (49 weeks). The study included an open</w:t>
      </w:r>
      <w:r w:rsidR="0034683E">
        <w:rPr>
          <w:lang w:val="en-AU"/>
        </w:rPr>
        <w:t xml:space="preserve"> </w:t>
      </w:r>
      <w:r w:rsidR="0034683E" w:rsidRPr="0034683E">
        <w:rPr>
          <w:lang w:val="en-AU"/>
        </w:rPr>
        <w:t>label,</w:t>
      </w:r>
      <w:r w:rsidR="0034683E">
        <w:rPr>
          <w:lang w:val="en-AU"/>
        </w:rPr>
        <w:t xml:space="preserve"> </w:t>
      </w:r>
      <w:r w:rsidR="0034683E" w:rsidRPr="0034683E">
        <w:rPr>
          <w:lang w:val="en-AU"/>
        </w:rPr>
        <w:t>long-term, follow-up phase of up to 5 years for all patients, in which patients in the</w:t>
      </w:r>
      <w:r w:rsidR="0034683E">
        <w:rPr>
          <w:lang w:val="en-AU"/>
        </w:rPr>
        <w:t xml:space="preserve"> </w:t>
      </w:r>
      <w:proofErr w:type="spellStart"/>
      <w:r w:rsidR="0034683E" w:rsidRPr="0034683E">
        <w:rPr>
          <w:lang w:val="en-AU"/>
        </w:rPr>
        <w:t>alglucosidase</w:t>
      </w:r>
      <w:proofErr w:type="spellEnd"/>
      <w:r w:rsidR="0034683E" w:rsidRPr="0034683E">
        <w:rPr>
          <w:lang w:val="en-AU"/>
        </w:rPr>
        <w:t xml:space="preserve"> alfa arm were switched to treatment with </w:t>
      </w:r>
      <w:proofErr w:type="spellStart"/>
      <w:r w:rsidR="00165D09">
        <w:rPr>
          <w:lang w:val="en-AU"/>
        </w:rPr>
        <w:t>Nexviazyme</w:t>
      </w:r>
      <w:proofErr w:type="spellEnd"/>
      <w:r w:rsidR="0034683E" w:rsidRPr="0034683E">
        <w:rPr>
          <w:lang w:val="en-AU"/>
        </w:rPr>
        <w:t>.</w:t>
      </w:r>
    </w:p>
    <w:p w14:paraId="45081D7A" w14:textId="6B0FB6CF" w:rsidR="0034683E" w:rsidRPr="0034683E" w:rsidRDefault="0034683E" w:rsidP="0034683E">
      <w:pPr>
        <w:rPr>
          <w:lang w:val="en-AU"/>
        </w:rPr>
      </w:pPr>
      <w:r w:rsidRPr="0034683E">
        <w:rPr>
          <w:lang w:val="en-AU"/>
        </w:rPr>
        <w:t xml:space="preserve">The primary endpoint of </w:t>
      </w:r>
      <w:r w:rsidR="00552214">
        <w:rPr>
          <w:lang w:val="en-AU"/>
        </w:rPr>
        <w:t xml:space="preserve">study </w:t>
      </w:r>
      <w:r w:rsidR="00165D09" w:rsidRPr="0034683E">
        <w:rPr>
          <w:lang w:val="en-AU"/>
        </w:rPr>
        <w:t>EFC14028</w:t>
      </w:r>
      <w:r w:rsidR="00616520">
        <w:rPr>
          <w:lang w:val="en-AU"/>
        </w:rPr>
        <w:t xml:space="preserve"> (</w:t>
      </w:r>
      <w:r w:rsidR="00165D09" w:rsidRPr="0034683E">
        <w:rPr>
          <w:lang w:val="en-AU"/>
        </w:rPr>
        <w:t>COMET</w:t>
      </w:r>
      <w:r w:rsidR="00616520">
        <w:rPr>
          <w:lang w:val="en-AU"/>
        </w:rPr>
        <w:t>)</w:t>
      </w:r>
      <w:r w:rsidR="00165D09" w:rsidRPr="0034683E">
        <w:rPr>
          <w:lang w:val="en-AU"/>
        </w:rPr>
        <w:t xml:space="preserve"> </w:t>
      </w:r>
      <w:r w:rsidRPr="0034683E">
        <w:rPr>
          <w:lang w:val="en-AU"/>
        </w:rPr>
        <w:t>was the change in FVC (% predicted) in the upright position from</w:t>
      </w:r>
      <w:r>
        <w:rPr>
          <w:lang w:val="en-AU"/>
        </w:rPr>
        <w:t xml:space="preserve"> </w:t>
      </w:r>
      <w:r w:rsidRPr="0034683E">
        <w:rPr>
          <w:lang w:val="en-AU"/>
        </w:rPr>
        <w:t xml:space="preserve">baseline to 12 months (week 49). At week 49, the </w:t>
      </w:r>
      <w:r w:rsidR="00616520">
        <w:rPr>
          <w:lang w:val="en-AU"/>
        </w:rPr>
        <w:t>least square (</w:t>
      </w:r>
      <w:r w:rsidRPr="0034683E">
        <w:rPr>
          <w:lang w:val="en-AU"/>
        </w:rPr>
        <w:t>LS</w:t>
      </w:r>
      <w:r w:rsidR="00616520">
        <w:rPr>
          <w:lang w:val="en-AU"/>
        </w:rPr>
        <w:t>)</w:t>
      </w:r>
      <w:r w:rsidRPr="0034683E">
        <w:rPr>
          <w:lang w:val="en-AU"/>
        </w:rPr>
        <w:t xml:space="preserve"> mean change (SE) in FVC % predicted for</w:t>
      </w:r>
      <w:r>
        <w:rPr>
          <w:lang w:val="en-AU"/>
        </w:rPr>
        <w:t xml:space="preserve"> </w:t>
      </w:r>
      <w:r w:rsidRPr="0034683E">
        <w:rPr>
          <w:lang w:val="en-AU"/>
        </w:rPr>
        <w:t xml:space="preserve">patients treated with </w:t>
      </w:r>
      <w:proofErr w:type="spellStart"/>
      <w:r w:rsidR="00552214">
        <w:rPr>
          <w:lang w:val="en-AU"/>
        </w:rPr>
        <w:t>Nexviazyme</w:t>
      </w:r>
      <w:proofErr w:type="spellEnd"/>
      <w:r w:rsidR="00552214">
        <w:rPr>
          <w:lang w:val="en-AU"/>
        </w:rPr>
        <w:t xml:space="preserve"> </w:t>
      </w:r>
      <w:r w:rsidRPr="0034683E">
        <w:rPr>
          <w:lang w:val="en-AU"/>
        </w:rPr>
        <w:t xml:space="preserve">and </w:t>
      </w:r>
      <w:proofErr w:type="spellStart"/>
      <w:r w:rsidRPr="0034683E">
        <w:rPr>
          <w:lang w:val="en-AU"/>
        </w:rPr>
        <w:t>alglucosidase</w:t>
      </w:r>
      <w:proofErr w:type="spellEnd"/>
      <w:r w:rsidRPr="0034683E">
        <w:rPr>
          <w:lang w:val="en-AU"/>
        </w:rPr>
        <w:t xml:space="preserve"> alfa was 2.89% (0.88) and 0.46% (0.93), respectively.</w:t>
      </w:r>
    </w:p>
    <w:p w14:paraId="1D46D0EE" w14:textId="5D88B800" w:rsidR="0034683E" w:rsidRPr="0034683E" w:rsidRDefault="0034683E" w:rsidP="0034683E">
      <w:pPr>
        <w:rPr>
          <w:lang w:val="en-AU"/>
        </w:rPr>
      </w:pPr>
      <w:r w:rsidRPr="0034683E">
        <w:rPr>
          <w:lang w:val="en-AU"/>
        </w:rPr>
        <w:t xml:space="preserve">The clinically significant LS mean difference of 2.43% (95% CI: -0.13, 4.99) between </w:t>
      </w:r>
      <w:proofErr w:type="spellStart"/>
      <w:r w:rsidR="00552214">
        <w:rPr>
          <w:lang w:val="en-AU"/>
        </w:rPr>
        <w:t>Nexviazyme</w:t>
      </w:r>
      <w:proofErr w:type="spellEnd"/>
      <w:r w:rsidR="00552214">
        <w:rPr>
          <w:lang w:val="en-AU"/>
        </w:rPr>
        <w:t xml:space="preserve"> </w:t>
      </w:r>
      <w:r w:rsidRPr="0034683E">
        <w:rPr>
          <w:lang w:val="en-AU"/>
        </w:rPr>
        <w:t>and</w:t>
      </w:r>
      <w:r>
        <w:rPr>
          <w:lang w:val="en-AU"/>
        </w:rPr>
        <w:t xml:space="preserve"> </w:t>
      </w:r>
      <w:proofErr w:type="spellStart"/>
      <w:r w:rsidRPr="0034683E">
        <w:rPr>
          <w:lang w:val="en-AU"/>
        </w:rPr>
        <w:t>alglucosidase</w:t>
      </w:r>
      <w:proofErr w:type="spellEnd"/>
      <w:r w:rsidRPr="0034683E">
        <w:rPr>
          <w:lang w:val="en-AU"/>
        </w:rPr>
        <w:t xml:space="preserve"> alfa FVC % predicted exceeded the pre-defined non-inferiority margin of -1.1 and</w:t>
      </w:r>
      <w:r>
        <w:rPr>
          <w:lang w:val="en-AU"/>
        </w:rPr>
        <w:t xml:space="preserve"> </w:t>
      </w:r>
      <w:r w:rsidRPr="0034683E">
        <w:rPr>
          <w:lang w:val="en-AU"/>
        </w:rPr>
        <w:t>achieved statistical non-inferiority (p=0.0074). The study did not demonstrate statistical significance</w:t>
      </w:r>
      <w:r>
        <w:rPr>
          <w:lang w:val="en-AU"/>
        </w:rPr>
        <w:t xml:space="preserve"> </w:t>
      </w:r>
      <w:r w:rsidRPr="0034683E">
        <w:rPr>
          <w:lang w:val="en-AU"/>
        </w:rPr>
        <w:t>for superiority (p=0.0626) and the testing of the secondary endpoints was performed without</w:t>
      </w:r>
      <w:r>
        <w:rPr>
          <w:lang w:val="en-AU"/>
        </w:rPr>
        <w:t xml:space="preserve"> </w:t>
      </w:r>
      <w:r w:rsidRPr="0034683E">
        <w:rPr>
          <w:lang w:val="en-AU"/>
        </w:rPr>
        <w:t>multiplicity adjustment.</w:t>
      </w:r>
    </w:p>
    <w:p w14:paraId="53A14923" w14:textId="1FBA8B56" w:rsidR="0034683E" w:rsidRDefault="0034683E" w:rsidP="0034683E">
      <w:pPr>
        <w:rPr>
          <w:lang w:val="en-AU"/>
        </w:rPr>
      </w:pPr>
      <w:r w:rsidRPr="0034683E">
        <w:rPr>
          <w:lang w:val="en-AU"/>
        </w:rPr>
        <w:t xml:space="preserve">The results for the primary endpoint are detailed in </w:t>
      </w:r>
      <w:r w:rsidR="00552214" w:rsidRPr="00552214">
        <w:rPr>
          <w:color w:val="0000FF"/>
          <w:lang w:val="en-AU"/>
        </w:rPr>
        <w:fldChar w:fldCharType="begin"/>
      </w:r>
      <w:r w:rsidR="00552214" w:rsidRPr="00552214">
        <w:rPr>
          <w:color w:val="0000FF"/>
          <w:lang w:val="en-AU"/>
        </w:rPr>
        <w:instrText xml:space="preserve"> REF _Ref52190804 \h  \* MERGEFORMAT </w:instrText>
      </w:r>
      <w:r w:rsidR="00552214" w:rsidRPr="00552214">
        <w:rPr>
          <w:color w:val="0000FF"/>
          <w:lang w:val="en-AU"/>
        </w:rPr>
      </w:r>
      <w:r w:rsidR="00552214" w:rsidRPr="00552214">
        <w:rPr>
          <w:color w:val="0000FF"/>
          <w:lang w:val="en-AU"/>
        </w:rPr>
        <w:fldChar w:fldCharType="separate"/>
      </w:r>
      <w:r w:rsidR="00751605" w:rsidRPr="00751605">
        <w:rPr>
          <w:color w:val="0000FF"/>
        </w:rPr>
        <w:t>Table 7</w:t>
      </w:r>
      <w:r w:rsidR="00552214" w:rsidRPr="00552214">
        <w:rPr>
          <w:color w:val="0000FF"/>
          <w:lang w:val="en-AU"/>
        </w:rPr>
        <w:fldChar w:fldCharType="end"/>
      </w:r>
      <w:r w:rsidRPr="0034683E">
        <w:rPr>
          <w:lang w:val="en-AU"/>
        </w:rPr>
        <w:t xml:space="preserve"> and </w:t>
      </w:r>
      <w:r w:rsidR="00552214" w:rsidRPr="00552214">
        <w:rPr>
          <w:color w:val="0000FF"/>
          <w:lang w:val="en-AU"/>
        </w:rPr>
        <w:fldChar w:fldCharType="begin"/>
      </w:r>
      <w:r w:rsidR="00552214" w:rsidRPr="00552214">
        <w:rPr>
          <w:color w:val="0000FF"/>
          <w:lang w:val="en-AU"/>
        </w:rPr>
        <w:instrText xml:space="preserve"> REF _Ref52190824 \h  \* MERGEFORMAT </w:instrText>
      </w:r>
      <w:r w:rsidR="00552214" w:rsidRPr="00552214">
        <w:rPr>
          <w:color w:val="0000FF"/>
          <w:lang w:val="en-AU"/>
        </w:rPr>
      </w:r>
      <w:r w:rsidR="00552214" w:rsidRPr="00552214">
        <w:rPr>
          <w:color w:val="0000FF"/>
          <w:lang w:val="en-AU"/>
        </w:rPr>
        <w:fldChar w:fldCharType="separate"/>
      </w:r>
      <w:r w:rsidR="00751605" w:rsidRPr="00751605">
        <w:rPr>
          <w:color w:val="0000FF"/>
        </w:rPr>
        <w:t>Figure 1</w:t>
      </w:r>
      <w:r w:rsidR="00552214" w:rsidRPr="00552214">
        <w:rPr>
          <w:color w:val="0000FF"/>
          <w:lang w:val="en-AU"/>
        </w:rPr>
        <w:fldChar w:fldCharType="end"/>
      </w:r>
      <w:r w:rsidRPr="0034683E">
        <w:rPr>
          <w:lang w:val="en-AU"/>
        </w:rPr>
        <w:t>.</w:t>
      </w:r>
    </w:p>
    <w:p w14:paraId="45DDEA0A" w14:textId="77777777" w:rsidR="0055349C" w:rsidRDefault="0055349C" w:rsidP="0034683E">
      <w:pPr>
        <w:rPr>
          <w:lang w:val="en-AU"/>
        </w:rPr>
      </w:pPr>
    </w:p>
    <w:p w14:paraId="37E06B80" w14:textId="2870A10C" w:rsidR="0034683E" w:rsidRDefault="0034683E" w:rsidP="0034683E">
      <w:pPr>
        <w:pStyle w:val="Caption"/>
      </w:pPr>
      <w:r>
        <w:t xml:space="preserve"> </w:t>
      </w:r>
      <w:bookmarkStart w:id="17" w:name="_Ref52190804"/>
      <w:r>
        <w:t>Table </w:t>
      </w:r>
      <w:r>
        <w:fldChar w:fldCharType="begin"/>
      </w:r>
      <w:r>
        <w:instrText xml:space="preserve"> SEQ Table \* ARABIC </w:instrText>
      </w:r>
      <w:r>
        <w:fldChar w:fldCharType="separate"/>
      </w:r>
      <w:r w:rsidR="00751605">
        <w:rPr>
          <w:noProof/>
        </w:rPr>
        <w:t>7</w:t>
      </w:r>
      <w:r>
        <w:fldChar w:fldCharType="end"/>
      </w:r>
      <w:bookmarkEnd w:id="17"/>
      <w:r>
        <w:t xml:space="preserve"> ­ </w:t>
      </w:r>
      <w:r w:rsidRPr="0034683E">
        <w:t>LS mean change from baseline to week 49 in FVC (% predicted) in upright position</w:t>
      </w:r>
      <w:r w:rsidR="002D7A97">
        <w:t xml:space="preserve"> in treatment-naïve patients with LOPD</w:t>
      </w:r>
      <w:r w:rsidR="002D7A97" w:rsidRPr="002D7A97">
        <w:rPr>
          <w:vertAlign w:val="superscript"/>
        </w:rPr>
        <w:t>#</w:t>
      </w:r>
    </w:p>
    <w:tbl>
      <w:tblPr>
        <w:tblStyle w:val="TableGrid"/>
        <w:tblW w:w="0" w:type="auto"/>
        <w:jc w:val="center"/>
        <w:tblBorders>
          <w:top w:val="single" w:sz="4" w:space="0" w:color="000000"/>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756"/>
        <w:gridCol w:w="1215"/>
        <w:gridCol w:w="1817"/>
        <w:gridCol w:w="2238"/>
      </w:tblGrid>
      <w:tr w:rsidR="0034683E" w:rsidRPr="00897E90" w14:paraId="5EA377BF" w14:textId="77777777" w:rsidTr="0034683E">
        <w:trPr>
          <w:cantSplit/>
          <w:trHeight w:val="20"/>
          <w:tblHeader/>
          <w:jc w:val="center"/>
        </w:trPr>
        <w:tc>
          <w:tcPr>
            <w:tcW w:w="0" w:type="auto"/>
            <w:shd w:val="clear" w:color="auto" w:fill="auto"/>
          </w:tcPr>
          <w:p w14:paraId="118EB31F" w14:textId="77777777" w:rsidR="0034683E" w:rsidRPr="00897E90" w:rsidRDefault="0034683E" w:rsidP="0034683E">
            <w:pPr>
              <w:pStyle w:val="TblHeadingCenter"/>
            </w:pPr>
            <w:bookmarkStart w:id="18" w:name="_Hlk48659344"/>
          </w:p>
        </w:tc>
        <w:tc>
          <w:tcPr>
            <w:tcW w:w="0" w:type="auto"/>
            <w:shd w:val="clear" w:color="auto" w:fill="auto"/>
          </w:tcPr>
          <w:p w14:paraId="2A7A5BD8" w14:textId="77777777" w:rsidR="0034683E" w:rsidRPr="00897E90" w:rsidRDefault="0034683E" w:rsidP="0034683E">
            <w:pPr>
              <w:pStyle w:val="TblHeadingCenter"/>
            </w:pPr>
          </w:p>
        </w:tc>
        <w:tc>
          <w:tcPr>
            <w:tcW w:w="0" w:type="auto"/>
            <w:shd w:val="clear" w:color="auto" w:fill="auto"/>
          </w:tcPr>
          <w:p w14:paraId="33222E0F" w14:textId="6C0A2662" w:rsidR="0034683E" w:rsidRPr="00897E90" w:rsidRDefault="0034683E" w:rsidP="0034683E">
            <w:pPr>
              <w:pStyle w:val="TblHeadingCenter"/>
            </w:pPr>
            <w:r w:rsidRPr="00B10492">
              <w:t xml:space="preserve"> </w:t>
            </w:r>
            <w:r>
              <w:t>Nexviazyme</w:t>
            </w:r>
            <w:r w:rsidRPr="00B10492">
              <w:t xml:space="preserve"> (n=51)</w:t>
            </w:r>
          </w:p>
        </w:tc>
        <w:tc>
          <w:tcPr>
            <w:tcW w:w="0" w:type="auto"/>
            <w:shd w:val="clear" w:color="auto" w:fill="auto"/>
          </w:tcPr>
          <w:p w14:paraId="414DBEF4" w14:textId="77777777" w:rsidR="0034683E" w:rsidRPr="00897E90" w:rsidRDefault="0034683E" w:rsidP="0034683E">
            <w:pPr>
              <w:pStyle w:val="TblHeadingCenter"/>
            </w:pPr>
            <w:r>
              <w:t>A</w:t>
            </w:r>
            <w:r w:rsidRPr="00897E90">
              <w:t xml:space="preserve">lglucosidase </w:t>
            </w:r>
            <w:r>
              <w:t>A</w:t>
            </w:r>
            <w:r w:rsidRPr="00897E90">
              <w:t>lfa (n=49)</w:t>
            </w:r>
          </w:p>
        </w:tc>
      </w:tr>
      <w:tr w:rsidR="0034683E" w:rsidRPr="00EC0268" w14:paraId="1E9EC4CE" w14:textId="77777777" w:rsidTr="0034683E">
        <w:trPr>
          <w:cantSplit/>
          <w:trHeight w:val="20"/>
          <w:jc w:val="center"/>
        </w:trPr>
        <w:tc>
          <w:tcPr>
            <w:tcW w:w="0" w:type="auto"/>
            <w:shd w:val="clear" w:color="auto" w:fill="auto"/>
          </w:tcPr>
          <w:p w14:paraId="4035C3D0" w14:textId="77777777" w:rsidR="0034683E" w:rsidRPr="0034683E" w:rsidRDefault="0034683E" w:rsidP="0034683E">
            <w:pPr>
              <w:pStyle w:val="TblTextCenter"/>
            </w:pPr>
            <w:r w:rsidRPr="0034683E">
              <w:t>Pre-treatment baseline</w:t>
            </w:r>
          </w:p>
        </w:tc>
        <w:tc>
          <w:tcPr>
            <w:tcW w:w="0" w:type="auto"/>
            <w:shd w:val="clear" w:color="auto" w:fill="auto"/>
            <w:vAlign w:val="center"/>
          </w:tcPr>
          <w:p w14:paraId="69A5CBD7" w14:textId="77777777" w:rsidR="0034683E" w:rsidRPr="0034683E" w:rsidRDefault="0034683E" w:rsidP="0034683E">
            <w:pPr>
              <w:pStyle w:val="TblTextCenter"/>
            </w:pPr>
            <w:r w:rsidRPr="0034683E">
              <w:t>Mean (SD)</w:t>
            </w:r>
          </w:p>
        </w:tc>
        <w:tc>
          <w:tcPr>
            <w:tcW w:w="0" w:type="auto"/>
            <w:shd w:val="clear" w:color="auto" w:fill="auto"/>
            <w:vAlign w:val="center"/>
          </w:tcPr>
          <w:p w14:paraId="1889E9AC" w14:textId="77777777" w:rsidR="0034683E" w:rsidRPr="0034683E" w:rsidRDefault="0034683E" w:rsidP="0034683E">
            <w:pPr>
              <w:pStyle w:val="TblTextCenter"/>
            </w:pPr>
            <w:r w:rsidRPr="0034683E">
              <w:t>62.5 (14.4)</w:t>
            </w:r>
          </w:p>
        </w:tc>
        <w:tc>
          <w:tcPr>
            <w:tcW w:w="0" w:type="auto"/>
            <w:shd w:val="clear" w:color="auto" w:fill="auto"/>
            <w:vAlign w:val="center"/>
          </w:tcPr>
          <w:p w14:paraId="7DD63AE8" w14:textId="77777777" w:rsidR="0034683E" w:rsidRPr="0034683E" w:rsidRDefault="0034683E" w:rsidP="0034683E">
            <w:pPr>
              <w:pStyle w:val="TblTextCenter"/>
            </w:pPr>
            <w:r w:rsidRPr="0034683E">
              <w:t>61.6 (12.4)</w:t>
            </w:r>
          </w:p>
        </w:tc>
      </w:tr>
      <w:tr w:rsidR="0034683E" w:rsidRPr="00EC0268" w14:paraId="68919F1F" w14:textId="77777777" w:rsidTr="0034683E">
        <w:trPr>
          <w:cantSplit/>
          <w:trHeight w:val="20"/>
          <w:jc w:val="center"/>
        </w:trPr>
        <w:tc>
          <w:tcPr>
            <w:tcW w:w="0" w:type="auto"/>
            <w:shd w:val="clear" w:color="auto" w:fill="auto"/>
          </w:tcPr>
          <w:p w14:paraId="4BF0C350" w14:textId="77777777" w:rsidR="0034683E" w:rsidRPr="0034683E" w:rsidRDefault="0034683E" w:rsidP="0034683E">
            <w:pPr>
              <w:pStyle w:val="TblTextCenter"/>
            </w:pPr>
            <w:r w:rsidRPr="0034683E">
              <w:t>Week 49</w:t>
            </w:r>
          </w:p>
        </w:tc>
        <w:tc>
          <w:tcPr>
            <w:tcW w:w="0" w:type="auto"/>
            <w:shd w:val="clear" w:color="auto" w:fill="auto"/>
            <w:vAlign w:val="center"/>
          </w:tcPr>
          <w:p w14:paraId="6E81C1E8" w14:textId="77777777" w:rsidR="0034683E" w:rsidRPr="0034683E" w:rsidRDefault="0034683E" w:rsidP="0034683E">
            <w:pPr>
              <w:pStyle w:val="TblTextCenter"/>
            </w:pPr>
            <w:r w:rsidRPr="0034683E">
              <w:t>Mean (SD)</w:t>
            </w:r>
          </w:p>
        </w:tc>
        <w:tc>
          <w:tcPr>
            <w:tcW w:w="0" w:type="auto"/>
            <w:shd w:val="clear" w:color="auto" w:fill="auto"/>
            <w:vAlign w:val="center"/>
          </w:tcPr>
          <w:p w14:paraId="02F8C610" w14:textId="77777777" w:rsidR="0034683E" w:rsidRPr="0034683E" w:rsidRDefault="0034683E" w:rsidP="0034683E">
            <w:pPr>
              <w:pStyle w:val="TblTextCenter"/>
            </w:pPr>
            <w:r w:rsidRPr="0034683E">
              <w:t>65.49 (17.42)</w:t>
            </w:r>
          </w:p>
        </w:tc>
        <w:tc>
          <w:tcPr>
            <w:tcW w:w="0" w:type="auto"/>
            <w:shd w:val="clear" w:color="auto" w:fill="auto"/>
            <w:vAlign w:val="center"/>
          </w:tcPr>
          <w:p w14:paraId="1CD31321" w14:textId="77777777" w:rsidR="0034683E" w:rsidRPr="0034683E" w:rsidRDefault="0034683E" w:rsidP="0034683E">
            <w:pPr>
              <w:pStyle w:val="TblTextCenter"/>
            </w:pPr>
            <w:r w:rsidRPr="0034683E">
              <w:t>61.16 (13.49)</w:t>
            </w:r>
          </w:p>
        </w:tc>
      </w:tr>
      <w:tr w:rsidR="0034683E" w:rsidRPr="00EC0268" w14:paraId="1D7DBD29" w14:textId="77777777" w:rsidTr="0034683E">
        <w:trPr>
          <w:cantSplit/>
          <w:trHeight w:val="1101"/>
          <w:jc w:val="center"/>
        </w:trPr>
        <w:tc>
          <w:tcPr>
            <w:tcW w:w="0" w:type="auto"/>
            <w:shd w:val="clear" w:color="auto" w:fill="auto"/>
          </w:tcPr>
          <w:p w14:paraId="3AC18A73" w14:textId="77777777" w:rsidR="0034683E" w:rsidRDefault="0034683E" w:rsidP="0034683E">
            <w:pPr>
              <w:pStyle w:val="TblTextCenter"/>
            </w:pPr>
          </w:p>
          <w:p w14:paraId="359259B4" w14:textId="5C6F73FD" w:rsidR="0034683E" w:rsidRPr="0034683E" w:rsidRDefault="0034683E" w:rsidP="0034683E">
            <w:pPr>
              <w:pStyle w:val="TblTextCenter"/>
            </w:pPr>
            <w:r w:rsidRPr="0034683E">
              <w:t>Estimated change from baseline to week 49 (MMRM)</w:t>
            </w:r>
          </w:p>
        </w:tc>
        <w:tc>
          <w:tcPr>
            <w:tcW w:w="0" w:type="auto"/>
            <w:shd w:val="clear" w:color="auto" w:fill="auto"/>
            <w:vAlign w:val="center"/>
          </w:tcPr>
          <w:p w14:paraId="4A882861" w14:textId="77777777" w:rsidR="0034683E" w:rsidRPr="0034683E" w:rsidRDefault="0034683E" w:rsidP="0034683E">
            <w:pPr>
              <w:pStyle w:val="TblTextCenter"/>
            </w:pPr>
            <w:r w:rsidRPr="0034683E">
              <w:t>LS mean (SE)</w:t>
            </w:r>
          </w:p>
        </w:tc>
        <w:tc>
          <w:tcPr>
            <w:tcW w:w="0" w:type="auto"/>
            <w:shd w:val="clear" w:color="auto" w:fill="auto"/>
            <w:vAlign w:val="center"/>
          </w:tcPr>
          <w:p w14:paraId="6481F0D8" w14:textId="77777777" w:rsidR="0034683E" w:rsidRPr="0034683E" w:rsidRDefault="0034683E" w:rsidP="0034683E">
            <w:pPr>
              <w:pStyle w:val="TblTextCenter"/>
            </w:pPr>
            <w:r w:rsidRPr="0034683E">
              <w:t>2.89* (0.88)</w:t>
            </w:r>
          </w:p>
        </w:tc>
        <w:tc>
          <w:tcPr>
            <w:tcW w:w="0" w:type="auto"/>
            <w:shd w:val="clear" w:color="auto" w:fill="auto"/>
            <w:vAlign w:val="center"/>
          </w:tcPr>
          <w:p w14:paraId="680185FA" w14:textId="77777777" w:rsidR="0034683E" w:rsidRPr="0034683E" w:rsidRDefault="0034683E" w:rsidP="0034683E">
            <w:pPr>
              <w:pStyle w:val="TblTextCenter"/>
            </w:pPr>
            <w:r w:rsidRPr="0034683E">
              <w:t>0.46* (0.93)</w:t>
            </w:r>
          </w:p>
        </w:tc>
      </w:tr>
      <w:tr w:rsidR="0034683E" w:rsidRPr="00EC0268" w14:paraId="18FB2EEC" w14:textId="77777777" w:rsidTr="0034683E">
        <w:trPr>
          <w:cantSplit/>
          <w:trHeight w:val="20"/>
          <w:jc w:val="center"/>
        </w:trPr>
        <w:tc>
          <w:tcPr>
            <w:tcW w:w="0" w:type="auto"/>
            <w:shd w:val="clear" w:color="auto" w:fill="auto"/>
          </w:tcPr>
          <w:p w14:paraId="7BCE929A" w14:textId="77777777" w:rsidR="0034683E" w:rsidRPr="0034683E" w:rsidRDefault="0034683E" w:rsidP="0034683E">
            <w:pPr>
              <w:pStyle w:val="TblTextCenter"/>
            </w:pPr>
            <w:r w:rsidRPr="0034683E">
              <w:lastRenderedPageBreak/>
              <w:t>Estimated difference between groups in change from baseline to week 49 (MMRM)</w:t>
            </w:r>
          </w:p>
        </w:tc>
        <w:tc>
          <w:tcPr>
            <w:tcW w:w="0" w:type="auto"/>
            <w:shd w:val="clear" w:color="auto" w:fill="auto"/>
            <w:vAlign w:val="center"/>
          </w:tcPr>
          <w:p w14:paraId="3EDB0D70" w14:textId="77777777" w:rsidR="0034683E" w:rsidRPr="0034683E" w:rsidRDefault="0034683E" w:rsidP="0034683E">
            <w:pPr>
              <w:pStyle w:val="TblTextCenter"/>
            </w:pPr>
            <w:r w:rsidRPr="0034683E">
              <w:t>LS mean (95% CI)</w:t>
            </w:r>
          </w:p>
          <w:p w14:paraId="749F6650" w14:textId="77777777" w:rsidR="0034683E" w:rsidRPr="0034683E" w:rsidRDefault="0034683E" w:rsidP="0034683E">
            <w:pPr>
              <w:pStyle w:val="TblTextCenter"/>
            </w:pPr>
            <w:r w:rsidRPr="0034683E">
              <w:t>p-value**</w:t>
            </w:r>
          </w:p>
          <w:p w14:paraId="22250918" w14:textId="2DE939F1" w:rsidR="0034683E" w:rsidRPr="0034683E" w:rsidRDefault="0034683E" w:rsidP="0034683E">
            <w:pPr>
              <w:pStyle w:val="TblTextCenter"/>
            </w:pPr>
            <w:r>
              <w:t xml:space="preserve"> </w:t>
            </w:r>
            <w:r w:rsidRPr="0034683E">
              <w:t>p-value ***</w:t>
            </w:r>
          </w:p>
        </w:tc>
        <w:tc>
          <w:tcPr>
            <w:tcW w:w="0" w:type="auto"/>
            <w:gridSpan w:val="2"/>
            <w:shd w:val="clear" w:color="auto" w:fill="auto"/>
            <w:vAlign w:val="center"/>
          </w:tcPr>
          <w:p w14:paraId="01DAA548" w14:textId="77777777" w:rsidR="0034683E" w:rsidRPr="0034683E" w:rsidRDefault="0034683E" w:rsidP="0034683E">
            <w:pPr>
              <w:pStyle w:val="TblTextCenter"/>
            </w:pPr>
            <w:r w:rsidRPr="0034683E">
              <w:t>2.43* (-0.13,4.99)</w:t>
            </w:r>
          </w:p>
          <w:p w14:paraId="3C035A2D" w14:textId="77777777" w:rsidR="0034683E" w:rsidRPr="0034683E" w:rsidRDefault="0034683E" w:rsidP="0034683E">
            <w:pPr>
              <w:pStyle w:val="TblTextCenter"/>
            </w:pPr>
            <w:r w:rsidRPr="0034683E">
              <w:t>0.0074</w:t>
            </w:r>
          </w:p>
          <w:p w14:paraId="67A751D4" w14:textId="77777777" w:rsidR="0034683E" w:rsidRPr="0034683E" w:rsidRDefault="0034683E" w:rsidP="0034683E">
            <w:pPr>
              <w:pStyle w:val="TblTextCenter"/>
            </w:pPr>
            <w:r w:rsidRPr="0034683E">
              <w:t>0.0626</w:t>
            </w:r>
          </w:p>
        </w:tc>
      </w:tr>
      <w:tr w:rsidR="0034683E" w:rsidRPr="00EC0268" w14:paraId="5AD3DD5C" w14:textId="77777777" w:rsidTr="0034683E">
        <w:trPr>
          <w:cantSplit/>
          <w:trHeight w:val="20"/>
          <w:jc w:val="center"/>
        </w:trPr>
        <w:tc>
          <w:tcPr>
            <w:tcW w:w="0" w:type="auto"/>
            <w:gridSpan w:val="4"/>
            <w:shd w:val="clear" w:color="auto" w:fill="auto"/>
          </w:tcPr>
          <w:p w14:paraId="62677098" w14:textId="77777777" w:rsidR="002D7A97" w:rsidRPr="002D7A97" w:rsidRDefault="002D7A97" w:rsidP="002D7A97">
            <w:pPr>
              <w:pStyle w:val="TblFigFootnote"/>
            </w:pPr>
            <w:r w:rsidRPr="002D7A97">
              <w:rPr>
                <w:vertAlign w:val="superscript"/>
              </w:rPr>
              <w:t>#</w:t>
            </w:r>
            <w:r w:rsidRPr="002D7A97">
              <w:t xml:space="preserve"> </w:t>
            </w:r>
            <w:proofErr w:type="gramStart"/>
            <w:r w:rsidRPr="002D7A97">
              <w:t>all</w:t>
            </w:r>
            <w:proofErr w:type="gramEnd"/>
            <w:r w:rsidRPr="002D7A97">
              <w:t xml:space="preserve"> </w:t>
            </w:r>
            <w:proofErr w:type="spellStart"/>
            <w:r w:rsidRPr="002D7A97">
              <w:t>randomised</w:t>
            </w:r>
            <w:proofErr w:type="spellEnd"/>
            <w:r w:rsidRPr="002D7A97">
              <w:t xml:space="preserve"> patients</w:t>
            </w:r>
          </w:p>
          <w:p w14:paraId="50A585E3" w14:textId="0BC389A7" w:rsidR="0034683E" w:rsidRDefault="0034683E" w:rsidP="0034683E">
            <w:pPr>
              <w:pStyle w:val="TblFigFootnote"/>
            </w:pPr>
            <w:r>
              <w:t>MMRM: mixed model repeated measure.</w:t>
            </w:r>
          </w:p>
          <w:p w14:paraId="790E3033" w14:textId="77777777" w:rsidR="0034683E" w:rsidRDefault="0034683E" w:rsidP="0034683E">
            <w:pPr>
              <w:pStyle w:val="TblFigFootnote"/>
            </w:pPr>
            <w:r>
              <w:t>*</w:t>
            </w:r>
            <w:proofErr w:type="gramStart"/>
            <w:r>
              <w:t>On the basis of</w:t>
            </w:r>
            <w:proofErr w:type="gramEnd"/>
            <w:r>
              <w:t xml:space="preserve"> MMRM model, the model includes baseline FVC (% predicted, as continuous), sex, age (in years at baseline), treatment group, visit, interaction term between treatment group and visit as fixed effects. </w:t>
            </w:r>
          </w:p>
          <w:p w14:paraId="305C1375" w14:textId="77777777" w:rsidR="0034683E" w:rsidRDefault="0034683E" w:rsidP="0034683E">
            <w:pPr>
              <w:pStyle w:val="TblFigFootnote"/>
            </w:pPr>
            <w:r>
              <w:t>** Non-inferiority margin of -1.1%.</w:t>
            </w:r>
          </w:p>
          <w:p w14:paraId="3C95D331" w14:textId="101AA359" w:rsidR="0034683E" w:rsidRPr="00EC0268" w:rsidRDefault="0034683E" w:rsidP="00792475">
            <w:pPr>
              <w:pStyle w:val="TblFigFootnote"/>
            </w:pPr>
            <w:r>
              <w:t>*** Superiority not achieved.</w:t>
            </w:r>
          </w:p>
        </w:tc>
      </w:tr>
    </w:tbl>
    <w:bookmarkEnd w:id="18"/>
    <w:p w14:paraId="69637A2C" w14:textId="21B97799" w:rsidR="0034683E" w:rsidRPr="002D7A97" w:rsidRDefault="0034683E" w:rsidP="0034683E">
      <w:pPr>
        <w:pStyle w:val="Caption"/>
        <w:rPr>
          <w:vertAlign w:val="superscript"/>
        </w:rPr>
      </w:pPr>
      <w:r>
        <w:t xml:space="preserve"> </w:t>
      </w:r>
      <w:bookmarkStart w:id="19" w:name="_Ref52190824"/>
      <w:r>
        <w:t>Figure </w:t>
      </w:r>
      <w:r>
        <w:fldChar w:fldCharType="begin"/>
      </w:r>
      <w:r>
        <w:instrText xml:space="preserve"> SEQ Figure \* ARABIC </w:instrText>
      </w:r>
      <w:r>
        <w:fldChar w:fldCharType="separate"/>
      </w:r>
      <w:r w:rsidR="00751605">
        <w:rPr>
          <w:noProof/>
        </w:rPr>
        <w:t>1</w:t>
      </w:r>
      <w:r>
        <w:fldChar w:fldCharType="end"/>
      </w:r>
      <w:bookmarkEnd w:id="19"/>
      <w:r>
        <w:t xml:space="preserve"> ­ </w:t>
      </w:r>
      <w:r w:rsidRPr="0034683E">
        <w:t xml:space="preserve">Plot of </w:t>
      </w:r>
      <w:r w:rsidR="0055349C">
        <w:t xml:space="preserve">LS </w:t>
      </w:r>
      <w:r w:rsidRPr="0034683E">
        <w:t xml:space="preserve">mean (SE) change from baseline </w:t>
      </w:r>
      <w:r w:rsidR="0055349C">
        <w:t xml:space="preserve">to week 49 </w:t>
      </w:r>
      <w:r w:rsidRPr="0034683E">
        <w:t xml:space="preserve">of FVC (% predicted) - in upright position over time </w:t>
      </w:r>
      <w:r w:rsidR="002D7A97">
        <w:t>in treatment-naïve patients with LOPD</w:t>
      </w:r>
      <w:r w:rsidR="002D7A97">
        <w:rPr>
          <w:vertAlign w:val="superscript"/>
        </w:rPr>
        <w:t>#</w:t>
      </w:r>
    </w:p>
    <w:p w14:paraId="234FA99C" w14:textId="422A82BD" w:rsidR="0055349C" w:rsidRDefault="0055349C" w:rsidP="0034683E">
      <w:pPr>
        <w:rPr>
          <w:lang w:val="en-AU"/>
        </w:rPr>
      </w:pPr>
      <w:r>
        <w:rPr>
          <w:noProof/>
        </w:rPr>
        <w:drawing>
          <wp:inline distT="0" distB="0" distL="0" distR="0" wp14:anchorId="73E667EC" wp14:editId="100DEE2C">
            <wp:extent cx="5731510" cy="27447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2744700"/>
                    </a:xfrm>
                    <a:prstGeom prst="rect">
                      <a:avLst/>
                    </a:prstGeom>
                  </pic:spPr>
                </pic:pic>
              </a:graphicData>
            </a:graphic>
          </wp:inline>
        </w:drawing>
      </w:r>
    </w:p>
    <w:p w14:paraId="012596A7" w14:textId="5C3FC78C" w:rsidR="002D7A97" w:rsidRPr="002D7A97" w:rsidRDefault="002D7A97" w:rsidP="002D7A97">
      <w:pPr>
        <w:spacing w:before="0"/>
        <w:rPr>
          <w:vertAlign w:val="superscript"/>
          <w:lang w:val="en-AU"/>
        </w:rPr>
      </w:pPr>
      <w:r w:rsidRPr="002D7A97">
        <w:rPr>
          <w:vertAlign w:val="superscript"/>
          <w:lang w:val="en-AU"/>
        </w:rPr>
        <w:t xml:space="preserve"># </w:t>
      </w:r>
      <w:proofErr w:type="gramStart"/>
      <w:r w:rsidRPr="002D7A97">
        <w:rPr>
          <w:vertAlign w:val="superscript"/>
          <w:lang w:val="en-AU"/>
        </w:rPr>
        <w:t>all</w:t>
      </w:r>
      <w:proofErr w:type="gramEnd"/>
      <w:r w:rsidRPr="002D7A97">
        <w:rPr>
          <w:vertAlign w:val="superscript"/>
          <w:lang w:val="en-AU"/>
        </w:rPr>
        <w:t xml:space="preserve"> randomised patients </w:t>
      </w:r>
    </w:p>
    <w:p w14:paraId="55B64BD8" w14:textId="1E253B81" w:rsidR="0034683E" w:rsidRDefault="0034683E" w:rsidP="0034683E">
      <w:pPr>
        <w:rPr>
          <w:lang w:val="en-AU"/>
        </w:rPr>
      </w:pPr>
      <w:r w:rsidRPr="0034683E">
        <w:rPr>
          <w:lang w:val="en-AU"/>
        </w:rPr>
        <w:t xml:space="preserve">The key secondary endpoint of study </w:t>
      </w:r>
      <w:r w:rsidR="00552214" w:rsidRPr="0034683E">
        <w:rPr>
          <w:lang w:val="en-AU"/>
        </w:rPr>
        <w:t>EFC14028</w:t>
      </w:r>
      <w:r w:rsidR="00616520">
        <w:rPr>
          <w:lang w:val="en-AU"/>
        </w:rPr>
        <w:t xml:space="preserve"> (</w:t>
      </w:r>
      <w:r w:rsidR="00552214" w:rsidRPr="0034683E">
        <w:rPr>
          <w:lang w:val="en-AU"/>
        </w:rPr>
        <w:t>COMET</w:t>
      </w:r>
      <w:r w:rsidR="00616520">
        <w:rPr>
          <w:lang w:val="en-AU"/>
        </w:rPr>
        <w:t>)</w:t>
      </w:r>
      <w:r w:rsidR="00552214" w:rsidRPr="0034683E">
        <w:rPr>
          <w:lang w:val="en-AU"/>
        </w:rPr>
        <w:t xml:space="preserve"> </w:t>
      </w:r>
      <w:r w:rsidRPr="0034683E">
        <w:rPr>
          <w:lang w:val="en-AU"/>
        </w:rPr>
        <w:t>was change in total distance walked in 6 minutes (6-Minute</w:t>
      </w:r>
      <w:r>
        <w:rPr>
          <w:lang w:val="en-AU"/>
        </w:rPr>
        <w:t xml:space="preserve"> </w:t>
      </w:r>
      <w:r w:rsidRPr="0034683E">
        <w:rPr>
          <w:lang w:val="en-AU"/>
        </w:rPr>
        <w:t>Walk Test, 6MWT) from baseline to 12 months (week 49). At week 49, the LS mean change from</w:t>
      </w:r>
      <w:r>
        <w:rPr>
          <w:lang w:val="en-AU"/>
        </w:rPr>
        <w:t xml:space="preserve"> </w:t>
      </w:r>
      <w:r w:rsidRPr="0034683E">
        <w:rPr>
          <w:lang w:val="en-AU"/>
        </w:rPr>
        <w:t>baseline (SE) in 6MWT for patients treated with</w:t>
      </w:r>
      <w:r w:rsidR="00552214">
        <w:rPr>
          <w:lang w:val="en-AU"/>
        </w:rPr>
        <w:t xml:space="preserve"> </w:t>
      </w:r>
      <w:proofErr w:type="spellStart"/>
      <w:r w:rsidR="00552214">
        <w:rPr>
          <w:lang w:val="en-AU"/>
        </w:rPr>
        <w:t>Nexviazyme</w:t>
      </w:r>
      <w:proofErr w:type="spellEnd"/>
      <w:r w:rsidR="00552214">
        <w:rPr>
          <w:lang w:val="en-AU"/>
        </w:rPr>
        <w:t xml:space="preserve"> </w:t>
      </w:r>
      <w:r w:rsidRPr="0034683E">
        <w:rPr>
          <w:lang w:val="en-AU"/>
        </w:rPr>
        <w:t xml:space="preserve">and </w:t>
      </w:r>
      <w:proofErr w:type="spellStart"/>
      <w:r w:rsidRPr="0034683E">
        <w:rPr>
          <w:lang w:val="en-AU"/>
        </w:rPr>
        <w:t>alglucosidase</w:t>
      </w:r>
      <w:proofErr w:type="spellEnd"/>
      <w:r w:rsidRPr="0034683E">
        <w:rPr>
          <w:lang w:val="en-AU"/>
        </w:rPr>
        <w:t xml:space="preserve"> alfa was 32.21 m (9.93) and</w:t>
      </w:r>
      <w:r>
        <w:rPr>
          <w:lang w:val="en-AU"/>
        </w:rPr>
        <w:t xml:space="preserve"> </w:t>
      </w:r>
      <w:r w:rsidRPr="0034683E">
        <w:rPr>
          <w:lang w:val="en-AU"/>
        </w:rPr>
        <w:t xml:space="preserve">2.19 m (10.40) respectively. The LS mean difference of 30.01 m (95% CI:1.33,58.69) showed numerical improvement with </w:t>
      </w:r>
      <w:proofErr w:type="spellStart"/>
      <w:r w:rsidR="00552214">
        <w:rPr>
          <w:lang w:val="en-AU"/>
        </w:rPr>
        <w:t>Nexviazyme</w:t>
      </w:r>
      <w:proofErr w:type="spellEnd"/>
      <w:r w:rsidR="00552214">
        <w:rPr>
          <w:lang w:val="en-AU"/>
        </w:rPr>
        <w:t xml:space="preserve"> </w:t>
      </w:r>
      <w:r w:rsidRPr="0034683E">
        <w:rPr>
          <w:lang w:val="en-AU"/>
        </w:rPr>
        <w:t>compared with</w:t>
      </w:r>
      <w:r>
        <w:rPr>
          <w:lang w:val="en-AU"/>
        </w:rPr>
        <w:t xml:space="preserve"> </w:t>
      </w:r>
      <w:proofErr w:type="spellStart"/>
      <w:r w:rsidRPr="0034683E">
        <w:rPr>
          <w:lang w:val="en-AU"/>
        </w:rPr>
        <w:t>alglucosidase</w:t>
      </w:r>
      <w:proofErr w:type="spellEnd"/>
      <w:r w:rsidRPr="0034683E">
        <w:rPr>
          <w:lang w:val="en-AU"/>
        </w:rPr>
        <w:t xml:space="preserve"> alfa. The results for the 6MWT are detailed in</w:t>
      </w:r>
      <w:r w:rsidR="00552214">
        <w:rPr>
          <w:lang w:val="en-AU"/>
        </w:rPr>
        <w:t xml:space="preserve"> </w:t>
      </w:r>
      <w:r w:rsidR="00552214" w:rsidRPr="00552214">
        <w:rPr>
          <w:color w:val="0000FF"/>
          <w:lang w:val="en-AU"/>
        </w:rPr>
        <w:fldChar w:fldCharType="begin"/>
      </w:r>
      <w:r w:rsidR="00552214" w:rsidRPr="00552214">
        <w:rPr>
          <w:color w:val="0000FF"/>
          <w:lang w:val="en-AU"/>
        </w:rPr>
        <w:instrText xml:space="preserve"> REF _Ref52190934 \h  \* MERGEFORMAT </w:instrText>
      </w:r>
      <w:r w:rsidR="00552214" w:rsidRPr="00552214">
        <w:rPr>
          <w:color w:val="0000FF"/>
          <w:lang w:val="en-AU"/>
        </w:rPr>
      </w:r>
      <w:r w:rsidR="00552214" w:rsidRPr="00552214">
        <w:rPr>
          <w:color w:val="0000FF"/>
          <w:lang w:val="en-AU"/>
        </w:rPr>
        <w:fldChar w:fldCharType="separate"/>
      </w:r>
      <w:r w:rsidR="00751605" w:rsidRPr="00751605">
        <w:rPr>
          <w:color w:val="0000FF"/>
        </w:rPr>
        <w:t>Table 8</w:t>
      </w:r>
      <w:r w:rsidR="00552214" w:rsidRPr="00552214">
        <w:rPr>
          <w:color w:val="0000FF"/>
          <w:lang w:val="en-AU"/>
        </w:rPr>
        <w:fldChar w:fldCharType="end"/>
      </w:r>
      <w:r w:rsidRPr="0034683E">
        <w:rPr>
          <w:lang w:val="en-AU"/>
        </w:rPr>
        <w:t xml:space="preserve"> and </w:t>
      </w:r>
      <w:r w:rsidR="00552214" w:rsidRPr="00552214">
        <w:rPr>
          <w:color w:val="0000FF"/>
          <w:lang w:val="en-AU"/>
        </w:rPr>
        <w:fldChar w:fldCharType="begin"/>
      </w:r>
      <w:r w:rsidR="00552214" w:rsidRPr="00552214">
        <w:rPr>
          <w:color w:val="0000FF"/>
          <w:lang w:val="en-AU"/>
        </w:rPr>
        <w:instrText xml:space="preserve"> REF _Ref52190945 \h  \* MERGEFORMAT </w:instrText>
      </w:r>
      <w:r w:rsidR="00552214" w:rsidRPr="00552214">
        <w:rPr>
          <w:color w:val="0000FF"/>
          <w:lang w:val="en-AU"/>
        </w:rPr>
      </w:r>
      <w:r w:rsidR="00552214" w:rsidRPr="00552214">
        <w:rPr>
          <w:color w:val="0000FF"/>
          <w:lang w:val="en-AU"/>
        </w:rPr>
        <w:fldChar w:fldCharType="separate"/>
      </w:r>
      <w:r w:rsidR="00751605" w:rsidRPr="00751605">
        <w:rPr>
          <w:color w:val="0000FF"/>
        </w:rPr>
        <w:t>Figure 2</w:t>
      </w:r>
      <w:r w:rsidR="00552214" w:rsidRPr="00552214">
        <w:rPr>
          <w:color w:val="0000FF"/>
          <w:lang w:val="en-AU"/>
        </w:rPr>
        <w:fldChar w:fldCharType="end"/>
      </w:r>
      <w:r w:rsidRPr="0034683E">
        <w:rPr>
          <w:lang w:val="en-AU"/>
        </w:rPr>
        <w:t xml:space="preserve">. </w:t>
      </w:r>
    </w:p>
    <w:p w14:paraId="0D369EFB" w14:textId="5872F469" w:rsidR="0034683E" w:rsidRPr="002D7A97" w:rsidRDefault="0034683E" w:rsidP="0034683E">
      <w:pPr>
        <w:pStyle w:val="Caption"/>
        <w:rPr>
          <w:vertAlign w:val="superscript"/>
          <w:lang w:val="en-AU"/>
        </w:rPr>
      </w:pPr>
      <w:bookmarkStart w:id="20" w:name="_Ref52190934"/>
      <w:r>
        <w:lastRenderedPageBreak/>
        <w:t>Table </w:t>
      </w:r>
      <w:r>
        <w:fldChar w:fldCharType="begin"/>
      </w:r>
      <w:r>
        <w:instrText xml:space="preserve"> SEQ Table \* ARABIC </w:instrText>
      </w:r>
      <w:r>
        <w:fldChar w:fldCharType="separate"/>
      </w:r>
      <w:r w:rsidR="00751605">
        <w:rPr>
          <w:noProof/>
        </w:rPr>
        <w:t>8</w:t>
      </w:r>
      <w:r>
        <w:fldChar w:fldCharType="end"/>
      </w:r>
      <w:bookmarkEnd w:id="20"/>
      <w:r>
        <w:t xml:space="preserve"> ­ </w:t>
      </w:r>
      <w:r w:rsidRPr="0034683E">
        <w:rPr>
          <w:lang w:val="en-AU"/>
        </w:rPr>
        <w:t>LS mean change from baseline to week 49 in 6MWT (6-minute walk test)</w:t>
      </w:r>
      <w:r w:rsidR="002D7A97">
        <w:rPr>
          <w:lang w:val="en-AU"/>
        </w:rPr>
        <w:t xml:space="preserve"> in treatment-naïve patients with LOPD</w:t>
      </w:r>
      <w:r w:rsidR="002D7A97">
        <w:rPr>
          <w:vertAlign w:val="superscript"/>
          <w:lang w:val="en-AU"/>
        </w:rPr>
        <w:t>#</w:t>
      </w:r>
    </w:p>
    <w:tbl>
      <w:tblPr>
        <w:tblStyle w:val="TableGrid"/>
        <w:tblW w:w="0" w:type="auto"/>
        <w:jc w:val="center"/>
        <w:tblBorders>
          <w:top w:val="single" w:sz="2" w:space="0" w:color="0000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3"/>
        <w:gridCol w:w="1246"/>
        <w:gridCol w:w="1855"/>
        <w:gridCol w:w="2302"/>
      </w:tblGrid>
      <w:tr w:rsidR="0034683E" w:rsidRPr="00897E90" w14:paraId="08723C58" w14:textId="77777777" w:rsidTr="0034683E">
        <w:trPr>
          <w:cantSplit/>
          <w:trHeight w:val="20"/>
          <w:tblHeader/>
          <w:jc w:val="center"/>
        </w:trPr>
        <w:tc>
          <w:tcPr>
            <w:tcW w:w="0" w:type="auto"/>
            <w:tcBorders>
              <w:top w:val="single" w:sz="4" w:space="0" w:color="000000"/>
              <w:bottom w:val="single" w:sz="4" w:space="0" w:color="000000"/>
            </w:tcBorders>
            <w:shd w:val="clear" w:color="auto" w:fill="auto"/>
          </w:tcPr>
          <w:p w14:paraId="60AF22F1" w14:textId="77777777" w:rsidR="0034683E" w:rsidRPr="00897E90" w:rsidRDefault="0034683E" w:rsidP="0034683E">
            <w:pPr>
              <w:pStyle w:val="TblHeadingCenter"/>
            </w:pPr>
            <w:bookmarkStart w:id="21" w:name="_Hlk44595890"/>
          </w:p>
        </w:tc>
        <w:tc>
          <w:tcPr>
            <w:tcW w:w="0" w:type="auto"/>
            <w:tcBorders>
              <w:top w:val="single" w:sz="4" w:space="0" w:color="000000"/>
              <w:bottom w:val="single" w:sz="4" w:space="0" w:color="000000"/>
            </w:tcBorders>
            <w:shd w:val="clear" w:color="auto" w:fill="auto"/>
          </w:tcPr>
          <w:p w14:paraId="39DC66BF" w14:textId="77777777" w:rsidR="0034683E" w:rsidRPr="00897E90" w:rsidRDefault="0034683E" w:rsidP="0034683E">
            <w:pPr>
              <w:pStyle w:val="TblHeadingCenter"/>
            </w:pPr>
          </w:p>
        </w:tc>
        <w:tc>
          <w:tcPr>
            <w:tcW w:w="0" w:type="auto"/>
            <w:tcBorders>
              <w:top w:val="single" w:sz="4" w:space="0" w:color="000000"/>
              <w:bottom w:val="single" w:sz="4" w:space="0" w:color="000000"/>
            </w:tcBorders>
            <w:shd w:val="clear" w:color="auto" w:fill="auto"/>
          </w:tcPr>
          <w:p w14:paraId="575E7624" w14:textId="23021E1D" w:rsidR="0034683E" w:rsidRPr="00897E90" w:rsidRDefault="00552214" w:rsidP="00552214">
            <w:pPr>
              <w:pStyle w:val="TblHeadingCenter"/>
            </w:pPr>
            <w:r>
              <w:t>Nexviazyme</w:t>
            </w:r>
            <w:r w:rsidR="0034683E" w:rsidRPr="00897E90">
              <w:t xml:space="preserve"> (n=51)</w:t>
            </w:r>
          </w:p>
        </w:tc>
        <w:tc>
          <w:tcPr>
            <w:tcW w:w="0" w:type="auto"/>
            <w:tcBorders>
              <w:top w:val="single" w:sz="4" w:space="0" w:color="000000"/>
              <w:bottom w:val="single" w:sz="4" w:space="0" w:color="000000"/>
            </w:tcBorders>
            <w:shd w:val="clear" w:color="auto" w:fill="auto"/>
          </w:tcPr>
          <w:p w14:paraId="5DE72B3A" w14:textId="77777777" w:rsidR="0034683E" w:rsidRPr="00897E90" w:rsidRDefault="0034683E" w:rsidP="0034683E">
            <w:pPr>
              <w:pStyle w:val="TblHeadingCenter"/>
            </w:pPr>
            <w:r>
              <w:t>A</w:t>
            </w:r>
            <w:r w:rsidRPr="00897E90">
              <w:t xml:space="preserve">lglucosidase </w:t>
            </w:r>
            <w:r>
              <w:t>A</w:t>
            </w:r>
            <w:r w:rsidRPr="00897E90">
              <w:t>lfa (n=49)</w:t>
            </w:r>
          </w:p>
        </w:tc>
      </w:tr>
      <w:tr w:rsidR="0034683E" w:rsidRPr="00EC0268" w14:paraId="3D7628B2" w14:textId="77777777" w:rsidTr="0034683E">
        <w:trPr>
          <w:cantSplit/>
          <w:trHeight w:val="20"/>
          <w:jc w:val="center"/>
        </w:trPr>
        <w:tc>
          <w:tcPr>
            <w:tcW w:w="0" w:type="auto"/>
            <w:tcBorders>
              <w:top w:val="single" w:sz="4" w:space="0" w:color="000000"/>
            </w:tcBorders>
            <w:shd w:val="clear" w:color="auto" w:fill="auto"/>
          </w:tcPr>
          <w:p w14:paraId="2181C181" w14:textId="77777777" w:rsidR="0034683E" w:rsidRPr="0034683E" w:rsidRDefault="0034683E" w:rsidP="0034683E">
            <w:pPr>
              <w:pStyle w:val="TblTextCenter"/>
            </w:pPr>
            <w:r w:rsidRPr="0034683E">
              <w:t>Pre-treatment baseline</w:t>
            </w:r>
          </w:p>
        </w:tc>
        <w:tc>
          <w:tcPr>
            <w:tcW w:w="0" w:type="auto"/>
            <w:tcBorders>
              <w:top w:val="single" w:sz="4" w:space="0" w:color="000000"/>
            </w:tcBorders>
            <w:shd w:val="clear" w:color="auto" w:fill="auto"/>
            <w:vAlign w:val="center"/>
          </w:tcPr>
          <w:p w14:paraId="09E93AEC" w14:textId="77777777" w:rsidR="0034683E" w:rsidRPr="0034683E" w:rsidRDefault="0034683E" w:rsidP="0034683E">
            <w:pPr>
              <w:pStyle w:val="TblTextCenter"/>
            </w:pPr>
            <w:r w:rsidRPr="0034683E">
              <w:t>Mean (SD)</w:t>
            </w:r>
          </w:p>
        </w:tc>
        <w:tc>
          <w:tcPr>
            <w:tcW w:w="0" w:type="auto"/>
            <w:tcBorders>
              <w:top w:val="single" w:sz="4" w:space="0" w:color="000000"/>
            </w:tcBorders>
            <w:shd w:val="clear" w:color="auto" w:fill="auto"/>
          </w:tcPr>
          <w:p w14:paraId="53862708" w14:textId="77777777" w:rsidR="0034683E" w:rsidRPr="0034683E" w:rsidRDefault="0034683E" w:rsidP="0034683E">
            <w:pPr>
              <w:pStyle w:val="TblTextCenter"/>
            </w:pPr>
            <w:r w:rsidRPr="0034683E">
              <w:t>399.3 (110.9)</w:t>
            </w:r>
          </w:p>
        </w:tc>
        <w:tc>
          <w:tcPr>
            <w:tcW w:w="0" w:type="auto"/>
            <w:tcBorders>
              <w:top w:val="single" w:sz="4" w:space="0" w:color="000000"/>
            </w:tcBorders>
            <w:shd w:val="clear" w:color="auto" w:fill="auto"/>
          </w:tcPr>
          <w:p w14:paraId="5C9439B1" w14:textId="77777777" w:rsidR="0034683E" w:rsidRPr="0034683E" w:rsidRDefault="0034683E" w:rsidP="0034683E">
            <w:pPr>
              <w:pStyle w:val="TblTextCenter"/>
            </w:pPr>
            <w:r w:rsidRPr="0034683E">
              <w:t xml:space="preserve"> 378.1 (116.2)</w:t>
            </w:r>
          </w:p>
        </w:tc>
      </w:tr>
      <w:tr w:rsidR="0034683E" w:rsidRPr="00EC0268" w14:paraId="2A7B01B2" w14:textId="77777777" w:rsidTr="0034683E">
        <w:trPr>
          <w:cantSplit/>
          <w:trHeight w:val="20"/>
          <w:jc w:val="center"/>
        </w:trPr>
        <w:tc>
          <w:tcPr>
            <w:tcW w:w="0" w:type="auto"/>
            <w:shd w:val="clear" w:color="auto" w:fill="auto"/>
          </w:tcPr>
          <w:p w14:paraId="790415FE" w14:textId="77777777" w:rsidR="0034683E" w:rsidRPr="0034683E" w:rsidRDefault="0034683E" w:rsidP="0034683E">
            <w:pPr>
              <w:pStyle w:val="TblTextCenter"/>
            </w:pPr>
            <w:r w:rsidRPr="0034683E">
              <w:t>Week 49</w:t>
            </w:r>
          </w:p>
        </w:tc>
        <w:tc>
          <w:tcPr>
            <w:tcW w:w="0" w:type="auto"/>
            <w:shd w:val="clear" w:color="auto" w:fill="auto"/>
            <w:vAlign w:val="center"/>
          </w:tcPr>
          <w:p w14:paraId="2CCCAF9B" w14:textId="77777777" w:rsidR="0034683E" w:rsidRPr="0034683E" w:rsidRDefault="0034683E" w:rsidP="0034683E">
            <w:pPr>
              <w:pStyle w:val="TblTextCenter"/>
            </w:pPr>
            <w:r w:rsidRPr="0034683E">
              <w:t>Mean (SD)</w:t>
            </w:r>
          </w:p>
        </w:tc>
        <w:tc>
          <w:tcPr>
            <w:tcW w:w="0" w:type="auto"/>
            <w:shd w:val="clear" w:color="auto" w:fill="auto"/>
            <w:vAlign w:val="center"/>
          </w:tcPr>
          <w:p w14:paraId="43798A60" w14:textId="77777777" w:rsidR="0034683E" w:rsidRPr="0034683E" w:rsidRDefault="0034683E" w:rsidP="0034683E">
            <w:pPr>
              <w:pStyle w:val="TblTextCenter"/>
            </w:pPr>
            <w:r w:rsidRPr="0034683E">
              <w:t>441.31 (109.77)</w:t>
            </w:r>
          </w:p>
        </w:tc>
        <w:tc>
          <w:tcPr>
            <w:tcW w:w="0" w:type="auto"/>
            <w:shd w:val="clear" w:color="auto" w:fill="auto"/>
            <w:vAlign w:val="center"/>
          </w:tcPr>
          <w:p w14:paraId="28BE6024" w14:textId="77777777" w:rsidR="0034683E" w:rsidRPr="0034683E" w:rsidRDefault="0034683E" w:rsidP="0034683E">
            <w:pPr>
              <w:pStyle w:val="TblTextCenter"/>
            </w:pPr>
            <w:r w:rsidRPr="0034683E">
              <w:t>383.56 (141.09)</w:t>
            </w:r>
          </w:p>
        </w:tc>
      </w:tr>
      <w:tr w:rsidR="0034683E" w:rsidRPr="00EC0268" w14:paraId="7EFC3B0C" w14:textId="77777777" w:rsidTr="0034683E">
        <w:trPr>
          <w:cantSplit/>
          <w:trHeight w:val="1101"/>
          <w:jc w:val="center"/>
        </w:trPr>
        <w:tc>
          <w:tcPr>
            <w:tcW w:w="0" w:type="auto"/>
            <w:shd w:val="clear" w:color="auto" w:fill="auto"/>
          </w:tcPr>
          <w:p w14:paraId="4BFCE17B" w14:textId="77777777" w:rsidR="0034683E" w:rsidRPr="0034683E" w:rsidRDefault="0034683E" w:rsidP="0034683E">
            <w:pPr>
              <w:pStyle w:val="TblTextCenter"/>
            </w:pPr>
            <w:r w:rsidRPr="0034683E">
              <w:t>Estimated change from baseline to week 49 (MMRM)</w:t>
            </w:r>
          </w:p>
        </w:tc>
        <w:tc>
          <w:tcPr>
            <w:tcW w:w="0" w:type="auto"/>
            <w:shd w:val="clear" w:color="auto" w:fill="auto"/>
            <w:vAlign w:val="center"/>
          </w:tcPr>
          <w:p w14:paraId="3F630107" w14:textId="77777777" w:rsidR="0034683E" w:rsidRPr="0034683E" w:rsidRDefault="0034683E" w:rsidP="0034683E">
            <w:pPr>
              <w:pStyle w:val="TblTextCenter"/>
            </w:pPr>
            <w:r w:rsidRPr="0034683E">
              <w:t>LS mean (SE)</w:t>
            </w:r>
          </w:p>
        </w:tc>
        <w:tc>
          <w:tcPr>
            <w:tcW w:w="0" w:type="auto"/>
            <w:shd w:val="clear" w:color="auto" w:fill="auto"/>
          </w:tcPr>
          <w:p w14:paraId="542B3F1C" w14:textId="77777777" w:rsidR="0034683E" w:rsidRPr="0034683E" w:rsidRDefault="0034683E" w:rsidP="0034683E">
            <w:pPr>
              <w:pStyle w:val="TblTextCenter"/>
            </w:pPr>
            <w:r w:rsidRPr="0034683E">
              <w:t>32.21* (9.93)</w:t>
            </w:r>
          </w:p>
        </w:tc>
        <w:tc>
          <w:tcPr>
            <w:tcW w:w="0" w:type="auto"/>
            <w:shd w:val="clear" w:color="auto" w:fill="auto"/>
          </w:tcPr>
          <w:p w14:paraId="1A20FFA6" w14:textId="77777777" w:rsidR="0034683E" w:rsidRPr="0034683E" w:rsidRDefault="0034683E" w:rsidP="0034683E">
            <w:pPr>
              <w:pStyle w:val="TblTextCenter"/>
            </w:pPr>
            <w:r w:rsidRPr="0034683E">
              <w:t>2.19* (10.40)</w:t>
            </w:r>
          </w:p>
        </w:tc>
      </w:tr>
      <w:tr w:rsidR="0034683E" w:rsidRPr="00EC0268" w14:paraId="431E81F3" w14:textId="77777777" w:rsidTr="0034683E">
        <w:trPr>
          <w:cantSplit/>
          <w:trHeight w:val="20"/>
          <w:jc w:val="center"/>
        </w:trPr>
        <w:tc>
          <w:tcPr>
            <w:tcW w:w="0" w:type="auto"/>
            <w:tcBorders>
              <w:bottom w:val="single" w:sz="12" w:space="0" w:color="auto"/>
            </w:tcBorders>
            <w:shd w:val="clear" w:color="auto" w:fill="auto"/>
          </w:tcPr>
          <w:p w14:paraId="2D7240F5" w14:textId="77777777" w:rsidR="0034683E" w:rsidRPr="0034683E" w:rsidRDefault="0034683E" w:rsidP="0034683E">
            <w:pPr>
              <w:pStyle w:val="TblTextCenter"/>
            </w:pPr>
            <w:r w:rsidRPr="0034683E">
              <w:t>Estimated difference between groups in change from baseline to week 49 (MMRM)</w:t>
            </w:r>
          </w:p>
        </w:tc>
        <w:tc>
          <w:tcPr>
            <w:tcW w:w="0" w:type="auto"/>
            <w:tcBorders>
              <w:bottom w:val="single" w:sz="12" w:space="0" w:color="auto"/>
            </w:tcBorders>
            <w:shd w:val="clear" w:color="auto" w:fill="auto"/>
            <w:vAlign w:val="center"/>
          </w:tcPr>
          <w:p w14:paraId="1EBF48F0" w14:textId="68D453A2" w:rsidR="0034683E" w:rsidRPr="0034683E" w:rsidRDefault="0034683E" w:rsidP="0055349C">
            <w:pPr>
              <w:pStyle w:val="TblTextCenter"/>
            </w:pPr>
            <w:r w:rsidRPr="0034683E">
              <w:t>LS mean (95% CI)</w:t>
            </w:r>
            <w:r w:rsidR="0055349C" w:rsidRPr="0034683E">
              <w:t xml:space="preserve"> **</w:t>
            </w:r>
          </w:p>
        </w:tc>
        <w:tc>
          <w:tcPr>
            <w:tcW w:w="0" w:type="auto"/>
            <w:gridSpan w:val="2"/>
            <w:tcBorders>
              <w:bottom w:val="single" w:sz="12" w:space="0" w:color="auto"/>
            </w:tcBorders>
            <w:shd w:val="clear" w:color="auto" w:fill="auto"/>
            <w:vAlign w:val="center"/>
          </w:tcPr>
          <w:p w14:paraId="2B5DDDE7" w14:textId="77777777" w:rsidR="0034683E" w:rsidRPr="0034683E" w:rsidRDefault="0034683E" w:rsidP="0034683E">
            <w:pPr>
              <w:pStyle w:val="TblTextCenter"/>
            </w:pPr>
            <w:r w:rsidRPr="0034683E">
              <w:t>30.01* (1.33,58.69)</w:t>
            </w:r>
          </w:p>
          <w:p w14:paraId="4B16C208" w14:textId="43888E9F" w:rsidR="0034683E" w:rsidRPr="0034683E" w:rsidRDefault="0034683E" w:rsidP="0055349C">
            <w:pPr>
              <w:pStyle w:val="TblTextCenter"/>
              <w:jc w:val="left"/>
            </w:pPr>
          </w:p>
        </w:tc>
      </w:tr>
      <w:tr w:rsidR="0034683E" w:rsidRPr="00EC0268" w14:paraId="10289FB2" w14:textId="77777777" w:rsidTr="0034683E">
        <w:trPr>
          <w:cantSplit/>
          <w:trHeight w:val="20"/>
          <w:jc w:val="center"/>
        </w:trPr>
        <w:tc>
          <w:tcPr>
            <w:tcW w:w="0" w:type="auto"/>
            <w:gridSpan w:val="4"/>
            <w:tcBorders>
              <w:top w:val="single" w:sz="12" w:space="0" w:color="auto"/>
            </w:tcBorders>
            <w:shd w:val="clear" w:color="auto" w:fill="auto"/>
          </w:tcPr>
          <w:p w14:paraId="06076A18" w14:textId="5FE83626" w:rsidR="002D7A97" w:rsidRDefault="002D7A97" w:rsidP="0034683E">
            <w:pPr>
              <w:pStyle w:val="TblFigFootnote"/>
            </w:pPr>
            <w:r w:rsidRPr="002D7A97">
              <w:rPr>
                <w:vertAlign w:val="superscript"/>
              </w:rPr>
              <w:t>#</w:t>
            </w:r>
            <w:r>
              <w:t xml:space="preserve"> </w:t>
            </w:r>
            <w:proofErr w:type="gramStart"/>
            <w:r>
              <w:t>all</w:t>
            </w:r>
            <w:proofErr w:type="gramEnd"/>
            <w:r>
              <w:t xml:space="preserve"> </w:t>
            </w:r>
            <w:proofErr w:type="spellStart"/>
            <w:r>
              <w:t>randomised</w:t>
            </w:r>
            <w:proofErr w:type="spellEnd"/>
            <w:r>
              <w:t xml:space="preserve"> patients </w:t>
            </w:r>
          </w:p>
          <w:p w14:paraId="76A93848" w14:textId="62E1A86E" w:rsidR="0034683E" w:rsidRDefault="0034683E" w:rsidP="0034683E">
            <w:pPr>
              <w:pStyle w:val="TblFigFootnote"/>
            </w:pPr>
            <w:r>
              <w:t>*The MMRM model for 6MWT distance adjusts for 6MWT distance at baseline, baseline % predicted FVC and baseline 6MWT (distance walked in meters), age (in years, at baseline), gender, treatment group, visit, and treatment-by-visit interaction as fixed effects.</w:t>
            </w:r>
          </w:p>
          <w:p w14:paraId="1BA47BA8" w14:textId="558E3A6C" w:rsidR="0034683E" w:rsidRDefault="0034683E" w:rsidP="0034683E">
            <w:pPr>
              <w:pStyle w:val="TblFigFootnote"/>
            </w:pPr>
            <w:r>
              <w:t>** p-value at nominal level, without multiplicity adjustment</w:t>
            </w:r>
            <w:r w:rsidR="0055349C">
              <w:t xml:space="preserve"> (p=0.04)</w:t>
            </w:r>
          </w:p>
        </w:tc>
      </w:tr>
    </w:tbl>
    <w:p w14:paraId="460A7676" w14:textId="4AF2AAC5" w:rsidR="0034683E" w:rsidRDefault="0034683E" w:rsidP="0034683E">
      <w:pPr>
        <w:pStyle w:val="Caption"/>
        <w:rPr>
          <w:noProof/>
        </w:rPr>
      </w:pPr>
      <w:bookmarkStart w:id="22" w:name="_Ref52190945"/>
      <w:bookmarkEnd w:id="21"/>
      <w:r>
        <w:t>Figure </w:t>
      </w:r>
      <w:r>
        <w:fldChar w:fldCharType="begin"/>
      </w:r>
      <w:r>
        <w:instrText xml:space="preserve"> SEQ Figure \* ARABIC </w:instrText>
      </w:r>
      <w:r>
        <w:fldChar w:fldCharType="separate"/>
      </w:r>
      <w:r w:rsidR="00751605">
        <w:rPr>
          <w:noProof/>
        </w:rPr>
        <w:t>2</w:t>
      </w:r>
      <w:r>
        <w:fldChar w:fldCharType="end"/>
      </w:r>
      <w:bookmarkEnd w:id="22"/>
      <w:r>
        <w:t xml:space="preserve"> ­ </w:t>
      </w:r>
      <w:r w:rsidR="009E28DC" w:rsidRPr="009E28DC">
        <w:rPr>
          <w:lang w:val="en-AU"/>
        </w:rPr>
        <w:t>Plot of</w:t>
      </w:r>
      <w:r w:rsidR="0055349C">
        <w:rPr>
          <w:lang w:val="en-AU"/>
        </w:rPr>
        <w:t xml:space="preserve"> LS</w:t>
      </w:r>
      <w:r w:rsidR="009E28DC" w:rsidRPr="009E28DC">
        <w:rPr>
          <w:lang w:val="en-AU"/>
        </w:rPr>
        <w:t xml:space="preserve"> mean (SE) change from baseline</w:t>
      </w:r>
      <w:r w:rsidR="00BF0065">
        <w:rPr>
          <w:lang w:val="en-AU"/>
        </w:rPr>
        <w:t xml:space="preserve"> </w:t>
      </w:r>
      <w:r w:rsidR="00BF0065" w:rsidRPr="00792475">
        <w:rPr>
          <w:color w:val="000000" w:themeColor="text1"/>
          <w:lang w:val="en-AU"/>
        </w:rPr>
        <w:t>to week 49</w:t>
      </w:r>
      <w:r w:rsidR="009E28DC" w:rsidRPr="00792475">
        <w:rPr>
          <w:color w:val="000000" w:themeColor="text1"/>
          <w:lang w:val="en-AU"/>
        </w:rPr>
        <w:t xml:space="preserve"> </w:t>
      </w:r>
      <w:r w:rsidR="009E28DC" w:rsidRPr="009E28DC">
        <w:rPr>
          <w:lang w:val="en-AU"/>
        </w:rPr>
        <w:t>of 6MWT (distance walked, in meters) over tim</w:t>
      </w:r>
      <w:r w:rsidR="002D7A97">
        <w:rPr>
          <w:lang w:val="en-AU"/>
        </w:rPr>
        <w:t>e in treatment-naïve patients with LOPD</w:t>
      </w:r>
      <w:r w:rsidR="002D7A97">
        <w:rPr>
          <w:vertAlign w:val="superscript"/>
          <w:lang w:val="en-AU"/>
        </w:rPr>
        <w:t>#</w:t>
      </w:r>
      <w:r w:rsidR="009E28DC" w:rsidRPr="009E28DC">
        <w:rPr>
          <w:lang w:val="en-AU"/>
        </w:rPr>
        <w:t xml:space="preserve"> </w:t>
      </w:r>
    </w:p>
    <w:p w14:paraId="34F15A73" w14:textId="24563A9C" w:rsidR="0055349C" w:rsidRPr="0055349C" w:rsidRDefault="0055349C" w:rsidP="0055349C">
      <w:r>
        <w:rPr>
          <w:noProof/>
        </w:rPr>
        <w:drawing>
          <wp:inline distT="0" distB="0" distL="0" distR="0" wp14:anchorId="1B132F4B" wp14:editId="705ED149">
            <wp:extent cx="5731510" cy="2768804"/>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2768804"/>
                    </a:xfrm>
                    <a:prstGeom prst="rect">
                      <a:avLst/>
                    </a:prstGeom>
                  </pic:spPr>
                </pic:pic>
              </a:graphicData>
            </a:graphic>
          </wp:inline>
        </w:drawing>
      </w:r>
    </w:p>
    <w:p w14:paraId="13EFCF06" w14:textId="00AFDE59" w:rsidR="002D7A97" w:rsidRPr="002D7A97" w:rsidRDefault="002D7A97" w:rsidP="002D7A97">
      <w:pPr>
        <w:spacing w:before="0"/>
        <w:rPr>
          <w:vertAlign w:val="superscript"/>
          <w:lang w:val="en-AU"/>
        </w:rPr>
      </w:pPr>
      <w:r w:rsidRPr="002D7A97">
        <w:rPr>
          <w:vertAlign w:val="superscript"/>
          <w:lang w:val="en-AU"/>
        </w:rPr>
        <w:t xml:space="preserve"># </w:t>
      </w:r>
      <w:proofErr w:type="gramStart"/>
      <w:r w:rsidRPr="002D7A97">
        <w:rPr>
          <w:vertAlign w:val="superscript"/>
          <w:lang w:val="en-AU"/>
        </w:rPr>
        <w:t>all</w:t>
      </w:r>
      <w:proofErr w:type="gramEnd"/>
      <w:r w:rsidRPr="002D7A97">
        <w:rPr>
          <w:vertAlign w:val="superscript"/>
          <w:lang w:val="en-AU"/>
        </w:rPr>
        <w:t xml:space="preserve"> randomised patients </w:t>
      </w:r>
    </w:p>
    <w:p w14:paraId="07181122" w14:textId="21619B1F" w:rsidR="00552214" w:rsidRDefault="00552214" w:rsidP="00552214">
      <w:pPr>
        <w:rPr>
          <w:lang w:val="en-AU"/>
        </w:rPr>
      </w:pPr>
      <w:r w:rsidRPr="0034683E">
        <w:rPr>
          <w:lang w:val="en-AU"/>
        </w:rPr>
        <w:t>Additional</w:t>
      </w:r>
      <w:r>
        <w:rPr>
          <w:lang w:val="en-AU"/>
        </w:rPr>
        <w:t xml:space="preserve"> </w:t>
      </w:r>
      <w:r w:rsidRPr="0034683E">
        <w:rPr>
          <w:lang w:val="en-AU"/>
        </w:rPr>
        <w:t>secondary endpoints of the study were maximum inspiratory pressure (MIP), maximum expiratory</w:t>
      </w:r>
      <w:r>
        <w:rPr>
          <w:lang w:val="en-AU"/>
        </w:rPr>
        <w:t xml:space="preserve"> </w:t>
      </w:r>
      <w:r w:rsidRPr="0034683E">
        <w:rPr>
          <w:lang w:val="en-AU"/>
        </w:rPr>
        <w:t>pressure (MEP), Hand-held dynamometry (HHD) summary score, quick motor function test (QMFT)</w:t>
      </w:r>
      <w:r>
        <w:rPr>
          <w:lang w:val="en-AU"/>
        </w:rPr>
        <w:t xml:space="preserve"> </w:t>
      </w:r>
      <w:r w:rsidRPr="0034683E">
        <w:rPr>
          <w:lang w:val="en-AU"/>
        </w:rPr>
        <w:t>total score, and SF-12 (health-related survey on quality of life, both physical and mental component</w:t>
      </w:r>
      <w:r>
        <w:rPr>
          <w:lang w:val="en-AU"/>
        </w:rPr>
        <w:t xml:space="preserve"> </w:t>
      </w:r>
      <w:r w:rsidRPr="0034683E">
        <w:rPr>
          <w:lang w:val="en-AU"/>
        </w:rPr>
        <w:t xml:space="preserve">scores). The results for these endpoints are detailed in </w:t>
      </w:r>
      <w:r w:rsidRPr="00552214">
        <w:rPr>
          <w:color w:val="0000FF"/>
          <w:lang w:val="en-AU"/>
        </w:rPr>
        <w:fldChar w:fldCharType="begin"/>
      </w:r>
      <w:r w:rsidRPr="00552214">
        <w:rPr>
          <w:color w:val="0000FF"/>
          <w:lang w:val="en-AU"/>
        </w:rPr>
        <w:instrText xml:space="preserve"> REF _Ref52190997 \h  \* MERGEFORMAT </w:instrText>
      </w:r>
      <w:r w:rsidRPr="00552214">
        <w:rPr>
          <w:color w:val="0000FF"/>
          <w:lang w:val="en-AU"/>
        </w:rPr>
      </w:r>
      <w:r w:rsidRPr="00552214">
        <w:rPr>
          <w:color w:val="0000FF"/>
          <w:lang w:val="en-AU"/>
        </w:rPr>
        <w:fldChar w:fldCharType="separate"/>
      </w:r>
      <w:r w:rsidR="00751605" w:rsidRPr="00751605">
        <w:rPr>
          <w:color w:val="0000FF"/>
        </w:rPr>
        <w:t>Table 9</w:t>
      </w:r>
      <w:r w:rsidRPr="00552214">
        <w:rPr>
          <w:color w:val="0000FF"/>
          <w:lang w:val="en-AU"/>
        </w:rPr>
        <w:fldChar w:fldCharType="end"/>
      </w:r>
      <w:r w:rsidRPr="0034683E">
        <w:rPr>
          <w:lang w:val="en-AU"/>
        </w:rPr>
        <w:t>.</w:t>
      </w:r>
    </w:p>
    <w:p w14:paraId="7B46BF49" w14:textId="73E6FC21" w:rsidR="009E28DC" w:rsidRDefault="009E28DC" w:rsidP="009E28DC">
      <w:pPr>
        <w:pStyle w:val="Caption"/>
      </w:pPr>
      <w:bookmarkStart w:id="23" w:name="_Ref52190997"/>
      <w:r>
        <w:lastRenderedPageBreak/>
        <w:t>Table </w:t>
      </w:r>
      <w:r>
        <w:fldChar w:fldCharType="begin"/>
      </w:r>
      <w:r>
        <w:instrText xml:space="preserve"> SEQ Table \* ARABIC </w:instrText>
      </w:r>
      <w:r>
        <w:fldChar w:fldCharType="separate"/>
      </w:r>
      <w:r w:rsidR="00751605">
        <w:rPr>
          <w:noProof/>
        </w:rPr>
        <w:t>9</w:t>
      </w:r>
      <w:r>
        <w:fldChar w:fldCharType="end"/>
      </w:r>
      <w:bookmarkEnd w:id="23"/>
      <w:r>
        <w:t xml:space="preserve"> ­ </w:t>
      </w:r>
      <w:r w:rsidRPr="009E28DC">
        <w:t>LS mean change from baseline to week 49 for additional secondary endpoints</w:t>
      </w:r>
    </w:p>
    <w:tbl>
      <w:tblPr>
        <w:tblStyle w:val="TableGrid"/>
        <w:tblW w:w="0" w:type="auto"/>
        <w:jc w:val="center"/>
        <w:tblBorders>
          <w:top w:val="single" w:sz="2" w:space="0" w:color="0000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2024"/>
        <w:gridCol w:w="2079"/>
        <w:gridCol w:w="1827"/>
      </w:tblGrid>
      <w:tr w:rsidR="009E28DC" w:rsidRPr="00897E90" w14:paraId="34C112BE" w14:textId="77777777" w:rsidTr="009E28DC">
        <w:trPr>
          <w:cantSplit/>
          <w:tblHeader/>
          <w:jc w:val="center"/>
        </w:trPr>
        <w:tc>
          <w:tcPr>
            <w:tcW w:w="0" w:type="auto"/>
            <w:tcBorders>
              <w:top w:val="single" w:sz="4" w:space="0" w:color="000000"/>
              <w:bottom w:val="single" w:sz="4" w:space="0" w:color="000000"/>
            </w:tcBorders>
            <w:shd w:val="clear" w:color="auto" w:fill="auto"/>
          </w:tcPr>
          <w:p w14:paraId="1C6E7C6C" w14:textId="77777777" w:rsidR="009E28DC" w:rsidRPr="00897E90" w:rsidRDefault="009E28DC" w:rsidP="009E28DC">
            <w:pPr>
              <w:pStyle w:val="TblHeadingCenter"/>
            </w:pPr>
            <w:bookmarkStart w:id="24" w:name="_Hlk44595926"/>
            <w:r w:rsidRPr="00897E90">
              <w:t>Endpoint</w:t>
            </w:r>
          </w:p>
        </w:tc>
        <w:tc>
          <w:tcPr>
            <w:tcW w:w="0" w:type="auto"/>
            <w:tcBorders>
              <w:top w:val="single" w:sz="4" w:space="0" w:color="000000"/>
              <w:bottom w:val="single" w:sz="4" w:space="0" w:color="000000"/>
            </w:tcBorders>
            <w:shd w:val="clear" w:color="auto" w:fill="auto"/>
          </w:tcPr>
          <w:p w14:paraId="55A7FBAC" w14:textId="0AB842D8" w:rsidR="009E28DC" w:rsidRPr="009C66FE" w:rsidRDefault="00552214" w:rsidP="009E28DC">
            <w:pPr>
              <w:pStyle w:val="TblHeadingCenter"/>
            </w:pPr>
            <w:r>
              <w:t>Nexviazyme</w:t>
            </w:r>
          </w:p>
          <w:p w14:paraId="286ED76B" w14:textId="77777777" w:rsidR="009E28DC" w:rsidRPr="009C66FE" w:rsidRDefault="009E28DC" w:rsidP="009E28DC">
            <w:pPr>
              <w:pStyle w:val="TblHeadingCenter"/>
              <w:rPr>
                <w:bCs/>
              </w:rPr>
            </w:pPr>
            <w:r w:rsidRPr="009C66FE">
              <w:rPr>
                <w:bCs/>
              </w:rPr>
              <w:t xml:space="preserve">LS </w:t>
            </w:r>
            <w:r>
              <w:rPr>
                <w:bCs/>
              </w:rPr>
              <w:t>m</w:t>
            </w:r>
            <w:r w:rsidRPr="009C66FE">
              <w:rPr>
                <w:bCs/>
              </w:rPr>
              <w:t>ean change (SE)</w:t>
            </w:r>
          </w:p>
        </w:tc>
        <w:tc>
          <w:tcPr>
            <w:tcW w:w="0" w:type="auto"/>
            <w:tcBorders>
              <w:top w:val="single" w:sz="4" w:space="0" w:color="000000"/>
              <w:bottom w:val="single" w:sz="4" w:space="0" w:color="000000"/>
            </w:tcBorders>
            <w:shd w:val="clear" w:color="auto" w:fill="auto"/>
          </w:tcPr>
          <w:p w14:paraId="3F4AE6DB" w14:textId="77777777" w:rsidR="009E28DC" w:rsidRPr="009C66FE" w:rsidRDefault="009E28DC" w:rsidP="009E28DC">
            <w:pPr>
              <w:pStyle w:val="TblHeadingCenter"/>
            </w:pPr>
            <w:r w:rsidRPr="009C66FE">
              <w:t>Alglucosidase Alfa</w:t>
            </w:r>
          </w:p>
          <w:p w14:paraId="3787483C" w14:textId="77777777" w:rsidR="009E28DC" w:rsidRPr="009C66FE" w:rsidRDefault="009E28DC" w:rsidP="009E28DC">
            <w:pPr>
              <w:pStyle w:val="TblHeadingCenter"/>
              <w:rPr>
                <w:bCs/>
              </w:rPr>
            </w:pPr>
            <w:r w:rsidRPr="009C66FE">
              <w:rPr>
                <w:bCs/>
              </w:rPr>
              <w:t xml:space="preserve">LS </w:t>
            </w:r>
            <w:r>
              <w:rPr>
                <w:bCs/>
              </w:rPr>
              <w:t>m</w:t>
            </w:r>
            <w:r w:rsidRPr="009C66FE">
              <w:rPr>
                <w:bCs/>
              </w:rPr>
              <w:t>ean change (SE)</w:t>
            </w:r>
          </w:p>
        </w:tc>
        <w:tc>
          <w:tcPr>
            <w:tcW w:w="0" w:type="auto"/>
            <w:tcBorders>
              <w:top w:val="single" w:sz="4" w:space="0" w:color="000000"/>
              <w:bottom w:val="single" w:sz="4" w:space="0" w:color="000000"/>
            </w:tcBorders>
            <w:shd w:val="clear" w:color="auto" w:fill="auto"/>
          </w:tcPr>
          <w:p w14:paraId="5BEAF61E" w14:textId="77777777" w:rsidR="009E28DC" w:rsidRPr="009C66FE" w:rsidRDefault="009E28DC" w:rsidP="009E28DC">
            <w:pPr>
              <w:pStyle w:val="TblHeadingCenter"/>
            </w:pPr>
            <w:r w:rsidRPr="009C66FE">
              <w:t xml:space="preserve">LS mean difference </w:t>
            </w:r>
          </w:p>
          <w:p w14:paraId="5FF0D24F" w14:textId="77777777" w:rsidR="009E28DC" w:rsidRPr="009C66FE" w:rsidRDefault="009E28DC" w:rsidP="009E28DC">
            <w:pPr>
              <w:pStyle w:val="TblHeadingCenter"/>
            </w:pPr>
            <w:r w:rsidRPr="009C66FE">
              <w:t>(95% CI)</w:t>
            </w:r>
          </w:p>
        </w:tc>
      </w:tr>
      <w:tr w:rsidR="009E28DC" w14:paraId="79627B80" w14:textId="77777777" w:rsidTr="009E28DC">
        <w:trPr>
          <w:cantSplit/>
          <w:jc w:val="center"/>
        </w:trPr>
        <w:tc>
          <w:tcPr>
            <w:tcW w:w="0" w:type="auto"/>
            <w:tcBorders>
              <w:top w:val="single" w:sz="4" w:space="0" w:color="000000"/>
            </w:tcBorders>
            <w:shd w:val="clear" w:color="auto" w:fill="auto"/>
            <w:vAlign w:val="center"/>
          </w:tcPr>
          <w:p w14:paraId="6DF8C808" w14:textId="77777777" w:rsidR="009E28DC" w:rsidRPr="009E28DC" w:rsidRDefault="009E28DC" w:rsidP="009E28DC">
            <w:pPr>
              <w:pStyle w:val="TblTextCenter"/>
            </w:pPr>
            <w:r w:rsidRPr="009E28DC">
              <w:t xml:space="preserve">Maximum Inspiratory Pressure (MIP) </w:t>
            </w:r>
          </w:p>
          <w:p w14:paraId="7C1EBFE8" w14:textId="77777777" w:rsidR="009E28DC" w:rsidRPr="009E28DC" w:rsidRDefault="009E28DC" w:rsidP="009E28DC">
            <w:pPr>
              <w:pStyle w:val="TblTextCenter"/>
            </w:pPr>
            <w:r w:rsidRPr="009E28DC">
              <w:t xml:space="preserve"> (% predicted) *</w:t>
            </w:r>
          </w:p>
        </w:tc>
        <w:tc>
          <w:tcPr>
            <w:tcW w:w="0" w:type="auto"/>
            <w:tcBorders>
              <w:top w:val="single" w:sz="4" w:space="0" w:color="000000"/>
            </w:tcBorders>
            <w:shd w:val="clear" w:color="auto" w:fill="auto"/>
          </w:tcPr>
          <w:p w14:paraId="42B521CA" w14:textId="77777777" w:rsidR="009E28DC" w:rsidRPr="009E28DC" w:rsidRDefault="009E28DC" w:rsidP="009E28DC">
            <w:pPr>
              <w:pStyle w:val="TblTextCenter"/>
            </w:pPr>
            <w:r w:rsidRPr="009E28DC">
              <w:t>8.70 (2.09)</w:t>
            </w:r>
          </w:p>
        </w:tc>
        <w:tc>
          <w:tcPr>
            <w:tcW w:w="0" w:type="auto"/>
            <w:tcBorders>
              <w:top w:val="single" w:sz="4" w:space="0" w:color="000000"/>
            </w:tcBorders>
            <w:shd w:val="clear" w:color="auto" w:fill="auto"/>
          </w:tcPr>
          <w:p w14:paraId="39DE1BA0" w14:textId="77777777" w:rsidR="009E28DC" w:rsidRPr="009E28DC" w:rsidRDefault="009E28DC" w:rsidP="009E28DC">
            <w:pPr>
              <w:pStyle w:val="TblTextCenter"/>
            </w:pPr>
            <w:r w:rsidRPr="009E28DC">
              <w:t>4.29 (2.19)</w:t>
            </w:r>
          </w:p>
        </w:tc>
        <w:tc>
          <w:tcPr>
            <w:tcW w:w="0" w:type="auto"/>
            <w:tcBorders>
              <w:top w:val="single" w:sz="4" w:space="0" w:color="000000"/>
            </w:tcBorders>
            <w:shd w:val="clear" w:color="auto" w:fill="auto"/>
          </w:tcPr>
          <w:p w14:paraId="18D6896B" w14:textId="77777777" w:rsidR="009E28DC" w:rsidRPr="009E28DC" w:rsidRDefault="009E28DC" w:rsidP="009E28DC">
            <w:pPr>
              <w:pStyle w:val="TblTextCenter"/>
            </w:pPr>
            <w:r w:rsidRPr="009E28DC">
              <w:t>4.40 (-1.63,10.44)</w:t>
            </w:r>
          </w:p>
        </w:tc>
      </w:tr>
      <w:tr w:rsidR="009E28DC" w14:paraId="08E0C4B4" w14:textId="77777777" w:rsidTr="009E28DC">
        <w:trPr>
          <w:cantSplit/>
          <w:jc w:val="center"/>
        </w:trPr>
        <w:tc>
          <w:tcPr>
            <w:tcW w:w="0" w:type="auto"/>
            <w:shd w:val="clear" w:color="auto" w:fill="auto"/>
            <w:vAlign w:val="center"/>
          </w:tcPr>
          <w:p w14:paraId="5228CF17" w14:textId="77777777" w:rsidR="009E28DC" w:rsidRPr="009E28DC" w:rsidRDefault="009E28DC" w:rsidP="009E28DC">
            <w:pPr>
              <w:pStyle w:val="TblTextCenter"/>
            </w:pPr>
            <w:r w:rsidRPr="009E28DC">
              <w:t>Maximum Expiratory Pressure (% predicted) *</w:t>
            </w:r>
          </w:p>
        </w:tc>
        <w:tc>
          <w:tcPr>
            <w:tcW w:w="0" w:type="auto"/>
            <w:shd w:val="clear" w:color="auto" w:fill="auto"/>
          </w:tcPr>
          <w:p w14:paraId="029D8D49" w14:textId="77777777" w:rsidR="009E28DC" w:rsidRPr="009E28DC" w:rsidRDefault="009E28DC" w:rsidP="009E28DC">
            <w:pPr>
              <w:pStyle w:val="TblTextCenter"/>
            </w:pPr>
            <w:r w:rsidRPr="009E28DC">
              <w:t>10.89 (2.84)</w:t>
            </w:r>
          </w:p>
        </w:tc>
        <w:tc>
          <w:tcPr>
            <w:tcW w:w="0" w:type="auto"/>
            <w:shd w:val="clear" w:color="auto" w:fill="auto"/>
          </w:tcPr>
          <w:p w14:paraId="7141DA85" w14:textId="77777777" w:rsidR="009E28DC" w:rsidRPr="009E28DC" w:rsidRDefault="009E28DC" w:rsidP="009E28DC">
            <w:pPr>
              <w:pStyle w:val="TblTextCenter"/>
            </w:pPr>
            <w:r w:rsidRPr="009E28DC">
              <w:t>8.38 (2.96)</w:t>
            </w:r>
          </w:p>
        </w:tc>
        <w:tc>
          <w:tcPr>
            <w:tcW w:w="0" w:type="auto"/>
            <w:shd w:val="clear" w:color="auto" w:fill="auto"/>
          </w:tcPr>
          <w:p w14:paraId="06691895" w14:textId="77777777" w:rsidR="009E28DC" w:rsidRPr="009E28DC" w:rsidRDefault="009E28DC" w:rsidP="009E28DC">
            <w:pPr>
              <w:pStyle w:val="TblTextCenter"/>
            </w:pPr>
            <w:r w:rsidRPr="009E28DC">
              <w:t>2.51 (-5.70,10.73)</w:t>
            </w:r>
          </w:p>
        </w:tc>
      </w:tr>
      <w:tr w:rsidR="009E28DC" w14:paraId="73A70824" w14:textId="77777777" w:rsidTr="009E28DC">
        <w:trPr>
          <w:cantSplit/>
          <w:jc w:val="center"/>
        </w:trPr>
        <w:tc>
          <w:tcPr>
            <w:tcW w:w="0" w:type="auto"/>
            <w:shd w:val="clear" w:color="auto" w:fill="auto"/>
            <w:vAlign w:val="center"/>
          </w:tcPr>
          <w:p w14:paraId="31E6E630" w14:textId="77777777" w:rsidR="009E28DC" w:rsidRPr="009E28DC" w:rsidRDefault="009E28DC" w:rsidP="009E28DC">
            <w:pPr>
              <w:pStyle w:val="TblTextCenter"/>
            </w:pPr>
            <w:r w:rsidRPr="009E28DC">
              <w:t xml:space="preserve">Hand-held dynamometry (HHD) summary scores </w:t>
            </w:r>
          </w:p>
        </w:tc>
        <w:tc>
          <w:tcPr>
            <w:tcW w:w="0" w:type="auto"/>
            <w:shd w:val="clear" w:color="auto" w:fill="auto"/>
          </w:tcPr>
          <w:p w14:paraId="02198D24" w14:textId="77777777" w:rsidR="009E28DC" w:rsidRPr="009E28DC" w:rsidRDefault="009E28DC" w:rsidP="009E28DC">
            <w:pPr>
              <w:pStyle w:val="TblTextCenter"/>
            </w:pPr>
            <w:r w:rsidRPr="009E28DC">
              <w:t xml:space="preserve"> 260.69 (46.07)</w:t>
            </w:r>
          </w:p>
        </w:tc>
        <w:tc>
          <w:tcPr>
            <w:tcW w:w="0" w:type="auto"/>
            <w:shd w:val="clear" w:color="auto" w:fill="auto"/>
          </w:tcPr>
          <w:p w14:paraId="29485F6B" w14:textId="77777777" w:rsidR="009E28DC" w:rsidRPr="009E28DC" w:rsidRDefault="009E28DC" w:rsidP="009E28DC">
            <w:pPr>
              <w:pStyle w:val="TblTextCenter"/>
            </w:pPr>
            <w:r w:rsidRPr="009E28DC">
              <w:t xml:space="preserve"> 153.72 (48.54)</w:t>
            </w:r>
          </w:p>
        </w:tc>
        <w:tc>
          <w:tcPr>
            <w:tcW w:w="0" w:type="auto"/>
            <w:shd w:val="clear" w:color="auto" w:fill="auto"/>
          </w:tcPr>
          <w:p w14:paraId="58814E55" w14:textId="77777777" w:rsidR="009E28DC" w:rsidRPr="009E28DC" w:rsidRDefault="009E28DC" w:rsidP="009E28DC">
            <w:pPr>
              <w:pStyle w:val="TblTextCenter"/>
            </w:pPr>
            <w:r w:rsidRPr="009E28DC">
              <w:t>106.97 (-26.56,240.5)</w:t>
            </w:r>
          </w:p>
        </w:tc>
      </w:tr>
      <w:tr w:rsidR="009E28DC" w14:paraId="23FFE32F" w14:textId="77777777" w:rsidTr="009E28DC">
        <w:trPr>
          <w:cantSplit/>
          <w:jc w:val="center"/>
        </w:trPr>
        <w:tc>
          <w:tcPr>
            <w:tcW w:w="0" w:type="auto"/>
            <w:shd w:val="clear" w:color="auto" w:fill="auto"/>
            <w:vAlign w:val="center"/>
          </w:tcPr>
          <w:p w14:paraId="69F0312E" w14:textId="77777777" w:rsidR="009E28DC" w:rsidRPr="009E28DC" w:rsidRDefault="009E28DC" w:rsidP="009E28DC">
            <w:pPr>
              <w:pStyle w:val="TblTextCenter"/>
            </w:pPr>
            <w:r w:rsidRPr="009E28DC">
              <w:t>Quick Motor function Test (QMFT) total score</w:t>
            </w:r>
          </w:p>
        </w:tc>
        <w:tc>
          <w:tcPr>
            <w:tcW w:w="0" w:type="auto"/>
            <w:shd w:val="clear" w:color="auto" w:fill="auto"/>
          </w:tcPr>
          <w:p w14:paraId="3E9BA553" w14:textId="77777777" w:rsidR="009E28DC" w:rsidRPr="009E28DC" w:rsidRDefault="009E28DC" w:rsidP="009E28DC">
            <w:pPr>
              <w:pStyle w:val="TblTextCenter"/>
            </w:pPr>
            <w:r w:rsidRPr="009E28DC">
              <w:t>3.98 (0.63)</w:t>
            </w:r>
          </w:p>
        </w:tc>
        <w:tc>
          <w:tcPr>
            <w:tcW w:w="0" w:type="auto"/>
            <w:shd w:val="clear" w:color="auto" w:fill="auto"/>
          </w:tcPr>
          <w:p w14:paraId="74224567" w14:textId="77777777" w:rsidR="009E28DC" w:rsidRPr="009E28DC" w:rsidRDefault="009E28DC" w:rsidP="009E28DC">
            <w:pPr>
              <w:pStyle w:val="TblTextCenter"/>
            </w:pPr>
            <w:r w:rsidRPr="009E28DC">
              <w:t>1.89 (0.69)</w:t>
            </w:r>
          </w:p>
        </w:tc>
        <w:tc>
          <w:tcPr>
            <w:tcW w:w="0" w:type="auto"/>
            <w:shd w:val="clear" w:color="auto" w:fill="auto"/>
          </w:tcPr>
          <w:p w14:paraId="61CD81F8" w14:textId="77777777" w:rsidR="009E28DC" w:rsidRPr="009E28DC" w:rsidRDefault="009E28DC" w:rsidP="009E28DC">
            <w:pPr>
              <w:pStyle w:val="TblTextCenter"/>
            </w:pPr>
            <w:r w:rsidRPr="009E28DC">
              <w:t>2.08 (0.22,3.95)</w:t>
            </w:r>
          </w:p>
        </w:tc>
      </w:tr>
      <w:tr w:rsidR="009E28DC" w14:paraId="0748CF9D" w14:textId="77777777" w:rsidTr="009E28DC">
        <w:trPr>
          <w:cantSplit/>
          <w:jc w:val="center"/>
        </w:trPr>
        <w:tc>
          <w:tcPr>
            <w:tcW w:w="0" w:type="auto"/>
            <w:tcBorders>
              <w:bottom w:val="single" w:sz="12" w:space="0" w:color="auto"/>
            </w:tcBorders>
            <w:shd w:val="clear" w:color="auto" w:fill="auto"/>
            <w:vAlign w:val="center"/>
          </w:tcPr>
          <w:p w14:paraId="2ABB3E9E" w14:textId="77777777" w:rsidR="009E28DC" w:rsidRPr="009E28DC" w:rsidRDefault="009E28DC" w:rsidP="009E28DC">
            <w:pPr>
              <w:pStyle w:val="TblTextCenter"/>
            </w:pPr>
            <w:r w:rsidRPr="009E28DC">
              <w:t xml:space="preserve">Health-related survey on quality of life (SF-12) </w:t>
            </w:r>
          </w:p>
        </w:tc>
        <w:tc>
          <w:tcPr>
            <w:tcW w:w="0" w:type="auto"/>
            <w:tcBorders>
              <w:bottom w:val="single" w:sz="12" w:space="0" w:color="auto"/>
            </w:tcBorders>
            <w:shd w:val="clear" w:color="auto" w:fill="auto"/>
          </w:tcPr>
          <w:p w14:paraId="6C5E043E" w14:textId="77777777" w:rsidR="009E28DC" w:rsidRPr="009E28DC" w:rsidRDefault="009E28DC" w:rsidP="009E28DC">
            <w:pPr>
              <w:pStyle w:val="TblTextCenter"/>
            </w:pPr>
            <w:r w:rsidRPr="009E28DC">
              <w:t>PCS score: 2.37 (0.99)</w:t>
            </w:r>
          </w:p>
          <w:p w14:paraId="6DD5BE59" w14:textId="77777777" w:rsidR="009E28DC" w:rsidRPr="009E28DC" w:rsidRDefault="009E28DC" w:rsidP="009E28DC">
            <w:pPr>
              <w:pStyle w:val="TblTextCenter"/>
            </w:pPr>
            <w:r w:rsidRPr="009E28DC">
              <w:t>MCS score: 2.88 (1.22)</w:t>
            </w:r>
          </w:p>
        </w:tc>
        <w:tc>
          <w:tcPr>
            <w:tcW w:w="0" w:type="auto"/>
            <w:tcBorders>
              <w:bottom w:val="single" w:sz="12" w:space="0" w:color="auto"/>
            </w:tcBorders>
            <w:shd w:val="clear" w:color="auto" w:fill="auto"/>
          </w:tcPr>
          <w:p w14:paraId="3BF4580A" w14:textId="77777777" w:rsidR="009E28DC" w:rsidRPr="009E28DC" w:rsidRDefault="009E28DC" w:rsidP="009E28DC">
            <w:pPr>
              <w:pStyle w:val="TblTextCenter"/>
            </w:pPr>
            <w:r w:rsidRPr="009E28DC">
              <w:t>1.60 (1.07)</w:t>
            </w:r>
          </w:p>
          <w:p w14:paraId="27E24D47" w14:textId="77777777" w:rsidR="009E28DC" w:rsidRPr="009E28DC" w:rsidRDefault="009E28DC" w:rsidP="009E28DC">
            <w:pPr>
              <w:pStyle w:val="TblTextCenter"/>
            </w:pPr>
            <w:r w:rsidRPr="009E28DC">
              <w:t>0.76 (1.32)</w:t>
            </w:r>
          </w:p>
        </w:tc>
        <w:tc>
          <w:tcPr>
            <w:tcW w:w="0" w:type="auto"/>
            <w:tcBorders>
              <w:bottom w:val="single" w:sz="12" w:space="0" w:color="auto"/>
            </w:tcBorders>
            <w:shd w:val="clear" w:color="auto" w:fill="auto"/>
          </w:tcPr>
          <w:p w14:paraId="2FBB67DF" w14:textId="77777777" w:rsidR="009E28DC" w:rsidRPr="009E28DC" w:rsidRDefault="009E28DC" w:rsidP="009E28DC">
            <w:pPr>
              <w:pStyle w:val="TblTextCenter"/>
            </w:pPr>
            <w:r w:rsidRPr="009E28DC">
              <w:t>0.77 (-2.13,3.67)</w:t>
            </w:r>
          </w:p>
          <w:p w14:paraId="438CB000" w14:textId="77777777" w:rsidR="009E28DC" w:rsidRPr="009E28DC" w:rsidRDefault="009E28DC" w:rsidP="009E28DC">
            <w:pPr>
              <w:pStyle w:val="TblTextCenter"/>
            </w:pPr>
            <w:r w:rsidRPr="009E28DC">
              <w:t>2.12 (-1.46,5.69)</w:t>
            </w:r>
          </w:p>
        </w:tc>
      </w:tr>
      <w:tr w:rsidR="009E28DC" w14:paraId="578319B9" w14:textId="77777777" w:rsidTr="009E28DC">
        <w:trPr>
          <w:cantSplit/>
          <w:jc w:val="center"/>
        </w:trPr>
        <w:tc>
          <w:tcPr>
            <w:tcW w:w="0" w:type="auto"/>
            <w:gridSpan w:val="4"/>
            <w:tcBorders>
              <w:top w:val="single" w:sz="12" w:space="0" w:color="auto"/>
            </w:tcBorders>
            <w:shd w:val="clear" w:color="auto" w:fill="auto"/>
            <w:vAlign w:val="center"/>
          </w:tcPr>
          <w:p w14:paraId="4FA6DBA5" w14:textId="77777777" w:rsidR="009E28DC" w:rsidRDefault="009E28DC" w:rsidP="009E28DC">
            <w:pPr>
              <w:pStyle w:val="TblFigFootnote"/>
            </w:pPr>
            <w:r w:rsidRPr="009E28DC">
              <w:t>*Post-hoc sensitivity analysis excluding 4 patients with supraphysiologic baseline MIP and MEP values</w:t>
            </w:r>
          </w:p>
          <w:p w14:paraId="442EEE91" w14:textId="4F4516DE" w:rsidR="009E28DC" w:rsidRPr="00897E90" w:rsidRDefault="009E28DC" w:rsidP="009E28DC">
            <w:pPr>
              <w:pStyle w:val="TblFigFootnote"/>
            </w:pPr>
            <w:r>
              <w:t xml:space="preserve"> </w:t>
            </w:r>
          </w:p>
        </w:tc>
      </w:tr>
    </w:tbl>
    <w:bookmarkEnd w:id="24"/>
    <w:p w14:paraId="36C5086F" w14:textId="5BBE43DF" w:rsidR="009E28DC" w:rsidRPr="009E28DC" w:rsidRDefault="009E28DC" w:rsidP="009E28DC">
      <w:pPr>
        <w:rPr>
          <w:lang w:val="en-AU"/>
        </w:rPr>
      </w:pPr>
      <w:r w:rsidRPr="009E28DC">
        <w:rPr>
          <w:lang w:val="en-AU"/>
        </w:rPr>
        <w:t>In the EFC14028</w:t>
      </w:r>
      <w:r w:rsidR="00616520">
        <w:rPr>
          <w:lang w:val="en-AU"/>
        </w:rPr>
        <w:t xml:space="preserve"> (</w:t>
      </w:r>
      <w:r w:rsidRPr="009E28DC">
        <w:rPr>
          <w:lang w:val="en-AU"/>
        </w:rPr>
        <w:t>COMET</w:t>
      </w:r>
      <w:r w:rsidR="00616520">
        <w:rPr>
          <w:lang w:val="en-AU"/>
        </w:rPr>
        <w:t>)</w:t>
      </w:r>
      <w:r w:rsidRPr="009E28DC">
        <w:rPr>
          <w:lang w:val="en-AU"/>
        </w:rPr>
        <w:t xml:space="preserve"> study, efficacy data were available in 24 patients at week 97, 17 patients at</w:t>
      </w:r>
      <w:r>
        <w:rPr>
          <w:lang w:val="en-AU"/>
        </w:rPr>
        <w:t xml:space="preserve"> </w:t>
      </w:r>
      <w:r w:rsidRPr="009E28DC">
        <w:rPr>
          <w:lang w:val="en-AU"/>
        </w:rPr>
        <w:t>week 121, and 11 patients at week 145. Additionally, 9 patients randomi</w:t>
      </w:r>
      <w:r w:rsidR="00C61EC0">
        <w:rPr>
          <w:lang w:val="en-AU"/>
        </w:rPr>
        <w:t>s</w:t>
      </w:r>
      <w:r w:rsidRPr="009E28DC">
        <w:rPr>
          <w:lang w:val="en-AU"/>
        </w:rPr>
        <w:t xml:space="preserve">ed to </w:t>
      </w:r>
      <w:proofErr w:type="spellStart"/>
      <w:r w:rsidRPr="009E28DC">
        <w:rPr>
          <w:lang w:val="en-AU"/>
        </w:rPr>
        <w:t>alglucosidase</w:t>
      </w:r>
      <w:proofErr w:type="spellEnd"/>
      <w:r w:rsidRPr="009E28DC">
        <w:rPr>
          <w:lang w:val="en-AU"/>
        </w:rPr>
        <w:t xml:space="preserve"> alfa who</w:t>
      </w:r>
      <w:r>
        <w:rPr>
          <w:lang w:val="en-AU"/>
        </w:rPr>
        <w:t xml:space="preserve"> </w:t>
      </w:r>
      <w:r w:rsidRPr="009E28DC">
        <w:rPr>
          <w:lang w:val="en-AU"/>
        </w:rPr>
        <w:t xml:space="preserve">switched the treatment to </w:t>
      </w:r>
      <w:proofErr w:type="spellStart"/>
      <w:r w:rsidRPr="009E28DC">
        <w:rPr>
          <w:lang w:val="en-AU"/>
        </w:rPr>
        <w:t>avalglucosidase</w:t>
      </w:r>
      <w:proofErr w:type="spellEnd"/>
      <w:r w:rsidRPr="009E28DC">
        <w:rPr>
          <w:lang w:val="en-AU"/>
        </w:rPr>
        <w:t xml:space="preserve"> alfa after week 49 continued the treatment for up to 2</w:t>
      </w:r>
      <w:r>
        <w:rPr>
          <w:lang w:val="en-AU"/>
        </w:rPr>
        <w:t xml:space="preserve"> </w:t>
      </w:r>
      <w:r w:rsidRPr="009E28DC">
        <w:rPr>
          <w:lang w:val="en-AU"/>
        </w:rPr>
        <w:t>years. FVC% predicted values remained elevated over baseline throughout dosing with</w:t>
      </w:r>
      <w:r>
        <w:rPr>
          <w:lang w:val="en-AU"/>
        </w:rPr>
        <w:t xml:space="preserve"> </w:t>
      </w:r>
      <w:proofErr w:type="spellStart"/>
      <w:r w:rsidRPr="009E28DC">
        <w:rPr>
          <w:lang w:val="en-AU"/>
        </w:rPr>
        <w:t>avalglucosidase</w:t>
      </w:r>
      <w:proofErr w:type="spellEnd"/>
      <w:r w:rsidRPr="009E28DC">
        <w:rPr>
          <w:lang w:val="en-AU"/>
        </w:rPr>
        <w:t xml:space="preserve"> alfa for as long as 97 weeks in 24 patients who had reached this timepoint. Efficacy</w:t>
      </w:r>
      <w:r>
        <w:rPr>
          <w:lang w:val="en-AU"/>
        </w:rPr>
        <w:t xml:space="preserve"> </w:t>
      </w:r>
      <w:r w:rsidRPr="009E28DC">
        <w:rPr>
          <w:lang w:val="en-AU"/>
        </w:rPr>
        <w:t>data in EFC14028</w:t>
      </w:r>
      <w:r w:rsidR="00242341">
        <w:rPr>
          <w:lang w:val="en-AU"/>
        </w:rPr>
        <w:t xml:space="preserve"> (COMET)</w:t>
      </w:r>
      <w:r w:rsidRPr="009E28DC">
        <w:rPr>
          <w:lang w:val="en-AU"/>
        </w:rPr>
        <w:t xml:space="preserve"> study at week 97 for patients who switched from </w:t>
      </w:r>
      <w:proofErr w:type="spellStart"/>
      <w:r w:rsidRPr="009E28DC">
        <w:rPr>
          <w:lang w:val="en-AU"/>
        </w:rPr>
        <w:t>alglucosidase</w:t>
      </w:r>
      <w:proofErr w:type="spellEnd"/>
      <w:r w:rsidRPr="009E28DC">
        <w:rPr>
          <w:lang w:val="en-AU"/>
        </w:rPr>
        <w:t xml:space="preserve"> alfa to</w:t>
      </w:r>
      <w:r>
        <w:rPr>
          <w:lang w:val="en-AU"/>
        </w:rPr>
        <w:t xml:space="preserve"> </w:t>
      </w:r>
      <w:proofErr w:type="spellStart"/>
      <w:r w:rsidRPr="009E28DC">
        <w:rPr>
          <w:lang w:val="en-AU"/>
        </w:rPr>
        <w:t>avalglucosidase</w:t>
      </w:r>
      <w:proofErr w:type="spellEnd"/>
      <w:r w:rsidRPr="009E28DC">
        <w:rPr>
          <w:lang w:val="en-AU"/>
        </w:rPr>
        <w:t xml:space="preserve"> alfa at week 49 showed numerical improvement for FVC % predicted and 6MWT. In</w:t>
      </w:r>
      <w:r>
        <w:rPr>
          <w:lang w:val="en-AU"/>
        </w:rPr>
        <w:t xml:space="preserve"> </w:t>
      </w:r>
      <w:r w:rsidRPr="009E28DC">
        <w:rPr>
          <w:lang w:val="en-AU"/>
        </w:rPr>
        <w:t>the same study, the observed mean 6MWT distance remained elevated over baseline throughout</w:t>
      </w:r>
      <w:r>
        <w:rPr>
          <w:lang w:val="en-AU"/>
        </w:rPr>
        <w:t xml:space="preserve"> </w:t>
      </w:r>
      <w:r w:rsidRPr="009E28DC">
        <w:rPr>
          <w:lang w:val="en-AU"/>
        </w:rPr>
        <w:t xml:space="preserve">dosing with </w:t>
      </w:r>
      <w:proofErr w:type="spellStart"/>
      <w:r w:rsidRPr="009E28DC">
        <w:rPr>
          <w:lang w:val="en-AU"/>
        </w:rPr>
        <w:t>avalglucosidase</w:t>
      </w:r>
      <w:proofErr w:type="spellEnd"/>
      <w:r w:rsidRPr="009E28DC">
        <w:rPr>
          <w:lang w:val="en-AU"/>
        </w:rPr>
        <w:t xml:space="preserve"> alfa for as long as 145 weeks in 10 patients who had reached this</w:t>
      </w:r>
      <w:r>
        <w:rPr>
          <w:lang w:val="en-AU"/>
        </w:rPr>
        <w:t xml:space="preserve"> </w:t>
      </w:r>
      <w:r w:rsidRPr="009E28DC">
        <w:rPr>
          <w:lang w:val="en-AU"/>
        </w:rPr>
        <w:t>timepoint.</w:t>
      </w:r>
    </w:p>
    <w:p w14:paraId="5CD3FB5F" w14:textId="3CCCFA85" w:rsidR="0034683E" w:rsidRDefault="009E28DC" w:rsidP="009E28DC">
      <w:pPr>
        <w:rPr>
          <w:lang w:val="en-AU"/>
        </w:rPr>
      </w:pPr>
      <w:r w:rsidRPr="009E28DC">
        <w:rPr>
          <w:lang w:val="en-AU"/>
        </w:rPr>
        <w:t xml:space="preserve">In an open-label, uncontrolled study </w:t>
      </w:r>
      <w:r w:rsidR="003A7E90">
        <w:rPr>
          <w:lang w:val="en-AU"/>
        </w:rPr>
        <w:t>(LTS13769</w:t>
      </w:r>
      <w:r w:rsidR="005C2567">
        <w:rPr>
          <w:lang w:val="en-AU"/>
        </w:rPr>
        <w:t xml:space="preserve"> (NEO-EXT)</w:t>
      </w:r>
      <w:r w:rsidR="003A7E90">
        <w:rPr>
          <w:lang w:val="en-AU"/>
        </w:rPr>
        <w:t xml:space="preserve">) </w:t>
      </w:r>
      <w:r w:rsidRPr="009E28DC">
        <w:rPr>
          <w:lang w:val="en-AU"/>
        </w:rPr>
        <w:t>in LOPD patients, the FVC (% predicted) and 6MWT showed</w:t>
      </w:r>
      <w:r>
        <w:rPr>
          <w:lang w:val="en-AU"/>
        </w:rPr>
        <w:t xml:space="preserve"> </w:t>
      </w:r>
      <w:r w:rsidRPr="009E28DC">
        <w:rPr>
          <w:lang w:val="en-AU"/>
        </w:rPr>
        <w:t xml:space="preserve">maintenance of effect during the long-term treatment with </w:t>
      </w:r>
      <w:proofErr w:type="spellStart"/>
      <w:r w:rsidRPr="009E28DC">
        <w:rPr>
          <w:lang w:val="en-AU"/>
        </w:rPr>
        <w:t>avalglucosidase</w:t>
      </w:r>
      <w:proofErr w:type="spellEnd"/>
      <w:r w:rsidRPr="009E28DC">
        <w:rPr>
          <w:lang w:val="en-AU"/>
        </w:rPr>
        <w:t xml:space="preserve"> alfa 20 mg/kg every other</w:t>
      </w:r>
      <w:r>
        <w:rPr>
          <w:lang w:val="en-AU"/>
        </w:rPr>
        <w:t xml:space="preserve"> </w:t>
      </w:r>
      <w:r w:rsidRPr="009E28DC">
        <w:rPr>
          <w:lang w:val="en-AU"/>
        </w:rPr>
        <w:t>week for up to 6 years.</w:t>
      </w:r>
    </w:p>
    <w:p w14:paraId="628A4C82" w14:textId="77777777" w:rsidR="009E28DC" w:rsidRPr="009E28DC" w:rsidRDefault="009E28DC" w:rsidP="009E28DC">
      <w:pPr>
        <w:pStyle w:val="Heading5"/>
        <w:numPr>
          <w:ilvl w:val="0"/>
          <w:numId w:val="0"/>
        </w:numPr>
        <w:ind w:left="1009" w:hanging="1009"/>
        <w:rPr>
          <w:lang w:val="en-AU"/>
        </w:rPr>
      </w:pPr>
      <w:r w:rsidRPr="009E28DC">
        <w:rPr>
          <w:lang w:val="en-AU"/>
        </w:rPr>
        <w:t>Clinical Trial in patients with IOPD</w:t>
      </w:r>
    </w:p>
    <w:p w14:paraId="18B63EB8" w14:textId="1C219E70" w:rsidR="009E28DC" w:rsidRPr="009E28DC" w:rsidRDefault="009E28DC" w:rsidP="009E28DC">
      <w:pPr>
        <w:rPr>
          <w:lang w:val="en-AU"/>
        </w:rPr>
      </w:pPr>
      <w:r w:rsidRPr="009E28DC">
        <w:rPr>
          <w:lang w:val="en-AU"/>
        </w:rPr>
        <w:t>Study ACT14132</w:t>
      </w:r>
      <w:r w:rsidR="00AF3F9B">
        <w:rPr>
          <w:lang w:val="en-AU"/>
        </w:rPr>
        <w:t xml:space="preserve"> (</w:t>
      </w:r>
      <w:r w:rsidRPr="009E28DC">
        <w:rPr>
          <w:lang w:val="en-AU"/>
        </w:rPr>
        <w:t>mini-COMET</w:t>
      </w:r>
      <w:r w:rsidR="00AF3F9B">
        <w:rPr>
          <w:lang w:val="en-AU"/>
        </w:rPr>
        <w:t>)</w:t>
      </w:r>
      <w:r w:rsidRPr="009E28DC">
        <w:rPr>
          <w:lang w:val="en-AU"/>
        </w:rPr>
        <w:t xml:space="preserve"> was a multi-stage, phase 2, open-label, multi</w:t>
      </w:r>
      <w:r w:rsidR="00AF3F9B">
        <w:rPr>
          <w:lang w:val="en-AU"/>
        </w:rPr>
        <w:t>-</w:t>
      </w:r>
      <w:r w:rsidRPr="009E28DC">
        <w:rPr>
          <w:lang w:val="en-AU"/>
        </w:rPr>
        <w:t>cent</w:t>
      </w:r>
      <w:r w:rsidR="00AF3F9B">
        <w:rPr>
          <w:lang w:val="en-AU"/>
        </w:rPr>
        <w:t>re</w:t>
      </w:r>
      <w:r w:rsidRPr="009E28DC">
        <w:rPr>
          <w:lang w:val="en-AU"/>
        </w:rPr>
        <w:t>, multinational,</w:t>
      </w:r>
      <w:r>
        <w:rPr>
          <w:lang w:val="en-AU"/>
        </w:rPr>
        <w:t xml:space="preserve"> </w:t>
      </w:r>
      <w:r w:rsidRPr="009E28DC">
        <w:rPr>
          <w:lang w:val="en-AU"/>
        </w:rPr>
        <w:t xml:space="preserve">repeated ascending dose cohort of </w:t>
      </w:r>
      <w:proofErr w:type="spellStart"/>
      <w:r w:rsidR="00552214">
        <w:rPr>
          <w:lang w:val="en-AU"/>
        </w:rPr>
        <w:t>Nexviazyme</w:t>
      </w:r>
      <w:proofErr w:type="spellEnd"/>
      <w:r w:rsidR="00552214">
        <w:rPr>
          <w:lang w:val="en-AU"/>
        </w:rPr>
        <w:t xml:space="preserve"> </w:t>
      </w:r>
      <w:r w:rsidRPr="009E28DC">
        <w:rPr>
          <w:lang w:val="en-AU"/>
        </w:rPr>
        <w:t>in p</w:t>
      </w:r>
      <w:r w:rsidR="00552214">
        <w:rPr>
          <w:lang w:val="en-AU"/>
        </w:rPr>
        <w:t>a</w:t>
      </w:r>
      <w:r w:rsidRPr="009E28DC">
        <w:rPr>
          <w:lang w:val="en-AU"/>
        </w:rPr>
        <w:t xml:space="preserve">ediatric IOPD patients </w:t>
      </w:r>
      <w:r w:rsidR="0055349C">
        <w:rPr>
          <w:lang w:val="en-AU"/>
        </w:rPr>
        <w:t>1 to 12 years of age</w:t>
      </w:r>
      <w:r w:rsidRPr="009E28DC">
        <w:rPr>
          <w:lang w:val="en-AU"/>
        </w:rPr>
        <w:t xml:space="preserve"> who</w:t>
      </w:r>
      <w:r>
        <w:rPr>
          <w:lang w:val="en-AU"/>
        </w:rPr>
        <w:t xml:space="preserve"> </w:t>
      </w:r>
      <w:r w:rsidRPr="009E28DC">
        <w:rPr>
          <w:lang w:val="en-AU"/>
        </w:rPr>
        <w:t>demonstrated either clinical decline or sub-optimal clinical response while on treatment with</w:t>
      </w:r>
      <w:r>
        <w:rPr>
          <w:lang w:val="en-AU"/>
        </w:rPr>
        <w:t xml:space="preserve"> </w:t>
      </w:r>
      <w:proofErr w:type="spellStart"/>
      <w:r w:rsidRPr="009E28DC">
        <w:rPr>
          <w:lang w:val="en-AU"/>
        </w:rPr>
        <w:t>alglucosidase</w:t>
      </w:r>
      <w:proofErr w:type="spellEnd"/>
      <w:r w:rsidRPr="009E28DC">
        <w:rPr>
          <w:lang w:val="en-AU"/>
        </w:rPr>
        <w:t xml:space="preserve"> alfa. The study enrolled a total of 22 patients; cohort 1 had 6 patients who demonstrated</w:t>
      </w:r>
      <w:r>
        <w:rPr>
          <w:lang w:val="en-AU"/>
        </w:rPr>
        <w:t xml:space="preserve"> </w:t>
      </w:r>
      <w:r w:rsidRPr="009E28DC">
        <w:rPr>
          <w:lang w:val="en-AU"/>
        </w:rPr>
        <w:t>clinical decline and received 20 mg/kg every other week for 25 weeks, cohort 2 had 5 patients who</w:t>
      </w:r>
      <w:r>
        <w:rPr>
          <w:lang w:val="en-AU"/>
        </w:rPr>
        <w:t xml:space="preserve"> </w:t>
      </w:r>
      <w:r w:rsidRPr="009E28DC">
        <w:rPr>
          <w:lang w:val="en-AU"/>
        </w:rPr>
        <w:t>demonstrated clinical decline and received 40 mg/kg every other week for 25 weeks, and cohort 3 had</w:t>
      </w:r>
      <w:r>
        <w:rPr>
          <w:lang w:val="en-AU"/>
        </w:rPr>
        <w:t xml:space="preserve"> </w:t>
      </w:r>
      <w:r w:rsidRPr="009E28DC">
        <w:rPr>
          <w:lang w:val="en-AU"/>
        </w:rPr>
        <w:t xml:space="preserve">11 patients who demonstrated sub-optimal response and received either </w:t>
      </w:r>
      <w:proofErr w:type="spellStart"/>
      <w:r w:rsidR="00552214">
        <w:rPr>
          <w:lang w:val="en-AU"/>
        </w:rPr>
        <w:t>Nexviazyme</w:t>
      </w:r>
      <w:proofErr w:type="spellEnd"/>
      <w:r w:rsidR="00552214">
        <w:rPr>
          <w:lang w:val="en-AU"/>
        </w:rPr>
        <w:t xml:space="preserve"> </w:t>
      </w:r>
      <w:r w:rsidRPr="009E28DC">
        <w:rPr>
          <w:lang w:val="en-AU"/>
        </w:rPr>
        <w:t>at 40 mg/kg every</w:t>
      </w:r>
      <w:r>
        <w:rPr>
          <w:lang w:val="en-AU"/>
        </w:rPr>
        <w:t xml:space="preserve"> </w:t>
      </w:r>
      <w:r w:rsidRPr="009E28DC">
        <w:rPr>
          <w:lang w:val="en-AU"/>
        </w:rPr>
        <w:t xml:space="preserve">other week for 25 weeks (5 patients) or </w:t>
      </w:r>
      <w:proofErr w:type="spellStart"/>
      <w:r w:rsidRPr="009E28DC">
        <w:rPr>
          <w:lang w:val="en-AU"/>
        </w:rPr>
        <w:t>alglucosidase</w:t>
      </w:r>
      <w:proofErr w:type="spellEnd"/>
      <w:r w:rsidRPr="009E28DC">
        <w:rPr>
          <w:lang w:val="en-AU"/>
        </w:rPr>
        <w:t xml:space="preserve"> alfa at their stable pre-study dose (ranging</w:t>
      </w:r>
      <w:r>
        <w:rPr>
          <w:lang w:val="en-AU"/>
        </w:rPr>
        <w:t xml:space="preserve"> </w:t>
      </w:r>
      <w:r w:rsidRPr="009E28DC">
        <w:rPr>
          <w:lang w:val="en-AU"/>
        </w:rPr>
        <w:t>between 20 mg/kg every other week and 40 mg/kg weekly) for 25 weeks (6 patients).</w:t>
      </w:r>
    </w:p>
    <w:p w14:paraId="560D0D99" w14:textId="1575FAE1" w:rsidR="009E28DC" w:rsidRPr="009E28DC" w:rsidRDefault="009E28DC" w:rsidP="009E28DC">
      <w:pPr>
        <w:rPr>
          <w:lang w:val="en-AU"/>
        </w:rPr>
      </w:pPr>
      <w:r w:rsidRPr="009E28DC">
        <w:rPr>
          <w:lang w:val="en-AU"/>
        </w:rPr>
        <w:lastRenderedPageBreak/>
        <w:t xml:space="preserve">The primary endpoint of study </w:t>
      </w:r>
      <w:r w:rsidR="00552214" w:rsidRPr="009E28DC">
        <w:rPr>
          <w:lang w:val="en-AU"/>
        </w:rPr>
        <w:t>ACT14132</w:t>
      </w:r>
      <w:r w:rsidR="00AF3F9B">
        <w:rPr>
          <w:lang w:val="en-AU"/>
        </w:rPr>
        <w:t xml:space="preserve"> (</w:t>
      </w:r>
      <w:r w:rsidR="00552214" w:rsidRPr="009E28DC">
        <w:rPr>
          <w:lang w:val="en-AU"/>
        </w:rPr>
        <w:t>mini-COMET</w:t>
      </w:r>
      <w:r w:rsidR="00AF3F9B">
        <w:rPr>
          <w:lang w:val="en-AU"/>
        </w:rPr>
        <w:t>)</w:t>
      </w:r>
      <w:r w:rsidR="00552214" w:rsidRPr="009E28DC">
        <w:rPr>
          <w:lang w:val="en-AU"/>
        </w:rPr>
        <w:t xml:space="preserve"> </w:t>
      </w:r>
      <w:r w:rsidRPr="009E28DC">
        <w:rPr>
          <w:lang w:val="en-AU"/>
        </w:rPr>
        <w:t xml:space="preserve">was to evaluate the safety and tolerability of administering </w:t>
      </w:r>
      <w:proofErr w:type="spellStart"/>
      <w:r w:rsidR="00552214">
        <w:rPr>
          <w:lang w:val="en-AU"/>
        </w:rPr>
        <w:t>Nexviazyme</w:t>
      </w:r>
      <w:proofErr w:type="spellEnd"/>
      <w:r w:rsidRPr="009E28DC">
        <w:rPr>
          <w:lang w:val="en-AU"/>
        </w:rPr>
        <w:t>.</w:t>
      </w:r>
      <w:r>
        <w:rPr>
          <w:lang w:val="en-AU"/>
        </w:rPr>
        <w:t xml:space="preserve"> </w:t>
      </w:r>
      <w:r w:rsidRPr="009E28DC">
        <w:rPr>
          <w:lang w:val="en-AU"/>
        </w:rPr>
        <w:t xml:space="preserve">The secondary endpoint was to determine the efficacy of </w:t>
      </w:r>
      <w:proofErr w:type="spellStart"/>
      <w:r w:rsidR="00552214">
        <w:rPr>
          <w:lang w:val="en-AU"/>
        </w:rPr>
        <w:t>Nexviazyme</w:t>
      </w:r>
      <w:proofErr w:type="spellEnd"/>
      <w:r w:rsidRPr="009E28DC">
        <w:rPr>
          <w:lang w:val="en-AU"/>
        </w:rPr>
        <w:t>. Data showed stabili</w:t>
      </w:r>
      <w:r w:rsidR="00C61EC0">
        <w:rPr>
          <w:lang w:val="en-AU"/>
        </w:rPr>
        <w:t>s</w:t>
      </w:r>
      <w:r w:rsidRPr="009E28DC">
        <w:rPr>
          <w:lang w:val="en-AU"/>
        </w:rPr>
        <w:t>ation or</w:t>
      </w:r>
      <w:r>
        <w:rPr>
          <w:lang w:val="en-AU"/>
        </w:rPr>
        <w:t xml:space="preserve"> </w:t>
      </w:r>
      <w:r w:rsidRPr="009E28DC">
        <w:rPr>
          <w:lang w:val="en-AU"/>
        </w:rPr>
        <w:t xml:space="preserve">improvement in efficacy outcomes of </w:t>
      </w:r>
      <w:r w:rsidR="00AF3F9B">
        <w:rPr>
          <w:lang w:val="en-AU"/>
        </w:rPr>
        <w:t>Gross Motor Function Measure (</w:t>
      </w:r>
      <w:r w:rsidRPr="009E28DC">
        <w:rPr>
          <w:lang w:val="en-AU"/>
        </w:rPr>
        <w:t>GMFM-88</w:t>
      </w:r>
      <w:r w:rsidR="00AF3F9B">
        <w:rPr>
          <w:lang w:val="en-AU"/>
        </w:rPr>
        <w:t>)</w:t>
      </w:r>
      <w:r w:rsidRPr="009E28DC">
        <w:rPr>
          <w:lang w:val="en-AU"/>
        </w:rPr>
        <w:t xml:space="preserve">, </w:t>
      </w:r>
      <w:r w:rsidR="00AF3F9B">
        <w:rPr>
          <w:lang w:val="en-AU"/>
        </w:rPr>
        <w:t>Quick Motor Function Test (</w:t>
      </w:r>
      <w:r w:rsidRPr="009E28DC">
        <w:rPr>
          <w:lang w:val="en-AU"/>
        </w:rPr>
        <w:t>QMFT</w:t>
      </w:r>
      <w:r w:rsidR="00AF3F9B">
        <w:rPr>
          <w:lang w:val="en-AU"/>
        </w:rPr>
        <w:t>)</w:t>
      </w:r>
      <w:r w:rsidRPr="009E28DC">
        <w:rPr>
          <w:lang w:val="en-AU"/>
        </w:rPr>
        <w:t xml:space="preserve">, </w:t>
      </w:r>
      <w:proofErr w:type="spellStart"/>
      <w:r w:rsidRPr="009E28DC">
        <w:rPr>
          <w:lang w:val="en-AU"/>
        </w:rPr>
        <w:t>Pompe</w:t>
      </w:r>
      <w:proofErr w:type="spellEnd"/>
      <w:r w:rsidRPr="009E28DC">
        <w:rPr>
          <w:lang w:val="en-AU"/>
        </w:rPr>
        <w:t>-</w:t>
      </w:r>
      <w:r w:rsidR="00AF3F9B">
        <w:rPr>
          <w:lang w:val="en-AU"/>
        </w:rPr>
        <w:t>Paediatric Evaluation of Disability Inventory (</w:t>
      </w:r>
      <w:proofErr w:type="spellStart"/>
      <w:r w:rsidR="00AF3F9B">
        <w:rPr>
          <w:lang w:val="en-AU"/>
        </w:rPr>
        <w:t>Pompe</w:t>
      </w:r>
      <w:proofErr w:type="spellEnd"/>
      <w:r w:rsidR="00AF3F9B">
        <w:rPr>
          <w:lang w:val="en-AU"/>
        </w:rPr>
        <w:t>-</w:t>
      </w:r>
      <w:r w:rsidRPr="009E28DC">
        <w:rPr>
          <w:lang w:val="en-AU"/>
        </w:rPr>
        <w:t>PEDI</w:t>
      </w:r>
      <w:r w:rsidR="00AF3F9B">
        <w:rPr>
          <w:lang w:val="en-AU"/>
        </w:rPr>
        <w:t>)</w:t>
      </w:r>
      <w:r w:rsidRPr="009E28DC">
        <w:rPr>
          <w:lang w:val="en-AU"/>
        </w:rPr>
        <w:t xml:space="preserve">, </w:t>
      </w:r>
      <w:r w:rsidR="00242341">
        <w:rPr>
          <w:lang w:val="en-AU"/>
        </w:rPr>
        <w:t>Left Ventricular Mass Z (</w:t>
      </w:r>
      <w:r w:rsidRPr="009E28DC">
        <w:rPr>
          <w:lang w:val="en-AU"/>
        </w:rPr>
        <w:t>LVMZ</w:t>
      </w:r>
      <w:r w:rsidR="00242341">
        <w:rPr>
          <w:lang w:val="en-AU"/>
        </w:rPr>
        <w:t>)</w:t>
      </w:r>
      <w:r w:rsidRPr="009E28DC">
        <w:rPr>
          <w:lang w:val="en-AU"/>
        </w:rPr>
        <w:t xml:space="preserve"> score, eyelid position</w:t>
      </w:r>
      <w:r>
        <w:rPr>
          <w:lang w:val="en-AU"/>
        </w:rPr>
        <w:t xml:space="preserve"> </w:t>
      </w:r>
      <w:r w:rsidRPr="009E28DC">
        <w:rPr>
          <w:lang w:val="en-AU"/>
        </w:rPr>
        <w:t xml:space="preserve">measurements in patients previously declining or insufficiently controlled with </w:t>
      </w:r>
      <w:proofErr w:type="spellStart"/>
      <w:r w:rsidRPr="009E28DC">
        <w:rPr>
          <w:lang w:val="en-AU"/>
        </w:rPr>
        <w:t>alglucosidase</w:t>
      </w:r>
      <w:proofErr w:type="spellEnd"/>
      <w:r w:rsidRPr="009E28DC">
        <w:rPr>
          <w:lang w:val="en-AU"/>
        </w:rPr>
        <w:t xml:space="preserve"> alfa.</w:t>
      </w:r>
      <w:r>
        <w:rPr>
          <w:lang w:val="en-AU"/>
        </w:rPr>
        <w:t xml:space="preserve"> </w:t>
      </w:r>
      <w:r w:rsidRPr="009E28DC">
        <w:rPr>
          <w:lang w:val="en-AU"/>
        </w:rPr>
        <w:t>Treatment effect was more pronounced with 40 mg/kg every other week compared to the 20 mg/kg</w:t>
      </w:r>
      <w:r>
        <w:rPr>
          <w:lang w:val="en-AU"/>
        </w:rPr>
        <w:t xml:space="preserve"> </w:t>
      </w:r>
      <w:r w:rsidRPr="009E28DC">
        <w:rPr>
          <w:lang w:val="en-AU"/>
        </w:rPr>
        <w:t xml:space="preserve">every other week. Two out of six patients treated with </w:t>
      </w:r>
      <w:proofErr w:type="spellStart"/>
      <w:r w:rsidR="00552214">
        <w:rPr>
          <w:lang w:val="en-AU"/>
        </w:rPr>
        <w:t>Nexviazyme</w:t>
      </w:r>
      <w:proofErr w:type="spellEnd"/>
      <w:r w:rsidRPr="009E28DC">
        <w:rPr>
          <w:lang w:val="en-AU"/>
        </w:rPr>
        <w:t xml:space="preserve"> at 20 mg/kg every other week (cohort 1)</w:t>
      </w:r>
      <w:r>
        <w:rPr>
          <w:lang w:val="en-AU"/>
        </w:rPr>
        <w:t xml:space="preserve"> </w:t>
      </w:r>
      <w:r w:rsidRPr="009E28DC">
        <w:rPr>
          <w:lang w:val="en-AU"/>
        </w:rPr>
        <w:t>demonstrated further clinical decline and received dose increase from 20 to 40 mg/kg every other</w:t>
      </w:r>
      <w:r>
        <w:rPr>
          <w:lang w:val="en-AU"/>
        </w:rPr>
        <w:t xml:space="preserve"> </w:t>
      </w:r>
      <w:r w:rsidRPr="009E28DC">
        <w:rPr>
          <w:lang w:val="en-AU"/>
        </w:rPr>
        <w:t>week at week 55 and 61 respectively. All patients who received 40 mg/kg every other week</w:t>
      </w:r>
      <w:r>
        <w:rPr>
          <w:lang w:val="en-AU"/>
        </w:rPr>
        <w:t xml:space="preserve"> </w:t>
      </w:r>
      <w:r w:rsidRPr="009E28DC">
        <w:rPr>
          <w:lang w:val="en-AU"/>
        </w:rPr>
        <w:t xml:space="preserve">maintained this dose for the </w:t>
      </w:r>
      <w:r w:rsidR="0055349C">
        <w:rPr>
          <w:lang w:val="en-AU"/>
        </w:rPr>
        <w:t xml:space="preserve">duration </w:t>
      </w:r>
      <w:r w:rsidRPr="009E28DC">
        <w:rPr>
          <w:lang w:val="en-AU"/>
        </w:rPr>
        <w:t>of the study.</w:t>
      </w:r>
    </w:p>
    <w:p w14:paraId="58B2B849" w14:textId="168FCCDD" w:rsidR="009E28DC" w:rsidRDefault="009E28DC" w:rsidP="009E28DC">
      <w:pPr>
        <w:rPr>
          <w:lang w:val="en-AU"/>
        </w:rPr>
      </w:pPr>
      <w:r w:rsidRPr="009E28DC">
        <w:rPr>
          <w:lang w:val="en-AU"/>
        </w:rPr>
        <w:t>The long-term effects of treatment with</w:t>
      </w:r>
      <w:r w:rsidR="00552214">
        <w:rPr>
          <w:lang w:val="en-AU"/>
        </w:rPr>
        <w:t xml:space="preserve"> </w:t>
      </w:r>
      <w:proofErr w:type="spellStart"/>
      <w:r w:rsidR="00552214">
        <w:rPr>
          <w:lang w:val="en-AU"/>
        </w:rPr>
        <w:t>Nexviazyme</w:t>
      </w:r>
      <w:proofErr w:type="spellEnd"/>
      <w:r w:rsidRPr="009E28DC">
        <w:rPr>
          <w:lang w:val="en-AU"/>
        </w:rPr>
        <w:t xml:space="preserve"> were evaluated in 10 patients at week 49, 8 patients at</w:t>
      </w:r>
      <w:r>
        <w:rPr>
          <w:lang w:val="en-AU"/>
        </w:rPr>
        <w:t xml:space="preserve"> </w:t>
      </w:r>
      <w:r w:rsidRPr="009E28DC">
        <w:rPr>
          <w:lang w:val="en-AU"/>
        </w:rPr>
        <w:t xml:space="preserve">week 73, and 3 patients at week 97. In patients with IOPD previously declining with </w:t>
      </w:r>
      <w:proofErr w:type="spellStart"/>
      <w:r w:rsidRPr="009E28DC">
        <w:rPr>
          <w:lang w:val="en-AU"/>
        </w:rPr>
        <w:t>alglucosidase</w:t>
      </w:r>
      <w:proofErr w:type="spellEnd"/>
      <w:r>
        <w:rPr>
          <w:lang w:val="en-AU"/>
        </w:rPr>
        <w:t xml:space="preserve"> </w:t>
      </w:r>
      <w:r w:rsidRPr="009E28DC">
        <w:rPr>
          <w:lang w:val="en-AU"/>
        </w:rPr>
        <w:t>alfa, the efficacy on specific parameters of decline, including motor function, cardiac left ventricular</w:t>
      </w:r>
      <w:r>
        <w:rPr>
          <w:lang w:val="en-AU"/>
        </w:rPr>
        <w:t xml:space="preserve"> </w:t>
      </w:r>
      <w:r w:rsidRPr="009E28DC">
        <w:rPr>
          <w:lang w:val="en-AU"/>
        </w:rPr>
        <w:t>mass, and eyelid position measurements, was sustained up to 2 years.</w:t>
      </w:r>
    </w:p>
    <w:p w14:paraId="4B48B771" w14:textId="77777777" w:rsidR="009E28DC" w:rsidRPr="00717E34" w:rsidRDefault="009E28DC" w:rsidP="000E1A58">
      <w:pPr>
        <w:rPr>
          <w:lang w:val="en-AU"/>
        </w:rPr>
      </w:pPr>
    </w:p>
    <w:p w14:paraId="3B6BB555" w14:textId="038E07BF" w:rsidR="001A3992" w:rsidRDefault="001A3992" w:rsidP="001A3992">
      <w:pPr>
        <w:pStyle w:val="Heading2"/>
        <w:spacing w:before="0" w:after="120"/>
        <w:rPr>
          <w:lang w:val="en-AU"/>
        </w:rPr>
      </w:pPr>
      <w:bookmarkStart w:id="25" w:name="_Ref52141550"/>
      <w:r w:rsidRPr="00717E34">
        <w:rPr>
          <w:lang w:val="en-AU"/>
        </w:rPr>
        <w:t>Pharmacokinetic properties</w:t>
      </w:r>
      <w:bookmarkEnd w:id="25"/>
      <w:r w:rsidRPr="00717E34">
        <w:rPr>
          <w:lang w:val="en-AU"/>
        </w:rPr>
        <w:t xml:space="preserve"> </w:t>
      </w:r>
    </w:p>
    <w:p w14:paraId="66725E4A" w14:textId="77777777" w:rsidR="009E28DC" w:rsidRPr="009E28DC" w:rsidRDefault="009E28DC" w:rsidP="009E28DC">
      <w:pPr>
        <w:pStyle w:val="Heading5"/>
        <w:numPr>
          <w:ilvl w:val="0"/>
          <w:numId w:val="0"/>
        </w:numPr>
        <w:ind w:left="1009" w:hanging="1009"/>
        <w:rPr>
          <w:lang w:val="en-AU"/>
        </w:rPr>
      </w:pPr>
      <w:r w:rsidRPr="009E28DC">
        <w:rPr>
          <w:lang w:val="en-AU"/>
        </w:rPr>
        <w:t xml:space="preserve">Patients with late-onset </w:t>
      </w:r>
      <w:proofErr w:type="spellStart"/>
      <w:r w:rsidRPr="009E28DC">
        <w:rPr>
          <w:lang w:val="en-AU"/>
        </w:rPr>
        <w:t>Pompe</w:t>
      </w:r>
      <w:proofErr w:type="spellEnd"/>
      <w:r w:rsidRPr="009E28DC">
        <w:rPr>
          <w:lang w:val="en-AU"/>
        </w:rPr>
        <w:t xml:space="preserve"> disease (LOPD)</w:t>
      </w:r>
    </w:p>
    <w:p w14:paraId="4BC7DFC4" w14:textId="77777777" w:rsidR="009E28DC" w:rsidRDefault="009E28DC" w:rsidP="009E28DC">
      <w:pPr>
        <w:rPr>
          <w:lang w:val="en-AU"/>
        </w:rPr>
      </w:pPr>
      <w:r w:rsidRPr="009E28DC">
        <w:rPr>
          <w:lang w:val="en-AU"/>
        </w:rPr>
        <w:t xml:space="preserve">The pharmacokinetics of </w:t>
      </w:r>
      <w:proofErr w:type="spellStart"/>
      <w:r w:rsidRPr="009E28DC">
        <w:rPr>
          <w:lang w:val="en-AU"/>
        </w:rPr>
        <w:t>avalglucosidase</w:t>
      </w:r>
      <w:proofErr w:type="spellEnd"/>
      <w:r w:rsidRPr="009E28DC">
        <w:rPr>
          <w:lang w:val="en-AU"/>
        </w:rPr>
        <w:t xml:space="preserve"> alfa was evaluated in a population analysis of 75 LOPD</w:t>
      </w:r>
      <w:r>
        <w:rPr>
          <w:lang w:val="en-AU"/>
        </w:rPr>
        <w:t xml:space="preserve"> </w:t>
      </w:r>
      <w:r w:rsidRPr="009E28DC">
        <w:rPr>
          <w:lang w:val="en-AU"/>
        </w:rPr>
        <w:t xml:space="preserve">patients aged 16 to 78 years who received 5 to 20 mg/kg of </w:t>
      </w:r>
      <w:proofErr w:type="spellStart"/>
      <w:r w:rsidRPr="009E28DC">
        <w:rPr>
          <w:lang w:val="en-AU"/>
        </w:rPr>
        <w:t>avalglucosidase</w:t>
      </w:r>
      <w:proofErr w:type="spellEnd"/>
      <w:r w:rsidRPr="009E28DC">
        <w:rPr>
          <w:lang w:val="en-AU"/>
        </w:rPr>
        <w:t xml:space="preserve"> alfa every other week for</w:t>
      </w:r>
      <w:r>
        <w:rPr>
          <w:lang w:val="en-AU"/>
        </w:rPr>
        <w:t xml:space="preserve"> </w:t>
      </w:r>
      <w:r w:rsidRPr="009E28DC">
        <w:rPr>
          <w:lang w:val="en-AU"/>
        </w:rPr>
        <w:t>up to 5 years.</w:t>
      </w:r>
      <w:r>
        <w:rPr>
          <w:lang w:val="en-AU"/>
        </w:rPr>
        <w:t xml:space="preserve"> </w:t>
      </w:r>
    </w:p>
    <w:p w14:paraId="02B0D40A" w14:textId="77A68EF9" w:rsidR="009E28DC" w:rsidRPr="009E28DC" w:rsidRDefault="009E28DC" w:rsidP="009E28DC">
      <w:pPr>
        <w:pStyle w:val="Heading5"/>
        <w:numPr>
          <w:ilvl w:val="0"/>
          <w:numId w:val="0"/>
        </w:numPr>
        <w:ind w:left="1009" w:hanging="1009"/>
        <w:rPr>
          <w:lang w:val="en-AU"/>
        </w:rPr>
      </w:pPr>
      <w:r w:rsidRPr="009E28DC">
        <w:rPr>
          <w:lang w:val="en-AU"/>
        </w:rPr>
        <w:t xml:space="preserve">Patients with infantile-onset </w:t>
      </w:r>
      <w:proofErr w:type="spellStart"/>
      <w:r w:rsidRPr="009E28DC">
        <w:rPr>
          <w:lang w:val="en-AU"/>
        </w:rPr>
        <w:t>Pompe</w:t>
      </w:r>
      <w:proofErr w:type="spellEnd"/>
      <w:r w:rsidRPr="009E28DC">
        <w:rPr>
          <w:lang w:val="en-AU"/>
        </w:rPr>
        <w:t xml:space="preserve"> disease (IOPD)</w:t>
      </w:r>
    </w:p>
    <w:p w14:paraId="7ACBEEF1" w14:textId="268957A8" w:rsidR="009E28DC" w:rsidRPr="009E28DC" w:rsidRDefault="009E28DC" w:rsidP="009E28DC">
      <w:pPr>
        <w:rPr>
          <w:lang w:val="en-AU"/>
        </w:rPr>
      </w:pPr>
      <w:r w:rsidRPr="009E28DC">
        <w:rPr>
          <w:lang w:val="en-AU"/>
        </w:rPr>
        <w:t xml:space="preserve">The pharmacokinetics of </w:t>
      </w:r>
      <w:proofErr w:type="spellStart"/>
      <w:r w:rsidRPr="009E28DC">
        <w:rPr>
          <w:lang w:val="en-AU"/>
        </w:rPr>
        <w:t>avalglucosidase</w:t>
      </w:r>
      <w:proofErr w:type="spellEnd"/>
      <w:r w:rsidRPr="009E28DC">
        <w:rPr>
          <w:lang w:val="en-AU"/>
        </w:rPr>
        <w:t xml:space="preserve"> alfa was characteri</w:t>
      </w:r>
      <w:r w:rsidR="00C61EC0">
        <w:rPr>
          <w:lang w:val="en-AU"/>
        </w:rPr>
        <w:t>s</w:t>
      </w:r>
      <w:r w:rsidRPr="009E28DC">
        <w:rPr>
          <w:lang w:val="en-AU"/>
        </w:rPr>
        <w:t>ed in 16 patients aged 1 to 12 years who</w:t>
      </w:r>
      <w:r>
        <w:rPr>
          <w:lang w:val="en-AU"/>
        </w:rPr>
        <w:t xml:space="preserve"> </w:t>
      </w:r>
      <w:r w:rsidRPr="009E28DC">
        <w:rPr>
          <w:lang w:val="en-AU"/>
        </w:rPr>
        <w:t xml:space="preserve">were treated with </w:t>
      </w:r>
      <w:proofErr w:type="spellStart"/>
      <w:r w:rsidRPr="009E28DC">
        <w:rPr>
          <w:lang w:val="en-AU"/>
        </w:rPr>
        <w:t>avalglucosidase</w:t>
      </w:r>
      <w:proofErr w:type="spellEnd"/>
      <w:r w:rsidRPr="009E28DC">
        <w:rPr>
          <w:lang w:val="en-AU"/>
        </w:rPr>
        <w:t xml:space="preserve"> alfa, which included 6 patients treated with 20 mg/kg and 10</w:t>
      </w:r>
      <w:r>
        <w:rPr>
          <w:lang w:val="en-AU"/>
        </w:rPr>
        <w:t xml:space="preserve"> </w:t>
      </w:r>
      <w:r w:rsidRPr="009E28DC">
        <w:rPr>
          <w:lang w:val="en-AU"/>
        </w:rPr>
        <w:t>patients treated with 40 mg/kg doses every other week for up to 25 weeks.</w:t>
      </w:r>
    </w:p>
    <w:p w14:paraId="2E185027" w14:textId="048F6771" w:rsidR="0024632F" w:rsidRDefault="0024632F" w:rsidP="00CA73C2">
      <w:pPr>
        <w:pStyle w:val="Heading3"/>
        <w:numPr>
          <w:ilvl w:val="0"/>
          <w:numId w:val="0"/>
        </w:numPr>
        <w:rPr>
          <w:i/>
        </w:rPr>
      </w:pPr>
      <w:r w:rsidRPr="0062537C">
        <w:rPr>
          <w:i/>
        </w:rPr>
        <w:t>Absorption</w:t>
      </w:r>
    </w:p>
    <w:p w14:paraId="5D525771" w14:textId="541D1AB0" w:rsidR="009E28DC" w:rsidRDefault="009E28DC" w:rsidP="009E28DC">
      <w:r>
        <w:t xml:space="preserve">In LOPD patients, for a 4-hour IV infusion of 20 mg/kg every other week, the mean </w:t>
      </w:r>
      <w:proofErr w:type="spellStart"/>
      <w:r>
        <w:t>C</w:t>
      </w:r>
      <w:r w:rsidRPr="00F70DD5">
        <w:rPr>
          <w:vertAlign w:val="subscript"/>
        </w:rPr>
        <w:t>max</w:t>
      </w:r>
      <w:proofErr w:type="spellEnd"/>
      <w:r>
        <w:t xml:space="preserve"> </w:t>
      </w:r>
      <w:r w:rsidR="001E6D40">
        <w:t xml:space="preserve">(CV%) </w:t>
      </w:r>
      <w:r>
        <w:t>and mean AUC</w:t>
      </w:r>
      <w:r w:rsidRPr="00F70DD5">
        <w:rPr>
          <w:vertAlign w:val="subscript"/>
        </w:rPr>
        <w:t>2W</w:t>
      </w:r>
      <w:r>
        <w:t xml:space="preserve"> </w:t>
      </w:r>
      <w:r w:rsidR="001E6D40">
        <w:t xml:space="preserve">(CV%) </w:t>
      </w:r>
      <w:r>
        <w:t xml:space="preserve">were 273 </w:t>
      </w:r>
      <w:proofErr w:type="spellStart"/>
      <w:r>
        <w:t>μg</w:t>
      </w:r>
      <w:proofErr w:type="spellEnd"/>
      <w:r>
        <w:t xml:space="preserve">/mL (24%) and 1220 </w:t>
      </w:r>
      <w:proofErr w:type="spellStart"/>
      <w:r>
        <w:t>μg.h</w:t>
      </w:r>
      <w:proofErr w:type="spellEnd"/>
      <w:r>
        <w:t>/mL (29%), respectively.</w:t>
      </w:r>
    </w:p>
    <w:p w14:paraId="0C801373" w14:textId="1C72B4A6" w:rsidR="009E28DC" w:rsidRPr="009E28DC" w:rsidRDefault="009E28DC" w:rsidP="009E28DC">
      <w:r>
        <w:t xml:space="preserve">In IOPD patients, for a 4-hour IV infusion of 20 mg/kg every other week and 7-hour IV infusion for 40 mg/kg every other week, the mean </w:t>
      </w:r>
      <w:proofErr w:type="spellStart"/>
      <w:r>
        <w:t>C</w:t>
      </w:r>
      <w:r w:rsidRPr="00F70DD5">
        <w:rPr>
          <w:vertAlign w:val="subscript"/>
        </w:rPr>
        <w:t>max</w:t>
      </w:r>
      <w:proofErr w:type="spellEnd"/>
      <w:r>
        <w:t xml:space="preserve"> ranged from 175 to 189 </w:t>
      </w:r>
      <w:proofErr w:type="spellStart"/>
      <w:r>
        <w:t>μg</w:t>
      </w:r>
      <w:proofErr w:type="spellEnd"/>
      <w:r>
        <w:t xml:space="preserve">/mL for the 20 mg/kg dose and 205 to 403 </w:t>
      </w:r>
      <w:proofErr w:type="spellStart"/>
      <w:r>
        <w:t>μg</w:t>
      </w:r>
      <w:proofErr w:type="spellEnd"/>
      <w:r>
        <w:t>/mL</w:t>
      </w:r>
      <w:r w:rsidR="0055349C">
        <w:t xml:space="preserve"> </w:t>
      </w:r>
      <w:r>
        <w:t>for 40 mg/kg dose. The mean AUC</w:t>
      </w:r>
      <w:r w:rsidRPr="00F70DD5">
        <w:rPr>
          <w:vertAlign w:val="subscript"/>
        </w:rPr>
        <w:t>2W</w:t>
      </w:r>
      <w:r>
        <w:t xml:space="preserve"> ranged from 805 to 923 </w:t>
      </w:r>
      <w:proofErr w:type="spellStart"/>
      <w:r>
        <w:t>μg•hr</w:t>
      </w:r>
      <w:proofErr w:type="spellEnd"/>
      <w:r>
        <w:t>/mL</w:t>
      </w:r>
      <w:r w:rsidR="0055349C">
        <w:t xml:space="preserve"> </w:t>
      </w:r>
      <w:r>
        <w:t xml:space="preserve">for the 20 mg/kg dose and 1720 to 2630 </w:t>
      </w:r>
      <w:proofErr w:type="spellStart"/>
      <w:r>
        <w:t>μg•hr</w:t>
      </w:r>
      <w:proofErr w:type="spellEnd"/>
      <w:r>
        <w:t>/mL for 40 mg/kg dose.</w:t>
      </w:r>
    </w:p>
    <w:p w14:paraId="75C7AC93" w14:textId="028E66FE" w:rsidR="0024632F" w:rsidRDefault="0024632F" w:rsidP="00CA73C2">
      <w:pPr>
        <w:pStyle w:val="Heading3"/>
        <w:numPr>
          <w:ilvl w:val="0"/>
          <w:numId w:val="0"/>
        </w:numPr>
        <w:ind w:left="680" w:hanging="680"/>
        <w:rPr>
          <w:i/>
        </w:rPr>
      </w:pPr>
      <w:r w:rsidRPr="0062537C">
        <w:rPr>
          <w:i/>
        </w:rPr>
        <w:lastRenderedPageBreak/>
        <w:t>Distribution</w:t>
      </w:r>
    </w:p>
    <w:p w14:paraId="3A61AA0A" w14:textId="1DB8FCB0" w:rsidR="009E28DC" w:rsidRDefault="009E28DC" w:rsidP="009E28DC">
      <w:r>
        <w:t xml:space="preserve">In LOPD patients, the typical population PK model predicted central compartment volume of distribution of </w:t>
      </w:r>
      <w:proofErr w:type="spellStart"/>
      <w:r>
        <w:t>avalglucosidase</w:t>
      </w:r>
      <w:proofErr w:type="spellEnd"/>
      <w:r>
        <w:t xml:space="preserve"> alfa was 3.4 L.</w:t>
      </w:r>
    </w:p>
    <w:p w14:paraId="2C11E2D6" w14:textId="35A066AF" w:rsidR="009E28DC" w:rsidRPr="009E28DC" w:rsidRDefault="009E28DC" w:rsidP="009E28DC">
      <w:r>
        <w:t xml:space="preserve">In IOPD patients treated with </w:t>
      </w:r>
      <w:proofErr w:type="spellStart"/>
      <w:r>
        <w:t>avalglucosidase</w:t>
      </w:r>
      <w:proofErr w:type="spellEnd"/>
      <w:r>
        <w:t xml:space="preserve"> alfa 20 mg/kg and 40 mg/kg every other week, the mean volume of distribution at steady state ranged between 3.5 to 5.4 L.</w:t>
      </w:r>
    </w:p>
    <w:p w14:paraId="08347D64" w14:textId="65901619" w:rsidR="0024632F" w:rsidRDefault="0024632F" w:rsidP="00CA73C2">
      <w:pPr>
        <w:pStyle w:val="Heading3"/>
        <w:numPr>
          <w:ilvl w:val="0"/>
          <w:numId w:val="0"/>
        </w:numPr>
        <w:ind w:left="680" w:hanging="680"/>
        <w:rPr>
          <w:i/>
        </w:rPr>
      </w:pPr>
      <w:r w:rsidRPr="0062537C">
        <w:rPr>
          <w:i/>
        </w:rPr>
        <w:t>Metabolism</w:t>
      </w:r>
    </w:p>
    <w:p w14:paraId="63ACA4B5" w14:textId="294C83B7" w:rsidR="009E28DC" w:rsidRPr="009E28DC" w:rsidRDefault="009E28DC" w:rsidP="009E28DC">
      <w:r w:rsidRPr="009E28DC">
        <w:t xml:space="preserve">The metabolic pathway of </w:t>
      </w:r>
      <w:proofErr w:type="spellStart"/>
      <w:r w:rsidRPr="009E28DC">
        <w:t>avalglucosidase</w:t>
      </w:r>
      <w:proofErr w:type="spellEnd"/>
      <w:r w:rsidRPr="009E28DC">
        <w:t xml:space="preserve"> alfa has not been </w:t>
      </w:r>
      <w:proofErr w:type="spellStart"/>
      <w:r w:rsidRPr="009E28DC">
        <w:t>characteri</w:t>
      </w:r>
      <w:r w:rsidR="00C61EC0">
        <w:t>s</w:t>
      </w:r>
      <w:r w:rsidRPr="009E28DC">
        <w:t>ed</w:t>
      </w:r>
      <w:proofErr w:type="spellEnd"/>
      <w:r w:rsidRPr="009E28DC">
        <w:t xml:space="preserve">. As a glycoprotein, </w:t>
      </w:r>
      <w:proofErr w:type="spellStart"/>
      <w:r w:rsidRPr="009E28DC">
        <w:t>avalglucosidase</w:t>
      </w:r>
      <w:proofErr w:type="spellEnd"/>
      <w:r w:rsidRPr="009E28DC">
        <w:t xml:space="preserve"> alfa is expected to be degraded into small peptides or amino acids via non-saturable catabolic pathways</w:t>
      </w:r>
      <w:r>
        <w:t>.</w:t>
      </w:r>
    </w:p>
    <w:p w14:paraId="60BB0DB6" w14:textId="5F98007E" w:rsidR="0024632F" w:rsidRDefault="0024632F" w:rsidP="00CA73C2">
      <w:pPr>
        <w:pStyle w:val="Heading3"/>
        <w:numPr>
          <w:ilvl w:val="0"/>
          <w:numId w:val="0"/>
        </w:numPr>
        <w:ind w:left="680" w:hanging="680"/>
        <w:rPr>
          <w:i/>
        </w:rPr>
      </w:pPr>
      <w:r w:rsidRPr="0062537C">
        <w:rPr>
          <w:i/>
        </w:rPr>
        <w:t>Excretion</w:t>
      </w:r>
    </w:p>
    <w:p w14:paraId="68F6174A" w14:textId="1F9FD51B" w:rsidR="009E28DC" w:rsidRDefault="009E28DC" w:rsidP="009E28DC">
      <w:r>
        <w:t>In LOPD patients, the typical population PK model predicted linear clearance was 0.87 L/h. Following 20 mg/kg every other week, the mean plasma elimination half-life was 1.55 hours.</w:t>
      </w:r>
    </w:p>
    <w:p w14:paraId="6557CEDE" w14:textId="52776429" w:rsidR="009E28DC" w:rsidRDefault="009E28DC" w:rsidP="009E28DC">
      <w:r>
        <w:t xml:space="preserve">In IOPD patients treated with </w:t>
      </w:r>
      <w:proofErr w:type="spellStart"/>
      <w:r>
        <w:t>avalglucosidase</w:t>
      </w:r>
      <w:proofErr w:type="spellEnd"/>
      <w:r>
        <w:t xml:space="preserve"> alfa 20 mg/kg and 40 mg/kg every other week, mean plasma clearance ranged from 0.53 to 0.70 L/h, and mean plasma elimination half-life from 0.60 to 1.19 hours.</w:t>
      </w:r>
    </w:p>
    <w:p w14:paraId="1B26171E" w14:textId="0F7FC61D" w:rsidR="009E28DC" w:rsidRDefault="009E28DC" w:rsidP="009E28DC">
      <w:pPr>
        <w:pStyle w:val="Heading4"/>
        <w:numPr>
          <w:ilvl w:val="0"/>
          <w:numId w:val="0"/>
        </w:numPr>
        <w:ind w:left="862" w:hanging="862"/>
      </w:pPr>
      <w:r>
        <w:t>Immunogenicity</w:t>
      </w:r>
    </w:p>
    <w:p w14:paraId="3A574116" w14:textId="7CC16A53" w:rsidR="009E28DC" w:rsidRDefault="009E28DC" w:rsidP="009E28DC">
      <w:r>
        <w:t xml:space="preserve">In the study EFC14028/COMET, 96.1% (49 of 51 patients) receiving </w:t>
      </w:r>
      <w:proofErr w:type="spellStart"/>
      <w:r w:rsidR="00165D09">
        <w:t>Nexviazyme</w:t>
      </w:r>
      <w:proofErr w:type="spellEnd"/>
      <w:r w:rsidR="00165D09">
        <w:t xml:space="preserve"> </w:t>
      </w:r>
      <w:r>
        <w:t xml:space="preserve">developed treatment-emergent ADA. As only 2 patients were ADA negative, therefore, the ADA impact on PK was assessed by </w:t>
      </w:r>
      <w:proofErr w:type="spellStart"/>
      <w:r>
        <w:t>categori</w:t>
      </w:r>
      <w:r w:rsidR="00C61EC0">
        <w:t>s</w:t>
      </w:r>
      <w:r>
        <w:t>ing</w:t>
      </w:r>
      <w:proofErr w:type="spellEnd"/>
      <w:r>
        <w:t xml:space="preserve"> the ADA-positive patients into 3 peak </w:t>
      </w:r>
      <w:proofErr w:type="spellStart"/>
      <w:r w:rsidR="00306657">
        <w:t>titre</w:t>
      </w:r>
      <w:proofErr w:type="spellEnd"/>
      <w:r>
        <w:t xml:space="preserve"> groups: ≤800, 1,600-6,400, and ≥12,800. Five patients had ≥50% change in the AUC at week 49 from baseline but no obvious pattern in </w:t>
      </w:r>
      <w:proofErr w:type="spellStart"/>
      <w:r w:rsidR="00306657">
        <w:t>titre</w:t>
      </w:r>
      <w:r>
        <w:t>s</w:t>
      </w:r>
      <w:proofErr w:type="spellEnd"/>
      <w:r>
        <w:t xml:space="preserve">. Inter-subject comparison of the AUC at Day 1 or 2 and week 49 supported the overall analysis of percent change in the AUC and ADA positivity categorized by ADA </w:t>
      </w:r>
      <w:proofErr w:type="spellStart"/>
      <w:r w:rsidR="00306657">
        <w:t>titre</w:t>
      </w:r>
      <w:r>
        <w:t>s</w:t>
      </w:r>
      <w:proofErr w:type="spellEnd"/>
      <w:r>
        <w:t xml:space="preserve">. In vitro evaluation of </w:t>
      </w:r>
      <w:proofErr w:type="spellStart"/>
      <w:r>
        <w:t>neutrali</w:t>
      </w:r>
      <w:r w:rsidR="00C61EC0">
        <w:t>s</w:t>
      </w:r>
      <w:r>
        <w:t>ing</w:t>
      </w:r>
      <w:proofErr w:type="spellEnd"/>
      <w:r>
        <w:t xml:space="preserve"> antibodies that inhibited enzyme activity or inhibited cellular uptake demonstrated no clear relationship of assay positivity with AUC (see </w:t>
      </w:r>
      <w:r w:rsidR="00165D09">
        <w:t xml:space="preserve">Section </w:t>
      </w:r>
      <w:r w:rsidR="00165D09" w:rsidRPr="00165D09">
        <w:rPr>
          <w:color w:val="0000FF"/>
        </w:rPr>
        <w:fldChar w:fldCharType="begin"/>
      </w:r>
      <w:r w:rsidR="00165D09" w:rsidRPr="00165D09">
        <w:rPr>
          <w:color w:val="0000FF"/>
        </w:rPr>
        <w:instrText xml:space="preserve"> REF _Ref52141426 \r \h  \* MERGEFORMAT </w:instrText>
      </w:r>
      <w:r w:rsidR="00165D09" w:rsidRPr="00165D09">
        <w:rPr>
          <w:color w:val="0000FF"/>
        </w:rPr>
      </w:r>
      <w:r w:rsidR="00165D09" w:rsidRPr="00165D09">
        <w:rPr>
          <w:color w:val="0000FF"/>
        </w:rPr>
        <w:fldChar w:fldCharType="separate"/>
      </w:r>
      <w:r w:rsidR="00751605">
        <w:rPr>
          <w:color w:val="0000FF"/>
        </w:rPr>
        <w:t>4.8</w:t>
      </w:r>
      <w:r w:rsidR="00165D09" w:rsidRPr="00165D09">
        <w:rPr>
          <w:color w:val="0000FF"/>
        </w:rPr>
        <w:fldChar w:fldCharType="end"/>
      </w:r>
      <w:r>
        <w:t xml:space="preserve">). The </w:t>
      </w:r>
      <w:proofErr w:type="gramStart"/>
      <w:r>
        <w:t>treatment-experienced</w:t>
      </w:r>
      <w:proofErr w:type="gramEnd"/>
      <w:r>
        <w:t xml:space="preserve"> IOPD patients had </w:t>
      </w:r>
      <w:proofErr w:type="spellStart"/>
      <w:r w:rsidR="00306657">
        <w:t>titre</w:t>
      </w:r>
      <w:r>
        <w:t>s</w:t>
      </w:r>
      <w:proofErr w:type="spellEnd"/>
      <w:r>
        <w:t xml:space="preserve"> ≤6,400, and as changes in PK were not observed, the relationship to ADA was not evaluated for this group.</w:t>
      </w:r>
    </w:p>
    <w:p w14:paraId="03787521" w14:textId="77777777" w:rsidR="009E28DC" w:rsidRDefault="009E28DC" w:rsidP="009E167E">
      <w:pPr>
        <w:pStyle w:val="Heading4"/>
        <w:numPr>
          <w:ilvl w:val="0"/>
          <w:numId w:val="0"/>
        </w:numPr>
        <w:ind w:left="862" w:hanging="862"/>
      </w:pPr>
      <w:bookmarkStart w:id="26" w:name="_Hlk71575356"/>
      <w:r>
        <w:t>Special populations</w:t>
      </w:r>
    </w:p>
    <w:p w14:paraId="0056C7CA" w14:textId="7C91ADED" w:rsidR="009E28DC" w:rsidRDefault="009E28DC" w:rsidP="009E28DC">
      <w:r>
        <w:t>Population pharmacokinetic analyses in LOPD patients showed that age and gender did</w:t>
      </w:r>
      <w:r w:rsidR="009E167E">
        <w:t xml:space="preserve"> </w:t>
      </w:r>
      <w:r>
        <w:t xml:space="preserve">not meaningfully influence the pharmacokinetics of </w:t>
      </w:r>
      <w:proofErr w:type="spellStart"/>
      <w:r>
        <w:t>avalglucosidase</w:t>
      </w:r>
      <w:proofErr w:type="spellEnd"/>
      <w:r>
        <w:t xml:space="preserve"> alfa.</w:t>
      </w:r>
    </w:p>
    <w:bookmarkEnd w:id="26"/>
    <w:p w14:paraId="1C3B3746" w14:textId="77777777" w:rsidR="009E28DC" w:rsidRDefault="009E28DC" w:rsidP="009E167E">
      <w:pPr>
        <w:pStyle w:val="Heading4"/>
        <w:numPr>
          <w:ilvl w:val="0"/>
          <w:numId w:val="0"/>
        </w:numPr>
        <w:ind w:left="862" w:hanging="862"/>
      </w:pPr>
      <w:r>
        <w:t>Hepatic Impairment</w:t>
      </w:r>
    </w:p>
    <w:p w14:paraId="43A019BB" w14:textId="4D11A7D4" w:rsidR="009E28DC" w:rsidRDefault="009E28DC" w:rsidP="009E28DC">
      <w:r>
        <w:t xml:space="preserve">The pharmacokinetics of </w:t>
      </w:r>
      <w:proofErr w:type="spellStart"/>
      <w:r>
        <w:t>avalglucosidase</w:t>
      </w:r>
      <w:proofErr w:type="spellEnd"/>
      <w:r>
        <w:t xml:space="preserve"> alfa has not been studied in patients with hepatic</w:t>
      </w:r>
      <w:r w:rsidR="009E167E">
        <w:t xml:space="preserve"> </w:t>
      </w:r>
      <w:r>
        <w:t>impairment.</w:t>
      </w:r>
    </w:p>
    <w:p w14:paraId="2FEE90B0" w14:textId="77777777" w:rsidR="009E167E" w:rsidRDefault="009E167E" w:rsidP="009E167E">
      <w:pPr>
        <w:pStyle w:val="Heading4"/>
        <w:numPr>
          <w:ilvl w:val="0"/>
          <w:numId w:val="0"/>
        </w:numPr>
        <w:ind w:left="862" w:hanging="862"/>
      </w:pPr>
      <w:r>
        <w:lastRenderedPageBreak/>
        <w:t>Renal Impairment</w:t>
      </w:r>
    </w:p>
    <w:p w14:paraId="39603B65" w14:textId="6277E5DB" w:rsidR="009E167E" w:rsidRDefault="009E167E" w:rsidP="009E167E">
      <w:r>
        <w:t xml:space="preserve">No formal study of the effect of renal impairment on the pharmacokinetics of </w:t>
      </w:r>
      <w:proofErr w:type="spellStart"/>
      <w:r>
        <w:t>avalglucosidase</w:t>
      </w:r>
      <w:proofErr w:type="spellEnd"/>
      <w:r>
        <w:t xml:space="preserve"> alfa was conducted. </w:t>
      </w:r>
      <w:proofErr w:type="gramStart"/>
      <w:r>
        <w:t>On the basis of</w:t>
      </w:r>
      <w:proofErr w:type="gramEnd"/>
      <w:r>
        <w:t xml:space="preserve"> a population pharmacokinetic analysis of data from 75 LOPD patients receiving 20 mg/kg, including 6 patients with mild renal impairment (glomerular filtration rate: 60 to 89 mL/min; at baseline), no relevant effect of renal impairment on </w:t>
      </w:r>
      <w:proofErr w:type="spellStart"/>
      <w:r>
        <w:t>avalglucosidase</w:t>
      </w:r>
      <w:proofErr w:type="spellEnd"/>
      <w:r>
        <w:t xml:space="preserve"> alfa exposure was observed.</w:t>
      </w:r>
    </w:p>
    <w:p w14:paraId="0309FBA7" w14:textId="77777777" w:rsidR="00194D6E" w:rsidRPr="00717E34" w:rsidRDefault="00194D6E" w:rsidP="00194D6E">
      <w:pPr>
        <w:pStyle w:val="Heading2"/>
        <w:numPr>
          <w:ilvl w:val="0"/>
          <w:numId w:val="0"/>
        </w:numPr>
        <w:spacing w:before="0" w:after="120"/>
        <w:ind w:left="680"/>
        <w:rPr>
          <w:lang w:val="en-AU"/>
        </w:rPr>
      </w:pPr>
    </w:p>
    <w:p w14:paraId="3107E4CD" w14:textId="36B463C9" w:rsidR="001A3992" w:rsidRDefault="001A3992" w:rsidP="001A3992">
      <w:pPr>
        <w:pStyle w:val="Heading2"/>
        <w:spacing w:before="0" w:after="120"/>
        <w:rPr>
          <w:lang w:val="en-AU"/>
        </w:rPr>
      </w:pPr>
      <w:bookmarkStart w:id="27" w:name="_Ref52144713"/>
      <w:r w:rsidRPr="00ED529F">
        <w:rPr>
          <w:lang w:val="en-AU"/>
        </w:rPr>
        <w:t>Preclinical safety data</w:t>
      </w:r>
      <w:bookmarkEnd w:id="27"/>
    </w:p>
    <w:p w14:paraId="4164F015" w14:textId="77777777" w:rsidR="00DC4F7A" w:rsidRPr="00DC4F7A" w:rsidRDefault="00DC4F7A" w:rsidP="00DC4F7A">
      <w:pPr>
        <w:rPr>
          <w:lang w:val="en-AU"/>
        </w:rPr>
      </w:pPr>
    </w:p>
    <w:p w14:paraId="16E1499F" w14:textId="718ECB6F" w:rsidR="001A3992" w:rsidRDefault="001A3992" w:rsidP="00CA73C2">
      <w:pPr>
        <w:pStyle w:val="Heading3"/>
        <w:numPr>
          <w:ilvl w:val="0"/>
          <w:numId w:val="0"/>
        </w:numPr>
        <w:spacing w:before="0" w:after="120"/>
        <w:rPr>
          <w:i/>
          <w:lang w:val="en-AU"/>
        </w:rPr>
      </w:pPr>
      <w:r w:rsidRPr="0062537C">
        <w:rPr>
          <w:i/>
          <w:lang w:val="en-AU"/>
        </w:rPr>
        <w:t>Genotoxicity</w:t>
      </w:r>
    </w:p>
    <w:p w14:paraId="0E1F6367" w14:textId="688EF3DB" w:rsidR="009E167E" w:rsidRPr="009E167E" w:rsidRDefault="009E167E" w:rsidP="009E167E">
      <w:pPr>
        <w:rPr>
          <w:lang w:val="en-AU"/>
        </w:rPr>
      </w:pPr>
      <w:r>
        <w:rPr>
          <w:lang w:val="en-AU"/>
        </w:rPr>
        <w:t xml:space="preserve">Genotoxic studies have not been conducted with </w:t>
      </w:r>
      <w:proofErr w:type="spellStart"/>
      <w:r w:rsidR="0026504B" w:rsidRPr="0026504B">
        <w:rPr>
          <w:lang w:val="en-AU"/>
        </w:rPr>
        <w:t>avalglucosidase</w:t>
      </w:r>
      <w:proofErr w:type="spellEnd"/>
      <w:r w:rsidR="0026504B" w:rsidRPr="0026504B">
        <w:rPr>
          <w:lang w:val="en-AU"/>
        </w:rPr>
        <w:t xml:space="preserve"> alfa</w:t>
      </w:r>
      <w:r>
        <w:rPr>
          <w:lang w:val="en-AU"/>
        </w:rPr>
        <w:t>.</w:t>
      </w:r>
    </w:p>
    <w:p w14:paraId="5BD20545" w14:textId="77777777" w:rsidR="00BC364A" w:rsidRPr="00717E34" w:rsidRDefault="00BC364A" w:rsidP="00BC364A">
      <w:pPr>
        <w:spacing w:before="120"/>
        <w:rPr>
          <w:lang w:val="en-AU"/>
        </w:rPr>
      </w:pPr>
    </w:p>
    <w:p w14:paraId="2320FDDD" w14:textId="1F8AFF74" w:rsidR="001A3992" w:rsidRDefault="001A3992" w:rsidP="00CA73C2">
      <w:pPr>
        <w:pStyle w:val="Heading3"/>
        <w:numPr>
          <w:ilvl w:val="0"/>
          <w:numId w:val="0"/>
        </w:numPr>
        <w:spacing w:before="0" w:after="120"/>
        <w:ind w:left="680" w:hanging="680"/>
        <w:rPr>
          <w:i/>
          <w:lang w:val="en-AU"/>
        </w:rPr>
      </w:pPr>
      <w:r w:rsidRPr="0062537C">
        <w:rPr>
          <w:i/>
          <w:lang w:val="en-AU"/>
        </w:rPr>
        <w:t>Carcinogenicity</w:t>
      </w:r>
    </w:p>
    <w:p w14:paraId="3276CCB3" w14:textId="62160652" w:rsidR="009E167E" w:rsidRDefault="009E167E" w:rsidP="009E167E">
      <w:pPr>
        <w:rPr>
          <w:lang w:val="en-AU"/>
        </w:rPr>
      </w:pPr>
      <w:r>
        <w:rPr>
          <w:lang w:val="en-AU"/>
        </w:rPr>
        <w:t xml:space="preserve">Carcinogenicity studies have not been conducted with </w:t>
      </w:r>
      <w:proofErr w:type="spellStart"/>
      <w:r w:rsidR="0026504B" w:rsidRPr="0026504B">
        <w:rPr>
          <w:lang w:val="en-AU"/>
        </w:rPr>
        <w:t>avalglucosidase</w:t>
      </w:r>
      <w:proofErr w:type="spellEnd"/>
      <w:r w:rsidR="0026504B" w:rsidRPr="0026504B">
        <w:rPr>
          <w:lang w:val="en-AU"/>
        </w:rPr>
        <w:t xml:space="preserve"> alfa</w:t>
      </w:r>
      <w:r>
        <w:rPr>
          <w:lang w:val="en-AU"/>
        </w:rPr>
        <w:t xml:space="preserve">. </w:t>
      </w:r>
    </w:p>
    <w:p w14:paraId="43B7B9F0" w14:textId="77777777" w:rsidR="00024098" w:rsidRPr="00717E34" w:rsidRDefault="00024098" w:rsidP="00024098">
      <w:pPr>
        <w:rPr>
          <w:lang w:val="en-AU"/>
        </w:rPr>
      </w:pPr>
    </w:p>
    <w:p w14:paraId="7A64FDEE" w14:textId="77777777" w:rsidR="001A3992" w:rsidRPr="00717E34" w:rsidRDefault="001A3992" w:rsidP="00024098">
      <w:pPr>
        <w:pStyle w:val="Heading1"/>
        <w:keepNext w:val="0"/>
        <w:pageBreakBefore w:val="0"/>
        <w:spacing w:before="0" w:after="120"/>
        <w:rPr>
          <w:lang w:val="en-AU"/>
        </w:rPr>
      </w:pPr>
      <w:r w:rsidRPr="00717E34">
        <w:rPr>
          <w:lang w:val="en-AU"/>
        </w:rPr>
        <w:t>Pharmaceutical particulars</w:t>
      </w:r>
    </w:p>
    <w:p w14:paraId="0F6E9A2F" w14:textId="23764245" w:rsidR="001A3992" w:rsidRDefault="001A3992" w:rsidP="001A3992">
      <w:pPr>
        <w:pStyle w:val="Heading2"/>
        <w:spacing w:before="0" w:after="120"/>
        <w:rPr>
          <w:lang w:val="en-AU"/>
        </w:rPr>
      </w:pPr>
      <w:bookmarkStart w:id="28" w:name="_Ref52140210"/>
      <w:r w:rsidRPr="00717E34">
        <w:rPr>
          <w:lang w:val="en-AU"/>
        </w:rPr>
        <w:t>List of excipients</w:t>
      </w:r>
      <w:bookmarkEnd w:id="28"/>
      <w:r w:rsidRPr="00717E34">
        <w:rPr>
          <w:lang w:val="en-AU"/>
        </w:rPr>
        <w:t xml:space="preserve"> </w:t>
      </w:r>
    </w:p>
    <w:p w14:paraId="6EB56B02" w14:textId="77777777" w:rsidR="00611DDE" w:rsidRPr="00611DDE" w:rsidRDefault="00611DDE" w:rsidP="00611DDE">
      <w:pPr>
        <w:rPr>
          <w:lang w:val="en-AU"/>
        </w:rPr>
      </w:pPr>
      <w:r w:rsidRPr="00611DDE">
        <w:rPr>
          <w:lang w:val="en-AU"/>
        </w:rPr>
        <w:t>Histidine</w:t>
      </w:r>
    </w:p>
    <w:p w14:paraId="3315D72C" w14:textId="40D70E8F" w:rsidR="00611DDE" w:rsidRDefault="00611DDE" w:rsidP="00611DDE">
      <w:pPr>
        <w:spacing w:before="120"/>
        <w:rPr>
          <w:lang w:val="en-AU"/>
        </w:rPr>
      </w:pPr>
      <w:r w:rsidRPr="00611DDE">
        <w:rPr>
          <w:lang w:val="en-AU"/>
        </w:rPr>
        <w:t>Histidine hydrochloride monohydrate</w:t>
      </w:r>
    </w:p>
    <w:p w14:paraId="15564DE8" w14:textId="63076849" w:rsidR="00611DDE" w:rsidRDefault="00611DDE" w:rsidP="00611DDE">
      <w:pPr>
        <w:spacing w:before="120"/>
        <w:rPr>
          <w:lang w:val="en-AU"/>
        </w:rPr>
      </w:pPr>
      <w:r>
        <w:rPr>
          <w:lang w:val="en-AU"/>
        </w:rPr>
        <w:t>Glycine</w:t>
      </w:r>
    </w:p>
    <w:p w14:paraId="0822BB86" w14:textId="75C9DEAB" w:rsidR="00611DDE" w:rsidRPr="00611DDE" w:rsidRDefault="00611DDE" w:rsidP="00611DDE">
      <w:pPr>
        <w:spacing w:before="120"/>
        <w:rPr>
          <w:lang w:val="en-AU"/>
        </w:rPr>
      </w:pPr>
      <w:r>
        <w:rPr>
          <w:lang w:val="en-AU"/>
        </w:rPr>
        <w:t xml:space="preserve">Mannitol </w:t>
      </w:r>
    </w:p>
    <w:p w14:paraId="78425390" w14:textId="77777777" w:rsidR="00611DDE" w:rsidRPr="00611DDE" w:rsidRDefault="00611DDE" w:rsidP="00611DDE">
      <w:pPr>
        <w:spacing w:before="120"/>
        <w:rPr>
          <w:lang w:val="en-AU"/>
        </w:rPr>
      </w:pPr>
      <w:r w:rsidRPr="00611DDE">
        <w:rPr>
          <w:lang w:val="en-AU"/>
        </w:rPr>
        <w:t>Polysorbate 80</w:t>
      </w:r>
    </w:p>
    <w:p w14:paraId="211DC755" w14:textId="77777777" w:rsidR="00466BF1" w:rsidRPr="007C4C57" w:rsidRDefault="00466BF1" w:rsidP="007C4C57">
      <w:pPr>
        <w:rPr>
          <w:lang w:val="en-AU"/>
        </w:rPr>
      </w:pPr>
    </w:p>
    <w:p w14:paraId="0E74BB95" w14:textId="209D3878" w:rsidR="001A3992" w:rsidRDefault="001A3992" w:rsidP="001A3992">
      <w:pPr>
        <w:pStyle w:val="Heading2"/>
        <w:keepLines/>
        <w:spacing w:before="0" w:after="120"/>
        <w:rPr>
          <w:lang w:val="en-AU"/>
        </w:rPr>
      </w:pPr>
      <w:r w:rsidRPr="00717E34">
        <w:rPr>
          <w:lang w:val="en-AU"/>
        </w:rPr>
        <w:t xml:space="preserve">Incompatibilities </w:t>
      </w:r>
    </w:p>
    <w:p w14:paraId="4A8C2A49" w14:textId="7E6C8157" w:rsidR="006A0756" w:rsidRPr="006A0756" w:rsidRDefault="006A0756" w:rsidP="006A0756">
      <w:pPr>
        <w:rPr>
          <w:lang w:val="en-AU"/>
        </w:rPr>
      </w:pPr>
      <w:r>
        <w:rPr>
          <w:lang w:val="en-AU"/>
        </w:rPr>
        <w:t>T</w:t>
      </w:r>
      <w:r w:rsidRPr="006A0756">
        <w:rPr>
          <w:lang w:val="en-AU"/>
        </w:rPr>
        <w:t>his medicinal product must not be mixed with other medicinal</w:t>
      </w:r>
      <w:r>
        <w:rPr>
          <w:lang w:val="en-AU"/>
        </w:rPr>
        <w:t xml:space="preserve"> </w:t>
      </w:r>
      <w:r w:rsidRPr="006A0756">
        <w:rPr>
          <w:lang w:val="en-AU"/>
        </w:rPr>
        <w:t>products</w:t>
      </w:r>
      <w:r>
        <w:rPr>
          <w:lang w:val="en-AU"/>
        </w:rPr>
        <w:t>.</w:t>
      </w:r>
    </w:p>
    <w:p w14:paraId="2F4D0358" w14:textId="77777777" w:rsidR="00194D6E" w:rsidRPr="00717E34" w:rsidRDefault="00194D6E" w:rsidP="00194D6E">
      <w:pPr>
        <w:rPr>
          <w:lang w:val="en-AU"/>
        </w:rPr>
      </w:pPr>
    </w:p>
    <w:p w14:paraId="388613FF" w14:textId="23AAE3BD" w:rsidR="001A3992" w:rsidRDefault="001A3992" w:rsidP="001A3992">
      <w:pPr>
        <w:pStyle w:val="Heading2"/>
        <w:spacing w:before="0" w:after="120"/>
        <w:rPr>
          <w:lang w:val="en-AU"/>
        </w:rPr>
      </w:pPr>
      <w:r w:rsidRPr="00717E34">
        <w:rPr>
          <w:lang w:val="en-AU"/>
        </w:rPr>
        <w:t xml:space="preserve">Shelf life </w:t>
      </w:r>
    </w:p>
    <w:p w14:paraId="0AB9ECFD" w14:textId="1F459703" w:rsidR="00194D6E" w:rsidRDefault="0024632F" w:rsidP="00194D6E">
      <w:r>
        <w:t>In Australia, information on the shelf life can be found on the public summary of the Australian Register of Therapeutic Goods (ARTG). The expiry date can be found on the packaging.</w:t>
      </w:r>
    </w:p>
    <w:p w14:paraId="6B4113A7" w14:textId="77777777" w:rsidR="006A0756" w:rsidRPr="00717E34" w:rsidRDefault="006A0756" w:rsidP="00194D6E">
      <w:pPr>
        <w:rPr>
          <w:lang w:val="en-AU"/>
        </w:rPr>
      </w:pPr>
    </w:p>
    <w:p w14:paraId="451104F8" w14:textId="3BA40AF7" w:rsidR="001A3992" w:rsidRDefault="001A3992" w:rsidP="001A3992">
      <w:pPr>
        <w:pStyle w:val="Heading2"/>
        <w:keepLines/>
        <w:spacing w:before="0" w:after="120"/>
        <w:rPr>
          <w:lang w:val="en-AU"/>
        </w:rPr>
      </w:pPr>
      <w:r w:rsidRPr="00717E34">
        <w:rPr>
          <w:lang w:val="en-AU"/>
        </w:rPr>
        <w:lastRenderedPageBreak/>
        <w:t xml:space="preserve">Special precautions for storage </w:t>
      </w:r>
    </w:p>
    <w:p w14:paraId="68E650A6" w14:textId="3254611C" w:rsidR="00725904" w:rsidRPr="00725904" w:rsidRDefault="00725904" w:rsidP="00725904">
      <w:pPr>
        <w:rPr>
          <w:lang w:val="en-AU"/>
        </w:rPr>
      </w:pPr>
      <w:r w:rsidRPr="00725904">
        <w:rPr>
          <w:lang w:val="en-AU"/>
        </w:rPr>
        <w:t>Store in a refrigerator between 2°C to 8°C. Do not use</w:t>
      </w:r>
      <w:r w:rsidR="00C134D4">
        <w:rPr>
          <w:lang w:val="en-AU"/>
        </w:rPr>
        <w:t xml:space="preserve"> </w:t>
      </w:r>
      <w:proofErr w:type="spellStart"/>
      <w:r w:rsidR="00C134D4">
        <w:rPr>
          <w:lang w:val="en-AU"/>
        </w:rPr>
        <w:t>Nexviazyme</w:t>
      </w:r>
      <w:proofErr w:type="spellEnd"/>
      <w:r w:rsidR="00C134D4">
        <w:rPr>
          <w:lang w:val="en-AU"/>
        </w:rPr>
        <w:t xml:space="preserve"> </w:t>
      </w:r>
      <w:r w:rsidRPr="00725904">
        <w:rPr>
          <w:lang w:val="en-AU"/>
        </w:rPr>
        <w:t>after the expiration date on</w:t>
      </w:r>
      <w:r>
        <w:rPr>
          <w:lang w:val="en-AU"/>
        </w:rPr>
        <w:t xml:space="preserve"> </w:t>
      </w:r>
      <w:r w:rsidRPr="00725904">
        <w:rPr>
          <w:lang w:val="en-AU"/>
        </w:rPr>
        <w:t>the vial.</w:t>
      </w:r>
    </w:p>
    <w:p w14:paraId="1F45808C" w14:textId="36D027F0" w:rsidR="00725904" w:rsidRDefault="00725904" w:rsidP="00725904">
      <w:pPr>
        <w:rPr>
          <w:lang w:val="en-AU"/>
        </w:rPr>
      </w:pPr>
      <w:r w:rsidRPr="00725904">
        <w:rPr>
          <w:lang w:val="en-AU"/>
        </w:rPr>
        <w:t>The reconstituted and diluted solution should be administered without delay. The reconstituted product</w:t>
      </w:r>
      <w:r>
        <w:rPr>
          <w:lang w:val="en-AU"/>
        </w:rPr>
        <w:t xml:space="preserve"> </w:t>
      </w:r>
      <w:r w:rsidRPr="00725904">
        <w:rPr>
          <w:lang w:val="en-AU"/>
        </w:rPr>
        <w:t>can be stored up to 24 hours when refrigerated at 2°C to 8°C and diluted product can be stored up to</w:t>
      </w:r>
      <w:r>
        <w:rPr>
          <w:lang w:val="en-AU"/>
        </w:rPr>
        <w:t xml:space="preserve"> </w:t>
      </w:r>
      <w:r w:rsidRPr="00725904">
        <w:rPr>
          <w:lang w:val="en-AU"/>
        </w:rPr>
        <w:t xml:space="preserve">24 hours when refrigerated at 2°C to 8°C and up to 9 hours (including infusion time) when stored </w:t>
      </w:r>
      <w:r w:rsidRPr="009F7E53">
        <w:rPr>
          <w:lang w:val="en-AU"/>
        </w:rPr>
        <w:t>at room temperature</w:t>
      </w:r>
      <w:r w:rsidR="00173A8F">
        <w:rPr>
          <w:lang w:val="en-AU"/>
        </w:rPr>
        <w:t xml:space="preserve"> (up to 27 </w:t>
      </w:r>
      <w:r w:rsidR="00173A8F" w:rsidRPr="00725904">
        <w:rPr>
          <w:lang w:val="en-AU"/>
        </w:rPr>
        <w:t>°C</w:t>
      </w:r>
      <w:r w:rsidR="00173A8F">
        <w:rPr>
          <w:lang w:val="en-AU"/>
        </w:rPr>
        <w:t>)</w:t>
      </w:r>
      <w:r w:rsidR="000C0250" w:rsidRPr="009F7E53">
        <w:rPr>
          <w:lang w:val="en-AU"/>
        </w:rPr>
        <w:t>.</w:t>
      </w:r>
    </w:p>
    <w:p w14:paraId="38F88499" w14:textId="77777777" w:rsidR="00D70EC1" w:rsidRPr="00D70EC1" w:rsidRDefault="00D70EC1" w:rsidP="00D70EC1">
      <w:pPr>
        <w:rPr>
          <w:lang w:val="en-AU"/>
        </w:rPr>
      </w:pPr>
    </w:p>
    <w:p w14:paraId="3103A7A4" w14:textId="140C01C2" w:rsidR="001A3992" w:rsidRDefault="001A3992" w:rsidP="001A3992">
      <w:pPr>
        <w:pStyle w:val="Heading2"/>
        <w:spacing w:before="0" w:after="120"/>
        <w:rPr>
          <w:lang w:val="en-AU"/>
        </w:rPr>
      </w:pPr>
      <w:r w:rsidRPr="00717E34">
        <w:rPr>
          <w:lang w:val="en-AU"/>
        </w:rPr>
        <w:t xml:space="preserve">Nature and contents of container </w:t>
      </w:r>
    </w:p>
    <w:p w14:paraId="0E0C53C8" w14:textId="50FAC056" w:rsidR="00A12F42" w:rsidRDefault="00A12F42" w:rsidP="00725904">
      <w:pPr>
        <w:rPr>
          <w:lang w:val="en-AU"/>
        </w:rPr>
      </w:pPr>
      <w:proofErr w:type="spellStart"/>
      <w:r>
        <w:rPr>
          <w:lang w:val="en-AU"/>
        </w:rPr>
        <w:t>Nexviazyme</w:t>
      </w:r>
      <w:proofErr w:type="spellEnd"/>
      <w:r>
        <w:rPr>
          <w:lang w:val="en-AU"/>
        </w:rPr>
        <w:t xml:space="preserve"> </w:t>
      </w:r>
      <w:r w:rsidRPr="00A12F42">
        <w:rPr>
          <w:lang w:val="en-AU"/>
        </w:rPr>
        <w:t xml:space="preserve">is supplied in a 20 mL, </w:t>
      </w:r>
      <w:r>
        <w:rPr>
          <w:lang w:val="en-AU"/>
        </w:rPr>
        <w:t>T</w:t>
      </w:r>
      <w:r w:rsidRPr="00A12F42">
        <w:rPr>
          <w:lang w:val="en-AU"/>
        </w:rPr>
        <w:t>ype I, colo</w:t>
      </w:r>
      <w:r>
        <w:rPr>
          <w:lang w:val="en-AU"/>
        </w:rPr>
        <w:t>u</w:t>
      </w:r>
      <w:r w:rsidRPr="00A12F42">
        <w:rPr>
          <w:lang w:val="en-AU"/>
        </w:rPr>
        <w:t xml:space="preserve">rless, clear, glass vial closed with 20 mm </w:t>
      </w:r>
      <w:proofErr w:type="spellStart"/>
      <w:r w:rsidRPr="00A12F42">
        <w:rPr>
          <w:lang w:val="en-AU"/>
        </w:rPr>
        <w:t>siliconi</w:t>
      </w:r>
      <w:r w:rsidR="00C61EC0">
        <w:rPr>
          <w:lang w:val="en-AU"/>
        </w:rPr>
        <w:t>s</w:t>
      </w:r>
      <w:r w:rsidRPr="00A12F42">
        <w:rPr>
          <w:lang w:val="en-AU"/>
        </w:rPr>
        <w:t>ed</w:t>
      </w:r>
      <w:proofErr w:type="spellEnd"/>
      <w:r w:rsidRPr="00A12F42">
        <w:rPr>
          <w:lang w:val="en-AU"/>
        </w:rPr>
        <w:t xml:space="preserve"> elastomeric stopper. The stoppered vials are crimped with an alumin</w:t>
      </w:r>
      <w:r>
        <w:rPr>
          <w:lang w:val="en-AU"/>
        </w:rPr>
        <w:t>i</w:t>
      </w:r>
      <w:r w:rsidRPr="00A12F42">
        <w:rPr>
          <w:lang w:val="en-AU"/>
        </w:rPr>
        <w:t>um seal with a flip-off</w:t>
      </w:r>
      <w:r w:rsidRPr="00A12F42">
        <w:rPr>
          <w:vertAlign w:val="superscript"/>
          <w:lang w:val="en-AU"/>
        </w:rPr>
        <w:t>®</w:t>
      </w:r>
      <w:r w:rsidRPr="00A12F42">
        <w:rPr>
          <w:lang w:val="en-AU"/>
        </w:rPr>
        <w:t xml:space="preserve"> button</w:t>
      </w:r>
      <w:r>
        <w:rPr>
          <w:lang w:val="en-AU"/>
        </w:rPr>
        <w:t>.</w:t>
      </w:r>
    </w:p>
    <w:p w14:paraId="4396F3EF" w14:textId="6C7CE28E" w:rsidR="00725904" w:rsidRDefault="00725904" w:rsidP="00725904">
      <w:pPr>
        <w:rPr>
          <w:lang w:val="en-AU"/>
        </w:rPr>
      </w:pPr>
      <w:r w:rsidRPr="00725904">
        <w:rPr>
          <w:lang w:val="en-AU"/>
        </w:rPr>
        <w:t xml:space="preserve">Each pack contains 1, 5, 10 or 25 vials. </w:t>
      </w:r>
    </w:p>
    <w:p w14:paraId="2BAC2F64" w14:textId="1241BA3A" w:rsidR="00725904" w:rsidRDefault="00D93FD4" w:rsidP="00725904">
      <w:pPr>
        <w:rPr>
          <w:lang w:val="en-AU"/>
        </w:rPr>
      </w:pPr>
      <w:r>
        <w:rPr>
          <w:lang w:val="en-AU"/>
        </w:rPr>
        <w:t>*</w:t>
      </w:r>
      <w:r w:rsidR="00725904" w:rsidRPr="00725904">
        <w:rPr>
          <w:lang w:val="en-AU"/>
        </w:rPr>
        <w:t>Not all pack sizes may be marketed.</w:t>
      </w:r>
    </w:p>
    <w:p w14:paraId="7443120C" w14:textId="77777777" w:rsidR="007C4C57" w:rsidRPr="007C4C57" w:rsidRDefault="007C4C57" w:rsidP="004F0E4A">
      <w:pPr>
        <w:rPr>
          <w:snapToGrid w:val="0"/>
          <w:lang w:val="en-AU"/>
        </w:rPr>
      </w:pPr>
    </w:p>
    <w:p w14:paraId="4C183D89" w14:textId="77777777" w:rsidR="001A3992" w:rsidRPr="00717E34" w:rsidRDefault="001A3992" w:rsidP="001A3992">
      <w:pPr>
        <w:pStyle w:val="Heading2"/>
        <w:spacing w:before="0" w:after="120"/>
        <w:rPr>
          <w:lang w:val="en-AU"/>
        </w:rPr>
      </w:pPr>
      <w:r w:rsidRPr="00717E34">
        <w:rPr>
          <w:lang w:val="en-AU"/>
        </w:rPr>
        <w:t xml:space="preserve">Special precautions for disposal </w:t>
      </w:r>
    </w:p>
    <w:p w14:paraId="58FD8F41" w14:textId="738CD4EE" w:rsidR="00D70EC1" w:rsidRDefault="009F7E53" w:rsidP="00D70EC1">
      <w:r w:rsidRPr="009F7E53">
        <w:t xml:space="preserve">Remaining </w:t>
      </w:r>
      <w:proofErr w:type="spellStart"/>
      <w:r>
        <w:t>Nexviazyme</w:t>
      </w:r>
      <w:proofErr w:type="spellEnd"/>
      <w:r>
        <w:t xml:space="preserve"> </w:t>
      </w:r>
      <w:r w:rsidRPr="009F7E53">
        <w:t>left in a vial after withdrawing the patient’s calculated dose should be disposed of in accordance with local requirements.</w:t>
      </w:r>
    </w:p>
    <w:p w14:paraId="4096184A" w14:textId="176C2656" w:rsidR="00C134D4" w:rsidRDefault="00C134D4" w:rsidP="00C134D4">
      <w:pPr>
        <w:pStyle w:val="Heading2"/>
      </w:pPr>
      <w:r>
        <w:t>physicochemical properties</w:t>
      </w:r>
    </w:p>
    <w:p w14:paraId="2B07694A" w14:textId="264FA01D" w:rsidR="00C134D4" w:rsidRPr="00C134D4" w:rsidRDefault="00C134D4" w:rsidP="00C134D4">
      <w:r>
        <w:t>CAS number: 1802558-87-7</w:t>
      </w:r>
    </w:p>
    <w:p w14:paraId="4CAC0BA1" w14:textId="77777777" w:rsidR="001A3992" w:rsidRPr="00717E34" w:rsidRDefault="001A3992" w:rsidP="007C3D28">
      <w:pPr>
        <w:pStyle w:val="Heading3"/>
        <w:numPr>
          <w:ilvl w:val="0"/>
          <w:numId w:val="0"/>
        </w:numPr>
        <w:spacing w:before="0" w:after="120"/>
        <w:rPr>
          <w:lang w:val="en-AU"/>
        </w:rPr>
      </w:pPr>
    </w:p>
    <w:p w14:paraId="7F46F20E" w14:textId="175067A8" w:rsidR="001A3992" w:rsidRDefault="001A3992" w:rsidP="00024098">
      <w:pPr>
        <w:pStyle w:val="Heading1"/>
        <w:keepNext w:val="0"/>
        <w:pageBreakBefore w:val="0"/>
        <w:spacing w:before="0" w:after="120"/>
        <w:rPr>
          <w:lang w:val="en-AU"/>
        </w:rPr>
      </w:pPr>
      <w:r w:rsidRPr="00717E34">
        <w:rPr>
          <w:lang w:val="en-AU"/>
        </w:rPr>
        <w:t>Medicine schedule (Poisons Standard)</w:t>
      </w:r>
    </w:p>
    <w:p w14:paraId="02A549B6" w14:textId="47B86342" w:rsidR="00725904" w:rsidRPr="00725904" w:rsidRDefault="00C134D4" w:rsidP="00725904">
      <w:pPr>
        <w:rPr>
          <w:lang w:val="en-AU"/>
        </w:rPr>
      </w:pPr>
      <w:r>
        <w:rPr>
          <w:lang w:val="en-AU"/>
        </w:rPr>
        <w:t>Schedule 4 (</w:t>
      </w:r>
      <w:r w:rsidR="00725904">
        <w:rPr>
          <w:lang w:val="en-AU"/>
        </w:rPr>
        <w:t>Prescription Only Medicine</w:t>
      </w:r>
      <w:r>
        <w:rPr>
          <w:lang w:val="en-AU"/>
        </w:rPr>
        <w:t>)</w:t>
      </w:r>
    </w:p>
    <w:p w14:paraId="5FC109BB" w14:textId="77777777" w:rsidR="00024098" w:rsidRPr="00717E34" w:rsidRDefault="00024098" w:rsidP="00024098">
      <w:pPr>
        <w:rPr>
          <w:lang w:val="en-AU"/>
        </w:rPr>
      </w:pPr>
    </w:p>
    <w:p w14:paraId="0B9F3483" w14:textId="77777777" w:rsidR="001A3992" w:rsidRPr="00717E34" w:rsidRDefault="001A3992" w:rsidP="00024098">
      <w:pPr>
        <w:pStyle w:val="Heading1"/>
        <w:keepNext w:val="0"/>
        <w:pageBreakBefore w:val="0"/>
        <w:spacing w:before="0" w:after="120"/>
        <w:rPr>
          <w:lang w:val="en-AU"/>
        </w:rPr>
      </w:pPr>
      <w:r w:rsidRPr="00717E34">
        <w:rPr>
          <w:lang w:val="en-AU"/>
        </w:rPr>
        <w:t>Sponsor</w:t>
      </w:r>
    </w:p>
    <w:p w14:paraId="5E1F2FF9" w14:textId="77777777" w:rsidR="00CF34CE" w:rsidRDefault="00CF34CE" w:rsidP="00CF34CE">
      <w:r>
        <w:rPr>
          <w:b/>
        </w:rPr>
        <w:t>Australia</w:t>
      </w:r>
      <w:r>
        <w:br/>
      </w:r>
      <w:proofErr w:type="spellStart"/>
      <w:r>
        <w:t>sanofi-aventis</w:t>
      </w:r>
      <w:proofErr w:type="spellEnd"/>
      <w:r>
        <w:t xml:space="preserve"> </w:t>
      </w:r>
      <w:proofErr w:type="spellStart"/>
      <w:r>
        <w:t>australia</w:t>
      </w:r>
      <w:proofErr w:type="spellEnd"/>
      <w:r>
        <w:t xml:space="preserve"> </w:t>
      </w:r>
      <w:proofErr w:type="spellStart"/>
      <w:r>
        <w:t>pty</w:t>
      </w:r>
      <w:proofErr w:type="spellEnd"/>
      <w:r>
        <w:t xml:space="preserve"> ltd</w:t>
      </w:r>
      <w:r>
        <w:br/>
        <w:t>12-24 Talavera Road</w:t>
      </w:r>
      <w:r>
        <w:br/>
        <w:t>Macquarie Park NSW 2113</w:t>
      </w:r>
    </w:p>
    <w:p w14:paraId="6D804C94" w14:textId="77777777" w:rsidR="00CF34CE" w:rsidRDefault="00CF34CE" w:rsidP="00CF34CE">
      <w:r>
        <w:t>Toll Free Number (medical information): 1800 818 806</w:t>
      </w:r>
      <w:r>
        <w:br/>
        <w:t>E-mail: medinfo.australia@sanofi.com</w:t>
      </w:r>
    </w:p>
    <w:p w14:paraId="6E06C3E5" w14:textId="1EF6D2E0" w:rsidR="00CF34CE" w:rsidRDefault="00CF34CE" w:rsidP="00CF34CE">
      <w:r>
        <w:rPr>
          <w:b/>
        </w:rPr>
        <w:lastRenderedPageBreak/>
        <w:t>New Zealand</w:t>
      </w:r>
      <w:r>
        <w:br/>
      </w:r>
      <w:proofErr w:type="spellStart"/>
      <w:r>
        <w:t>sanofi-aventis</w:t>
      </w:r>
      <w:proofErr w:type="spellEnd"/>
      <w:r>
        <w:t xml:space="preserve"> new </w:t>
      </w:r>
      <w:proofErr w:type="spellStart"/>
      <w:r>
        <w:t>zealand</w:t>
      </w:r>
      <w:proofErr w:type="spellEnd"/>
      <w:r>
        <w:t xml:space="preserve"> limited</w:t>
      </w:r>
      <w:r>
        <w:br/>
        <w:t>56 Cawley Street</w:t>
      </w:r>
      <w:r>
        <w:br/>
        <w:t>Ellerslie, Auckland</w:t>
      </w:r>
    </w:p>
    <w:p w14:paraId="14962B65" w14:textId="77777777" w:rsidR="00CF34CE" w:rsidRDefault="00CF34CE" w:rsidP="00CF34CE">
      <w:r>
        <w:t>Toll Free Number (medical information): 0800 283 684</w:t>
      </w:r>
      <w:r>
        <w:br/>
        <w:t>Email: medinfo.australia@sanofi.com</w:t>
      </w:r>
    </w:p>
    <w:p w14:paraId="75AE3671" w14:textId="77777777" w:rsidR="00024098" w:rsidRPr="00CF34CE" w:rsidRDefault="00024098" w:rsidP="00024098"/>
    <w:p w14:paraId="376B7760" w14:textId="4EEB02EA" w:rsidR="001A3992" w:rsidRDefault="001A3992" w:rsidP="00024098">
      <w:pPr>
        <w:pStyle w:val="Heading1"/>
        <w:keepNext w:val="0"/>
        <w:pageBreakBefore w:val="0"/>
        <w:spacing w:before="0" w:after="120"/>
        <w:rPr>
          <w:lang w:val="en-AU"/>
        </w:rPr>
      </w:pPr>
      <w:r w:rsidRPr="00717E34">
        <w:rPr>
          <w:lang w:val="en-AU"/>
        </w:rPr>
        <w:t xml:space="preserve">Date of first approval  </w:t>
      </w:r>
    </w:p>
    <w:p w14:paraId="28DBA719" w14:textId="76219959" w:rsidR="00756282" w:rsidRPr="00756282" w:rsidRDefault="00756282" w:rsidP="00756282">
      <w:pPr>
        <w:rPr>
          <w:lang w:val="en-AU"/>
        </w:rPr>
      </w:pPr>
      <w:r>
        <w:rPr>
          <w:lang w:val="en-AU"/>
        </w:rPr>
        <w:t>17 November 2021</w:t>
      </w:r>
    </w:p>
    <w:p w14:paraId="30CF6E20" w14:textId="77777777" w:rsidR="00477BD3" w:rsidRPr="00477BD3" w:rsidRDefault="00477BD3" w:rsidP="00477BD3">
      <w:pPr>
        <w:rPr>
          <w:lang w:val="en-AU"/>
        </w:rPr>
      </w:pPr>
    </w:p>
    <w:p w14:paraId="20C089B5" w14:textId="77777777" w:rsidR="001A3992" w:rsidRPr="00717E34" w:rsidRDefault="001A3992" w:rsidP="00024098">
      <w:pPr>
        <w:pStyle w:val="Heading1"/>
        <w:keepNext w:val="0"/>
        <w:pageBreakBefore w:val="0"/>
        <w:spacing w:before="0" w:after="120"/>
        <w:rPr>
          <w:lang w:val="en-AU"/>
        </w:rPr>
      </w:pPr>
      <w:r w:rsidRPr="00717E34">
        <w:rPr>
          <w:lang w:val="en-AU"/>
        </w:rPr>
        <w:t xml:space="preserve">Date of revision </w:t>
      </w:r>
    </w:p>
    <w:p w14:paraId="156FB48E" w14:textId="77777777" w:rsidR="001A3992" w:rsidRPr="00717E34" w:rsidRDefault="001A3992" w:rsidP="001A3992">
      <w:pPr>
        <w:pStyle w:val="Heading2"/>
        <w:numPr>
          <w:ilvl w:val="0"/>
          <w:numId w:val="0"/>
        </w:numPr>
        <w:spacing w:before="0" w:after="120"/>
        <w:rPr>
          <w:lang w:val="en-AU"/>
        </w:rPr>
      </w:pPr>
      <w:r w:rsidRPr="00717E34">
        <w:rPr>
          <w:lang w:val="en-AU"/>
        </w:rPr>
        <w:t>Summary table of changes</w:t>
      </w:r>
    </w:p>
    <w:tbl>
      <w:tblPr>
        <w:tblStyle w:val="LightGrid"/>
        <w:tblW w:w="0" w:type="auto"/>
        <w:tblCellMar>
          <w:top w:w="57" w:type="dxa"/>
          <w:bottom w:w="57" w:type="dxa"/>
        </w:tblCellMar>
        <w:tblLook w:val="06A0" w:firstRow="1" w:lastRow="0" w:firstColumn="1" w:lastColumn="0" w:noHBand="1" w:noVBand="1"/>
      </w:tblPr>
      <w:tblGrid>
        <w:gridCol w:w="1371"/>
        <w:gridCol w:w="7635"/>
      </w:tblGrid>
      <w:tr w:rsidR="00ED0937" w:rsidRPr="00717E34" w14:paraId="0B98B97A" w14:textId="77777777" w:rsidTr="004D0F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vAlign w:val="center"/>
          </w:tcPr>
          <w:p w14:paraId="796E7038" w14:textId="77777777" w:rsidR="00ED0937" w:rsidRPr="00717E34" w:rsidRDefault="00ED0937" w:rsidP="004D0FD8">
            <w:pPr>
              <w:rPr>
                <w:sz w:val="20"/>
                <w:lang w:val="en-AU"/>
              </w:rPr>
            </w:pPr>
            <w:r w:rsidRPr="00717E34">
              <w:rPr>
                <w:sz w:val="20"/>
                <w:lang w:val="en-AU"/>
              </w:rPr>
              <w:t>Section Changed</w:t>
            </w:r>
          </w:p>
        </w:tc>
        <w:tc>
          <w:tcPr>
            <w:tcW w:w="7858" w:type="dxa"/>
            <w:shd w:val="clear" w:color="auto" w:fill="F2F2F2" w:themeFill="background1" w:themeFillShade="F2"/>
            <w:vAlign w:val="center"/>
          </w:tcPr>
          <w:p w14:paraId="1CD3FCDF" w14:textId="77777777" w:rsidR="00ED0937" w:rsidRPr="00717E34" w:rsidRDefault="00ED0937" w:rsidP="004D0FD8">
            <w:pPr>
              <w:cnfStyle w:val="100000000000" w:firstRow="1" w:lastRow="0" w:firstColumn="0" w:lastColumn="0" w:oddVBand="0" w:evenVBand="0" w:oddHBand="0" w:evenHBand="0" w:firstRowFirstColumn="0" w:firstRowLastColumn="0" w:lastRowFirstColumn="0" w:lastRowLastColumn="0"/>
              <w:rPr>
                <w:sz w:val="20"/>
                <w:lang w:val="en-AU"/>
              </w:rPr>
            </w:pPr>
            <w:r w:rsidRPr="00717E34">
              <w:rPr>
                <w:sz w:val="20"/>
                <w:lang w:val="en-AU"/>
              </w:rPr>
              <w:t>Summary of new information</w:t>
            </w:r>
          </w:p>
        </w:tc>
      </w:tr>
      <w:tr w:rsidR="00ED0937" w:rsidRPr="00717E34" w14:paraId="49FFE0AB" w14:textId="77777777" w:rsidTr="004D0FD8">
        <w:tc>
          <w:tcPr>
            <w:cnfStyle w:val="001000000000" w:firstRow="0" w:lastRow="0" w:firstColumn="1" w:lastColumn="0" w:oddVBand="0" w:evenVBand="0" w:oddHBand="0" w:evenHBand="0" w:firstRowFirstColumn="0" w:firstRowLastColumn="0" w:lastRowFirstColumn="0" w:lastRowLastColumn="0"/>
            <w:tcW w:w="1384" w:type="dxa"/>
            <w:vAlign w:val="center"/>
          </w:tcPr>
          <w:p w14:paraId="7D103537" w14:textId="77777777" w:rsidR="00ED0937" w:rsidRPr="00717E34" w:rsidRDefault="00ED0937" w:rsidP="004D0FD8">
            <w:pPr>
              <w:rPr>
                <w:lang w:val="en-AU"/>
              </w:rPr>
            </w:pPr>
          </w:p>
        </w:tc>
        <w:tc>
          <w:tcPr>
            <w:tcW w:w="7858" w:type="dxa"/>
            <w:vAlign w:val="center"/>
          </w:tcPr>
          <w:p w14:paraId="71D66C26" w14:textId="77777777" w:rsidR="00ED0937" w:rsidRPr="00717E34" w:rsidRDefault="00ED0937" w:rsidP="004D0FD8">
            <w:pPr>
              <w:cnfStyle w:val="000000000000" w:firstRow="0" w:lastRow="0" w:firstColumn="0" w:lastColumn="0" w:oddVBand="0" w:evenVBand="0" w:oddHBand="0" w:evenHBand="0" w:firstRowFirstColumn="0" w:firstRowLastColumn="0" w:lastRowFirstColumn="0" w:lastRowLastColumn="0"/>
              <w:rPr>
                <w:lang w:val="en-AU"/>
              </w:rPr>
            </w:pPr>
          </w:p>
        </w:tc>
      </w:tr>
      <w:tr w:rsidR="00ED0937" w:rsidRPr="00717E34" w14:paraId="20FB1771" w14:textId="77777777" w:rsidTr="004D0FD8">
        <w:tc>
          <w:tcPr>
            <w:cnfStyle w:val="001000000000" w:firstRow="0" w:lastRow="0" w:firstColumn="1" w:lastColumn="0" w:oddVBand="0" w:evenVBand="0" w:oddHBand="0" w:evenHBand="0" w:firstRowFirstColumn="0" w:firstRowLastColumn="0" w:lastRowFirstColumn="0" w:lastRowLastColumn="0"/>
            <w:tcW w:w="1384" w:type="dxa"/>
            <w:vAlign w:val="center"/>
          </w:tcPr>
          <w:p w14:paraId="785AEB7D" w14:textId="77777777" w:rsidR="00ED0937" w:rsidRPr="00717E34" w:rsidRDefault="00ED0937" w:rsidP="004D0FD8">
            <w:pPr>
              <w:rPr>
                <w:lang w:val="en-AU"/>
              </w:rPr>
            </w:pPr>
          </w:p>
        </w:tc>
        <w:tc>
          <w:tcPr>
            <w:tcW w:w="7858" w:type="dxa"/>
            <w:vAlign w:val="center"/>
          </w:tcPr>
          <w:p w14:paraId="530925C7" w14:textId="77777777" w:rsidR="00ED0937" w:rsidRPr="00717E34" w:rsidRDefault="00ED0937" w:rsidP="004D0FD8">
            <w:pPr>
              <w:cnfStyle w:val="000000000000" w:firstRow="0" w:lastRow="0" w:firstColumn="0" w:lastColumn="0" w:oddVBand="0" w:evenVBand="0" w:oddHBand="0" w:evenHBand="0" w:firstRowFirstColumn="0" w:firstRowLastColumn="0" w:lastRowFirstColumn="0" w:lastRowLastColumn="0"/>
              <w:rPr>
                <w:lang w:val="en-AU"/>
              </w:rPr>
            </w:pPr>
          </w:p>
        </w:tc>
      </w:tr>
      <w:tr w:rsidR="00ED0937" w:rsidRPr="00717E34" w14:paraId="4A358DDB" w14:textId="77777777" w:rsidTr="004D0FD8">
        <w:tc>
          <w:tcPr>
            <w:cnfStyle w:val="001000000000" w:firstRow="0" w:lastRow="0" w:firstColumn="1" w:lastColumn="0" w:oddVBand="0" w:evenVBand="0" w:oddHBand="0" w:evenHBand="0" w:firstRowFirstColumn="0" w:firstRowLastColumn="0" w:lastRowFirstColumn="0" w:lastRowLastColumn="0"/>
            <w:tcW w:w="1384" w:type="dxa"/>
            <w:vAlign w:val="center"/>
          </w:tcPr>
          <w:p w14:paraId="5BBEFCDA" w14:textId="77777777" w:rsidR="00ED0937" w:rsidRPr="00717E34" w:rsidRDefault="00ED0937" w:rsidP="004D0FD8">
            <w:pPr>
              <w:rPr>
                <w:lang w:val="en-AU"/>
              </w:rPr>
            </w:pPr>
          </w:p>
        </w:tc>
        <w:tc>
          <w:tcPr>
            <w:tcW w:w="7858" w:type="dxa"/>
            <w:vAlign w:val="center"/>
          </w:tcPr>
          <w:p w14:paraId="48F716E1" w14:textId="77777777" w:rsidR="00ED0937" w:rsidRPr="00717E34" w:rsidRDefault="00ED0937" w:rsidP="004D0FD8">
            <w:pPr>
              <w:cnfStyle w:val="000000000000" w:firstRow="0" w:lastRow="0" w:firstColumn="0" w:lastColumn="0" w:oddVBand="0" w:evenVBand="0" w:oddHBand="0" w:evenHBand="0" w:firstRowFirstColumn="0" w:firstRowLastColumn="0" w:lastRowFirstColumn="0" w:lastRowLastColumn="0"/>
              <w:rPr>
                <w:lang w:val="en-AU"/>
              </w:rPr>
            </w:pPr>
          </w:p>
        </w:tc>
      </w:tr>
    </w:tbl>
    <w:p w14:paraId="038FD56A" w14:textId="77777777" w:rsidR="001A3992" w:rsidRPr="00717E34" w:rsidRDefault="001A3992" w:rsidP="001A3992">
      <w:pPr>
        <w:spacing w:after="120"/>
        <w:rPr>
          <w:lang w:val="en-AU"/>
        </w:rPr>
      </w:pPr>
    </w:p>
    <w:p w14:paraId="3FFB0898" w14:textId="77777777" w:rsidR="00960CD5" w:rsidRPr="00717E34" w:rsidRDefault="00960CD5" w:rsidP="001A3992">
      <w:pPr>
        <w:spacing w:after="120"/>
        <w:rPr>
          <w:lang w:val="en-AU"/>
        </w:rPr>
      </w:pPr>
    </w:p>
    <w:sectPr w:rsidR="00960CD5" w:rsidRPr="00717E34">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D50B9" w14:textId="77777777" w:rsidR="002D7A97" w:rsidRDefault="002D7A97" w:rsidP="001A3992">
      <w:r>
        <w:separator/>
      </w:r>
    </w:p>
  </w:endnote>
  <w:endnote w:type="continuationSeparator" w:id="0">
    <w:p w14:paraId="25BD1874" w14:textId="77777777" w:rsidR="002D7A97" w:rsidRDefault="002D7A97" w:rsidP="001A3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7930A" w14:textId="77777777" w:rsidR="002D7A97" w:rsidRDefault="002D7A97">
    <w:pPr>
      <w:pStyle w:val="Footer"/>
    </w:pPr>
  </w:p>
  <w:p w14:paraId="4A509384" w14:textId="77777777" w:rsidR="002D7A97" w:rsidRDefault="002D7A97" w:rsidP="006B49F1">
    <w:pPr>
      <w:pStyle w:val="Footer"/>
    </w:pPr>
    <w:r>
      <w:br/>
      <w:t>Property of the Sanofi group - strictly confidential</w:t>
    </w:r>
  </w:p>
  <w:p w14:paraId="1038013A" w14:textId="46DBB06E" w:rsidR="002D7A97" w:rsidRDefault="002D7A97">
    <w:pPr>
      <w:pStyle w:val="Footer"/>
    </w:pPr>
    <w:r>
      <w:t>nexviazyme-</w:t>
    </w:r>
    <w:r w:rsidRPr="007054FB">
      <w:rPr>
        <w:color w:val="000000" w:themeColor="text1"/>
      </w:rPr>
      <w:t>ccdsv2-piv1-</w:t>
    </w:r>
    <w:r w:rsidR="00756282">
      <w:rPr>
        <w:color w:val="000000" w:themeColor="text1"/>
      </w:rPr>
      <w:t>17nov21</w:t>
    </w:r>
    <w:r>
      <w:tab/>
    </w:r>
    <w:sdt>
      <w:sdtPr>
        <w:id w:val="-1619370226"/>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CEA89" w14:textId="77777777" w:rsidR="002D7A97" w:rsidRDefault="002D7A97" w:rsidP="001A3992">
      <w:r>
        <w:separator/>
      </w:r>
    </w:p>
  </w:footnote>
  <w:footnote w:type="continuationSeparator" w:id="0">
    <w:p w14:paraId="0AC2633B" w14:textId="77777777" w:rsidR="002D7A97" w:rsidRDefault="002D7A97" w:rsidP="001A3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0" w:type="auto"/>
      <w:shd w:val="clear" w:color="auto" w:fill="E4F2E0"/>
      <w:tblLook w:val="04A0" w:firstRow="1" w:lastRow="0" w:firstColumn="1" w:lastColumn="0" w:noHBand="0" w:noVBand="1"/>
    </w:tblPr>
    <w:tblGrid>
      <w:gridCol w:w="8720"/>
    </w:tblGrid>
    <w:tr w:rsidR="00560BD6" w:rsidRPr="00560BD6" w14:paraId="0DD59D34" w14:textId="77777777" w:rsidTr="0054454D">
      <w:tc>
        <w:tcPr>
          <w:tcW w:w="8720" w:type="dxa"/>
          <w:shd w:val="clear" w:color="auto" w:fill="E4F2E0"/>
        </w:tcPr>
        <w:p w14:paraId="7D0A43BD" w14:textId="77777777" w:rsidR="00560BD6" w:rsidRPr="00560BD6" w:rsidRDefault="00560BD6" w:rsidP="00560BD6">
          <w:pPr>
            <w:spacing w:before="180" w:after="180" w:line="240" w:lineRule="atLeast"/>
            <w:rPr>
              <w:rFonts w:ascii="Cambria" w:eastAsia="Cambria" w:hAnsi="Cambria"/>
              <w:color w:val="auto"/>
              <w:sz w:val="18"/>
              <w:szCs w:val="18"/>
              <w:lang w:val="en-AU"/>
            </w:rPr>
          </w:pPr>
          <w:r w:rsidRPr="00560BD6">
            <w:rPr>
              <w:rFonts w:ascii="Cambria" w:eastAsia="Cambria" w:hAnsi="Cambria"/>
              <w:b/>
              <w:color w:val="auto"/>
              <w:sz w:val="18"/>
              <w:szCs w:val="18"/>
              <w:lang w:val="en-AU"/>
            </w:rPr>
            <w:t xml:space="preserve">Attachment 1: Product information for </w:t>
          </w:r>
          <w:proofErr w:type="spellStart"/>
          <w:r w:rsidRPr="00560BD6">
            <w:rPr>
              <w:rFonts w:ascii="Cambria" w:eastAsia="Cambria" w:hAnsi="Cambria"/>
              <w:b/>
              <w:color w:val="auto"/>
              <w:sz w:val="18"/>
              <w:szCs w:val="18"/>
              <w:lang w:val="en-AU"/>
            </w:rPr>
            <w:t>AusPAR</w:t>
          </w:r>
          <w:proofErr w:type="spellEnd"/>
          <w:r w:rsidRPr="00560BD6">
            <w:rPr>
              <w:rFonts w:ascii="Cambria" w:eastAsia="Cambria" w:hAnsi="Cambria"/>
              <w:b/>
              <w:color w:val="auto"/>
              <w:sz w:val="18"/>
              <w:szCs w:val="18"/>
              <w:lang w:val="en-AU"/>
            </w:rPr>
            <w:t xml:space="preserve"> - </w:t>
          </w:r>
          <w:proofErr w:type="spellStart"/>
          <w:r w:rsidRPr="00560BD6">
            <w:rPr>
              <w:rFonts w:ascii="Cambria" w:eastAsia="Cambria" w:hAnsi="Cambria"/>
              <w:b/>
              <w:color w:val="auto"/>
              <w:sz w:val="18"/>
              <w:szCs w:val="18"/>
              <w:lang w:val="en-AU"/>
            </w:rPr>
            <w:t>Nexviazyme</w:t>
          </w:r>
          <w:proofErr w:type="spellEnd"/>
          <w:r w:rsidRPr="00560BD6">
            <w:rPr>
              <w:rFonts w:ascii="Cambria" w:eastAsia="Cambria" w:hAnsi="Cambria"/>
              <w:b/>
              <w:color w:val="auto"/>
              <w:sz w:val="18"/>
              <w:szCs w:val="18"/>
              <w:lang w:val="en-AU"/>
            </w:rPr>
            <w:t xml:space="preserve"> – </w:t>
          </w:r>
          <w:proofErr w:type="spellStart"/>
          <w:r w:rsidRPr="00560BD6">
            <w:rPr>
              <w:rFonts w:ascii="Cambria" w:eastAsia="Cambria" w:hAnsi="Cambria"/>
              <w:b/>
              <w:color w:val="auto"/>
              <w:sz w:val="18"/>
              <w:szCs w:val="18"/>
              <w:lang w:val="en-AU"/>
            </w:rPr>
            <w:t>Avalglucosidase</w:t>
          </w:r>
          <w:proofErr w:type="spellEnd"/>
          <w:r w:rsidRPr="00560BD6">
            <w:rPr>
              <w:rFonts w:ascii="Cambria" w:eastAsia="Cambria" w:hAnsi="Cambria"/>
              <w:b/>
              <w:color w:val="auto"/>
              <w:sz w:val="18"/>
              <w:szCs w:val="18"/>
              <w:lang w:val="en-AU"/>
            </w:rPr>
            <w:t xml:space="preserve"> alfa – Sanofi-Aventis Australia Pty Ltd PM-2020-05478-1-3 FINAL 8 December 2022. This is the Product Information that was approved with the submission described in this </w:t>
          </w:r>
          <w:proofErr w:type="spellStart"/>
          <w:r w:rsidRPr="00560BD6">
            <w:rPr>
              <w:rFonts w:ascii="Cambria" w:eastAsia="Cambria" w:hAnsi="Cambria"/>
              <w:b/>
              <w:color w:val="auto"/>
              <w:sz w:val="18"/>
              <w:szCs w:val="18"/>
              <w:lang w:val="en-AU"/>
            </w:rPr>
            <w:t>AusPAR</w:t>
          </w:r>
          <w:proofErr w:type="spellEnd"/>
          <w:r w:rsidRPr="00560BD6">
            <w:rPr>
              <w:rFonts w:ascii="Cambria" w:eastAsia="Cambria" w:hAnsi="Cambria"/>
              <w:b/>
              <w:color w:val="auto"/>
              <w:sz w:val="18"/>
              <w:szCs w:val="18"/>
              <w:lang w:val="en-AU"/>
            </w:rPr>
            <w:t>. It may have been superseded. For the most recent PI, please refer to the TGA website at &lt;</w:t>
          </w:r>
          <w:hyperlink r:id="rId1" w:history="1">
            <w:r w:rsidRPr="00560BD6">
              <w:rPr>
                <w:rFonts w:ascii="Cambria" w:eastAsia="Cambria" w:hAnsi="Cambria"/>
                <w:b/>
                <w:color w:val="0000FF"/>
                <w:sz w:val="18"/>
                <w:szCs w:val="18"/>
                <w:u w:val="single"/>
                <w:lang w:val="en-AU"/>
              </w:rPr>
              <w:t>https://www.tga.gov.au/products/australian-register-therapeutic-goods-artg/product-information-one</w:t>
            </w:r>
          </w:hyperlink>
          <w:r w:rsidRPr="00560BD6">
            <w:rPr>
              <w:rFonts w:ascii="Cambria" w:eastAsia="Cambria" w:hAnsi="Cambria"/>
              <w:color w:val="0000FF"/>
              <w:sz w:val="18"/>
              <w:szCs w:val="18"/>
              <w:u w:val="single"/>
              <w:lang w:val="en-AU"/>
            </w:rPr>
            <w:t>&gt;</w:t>
          </w:r>
        </w:p>
      </w:tc>
    </w:tr>
  </w:tbl>
  <w:p w14:paraId="5A1FD92B" w14:textId="5C125A76" w:rsidR="00751605" w:rsidRPr="00560BD6" w:rsidRDefault="00751605" w:rsidP="00560B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3F3E"/>
    <w:multiLevelType w:val="hybridMultilevel"/>
    <w:tmpl w:val="5AB64ADE"/>
    <w:lvl w:ilvl="0" w:tplc="E07EEAB0">
      <w:start w:val="1"/>
      <w:numFmt w:val="bullet"/>
      <w:pStyle w:val="ListAlphabeticalLevel1"/>
      <w:lvlText w:val=""/>
      <w:lvlJc w:val="left"/>
      <w:pPr>
        <w:ind w:left="720" w:hanging="360"/>
      </w:pPr>
      <w:rPr>
        <w:rFonts w:ascii="Symbol" w:hAnsi="Symbol" w:hint="default"/>
      </w:rPr>
    </w:lvl>
    <w:lvl w:ilvl="1" w:tplc="F3ACC5F2">
      <w:start w:val="1"/>
      <w:numFmt w:val="bullet"/>
      <w:lvlText w:val="o"/>
      <w:lvlJc w:val="left"/>
      <w:pPr>
        <w:ind w:left="1440" w:hanging="360"/>
      </w:pPr>
      <w:rPr>
        <w:rFonts w:ascii="Courier New" w:hAnsi="Courier New" w:cs="Courier New" w:hint="default"/>
      </w:rPr>
    </w:lvl>
    <w:lvl w:ilvl="2" w:tplc="5650BAEA" w:tentative="1">
      <w:start w:val="1"/>
      <w:numFmt w:val="bullet"/>
      <w:lvlText w:val=""/>
      <w:lvlJc w:val="left"/>
      <w:pPr>
        <w:ind w:left="2160" w:hanging="360"/>
      </w:pPr>
      <w:rPr>
        <w:rFonts w:ascii="Wingdings" w:hAnsi="Wingdings" w:hint="default"/>
      </w:rPr>
    </w:lvl>
    <w:lvl w:ilvl="3" w:tplc="3DAC786C" w:tentative="1">
      <w:start w:val="1"/>
      <w:numFmt w:val="bullet"/>
      <w:lvlText w:val=""/>
      <w:lvlJc w:val="left"/>
      <w:pPr>
        <w:ind w:left="2880" w:hanging="360"/>
      </w:pPr>
      <w:rPr>
        <w:rFonts w:ascii="Symbol" w:hAnsi="Symbol" w:hint="default"/>
      </w:rPr>
    </w:lvl>
    <w:lvl w:ilvl="4" w:tplc="491AF17C" w:tentative="1">
      <w:start w:val="1"/>
      <w:numFmt w:val="bullet"/>
      <w:lvlText w:val="o"/>
      <w:lvlJc w:val="left"/>
      <w:pPr>
        <w:ind w:left="3600" w:hanging="360"/>
      </w:pPr>
      <w:rPr>
        <w:rFonts w:ascii="Courier New" w:hAnsi="Courier New" w:cs="Courier New" w:hint="default"/>
      </w:rPr>
    </w:lvl>
    <w:lvl w:ilvl="5" w:tplc="ABBA84EE" w:tentative="1">
      <w:start w:val="1"/>
      <w:numFmt w:val="bullet"/>
      <w:lvlText w:val=""/>
      <w:lvlJc w:val="left"/>
      <w:pPr>
        <w:ind w:left="4320" w:hanging="360"/>
      </w:pPr>
      <w:rPr>
        <w:rFonts w:ascii="Wingdings" w:hAnsi="Wingdings" w:hint="default"/>
      </w:rPr>
    </w:lvl>
    <w:lvl w:ilvl="6" w:tplc="16865A5C" w:tentative="1">
      <w:start w:val="1"/>
      <w:numFmt w:val="bullet"/>
      <w:lvlText w:val=""/>
      <w:lvlJc w:val="left"/>
      <w:pPr>
        <w:ind w:left="5040" w:hanging="360"/>
      </w:pPr>
      <w:rPr>
        <w:rFonts w:ascii="Symbol" w:hAnsi="Symbol" w:hint="default"/>
      </w:rPr>
    </w:lvl>
    <w:lvl w:ilvl="7" w:tplc="D8F250E0" w:tentative="1">
      <w:start w:val="1"/>
      <w:numFmt w:val="bullet"/>
      <w:lvlText w:val="o"/>
      <w:lvlJc w:val="left"/>
      <w:pPr>
        <w:ind w:left="5760" w:hanging="360"/>
      </w:pPr>
      <w:rPr>
        <w:rFonts w:ascii="Courier New" w:hAnsi="Courier New" w:cs="Courier New" w:hint="default"/>
      </w:rPr>
    </w:lvl>
    <w:lvl w:ilvl="8" w:tplc="0F9AC210" w:tentative="1">
      <w:start w:val="1"/>
      <w:numFmt w:val="bullet"/>
      <w:lvlText w:val=""/>
      <w:lvlJc w:val="left"/>
      <w:pPr>
        <w:ind w:left="6480" w:hanging="360"/>
      </w:pPr>
      <w:rPr>
        <w:rFonts w:ascii="Wingdings" w:hAnsi="Wingdings" w:hint="default"/>
      </w:rPr>
    </w:lvl>
  </w:abstractNum>
  <w:abstractNum w:abstractNumId="1"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0268D4"/>
    <w:multiLevelType w:val="multilevel"/>
    <w:tmpl w:val="9AB467B8"/>
    <w:name w:val="LT_Heading"/>
    <w:lvl w:ilvl="0">
      <w:start w:val="1"/>
      <w:numFmt w:val="decimal"/>
      <w:lvlRestart w:val="0"/>
      <w:pStyle w:val="Heading1"/>
      <w:lvlText w:val="%1"/>
      <w:lvlJc w:val="left"/>
      <w:pPr>
        <w:tabs>
          <w:tab w:val="num" w:pos="680"/>
        </w:tabs>
        <w:ind w:left="680" w:hanging="680"/>
      </w:pPr>
    </w:lvl>
    <w:lvl w:ilvl="1">
      <w:start w:val="1"/>
      <w:numFmt w:val="decimal"/>
      <w:pStyle w:val="Heading2"/>
      <w:lvlText w:val="%1.%2"/>
      <w:lvlJc w:val="left"/>
      <w:pPr>
        <w:tabs>
          <w:tab w:val="num" w:pos="680"/>
        </w:tabs>
        <w:ind w:left="680" w:hanging="680"/>
      </w:pPr>
    </w:lvl>
    <w:lvl w:ilvl="2">
      <w:start w:val="1"/>
      <w:numFmt w:val="decimal"/>
      <w:pStyle w:val="Heading3"/>
      <w:lvlText w:val="%1.%2.%3"/>
      <w:lvlJc w:val="left"/>
      <w:pPr>
        <w:tabs>
          <w:tab w:val="num" w:pos="680"/>
        </w:tabs>
        <w:ind w:left="680" w:hanging="680"/>
      </w:pPr>
    </w:lvl>
    <w:lvl w:ilvl="3">
      <w:start w:val="1"/>
      <w:numFmt w:val="decimal"/>
      <w:pStyle w:val="Heading4"/>
      <w:lvlText w:val="%1.%2.%3.%4"/>
      <w:lvlJc w:val="left"/>
      <w:pPr>
        <w:tabs>
          <w:tab w:val="num" w:pos="862"/>
        </w:tabs>
        <w:ind w:left="862" w:hanging="862"/>
      </w:pPr>
    </w:lvl>
    <w:lvl w:ilvl="4">
      <w:start w:val="1"/>
      <w:numFmt w:val="decimal"/>
      <w:pStyle w:val="Heading5"/>
      <w:lvlText w:val="%1.%2.%3.%4.%5"/>
      <w:lvlJc w:val="left"/>
      <w:pPr>
        <w:tabs>
          <w:tab w:val="num" w:pos="1009"/>
        </w:tabs>
        <w:ind w:left="1009" w:hanging="1009"/>
      </w:pPr>
    </w:lvl>
    <w:lvl w:ilvl="5">
      <w:start w:val="1"/>
      <w:numFmt w:val="decimal"/>
      <w:pStyle w:val="Heading6"/>
      <w:lvlText w:val="%1.%2.%3.%4.%5.%6"/>
      <w:lvlJc w:val="left"/>
      <w:pPr>
        <w:tabs>
          <w:tab w:val="num" w:pos="1151"/>
        </w:tabs>
        <w:ind w:left="1151" w:hanging="1151"/>
      </w:pPr>
    </w:lvl>
    <w:lvl w:ilvl="6">
      <w:start w:val="1"/>
      <w:numFmt w:val="decimal"/>
      <w:pStyle w:val="Heading7"/>
      <w:lvlText w:val="%1.%2.%3.%4.%5.%6.%7"/>
      <w:lvlJc w:val="left"/>
      <w:pPr>
        <w:tabs>
          <w:tab w:val="num" w:pos="1298"/>
        </w:tabs>
        <w:ind w:left="1298" w:hanging="1298"/>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2"/>
        </w:tabs>
        <w:ind w:left="1582" w:hanging="1582"/>
      </w:pPr>
    </w:lvl>
  </w:abstractNum>
  <w:abstractNum w:abstractNumId="3" w15:restartNumberingAfterBreak="0">
    <w:nsid w:val="0E563DE3"/>
    <w:multiLevelType w:val="multilevel"/>
    <w:tmpl w:val="EA961A4C"/>
    <w:lvl w:ilvl="0">
      <w:start w:val="1"/>
      <w:numFmt w:val="lowerLetter"/>
      <w:lvlRestart w:val="0"/>
      <w:lvlText w:val="%1)"/>
      <w:lvlJc w:val="left"/>
      <w:pPr>
        <w:tabs>
          <w:tab w:val="num" w:pos="1083"/>
        </w:tabs>
        <w:ind w:left="1083" w:hanging="363"/>
      </w:pPr>
    </w:lvl>
    <w:lvl w:ilvl="1">
      <w:start w:val="1"/>
      <w:numFmt w:val="lowerLetter"/>
      <w:lvlText w:val="%2)"/>
      <w:lvlJc w:val="left"/>
      <w:pPr>
        <w:tabs>
          <w:tab w:val="num" w:pos="1440"/>
        </w:tabs>
        <w:ind w:left="1440" w:hanging="357"/>
      </w:pPr>
    </w:lvl>
    <w:lvl w:ilvl="2">
      <w:start w:val="1"/>
      <w:numFmt w:val="lowerLetter"/>
      <w:lvlText w:val="%3)"/>
      <w:lvlJc w:val="left"/>
      <w:pPr>
        <w:tabs>
          <w:tab w:val="num" w:pos="1803"/>
        </w:tabs>
        <w:ind w:left="1803" w:hanging="363"/>
      </w:pPr>
    </w:lvl>
    <w:lvl w:ilvl="3">
      <w:start w:val="1"/>
      <w:numFmt w:val="lowerLetter"/>
      <w:lvlText w:val="%4)"/>
      <w:lvlJc w:val="left"/>
      <w:pPr>
        <w:tabs>
          <w:tab w:val="num" w:pos="2160"/>
        </w:tabs>
        <w:ind w:left="2160" w:hanging="357"/>
      </w:pPr>
    </w:lvl>
    <w:lvl w:ilvl="4">
      <w:start w:val="1"/>
      <w:numFmt w:val="lowerLetter"/>
      <w:lvlText w:val="%5)"/>
      <w:lvlJc w:val="left"/>
      <w:pPr>
        <w:tabs>
          <w:tab w:val="num" w:pos="2523"/>
        </w:tabs>
        <w:ind w:left="2523" w:hanging="363"/>
      </w:pPr>
    </w:lvl>
    <w:lvl w:ilvl="5">
      <w:start w:val="1"/>
      <w:numFmt w:val="lowerLetter"/>
      <w:lvlText w:val="%6)"/>
      <w:lvlJc w:val="left"/>
      <w:pPr>
        <w:tabs>
          <w:tab w:val="num" w:pos="2880"/>
        </w:tabs>
        <w:ind w:left="2880" w:hanging="357"/>
      </w:pPr>
    </w:lvl>
    <w:lvl w:ilvl="6">
      <w:start w:val="1"/>
      <w:numFmt w:val="lowerLetter"/>
      <w:lvlText w:val="%7)"/>
      <w:lvlJc w:val="left"/>
      <w:pPr>
        <w:tabs>
          <w:tab w:val="num" w:pos="3243"/>
        </w:tabs>
        <w:ind w:left="3243" w:hanging="363"/>
      </w:pPr>
    </w:lvl>
    <w:lvl w:ilvl="7">
      <w:start w:val="1"/>
      <w:numFmt w:val="lowerLetter"/>
      <w:lvlText w:val="%8)"/>
      <w:lvlJc w:val="left"/>
      <w:pPr>
        <w:tabs>
          <w:tab w:val="num" w:pos="3600"/>
        </w:tabs>
        <w:ind w:left="3600" w:hanging="357"/>
      </w:pPr>
    </w:lvl>
    <w:lvl w:ilvl="8">
      <w:start w:val="1"/>
      <w:numFmt w:val="lowerLetter"/>
      <w:lvlText w:val="%9)"/>
      <w:lvlJc w:val="left"/>
      <w:pPr>
        <w:tabs>
          <w:tab w:val="num" w:pos="3957"/>
        </w:tabs>
        <w:ind w:left="3957" w:hanging="357"/>
      </w:pPr>
    </w:lvl>
  </w:abstractNum>
  <w:abstractNum w:abstractNumId="4" w15:restartNumberingAfterBreak="0">
    <w:nsid w:val="13CF1C02"/>
    <w:multiLevelType w:val="multilevel"/>
    <w:tmpl w:val="EC448D7A"/>
    <w:lvl w:ilvl="0">
      <w:start w:val="1"/>
      <w:numFmt w:val="none"/>
      <w:lvlText w:val=""/>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DC41614"/>
    <w:multiLevelType w:val="multilevel"/>
    <w:tmpl w:val="56767712"/>
    <w:lvl w:ilvl="0">
      <w:start w:val="1"/>
      <w:numFmt w:val="decimal"/>
      <w:lvlRestart w:val="0"/>
      <w:pStyle w:val="Heading1NoNumbering"/>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decimal"/>
      <w:lvlText w:val="%3."/>
      <w:lvlJc w:val="left"/>
      <w:pPr>
        <w:tabs>
          <w:tab w:val="num" w:pos="1440"/>
        </w:tabs>
        <w:ind w:left="1440" w:hanging="357"/>
      </w:pPr>
      <w:rPr>
        <w:rFonts w:hint="default"/>
      </w:rPr>
    </w:lvl>
    <w:lvl w:ilvl="3">
      <w:start w:val="1"/>
      <w:numFmt w:val="decimal"/>
      <w:lvlText w:val="%4."/>
      <w:lvlJc w:val="left"/>
      <w:pPr>
        <w:tabs>
          <w:tab w:val="num" w:pos="1803"/>
        </w:tabs>
        <w:ind w:left="1803" w:hanging="363"/>
      </w:pPr>
      <w:rPr>
        <w:rFonts w:hint="default"/>
      </w:rPr>
    </w:lvl>
    <w:lvl w:ilvl="4">
      <w:start w:val="1"/>
      <w:numFmt w:val="decimal"/>
      <w:lvlText w:val="%5."/>
      <w:lvlJc w:val="left"/>
      <w:pPr>
        <w:tabs>
          <w:tab w:val="num" w:pos="2160"/>
        </w:tabs>
        <w:ind w:left="2160" w:hanging="357"/>
      </w:pPr>
      <w:rPr>
        <w:rFonts w:hint="default"/>
      </w:rPr>
    </w:lvl>
    <w:lvl w:ilvl="5">
      <w:start w:val="1"/>
      <w:numFmt w:val="decimal"/>
      <w:lvlText w:val="%6."/>
      <w:lvlJc w:val="left"/>
      <w:pPr>
        <w:tabs>
          <w:tab w:val="num" w:pos="2523"/>
        </w:tabs>
        <w:ind w:left="2523" w:hanging="363"/>
      </w:pPr>
      <w:rPr>
        <w:rFonts w:hint="default"/>
      </w:rPr>
    </w:lvl>
    <w:lvl w:ilvl="6">
      <w:start w:val="1"/>
      <w:numFmt w:val="decimal"/>
      <w:lvlText w:val="%7."/>
      <w:lvlJc w:val="left"/>
      <w:pPr>
        <w:tabs>
          <w:tab w:val="num" w:pos="2880"/>
        </w:tabs>
        <w:ind w:left="2880" w:hanging="357"/>
      </w:pPr>
      <w:rPr>
        <w:rFonts w:hint="default"/>
      </w:rPr>
    </w:lvl>
    <w:lvl w:ilvl="7">
      <w:start w:val="1"/>
      <w:numFmt w:val="decimal"/>
      <w:lvlText w:val="%8."/>
      <w:lvlJc w:val="left"/>
      <w:pPr>
        <w:tabs>
          <w:tab w:val="num" w:pos="3243"/>
        </w:tabs>
        <w:ind w:left="3243" w:hanging="363"/>
      </w:pPr>
      <w:rPr>
        <w:rFonts w:hint="default"/>
      </w:rPr>
    </w:lvl>
    <w:lvl w:ilvl="8">
      <w:start w:val="1"/>
      <w:numFmt w:val="decimal"/>
      <w:lvlText w:val="%9."/>
      <w:lvlJc w:val="left"/>
      <w:pPr>
        <w:tabs>
          <w:tab w:val="num" w:pos="3600"/>
        </w:tabs>
        <w:ind w:left="3600" w:hanging="357"/>
      </w:pPr>
      <w:rPr>
        <w:rFonts w:hint="default"/>
      </w:rPr>
    </w:lvl>
  </w:abstractNum>
  <w:abstractNum w:abstractNumId="6" w15:restartNumberingAfterBreak="0">
    <w:nsid w:val="24435439"/>
    <w:multiLevelType w:val="hybridMultilevel"/>
    <w:tmpl w:val="D23AB816"/>
    <w:lvl w:ilvl="0" w:tplc="5502847E">
      <w:start w:val="1"/>
      <w:numFmt w:val="bullet"/>
      <w:pStyle w:val="TblTextbulletedlist"/>
      <w:lvlText w:val=""/>
      <w:lvlJc w:val="left"/>
      <w:pPr>
        <w:ind w:left="720" w:hanging="360"/>
      </w:pPr>
      <w:rPr>
        <w:rFonts w:ascii="Symbol" w:hAnsi="Symbol" w:hint="default"/>
      </w:rPr>
    </w:lvl>
    <w:lvl w:ilvl="1" w:tplc="370C2438" w:tentative="1">
      <w:start w:val="1"/>
      <w:numFmt w:val="bullet"/>
      <w:lvlText w:val="o"/>
      <w:lvlJc w:val="left"/>
      <w:pPr>
        <w:ind w:left="1440" w:hanging="360"/>
      </w:pPr>
      <w:rPr>
        <w:rFonts w:ascii="Courier New" w:hAnsi="Courier New" w:cs="Courier New" w:hint="default"/>
      </w:rPr>
    </w:lvl>
    <w:lvl w:ilvl="2" w:tplc="E930897A" w:tentative="1">
      <w:start w:val="1"/>
      <w:numFmt w:val="bullet"/>
      <w:lvlText w:val=""/>
      <w:lvlJc w:val="left"/>
      <w:pPr>
        <w:ind w:left="2160" w:hanging="360"/>
      </w:pPr>
      <w:rPr>
        <w:rFonts w:ascii="Wingdings" w:hAnsi="Wingdings" w:hint="default"/>
      </w:rPr>
    </w:lvl>
    <w:lvl w:ilvl="3" w:tplc="76B4614C" w:tentative="1">
      <w:start w:val="1"/>
      <w:numFmt w:val="bullet"/>
      <w:lvlText w:val=""/>
      <w:lvlJc w:val="left"/>
      <w:pPr>
        <w:ind w:left="2880" w:hanging="360"/>
      </w:pPr>
      <w:rPr>
        <w:rFonts w:ascii="Symbol" w:hAnsi="Symbol" w:hint="default"/>
      </w:rPr>
    </w:lvl>
    <w:lvl w:ilvl="4" w:tplc="00786ED0" w:tentative="1">
      <w:start w:val="1"/>
      <w:numFmt w:val="bullet"/>
      <w:lvlText w:val="o"/>
      <w:lvlJc w:val="left"/>
      <w:pPr>
        <w:ind w:left="3600" w:hanging="360"/>
      </w:pPr>
      <w:rPr>
        <w:rFonts w:ascii="Courier New" w:hAnsi="Courier New" w:cs="Courier New" w:hint="default"/>
      </w:rPr>
    </w:lvl>
    <w:lvl w:ilvl="5" w:tplc="947E47E6" w:tentative="1">
      <w:start w:val="1"/>
      <w:numFmt w:val="bullet"/>
      <w:lvlText w:val=""/>
      <w:lvlJc w:val="left"/>
      <w:pPr>
        <w:ind w:left="4320" w:hanging="360"/>
      </w:pPr>
      <w:rPr>
        <w:rFonts w:ascii="Wingdings" w:hAnsi="Wingdings" w:hint="default"/>
      </w:rPr>
    </w:lvl>
    <w:lvl w:ilvl="6" w:tplc="96886092" w:tentative="1">
      <w:start w:val="1"/>
      <w:numFmt w:val="bullet"/>
      <w:lvlText w:val=""/>
      <w:lvlJc w:val="left"/>
      <w:pPr>
        <w:ind w:left="5040" w:hanging="360"/>
      </w:pPr>
      <w:rPr>
        <w:rFonts w:ascii="Symbol" w:hAnsi="Symbol" w:hint="default"/>
      </w:rPr>
    </w:lvl>
    <w:lvl w:ilvl="7" w:tplc="5496963A" w:tentative="1">
      <w:start w:val="1"/>
      <w:numFmt w:val="bullet"/>
      <w:lvlText w:val="o"/>
      <w:lvlJc w:val="left"/>
      <w:pPr>
        <w:ind w:left="5760" w:hanging="360"/>
      </w:pPr>
      <w:rPr>
        <w:rFonts w:ascii="Courier New" w:hAnsi="Courier New" w:cs="Courier New" w:hint="default"/>
      </w:rPr>
    </w:lvl>
    <w:lvl w:ilvl="8" w:tplc="B4B041D0" w:tentative="1">
      <w:start w:val="1"/>
      <w:numFmt w:val="bullet"/>
      <w:lvlText w:val=""/>
      <w:lvlJc w:val="left"/>
      <w:pPr>
        <w:ind w:left="6480" w:hanging="360"/>
      </w:pPr>
      <w:rPr>
        <w:rFonts w:ascii="Wingdings" w:hAnsi="Wingdings" w:hint="default"/>
      </w:rPr>
    </w:lvl>
  </w:abstractNum>
  <w:abstractNum w:abstractNumId="7" w15:restartNumberingAfterBreak="0">
    <w:nsid w:val="2E4D086B"/>
    <w:multiLevelType w:val="multilevel"/>
    <w:tmpl w:val="98FEE14A"/>
    <w:lvl w:ilvl="0">
      <w:start w:val="1"/>
      <w:numFmt w:val="upperLetter"/>
      <w:lvlRestart w:val="0"/>
      <w:lvlText w:val="%1)"/>
      <w:lvlJc w:val="left"/>
      <w:pPr>
        <w:tabs>
          <w:tab w:val="num" w:pos="720"/>
        </w:tabs>
        <w:ind w:left="720" w:hanging="357"/>
      </w:pPr>
    </w:lvl>
    <w:lvl w:ilvl="1">
      <w:start w:val="1"/>
      <w:numFmt w:val="upperLetter"/>
      <w:lvlText w:val="%2)"/>
      <w:lvlJc w:val="left"/>
      <w:pPr>
        <w:tabs>
          <w:tab w:val="num" w:pos="1083"/>
        </w:tabs>
        <w:ind w:left="1083" w:hanging="363"/>
      </w:pPr>
    </w:lvl>
    <w:lvl w:ilvl="2">
      <w:start w:val="1"/>
      <w:numFmt w:val="upperLetter"/>
      <w:lvlText w:val="%3)"/>
      <w:lvlJc w:val="left"/>
      <w:pPr>
        <w:tabs>
          <w:tab w:val="num" w:pos="1440"/>
        </w:tabs>
        <w:ind w:left="1440" w:hanging="357"/>
      </w:pPr>
    </w:lvl>
    <w:lvl w:ilvl="3">
      <w:start w:val="1"/>
      <w:numFmt w:val="upperLetter"/>
      <w:lvlText w:val="%4)"/>
      <w:lvlJc w:val="left"/>
      <w:pPr>
        <w:tabs>
          <w:tab w:val="num" w:pos="1803"/>
        </w:tabs>
        <w:ind w:left="1803" w:hanging="363"/>
      </w:pPr>
    </w:lvl>
    <w:lvl w:ilvl="4">
      <w:start w:val="1"/>
      <w:numFmt w:val="upperLetter"/>
      <w:lvlText w:val="%5)"/>
      <w:lvlJc w:val="left"/>
      <w:pPr>
        <w:tabs>
          <w:tab w:val="num" w:pos="2160"/>
        </w:tabs>
        <w:ind w:left="2160" w:hanging="357"/>
      </w:pPr>
    </w:lvl>
    <w:lvl w:ilvl="5">
      <w:start w:val="1"/>
      <w:numFmt w:val="upperLetter"/>
      <w:lvlText w:val="%6)"/>
      <w:lvlJc w:val="left"/>
      <w:pPr>
        <w:tabs>
          <w:tab w:val="num" w:pos="2523"/>
        </w:tabs>
        <w:ind w:left="2523" w:hanging="363"/>
      </w:pPr>
    </w:lvl>
    <w:lvl w:ilvl="6">
      <w:start w:val="1"/>
      <w:numFmt w:val="upperLetter"/>
      <w:lvlText w:val="%7)"/>
      <w:lvlJc w:val="left"/>
      <w:pPr>
        <w:tabs>
          <w:tab w:val="num" w:pos="2880"/>
        </w:tabs>
        <w:ind w:left="2880" w:hanging="357"/>
      </w:pPr>
    </w:lvl>
    <w:lvl w:ilvl="7">
      <w:start w:val="1"/>
      <w:numFmt w:val="upperLetter"/>
      <w:lvlText w:val="%8)"/>
      <w:lvlJc w:val="left"/>
      <w:pPr>
        <w:tabs>
          <w:tab w:val="num" w:pos="3243"/>
        </w:tabs>
        <w:ind w:left="3243" w:hanging="363"/>
      </w:pPr>
    </w:lvl>
    <w:lvl w:ilvl="8">
      <w:start w:val="1"/>
      <w:numFmt w:val="upperLetter"/>
      <w:lvlText w:val="%8)"/>
      <w:lvlJc w:val="left"/>
      <w:pPr>
        <w:tabs>
          <w:tab w:val="num" w:pos="3600"/>
        </w:tabs>
        <w:ind w:left="3600" w:hanging="357"/>
      </w:pPr>
    </w:lvl>
  </w:abstractNum>
  <w:abstractNum w:abstractNumId="8" w15:restartNumberingAfterBreak="0">
    <w:nsid w:val="36A76F60"/>
    <w:multiLevelType w:val="multilevel"/>
    <w:tmpl w:val="C71ABB6C"/>
    <w:lvl w:ilvl="0">
      <w:start w:val="1"/>
      <w:numFmt w:val="bullet"/>
      <w:lvlRestart w:val="0"/>
      <w:lvlText w:val="-"/>
      <w:lvlJc w:val="left"/>
      <w:pPr>
        <w:tabs>
          <w:tab w:val="num" w:pos="1083"/>
        </w:tabs>
        <w:ind w:left="1083" w:hanging="363"/>
      </w:pPr>
      <w:rPr>
        <w:rFonts w:ascii="Times New Roman" w:hAnsi="Times New Roman" w:cs="Times New Roman" w:hint="default"/>
      </w:rPr>
    </w:lvl>
    <w:lvl w:ilvl="1">
      <w:start w:val="1"/>
      <w:numFmt w:val="bullet"/>
      <w:lvlText w:val="-"/>
      <w:lvlJc w:val="left"/>
      <w:pPr>
        <w:tabs>
          <w:tab w:val="num" w:pos="1440"/>
        </w:tabs>
        <w:ind w:left="1440" w:hanging="357"/>
      </w:pPr>
      <w:rPr>
        <w:rFonts w:ascii="Times New Roman" w:hAnsi="Times New Roman" w:cs="Times New Roman" w:hint="default"/>
      </w:rPr>
    </w:lvl>
    <w:lvl w:ilvl="2">
      <w:start w:val="1"/>
      <w:numFmt w:val="bullet"/>
      <w:lvlText w:val="-"/>
      <w:lvlJc w:val="left"/>
      <w:pPr>
        <w:tabs>
          <w:tab w:val="num" w:pos="1803"/>
        </w:tabs>
        <w:ind w:left="1803" w:hanging="363"/>
      </w:pPr>
      <w:rPr>
        <w:rFonts w:ascii="Times New Roman" w:hAnsi="Times New Roman" w:cs="Times New Roman" w:hint="default"/>
      </w:rPr>
    </w:lvl>
    <w:lvl w:ilvl="3">
      <w:start w:val="1"/>
      <w:numFmt w:val="bullet"/>
      <w:lvlText w:val="-"/>
      <w:lvlJc w:val="left"/>
      <w:pPr>
        <w:tabs>
          <w:tab w:val="num" w:pos="2160"/>
        </w:tabs>
        <w:ind w:left="2160" w:hanging="357"/>
      </w:pPr>
      <w:rPr>
        <w:rFonts w:ascii="Times New Roman" w:hAnsi="Times New Roman" w:cs="Times New Roman" w:hint="default"/>
      </w:rPr>
    </w:lvl>
    <w:lvl w:ilvl="4">
      <w:start w:val="1"/>
      <w:numFmt w:val="bullet"/>
      <w:lvlText w:val="-"/>
      <w:lvlJc w:val="left"/>
      <w:pPr>
        <w:tabs>
          <w:tab w:val="num" w:pos="2523"/>
        </w:tabs>
        <w:ind w:left="2523" w:hanging="363"/>
      </w:pPr>
      <w:rPr>
        <w:rFonts w:ascii="Times New Roman" w:hAnsi="Times New Roman" w:cs="Times New Roman" w:hint="default"/>
      </w:rPr>
    </w:lvl>
    <w:lvl w:ilvl="5">
      <w:start w:val="1"/>
      <w:numFmt w:val="bullet"/>
      <w:lvlText w:val="-"/>
      <w:lvlJc w:val="left"/>
      <w:pPr>
        <w:tabs>
          <w:tab w:val="num" w:pos="2880"/>
        </w:tabs>
        <w:ind w:left="2880" w:hanging="357"/>
      </w:pPr>
      <w:rPr>
        <w:rFonts w:ascii="Times New Roman" w:hAnsi="Times New Roman" w:cs="Times New Roman" w:hint="default"/>
      </w:rPr>
    </w:lvl>
    <w:lvl w:ilvl="6">
      <w:start w:val="1"/>
      <w:numFmt w:val="bullet"/>
      <w:lvlText w:val="-"/>
      <w:lvlJc w:val="left"/>
      <w:pPr>
        <w:tabs>
          <w:tab w:val="num" w:pos="3243"/>
        </w:tabs>
        <w:ind w:left="3243" w:hanging="363"/>
      </w:pPr>
      <w:rPr>
        <w:rFonts w:ascii="Times New Roman" w:hAnsi="Times New Roman" w:cs="Times New Roman" w:hint="default"/>
      </w:rPr>
    </w:lvl>
    <w:lvl w:ilvl="7">
      <w:start w:val="1"/>
      <w:numFmt w:val="bullet"/>
      <w:lvlText w:val="-"/>
      <w:lvlJc w:val="left"/>
      <w:pPr>
        <w:tabs>
          <w:tab w:val="num" w:pos="3600"/>
        </w:tabs>
        <w:ind w:left="3600" w:hanging="357"/>
      </w:pPr>
      <w:rPr>
        <w:rFonts w:ascii="Times New Roman" w:hAnsi="Times New Roman" w:cs="Times New Roman" w:hint="default"/>
      </w:rPr>
    </w:lvl>
    <w:lvl w:ilvl="8">
      <w:start w:val="1"/>
      <w:numFmt w:val="bullet"/>
      <w:lvlText w:val="-"/>
      <w:lvlJc w:val="left"/>
      <w:pPr>
        <w:tabs>
          <w:tab w:val="num" w:pos="3957"/>
        </w:tabs>
        <w:ind w:left="3957" w:hanging="357"/>
      </w:pPr>
      <w:rPr>
        <w:rFonts w:ascii="Times New Roman" w:hAnsi="Times New Roman" w:cs="Times New Roman" w:hint="default"/>
      </w:rPr>
    </w:lvl>
  </w:abstractNum>
  <w:abstractNum w:abstractNumId="9" w15:restartNumberingAfterBreak="0">
    <w:nsid w:val="37172DAE"/>
    <w:multiLevelType w:val="multilevel"/>
    <w:tmpl w:val="1BCA8AB6"/>
    <w:name w:val="LT_Number List Inclusion"/>
    <w:lvl w:ilvl="0">
      <w:start w:val="1"/>
      <w:numFmt w:val="decimalZero"/>
      <w:lvlRestart w:val="0"/>
      <w:pStyle w:val="NumberListInclusion"/>
      <w:lvlText w:val="I %1."/>
      <w:lvlJc w:val="left"/>
      <w:pPr>
        <w:tabs>
          <w:tab w:val="num" w:pos="691"/>
        </w:tabs>
        <w:ind w:left="691" w:hanging="691"/>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8B4D5B"/>
    <w:multiLevelType w:val="hybridMultilevel"/>
    <w:tmpl w:val="AC0E0E38"/>
    <w:lvl w:ilvl="0" w:tplc="0830539E">
      <w:start w:val="1"/>
      <w:numFmt w:val="bullet"/>
      <w:lvlText w:val=""/>
      <w:lvlJc w:val="left"/>
      <w:pPr>
        <w:tabs>
          <w:tab w:val="num" w:pos="720"/>
        </w:tabs>
        <w:ind w:left="720" w:hanging="360"/>
      </w:pPr>
      <w:rPr>
        <w:rFonts w:ascii="Symbol" w:hAnsi="Symbol" w:hint="default"/>
      </w:rPr>
    </w:lvl>
    <w:lvl w:ilvl="1" w:tplc="6248F3E6" w:tentative="1">
      <w:start w:val="1"/>
      <w:numFmt w:val="bullet"/>
      <w:lvlText w:val="o"/>
      <w:lvlJc w:val="left"/>
      <w:pPr>
        <w:tabs>
          <w:tab w:val="num" w:pos="1440"/>
        </w:tabs>
        <w:ind w:left="1440" w:hanging="360"/>
      </w:pPr>
      <w:rPr>
        <w:rFonts w:ascii="Courier New" w:hAnsi="Courier New" w:cs="Courier New" w:hint="default"/>
      </w:rPr>
    </w:lvl>
    <w:lvl w:ilvl="2" w:tplc="62F6120E" w:tentative="1">
      <w:start w:val="1"/>
      <w:numFmt w:val="bullet"/>
      <w:lvlText w:val=""/>
      <w:lvlJc w:val="left"/>
      <w:pPr>
        <w:tabs>
          <w:tab w:val="num" w:pos="2160"/>
        </w:tabs>
        <w:ind w:left="2160" w:hanging="360"/>
      </w:pPr>
      <w:rPr>
        <w:rFonts w:ascii="Wingdings" w:hAnsi="Wingdings" w:hint="default"/>
      </w:rPr>
    </w:lvl>
    <w:lvl w:ilvl="3" w:tplc="1E04F8A8" w:tentative="1">
      <w:start w:val="1"/>
      <w:numFmt w:val="bullet"/>
      <w:lvlText w:val=""/>
      <w:lvlJc w:val="left"/>
      <w:pPr>
        <w:tabs>
          <w:tab w:val="num" w:pos="2880"/>
        </w:tabs>
        <w:ind w:left="2880" w:hanging="360"/>
      </w:pPr>
      <w:rPr>
        <w:rFonts w:ascii="Symbol" w:hAnsi="Symbol" w:hint="default"/>
      </w:rPr>
    </w:lvl>
    <w:lvl w:ilvl="4" w:tplc="FE46869A" w:tentative="1">
      <w:start w:val="1"/>
      <w:numFmt w:val="bullet"/>
      <w:lvlText w:val="o"/>
      <w:lvlJc w:val="left"/>
      <w:pPr>
        <w:tabs>
          <w:tab w:val="num" w:pos="3600"/>
        </w:tabs>
        <w:ind w:left="3600" w:hanging="360"/>
      </w:pPr>
      <w:rPr>
        <w:rFonts w:ascii="Courier New" w:hAnsi="Courier New" w:cs="Courier New" w:hint="default"/>
      </w:rPr>
    </w:lvl>
    <w:lvl w:ilvl="5" w:tplc="587AA802" w:tentative="1">
      <w:start w:val="1"/>
      <w:numFmt w:val="bullet"/>
      <w:lvlText w:val=""/>
      <w:lvlJc w:val="left"/>
      <w:pPr>
        <w:tabs>
          <w:tab w:val="num" w:pos="4320"/>
        </w:tabs>
        <w:ind w:left="4320" w:hanging="360"/>
      </w:pPr>
      <w:rPr>
        <w:rFonts w:ascii="Wingdings" w:hAnsi="Wingdings" w:hint="default"/>
      </w:rPr>
    </w:lvl>
    <w:lvl w:ilvl="6" w:tplc="00C03100" w:tentative="1">
      <w:start w:val="1"/>
      <w:numFmt w:val="bullet"/>
      <w:lvlText w:val=""/>
      <w:lvlJc w:val="left"/>
      <w:pPr>
        <w:tabs>
          <w:tab w:val="num" w:pos="5040"/>
        </w:tabs>
        <w:ind w:left="5040" w:hanging="360"/>
      </w:pPr>
      <w:rPr>
        <w:rFonts w:ascii="Symbol" w:hAnsi="Symbol" w:hint="default"/>
      </w:rPr>
    </w:lvl>
    <w:lvl w:ilvl="7" w:tplc="4F5A7ED6" w:tentative="1">
      <w:start w:val="1"/>
      <w:numFmt w:val="bullet"/>
      <w:lvlText w:val="o"/>
      <w:lvlJc w:val="left"/>
      <w:pPr>
        <w:tabs>
          <w:tab w:val="num" w:pos="5760"/>
        </w:tabs>
        <w:ind w:left="5760" w:hanging="360"/>
      </w:pPr>
      <w:rPr>
        <w:rFonts w:ascii="Courier New" w:hAnsi="Courier New" w:cs="Courier New" w:hint="default"/>
      </w:rPr>
    </w:lvl>
    <w:lvl w:ilvl="8" w:tplc="523AE44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B342EF"/>
    <w:multiLevelType w:val="hybridMultilevel"/>
    <w:tmpl w:val="27844E7A"/>
    <w:lvl w:ilvl="0" w:tplc="1E6CA02C">
      <w:start w:val="1"/>
      <w:numFmt w:val="decimal"/>
      <w:lvlText w:val="%1."/>
      <w:lvlJc w:val="left"/>
      <w:pPr>
        <w:ind w:left="723" w:hanging="360"/>
      </w:pPr>
      <w:rPr>
        <w:rFonts w:hint="default"/>
      </w:rPr>
    </w:lvl>
    <w:lvl w:ilvl="1" w:tplc="0C090019" w:tentative="1">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12" w15:restartNumberingAfterBreak="0">
    <w:nsid w:val="469A4A34"/>
    <w:multiLevelType w:val="multilevel"/>
    <w:tmpl w:val="F78C3682"/>
    <w:name w:val="LT_Number List Exclusion"/>
    <w:lvl w:ilvl="0">
      <w:start w:val="1"/>
      <w:numFmt w:val="decimalZero"/>
      <w:lvlRestart w:val="0"/>
      <w:pStyle w:val="NumberListExclusion"/>
      <w:lvlText w:val="E %1."/>
      <w:lvlJc w:val="left"/>
      <w:pPr>
        <w:tabs>
          <w:tab w:val="num" w:pos="691"/>
        </w:tabs>
        <w:ind w:left="691" w:hanging="691"/>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7507084"/>
    <w:multiLevelType w:val="hybridMultilevel"/>
    <w:tmpl w:val="B916056E"/>
    <w:lvl w:ilvl="0" w:tplc="04070001">
      <w:start w:val="1"/>
      <w:numFmt w:val="bullet"/>
      <w:pStyle w:val="ListNumbered"/>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C225032"/>
    <w:multiLevelType w:val="hybridMultilevel"/>
    <w:tmpl w:val="87D8CFC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331808"/>
    <w:multiLevelType w:val="multilevel"/>
    <w:tmpl w:val="F1BEA42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38F30D2"/>
    <w:multiLevelType w:val="multilevel"/>
    <w:tmpl w:val="A972EB7E"/>
    <w:lvl w:ilvl="0">
      <w:start w:val="1"/>
      <w:numFmt w:val="bullet"/>
      <w:lvlRestart w:val="0"/>
      <w:pStyle w:val="ListBulletLevel1"/>
      <w:lvlText w:val=""/>
      <w:lvlJc w:val="left"/>
      <w:pPr>
        <w:tabs>
          <w:tab w:val="num" w:pos="720"/>
        </w:tabs>
        <w:ind w:left="720" w:hanging="357"/>
      </w:pPr>
      <w:rPr>
        <w:rFonts w:ascii="Symbol" w:hAnsi="Symbol" w:hint="default"/>
      </w:rPr>
    </w:lvl>
    <w:lvl w:ilvl="1">
      <w:start w:val="1"/>
      <w:numFmt w:val="bullet"/>
      <w:lvlText w:val=""/>
      <w:lvlJc w:val="left"/>
      <w:pPr>
        <w:tabs>
          <w:tab w:val="num" w:pos="1083"/>
        </w:tabs>
        <w:ind w:left="1083" w:hanging="363"/>
      </w:pPr>
      <w:rPr>
        <w:rFonts w:ascii="Symbol" w:hAnsi="Symbol" w:hint="default"/>
      </w:rPr>
    </w:lvl>
    <w:lvl w:ilvl="2">
      <w:start w:val="1"/>
      <w:numFmt w:val="bullet"/>
      <w:lvlText w:val=""/>
      <w:lvlJc w:val="left"/>
      <w:pPr>
        <w:tabs>
          <w:tab w:val="num" w:pos="1440"/>
        </w:tabs>
        <w:ind w:left="1440" w:hanging="357"/>
      </w:pPr>
      <w:rPr>
        <w:rFonts w:ascii="Symbol" w:hAnsi="Symbol" w:hint="default"/>
      </w:rPr>
    </w:lvl>
    <w:lvl w:ilvl="3">
      <w:start w:val="1"/>
      <w:numFmt w:val="bullet"/>
      <w:lvlText w:val=""/>
      <w:lvlJc w:val="left"/>
      <w:pPr>
        <w:tabs>
          <w:tab w:val="num" w:pos="1803"/>
        </w:tabs>
        <w:ind w:left="1803" w:hanging="363"/>
      </w:pPr>
      <w:rPr>
        <w:rFonts w:ascii="Symbol" w:hAnsi="Symbol" w:hint="default"/>
      </w:rPr>
    </w:lvl>
    <w:lvl w:ilvl="4">
      <w:start w:val="1"/>
      <w:numFmt w:val="bullet"/>
      <w:lvlText w:val=""/>
      <w:lvlJc w:val="left"/>
      <w:pPr>
        <w:tabs>
          <w:tab w:val="num" w:pos="2160"/>
        </w:tabs>
        <w:ind w:left="2160" w:hanging="357"/>
      </w:pPr>
      <w:rPr>
        <w:rFonts w:ascii="Symbol" w:hAnsi="Symbol" w:hint="default"/>
      </w:rPr>
    </w:lvl>
    <w:lvl w:ilvl="5">
      <w:start w:val="1"/>
      <w:numFmt w:val="bullet"/>
      <w:lvlText w:val=""/>
      <w:lvlJc w:val="left"/>
      <w:pPr>
        <w:tabs>
          <w:tab w:val="num" w:pos="2523"/>
        </w:tabs>
        <w:ind w:left="2523" w:hanging="363"/>
      </w:pPr>
      <w:rPr>
        <w:rFonts w:ascii="Symbol" w:hAnsi="Symbol" w:hint="default"/>
      </w:rPr>
    </w:lvl>
    <w:lvl w:ilvl="6">
      <w:start w:val="1"/>
      <w:numFmt w:val="bullet"/>
      <w:lvlText w:val=""/>
      <w:lvlJc w:val="left"/>
      <w:pPr>
        <w:tabs>
          <w:tab w:val="num" w:pos="2880"/>
        </w:tabs>
        <w:ind w:left="2880" w:hanging="357"/>
      </w:pPr>
      <w:rPr>
        <w:rFonts w:ascii="Symbol" w:hAnsi="Symbol" w:hint="default"/>
      </w:rPr>
    </w:lvl>
    <w:lvl w:ilvl="7">
      <w:start w:val="1"/>
      <w:numFmt w:val="bullet"/>
      <w:lvlText w:val=""/>
      <w:lvlJc w:val="left"/>
      <w:pPr>
        <w:tabs>
          <w:tab w:val="num" w:pos="3243"/>
        </w:tabs>
        <w:ind w:left="3243" w:hanging="363"/>
      </w:pPr>
      <w:rPr>
        <w:rFonts w:ascii="Symbol" w:hAnsi="Symbol" w:hint="default"/>
      </w:rPr>
    </w:lvl>
    <w:lvl w:ilvl="8">
      <w:start w:val="1"/>
      <w:numFmt w:val="bullet"/>
      <w:lvlText w:val=""/>
      <w:lvlJc w:val="left"/>
      <w:pPr>
        <w:tabs>
          <w:tab w:val="num" w:pos="3600"/>
        </w:tabs>
        <w:ind w:left="3600" w:hanging="357"/>
      </w:pPr>
      <w:rPr>
        <w:rFonts w:ascii="Symbol" w:hAnsi="Symbol" w:hint="default"/>
      </w:rPr>
    </w:lvl>
  </w:abstractNum>
  <w:abstractNum w:abstractNumId="17"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76F49FC"/>
    <w:multiLevelType w:val="hybridMultilevel"/>
    <w:tmpl w:val="76C6F65E"/>
    <w:lvl w:ilvl="0" w:tplc="C9DC9CF0">
      <w:start w:val="1"/>
      <w:numFmt w:val="bullet"/>
      <w:lvlText w:val=""/>
      <w:lvlJc w:val="left"/>
      <w:pPr>
        <w:ind w:left="720" w:hanging="360"/>
      </w:pPr>
      <w:rPr>
        <w:rFonts w:ascii="Symbol" w:hAnsi="Symbol" w:hint="default"/>
      </w:rPr>
    </w:lvl>
    <w:lvl w:ilvl="1" w:tplc="3F86707C" w:tentative="1">
      <w:start w:val="1"/>
      <w:numFmt w:val="bullet"/>
      <w:lvlText w:val="o"/>
      <w:lvlJc w:val="left"/>
      <w:pPr>
        <w:ind w:left="1440" w:hanging="360"/>
      </w:pPr>
      <w:rPr>
        <w:rFonts w:ascii="Courier New" w:hAnsi="Courier New" w:cs="Courier New" w:hint="default"/>
      </w:rPr>
    </w:lvl>
    <w:lvl w:ilvl="2" w:tplc="B3BA8960" w:tentative="1">
      <w:start w:val="1"/>
      <w:numFmt w:val="bullet"/>
      <w:lvlText w:val=""/>
      <w:lvlJc w:val="left"/>
      <w:pPr>
        <w:ind w:left="2160" w:hanging="360"/>
      </w:pPr>
      <w:rPr>
        <w:rFonts w:ascii="Wingdings" w:hAnsi="Wingdings" w:hint="default"/>
      </w:rPr>
    </w:lvl>
    <w:lvl w:ilvl="3" w:tplc="BE961B88" w:tentative="1">
      <w:start w:val="1"/>
      <w:numFmt w:val="bullet"/>
      <w:lvlText w:val=""/>
      <w:lvlJc w:val="left"/>
      <w:pPr>
        <w:ind w:left="2880" w:hanging="360"/>
      </w:pPr>
      <w:rPr>
        <w:rFonts w:ascii="Symbol" w:hAnsi="Symbol" w:hint="default"/>
      </w:rPr>
    </w:lvl>
    <w:lvl w:ilvl="4" w:tplc="74A2CBF4" w:tentative="1">
      <w:start w:val="1"/>
      <w:numFmt w:val="bullet"/>
      <w:lvlText w:val="o"/>
      <w:lvlJc w:val="left"/>
      <w:pPr>
        <w:ind w:left="3600" w:hanging="360"/>
      </w:pPr>
      <w:rPr>
        <w:rFonts w:ascii="Courier New" w:hAnsi="Courier New" w:cs="Courier New" w:hint="default"/>
      </w:rPr>
    </w:lvl>
    <w:lvl w:ilvl="5" w:tplc="E92842FA" w:tentative="1">
      <w:start w:val="1"/>
      <w:numFmt w:val="bullet"/>
      <w:lvlText w:val=""/>
      <w:lvlJc w:val="left"/>
      <w:pPr>
        <w:ind w:left="4320" w:hanging="360"/>
      </w:pPr>
      <w:rPr>
        <w:rFonts w:ascii="Wingdings" w:hAnsi="Wingdings" w:hint="default"/>
      </w:rPr>
    </w:lvl>
    <w:lvl w:ilvl="6" w:tplc="F000C7CE" w:tentative="1">
      <w:start w:val="1"/>
      <w:numFmt w:val="bullet"/>
      <w:lvlText w:val=""/>
      <w:lvlJc w:val="left"/>
      <w:pPr>
        <w:ind w:left="5040" w:hanging="360"/>
      </w:pPr>
      <w:rPr>
        <w:rFonts w:ascii="Symbol" w:hAnsi="Symbol" w:hint="default"/>
      </w:rPr>
    </w:lvl>
    <w:lvl w:ilvl="7" w:tplc="A92EBCAC" w:tentative="1">
      <w:start w:val="1"/>
      <w:numFmt w:val="bullet"/>
      <w:lvlText w:val="o"/>
      <w:lvlJc w:val="left"/>
      <w:pPr>
        <w:ind w:left="5760" w:hanging="360"/>
      </w:pPr>
      <w:rPr>
        <w:rFonts w:ascii="Courier New" w:hAnsi="Courier New" w:cs="Courier New" w:hint="default"/>
      </w:rPr>
    </w:lvl>
    <w:lvl w:ilvl="8" w:tplc="9830E7EC" w:tentative="1">
      <w:start w:val="1"/>
      <w:numFmt w:val="bullet"/>
      <w:lvlText w:val=""/>
      <w:lvlJc w:val="left"/>
      <w:pPr>
        <w:ind w:left="6480" w:hanging="360"/>
      </w:pPr>
      <w:rPr>
        <w:rFonts w:ascii="Wingdings" w:hAnsi="Wingdings" w:hint="default"/>
      </w:rPr>
    </w:lvl>
  </w:abstractNum>
  <w:abstractNum w:abstractNumId="19" w15:restartNumberingAfterBreak="0">
    <w:nsid w:val="67FE48D7"/>
    <w:multiLevelType w:val="multilevel"/>
    <w:tmpl w:val="6AEC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9A63BD"/>
    <w:multiLevelType w:val="hybridMultilevel"/>
    <w:tmpl w:val="1326ED9A"/>
    <w:lvl w:ilvl="0" w:tplc="AFA261E0">
      <w:start w:val="1"/>
      <w:numFmt w:val="bullet"/>
      <w:lvlText w:val=""/>
      <w:lvlJc w:val="left"/>
      <w:pPr>
        <w:tabs>
          <w:tab w:val="num" w:pos="720"/>
        </w:tabs>
        <w:ind w:left="720" w:hanging="360"/>
      </w:pPr>
      <w:rPr>
        <w:rFonts w:ascii="Symbol" w:hAnsi="Symbol" w:hint="default"/>
      </w:rPr>
    </w:lvl>
    <w:lvl w:ilvl="1" w:tplc="54EC4908" w:tentative="1">
      <w:start w:val="1"/>
      <w:numFmt w:val="bullet"/>
      <w:lvlText w:val="o"/>
      <w:lvlJc w:val="left"/>
      <w:pPr>
        <w:tabs>
          <w:tab w:val="num" w:pos="1440"/>
        </w:tabs>
        <w:ind w:left="1440" w:hanging="360"/>
      </w:pPr>
      <w:rPr>
        <w:rFonts w:ascii="Courier New" w:hAnsi="Courier New" w:hint="default"/>
      </w:rPr>
    </w:lvl>
    <w:lvl w:ilvl="2" w:tplc="225C6A38" w:tentative="1">
      <w:start w:val="1"/>
      <w:numFmt w:val="bullet"/>
      <w:lvlText w:val=""/>
      <w:lvlJc w:val="left"/>
      <w:pPr>
        <w:tabs>
          <w:tab w:val="num" w:pos="2160"/>
        </w:tabs>
        <w:ind w:left="2160" w:hanging="360"/>
      </w:pPr>
      <w:rPr>
        <w:rFonts w:ascii="Wingdings" w:hAnsi="Wingdings" w:hint="default"/>
      </w:rPr>
    </w:lvl>
    <w:lvl w:ilvl="3" w:tplc="5D168AE4" w:tentative="1">
      <w:start w:val="1"/>
      <w:numFmt w:val="bullet"/>
      <w:lvlText w:val=""/>
      <w:lvlJc w:val="left"/>
      <w:pPr>
        <w:tabs>
          <w:tab w:val="num" w:pos="2880"/>
        </w:tabs>
        <w:ind w:left="2880" w:hanging="360"/>
      </w:pPr>
      <w:rPr>
        <w:rFonts w:ascii="Symbol" w:hAnsi="Symbol" w:hint="default"/>
      </w:rPr>
    </w:lvl>
    <w:lvl w:ilvl="4" w:tplc="F940A9CA" w:tentative="1">
      <w:start w:val="1"/>
      <w:numFmt w:val="bullet"/>
      <w:lvlText w:val="o"/>
      <w:lvlJc w:val="left"/>
      <w:pPr>
        <w:tabs>
          <w:tab w:val="num" w:pos="3600"/>
        </w:tabs>
        <w:ind w:left="3600" w:hanging="360"/>
      </w:pPr>
      <w:rPr>
        <w:rFonts w:ascii="Courier New" w:hAnsi="Courier New" w:hint="default"/>
      </w:rPr>
    </w:lvl>
    <w:lvl w:ilvl="5" w:tplc="33DC0FEC" w:tentative="1">
      <w:start w:val="1"/>
      <w:numFmt w:val="bullet"/>
      <w:lvlText w:val=""/>
      <w:lvlJc w:val="left"/>
      <w:pPr>
        <w:tabs>
          <w:tab w:val="num" w:pos="4320"/>
        </w:tabs>
        <w:ind w:left="4320" w:hanging="360"/>
      </w:pPr>
      <w:rPr>
        <w:rFonts w:ascii="Wingdings" w:hAnsi="Wingdings" w:hint="default"/>
      </w:rPr>
    </w:lvl>
    <w:lvl w:ilvl="6" w:tplc="19B6ACA8" w:tentative="1">
      <w:start w:val="1"/>
      <w:numFmt w:val="bullet"/>
      <w:lvlText w:val=""/>
      <w:lvlJc w:val="left"/>
      <w:pPr>
        <w:tabs>
          <w:tab w:val="num" w:pos="5040"/>
        </w:tabs>
        <w:ind w:left="5040" w:hanging="360"/>
      </w:pPr>
      <w:rPr>
        <w:rFonts w:ascii="Symbol" w:hAnsi="Symbol" w:hint="default"/>
      </w:rPr>
    </w:lvl>
    <w:lvl w:ilvl="7" w:tplc="3E54848A" w:tentative="1">
      <w:start w:val="1"/>
      <w:numFmt w:val="bullet"/>
      <w:lvlText w:val="o"/>
      <w:lvlJc w:val="left"/>
      <w:pPr>
        <w:tabs>
          <w:tab w:val="num" w:pos="5760"/>
        </w:tabs>
        <w:ind w:left="5760" w:hanging="360"/>
      </w:pPr>
      <w:rPr>
        <w:rFonts w:ascii="Courier New" w:hAnsi="Courier New" w:hint="default"/>
      </w:rPr>
    </w:lvl>
    <w:lvl w:ilvl="8" w:tplc="371EFC3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332797"/>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1192A58"/>
    <w:multiLevelType w:val="multilevel"/>
    <w:tmpl w:val="6EAC5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CE414F"/>
    <w:multiLevelType w:val="hybridMultilevel"/>
    <w:tmpl w:val="99F61858"/>
    <w:lvl w:ilvl="0" w:tplc="81783828">
      <w:start w:val="1"/>
      <w:numFmt w:val="bullet"/>
      <w:lvlText w:val=""/>
      <w:lvlJc w:val="left"/>
      <w:pPr>
        <w:tabs>
          <w:tab w:val="num" w:pos="360"/>
        </w:tabs>
        <w:ind w:left="360" w:hanging="360"/>
      </w:pPr>
      <w:rPr>
        <w:rFonts w:ascii="Symbol" w:hAnsi="Symbol" w:hint="default"/>
      </w:rPr>
    </w:lvl>
    <w:lvl w:ilvl="1" w:tplc="CEEE178E" w:tentative="1">
      <w:start w:val="1"/>
      <w:numFmt w:val="bullet"/>
      <w:lvlText w:val="o"/>
      <w:lvlJc w:val="left"/>
      <w:pPr>
        <w:tabs>
          <w:tab w:val="num" w:pos="1080"/>
        </w:tabs>
        <w:ind w:left="1080" w:hanging="360"/>
      </w:pPr>
      <w:rPr>
        <w:rFonts w:ascii="Courier New" w:hAnsi="Courier New" w:cs="Courier New" w:hint="default"/>
      </w:rPr>
    </w:lvl>
    <w:lvl w:ilvl="2" w:tplc="EC9A8726" w:tentative="1">
      <w:start w:val="1"/>
      <w:numFmt w:val="bullet"/>
      <w:lvlText w:val=""/>
      <w:lvlJc w:val="left"/>
      <w:pPr>
        <w:tabs>
          <w:tab w:val="num" w:pos="1800"/>
        </w:tabs>
        <w:ind w:left="1800" w:hanging="360"/>
      </w:pPr>
      <w:rPr>
        <w:rFonts w:ascii="Wingdings" w:hAnsi="Wingdings" w:hint="default"/>
      </w:rPr>
    </w:lvl>
    <w:lvl w:ilvl="3" w:tplc="67A207C4" w:tentative="1">
      <w:start w:val="1"/>
      <w:numFmt w:val="bullet"/>
      <w:lvlText w:val=""/>
      <w:lvlJc w:val="left"/>
      <w:pPr>
        <w:tabs>
          <w:tab w:val="num" w:pos="2520"/>
        </w:tabs>
        <w:ind w:left="2520" w:hanging="360"/>
      </w:pPr>
      <w:rPr>
        <w:rFonts w:ascii="Symbol" w:hAnsi="Symbol" w:hint="default"/>
      </w:rPr>
    </w:lvl>
    <w:lvl w:ilvl="4" w:tplc="5DC48C82" w:tentative="1">
      <w:start w:val="1"/>
      <w:numFmt w:val="bullet"/>
      <w:lvlText w:val="o"/>
      <w:lvlJc w:val="left"/>
      <w:pPr>
        <w:tabs>
          <w:tab w:val="num" w:pos="3240"/>
        </w:tabs>
        <w:ind w:left="3240" w:hanging="360"/>
      </w:pPr>
      <w:rPr>
        <w:rFonts w:ascii="Courier New" w:hAnsi="Courier New" w:cs="Courier New" w:hint="default"/>
      </w:rPr>
    </w:lvl>
    <w:lvl w:ilvl="5" w:tplc="D3C6CB86" w:tentative="1">
      <w:start w:val="1"/>
      <w:numFmt w:val="bullet"/>
      <w:lvlText w:val=""/>
      <w:lvlJc w:val="left"/>
      <w:pPr>
        <w:tabs>
          <w:tab w:val="num" w:pos="3960"/>
        </w:tabs>
        <w:ind w:left="3960" w:hanging="360"/>
      </w:pPr>
      <w:rPr>
        <w:rFonts w:ascii="Wingdings" w:hAnsi="Wingdings" w:hint="default"/>
      </w:rPr>
    </w:lvl>
    <w:lvl w:ilvl="6" w:tplc="6ED6659C" w:tentative="1">
      <w:start w:val="1"/>
      <w:numFmt w:val="bullet"/>
      <w:lvlText w:val=""/>
      <w:lvlJc w:val="left"/>
      <w:pPr>
        <w:tabs>
          <w:tab w:val="num" w:pos="4680"/>
        </w:tabs>
        <w:ind w:left="4680" w:hanging="360"/>
      </w:pPr>
      <w:rPr>
        <w:rFonts w:ascii="Symbol" w:hAnsi="Symbol" w:hint="default"/>
      </w:rPr>
    </w:lvl>
    <w:lvl w:ilvl="7" w:tplc="A546F67C" w:tentative="1">
      <w:start w:val="1"/>
      <w:numFmt w:val="bullet"/>
      <w:lvlText w:val="o"/>
      <w:lvlJc w:val="left"/>
      <w:pPr>
        <w:tabs>
          <w:tab w:val="num" w:pos="5400"/>
        </w:tabs>
        <w:ind w:left="5400" w:hanging="360"/>
      </w:pPr>
      <w:rPr>
        <w:rFonts w:ascii="Courier New" w:hAnsi="Courier New" w:cs="Courier New" w:hint="default"/>
      </w:rPr>
    </w:lvl>
    <w:lvl w:ilvl="8" w:tplc="7A42A37E"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2613446"/>
    <w:multiLevelType w:val="hybridMultilevel"/>
    <w:tmpl w:val="D384F4F4"/>
    <w:lvl w:ilvl="0" w:tplc="ED465E08">
      <w:start w:val="1"/>
      <w:numFmt w:val="bullet"/>
      <w:pStyle w:val="List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311220D"/>
    <w:multiLevelType w:val="multilevel"/>
    <w:tmpl w:val="AB4CF200"/>
    <w:lvl w:ilvl="0">
      <w:start w:val="1"/>
      <w:numFmt w:val="bullet"/>
      <w:lvlRestart w:val="0"/>
      <w:pStyle w:val="ListBulletLevel2"/>
      <w:lvlText w:val="-"/>
      <w:lvlJc w:val="left"/>
      <w:pPr>
        <w:tabs>
          <w:tab w:val="num" w:pos="1083"/>
        </w:tabs>
        <w:ind w:left="1083" w:hanging="363"/>
      </w:pPr>
      <w:rPr>
        <w:rFonts w:ascii="Times New Roman" w:hAnsi="Times New Roman" w:cs="Times New Roman" w:hint="default"/>
      </w:rPr>
    </w:lvl>
    <w:lvl w:ilvl="1">
      <w:start w:val="1"/>
      <w:numFmt w:val="bullet"/>
      <w:lvlText w:val="-"/>
      <w:lvlJc w:val="left"/>
      <w:pPr>
        <w:tabs>
          <w:tab w:val="num" w:pos="1440"/>
        </w:tabs>
        <w:ind w:left="1440" w:hanging="357"/>
      </w:pPr>
      <w:rPr>
        <w:rFonts w:ascii="Times New Roman" w:hAnsi="Times New Roman" w:cs="Times New Roman" w:hint="default"/>
      </w:rPr>
    </w:lvl>
    <w:lvl w:ilvl="2">
      <w:start w:val="1"/>
      <w:numFmt w:val="bullet"/>
      <w:lvlText w:val="-"/>
      <w:lvlJc w:val="left"/>
      <w:pPr>
        <w:tabs>
          <w:tab w:val="num" w:pos="1803"/>
        </w:tabs>
        <w:ind w:left="1803" w:hanging="363"/>
      </w:pPr>
      <w:rPr>
        <w:rFonts w:ascii="Times New Roman" w:hAnsi="Times New Roman" w:cs="Times New Roman" w:hint="default"/>
      </w:rPr>
    </w:lvl>
    <w:lvl w:ilvl="3">
      <w:start w:val="1"/>
      <w:numFmt w:val="bullet"/>
      <w:lvlText w:val="-"/>
      <w:lvlJc w:val="left"/>
      <w:pPr>
        <w:tabs>
          <w:tab w:val="num" w:pos="2160"/>
        </w:tabs>
        <w:ind w:left="2160" w:hanging="357"/>
      </w:pPr>
      <w:rPr>
        <w:rFonts w:ascii="Times New Roman" w:hAnsi="Times New Roman" w:cs="Times New Roman" w:hint="default"/>
      </w:rPr>
    </w:lvl>
    <w:lvl w:ilvl="4">
      <w:start w:val="1"/>
      <w:numFmt w:val="bullet"/>
      <w:lvlText w:val="-"/>
      <w:lvlJc w:val="left"/>
      <w:pPr>
        <w:tabs>
          <w:tab w:val="num" w:pos="2523"/>
        </w:tabs>
        <w:ind w:left="2523" w:hanging="363"/>
      </w:pPr>
      <w:rPr>
        <w:rFonts w:ascii="Times New Roman" w:hAnsi="Times New Roman" w:cs="Times New Roman" w:hint="default"/>
      </w:rPr>
    </w:lvl>
    <w:lvl w:ilvl="5">
      <w:start w:val="1"/>
      <w:numFmt w:val="bullet"/>
      <w:lvlText w:val="-"/>
      <w:lvlJc w:val="left"/>
      <w:pPr>
        <w:tabs>
          <w:tab w:val="num" w:pos="2880"/>
        </w:tabs>
        <w:ind w:left="2880" w:hanging="357"/>
      </w:pPr>
      <w:rPr>
        <w:rFonts w:ascii="Times New Roman" w:hAnsi="Times New Roman" w:cs="Times New Roman" w:hint="default"/>
      </w:rPr>
    </w:lvl>
    <w:lvl w:ilvl="6">
      <w:start w:val="1"/>
      <w:numFmt w:val="bullet"/>
      <w:lvlText w:val="-"/>
      <w:lvlJc w:val="left"/>
      <w:pPr>
        <w:tabs>
          <w:tab w:val="num" w:pos="3243"/>
        </w:tabs>
        <w:ind w:left="3243" w:hanging="363"/>
      </w:pPr>
      <w:rPr>
        <w:rFonts w:ascii="Times New Roman" w:hAnsi="Times New Roman" w:cs="Times New Roman" w:hint="default"/>
      </w:rPr>
    </w:lvl>
    <w:lvl w:ilvl="7">
      <w:start w:val="1"/>
      <w:numFmt w:val="bullet"/>
      <w:lvlText w:val="-"/>
      <w:lvlJc w:val="left"/>
      <w:pPr>
        <w:tabs>
          <w:tab w:val="num" w:pos="3600"/>
        </w:tabs>
        <w:ind w:left="3600" w:hanging="357"/>
      </w:pPr>
      <w:rPr>
        <w:rFonts w:ascii="Times New Roman" w:hAnsi="Times New Roman" w:cs="Times New Roman" w:hint="default"/>
      </w:rPr>
    </w:lvl>
    <w:lvl w:ilvl="8">
      <w:start w:val="1"/>
      <w:numFmt w:val="bullet"/>
      <w:lvlText w:val="-"/>
      <w:lvlJc w:val="left"/>
      <w:pPr>
        <w:tabs>
          <w:tab w:val="num" w:pos="3957"/>
        </w:tabs>
        <w:ind w:left="3957" w:hanging="357"/>
      </w:pPr>
      <w:rPr>
        <w:rFonts w:ascii="Times New Roman" w:hAnsi="Times New Roman" w:cs="Times New Roman" w:hint="default"/>
      </w:rPr>
    </w:lvl>
  </w:abstractNum>
  <w:abstractNum w:abstractNumId="26" w15:restartNumberingAfterBreak="0">
    <w:nsid w:val="7D6C59A9"/>
    <w:multiLevelType w:val="multilevel"/>
    <w:tmpl w:val="5B240ADE"/>
    <w:lvl w:ilvl="0">
      <w:start w:val="1"/>
      <w:numFmt w:val="bullet"/>
      <w:lvlRestart w:val="0"/>
      <w:lvlText w:val=""/>
      <w:lvlJc w:val="left"/>
      <w:pPr>
        <w:tabs>
          <w:tab w:val="num" w:pos="720"/>
        </w:tabs>
        <w:ind w:left="720" w:hanging="357"/>
      </w:pPr>
      <w:rPr>
        <w:rFonts w:ascii="Symbol" w:hAnsi="Symbol" w:hint="default"/>
        <w:sz w:val="24"/>
      </w:rPr>
    </w:lvl>
    <w:lvl w:ilvl="1">
      <w:start w:val="1"/>
      <w:numFmt w:val="bullet"/>
      <w:lvlText w:val=""/>
      <w:lvlJc w:val="left"/>
      <w:pPr>
        <w:tabs>
          <w:tab w:val="num" w:pos="1083"/>
        </w:tabs>
        <w:ind w:left="1083" w:hanging="363"/>
      </w:pPr>
      <w:rPr>
        <w:rFonts w:ascii="Symbol" w:hAnsi="Symbol" w:cs="Times New Roman" w:hint="default"/>
        <w:sz w:val="21"/>
      </w:rPr>
    </w:lvl>
    <w:lvl w:ilvl="2">
      <w:start w:val="1"/>
      <w:numFmt w:val="bullet"/>
      <w:lvlText w:val=""/>
      <w:lvlJc w:val="left"/>
      <w:pPr>
        <w:tabs>
          <w:tab w:val="num" w:pos="1440"/>
        </w:tabs>
        <w:ind w:left="1440" w:hanging="357"/>
      </w:pPr>
      <w:rPr>
        <w:rFonts w:ascii="Symbol" w:hAnsi="Symbol" w:cs="Times New Roman" w:hint="default"/>
        <w:sz w:val="21"/>
      </w:rPr>
    </w:lvl>
    <w:lvl w:ilvl="3">
      <w:start w:val="1"/>
      <w:numFmt w:val="bullet"/>
      <w:lvlText w:val=""/>
      <w:lvlJc w:val="left"/>
      <w:pPr>
        <w:tabs>
          <w:tab w:val="num" w:pos="1803"/>
        </w:tabs>
        <w:ind w:left="1803" w:hanging="363"/>
      </w:pPr>
      <w:rPr>
        <w:rFonts w:ascii="Symbol" w:hAnsi="Symbol" w:hint="default"/>
      </w:rPr>
    </w:lvl>
    <w:lvl w:ilvl="4">
      <w:start w:val="1"/>
      <w:numFmt w:val="bullet"/>
      <w:lvlText w:val=""/>
      <w:lvlJc w:val="left"/>
      <w:pPr>
        <w:tabs>
          <w:tab w:val="num" w:pos="2160"/>
        </w:tabs>
        <w:ind w:left="2160" w:hanging="357"/>
      </w:pPr>
      <w:rPr>
        <w:rFonts w:ascii="Symbol" w:hAnsi="Symbol" w:hint="default"/>
      </w:rPr>
    </w:lvl>
    <w:lvl w:ilvl="5">
      <w:start w:val="1"/>
      <w:numFmt w:val="bullet"/>
      <w:lvlText w:val=""/>
      <w:lvlJc w:val="left"/>
      <w:pPr>
        <w:tabs>
          <w:tab w:val="num" w:pos="2523"/>
        </w:tabs>
        <w:ind w:left="2523" w:hanging="363"/>
      </w:pPr>
      <w:rPr>
        <w:rFonts w:ascii="Symbol" w:hAnsi="Symbol" w:hint="default"/>
      </w:rPr>
    </w:lvl>
    <w:lvl w:ilvl="6">
      <w:start w:val="1"/>
      <w:numFmt w:val="bullet"/>
      <w:lvlText w:val=""/>
      <w:lvlJc w:val="left"/>
      <w:pPr>
        <w:tabs>
          <w:tab w:val="num" w:pos="2880"/>
        </w:tabs>
        <w:ind w:left="2880" w:hanging="357"/>
      </w:pPr>
      <w:rPr>
        <w:rFonts w:ascii="Symbol" w:hAnsi="Symbol" w:hint="default"/>
      </w:rPr>
    </w:lvl>
    <w:lvl w:ilvl="7">
      <w:start w:val="1"/>
      <w:numFmt w:val="bullet"/>
      <w:lvlText w:val=""/>
      <w:lvlJc w:val="left"/>
      <w:pPr>
        <w:tabs>
          <w:tab w:val="num" w:pos="3243"/>
        </w:tabs>
        <w:ind w:left="3243" w:hanging="363"/>
      </w:pPr>
      <w:rPr>
        <w:rFonts w:ascii="Symbol" w:hAnsi="Symbol" w:hint="default"/>
      </w:rPr>
    </w:lvl>
    <w:lvl w:ilvl="8">
      <w:start w:val="1"/>
      <w:numFmt w:val="bullet"/>
      <w:lvlText w:val=""/>
      <w:lvlJc w:val="left"/>
      <w:pPr>
        <w:tabs>
          <w:tab w:val="num" w:pos="3600"/>
        </w:tabs>
        <w:ind w:left="3600" w:hanging="357"/>
      </w:pPr>
      <w:rPr>
        <w:rFonts w:ascii="Symbol" w:hAnsi="Symbol" w:hint="default"/>
      </w:rPr>
    </w:lvl>
  </w:abstractNum>
  <w:abstractNum w:abstractNumId="27" w15:restartNumberingAfterBreak="0">
    <w:nsid w:val="7FB401D6"/>
    <w:multiLevelType w:val="hybridMultilevel"/>
    <w:tmpl w:val="270C463E"/>
    <w:lvl w:ilvl="0" w:tplc="92287762">
      <w:start w:val="1"/>
      <w:numFmt w:val="bullet"/>
      <w:pStyle w:val="ListAlphabeticalLevel2"/>
      <w:lvlText w:val=""/>
      <w:lvlJc w:val="left"/>
      <w:pPr>
        <w:ind w:left="720" w:hanging="360"/>
      </w:pPr>
      <w:rPr>
        <w:rFonts w:ascii="Symbol" w:hAnsi="Symbol" w:hint="default"/>
      </w:rPr>
    </w:lvl>
    <w:lvl w:ilvl="1" w:tplc="6B5C25C0">
      <w:start w:val="1"/>
      <w:numFmt w:val="bullet"/>
      <w:lvlText w:val="o"/>
      <w:lvlJc w:val="left"/>
      <w:pPr>
        <w:ind w:left="1440" w:hanging="360"/>
      </w:pPr>
      <w:rPr>
        <w:rFonts w:ascii="Courier New" w:hAnsi="Courier New" w:cs="Courier New" w:hint="default"/>
      </w:rPr>
    </w:lvl>
    <w:lvl w:ilvl="2" w:tplc="784EBE2C">
      <w:start w:val="1"/>
      <w:numFmt w:val="bullet"/>
      <w:lvlText w:val=""/>
      <w:lvlJc w:val="left"/>
      <w:pPr>
        <w:ind w:left="2160" w:hanging="360"/>
      </w:pPr>
      <w:rPr>
        <w:rFonts w:ascii="Wingdings" w:hAnsi="Wingdings" w:hint="default"/>
      </w:rPr>
    </w:lvl>
    <w:lvl w:ilvl="3" w:tplc="3D2E79D0" w:tentative="1">
      <w:start w:val="1"/>
      <w:numFmt w:val="bullet"/>
      <w:lvlText w:val=""/>
      <w:lvlJc w:val="left"/>
      <w:pPr>
        <w:ind w:left="2880" w:hanging="360"/>
      </w:pPr>
      <w:rPr>
        <w:rFonts w:ascii="Symbol" w:hAnsi="Symbol" w:hint="default"/>
      </w:rPr>
    </w:lvl>
    <w:lvl w:ilvl="4" w:tplc="818C7CB2" w:tentative="1">
      <w:start w:val="1"/>
      <w:numFmt w:val="bullet"/>
      <w:lvlText w:val="o"/>
      <w:lvlJc w:val="left"/>
      <w:pPr>
        <w:ind w:left="3600" w:hanging="360"/>
      </w:pPr>
      <w:rPr>
        <w:rFonts w:ascii="Courier New" w:hAnsi="Courier New" w:cs="Courier New" w:hint="default"/>
      </w:rPr>
    </w:lvl>
    <w:lvl w:ilvl="5" w:tplc="45B82884" w:tentative="1">
      <w:start w:val="1"/>
      <w:numFmt w:val="bullet"/>
      <w:lvlText w:val=""/>
      <w:lvlJc w:val="left"/>
      <w:pPr>
        <w:ind w:left="4320" w:hanging="360"/>
      </w:pPr>
      <w:rPr>
        <w:rFonts w:ascii="Wingdings" w:hAnsi="Wingdings" w:hint="default"/>
      </w:rPr>
    </w:lvl>
    <w:lvl w:ilvl="6" w:tplc="9A92648A" w:tentative="1">
      <w:start w:val="1"/>
      <w:numFmt w:val="bullet"/>
      <w:lvlText w:val=""/>
      <w:lvlJc w:val="left"/>
      <w:pPr>
        <w:ind w:left="5040" w:hanging="360"/>
      </w:pPr>
      <w:rPr>
        <w:rFonts w:ascii="Symbol" w:hAnsi="Symbol" w:hint="default"/>
      </w:rPr>
    </w:lvl>
    <w:lvl w:ilvl="7" w:tplc="65BA2A08" w:tentative="1">
      <w:start w:val="1"/>
      <w:numFmt w:val="bullet"/>
      <w:lvlText w:val="o"/>
      <w:lvlJc w:val="left"/>
      <w:pPr>
        <w:ind w:left="5760" w:hanging="360"/>
      </w:pPr>
      <w:rPr>
        <w:rFonts w:ascii="Courier New" w:hAnsi="Courier New" w:cs="Courier New" w:hint="default"/>
      </w:rPr>
    </w:lvl>
    <w:lvl w:ilvl="8" w:tplc="03C4C1FE" w:tentative="1">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0"/>
  </w:num>
  <w:num w:numId="4">
    <w:abstractNumId w:val="13"/>
  </w:num>
  <w:num w:numId="5">
    <w:abstractNumId w:val="27"/>
  </w:num>
  <w:num w:numId="6">
    <w:abstractNumId w:val="24"/>
  </w:num>
  <w:num w:numId="7">
    <w:abstractNumId w:val="18"/>
  </w:num>
  <w:num w:numId="8">
    <w:abstractNumId w:val="25"/>
  </w:num>
  <w:num w:numId="9">
    <w:abstractNumId w:val="6"/>
  </w:num>
  <w:num w:numId="10">
    <w:abstractNumId w:val="17"/>
  </w:num>
  <w:num w:numId="11">
    <w:abstractNumId w:val="4"/>
  </w:num>
  <w:num w:numId="12">
    <w:abstractNumId w:val="15"/>
  </w:num>
  <w:num w:numId="13">
    <w:abstractNumId w:val="7"/>
  </w:num>
  <w:num w:numId="14">
    <w:abstractNumId w:val="5"/>
  </w:num>
  <w:num w:numId="15">
    <w:abstractNumId w:val="3"/>
  </w:num>
  <w:num w:numId="16">
    <w:abstractNumId w:val="16"/>
  </w:num>
  <w:num w:numId="17">
    <w:abstractNumId w:val="26"/>
  </w:num>
  <w:num w:numId="18">
    <w:abstractNumId w:val="8"/>
  </w:num>
  <w:num w:numId="19">
    <w:abstractNumId w:val="23"/>
  </w:num>
  <w:num w:numId="20">
    <w:abstractNumId w:val="10"/>
  </w:num>
  <w:num w:numId="21">
    <w:abstractNumId w:val="14"/>
  </w:num>
  <w:num w:numId="22">
    <w:abstractNumId w:val="2"/>
  </w:num>
  <w:num w:numId="23">
    <w:abstractNumId w:val="20"/>
  </w:num>
  <w:num w:numId="24">
    <w:abstractNumId w:val="2"/>
  </w:num>
  <w:num w:numId="25">
    <w:abstractNumId w:val="2"/>
  </w:num>
  <w:num w:numId="26">
    <w:abstractNumId w:val="22"/>
  </w:num>
  <w:num w:numId="27">
    <w:abstractNumId w:val="19"/>
  </w:num>
  <w:num w:numId="28">
    <w:abstractNumId w:val="2"/>
  </w:num>
  <w:num w:numId="29">
    <w:abstractNumId w:val="2"/>
  </w:num>
  <w:num w:numId="30">
    <w:abstractNumId w:val="2"/>
  </w:num>
  <w:num w:numId="31">
    <w:abstractNumId w:val="12"/>
  </w:num>
  <w:num w:numId="32">
    <w:abstractNumId w:val="9"/>
  </w:num>
  <w:num w:numId="33">
    <w:abstractNumId w:val="11"/>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3E5"/>
    <w:rsid w:val="0001103F"/>
    <w:rsid w:val="00024098"/>
    <w:rsid w:val="00026F7E"/>
    <w:rsid w:val="000413AC"/>
    <w:rsid w:val="000423D7"/>
    <w:rsid w:val="00056DAB"/>
    <w:rsid w:val="000601E8"/>
    <w:rsid w:val="00071CA7"/>
    <w:rsid w:val="000855E7"/>
    <w:rsid w:val="000911AA"/>
    <w:rsid w:val="00091B2B"/>
    <w:rsid w:val="00097241"/>
    <w:rsid w:val="000B539A"/>
    <w:rsid w:val="000C0250"/>
    <w:rsid w:val="000D4A72"/>
    <w:rsid w:val="000E1A58"/>
    <w:rsid w:val="001064F6"/>
    <w:rsid w:val="00112BD8"/>
    <w:rsid w:val="0012230A"/>
    <w:rsid w:val="00125B66"/>
    <w:rsid w:val="00165D09"/>
    <w:rsid w:val="00173A8F"/>
    <w:rsid w:val="001740D7"/>
    <w:rsid w:val="00175A3C"/>
    <w:rsid w:val="00176726"/>
    <w:rsid w:val="001921C8"/>
    <w:rsid w:val="00194D6E"/>
    <w:rsid w:val="001A3992"/>
    <w:rsid w:val="001A613B"/>
    <w:rsid w:val="001A649A"/>
    <w:rsid w:val="001B3BE8"/>
    <w:rsid w:val="001B519B"/>
    <w:rsid w:val="001D3DF1"/>
    <w:rsid w:val="001E6D40"/>
    <w:rsid w:val="001F20BE"/>
    <w:rsid w:val="001F690A"/>
    <w:rsid w:val="00200B68"/>
    <w:rsid w:val="00216FE7"/>
    <w:rsid w:val="002245D3"/>
    <w:rsid w:val="0023461D"/>
    <w:rsid w:val="00242341"/>
    <w:rsid w:val="0024632F"/>
    <w:rsid w:val="00247942"/>
    <w:rsid w:val="0026504B"/>
    <w:rsid w:val="002659BD"/>
    <w:rsid w:val="00292D82"/>
    <w:rsid w:val="002D7A97"/>
    <w:rsid w:val="002E277D"/>
    <w:rsid w:val="002F42DB"/>
    <w:rsid w:val="002F45FB"/>
    <w:rsid w:val="002F5644"/>
    <w:rsid w:val="002F62B6"/>
    <w:rsid w:val="00306657"/>
    <w:rsid w:val="00307108"/>
    <w:rsid w:val="00316BDD"/>
    <w:rsid w:val="00317A5F"/>
    <w:rsid w:val="0034683E"/>
    <w:rsid w:val="00347D8E"/>
    <w:rsid w:val="003540DE"/>
    <w:rsid w:val="00360E27"/>
    <w:rsid w:val="003733A7"/>
    <w:rsid w:val="00397371"/>
    <w:rsid w:val="003A7E90"/>
    <w:rsid w:val="003C3FB2"/>
    <w:rsid w:val="003C5B2B"/>
    <w:rsid w:val="003E23FE"/>
    <w:rsid w:val="003E3F40"/>
    <w:rsid w:val="004032BD"/>
    <w:rsid w:val="00407FF3"/>
    <w:rsid w:val="00422E65"/>
    <w:rsid w:val="00425F6F"/>
    <w:rsid w:val="00431ACD"/>
    <w:rsid w:val="00461211"/>
    <w:rsid w:val="00466BF1"/>
    <w:rsid w:val="0047226D"/>
    <w:rsid w:val="00477AB7"/>
    <w:rsid w:val="00477BD3"/>
    <w:rsid w:val="00477E82"/>
    <w:rsid w:val="004910A1"/>
    <w:rsid w:val="00491ACC"/>
    <w:rsid w:val="004A05C7"/>
    <w:rsid w:val="004A18BF"/>
    <w:rsid w:val="004A2449"/>
    <w:rsid w:val="004A2687"/>
    <w:rsid w:val="004C5157"/>
    <w:rsid w:val="004D0FD8"/>
    <w:rsid w:val="004D17D8"/>
    <w:rsid w:val="004D26C3"/>
    <w:rsid w:val="004F0E4A"/>
    <w:rsid w:val="004F3723"/>
    <w:rsid w:val="00512BA0"/>
    <w:rsid w:val="00514ED3"/>
    <w:rsid w:val="00527D20"/>
    <w:rsid w:val="00544C25"/>
    <w:rsid w:val="005469E8"/>
    <w:rsid w:val="0055036B"/>
    <w:rsid w:val="00551B71"/>
    <w:rsid w:val="00552214"/>
    <w:rsid w:val="005528DB"/>
    <w:rsid w:val="0055349C"/>
    <w:rsid w:val="00560BD6"/>
    <w:rsid w:val="00560D82"/>
    <w:rsid w:val="00565E16"/>
    <w:rsid w:val="005A3F5F"/>
    <w:rsid w:val="005B155A"/>
    <w:rsid w:val="005C2567"/>
    <w:rsid w:val="005C550E"/>
    <w:rsid w:val="005D1954"/>
    <w:rsid w:val="005F2D09"/>
    <w:rsid w:val="00611DDE"/>
    <w:rsid w:val="00616520"/>
    <w:rsid w:val="0062272E"/>
    <w:rsid w:val="0062537C"/>
    <w:rsid w:val="006300D9"/>
    <w:rsid w:val="006552F7"/>
    <w:rsid w:val="00673B6A"/>
    <w:rsid w:val="00684D54"/>
    <w:rsid w:val="00687172"/>
    <w:rsid w:val="00695117"/>
    <w:rsid w:val="00696458"/>
    <w:rsid w:val="006A0756"/>
    <w:rsid w:val="006A7301"/>
    <w:rsid w:val="006B0FBA"/>
    <w:rsid w:val="006B335D"/>
    <w:rsid w:val="006B411E"/>
    <w:rsid w:val="006B49F1"/>
    <w:rsid w:val="006E20CB"/>
    <w:rsid w:val="006F34DC"/>
    <w:rsid w:val="00703FA3"/>
    <w:rsid w:val="007054FB"/>
    <w:rsid w:val="00707DE2"/>
    <w:rsid w:val="00712241"/>
    <w:rsid w:val="00715D86"/>
    <w:rsid w:val="00717E34"/>
    <w:rsid w:val="00725904"/>
    <w:rsid w:val="00734065"/>
    <w:rsid w:val="00744556"/>
    <w:rsid w:val="00746C7F"/>
    <w:rsid w:val="00751605"/>
    <w:rsid w:val="00756282"/>
    <w:rsid w:val="00785B3F"/>
    <w:rsid w:val="00792475"/>
    <w:rsid w:val="00797087"/>
    <w:rsid w:val="007B3168"/>
    <w:rsid w:val="007C3D28"/>
    <w:rsid w:val="007C4C57"/>
    <w:rsid w:val="007D03C7"/>
    <w:rsid w:val="007D6BEE"/>
    <w:rsid w:val="007E4069"/>
    <w:rsid w:val="007F5866"/>
    <w:rsid w:val="00815088"/>
    <w:rsid w:val="00815740"/>
    <w:rsid w:val="008236A5"/>
    <w:rsid w:val="00832C86"/>
    <w:rsid w:val="00836A04"/>
    <w:rsid w:val="00866220"/>
    <w:rsid w:val="0087740C"/>
    <w:rsid w:val="00882EEE"/>
    <w:rsid w:val="00897CEF"/>
    <w:rsid w:val="008A2F32"/>
    <w:rsid w:val="008D4AAE"/>
    <w:rsid w:val="008F0B1B"/>
    <w:rsid w:val="008F1EDE"/>
    <w:rsid w:val="00902D2C"/>
    <w:rsid w:val="00907303"/>
    <w:rsid w:val="009466D4"/>
    <w:rsid w:val="00960CD5"/>
    <w:rsid w:val="00970BD3"/>
    <w:rsid w:val="009A373C"/>
    <w:rsid w:val="009A4991"/>
    <w:rsid w:val="009C3C42"/>
    <w:rsid w:val="009E167E"/>
    <w:rsid w:val="009E28DC"/>
    <w:rsid w:val="009E4A3A"/>
    <w:rsid w:val="009E695F"/>
    <w:rsid w:val="009F1981"/>
    <w:rsid w:val="009F4900"/>
    <w:rsid w:val="009F7E53"/>
    <w:rsid w:val="00A0746E"/>
    <w:rsid w:val="00A12F42"/>
    <w:rsid w:val="00A62F6D"/>
    <w:rsid w:val="00A66233"/>
    <w:rsid w:val="00A81939"/>
    <w:rsid w:val="00A86C37"/>
    <w:rsid w:val="00AA668A"/>
    <w:rsid w:val="00AB2DD8"/>
    <w:rsid w:val="00AD0D59"/>
    <w:rsid w:val="00AD65A5"/>
    <w:rsid w:val="00AE0DE0"/>
    <w:rsid w:val="00AE136F"/>
    <w:rsid w:val="00AE5799"/>
    <w:rsid w:val="00AF3F9B"/>
    <w:rsid w:val="00AF6976"/>
    <w:rsid w:val="00B14C17"/>
    <w:rsid w:val="00B204DE"/>
    <w:rsid w:val="00B272B2"/>
    <w:rsid w:val="00B334D8"/>
    <w:rsid w:val="00B81649"/>
    <w:rsid w:val="00B8302A"/>
    <w:rsid w:val="00B92E0D"/>
    <w:rsid w:val="00BC364A"/>
    <w:rsid w:val="00BC5378"/>
    <w:rsid w:val="00BD2C37"/>
    <w:rsid w:val="00BF0065"/>
    <w:rsid w:val="00BF29A6"/>
    <w:rsid w:val="00C06693"/>
    <w:rsid w:val="00C0692D"/>
    <w:rsid w:val="00C134D4"/>
    <w:rsid w:val="00C23D9F"/>
    <w:rsid w:val="00C262EA"/>
    <w:rsid w:val="00C301BA"/>
    <w:rsid w:val="00C43229"/>
    <w:rsid w:val="00C45174"/>
    <w:rsid w:val="00C45599"/>
    <w:rsid w:val="00C605CB"/>
    <w:rsid w:val="00C61EC0"/>
    <w:rsid w:val="00C837E3"/>
    <w:rsid w:val="00C94CA9"/>
    <w:rsid w:val="00C95448"/>
    <w:rsid w:val="00C970EE"/>
    <w:rsid w:val="00C971E9"/>
    <w:rsid w:val="00CA5C63"/>
    <w:rsid w:val="00CA6CCF"/>
    <w:rsid w:val="00CA73C2"/>
    <w:rsid w:val="00CB6262"/>
    <w:rsid w:val="00CD52E2"/>
    <w:rsid w:val="00CE056A"/>
    <w:rsid w:val="00CE0DC7"/>
    <w:rsid w:val="00CE3C0D"/>
    <w:rsid w:val="00CF2BAC"/>
    <w:rsid w:val="00CF34CE"/>
    <w:rsid w:val="00D06247"/>
    <w:rsid w:val="00D10AD4"/>
    <w:rsid w:val="00D21561"/>
    <w:rsid w:val="00D21879"/>
    <w:rsid w:val="00D43FA2"/>
    <w:rsid w:val="00D44939"/>
    <w:rsid w:val="00D44BA0"/>
    <w:rsid w:val="00D51B56"/>
    <w:rsid w:val="00D70EC1"/>
    <w:rsid w:val="00D72780"/>
    <w:rsid w:val="00D764B6"/>
    <w:rsid w:val="00D86276"/>
    <w:rsid w:val="00D93431"/>
    <w:rsid w:val="00D93FD4"/>
    <w:rsid w:val="00DA06C1"/>
    <w:rsid w:val="00DB4098"/>
    <w:rsid w:val="00DC4F7A"/>
    <w:rsid w:val="00DD1FB2"/>
    <w:rsid w:val="00DD48E4"/>
    <w:rsid w:val="00DE145A"/>
    <w:rsid w:val="00DE2723"/>
    <w:rsid w:val="00DF5E99"/>
    <w:rsid w:val="00E112BE"/>
    <w:rsid w:val="00E25D6F"/>
    <w:rsid w:val="00E424FC"/>
    <w:rsid w:val="00E50348"/>
    <w:rsid w:val="00E53688"/>
    <w:rsid w:val="00E63F48"/>
    <w:rsid w:val="00E71F4B"/>
    <w:rsid w:val="00E74A56"/>
    <w:rsid w:val="00E85A50"/>
    <w:rsid w:val="00EA39A8"/>
    <w:rsid w:val="00EB4C32"/>
    <w:rsid w:val="00EC77EB"/>
    <w:rsid w:val="00ED0937"/>
    <w:rsid w:val="00ED2051"/>
    <w:rsid w:val="00ED529F"/>
    <w:rsid w:val="00F07797"/>
    <w:rsid w:val="00F0785C"/>
    <w:rsid w:val="00F10D3B"/>
    <w:rsid w:val="00F14210"/>
    <w:rsid w:val="00F20F45"/>
    <w:rsid w:val="00F33B21"/>
    <w:rsid w:val="00F36AD4"/>
    <w:rsid w:val="00F36C32"/>
    <w:rsid w:val="00F70DD5"/>
    <w:rsid w:val="00F76677"/>
    <w:rsid w:val="00F77B7A"/>
    <w:rsid w:val="00F77F7C"/>
    <w:rsid w:val="00F84271"/>
    <w:rsid w:val="00FB23E5"/>
    <w:rsid w:val="00FB481F"/>
    <w:rsid w:val="00FD3E22"/>
    <w:rsid w:val="00FD4643"/>
    <w:rsid w:val="00FE0B6F"/>
    <w:rsid w:val="00FE369F"/>
    <w:rsid w:val="00FE43D5"/>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3066F925"/>
  <w15:docId w15:val="{6D0914E1-C108-41D4-8AB1-B88B2BAA3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B7A"/>
    <w:pPr>
      <w:spacing w:before="240" w:after="0" w:line="240" w:lineRule="auto"/>
    </w:pPr>
    <w:rPr>
      <w:rFonts w:ascii="Times New Roman" w:eastAsia="MS Mincho" w:hAnsi="Times New Roman" w:cs="Times New Roman"/>
      <w:color w:val="000000"/>
      <w:sz w:val="24"/>
      <w:szCs w:val="24"/>
      <w:lang w:val="en-US"/>
    </w:rPr>
  </w:style>
  <w:style w:type="paragraph" w:styleId="Heading1">
    <w:name w:val="heading 1"/>
    <w:next w:val="Normal"/>
    <w:link w:val="Heading1Char"/>
    <w:qFormat/>
    <w:rsid w:val="00751605"/>
    <w:pPr>
      <w:keepNext/>
      <w:pageBreakBefore/>
      <w:numPr>
        <w:numId w:val="22"/>
      </w:numPr>
      <w:spacing w:before="480" w:after="0" w:line="240" w:lineRule="auto"/>
      <w:outlineLvl w:val="0"/>
    </w:pPr>
    <w:rPr>
      <w:rFonts w:ascii="Arial" w:eastAsia="MS Gothic" w:hAnsi="Arial" w:cs="Arial"/>
      <w:b/>
      <w:bCs/>
      <w:caps/>
      <w:kern w:val="32"/>
      <w:sz w:val="28"/>
      <w:szCs w:val="32"/>
      <w:lang w:val="en-US"/>
    </w:rPr>
  </w:style>
  <w:style w:type="paragraph" w:styleId="Heading2">
    <w:name w:val="heading 2"/>
    <w:basedOn w:val="Heading1"/>
    <w:next w:val="Normal"/>
    <w:link w:val="Heading2Char"/>
    <w:qFormat/>
    <w:rsid w:val="00751605"/>
    <w:pPr>
      <w:pageBreakBefore w:val="0"/>
      <w:numPr>
        <w:ilvl w:val="1"/>
      </w:numPr>
      <w:outlineLvl w:val="1"/>
    </w:pPr>
    <w:rPr>
      <w:bCs w:val="0"/>
      <w:iCs/>
      <w:sz w:val="22"/>
      <w:szCs w:val="28"/>
    </w:rPr>
  </w:style>
  <w:style w:type="paragraph" w:styleId="Heading3">
    <w:name w:val="heading 3"/>
    <w:basedOn w:val="Heading1"/>
    <w:next w:val="Normal"/>
    <w:link w:val="Heading3Char"/>
    <w:qFormat/>
    <w:rsid w:val="00751605"/>
    <w:pPr>
      <w:pageBreakBefore w:val="0"/>
      <w:numPr>
        <w:ilvl w:val="2"/>
      </w:numPr>
      <w:spacing w:before="360"/>
      <w:outlineLvl w:val="2"/>
    </w:pPr>
    <w:rPr>
      <w:bCs w:val="0"/>
      <w:caps w:val="0"/>
      <w:sz w:val="22"/>
      <w:szCs w:val="26"/>
    </w:rPr>
  </w:style>
  <w:style w:type="paragraph" w:styleId="Heading4">
    <w:name w:val="heading 4"/>
    <w:basedOn w:val="Heading1"/>
    <w:next w:val="Normal"/>
    <w:link w:val="Heading4Char"/>
    <w:qFormat/>
    <w:rsid w:val="00751605"/>
    <w:pPr>
      <w:pageBreakBefore w:val="0"/>
      <w:numPr>
        <w:ilvl w:val="3"/>
      </w:numPr>
      <w:spacing w:before="360"/>
      <w:outlineLvl w:val="3"/>
    </w:pPr>
    <w:rPr>
      <w:bCs w:val="0"/>
      <w:i/>
      <w:caps w:val="0"/>
      <w:sz w:val="22"/>
      <w:szCs w:val="28"/>
    </w:rPr>
  </w:style>
  <w:style w:type="paragraph" w:styleId="Heading5">
    <w:name w:val="heading 5"/>
    <w:basedOn w:val="Heading1"/>
    <w:next w:val="Normal"/>
    <w:link w:val="Heading5Char"/>
    <w:qFormat/>
    <w:rsid w:val="00751605"/>
    <w:pPr>
      <w:pageBreakBefore w:val="0"/>
      <w:numPr>
        <w:ilvl w:val="4"/>
      </w:numPr>
      <w:spacing w:before="360"/>
      <w:outlineLvl w:val="4"/>
    </w:pPr>
    <w:rPr>
      <w:b w:val="0"/>
      <w:bCs w:val="0"/>
      <w:i/>
      <w:iCs/>
      <w:caps w:val="0"/>
      <w:sz w:val="22"/>
      <w:szCs w:val="26"/>
    </w:rPr>
  </w:style>
  <w:style w:type="paragraph" w:styleId="Heading6">
    <w:name w:val="heading 6"/>
    <w:basedOn w:val="Heading1"/>
    <w:next w:val="Normal"/>
    <w:link w:val="Heading6Char"/>
    <w:qFormat/>
    <w:rsid w:val="00751605"/>
    <w:pPr>
      <w:pageBreakBefore w:val="0"/>
      <w:numPr>
        <w:ilvl w:val="5"/>
      </w:numPr>
      <w:spacing w:before="360"/>
      <w:outlineLvl w:val="5"/>
    </w:pPr>
    <w:rPr>
      <w:b w:val="0"/>
      <w:bCs w:val="0"/>
      <w:caps w:val="0"/>
      <w:sz w:val="22"/>
      <w:szCs w:val="22"/>
    </w:rPr>
  </w:style>
  <w:style w:type="paragraph" w:styleId="Heading7">
    <w:name w:val="heading 7"/>
    <w:basedOn w:val="Heading6"/>
    <w:next w:val="Normal"/>
    <w:link w:val="Heading7Char"/>
    <w:qFormat/>
    <w:rsid w:val="00751605"/>
    <w:pPr>
      <w:numPr>
        <w:ilvl w:val="6"/>
      </w:numPr>
      <w:outlineLvl w:val="6"/>
    </w:pPr>
  </w:style>
  <w:style w:type="paragraph" w:styleId="Heading8">
    <w:name w:val="heading 8"/>
    <w:basedOn w:val="Heading6"/>
    <w:next w:val="Normal"/>
    <w:link w:val="Heading8Char"/>
    <w:qFormat/>
    <w:rsid w:val="00751605"/>
    <w:pPr>
      <w:numPr>
        <w:ilvl w:val="7"/>
      </w:numPr>
      <w:outlineLvl w:val="7"/>
    </w:pPr>
    <w:rPr>
      <w:iCs/>
    </w:rPr>
  </w:style>
  <w:style w:type="paragraph" w:styleId="Heading9">
    <w:name w:val="heading 9"/>
    <w:basedOn w:val="Heading6"/>
    <w:next w:val="Normal"/>
    <w:link w:val="Heading9Char"/>
    <w:qFormat/>
    <w:rsid w:val="00751605"/>
    <w:pPr>
      <w:numPr>
        <w:ilvl w:val="8"/>
      </w:numPr>
      <w:tabs>
        <w:tab w:val="left" w:pos="1797"/>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3992"/>
    <w:rPr>
      <w:rFonts w:ascii="Arial" w:eastAsia="MS Gothic" w:hAnsi="Arial" w:cs="Arial"/>
      <w:b/>
      <w:bCs/>
      <w:caps/>
      <w:kern w:val="32"/>
      <w:sz w:val="28"/>
      <w:szCs w:val="32"/>
      <w:lang w:val="en-US"/>
    </w:rPr>
  </w:style>
  <w:style w:type="character" w:customStyle="1" w:styleId="Heading2Char">
    <w:name w:val="Heading 2 Char"/>
    <w:basedOn w:val="DefaultParagraphFont"/>
    <w:link w:val="Heading2"/>
    <w:rsid w:val="001A3992"/>
    <w:rPr>
      <w:rFonts w:ascii="Arial" w:eastAsia="MS Gothic" w:hAnsi="Arial" w:cs="Arial"/>
      <w:b/>
      <w:iCs/>
      <w:caps/>
      <w:kern w:val="32"/>
      <w:szCs w:val="28"/>
      <w:lang w:val="en-US"/>
    </w:rPr>
  </w:style>
  <w:style w:type="character" w:customStyle="1" w:styleId="Heading3Char">
    <w:name w:val="Heading 3 Char"/>
    <w:basedOn w:val="DefaultParagraphFont"/>
    <w:link w:val="Heading3"/>
    <w:rsid w:val="001A3992"/>
    <w:rPr>
      <w:rFonts w:ascii="Arial" w:eastAsia="MS Gothic" w:hAnsi="Arial" w:cs="Arial"/>
      <w:b/>
      <w:kern w:val="32"/>
      <w:szCs w:val="26"/>
      <w:lang w:val="en-US"/>
    </w:rPr>
  </w:style>
  <w:style w:type="character" w:customStyle="1" w:styleId="Heading4Char">
    <w:name w:val="Heading 4 Char"/>
    <w:basedOn w:val="DefaultParagraphFont"/>
    <w:link w:val="Heading4"/>
    <w:rsid w:val="001A3992"/>
    <w:rPr>
      <w:rFonts w:ascii="Arial" w:eastAsia="MS Gothic" w:hAnsi="Arial" w:cs="Arial"/>
      <w:b/>
      <w:i/>
      <w:kern w:val="32"/>
      <w:szCs w:val="28"/>
      <w:lang w:val="en-US"/>
    </w:rPr>
  </w:style>
  <w:style w:type="character" w:customStyle="1" w:styleId="Heading5Char">
    <w:name w:val="Heading 5 Char"/>
    <w:basedOn w:val="DefaultParagraphFont"/>
    <w:link w:val="Heading5"/>
    <w:rsid w:val="001A3992"/>
    <w:rPr>
      <w:rFonts w:ascii="Arial" w:eastAsia="MS Gothic" w:hAnsi="Arial" w:cs="Arial"/>
      <w:i/>
      <w:iCs/>
      <w:kern w:val="32"/>
      <w:szCs w:val="26"/>
      <w:lang w:val="en-US"/>
    </w:rPr>
  </w:style>
  <w:style w:type="character" w:customStyle="1" w:styleId="Heading6Char">
    <w:name w:val="Heading 6 Char"/>
    <w:basedOn w:val="DefaultParagraphFont"/>
    <w:link w:val="Heading6"/>
    <w:rsid w:val="001A3992"/>
    <w:rPr>
      <w:rFonts w:ascii="Arial" w:eastAsia="MS Gothic" w:hAnsi="Arial" w:cs="Arial"/>
      <w:kern w:val="32"/>
      <w:lang w:val="en-US"/>
    </w:rPr>
  </w:style>
  <w:style w:type="character" w:customStyle="1" w:styleId="Heading7Char">
    <w:name w:val="Heading 7 Char"/>
    <w:basedOn w:val="DefaultParagraphFont"/>
    <w:link w:val="Heading7"/>
    <w:rsid w:val="001A3992"/>
    <w:rPr>
      <w:rFonts w:ascii="Arial" w:eastAsia="MS Gothic" w:hAnsi="Arial" w:cs="Arial"/>
      <w:kern w:val="32"/>
      <w:lang w:val="en-US"/>
    </w:rPr>
  </w:style>
  <w:style w:type="character" w:customStyle="1" w:styleId="Heading8Char">
    <w:name w:val="Heading 8 Char"/>
    <w:basedOn w:val="DefaultParagraphFont"/>
    <w:link w:val="Heading8"/>
    <w:rsid w:val="001A3992"/>
    <w:rPr>
      <w:rFonts w:ascii="Arial" w:eastAsia="MS Gothic" w:hAnsi="Arial" w:cs="Arial"/>
      <w:iCs/>
      <w:kern w:val="32"/>
      <w:lang w:val="en-US"/>
    </w:rPr>
  </w:style>
  <w:style w:type="character" w:customStyle="1" w:styleId="Heading9Char">
    <w:name w:val="Heading 9 Char"/>
    <w:basedOn w:val="DefaultParagraphFont"/>
    <w:link w:val="Heading9"/>
    <w:rsid w:val="001A3992"/>
    <w:rPr>
      <w:rFonts w:ascii="Arial" w:eastAsia="MS Gothic" w:hAnsi="Arial" w:cs="Arial"/>
      <w:kern w:val="32"/>
      <w:lang w:val="en-US"/>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semiHidden/>
    <w:unhideWhenUsed/>
    <w:rsid w:val="001A3992"/>
    <w:rPr>
      <w:rFonts w:ascii="Cambria" w:hAnsi="Cambria"/>
      <w:sz w:val="20"/>
      <w:szCs w:val="20"/>
    </w:rPr>
  </w:style>
  <w:style w:type="character" w:customStyle="1" w:styleId="CommentTextChar">
    <w:name w:val="Comment Text Char"/>
    <w:basedOn w:val="DefaultParagraphFont"/>
    <w:link w:val="CommentText"/>
    <w:uiPriority w:val="99"/>
    <w:semiHidden/>
    <w:rsid w:val="001A3992"/>
    <w:rPr>
      <w:rFonts w:ascii="Cambria" w:hAnsi="Cambria"/>
      <w:sz w:val="20"/>
      <w:szCs w:val="20"/>
    </w:rPr>
  </w:style>
  <w:style w:type="paragraph" w:styleId="FootnoteText">
    <w:name w:val="footnote text"/>
    <w:basedOn w:val="Normal"/>
    <w:link w:val="FootnoteTextChar"/>
    <w:rsid w:val="00F77B7A"/>
    <w:pPr>
      <w:spacing w:before="20"/>
      <w:ind w:left="113" w:hanging="113"/>
    </w:pPr>
    <w:rPr>
      <w:sz w:val="22"/>
      <w:szCs w:val="20"/>
    </w:rPr>
  </w:style>
  <w:style w:type="character" w:customStyle="1" w:styleId="FootnoteTextChar">
    <w:name w:val="Footnote Text Char"/>
    <w:basedOn w:val="DefaultParagraphFont"/>
    <w:link w:val="FootnoteText"/>
    <w:rsid w:val="001A3992"/>
    <w:rPr>
      <w:rFonts w:ascii="Times New Roman" w:eastAsia="MS Mincho" w:hAnsi="Times New Roman" w:cs="Times New Roman"/>
      <w:color w:val="000000"/>
      <w:szCs w:val="20"/>
      <w:lang w:val="en-US"/>
    </w:rPr>
  </w:style>
  <w:style w:type="character" w:styleId="FootnoteReference">
    <w:name w:val="footnote reference"/>
    <w:rsid w:val="00F77B7A"/>
    <w:rPr>
      <w:rFonts w:ascii="Times New Roman" w:eastAsia="MS Mincho" w:hAnsi="Times New Roman"/>
      <w:color w:val="0000FF"/>
      <w:sz w:val="18"/>
      <w:vertAlign w:val="superscript"/>
    </w:rPr>
  </w:style>
  <w:style w:type="paragraph" w:styleId="ListBullet">
    <w:name w:val="List Bullet"/>
    <w:basedOn w:val="Normal"/>
    <w:rsid w:val="00F77B7A"/>
    <w:pPr>
      <w:numPr>
        <w:numId w:val="6"/>
      </w:numPr>
    </w:pPr>
  </w:style>
  <w:style w:type="character" w:styleId="Hyperlink">
    <w:name w:val="Hyperlink"/>
    <w:uiPriority w:val="99"/>
    <w:rsid w:val="00F77B7A"/>
    <w:rPr>
      <w:color w:val="0000FF"/>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link w:val="FooterChar"/>
    <w:rsid w:val="00F77B7A"/>
    <w:pPr>
      <w:tabs>
        <w:tab w:val="right" w:pos="9469"/>
      </w:tabs>
      <w:spacing w:after="0" w:line="240" w:lineRule="auto"/>
    </w:pPr>
    <w:rPr>
      <w:rFonts w:ascii="Arial" w:eastAsia="MS Gothic" w:hAnsi="Arial" w:cs="Times New Roman"/>
      <w:sz w:val="18"/>
      <w:szCs w:val="20"/>
      <w:lang w:val="en-US"/>
    </w:rPr>
  </w:style>
  <w:style w:type="character" w:customStyle="1" w:styleId="FooterChar">
    <w:name w:val="Footer Char"/>
    <w:basedOn w:val="DefaultParagraphFont"/>
    <w:link w:val="Footer"/>
    <w:uiPriority w:val="99"/>
    <w:rsid w:val="001A3992"/>
    <w:rPr>
      <w:rFonts w:ascii="Arial" w:eastAsia="MS Gothic" w:hAnsi="Arial" w:cs="Times New Roman"/>
      <w:sz w:val="18"/>
      <w:szCs w:val="20"/>
      <w:lang w:val="en-US"/>
    </w:rPr>
  </w:style>
  <w:style w:type="paragraph" w:styleId="BalloonText">
    <w:name w:val="Balloon Text"/>
    <w:basedOn w:val="Normal"/>
    <w:link w:val="BalloonTextChar"/>
    <w:uiPriority w:val="99"/>
    <w:semiHidden/>
    <w:unhideWhenUsed/>
    <w:rsid w:val="001A3992"/>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link w:val="HeaderChar"/>
    <w:uiPriority w:val="99"/>
    <w:rsid w:val="00F77B7A"/>
    <w:pPr>
      <w:tabs>
        <w:tab w:val="left" w:pos="4536"/>
        <w:tab w:val="right" w:pos="9480"/>
      </w:tabs>
      <w:spacing w:after="0" w:line="240" w:lineRule="auto"/>
    </w:pPr>
    <w:rPr>
      <w:rFonts w:ascii="Arial" w:eastAsia="MS Gothic" w:hAnsi="Arial" w:cs="Times New Roman"/>
      <w:sz w:val="18"/>
      <w:szCs w:val="20"/>
      <w:lang w:val="en-US"/>
    </w:rPr>
  </w:style>
  <w:style w:type="character" w:customStyle="1" w:styleId="HeaderChar">
    <w:name w:val="Header Char"/>
    <w:basedOn w:val="DefaultParagraphFont"/>
    <w:link w:val="Header"/>
    <w:uiPriority w:val="99"/>
    <w:rsid w:val="00CA6CCF"/>
    <w:rPr>
      <w:rFonts w:ascii="Arial" w:eastAsia="MS Gothic" w:hAnsi="Arial" w:cs="Times New Roman"/>
      <w:sz w:val="18"/>
      <w:szCs w:val="20"/>
      <w:lang w:val="en-US"/>
    </w:rPr>
  </w:style>
  <w:style w:type="paragraph" w:customStyle="1" w:styleId="wcpTableContent">
    <w:name w:val="wcp_TableContent"/>
    <w:basedOn w:val="Normal"/>
    <w:rsid w:val="00C301BA"/>
    <w:pPr>
      <w:spacing w:before="40" w:after="40"/>
    </w:pPr>
    <w:rPr>
      <w:rFonts w:eastAsia="Times New Roman"/>
      <w:szCs w:val="20"/>
    </w:rPr>
  </w:style>
  <w:style w:type="paragraph" w:styleId="BodyTextIndent2">
    <w:name w:val="Body Text Indent 2"/>
    <w:basedOn w:val="Normal"/>
    <w:link w:val="BodyTextIndent2Char"/>
    <w:rsid w:val="000E1A58"/>
    <w:pPr>
      <w:ind w:left="567"/>
      <w:jc w:val="both"/>
    </w:pPr>
    <w:rPr>
      <w:rFonts w:ascii="Arial" w:eastAsia="Times New Roman" w:hAnsi="Arial"/>
      <w:szCs w:val="20"/>
      <w:lang w:val="en-GB"/>
    </w:rPr>
  </w:style>
  <w:style w:type="character" w:customStyle="1" w:styleId="BodyTextIndent2Char">
    <w:name w:val="Body Text Indent 2 Char"/>
    <w:basedOn w:val="DefaultParagraphFont"/>
    <w:link w:val="BodyTextIndent2"/>
    <w:rsid w:val="000E1A58"/>
    <w:rPr>
      <w:rFonts w:ascii="Arial" w:eastAsia="Times New Roman" w:hAnsi="Arial" w:cs="Times New Roman"/>
      <w:sz w:val="24"/>
      <w:szCs w:val="20"/>
      <w:lang w:val="en-GB"/>
    </w:rPr>
  </w:style>
  <w:style w:type="paragraph" w:styleId="BodyText">
    <w:name w:val="Body Text"/>
    <w:basedOn w:val="Normal"/>
    <w:link w:val="BodyTextChar"/>
    <w:uiPriority w:val="99"/>
    <w:semiHidden/>
    <w:unhideWhenUsed/>
    <w:rsid w:val="000E1A58"/>
    <w:pPr>
      <w:spacing w:after="120"/>
    </w:pPr>
  </w:style>
  <w:style w:type="character" w:customStyle="1" w:styleId="BodyTextChar">
    <w:name w:val="Body Text Char"/>
    <w:basedOn w:val="DefaultParagraphFont"/>
    <w:link w:val="BodyText"/>
    <w:uiPriority w:val="99"/>
    <w:semiHidden/>
    <w:rsid w:val="000E1A58"/>
  </w:style>
  <w:style w:type="paragraph" w:styleId="BodyText3">
    <w:name w:val="Body Text 3"/>
    <w:basedOn w:val="Normal"/>
    <w:link w:val="BodyText3Char"/>
    <w:uiPriority w:val="99"/>
    <w:semiHidden/>
    <w:unhideWhenUsed/>
    <w:rsid w:val="00514ED3"/>
    <w:pPr>
      <w:spacing w:after="120"/>
    </w:pPr>
    <w:rPr>
      <w:sz w:val="16"/>
      <w:szCs w:val="16"/>
    </w:rPr>
  </w:style>
  <w:style w:type="character" w:customStyle="1" w:styleId="BodyText3Char">
    <w:name w:val="Body Text 3 Char"/>
    <w:basedOn w:val="DefaultParagraphFont"/>
    <w:link w:val="BodyText3"/>
    <w:uiPriority w:val="99"/>
    <w:semiHidden/>
    <w:rsid w:val="00514ED3"/>
    <w:rPr>
      <w:sz w:val="16"/>
      <w:szCs w:val="16"/>
    </w:rPr>
  </w:style>
  <w:style w:type="paragraph" w:customStyle="1" w:styleId="Heading1NoTOC">
    <w:name w:val="Heading 1 NoTOC"/>
    <w:basedOn w:val="Heading1"/>
    <w:rsid w:val="00F77B7A"/>
    <w:pPr>
      <w:numPr>
        <w:numId w:val="0"/>
      </w:numPr>
      <w:outlineLvl w:val="9"/>
    </w:pPr>
  </w:style>
  <w:style w:type="paragraph" w:styleId="Title">
    <w:name w:val="Title"/>
    <w:next w:val="Normal"/>
    <w:link w:val="TitleChar"/>
    <w:qFormat/>
    <w:rsid w:val="00F77B7A"/>
    <w:pPr>
      <w:keepNext/>
      <w:spacing w:before="600" w:after="480" w:line="240" w:lineRule="auto"/>
      <w:jc w:val="center"/>
      <w:outlineLvl w:val="0"/>
    </w:pPr>
    <w:rPr>
      <w:rFonts w:ascii="Arial" w:eastAsia="MS Gothic" w:hAnsi="Arial" w:cs="Arial"/>
      <w:b/>
      <w:bCs/>
      <w:caps/>
      <w:szCs w:val="32"/>
      <w:lang w:val="en-US"/>
    </w:rPr>
  </w:style>
  <w:style w:type="character" w:customStyle="1" w:styleId="TitleChar">
    <w:name w:val="Title Char"/>
    <w:basedOn w:val="DefaultParagraphFont"/>
    <w:link w:val="Title"/>
    <w:rsid w:val="00C971E9"/>
    <w:rPr>
      <w:rFonts w:ascii="Arial" w:eastAsia="MS Gothic" w:hAnsi="Arial" w:cs="Arial"/>
      <w:b/>
      <w:bCs/>
      <w:caps/>
      <w:szCs w:val="32"/>
      <w:lang w:val="en-US"/>
    </w:rPr>
  </w:style>
  <w:style w:type="paragraph" w:customStyle="1" w:styleId="TitleNoToc">
    <w:name w:val="Title NoToc"/>
    <w:basedOn w:val="Title"/>
    <w:next w:val="Normal"/>
    <w:rsid w:val="00F77B7A"/>
    <w:pPr>
      <w:outlineLvl w:val="9"/>
    </w:pPr>
  </w:style>
  <w:style w:type="character" w:customStyle="1" w:styleId="InstructionsTextChar">
    <w:name w:val="Instructions Text Char"/>
    <w:link w:val="InstructionsText"/>
    <w:rsid w:val="00F77B7A"/>
    <w:rPr>
      <w:rFonts w:eastAsia="MS Mincho"/>
      <w:color w:val="000000"/>
      <w:sz w:val="24"/>
      <w:szCs w:val="24"/>
      <w:shd w:val="clear" w:color="auto" w:fill="FFCC66"/>
      <w:lang w:val="en-US"/>
    </w:rPr>
  </w:style>
  <w:style w:type="paragraph" w:customStyle="1" w:styleId="ListNumbered">
    <w:name w:val="List Numbered"/>
    <w:basedOn w:val="Normal"/>
    <w:rsid w:val="00F77B7A"/>
    <w:pPr>
      <w:numPr>
        <w:numId w:val="4"/>
      </w:numPr>
      <w:spacing w:before="120"/>
    </w:pPr>
  </w:style>
  <w:style w:type="paragraph" w:customStyle="1" w:styleId="ListBulletLevel1">
    <w:name w:val="List Bullet Level 1"/>
    <w:basedOn w:val="Normal"/>
    <w:rsid w:val="00F77B7A"/>
    <w:pPr>
      <w:numPr>
        <w:numId w:val="16"/>
      </w:numPr>
      <w:spacing w:before="120"/>
    </w:pPr>
  </w:style>
  <w:style w:type="paragraph" w:customStyle="1" w:styleId="ListAlphabeticalLevel1">
    <w:name w:val="List Alphabetical Level 1"/>
    <w:basedOn w:val="Normal"/>
    <w:rsid w:val="00F77B7A"/>
    <w:pPr>
      <w:numPr>
        <w:numId w:val="3"/>
      </w:numPr>
      <w:spacing w:before="120"/>
    </w:pPr>
  </w:style>
  <w:style w:type="paragraph" w:styleId="Bibliography">
    <w:name w:val="Bibliography"/>
    <w:basedOn w:val="Normal"/>
    <w:next w:val="Normal"/>
    <w:rsid w:val="00F77B7A"/>
    <w:pPr>
      <w:ind w:left="357" w:hanging="357"/>
    </w:pPr>
  </w:style>
  <w:style w:type="paragraph" w:customStyle="1" w:styleId="ListBulletLevel2">
    <w:name w:val="List Bullet Level 2"/>
    <w:basedOn w:val="Normal"/>
    <w:rsid w:val="00F77B7A"/>
    <w:pPr>
      <w:numPr>
        <w:numId w:val="8"/>
      </w:numPr>
      <w:spacing w:before="120"/>
    </w:pPr>
    <w:rPr>
      <w:szCs w:val="20"/>
    </w:rPr>
  </w:style>
  <w:style w:type="paragraph" w:styleId="Caption">
    <w:name w:val="caption"/>
    <w:next w:val="Normal"/>
    <w:qFormat/>
    <w:rsid w:val="00F77B7A"/>
    <w:pPr>
      <w:keepNext/>
      <w:spacing w:before="360" w:after="120" w:line="240" w:lineRule="auto"/>
      <w:jc w:val="center"/>
    </w:pPr>
    <w:rPr>
      <w:rFonts w:ascii="Arial" w:eastAsia="MS Gothic" w:hAnsi="Arial" w:cs="Arial"/>
      <w:b/>
      <w:bCs/>
      <w:sz w:val="20"/>
      <w:szCs w:val="20"/>
      <w:lang w:val="en-US"/>
    </w:rPr>
  </w:style>
  <w:style w:type="paragraph" w:customStyle="1" w:styleId="InstructionsText">
    <w:name w:val="Instructions Text"/>
    <w:basedOn w:val="Normal"/>
    <w:next w:val="Normal"/>
    <w:link w:val="InstructionsTextChar"/>
    <w:rsid w:val="00F77B7A"/>
    <w:pPr>
      <w:shd w:val="clear" w:color="auto" w:fill="FFCC66"/>
      <w:spacing w:before="40" w:after="40"/>
    </w:pPr>
    <w:rPr>
      <w:rFonts w:asciiTheme="minorHAnsi" w:hAnsiTheme="minorHAnsi" w:cstheme="minorBidi"/>
    </w:rPr>
  </w:style>
  <w:style w:type="paragraph" w:customStyle="1" w:styleId="Heading1NoNumbering">
    <w:name w:val="Heading 1 NoNumbering"/>
    <w:basedOn w:val="Heading1"/>
    <w:next w:val="Normal"/>
    <w:rsid w:val="00F77B7A"/>
    <w:pPr>
      <w:numPr>
        <w:numId w:val="14"/>
      </w:numPr>
    </w:pPr>
  </w:style>
  <w:style w:type="paragraph" w:customStyle="1" w:styleId="TblTextCenter">
    <w:name w:val="Tbl Text Center"/>
    <w:basedOn w:val="TblTextLeft"/>
    <w:rsid w:val="00F77B7A"/>
    <w:pPr>
      <w:jc w:val="center"/>
    </w:pPr>
  </w:style>
  <w:style w:type="paragraph" w:customStyle="1" w:styleId="TblTextLeft">
    <w:name w:val="Tbl Text Left"/>
    <w:rsid w:val="00F77B7A"/>
    <w:pPr>
      <w:spacing w:before="60" w:after="60" w:line="240" w:lineRule="auto"/>
    </w:pPr>
    <w:rPr>
      <w:rFonts w:ascii="Arial Narrow" w:eastAsia="MS Gothic" w:hAnsi="Arial Narrow" w:cs="Times New Roman"/>
      <w:sz w:val="20"/>
      <w:szCs w:val="20"/>
      <w:lang w:val="en-US"/>
    </w:rPr>
  </w:style>
  <w:style w:type="paragraph" w:customStyle="1" w:styleId="TblHeadingLeft">
    <w:name w:val="Tbl Heading Left"/>
    <w:rsid w:val="00F77B7A"/>
    <w:pPr>
      <w:spacing w:before="60" w:after="60" w:line="240" w:lineRule="auto"/>
    </w:pPr>
    <w:rPr>
      <w:rFonts w:ascii="Arial" w:eastAsia="MS Gothic" w:hAnsi="Arial" w:cs="Arial"/>
      <w:b/>
      <w:noProof/>
      <w:sz w:val="20"/>
      <w:szCs w:val="20"/>
      <w:lang w:val="de-DE"/>
    </w:rPr>
  </w:style>
  <w:style w:type="paragraph" w:customStyle="1" w:styleId="TblFigFootnote">
    <w:name w:val="Tbl Fig Footnote"/>
    <w:rsid w:val="00F77B7A"/>
    <w:pPr>
      <w:keepLines/>
      <w:adjustRightInd w:val="0"/>
      <w:snapToGrid w:val="0"/>
      <w:spacing w:before="20" w:after="20" w:line="240" w:lineRule="auto"/>
    </w:pPr>
    <w:rPr>
      <w:rFonts w:ascii="Arial Narrow" w:eastAsia="MS Gothic" w:hAnsi="Arial Narrow" w:cs="Times New Roman"/>
      <w:sz w:val="18"/>
      <w:szCs w:val="20"/>
      <w:lang w:val="en-US"/>
    </w:rPr>
  </w:style>
  <w:style w:type="paragraph" w:customStyle="1" w:styleId="TblHeadingCenter">
    <w:name w:val="Tbl Heading Center"/>
    <w:basedOn w:val="TblHeadingLeft"/>
    <w:rsid w:val="00F77B7A"/>
    <w:pPr>
      <w:jc w:val="center"/>
    </w:pPr>
  </w:style>
  <w:style w:type="paragraph" w:customStyle="1" w:styleId="HeaderLandscape">
    <w:name w:val="Header Landscape"/>
    <w:basedOn w:val="Header"/>
    <w:rsid w:val="00F77B7A"/>
    <w:pPr>
      <w:tabs>
        <w:tab w:val="clear" w:pos="4536"/>
        <w:tab w:val="clear" w:pos="9480"/>
        <w:tab w:val="left" w:pos="6804"/>
        <w:tab w:val="right" w:pos="14118"/>
      </w:tabs>
    </w:pPr>
  </w:style>
  <w:style w:type="paragraph" w:customStyle="1" w:styleId="FooterLandscape">
    <w:name w:val="Footer Landscape"/>
    <w:basedOn w:val="Footer"/>
    <w:rsid w:val="00F77B7A"/>
    <w:pPr>
      <w:tabs>
        <w:tab w:val="clear" w:pos="9469"/>
        <w:tab w:val="right" w:pos="14118"/>
      </w:tabs>
    </w:pPr>
  </w:style>
  <w:style w:type="character" w:customStyle="1" w:styleId="TblFigFootnoteReference">
    <w:name w:val="Tbl Fig Footnote Reference"/>
    <w:rsid w:val="00F77B7A"/>
    <w:rPr>
      <w:rFonts w:ascii="Arial Narrow" w:eastAsia="MS Gothic" w:hAnsi="Arial Narrow"/>
      <w:i/>
      <w:dstrike w:val="0"/>
      <w:noProof w:val="0"/>
      <w:position w:val="6"/>
      <w:sz w:val="18"/>
      <w:vertAlign w:val="baseline"/>
      <w:lang w:val="en-US"/>
    </w:rPr>
  </w:style>
  <w:style w:type="paragraph" w:customStyle="1" w:styleId="xCover">
    <w:name w:val="xCover"/>
    <w:rsid w:val="00F77B7A"/>
    <w:pPr>
      <w:spacing w:before="120" w:after="0" w:line="240" w:lineRule="auto"/>
    </w:pPr>
    <w:rPr>
      <w:rFonts w:ascii="Arial" w:eastAsia="MS Gothic" w:hAnsi="Arial" w:cs="Times New Roman"/>
      <w:sz w:val="20"/>
      <w:szCs w:val="20"/>
      <w:lang w:val="en-US"/>
    </w:rPr>
  </w:style>
  <w:style w:type="paragraph" w:customStyle="1" w:styleId="xCoverAddress">
    <w:name w:val="xCoverAddress"/>
    <w:basedOn w:val="xCover"/>
    <w:rsid w:val="00F77B7A"/>
    <w:pPr>
      <w:spacing w:before="0"/>
    </w:pPr>
  </w:style>
  <w:style w:type="paragraph" w:customStyle="1" w:styleId="xCoverDocType">
    <w:name w:val="xCoverDocType"/>
    <w:basedOn w:val="xCover"/>
    <w:rsid w:val="00F77B7A"/>
    <w:pPr>
      <w:spacing w:before="360"/>
      <w:jc w:val="center"/>
    </w:pPr>
    <w:rPr>
      <w:b/>
      <w:caps/>
      <w:sz w:val="28"/>
    </w:rPr>
  </w:style>
  <w:style w:type="paragraph" w:customStyle="1" w:styleId="xCoverDocTitle">
    <w:name w:val="xCoverDocTitle"/>
    <w:basedOn w:val="xCover"/>
    <w:rsid w:val="00F77B7A"/>
    <w:pPr>
      <w:spacing w:before="240"/>
      <w:jc w:val="center"/>
    </w:pPr>
    <w:rPr>
      <w:b/>
      <w:sz w:val="24"/>
    </w:rPr>
  </w:style>
  <w:style w:type="paragraph" w:styleId="EndnoteText">
    <w:name w:val="endnote text"/>
    <w:basedOn w:val="Normal"/>
    <w:link w:val="EndnoteTextChar"/>
    <w:semiHidden/>
    <w:rsid w:val="00F77B7A"/>
    <w:rPr>
      <w:sz w:val="22"/>
      <w:szCs w:val="20"/>
    </w:rPr>
  </w:style>
  <w:style w:type="character" w:customStyle="1" w:styleId="EndnoteTextChar">
    <w:name w:val="Endnote Text Char"/>
    <w:basedOn w:val="DefaultParagraphFont"/>
    <w:link w:val="EndnoteText"/>
    <w:semiHidden/>
    <w:rsid w:val="00C971E9"/>
    <w:rPr>
      <w:rFonts w:ascii="Times New Roman" w:eastAsia="MS Mincho" w:hAnsi="Times New Roman" w:cs="Times New Roman"/>
      <w:color w:val="000000"/>
      <w:szCs w:val="20"/>
      <w:lang w:val="en-US"/>
    </w:rPr>
  </w:style>
  <w:style w:type="character" w:styleId="EndnoteReference">
    <w:name w:val="endnote reference"/>
    <w:semiHidden/>
    <w:rsid w:val="00F77B7A"/>
    <w:rPr>
      <w:vertAlign w:val="superscript"/>
    </w:rPr>
  </w:style>
  <w:style w:type="paragraph" w:styleId="MacroText">
    <w:name w:val="macro"/>
    <w:link w:val="MacroTextChar"/>
    <w:semiHidden/>
    <w:rsid w:val="00F77B7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US"/>
    </w:rPr>
  </w:style>
  <w:style w:type="character" w:customStyle="1" w:styleId="MacroTextChar">
    <w:name w:val="Macro Text Char"/>
    <w:basedOn w:val="DefaultParagraphFont"/>
    <w:link w:val="MacroText"/>
    <w:semiHidden/>
    <w:rsid w:val="00C971E9"/>
    <w:rPr>
      <w:rFonts w:ascii="Courier New" w:eastAsia="Times New Roman" w:hAnsi="Courier New" w:cs="Times New Roman"/>
      <w:sz w:val="20"/>
      <w:szCs w:val="20"/>
      <w:lang w:val="en-US"/>
    </w:rPr>
  </w:style>
  <w:style w:type="paragraph" w:styleId="TableofFigures">
    <w:name w:val="table of figures"/>
    <w:next w:val="Normal"/>
    <w:semiHidden/>
    <w:rsid w:val="00F77B7A"/>
    <w:pPr>
      <w:tabs>
        <w:tab w:val="right" w:leader="dot" w:pos="9468"/>
      </w:tabs>
      <w:spacing w:before="120" w:after="0" w:line="240" w:lineRule="auto"/>
    </w:pPr>
    <w:rPr>
      <w:rFonts w:ascii="Arial" w:eastAsia="Times New Roman" w:hAnsi="Arial" w:cs="Times New Roman"/>
      <w:sz w:val="20"/>
      <w:szCs w:val="20"/>
      <w:lang w:val="en-US"/>
    </w:rPr>
  </w:style>
  <w:style w:type="paragraph" w:styleId="TableofAuthorities">
    <w:name w:val="table of authorities"/>
    <w:basedOn w:val="Normal"/>
    <w:next w:val="Normal"/>
    <w:semiHidden/>
    <w:rsid w:val="00F77B7A"/>
    <w:pPr>
      <w:ind w:left="240" w:hanging="240"/>
    </w:pPr>
  </w:style>
  <w:style w:type="character" w:customStyle="1" w:styleId="ReplaceText">
    <w:name w:val="Replace Text"/>
    <w:rsid w:val="00F77B7A"/>
    <w:rPr>
      <w:color w:val="FF00FF"/>
    </w:rPr>
  </w:style>
  <w:style w:type="paragraph" w:styleId="TOC1">
    <w:name w:val="toc 1"/>
    <w:next w:val="Normal"/>
    <w:uiPriority w:val="39"/>
    <w:rsid w:val="00F77B7A"/>
    <w:pPr>
      <w:tabs>
        <w:tab w:val="right" w:leader="dot" w:pos="9468"/>
      </w:tabs>
      <w:spacing w:before="240" w:after="0" w:line="240" w:lineRule="auto"/>
      <w:ind w:left="851" w:right="567" w:hanging="851"/>
    </w:pPr>
    <w:rPr>
      <w:rFonts w:ascii="Arial" w:eastAsia="Times New Roman" w:hAnsi="Arial" w:cs="Times New Roman"/>
      <w:b/>
      <w:caps/>
      <w:sz w:val="20"/>
      <w:szCs w:val="20"/>
      <w:lang w:val="en-US"/>
    </w:rPr>
  </w:style>
  <w:style w:type="paragraph" w:customStyle="1" w:styleId="ListAlphabeticalLevel2">
    <w:name w:val="List Alphabetical Level 2"/>
    <w:basedOn w:val="ListNumbered"/>
    <w:rsid w:val="00F77B7A"/>
    <w:pPr>
      <w:numPr>
        <w:numId w:val="5"/>
      </w:numPr>
    </w:pPr>
  </w:style>
  <w:style w:type="paragraph" w:styleId="Index1">
    <w:name w:val="index 1"/>
    <w:basedOn w:val="Normal"/>
    <w:next w:val="Normal"/>
    <w:semiHidden/>
    <w:rsid w:val="00F77B7A"/>
    <w:pPr>
      <w:tabs>
        <w:tab w:val="left" w:pos="1701"/>
        <w:tab w:val="left" w:pos="3402"/>
        <w:tab w:val="left" w:pos="5103"/>
      </w:tabs>
      <w:spacing w:before="0"/>
      <w:ind w:left="1701" w:hanging="1701"/>
    </w:pPr>
  </w:style>
  <w:style w:type="paragraph" w:styleId="TOAHeading">
    <w:name w:val="toa heading"/>
    <w:basedOn w:val="Normal"/>
    <w:next w:val="Normal"/>
    <w:semiHidden/>
    <w:rsid w:val="00F77B7A"/>
    <w:pPr>
      <w:spacing w:before="120"/>
    </w:pPr>
    <w:rPr>
      <w:rFonts w:ascii="Arial" w:hAnsi="Arial" w:cs="Arial"/>
      <w:b/>
      <w:bCs/>
    </w:rPr>
  </w:style>
  <w:style w:type="character" w:customStyle="1" w:styleId="Reference">
    <w:name w:val="Reference"/>
    <w:rsid w:val="00F77B7A"/>
    <w:rPr>
      <w:color w:val="0000FF"/>
    </w:rPr>
  </w:style>
  <w:style w:type="paragraph" w:customStyle="1" w:styleId="TblTextbulletedlist">
    <w:name w:val="Tbl Text bulleted list"/>
    <w:basedOn w:val="TblTextLeft"/>
    <w:rsid w:val="00F77B7A"/>
    <w:pPr>
      <w:numPr>
        <w:numId w:val="9"/>
      </w:numPr>
      <w:tabs>
        <w:tab w:val="left" w:pos="216"/>
      </w:tabs>
      <w:spacing w:before="0" w:after="0"/>
      <w:ind w:left="216" w:hanging="216"/>
    </w:pPr>
  </w:style>
  <w:style w:type="paragraph" w:styleId="TOC2">
    <w:name w:val="toc 2"/>
    <w:basedOn w:val="TOC1"/>
    <w:next w:val="Normal"/>
    <w:semiHidden/>
    <w:rsid w:val="00F77B7A"/>
    <w:rPr>
      <w:b w:val="0"/>
    </w:rPr>
  </w:style>
  <w:style w:type="character" w:styleId="PageNumber">
    <w:name w:val="page number"/>
    <w:basedOn w:val="DefaultParagraphFont"/>
    <w:rsid w:val="00F77B7A"/>
  </w:style>
  <w:style w:type="paragraph" w:styleId="TOC3">
    <w:name w:val="toc 3"/>
    <w:basedOn w:val="TOC1"/>
    <w:next w:val="Normal"/>
    <w:semiHidden/>
    <w:rsid w:val="00F77B7A"/>
    <w:pPr>
      <w:spacing w:before="120"/>
    </w:pPr>
    <w:rPr>
      <w:b w:val="0"/>
      <w:caps w:val="0"/>
    </w:rPr>
  </w:style>
  <w:style w:type="paragraph" w:styleId="TOC4">
    <w:name w:val="toc 4"/>
    <w:basedOn w:val="TOC1"/>
    <w:next w:val="Normal"/>
    <w:semiHidden/>
    <w:rsid w:val="00F77B7A"/>
    <w:pPr>
      <w:spacing w:before="40"/>
    </w:pPr>
    <w:rPr>
      <w:b w:val="0"/>
      <w:caps w:val="0"/>
      <w:szCs w:val="22"/>
    </w:rPr>
  </w:style>
  <w:style w:type="paragraph" w:styleId="TOC5">
    <w:name w:val="toc 5"/>
    <w:basedOn w:val="TOC1"/>
    <w:next w:val="Normal"/>
    <w:semiHidden/>
    <w:rsid w:val="00F77B7A"/>
    <w:pPr>
      <w:spacing w:before="0"/>
    </w:pPr>
    <w:rPr>
      <w:b w:val="0"/>
      <w:caps w:val="0"/>
    </w:rPr>
  </w:style>
  <w:style w:type="paragraph" w:styleId="TOC6">
    <w:name w:val="toc 6"/>
    <w:basedOn w:val="TOC1"/>
    <w:next w:val="Normal"/>
    <w:semiHidden/>
    <w:rsid w:val="00F77B7A"/>
    <w:pPr>
      <w:spacing w:before="0"/>
    </w:pPr>
    <w:rPr>
      <w:b w:val="0"/>
      <w:caps w:val="0"/>
    </w:rPr>
  </w:style>
  <w:style w:type="paragraph" w:styleId="TOC7">
    <w:name w:val="toc 7"/>
    <w:basedOn w:val="TOC6"/>
    <w:next w:val="Normal"/>
    <w:semiHidden/>
    <w:rsid w:val="00F77B7A"/>
  </w:style>
  <w:style w:type="paragraph" w:styleId="TOC8">
    <w:name w:val="toc 8"/>
    <w:basedOn w:val="TOC6"/>
    <w:next w:val="Normal"/>
    <w:semiHidden/>
    <w:rsid w:val="00F77B7A"/>
  </w:style>
  <w:style w:type="paragraph" w:styleId="TOC9">
    <w:name w:val="toc 9"/>
    <w:basedOn w:val="TOC6"/>
    <w:next w:val="Normal"/>
    <w:semiHidden/>
    <w:rsid w:val="00F77B7A"/>
  </w:style>
  <w:style w:type="character" w:customStyle="1" w:styleId="TblFigFootnoteChar">
    <w:name w:val="Tbl Fig Footnote Char"/>
    <w:rsid w:val="00F77B7A"/>
    <w:rPr>
      <w:rFonts w:ascii="Arial Narrow" w:eastAsia="MS Gothic" w:hAnsi="Arial Narrow"/>
      <w:sz w:val="18"/>
      <w:lang w:val="en-US" w:eastAsia="en-US" w:bidi="ar-SA"/>
    </w:rPr>
  </w:style>
  <w:style w:type="character" w:styleId="FollowedHyperlink">
    <w:name w:val="FollowedHyperlink"/>
    <w:rsid w:val="00F77B7A"/>
    <w:rPr>
      <w:color w:val="800080"/>
      <w:u w:val="single"/>
    </w:rPr>
  </w:style>
  <w:style w:type="paragraph" w:styleId="BodyText2">
    <w:name w:val="Body Text 2"/>
    <w:basedOn w:val="Normal"/>
    <w:link w:val="BodyText2Char"/>
    <w:uiPriority w:val="99"/>
    <w:unhideWhenUsed/>
    <w:rsid w:val="00BC364A"/>
    <w:pPr>
      <w:spacing w:after="120" w:line="480" w:lineRule="auto"/>
    </w:pPr>
  </w:style>
  <w:style w:type="character" w:customStyle="1" w:styleId="BodyText2Char">
    <w:name w:val="Body Text 2 Char"/>
    <w:basedOn w:val="DefaultParagraphFont"/>
    <w:link w:val="BodyText2"/>
    <w:uiPriority w:val="99"/>
    <w:rsid w:val="00BC364A"/>
    <w:rPr>
      <w:rFonts w:ascii="Times New Roman" w:eastAsia="MS Mincho" w:hAnsi="Times New Roman" w:cs="Times New Roman"/>
      <w:color w:val="000000"/>
      <w:sz w:val="24"/>
      <w:szCs w:val="24"/>
      <w:lang w:val="en-US"/>
    </w:rPr>
  </w:style>
  <w:style w:type="paragraph" w:customStyle="1" w:styleId="wcpTableColHeader">
    <w:name w:val="wcp_TableColHeader"/>
    <w:basedOn w:val="Normal"/>
    <w:rsid w:val="000911AA"/>
    <w:pPr>
      <w:keepNext/>
      <w:spacing w:before="120" w:after="120"/>
      <w:jc w:val="center"/>
    </w:pPr>
    <w:rPr>
      <w:rFonts w:eastAsia="Times New Roman"/>
      <w:b/>
      <w:color w:val="auto"/>
      <w:sz w:val="22"/>
      <w:szCs w:val="20"/>
    </w:rPr>
  </w:style>
  <w:style w:type="character" w:customStyle="1" w:styleId="apple-converted-space">
    <w:name w:val="apple-converted-space"/>
    <w:basedOn w:val="DefaultParagraphFont"/>
    <w:rsid w:val="00CA73C2"/>
  </w:style>
  <w:style w:type="table" w:styleId="TableGrid">
    <w:name w:val="Table Grid"/>
    <w:basedOn w:val="TableNormal"/>
    <w:rsid w:val="003C5B2B"/>
    <w:pPr>
      <w:spacing w:before="240"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ListExclusion">
    <w:name w:val="Number List Exclusion"/>
    <w:basedOn w:val="ListBullet"/>
    <w:rsid w:val="008A2F32"/>
    <w:pPr>
      <w:numPr>
        <w:numId w:val="31"/>
      </w:numPr>
      <w:spacing w:before="0"/>
    </w:pPr>
    <w:rPr>
      <w:sz w:val="22"/>
    </w:rPr>
  </w:style>
  <w:style w:type="paragraph" w:customStyle="1" w:styleId="NumberListInclusion">
    <w:name w:val="Number List Inclusion"/>
    <w:basedOn w:val="ListBullet"/>
    <w:rsid w:val="0034683E"/>
    <w:pPr>
      <w:numPr>
        <w:numId w:val="32"/>
      </w:numPr>
      <w:spacing w:before="0"/>
    </w:pPr>
    <w:rPr>
      <w:sz w:val="22"/>
    </w:rPr>
  </w:style>
  <w:style w:type="paragraph" w:customStyle="1" w:styleId="PIHeading1">
    <w:name w:val="PI Heading 1"/>
    <w:basedOn w:val="Heading2"/>
    <w:link w:val="PIHeading1Char"/>
    <w:rsid w:val="004C5157"/>
    <w:pPr>
      <w:keepLines/>
      <w:numPr>
        <w:ilvl w:val="0"/>
        <w:numId w:val="0"/>
      </w:numPr>
      <w:spacing w:before="360" w:after="240"/>
    </w:pPr>
    <w:rPr>
      <w:rFonts w:eastAsia="Times New Roman" w:cs="Times New Roman"/>
      <w:iCs w:val="0"/>
      <w:caps w:val="0"/>
      <w:kern w:val="0"/>
      <w:sz w:val="24"/>
      <w:szCs w:val="20"/>
    </w:rPr>
  </w:style>
  <w:style w:type="character" w:customStyle="1" w:styleId="PIHeading1Char">
    <w:name w:val="PI Heading 1 Char"/>
    <w:link w:val="PIHeading1"/>
    <w:rsid w:val="004C5157"/>
    <w:rPr>
      <w:rFonts w:ascii="Arial" w:eastAsia="Times New Roman" w:hAnsi="Arial" w:cs="Times New Roman"/>
      <w:b/>
      <w:sz w:val="24"/>
      <w:szCs w:val="20"/>
      <w:lang w:val="en-US"/>
    </w:rPr>
  </w:style>
  <w:style w:type="paragraph" w:customStyle="1" w:styleId="Default">
    <w:name w:val="Default"/>
    <w:rsid w:val="00112BD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59"/>
    <w:rsid w:val="00560BD6"/>
    <w:pPr>
      <w:spacing w:after="0" w:line="240" w:lineRule="auto"/>
    </w:pPr>
    <w:rPr>
      <w:rFonts w:eastAsia="Cambria"/>
    </w:rPr>
    <w:tblPr>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9918">
      <w:bodyDiv w:val="1"/>
      <w:marLeft w:val="0"/>
      <w:marRight w:val="0"/>
      <w:marTop w:val="0"/>
      <w:marBottom w:val="0"/>
      <w:divBdr>
        <w:top w:val="none" w:sz="0" w:space="0" w:color="auto"/>
        <w:left w:val="none" w:sz="0" w:space="0" w:color="auto"/>
        <w:bottom w:val="none" w:sz="0" w:space="0" w:color="auto"/>
        <w:right w:val="none" w:sz="0" w:space="0" w:color="auto"/>
      </w:divBdr>
    </w:div>
    <w:div w:id="23672858">
      <w:bodyDiv w:val="1"/>
      <w:marLeft w:val="0"/>
      <w:marRight w:val="0"/>
      <w:marTop w:val="0"/>
      <w:marBottom w:val="0"/>
      <w:divBdr>
        <w:top w:val="none" w:sz="0" w:space="0" w:color="auto"/>
        <w:left w:val="none" w:sz="0" w:space="0" w:color="auto"/>
        <w:bottom w:val="none" w:sz="0" w:space="0" w:color="auto"/>
        <w:right w:val="none" w:sz="0" w:space="0" w:color="auto"/>
      </w:divBdr>
    </w:div>
    <w:div w:id="31865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o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0403139.PHARMA\OneDrive%20-%20Sanofi\Desktop\templates\domasys\DOMASYS_Standa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B4B14-3B7F-45ED-AA68-7897E6863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DOMASYS_Standard.dot</Template>
  <TotalTime>14</TotalTime>
  <Pages>26</Pages>
  <Words>7923</Words>
  <Characters>45164</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Nexviazyme</dc:title>
  <dc:creator>Ham, Alicia /AU</dc:creator>
  <cp:lastModifiedBy>PITKIN, Brendan</cp:lastModifiedBy>
  <cp:revision>3</cp:revision>
  <cp:lastPrinted>2017-09-05T05:25:00Z</cp:lastPrinted>
  <dcterms:created xsi:type="dcterms:W3CDTF">2022-12-07T23:53:00Z</dcterms:created>
  <dcterms:modified xsi:type="dcterms:W3CDTF">2022-12-16T04:18:00Z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Type of Document</vt:lpwstr>
  </property>
  <property fmtid="{D5CDD505-2E9C-101B-9397-08002B2CF9AE}" pid="3" name="INN">
    <vt:lpwstr>INN</vt:lpwstr>
  </property>
  <property fmtid="{D5CDD505-2E9C-101B-9397-08002B2CF9AE}" pid="4" name="Date">
    <vt:lpwstr>Date</vt:lpwstr>
  </property>
  <property fmtid="{D5CDD505-2E9C-101B-9397-08002B2CF9AE}" pid="5" name="Product Code">
    <vt:lpwstr>Product Code / Study Number</vt:lpwstr>
  </property>
  <property fmtid="{D5CDD505-2E9C-101B-9397-08002B2CF9AE}" pid="6" name="LastRefNum">
    <vt:i4>0</vt:i4>
  </property>
  <property fmtid="{D5CDD505-2E9C-101B-9397-08002B2CF9AE}" pid="7" name="https">
    <vt:lpwstr>1</vt:lpwstr>
  </property>
  <property fmtid="{D5CDD505-2E9C-101B-9397-08002B2CF9AE}" pid="8" name="Custom1">
    <vt:lpwstr/>
  </property>
  <property fmtid="{D5CDD505-2E9C-101B-9397-08002B2CF9AE}" pid="9" name="Custom2">
    <vt:lpwstr/>
  </property>
  <property fmtid="{D5CDD505-2E9C-101B-9397-08002B2CF9AE}" pid="10" name="Custom3">
    <vt:lpwstr/>
  </property>
  <property fmtid="{D5CDD505-2E9C-101B-9397-08002B2CF9AE}" pid="11" name="Custom4">
    <vt:lpwstr/>
  </property>
</Properties>
</file>