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2021EA6A" w14:textId="77777777" w:rsidTr="00BF1190">
        <w:trPr>
          <w:trHeight w:val="1863"/>
        </w:trPr>
        <w:tc>
          <w:tcPr>
            <w:tcW w:w="3652" w:type="dxa"/>
            <w:tcBorders>
              <w:top w:val="nil"/>
              <w:left w:val="nil"/>
              <w:bottom w:val="nil"/>
              <w:right w:val="nil"/>
            </w:tcBorders>
          </w:tcPr>
          <w:p w14:paraId="4F12D27D" w14:textId="519A143E" w:rsidR="008E7846" w:rsidRPr="00096AA7" w:rsidRDefault="00E055FA" w:rsidP="00F931CE">
            <w:pPr>
              <w:pStyle w:val="Date"/>
              <w:framePr w:hSpace="0" w:wrap="auto" w:vAnchor="margin" w:hAnchor="text" w:yAlign="inline"/>
              <w:suppressOverlap w:val="0"/>
            </w:pPr>
            <w:r>
              <w:t xml:space="preserve">December </w:t>
            </w:r>
            <w:r w:rsidR="008A3E09">
              <w:t>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11FAB7D6" w14:textId="77777777" w:rsidTr="0032583B">
        <w:trPr>
          <w:trHeight w:val="868"/>
        </w:trPr>
        <w:tc>
          <w:tcPr>
            <w:tcW w:w="9079" w:type="dxa"/>
          </w:tcPr>
          <w:p w14:paraId="502AB8A7" w14:textId="14702BCD" w:rsidR="0032583B" w:rsidRPr="00A964D1" w:rsidRDefault="0032583B" w:rsidP="00F931CE">
            <w:pPr>
              <w:pStyle w:val="Title"/>
              <w:framePr w:hSpace="0" w:wrap="auto" w:vAnchor="margin" w:yAlign="inline"/>
            </w:pPr>
            <w:r w:rsidRPr="00A964D1">
              <w:t>Australian Public Assessment Report for</w:t>
            </w:r>
            <w:r w:rsidR="00AF2313">
              <w:t xml:space="preserve"> </w:t>
            </w:r>
            <w:proofErr w:type="spellStart"/>
            <w:r w:rsidR="008A3E09">
              <w:t>Kozenis</w:t>
            </w:r>
            <w:proofErr w:type="spellEnd"/>
          </w:p>
        </w:tc>
      </w:tr>
      <w:tr w:rsidR="0032583B" w:rsidRPr="00B64760" w14:paraId="606BABED" w14:textId="77777777" w:rsidTr="0032583B">
        <w:tc>
          <w:tcPr>
            <w:tcW w:w="9079" w:type="dxa"/>
          </w:tcPr>
          <w:p w14:paraId="5A6B4610" w14:textId="6C286AF1" w:rsidR="0032583B" w:rsidRPr="008E7846" w:rsidRDefault="00BB75D6" w:rsidP="00F931CE">
            <w:pPr>
              <w:pStyle w:val="Subtitle"/>
              <w:framePr w:hSpace="0" w:wrap="auto" w:vAnchor="margin" w:yAlign="inline"/>
            </w:pPr>
            <w:r>
              <w:t>Active ingredients</w:t>
            </w:r>
            <w:r w:rsidR="0032583B" w:rsidRPr="008E7846">
              <w:t xml:space="preserve">: </w:t>
            </w:r>
            <w:r w:rsidR="008A3E09" w:rsidRPr="008A3E09">
              <w:t>Tafenoquine</w:t>
            </w:r>
          </w:p>
        </w:tc>
      </w:tr>
      <w:tr w:rsidR="0032583B" w:rsidRPr="00B64760" w14:paraId="73D9AC82" w14:textId="77777777" w:rsidTr="0032583B">
        <w:trPr>
          <w:trHeight w:val="486"/>
        </w:trPr>
        <w:tc>
          <w:tcPr>
            <w:tcW w:w="9079" w:type="dxa"/>
          </w:tcPr>
          <w:p w14:paraId="1DAF9451" w14:textId="6C1E399E" w:rsidR="0032583B" w:rsidRPr="008E7846" w:rsidRDefault="00460036" w:rsidP="009556D7">
            <w:pPr>
              <w:pStyle w:val="Subtitle"/>
              <w:framePr w:hSpace="0" w:wrap="auto" w:vAnchor="margin" w:yAlign="inline"/>
            </w:pPr>
            <w:r>
              <w:t xml:space="preserve">Sponsor: </w:t>
            </w:r>
            <w:r w:rsidR="008A3E09" w:rsidRPr="008A3E09">
              <w:t>GlaxoSmithKline Australia Pty Ltd</w:t>
            </w:r>
          </w:p>
        </w:tc>
      </w:tr>
    </w:tbl>
    <w:p w14:paraId="00BBE334" w14:textId="77777777" w:rsidR="008E7846" w:rsidRPr="0085156D" w:rsidRDefault="008E7846" w:rsidP="0085156D">
      <w:r w:rsidRPr="0085156D">
        <w:br w:type="page"/>
      </w:r>
    </w:p>
    <w:p w14:paraId="4307EBA0" w14:textId="77777777" w:rsidR="008E7846" w:rsidRPr="001F6CBA" w:rsidRDefault="008E7846" w:rsidP="008E7846">
      <w:pPr>
        <w:pStyle w:val="NonTOCHeading2"/>
      </w:pPr>
      <w:r w:rsidRPr="001F6CBA">
        <w:lastRenderedPageBreak/>
        <w:t>About the Therapeutic Goods Administration (TGA)</w:t>
      </w:r>
    </w:p>
    <w:p w14:paraId="21E739A3" w14:textId="77777777" w:rsidR="00AF2313" w:rsidRPr="00391B0C" w:rsidRDefault="00AF2313" w:rsidP="00AF2313">
      <w:pPr>
        <w:pStyle w:val="ListBullet"/>
      </w:pPr>
      <w:r w:rsidRPr="00391B0C">
        <w:t>The Therapeutic Goods Administration (TGA) is part of the Australian Government Department of Health and is responsible for regulating therapeutic goods, including medicines, medical devices, and biologicals.</w:t>
      </w:r>
    </w:p>
    <w:p w14:paraId="3E9ADF5B" w14:textId="77777777" w:rsidR="00AF2313" w:rsidRPr="00391B0C" w:rsidRDefault="00AF2313" w:rsidP="00AF2313">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w:t>
      </w:r>
      <w:r w:rsidR="00CC5044" w:rsidRPr="00391B0C">
        <w:t>safety,</w:t>
      </w:r>
      <w:r w:rsidRPr="00391B0C">
        <w:t xml:space="preserve"> and efficacy.</w:t>
      </w:r>
    </w:p>
    <w:p w14:paraId="5677884A" w14:textId="77777777" w:rsidR="00AF2313" w:rsidRPr="003C6D1F" w:rsidRDefault="00AF2313" w:rsidP="00AF2313">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42B45DBE" w14:textId="77777777" w:rsidR="00AF2313" w:rsidRPr="003C6D1F" w:rsidRDefault="00AF2313" w:rsidP="00AF2313">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C7D1A37" w14:textId="007E4EA7" w:rsidR="00AF2313" w:rsidRDefault="00AF2313" w:rsidP="00AF2313">
      <w:pPr>
        <w:pStyle w:val="ListBullet"/>
      </w:pPr>
      <w:r w:rsidRPr="003C6D1F">
        <w:t xml:space="preserve">To report a problem with a </w:t>
      </w:r>
      <w:r>
        <w:t>therapeutic good</w:t>
      </w:r>
      <w:r w:rsidRPr="003C6D1F">
        <w:t xml:space="preserve">, please see the information on the </w:t>
      </w:r>
      <w:hyperlink r:id="rId8" w:history="1">
        <w:r w:rsidRPr="000F15B4">
          <w:rPr>
            <w:rStyle w:val="Hyperlink"/>
          </w:rPr>
          <w:t>TGA website</w:t>
        </w:r>
      </w:hyperlink>
      <w:r w:rsidRPr="003C6D1F">
        <w:t>.</w:t>
      </w:r>
    </w:p>
    <w:p w14:paraId="066381CE" w14:textId="77777777" w:rsidR="008E7846" w:rsidRDefault="008E7846" w:rsidP="00875A6B">
      <w:pPr>
        <w:pStyle w:val="NonTOCHeading2"/>
      </w:pPr>
      <w:r>
        <w:t xml:space="preserve">About </w:t>
      </w:r>
      <w:proofErr w:type="spellStart"/>
      <w:r>
        <w:t>AusPARs</w:t>
      </w:r>
      <w:proofErr w:type="spellEnd"/>
    </w:p>
    <w:p w14:paraId="32777CCD" w14:textId="089C1CE3" w:rsidR="00AF2313" w:rsidRPr="003C6D1F" w:rsidRDefault="00AF2313" w:rsidP="00AF2313">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9" w:history="1">
        <w:r w:rsidRPr="005A2EB8">
          <w:rPr>
            <w:rStyle w:val="Hyperlink"/>
          </w:rPr>
          <w:t>Australian Public Assessment Report (AusPAR) guidance</w:t>
        </w:r>
      </w:hyperlink>
      <w:r>
        <w:t>.</w:t>
      </w:r>
    </w:p>
    <w:p w14:paraId="2CFB8A75" w14:textId="77777777" w:rsidR="00AF2313" w:rsidRPr="003C6D1F" w:rsidRDefault="00AF2313" w:rsidP="00AF2313">
      <w:pPr>
        <w:pStyle w:val="ListBullet"/>
      </w:pPr>
      <w:proofErr w:type="spellStart"/>
      <w:r w:rsidRPr="003C6D1F">
        <w:t>AusPARs</w:t>
      </w:r>
      <w:proofErr w:type="spellEnd"/>
      <w:r w:rsidRPr="003C6D1F">
        <w:t xml:space="preserve"> are prepared and published by the TGA.</w:t>
      </w:r>
    </w:p>
    <w:p w14:paraId="48FB7701" w14:textId="77777777" w:rsidR="00AF2313" w:rsidRPr="003C6D1F" w:rsidRDefault="00AF2313" w:rsidP="00AF2313">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rsidR="008110BC">
        <w:t xml:space="preserve"> The publication of an AusPAR is an important part of the transparency of the TGA’s decision-making process.</w:t>
      </w:r>
    </w:p>
    <w:p w14:paraId="72114CA8" w14:textId="77777777" w:rsidR="00AF2313" w:rsidRPr="003C6D1F" w:rsidRDefault="00AF2313" w:rsidP="00AF2313">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1CB6CD6F" w14:textId="77777777" w:rsidR="00924482" w:rsidRPr="00DF1D7F" w:rsidRDefault="00924482" w:rsidP="00F54B65">
      <w:pPr>
        <w:pStyle w:val="LegalSubheading"/>
        <w:spacing w:before="3120"/>
      </w:pPr>
      <w:r w:rsidRPr="00DF1D7F">
        <w:t>Copyright</w:t>
      </w:r>
    </w:p>
    <w:p w14:paraId="2BF3CD4E" w14:textId="680CD720"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AF2313">
        <w:rPr>
          <w:rFonts w:cs="Arial"/>
          <w:lang w:val="en-GB"/>
        </w:rPr>
        <w:t>2</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w:t>
      </w:r>
      <w:r w:rsidR="00EB36D6" w:rsidRPr="00191B3B">
        <w:rPr>
          <w:rFonts w:cs="Arial"/>
          <w:lang w:val="en-GB"/>
        </w:rPr>
        <w:t>reserved,</w:t>
      </w:r>
      <w:r w:rsidRPr="00191B3B">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4317E2BB"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Cs w:val="0"/>
        </w:rPr>
      </w:sdtEndPr>
      <w:sdtContent>
        <w:p w14:paraId="0661FF05" w14:textId="77777777" w:rsidR="0089635C" w:rsidRPr="0089635C" w:rsidRDefault="0089635C" w:rsidP="0010788A">
          <w:pPr>
            <w:pStyle w:val="Contents"/>
          </w:pPr>
          <w:r w:rsidRPr="0010788A">
            <w:t>Contents</w:t>
          </w:r>
        </w:p>
        <w:p w14:paraId="07A56D59" w14:textId="108E099C" w:rsidR="00D70A51"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118798352" w:history="1">
            <w:r w:rsidR="00D70A51" w:rsidRPr="00D05C9A">
              <w:rPr>
                <w:rStyle w:val="Hyperlink"/>
                <w:noProof/>
              </w:rPr>
              <w:t>List of abbreviations</w:t>
            </w:r>
            <w:r w:rsidR="00D70A51">
              <w:rPr>
                <w:noProof/>
                <w:webHidden/>
              </w:rPr>
              <w:tab/>
            </w:r>
            <w:r w:rsidR="00D70A51">
              <w:rPr>
                <w:noProof/>
                <w:webHidden/>
              </w:rPr>
              <w:fldChar w:fldCharType="begin"/>
            </w:r>
            <w:r w:rsidR="00D70A51">
              <w:rPr>
                <w:noProof/>
                <w:webHidden/>
              </w:rPr>
              <w:instrText xml:space="preserve"> PAGEREF _Toc118798352 \h </w:instrText>
            </w:r>
            <w:r w:rsidR="00D70A51">
              <w:rPr>
                <w:noProof/>
                <w:webHidden/>
              </w:rPr>
            </w:r>
            <w:r w:rsidR="00D70A51">
              <w:rPr>
                <w:noProof/>
                <w:webHidden/>
              </w:rPr>
              <w:fldChar w:fldCharType="separate"/>
            </w:r>
            <w:r w:rsidR="00C61F95">
              <w:rPr>
                <w:noProof/>
                <w:webHidden/>
              </w:rPr>
              <w:t>4</w:t>
            </w:r>
            <w:r w:rsidR="00D70A51">
              <w:rPr>
                <w:noProof/>
                <w:webHidden/>
              </w:rPr>
              <w:fldChar w:fldCharType="end"/>
            </w:r>
          </w:hyperlink>
        </w:p>
        <w:p w14:paraId="7060A487" w14:textId="7E312555" w:rsidR="00D70A51" w:rsidRDefault="00503A56">
          <w:pPr>
            <w:pStyle w:val="TOC1"/>
            <w:rPr>
              <w:rFonts w:asciiTheme="minorHAnsi" w:eastAsiaTheme="minorEastAsia" w:hAnsiTheme="minorHAnsi" w:cstheme="minorBidi"/>
              <w:b w:val="0"/>
              <w:noProof/>
              <w:sz w:val="22"/>
              <w:lang w:eastAsia="en-AU"/>
            </w:rPr>
          </w:pPr>
          <w:hyperlink w:anchor="_Toc118798353" w:history="1">
            <w:r w:rsidR="00D70A51" w:rsidRPr="00D05C9A">
              <w:rPr>
                <w:rStyle w:val="Hyperlink"/>
                <w:noProof/>
              </w:rPr>
              <w:t>Product submission</w:t>
            </w:r>
            <w:r w:rsidR="00D70A51">
              <w:rPr>
                <w:noProof/>
                <w:webHidden/>
              </w:rPr>
              <w:tab/>
            </w:r>
            <w:r w:rsidR="00D70A51">
              <w:rPr>
                <w:noProof/>
                <w:webHidden/>
              </w:rPr>
              <w:fldChar w:fldCharType="begin"/>
            </w:r>
            <w:r w:rsidR="00D70A51">
              <w:rPr>
                <w:noProof/>
                <w:webHidden/>
              </w:rPr>
              <w:instrText xml:space="preserve"> PAGEREF _Toc118798353 \h </w:instrText>
            </w:r>
            <w:r w:rsidR="00D70A51">
              <w:rPr>
                <w:noProof/>
                <w:webHidden/>
              </w:rPr>
            </w:r>
            <w:r w:rsidR="00D70A51">
              <w:rPr>
                <w:noProof/>
                <w:webHidden/>
              </w:rPr>
              <w:fldChar w:fldCharType="separate"/>
            </w:r>
            <w:r w:rsidR="00C61F95">
              <w:rPr>
                <w:noProof/>
                <w:webHidden/>
              </w:rPr>
              <w:t>5</w:t>
            </w:r>
            <w:r w:rsidR="00D70A51">
              <w:rPr>
                <w:noProof/>
                <w:webHidden/>
              </w:rPr>
              <w:fldChar w:fldCharType="end"/>
            </w:r>
          </w:hyperlink>
        </w:p>
        <w:p w14:paraId="4694CDE6" w14:textId="568BD971" w:rsidR="00D70A51" w:rsidRDefault="00503A56">
          <w:pPr>
            <w:pStyle w:val="TOC2"/>
            <w:rPr>
              <w:rFonts w:asciiTheme="minorHAnsi" w:eastAsiaTheme="minorEastAsia" w:hAnsiTheme="minorHAnsi" w:cstheme="minorBidi"/>
              <w:b w:val="0"/>
              <w:noProof/>
              <w:sz w:val="22"/>
              <w:lang w:eastAsia="en-AU"/>
            </w:rPr>
          </w:pPr>
          <w:hyperlink w:anchor="_Toc118798354" w:history="1">
            <w:r w:rsidR="00D70A51" w:rsidRPr="00D05C9A">
              <w:rPr>
                <w:rStyle w:val="Hyperlink"/>
                <w:noProof/>
                <w:lang w:eastAsia="en-AU"/>
              </w:rPr>
              <w:t>Submission details</w:t>
            </w:r>
            <w:r w:rsidR="00D70A51">
              <w:rPr>
                <w:noProof/>
                <w:webHidden/>
              </w:rPr>
              <w:tab/>
            </w:r>
            <w:r w:rsidR="00D70A51">
              <w:rPr>
                <w:noProof/>
                <w:webHidden/>
              </w:rPr>
              <w:fldChar w:fldCharType="begin"/>
            </w:r>
            <w:r w:rsidR="00D70A51">
              <w:rPr>
                <w:noProof/>
                <w:webHidden/>
              </w:rPr>
              <w:instrText xml:space="preserve"> PAGEREF _Toc118798354 \h </w:instrText>
            </w:r>
            <w:r w:rsidR="00D70A51">
              <w:rPr>
                <w:noProof/>
                <w:webHidden/>
              </w:rPr>
            </w:r>
            <w:r w:rsidR="00D70A51">
              <w:rPr>
                <w:noProof/>
                <w:webHidden/>
              </w:rPr>
              <w:fldChar w:fldCharType="separate"/>
            </w:r>
            <w:r w:rsidR="00C61F95">
              <w:rPr>
                <w:noProof/>
                <w:webHidden/>
              </w:rPr>
              <w:t>5</w:t>
            </w:r>
            <w:r w:rsidR="00D70A51">
              <w:rPr>
                <w:noProof/>
                <w:webHidden/>
              </w:rPr>
              <w:fldChar w:fldCharType="end"/>
            </w:r>
          </w:hyperlink>
        </w:p>
        <w:p w14:paraId="55ABB7F6" w14:textId="6827CD3C" w:rsidR="00D70A51" w:rsidRDefault="00503A56">
          <w:pPr>
            <w:pStyle w:val="TOC2"/>
            <w:rPr>
              <w:rFonts w:asciiTheme="minorHAnsi" w:eastAsiaTheme="minorEastAsia" w:hAnsiTheme="minorHAnsi" w:cstheme="minorBidi"/>
              <w:b w:val="0"/>
              <w:noProof/>
              <w:sz w:val="22"/>
              <w:lang w:eastAsia="en-AU"/>
            </w:rPr>
          </w:pPr>
          <w:hyperlink w:anchor="_Toc118798355" w:history="1">
            <w:r w:rsidR="00D70A51" w:rsidRPr="00D05C9A">
              <w:rPr>
                <w:rStyle w:val="Hyperlink"/>
                <w:noProof/>
              </w:rPr>
              <w:t>Product background</w:t>
            </w:r>
            <w:r w:rsidR="00D70A51">
              <w:rPr>
                <w:noProof/>
                <w:webHidden/>
              </w:rPr>
              <w:tab/>
            </w:r>
            <w:r w:rsidR="00D70A51">
              <w:rPr>
                <w:noProof/>
                <w:webHidden/>
              </w:rPr>
              <w:fldChar w:fldCharType="begin"/>
            </w:r>
            <w:r w:rsidR="00D70A51">
              <w:rPr>
                <w:noProof/>
                <w:webHidden/>
              </w:rPr>
              <w:instrText xml:space="preserve"> PAGEREF _Toc118798355 \h </w:instrText>
            </w:r>
            <w:r w:rsidR="00D70A51">
              <w:rPr>
                <w:noProof/>
                <w:webHidden/>
              </w:rPr>
            </w:r>
            <w:r w:rsidR="00D70A51">
              <w:rPr>
                <w:noProof/>
                <w:webHidden/>
              </w:rPr>
              <w:fldChar w:fldCharType="separate"/>
            </w:r>
            <w:r w:rsidR="00C61F95">
              <w:rPr>
                <w:noProof/>
                <w:webHidden/>
              </w:rPr>
              <w:t>7</w:t>
            </w:r>
            <w:r w:rsidR="00D70A51">
              <w:rPr>
                <w:noProof/>
                <w:webHidden/>
              </w:rPr>
              <w:fldChar w:fldCharType="end"/>
            </w:r>
          </w:hyperlink>
        </w:p>
        <w:p w14:paraId="37BD362E" w14:textId="51A3466C" w:rsidR="00D70A51" w:rsidRDefault="00503A56">
          <w:pPr>
            <w:pStyle w:val="TOC2"/>
            <w:rPr>
              <w:rFonts w:asciiTheme="minorHAnsi" w:eastAsiaTheme="minorEastAsia" w:hAnsiTheme="minorHAnsi" w:cstheme="minorBidi"/>
              <w:b w:val="0"/>
              <w:noProof/>
              <w:sz w:val="22"/>
              <w:lang w:eastAsia="en-AU"/>
            </w:rPr>
          </w:pPr>
          <w:hyperlink w:anchor="_Toc118798356" w:history="1">
            <w:r w:rsidR="00D70A51" w:rsidRPr="00D05C9A">
              <w:rPr>
                <w:rStyle w:val="Hyperlink"/>
                <w:noProof/>
              </w:rPr>
              <w:t>Regulatory status</w:t>
            </w:r>
            <w:r w:rsidR="00D70A51">
              <w:rPr>
                <w:noProof/>
                <w:webHidden/>
              </w:rPr>
              <w:tab/>
            </w:r>
            <w:r w:rsidR="00D70A51">
              <w:rPr>
                <w:noProof/>
                <w:webHidden/>
              </w:rPr>
              <w:fldChar w:fldCharType="begin"/>
            </w:r>
            <w:r w:rsidR="00D70A51">
              <w:rPr>
                <w:noProof/>
                <w:webHidden/>
              </w:rPr>
              <w:instrText xml:space="preserve"> PAGEREF _Toc118798356 \h </w:instrText>
            </w:r>
            <w:r w:rsidR="00D70A51">
              <w:rPr>
                <w:noProof/>
                <w:webHidden/>
              </w:rPr>
            </w:r>
            <w:r w:rsidR="00D70A51">
              <w:rPr>
                <w:noProof/>
                <w:webHidden/>
              </w:rPr>
              <w:fldChar w:fldCharType="separate"/>
            </w:r>
            <w:r w:rsidR="00C61F95">
              <w:rPr>
                <w:noProof/>
                <w:webHidden/>
              </w:rPr>
              <w:t>8</w:t>
            </w:r>
            <w:r w:rsidR="00D70A51">
              <w:rPr>
                <w:noProof/>
                <w:webHidden/>
              </w:rPr>
              <w:fldChar w:fldCharType="end"/>
            </w:r>
          </w:hyperlink>
        </w:p>
        <w:p w14:paraId="70D44612" w14:textId="607889A5" w:rsidR="00D70A51" w:rsidRDefault="00503A56">
          <w:pPr>
            <w:pStyle w:val="TOC2"/>
            <w:rPr>
              <w:rFonts w:asciiTheme="minorHAnsi" w:eastAsiaTheme="minorEastAsia" w:hAnsiTheme="minorHAnsi" w:cstheme="minorBidi"/>
              <w:b w:val="0"/>
              <w:noProof/>
              <w:sz w:val="22"/>
              <w:lang w:eastAsia="en-AU"/>
            </w:rPr>
          </w:pPr>
          <w:hyperlink w:anchor="_Toc118798357" w:history="1">
            <w:r w:rsidR="00D70A51" w:rsidRPr="00D05C9A">
              <w:rPr>
                <w:rStyle w:val="Hyperlink"/>
                <w:noProof/>
              </w:rPr>
              <w:t>Product Information</w:t>
            </w:r>
            <w:r w:rsidR="00D70A51">
              <w:rPr>
                <w:noProof/>
                <w:webHidden/>
              </w:rPr>
              <w:tab/>
            </w:r>
            <w:r w:rsidR="00D70A51">
              <w:rPr>
                <w:noProof/>
                <w:webHidden/>
              </w:rPr>
              <w:fldChar w:fldCharType="begin"/>
            </w:r>
            <w:r w:rsidR="00D70A51">
              <w:rPr>
                <w:noProof/>
                <w:webHidden/>
              </w:rPr>
              <w:instrText xml:space="preserve"> PAGEREF _Toc118798357 \h </w:instrText>
            </w:r>
            <w:r w:rsidR="00D70A51">
              <w:rPr>
                <w:noProof/>
                <w:webHidden/>
              </w:rPr>
            </w:r>
            <w:r w:rsidR="00D70A51">
              <w:rPr>
                <w:noProof/>
                <w:webHidden/>
              </w:rPr>
              <w:fldChar w:fldCharType="separate"/>
            </w:r>
            <w:r w:rsidR="00C61F95">
              <w:rPr>
                <w:noProof/>
                <w:webHidden/>
              </w:rPr>
              <w:t>8</w:t>
            </w:r>
            <w:r w:rsidR="00D70A51">
              <w:rPr>
                <w:noProof/>
                <w:webHidden/>
              </w:rPr>
              <w:fldChar w:fldCharType="end"/>
            </w:r>
          </w:hyperlink>
        </w:p>
        <w:p w14:paraId="1A9105B2" w14:textId="4FF74383" w:rsidR="00D70A51" w:rsidRDefault="00503A56">
          <w:pPr>
            <w:pStyle w:val="TOC1"/>
            <w:rPr>
              <w:rFonts w:asciiTheme="minorHAnsi" w:eastAsiaTheme="minorEastAsia" w:hAnsiTheme="minorHAnsi" w:cstheme="minorBidi"/>
              <w:b w:val="0"/>
              <w:noProof/>
              <w:sz w:val="22"/>
              <w:lang w:eastAsia="en-AU"/>
            </w:rPr>
          </w:pPr>
          <w:hyperlink w:anchor="_Toc118798358" w:history="1">
            <w:r w:rsidR="00D70A51" w:rsidRPr="00D05C9A">
              <w:rPr>
                <w:rStyle w:val="Hyperlink"/>
                <w:noProof/>
              </w:rPr>
              <w:t>Registration timeline</w:t>
            </w:r>
            <w:r w:rsidR="00D70A51">
              <w:rPr>
                <w:noProof/>
                <w:webHidden/>
              </w:rPr>
              <w:tab/>
            </w:r>
            <w:r w:rsidR="00D70A51">
              <w:rPr>
                <w:noProof/>
                <w:webHidden/>
              </w:rPr>
              <w:fldChar w:fldCharType="begin"/>
            </w:r>
            <w:r w:rsidR="00D70A51">
              <w:rPr>
                <w:noProof/>
                <w:webHidden/>
              </w:rPr>
              <w:instrText xml:space="preserve"> PAGEREF _Toc118798358 \h </w:instrText>
            </w:r>
            <w:r w:rsidR="00D70A51">
              <w:rPr>
                <w:noProof/>
                <w:webHidden/>
              </w:rPr>
            </w:r>
            <w:r w:rsidR="00D70A51">
              <w:rPr>
                <w:noProof/>
                <w:webHidden/>
              </w:rPr>
              <w:fldChar w:fldCharType="separate"/>
            </w:r>
            <w:r w:rsidR="00C61F95">
              <w:rPr>
                <w:noProof/>
                <w:webHidden/>
              </w:rPr>
              <w:t>9</w:t>
            </w:r>
            <w:r w:rsidR="00D70A51">
              <w:rPr>
                <w:noProof/>
                <w:webHidden/>
              </w:rPr>
              <w:fldChar w:fldCharType="end"/>
            </w:r>
          </w:hyperlink>
        </w:p>
        <w:p w14:paraId="48943988" w14:textId="04836641" w:rsidR="00D70A51" w:rsidRDefault="00503A56">
          <w:pPr>
            <w:pStyle w:val="TOC1"/>
            <w:rPr>
              <w:rFonts w:asciiTheme="minorHAnsi" w:eastAsiaTheme="minorEastAsia" w:hAnsiTheme="minorHAnsi" w:cstheme="minorBidi"/>
              <w:b w:val="0"/>
              <w:noProof/>
              <w:sz w:val="22"/>
              <w:lang w:eastAsia="en-AU"/>
            </w:rPr>
          </w:pPr>
          <w:hyperlink w:anchor="_Toc118798359" w:history="1">
            <w:r w:rsidR="00D70A51" w:rsidRPr="00D05C9A">
              <w:rPr>
                <w:rStyle w:val="Hyperlink"/>
                <w:noProof/>
              </w:rPr>
              <w:t>Submission overview and risk/benefit assessment</w:t>
            </w:r>
            <w:r w:rsidR="00D70A51">
              <w:rPr>
                <w:noProof/>
                <w:webHidden/>
              </w:rPr>
              <w:tab/>
            </w:r>
            <w:r w:rsidR="00D70A51">
              <w:rPr>
                <w:noProof/>
                <w:webHidden/>
              </w:rPr>
              <w:fldChar w:fldCharType="begin"/>
            </w:r>
            <w:r w:rsidR="00D70A51">
              <w:rPr>
                <w:noProof/>
                <w:webHidden/>
              </w:rPr>
              <w:instrText xml:space="preserve"> PAGEREF _Toc118798359 \h </w:instrText>
            </w:r>
            <w:r w:rsidR="00D70A51">
              <w:rPr>
                <w:noProof/>
                <w:webHidden/>
              </w:rPr>
            </w:r>
            <w:r w:rsidR="00D70A51">
              <w:rPr>
                <w:noProof/>
                <w:webHidden/>
              </w:rPr>
              <w:fldChar w:fldCharType="separate"/>
            </w:r>
            <w:r w:rsidR="00C61F95">
              <w:rPr>
                <w:noProof/>
                <w:webHidden/>
              </w:rPr>
              <w:t>9</w:t>
            </w:r>
            <w:r w:rsidR="00D70A51">
              <w:rPr>
                <w:noProof/>
                <w:webHidden/>
              </w:rPr>
              <w:fldChar w:fldCharType="end"/>
            </w:r>
          </w:hyperlink>
        </w:p>
        <w:p w14:paraId="796FF543" w14:textId="791EBAE0" w:rsidR="00D70A51" w:rsidRDefault="00503A56">
          <w:pPr>
            <w:pStyle w:val="TOC2"/>
            <w:rPr>
              <w:rFonts w:asciiTheme="minorHAnsi" w:eastAsiaTheme="minorEastAsia" w:hAnsiTheme="minorHAnsi" w:cstheme="minorBidi"/>
              <w:b w:val="0"/>
              <w:noProof/>
              <w:sz w:val="22"/>
              <w:lang w:eastAsia="en-AU"/>
            </w:rPr>
          </w:pPr>
          <w:hyperlink w:anchor="_Toc118798360" w:history="1">
            <w:r w:rsidR="00D70A51" w:rsidRPr="00D05C9A">
              <w:rPr>
                <w:rStyle w:val="Hyperlink"/>
                <w:noProof/>
              </w:rPr>
              <w:t>Quality</w:t>
            </w:r>
            <w:r w:rsidR="00D70A51">
              <w:rPr>
                <w:noProof/>
                <w:webHidden/>
              </w:rPr>
              <w:tab/>
            </w:r>
            <w:r w:rsidR="00D70A51">
              <w:rPr>
                <w:noProof/>
                <w:webHidden/>
              </w:rPr>
              <w:fldChar w:fldCharType="begin"/>
            </w:r>
            <w:r w:rsidR="00D70A51">
              <w:rPr>
                <w:noProof/>
                <w:webHidden/>
              </w:rPr>
              <w:instrText xml:space="preserve"> PAGEREF _Toc118798360 \h </w:instrText>
            </w:r>
            <w:r w:rsidR="00D70A51">
              <w:rPr>
                <w:noProof/>
                <w:webHidden/>
              </w:rPr>
            </w:r>
            <w:r w:rsidR="00D70A51">
              <w:rPr>
                <w:noProof/>
                <w:webHidden/>
              </w:rPr>
              <w:fldChar w:fldCharType="separate"/>
            </w:r>
            <w:r w:rsidR="00C61F95">
              <w:rPr>
                <w:noProof/>
                <w:webHidden/>
              </w:rPr>
              <w:t>9</w:t>
            </w:r>
            <w:r w:rsidR="00D70A51">
              <w:rPr>
                <w:noProof/>
                <w:webHidden/>
              </w:rPr>
              <w:fldChar w:fldCharType="end"/>
            </w:r>
          </w:hyperlink>
        </w:p>
        <w:p w14:paraId="572109E5" w14:textId="3F9AF870" w:rsidR="00D70A51" w:rsidRDefault="00503A56">
          <w:pPr>
            <w:pStyle w:val="TOC2"/>
            <w:rPr>
              <w:rFonts w:asciiTheme="minorHAnsi" w:eastAsiaTheme="minorEastAsia" w:hAnsiTheme="minorHAnsi" w:cstheme="minorBidi"/>
              <w:b w:val="0"/>
              <w:noProof/>
              <w:sz w:val="22"/>
              <w:lang w:eastAsia="en-AU"/>
            </w:rPr>
          </w:pPr>
          <w:hyperlink w:anchor="_Toc118798361" w:history="1">
            <w:r w:rsidR="00D70A51" w:rsidRPr="00D05C9A">
              <w:rPr>
                <w:rStyle w:val="Hyperlink"/>
                <w:noProof/>
              </w:rPr>
              <w:t>Nonclinical</w:t>
            </w:r>
            <w:r w:rsidR="00D70A51">
              <w:rPr>
                <w:noProof/>
                <w:webHidden/>
              </w:rPr>
              <w:tab/>
            </w:r>
            <w:r w:rsidR="00D70A51">
              <w:rPr>
                <w:noProof/>
                <w:webHidden/>
              </w:rPr>
              <w:fldChar w:fldCharType="begin"/>
            </w:r>
            <w:r w:rsidR="00D70A51">
              <w:rPr>
                <w:noProof/>
                <w:webHidden/>
              </w:rPr>
              <w:instrText xml:space="preserve"> PAGEREF _Toc118798361 \h </w:instrText>
            </w:r>
            <w:r w:rsidR="00D70A51">
              <w:rPr>
                <w:noProof/>
                <w:webHidden/>
              </w:rPr>
            </w:r>
            <w:r w:rsidR="00D70A51">
              <w:rPr>
                <w:noProof/>
                <w:webHidden/>
              </w:rPr>
              <w:fldChar w:fldCharType="separate"/>
            </w:r>
            <w:r w:rsidR="00C61F95">
              <w:rPr>
                <w:noProof/>
                <w:webHidden/>
              </w:rPr>
              <w:t>10</w:t>
            </w:r>
            <w:r w:rsidR="00D70A51">
              <w:rPr>
                <w:noProof/>
                <w:webHidden/>
              </w:rPr>
              <w:fldChar w:fldCharType="end"/>
            </w:r>
          </w:hyperlink>
        </w:p>
        <w:p w14:paraId="29856817" w14:textId="37CCB521" w:rsidR="00D70A51" w:rsidRDefault="00503A56">
          <w:pPr>
            <w:pStyle w:val="TOC2"/>
            <w:rPr>
              <w:rFonts w:asciiTheme="minorHAnsi" w:eastAsiaTheme="minorEastAsia" w:hAnsiTheme="minorHAnsi" w:cstheme="minorBidi"/>
              <w:b w:val="0"/>
              <w:noProof/>
              <w:sz w:val="22"/>
              <w:lang w:eastAsia="en-AU"/>
            </w:rPr>
          </w:pPr>
          <w:hyperlink w:anchor="_Toc118798362" w:history="1">
            <w:r w:rsidR="00D70A51" w:rsidRPr="00D05C9A">
              <w:rPr>
                <w:rStyle w:val="Hyperlink"/>
                <w:noProof/>
              </w:rPr>
              <w:t>Clinical</w:t>
            </w:r>
            <w:r w:rsidR="00D70A51">
              <w:rPr>
                <w:noProof/>
                <w:webHidden/>
              </w:rPr>
              <w:tab/>
            </w:r>
            <w:r w:rsidR="00D70A51">
              <w:rPr>
                <w:noProof/>
                <w:webHidden/>
              </w:rPr>
              <w:fldChar w:fldCharType="begin"/>
            </w:r>
            <w:r w:rsidR="00D70A51">
              <w:rPr>
                <w:noProof/>
                <w:webHidden/>
              </w:rPr>
              <w:instrText xml:space="preserve"> PAGEREF _Toc118798362 \h </w:instrText>
            </w:r>
            <w:r w:rsidR="00D70A51">
              <w:rPr>
                <w:noProof/>
                <w:webHidden/>
              </w:rPr>
            </w:r>
            <w:r w:rsidR="00D70A51">
              <w:rPr>
                <w:noProof/>
                <w:webHidden/>
              </w:rPr>
              <w:fldChar w:fldCharType="separate"/>
            </w:r>
            <w:r w:rsidR="00C61F95">
              <w:rPr>
                <w:noProof/>
                <w:webHidden/>
              </w:rPr>
              <w:t>11</w:t>
            </w:r>
            <w:r w:rsidR="00D70A51">
              <w:rPr>
                <w:noProof/>
                <w:webHidden/>
              </w:rPr>
              <w:fldChar w:fldCharType="end"/>
            </w:r>
          </w:hyperlink>
        </w:p>
        <w:p w14:paraId="7DF70248" w14:textId="44A12486" w:rsidR="00D70A51" w:rsidRDefault="00503A56">
          <w:pPr>
            <w:pStyle w:val="TOC2"/>
            <w:rPr>
              <w:rFonts w:asciiTheme="minorHAnsi" w:eastAsiaTheme="minorEastAsia" w:hAnsiTheme="minorHAnsi" w:cstheme="minorBidi"/>
              <w:b w:val="0"/>
              <w:noProof/>
              <w:sz w:val="22"/>
              <w:lang w:eastAsia="en-AU"/>
            </w:rPr>
          </w:pPr>
          <w:hyperlink w:anchor="_Toc118798363" w:history="1">
            <w:r w:rsidR="00D70A51" w:rsidRPr="00D05C9A">
              <w:rPr>
                <w:rStyle w:val="Hyperlink"/>
                <w:noProof/>
                <w:lang w:eastAsia="en-AU"/>
              </w:rPr>
              <w:t>Risk management plan</w:t>
            </w:r>
            <w:r w:rsidR="00D70A51">
              <w:rPr>
                <w:noProof/>
                <w:webHidden/>
              </w:rPr>
              <w:tab/>
            </w:r>
            <w:r w:rsidR="00D70A51">
              <w:rPr>
                <w:noProof/>
                <w:webHidden/>
              </w:rPr>
              <w:fldChar w:fldCharType="begin"/>
            </w:r>
            <w:r w:rsidR="00D70A51">
              <w:rPr>
                <w:noProof/>
                <w:webHidden/>
              </w:rPr>
              <w:instrText xml:space="preserve"> PAGEREF _Toc118798363 \h </w:instrText>
            </w:r>
            <w:r w:rsidR="00D70A51">
              <w:rPr>
                <w:noProof/>
                <w:webHidden/>
              </w:rPr>
            </w:r>
            <w:r w:rsidR="00D70A51">
              <w:rPr>
                <w:noProof/>
                <w:webHidden/>
              </w:rPr>
              <w:fldChar w:fldCharType="separate"/>
            </w:r>
            <w:r w:rsidR="00C61F95">
              <w:rPr>
                <w:noProof/>
                <w:webHidden/>
              </w:rPr>
              <w:t>14</w:t>
            </w:r>
            <w:r w:rsidR="00D70A51">
              <w:rPr>
                <w:noProof/>
                <w:webHidden/>
              </w:rPr>
              <w:fldChar w:fldCharType="end"/>
            </w:r>
          </w:hyperlink>
        </w:p>
        <w:p w14:paraId="081F92C0" w14:textId="5C24B146" w:rsidR="00D70A51" w:rsidRDefault="00503A56">
          <w:pPr>
            <w:pStyle w:val="TOC2"/>
            <w:rPr>
              <w:rFonts w:asciiTheme="minorHAnsi" w:eastAsiaTheme="minorEastAsia" w:hAnsiTheme="minorHAnsi" w:cstheme="minorBidi"/>
              <w:b w:val="0"/>
              <w:noProof/>
              <w:sz w:val="22"/>
              <w:lang w:eastAsia="en-AU"/>
            </w:rPr>
          </w:pPr>
          <w:hyperlink w:anchor="_Toc118798364" w:history="1">
            <w:r w:rsidR="00D70A51" w:rsidRPr="00D05C9A">
              <w:rPr>
                <w:rStyle w:val="Hyperlink"/>
                <w:noProof/>
              </w:rPr>
              <w:t>Risk-benefit analysis</w:t>
            </w:r>
            <w:r w:rsidR="00D70A51">
              <w:rPr>
                <w:noProof/>
                <w:webHidden/>
              </w:rPr>
              <w:tab/>
            </w:r>
            <w:r w:rsidR="00D70A51">
              <w:rPr>
                <w:noProof/>
                <w:webHidden/>
              </w:rPr>
              <w:fldChar w:fldCharType="begin"/>
            </w:r>
            <w:r w:rsidR="00D70A51">
              <w:rPr>
                <w:noProof/>
                <w:webHidden/>
              </w:rPr>
              <w:instrText xml:space="preserve"> PAGEREF _Toc118798364 \h </w:instrText>
            </w:r>
            <w:r w:rsidR="00D70A51">
              <w:rPr>
                <w:noProof/>
                <w:webHidden/>
              </w:rPr>
            </w:r>
            <w:r w:rsidR="00D70A51">
              <w:rPr>
                <w:noProof/>
                <w:webHidden/>
              </w:rPr>
              <w:fldChar w:fldCharType="separate"/>
            </w:r>
            <w:r w:rsidR="00C61F95">
              <w:rPr>
                <w:noProof/>
                <w:webHidden/>
              </w:rPr>
              <w:t>15</w:t>
            </w:r>
            <w:r w:rsidR="00D70A51">
              <w:rPr>
                <w:noProof/>
                <w:webHidden/>
              </w:rPr>
              <w:fldChar w:fldCharType="end"/>
            </w:r>
          </w:hyperlink>
        </w:p>
        <w:p w14:paraId="3E4D7657" w14:textId="17E66FDB" w:rsidR="00D70A51" w:rsidRDefault="00503A56">
          <w:pPr>
            <w:pStyle w:val="TOC1"/>
            <w:rPr>
              <w:rFonts w:asciiTheme="minorHAnsi" w:eastAsiaTheme="minorEastAsia" w:hAnsiTheme="minorHAnsi" w:cstheme="minorBidi"/>
              <w:b w:val="0"/>
              <w:noProof/>
              <w:sz w:val="22"/>
              <w:lang w:eastAsia="en-AU"/>
            </w:rPr>
          </w:pPr>
          <w:hyperlink w:anchor="_Toc118798365" w:history="1">
            <w:r w:rsidR="00D70A51" w:rsidRPr="00D05C9A">
              <w:rPr>
                <w:rStyle w:val="Hyperlink"/>
                <w:noProof/>
              </w:rPr>
              <w:t>Outcome</w:t>
            </w:r>
            <w:r w:rsidR="00D70A51">
              <w:rPr>
                <w:noProof/>
                <w:webHidden/>
              </w:rPr>
              <w:tab/>
            </w:r>
            <w:r w:rsidR="00D70A51">
              <w:rPr>
                <w:noProof/>
                <w:webHidden/>
              </w:rPr>
              <w:fldChar w:fldCharType="begin"/>
            </w:r>
            <w:r w:rsidR="00D70A51">
              <w:rPr>
                <w:noProof/>
                <w:webHidden/>
              </w:rPr>
              <w:instrText xml:space="preserve"> PAGEREF _Toc118798365 \h </w:instrText>
            </w:r>
            <w:r w:rsidR="00D70A51">
              <w:rPr>
                <w:noProof/>
                <w:webHidden/>
              </w:rPr>
            </w:r>
            <w:r w:rsidR="00D70A51">
              <w:rPr>
                <w:noProof/>
                <w:webHidden/>
              </w:rPr>
              <w:fldChar w:fldCharType="separate"/>
            </w:r>
            <w:r w:rsidR="00C61F95">
              <w:rPr>
                <w:noProof/>
                <w:webHidden/>
              </w:rPr>
              <w:t>20</w:t>
            </w:r>
            <w:r w:rsidR="00D70A51">
              <w:rPr>
                <w:noProof/>
                <w:webHidden/>
              </w:rPr>
              <w:fldChar w:fldCharType="end"/>
            </w:r>
          </w:hyperlink>
        </w:p>
        <w:p w14:paraId="3CC1AFFD" w14:textId="1970C30B" w:rsidR="00D70A51" w:rsidRDefault="00503A56">
          <w:pPr>
            <w:pStyle w:val="TOC2"/>
            <w:rPr>
              <w:rFonts w:asciiTheme="minorHAnsi" w:eastAsiaTheme="minorEastAsia" w:hAnsiTheme="minorHAnsi" w:cstheme="minorBidi"/>
              <w:b w:val="0"/>
              <w:noProof/>
              <w:sz w:val="22"/>
              <w:lang w:eastAsia="en-AU"/>
            </w:rPr>
          </w:pPr>
          <w:hyperlink w:anchor="_Toc118798366" w:history="1">
            <w:r w:rsidR="00D70A51" w:rsidRPr="00D05C9A">
              <w:rPr>
                <w:rStyle w:val="Hyperlink"/>
                <w:noProof/>
              </w:rPr>
              <w:t>Specific conditions of registration applying to these goods</w:t>
            </w:r>
            <w:r w:rsidR="00D70A51">
              <w:rPr>
                <w:noProof/>
                <w:webHidden/>
              </w:rPr>
              <w:tab/>
            </w:r>
            <w:r w:rsidR="00D70A51">
              <w:rPr>
                <w:noProof/>
                <w:webHidden/>
              </w:rPr>
              <w:fldChar w:fldCharType="begin"/>
            </w:r>
            <w:r w:rsidR="00D70A51">
              <w:rPr>
                <w:noProof/>
                <w:webHidden/>
              </w:rPr>
              <w:instrText xml:space="preserve"> PAGEREF _Toc118798366 \h </w:instrText>
            </w:r>
            <w:r w:rsidR="00D70A51">
              <w:rPr>
                <w:noProof/>
                <w:webHidden/>
              </w:rPr>
            </w:r>
            <w:r w:rsidR="00D70A51">
              <w:rPr>
                <w:noProof/>
                <w:webHidden/>
              </w:rPr>
              <w:fldChar w:fldCharType="separate"/>
            </w:r>
            <w:r w:rsidR="00C61F95">
              <w:rPr>
                <w:noProof/>
                <w:webHidden/>
              </w:rPr>
              <w:t>20</w:t>
            </w:r>
            <w:r w:rsidR="00D70A51">
              <w:rPr>
                <w:noProof/>
                <w:webHidden/>
              </w:rPr>
              <w:fldChar w:fldCharType="end"/>
            </w:r>
          </w:hyperlink>
        </w:p>
        <w:p w14:paraId="6D894237" w14:textId="43E38F13" w:rsidR="00D70A51" w:rsidRDefault="00503A56">
          <w:pPr>
            <w:pStyle w:val="TOC1"/>
            <w:rPr>
              <w:rFonts w:asciiTheme="minorHAnsi" w:eastAsiaTheme="minorEastAsia" w:hAnsiTheme="minorHAnsi" w:cstheme="minorBidi"/>
              <w:b w:val="0"/>
              <w:noProof/>
              <w:sz w:val="22"/>
              <w:lang w:eastAsia="en-AU"/>
            </w:rPr>
          </w:pPr>
          <w:hyperlink w:anchor="_Toc118798367" w:history="1">
            <w:r w:rsidR="00D70A51" w:rsidRPr="00D05C9A">
              <w:rPr>
                <w:rStyle w:val="Hyperlink"/>
                <w:noProof/>
              </w:rPr>
              <w:t>Attachment 1. Product Information</w:t>
            </w:r>
            <w:r w:rsidR="00D70A51">
              <w:rPr>
                <w:noProof/>
                <w:webHidden/>
              </w:rPr>
              <w:tab/>
            </w:r>
            <w:r w:rsidR="00D70A51">
              <w:rPr>
                <w:noProof/>
                <w:webHidden/>
              </w:rPr>
              <w:fldChar w:fldCharType="begin"/>
            </w:r>
            <w:r w:rsidR="00D70A51">
              <w:rPr>
                <w:noProof/>
                <w:webHidden/>
              </w:rPr>
              <w:instrText xml:space="preserve"> PAGEREF _Toc118798367 \h </w:instrText>
            </w:r>
            <w:r w:rsidR="00D70A51">
              <w:rPr>
                <w:noProof/>
                <w:webHidden/>
              </w:rPr>
            </w:r>
            <w:r w:rsidR="00D70A51">
              <w:rPr>
                <w:noProof/>
                <w:webHidden/>
              </w:rPr>
              <w:fldChar w:fldCharType="separate"/>
            </w:r>
            <w:r w:rsidR="00C61F95">
              <w:rPr>
                <w:noProof/>
                <w:webHidden/>
              </w:rPr>
              <w:t>21</w:t>
            </w:r>
            <w:r w:rsidR="00D70A51">
              <w:rPr>
                <w:noProof/>
                <w:webHidden/>
              </w:rPr>
              <w:fldChar w:fldCharType="end"/>
            </w:r>
          </w:hyperlink>
        </w:p>
        <w:p w14:paraId="0FB69026" w14:textId="45BE38DB" w:rsidR="003A7F6C" w:rsidRPr="00B811C6" w:rsidRDefault="00C525A2" w:rsidP="00EB36D6">
          <w:r>
            <w:fldChar w:fldCharType="end"/>
          </w:r>
        </w:p>
      </w:sdtContent>
    </w:sdt>
    <w:bookmarkStart w:id="2" w:name="_Toc314842482" w:displacedByCustomXml="prev"/>
    <w:p w14:paraId="69C4C649" w14:textId="77777777" w:rsidR="00FD119B" w:rsidRDefault="00FD119B">
      <w:pPr>
        <w:spacing w:before="0" w:after="200" w:line="0" w:lineRule="auto"/>
      </w:pPr>
      <w:r>
        <w:br w:type="page"/>
      </w:r>
    </w:p>
    <w:p w14:paraId="75EA99DB" w14:textId="4FBD22AA" w:rsidR="00833ED8" w:rsidRDefault="00AF2313" w:rsidP="008A3E09">
      <w:pPr>
        <w:pStyle w:val="Heading2"/>
      </w:pPr>
      <w:bookmarkStart w:id="3" w:name="_Toc98931917"/>
      <w:bookmarkStart w:id="4" w:name="_Toc118798352"/>
      <w:r>
        <w:lastRenderedPageBreak/>
        <w:t>List of abbreviations</w:t>
      </w:r>
      <w:bookmarkEnd w:id="3"/>
      <w:bookmarkEnd w:id="4"/>
    </w:p>
    <w:tbl>
      <w:tblPr>
        <w:tblStyle w:val="TableTGAblue"/>
        <w:tblW w:w="5000" w:type="pct"/>
        <w:tblLook w:val="04A0" w:firstRow="1" w:lastRow="0" w:firstColumn="1" w:lastColumn="0" w:noHBand="0" w:noVBand="1"/>
      </w:tblPr>
      <w:tblGrid>
        <w:gridCol w:w="1733"/>
        <w:gridCol w:w="1189"/>
        <w:gridCol w:w="5562"/>
      </w:tblGrid>
      <w:tr w:rsidR="00833537" w14:paraId="113773B8" w14:textId="77777777" w:rsidTr="00C41FF4">
        <w:trPr>
          <w:cnfStyle w:val="100000000000" w:firstRow="1" w:lastRow="0" w:firstColumn="0" w:lastColumn="0" w:oddVBand="0" w:evenVBand="0" w:oddHBand="0" w:evenHBand="0" w:firstRowFirstColumn="0" w:firstRowLastColumn="0" w:lastRowFirstColumn="0" w:lastRowLastColumn="0"/>
          <w:cantSplit/>
        </w:trPr>
        <w:tc>
          <w:tcPr>
            <w:tcW w:w="1718" w:type="pct"/>
            <w:gridSpan w:val="2"/>
            <w:hideMark/>
          </w:tcPr>
          <w:p w14:paraId="42E1E4EE" w14:textId="77777777" w:rsidR="00833537" w:rsidRDefault="00833537" w:rsidP="00C41FF4">
            <w:pPr>
              <w:rPr>
                <w:color w:val="FFFFFF"/>
              </w:rPr>
            </w:pPr>
            <w:r>
              <w:t>Abbreviation</w:t>
            </w:r>
          </w:p>
        </w:tc>
        <w:tc>
          <w:tcPr>
            <w:tcW w:w="3282" w:type="pct"/>
            <w:hideMark/>
          </w:tcPr>
          <w:p w14:paraId="6F1845B7" w14:textId="77777777" w:rsidR="00833537" w:rsidRDefault="00833537" w:rsidP="00C41FF4">
            <w:r>
              <w:t>Meaning</w:t>
            </w:r>
          </w:p>
        </w:tc>
      </w:tr>
      <w:tr w:rsidR="00833537" w14:paraId="779790D4" w14:textId="77777777" w:rsidTr="00C41FF4">
        <w:trPr>
          <w:cantSplit/>
        </w:trPr>
        <w:tc>
          <w:tcPr>
            <w:tcW w:w="1013" w:type="pct"/>
            <w:tcBorders>
              <w:top w:val="single" w:sz="8" w:space="0" w:color="002C47"/>
              <w:left w:val="single" w:sz="8" w:space="0" w:color="002C47"/>
              <w:bottom w:val="single" w:sz="8" w:space="0" w:color="002C47"/>
              <w:right w:val="single" w:sz="8" w:space="0" w:color="002C47"/>
            </w:tcBorders>
            <w:hideMark/>
          </w:tcPr>
          <w:p w14:paraId="175F2599" w14:textId="77777777" w:rsidR="00833537" w:rsidRDefault="00833537" w:rsidP="00C41FF4">
            <w:r>
              <w:t>ACM</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38322A8F" w14:textId="77777777" w:rsidR="00833537" w:rsidRDefault="00833537" w:rsidP="00C41FF4">
            <w:r>
              <w:t>Advisory Committee on Medicines</w:t>
            </w:r>
          </w:p>
        </w:tc>
      </w:tr>
      <w:tr w:rsidR="00833537" w14:paraId="4F4C2F9B" w14:textId="77777777" w:rsidTr="00C41FF4">
        <w:trPr>
          <w:cantSplit/>
        </w:trPr>
        <w:tc>
          <w:tcPr>
            <w:tcW w:w="1013" w:type="pct"/>
            <w:tcBorders>
              <w:top w:val="single" w:sz="8" w:space="0" w:color="002C47"/>
              <w:left w:val="single" w:sz="8" w:space="0" w:color="002C47"/>
              <w:bottom w:val="single" w:sz="8" w:space="0" w:color="002C47"/>
              <w:right w:val="single" w:sz="8" w:space="0" w:color="002C47"/>
            </w:tcBorders>
            <w:hideMark/>
          </w:tcPr>
          <w:p w14:paraId="0C9C0FE7" w14:textId="77777777" w:rsidR="00833537" w:rsidRDefault="00833537" w:rsidP="00C41FF4">
            <w:r>
              <w:t>ARTG</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5A1AC032" w14:textId="77777777" w:rsidR="00833537" w:rsidRDefault="00833537" w:rsidP="00C41FF4">
            <w:r>
              <w:t>Australian Register of Therapeutic Goods</w:t>
            </w:r>
          </w:p>
        </w:tc>
      </w:tr>
      <w:tr w:rsidR="00833537" w14:paraId="39242B7E" w14:textId="77777777" w:rsidTr="00C41FF4">
        <w:trPr>
          <w:cantSplit/>
        </w:trPr>
        <w:tc>
          <w:tcPr>
            <w:tcW w:w="1013" w:type="pct"/>
            <w:tcBorders>
              <w:top w:val="single" w:sz="8" w:space="0" w:color="002C47"/>
              <w:left w:val="single" w:sz="8" w:space="0" w:color="002C47"/>
              <w:bottom w:val="single" w:sz="8" w:space="0" w:color="002C47"/>
              <w:right w:val="single" w:sz="8" w:space="0" w:color="002C47"/>
            </w:tcBorders>
            <w:hideMark/>
          </w:tcPr>
          <w:p w14:paraId="38CB274C" w14:textId="77777777" w:rsidR="00833537" w:rsidRDefault="00833537" w:rsidP="00C41FF4">
            <w:r>
              <w:t>ASA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64AF6E37" w14:textId="77777777" w:rsidR="00833537" w:rsidRDefault="00833537" w:rsidP="00C41FF4">
            <w:r>
              <w:t>Australia specific annex</w:t>
            </w:r>
          </w:p>
        </w:tc>
      </w:tr>
      <w:tr w:rsidR="00833537" w14:paraId="74CFA0FF" w14:textId="77777777" w:rsidTr="00C41FF4">
        <w:trPr>
          <w:cantSplit/>
        </w:trPr>
        <w:tc>
          <w:tcPr>
            <w:tcW w:w="1013" w:type="pct"/>
            <w:tcBorders>
              <w:top w:val="single" w:sz="8" w:space="0" w:color="002C47"/>
              <w:left w:val="single" w:sz="8" w:space="0" w:color="002C47"/>
              <w:bottom w:val="single" w:sz="8" w:space="0" w:color="002C47"/>
              <w:right w:val="single" w:sz="8" w:space="0" w:color="002C47"/>
            </w:tcBorders>
          </w:tcPr>
          <w:p w14:paraId="3BA54FC0" w14:textId="77777777" w:rsidR="00833537" w:rsidRDefault="00833537" w:rsidP="00C41FF4">
            <w:pPr>
              <w:rPr>
                <w:color w:val="000000"/>
              </w:rPr>
            </w:pPr>
            <w:r>
              <w:rPr>
                <w:color w:val="000000"/>
              </w:rPr>
              <w:t>AUC</w:t>
            </w:r>
          </w:p>
        </w:tc>
        <w:tc>
          <w:tcPr>
            <w:tcW w:w="3987" w:type="pct"/>
            <w:gridSpan w:val="2"/>
            <w:tcBorders>
              <w:top w:val="single" w:sz="8" w:space="0" w:color="002C47"/>
              <w:left w:val="single" w:sz="8" w:space="0" w:color="002C47"/>
              <w:bottom w:val="single" w:sz="8" w:space="0" w:color="002C47"/>
              <w:right w:val="single" w:sz="8" w:space="0" w:color="002C47"/>
            </w:tcBorders>
          </w:tcPr>
          <w:p w14:paraId="4FF13D75" w14:textId="77777777" w:rsidR="00833537" w:rsidRDefault="00833537" w:rsidP="00C41FF4">
            <w:pPr>
              <w:rPr>
                <w:color w:val="000000"/>
              </w:rPr>
            </w:pPr>
            <w:r>
              <w:t>Area under concentration time curve</w:t>
            </w:r>
          </w:p>
        </w:tc>
      </w:tr>
      <w:tr w:rsidR="00833537" w14:paraId="75C91EC9" w14:textId="77777777" w:rsidTr="00C41FF4">
        <w:trPr>
          <w:cantSplit/>
        </w:trPr>
        <w:tc>
          <w:tcPr>
            <w:tcW w:w="1013" w:type="pct"/>
            <w:tcBorders>
              <w:top w:val="single" w:sz="8" w:space="0" w:color="002C47"/>
              <w:left w:val="single" w:sz="8" w:space="0" w:color="002C47"/>
              <w:bottom w:val="single" w:sz="8" w:space="0" w:color="002C47"/>
              <w:right w:val="single" w:sz="8" w:space="0" w:color="002C47"/>
            </w:tcBorders>
          </w:tcPr>
          <w:p w14:paraId="5C603B44" w14:textId="77777777" w:rsidR="00833537" w:rsidRDefault="00833537" w:rsidP="00C41FF4">
            <w:pPr>
              <w:rPr>
                <w:color w:val="000000"/>
              </w:rPr>
            </w:pPr>
            <w:r>
              <w:rPr>
                <w:color w:val="000000"/>
              </w:rPr>
              <w:t>CMI</w:t>
            </w:r>
          </w:p>
        </w:tc>
        <w:tc>
          <w:tcPr>
            <w:tcW w:w="3987" w:type="pct"/>
            <w:gridSpan w:val="2"/>
            <w:tcBorders>
              <w:top w:val="single" w:sz="8" w:space="0" w:color="002C47"/>
              <w:left w:val="single" w:sz="8" w:space="0" w:color="002C47"/>
              <w:bottom w:val="single" w:sz="8" w:space="0" w:color="002C47"/>
              <w:right w:val="single" w:sz="8" w:space="0" w:color="002C47"/>
            </w:tcBorders>
          </w:tcPr>
          <w:p w14:paraId="72CE7771" w14:textId="77777777" w:rsidR="00833537" w:rsidRDefault="00833537" w:rsidP="00C41FF4">
            <w:pPr>
              <w:rPr>
                <w:color w:val="000000"/>
              </w:rPr>
            </w:pPr>
            <w:r>
              <w:rPr>
                <w:color w:val="000000"/>
              </w:rPr>
              <w:t>Consumer Medicine Information</w:t>
            </w:r>
          </w:p>
        </w:tc>
      </w:tr>
      <w:tr w:rsidR="00833537" w14:paraId="0FA49B80" w14:textId="77777777" w:rsidTr="00C41FF4">
        <w:trPr>
          <w:cantSplit/>
        </w:trPr>
        <w:tc>
          <w:tcPr>
            <w:tcW w:w="1013" w:type="pct"/>
            <w:tcBorders>
              <w:top w:val="single" w:sz="8" w:space="0" w:color="002C47"/>
              <w:left w:val="single" w:sz="8" w:space="0" w:color="002C47"/>
              <w:bottom w:val="single" w:sz="8" w:space="0" w:color="002C47"/>
              <w:right w:val="single" w:sz="8" w:space="0" w:color="002C47"/>
            </w:tcBorders>
            <w:hideMark/>
          </w:tcPr>
          <w:p w14:paraId="3FAF0539" w14:textId="77777777" w:rsidR="00833537" w:rsidRDefault="00833537" w:rsidP="00C41FF4">
            <w:r>
              <w:t>DLP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38682D74" w14:textId="77777777" w:rsidR="00833537" w:rsidRDefault="00833537" w:rsidP="00C41FF4">
            <w:r>
              <w:t>Data lock point</w:t>
            </w:r>
          </w:p>
        </w:tc>
      </w:tr>
      <w:tr w:rsidR="00833537" w14:paraId="66987E24" w14:textId="77777777" w:rsidTr="00C41FF4">
        <w:trPr>
          <w:cantSplit/>
        </w:trPr>
        <w:tc>
          <w:tcPr>
            <w:tcW w:w="1013" w:type="pct"/>
            <w:tcBorders>
              <w:top w:val="single" w:sz="8" w:space="0" w:color="002C47"/>
              <w:left w:val="single" w:sz="8" w:space="0" w:color="002C47"/>
              <w:bottom w:val="single" w:sz="8" w:space="0" w:color="002C47"/>
              <w:right w:val="single" w:sz="8" w:space="0" w:color="002C47"/>
            </w:tcBorders>
          </w:tcPr>
          <w:p w14:paraId="38EE479B" w14:textId="77777777" w:rsidR="00833537" w:rsidRDefault="00833537" w:rsidP="00C41FF4">
            <w:pPr>
              <w:rPr>
                <w:color w:val="000000"/>
              </w:rPr>
            </w:pPr>
            <w:r>
              <w:rPr>
                <w:color w:val="000000"/>
              </w:rPr>
              <w:t>G6PD</w:t>
            </w:r>
          </w:p>
        </w:tc>
        <w:tc>
          <w:tcPr>
            <w:tcW w:w="3987" w:type="pct"/>
            <w:gridSpan w:val="2"/>
            <w:tcBorders>
              <w:top w:val="single" w:sz="8" w:space="0" w:color="002C47"/>
              <w:left w:val="single" w:sz="8" w:space="0" w:color="002C47"/>
              <w:bottom w:val="single" w:sz="8" w:space="0" w:color="002C47"/>
              <w:right w:val="single" w:sz="8" w:space="0" w:color="002C47"/>
            </w:tcBorders>
          </w:tcPr>
          <w:p w14:paraId="283DD170" w14:textId="77777777" w:rsidR="00833537" w:rsidRDefault="00833537" w:rsidP="00C41FF4">
            <w:pPr>
              <w:rPr>
                <w:color w:val="000000"/>
              </w:rPr>
            </w:pPr>
            <w:r>
              <w:t>G</w:t>
            </w:r>
            <w:r w:rsidRPr="007A6DB8">
              <w:t>lucose-6-phosphate dehydrogenase</w:t>
            </w:r>
          </w:p>
        </w:tc>
      </w:tr>
      <w:tr w:rsidR="00833537" w14:paraId="2A65D233" w14:textId="77777777" w:rsidTr="00C41FF4">
        <w:trPr>
          <w:cantSplit/>
        </w:trPr>
        <w:tc>
          <w:tcPr>
            <w:tcW w:w="1013" w:type="pct"/>
            <w:tcBorders>
              <w:top w:val="single" w:sz="8" w:space="0" w:color="002C47"/>
              <w:left w:val="single" w:sz="8" w:space="0" w:color="002C47"/>
              <w:bottom w:val="single" w:sz="8" w:space="0" w:color="002C47"/>
              <w:right w:val="single" w:sz="8" w:space="0" w:color="002C47"/>
            </w:tcBorders>
          </w:tcPr>
          <w:p w14:paraId="032C1DB9" w14:textId="77777777" w:rsidR="00833537" w:rsidRDefault="00833537" w:rsidP="00C41FF4">
            <w:pPr>
              <w:rPr>
                <w:color w:val="000000"/>
              </w:rPr>
            </w:pPr>
            <w:r>
              <w:rPr>
                <w:color w:val="000000"/>
              </w:rPr>
              <w:t>HCP</w:t>
            </w:r>
          </w:p>
        </w:tc>
        <w:tc>
          <w:tcPr>
            <w:tcW w:w="3987" w:type="pct"/>
            <w:gridSpan w:val="2"/>
            <w:tcBorders>
              <w:top w:val="single" w:sz="8" w:space="0" w:color="002C47"/>
              <w:left w:val="single" w:sz="8" w:space="0" w:color="002C47"/>
              <w:bottom w:val="single" w:sz="8" w:space="0" w:color="002C47"/>
              <w:right w:val="single" w:sz="8" w:space="0" w:color="002C47"/>
            </w:tcBorders>
          </w:tcPr>
          <w:p w14:paraId="4E7CF23C" w14:textId="77777777" w:rsidR="00833537" w:rsidRDefault="00833537" w:rsidP="00C41FF4">
            <w:pPr>
              <w:rPr>
                <w:color w:val="000000"/>
              </w:rPr>
            </w:pPr>
            <w:r>
              <w:rPr>
                <w:color w:val="000000"/>
              </w:rPr>
              <w:t>Healthcare practitioner</w:t>
            </w:r>
          </w:p>
        </w:tc>
      </w:tr>
      <w:tr w:rsidR="00833537" w14:paraId="7E1C9506" w14:textId="77777777" w:rsidTr="00C41FF4">
        <w:trPr>
          <w:cantSplit/>
        </w:trPr>
        <w:tc>
          <w:tcPr>
            <w:tcW w:w="1013" w:type="pct"/>
            <w:tcBorders>
              <w:top w:val="single" w:sz="8" w:space="0" w:color="002C47"/>
              <w:left w:val="single" w:sz="8" w:space="0" w:color="002C47"/>
              <w:bottom w:val="single" w:sz="8" w:space="0" w:color="002C47"/>
              <w:right w:val="single" w:sz="8" w:space="0" w:color="002C47"/>
            </w:tcBorders>
          </w:tcPr>
          <w:p w14:paraId="1F3DB650" w14:textId="77777777" w:rsidR="00833537" w:rsidRDefault="00833537" w:rsidP="00C41FF4">
            <w:pPr>
              <w:rPr>
                <w:color w:val="000000"/>
              </w:rPr>
            </w:pPr>
            <w:r>
              <w:rPr>
                <w:color w:val="000000"/>
              </w:rPr>
              <w:t>IFU</w:t>
            </w:r>
          </w:p>
        </w:tc>
        <w:tc>
          <w:tcPr>
            <w:tcW w:w="3987" w:type="pct"/>
            <w:gridSpan w:val="2"/>
            <w:tcBorders>
              <w:top w:val="single" w:sz="8" w:space="0" w:color="002C47"/>
              <w:left w:val="single" w:sz="8" w:space="0" w:color="002C47"/>
              <w:bottom w:val="single" w:sz="8" w:space="0" w:color="002C47"/>
              <w:right w:val="single" w:sz="8" w:space="0" w:color="002C47"/>
            </w:tcBorders>
          </w:tcPr>
          <w:p w14:paraId="1D87CEFE" w14:textId="77777777" w:rsidR="00833537" w:rsidRDefault="00833537" w:rsidP="00C41FF4">
            <w:pPr>
              <w:rPr>
                <w:color w:val="000000"/>
              </w:rPr>
            </w:pPr>
            <w:r>
              <w:t>Instructions for Use</w:t>
            </w:r>
          </w:p>
        </w:tc>
      </w:tr>
      <w:tr w:rsidR="00833537" w14:paraId="0E555F73" w14:textId="77777777" w:rsidTr="00C41FF4">
        <w:trPr>
          <w:cantSplit/>
        </w:trPr>
        <w:tc>
          <w:tcPr>
            <w:tcW w:w="1013" w:type="pct"/>
            <w:tcBorders>
              <w:top w:val="single" w:sz="8" w:space="0" w:color="002C47"/>
              <w:left w:val="single" w:sz="8" w:space="0" w:color="002C47"/>
              <w:bottom w:val="single" w:sz="8" w:space="0" w:color="002C47"/>
              <w:right w:val="single" w:sz="8" w:space="0" w:color="002C47"/>
            </w:tcBorders>
          </w:tcPr>
          <w:p w14:paraId="298E1492" w14:textId="77777777" w:rsidR="00833537" w:rsidRDefault="00833537" w:rsidP="00C41FF4">
            <w:pPr>
              <w:rPr>
                <w:color w:val="000000"/>
              </w:rPr>
            </w:pPr>
            <w:proofErr w:type="spellStart"/>
            <w:proofErr w:type="gramStart"/>
            <w:r w:rsidRPr="008A3411">
              <w:rPr>
                <w:i/>
                <w:iCs/>
              </w:rPr>
              <w:t>P</w:t>
            </w:r>
            <w:r>
              <w:t>.</w:t>
            </w:r>
            <w:r w:rsidRPr="001A12A3">
              <w:rPr>
                <w:i/>
                <w:iCs/>
              </w:rPr>
              <w:t>falciparum</w:t>
            </w:r>
            <w:proofErr w:type="spellEnd"/>
            <w:proofErr w:type="gramEnd"/>
          </w:p>
        </w:tc>
        <w:tc>
          <w:tcPr>
            <w:tcW w:w="3987" w:type="pct"/>
            <w:gridSpan w:val="2"/>
            <w:tcBorders>
              <w:top w:val="single" w:sz="8" w:space="0" w:color="002C47"/>
              <w:left w:val="single" w:sz="8" w:space="0" w:color="002C47"/>
              <w:bottom w:val="single" w:sz="8" w:space="0" w:color="002C47"/>
              <w:right w:val="single" w:sz="8" w:space="0" w:color="002C47"/>
            </w:tcBorders>
          </w:tcPr>
          <w:p w14:paraId="4AB7F596" w14:textId="77777777" w:rsidR="00833537" w:rsidRDefault="00833537" w:rsidP="00C41FF4">
            <w:pPr>
              <w:rPr>
                <w:color w:val="000000"/>
              </w:rPr>
            </w:pPr>
            <w:r w:rsidRPr="007A6DB8">
              <w:rPr>
                <w:i/>
                <w:iCs/>
              </w:rPr>
              <w:t>Plasmodium</w:t>
            </w:r>
            <w:r w:rsidRPr="001A12A3">
              <w:rPr>
                <w:i/>
                <w:iCs/>
              </w:rPr>
              <w:t xml:space="preserve"> falciparum</w:t>
            </w:r>
          </w:p>
        </w:tc>
      </w:tr>
      <w:tr w:rsidR="00833537" w14:paraId="56CF99A2" w14:textId="77777777" w:rsidTr="00C41FF4">
        <w:trPr>
          <w:cantSplit/>
        </w:trPr>
        <w:tc>
          <w:tcPr>
            <w:tcW w:w="1013" w:type="pct"/>
            <w:tcBorders>
              <w:top w:val="single" w:sz="8" w:space="0" w:color="002C47"/>
              <w:left w:val="single" w:sz="8" w:space="0" w:color="002C47"/>
              <w:bottom w:val="single" w:sz="8" w:space="0" w:color="002C47"/>
              <w:right w:val="single" w:sz="8" w:space="0" w:color="002C47"/>
            </w:tcBorders>
          </w:tcPr>
          <w:p w14:paraId="7C3B7E17" w14:textId="77777777" w:rsidR="00833537" w:rsidRPr="008A3411" w:rsidRDefault="00833537" w:rsidP="00C41FF4">
            <w:pPr>
              <w:rPr>
                <w:i/>
                <w:iCs/>
                <w:color w:val="000000"/>
              </w:rPr>
            </w:pPr>
            <w:proofErr w:type="spellStart"/>
            <w:proofErr w:type="gramStart"/>
            <w:r w:rsidRPr="008A3411">
              <w:rPr>
                <w:i/>
                <w:iCs/>
                <w:color w:val="000000"/>
              </w:rPr>
              <w:t>P.vivax</w:t>
            </w:r>
            <w:proofErr w:type="spellEnd"/>
            <w:proofErr w:type="gramEnd"/>
          </w:p>
        </w:tc>
        <w:tc>
          <w:tcPr>
            <w:tcW w:w="3987" w:type="pct"/>
            <w:gridSpan w:val="2"/>
            <w:tcBorders>
              <w:top w:val="single" w:sz="8" w:space="0" w:color="002C47"/>
              <w:left w:val="single" w:sz="8" w:space="0" w:color="002C47"/>
              <w:bottom w:val="single" w:sz="8" w:space="0" w:color="002C47"/>
              <w:right w:val="single" w:sz="8" w:space="0" w:color="002C47"/>
            </w:tcBorders>
          </w:tcPr>
          <w:p w14:paraId="116124DB" w14:textId="77777777" w:rsidR="00833537" w:rsidRDefault="00833537" w:rsidP="00C41FF4">
            <w:pPr>
              <w:rPr>
                <w:color w:val="000000"/>
              </w:rPr>
            </w:pPr>
            <w:r w:rsidRPr="007A6DB8">
              <w:rPr>
                <w:i/>
                <w:iCs/>
              </w:rPr>
              <w:t>Plasmodium vivax</w:t>
            </w:r>
          </w:p>
        </w:tc>
      </w:tr>
      <w:tr w:rsidR="00833537" w14:paraId="6097C279" w14:textId="77777777" w:rsidTr="00C41FF4">
        <w:trPr>
          <w:cantSplit/>
        </w:trPr>
        <w:tc>
          <w:tcPr>
            <w:tcW w:w="1013" w:type="pct"/>
            <w:tcBorders>
              <w:top w:val="single" w:sz="8" w:space="0" w:color="002C47"/>
              <w:left w:val="single" w:sz="8" w:space="0" w:color="002C47"/>
              <w:bottom w:val="single" w:sz="8" w:space="0" w:color="002C47"/>
              <w:right w:val="single" w:sz="8" w:space="0" w:color="002C47"/>
            </w:tcBorders>
          </w:tcPr>
          <w:p w14:paraId="7545BEE7" w14:textId="77777777" w:rsidR="00833537" w:rsidRDefault="00833537" w:rsidP="00C41FF4">
            <w:pPr>
              <w:rPr>
                <w:color w:val="000000"/>
              </w:rPr>
            </w:pPr>
            <w:r>
              <w:rPr>
                <w:color w:val="000000"/>
              </w:rPr>
              <w:t>PI</w:t>
            </w:r>
          </w:p>
        </w:tc>
        <w:tc>
          <w:tcPr>
            <w:tcW w:w="3987" w:type="pct"/>
            <w:gridSpan w:val="2"/>
            <w:tcBorders>
              <w:top w:val="single" w:sz="8" w:space="0" w:color="002C47"/>
              <w:left w:val="single" w:sz="8" w:space="0" w:color="002C47"/>
              <w:bottom w:val="single" w:sz="8" w:space="0" w:color="002C47"/>
              <w:right w:val="single" w:sz="8" w:space="0" w:color="002C47"/>
            </w:tcBorders>
          </w:tcPr>
          <w:p w14:paraId="0FB9A912" w14:textId="77777777" w:rsidR="00833537" w:rsidRDefault="00833537" w:rsidP="00C41FF4">
            <w:pPr>
              <w:rPr>
                <w:color w:val="000000"/>
              </w:rPr>
            </w:pPr>
            <w:r>
              <w:rPr>
                <w:color w:val="000000"/>
              </w:rPr>
              <w:t>Product Information</w:t>
            </w:r>
          </w:p>
        </w:tc>
      </w:tr>
      <w:tr w:rsidR="00833537" w14:paraId="5C0F9B90" w14:textId="77777777" w:rsidTr="00C41FF4">
        <w:trPr>
          <w:cantSplit/>
        </w:trPr>
        <w:tc>
          <w:tcPr>
            <w:tcW w:w="1013" w:type="pct"/>
            <w:tcBorders>
              <w:top w:val="single" w:sz="8" w:space="0" w:color="002C47"/>
              <w:left w:val="single" w:sz="8" w:space="0" w:color="002C47"/>
              <w:bottom w:val="single" w:sz="8" w:space="0" w:color="002C47"/>
              <w:right w:val="single" w:sz="8" w:space="0" w:color="002C47"/>
            </w:tcBorders>
          </w:tcPr>
          <w:p w14:paraId="390C78DE" w14:textId="77777777" w:rsidR="00833537" w:rsidRDefault="00833537" w:rsidP="00C41FF4">
            <w:pPr>
              <w:rPr>
                <w:color w:val="000000"/>
              </w:rPr>
            </w:pPr>
            <w:r>
              <w:rPr>
                <w:color w:val="000000"/>
              </w:rPr>
              <w:t>PK</w:t>
            </w:r>
          </w:p>
        </w:tc>
        <w:tc>
          <w:tcPr>
            <w:tcW w:w="3987" w:type="pct"/>
            <w:gridSpan w:val="2"/>
            <w:tcBorders>
              <w:top w:val="single" w:sz="8" w:space="0" w:color="002C47"/>
              <w:left w:val="single" w:sz="8" w:space="0" w:color="002C47"/>
              <w:bottom w:val="single" w:sz="8" w:space="0" w:color="002C47"/>
              <w:right w:val="single" w:sz="8" w:space="0" w:color="002C47"/>
            </w:tcBorders>
          </w:tcPr>
          <w:p w14:paraId="2E85BF7B" w14:textId="77777777" w:rsidR="00833537" w:rsidRDefault="00833537" w:rsidP="00C41FF4">
            <w:pPr>
              <w:rPr>
                <w:color w:val="000000"/>
              </w:rPr>
            </w:pPr>
            <w:r>
              <w:rPr>
                <w:color w:val="000000"/>
              </w:rPr>
              <w:t>Pharmacokinetic(s)</w:t>
            </w:r>
          </w:p>
        </w:tc>
      </w:tr>
      <w:tr w:rsidR="00833537" w14:paraId="496F8A07" w14:textId="77777777" w:rsidTr="00C41FF4">
        <w:trPr>
          <w:cantSplit/>
        </w:trPr>
        <w:tc>
          <w:tcPr>
            <w:tcW w:w="1013" w:type="pct"/>
            <w:tcBorders>
              <w:top w:val="single" w:sz="8" w:space="0" w:color="002C47"/>
              <w:left w:val="single" w:sz="8" w:space="0" w:color="002C47"/>
              <w:bottom w:val="single" w:sz="8" w:space="0" w:color="002C47"/>
              <w:right w:val="single" w:sz="8" w:space="0" w:color="002C47"/>
            </w:tcBorders>
          </w:tcPr>
          <w:p w14:paraId="5DCFC0E5" w14:textId="77777777" w:rsidR="00833537" w:rsidRDefault="00833537" w:rsidP="00C41FF4">
            <w:pPr>
              <w:rPr>
                <w:color w:val="000000"/>
              </w:rPr>
            </w:pPr>
            <w:proofErr w:type="spellStart"/>
            <w:r>
              <w:rPr>
                <w:color w:val="000000"/>
              </w:rPr>
              <w:t>popPK</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06280C61" w14:textId="77777777" w:rsidR="00833537" w:rsidRDefault="00833537" w:rsidP="00C41FF4">
            <w:pPr>
              <w:rPr>
                <w:color w:val="000000"/>
              </w:rPr>
            </w:pPr>
            <w:r>
              <w:rPr>
                <w:color w:val="000000"/>
              </w:rPr>
              <w:t>Population pharmacokinetic(s)</w:t>
            </w:r>
          </w:p>
        </w:tc>
      </w:tr>
      <w:tr w:rsidR="00833537" w14:paraId="6111C76E" w14:textId="77777777" w:rsidTr="00C41FF4">
        <w:trPr>
          <w:cantSplit/>
        </w:trPr>
        <w:tc>
          <w:tcPr>
            <w:tcW w:w="1013" w:type="pct"/>
            <w:tcBorders>
              <w:top w:val="single" w:sz="8" w:space="0" w:color="002C47"/>
              <w:left w:val="single" w:sz="8" w:space="0" w:color="002C47"/>
              <w:bottom w:val="single" w:sz="8" w:space="0" w:color="002C47"/>
              <w:right w:val="single" w:sz="8" w:space="0" w:color="002C47"/>
            </w:tcBorders>
            <w:hideMark/>
          </w:tcPr>
          <w:p w14:paraId="570F0F80" w14:textId="77777777" w:rsidR="00833537" w:rsidRDefault="00833537" w:rsidP="00C41FF4">
            <w:r>
              <w:t>RMP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77D27CFC" w14:textId="77777777" w:rsidR="00833537" w:rsidRDefault="00833537" w:rsidP="00C41FF4">
            <w:r>
              <w:t>Risk management plan</w:t>
            </w:r>
          </w:p>
        </w:tc>
      </w:tr>
      <w:tr w:rsidR="00833537" w14:paraId="72FD83D8" w14:textId="77777777" w:rsidTr="00C41FF4">
        <w:trPr>
          <w:cantSplit/>
        </w:trPr>
        <w:tc>
          <w:tcPr>
            <w:tcW w:w="1013" w:type="pct"/>
            <w:tcBorders>
              <w:top w:val="single" w:sz="8" w:space="0" w:color="002C47"/>
              <w:left w:val="single" w:sz="8" w:space="0" w:color="002C47"/>
              <w:bottom w:val="single" w:sz="8" w:space="0" w:color="002C47"/>
              <w:right w:val="single" w:sz="8" w:space="0" w:color="002C47"/>
            </w:tcBorders>
            <w:hideMark/>
          </w:tcPr>
          <w:p w14:paraId="021CB8C8" w14:textId="77777777" w:rsidR="00833537" w:rsidRDefault="00833537" w:rsidP="00C41FF4">
            <w:r>
              <w:t>TGA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22E980C3" w14:textId="77777777" w:rsidR="00833537" w:rsidRDefault="00833537" w:rsidP="00C41FF4">
            <w:r>
              <w:t>Therapeutic Goods Administration</w:t>
            </w:r>
          </w:p>
        </w:tc>
      </w:tr>
      <w:tr w:rsidR="00833537" w14:paraId="6E90DD28" w14:textId="77777777" w:rsidTr="00C41FF4">
        <w:trPr>
          <w:cantSplit/>
        </w:trPr>
        <w:tc>
          <w:tcPr>
            <w:tcW w:w="1013" w:type="pct"/>
            <w:tcBorders>
              <w:top w:val="single" w:sz="8" w:space="0" w:color="002C47"/>
              <w:left w:val="single" w:sz="8" w:space="0" w:color="002C47"/>
              <w:bottom w:val="single" w:sz="8" w:space="0" w:color="002C47"/>
              <w:right w:val="single" w:sz="8" w:space="0" w:color="002C47"/>
            </w:tcBorders>
          </w:tcPr>
          <w:p w14:paraId="02B7DF7F" w14:textId="77777777" w:rsidR="00833537" w:rsidRDefault="00833537" w:rsidP="00C41FF4">
            <w:pPr>
              <w:rPr>
                <w:color w:val="000000"/>
              </w:rPr>
            </w:pPr>
            <w:r>
              <w:rPr>
                <w:color w:val="000000"/>
              </w:rPr>
              <w:t>USA</w:t>
            </w:r>
          </w:p>
        </w:tc>
        <w:tc>
          <w:tcPr>
            <w:tcW w:w="3987" w:type="pct"/>
            <w:gridSpan w:val="2"/>
            <w:tcBorders>
              <w:top w:val="single" w:sz="8" w:space="0" w:color="002C47"/>
              <w:left w:val="single" w:sz="8" w:space="0" w:color="002C47"/>
              <w:bottom w:val="single" w:sz="8" w:space="0" w:color="002C47"/>
              <w:right w:val="single" w:sz="8" w:space="0" w:color="002C47"/>
            </w:tcBorders>
          </w:tcPr>
          <w:p w14:paraId="6305BF83" w14:textId="77777777" w:rsidR="00833537" w:rsidRDefault="00833537" w:rsidP="00C41FF4">
            <w:pPr>
              <w:rPr>
                <w:color w:val="000000"/>
              </w:rPr>
            </w:pPr>
            <w:r>
              <w:rPr>
                <w:color w:val="000000"/>
              </w:rPr>
              <w:t>United States of America</w:t>
            </w:r>
          </w:p>
        </w:tc>
      </w:tr>
    </w:tbl>
    <w:p w14:paraId="6F4CBD81" w14:textId="77777777" w:rsidR="00FD119B" w:rsidRPr="00FD119B" w:rsidRDefault="00FD119B" w:rsidP="00FD119B">
      <w:pPr>
        <w:spacing w:before="0" w:after="200" w:line="0" w:lineRule="auto"/>
        <w:rPr>
          <w:b/>
          <w:i/>
          <w:sz w:val="24"/>
          <w:szCs w:val="24"/>
        </w:rPr>
      </w:pPr>
      <w:r w:rsidRPr="00FD119B">
        <w:rPr>
          <w:b/>
          <w:i/>
          <w:sz w:val="24"/>
          <w:szCs w:val="24"/>
        </w:rPr>
        <w:br w:type="page"/>
      </w:r>
    </w:p>
    <w:p w14:paraId="23C07098" w14:textId="77777777" w:rsidR="008E7846" w:rsidRDefault="009F2673" w:rsidP="008E7846">
      <w:pPr>
        <w:pStyle w:val="Heading2"/>
      </w:pPr>
      <w:bookmarkStart w:id="5" w:name="_Toc118798353"/>
      <w:r>
        <w:lastRenderedPageBreak/>
        <w:t>Pr</w:t>
      </w:r>
      <w:r w:rsidR="008E7846">
        <w:t>oduct submission</w:t>
      </w:r>
      <w:bookmarkEnd w:id="5"/>
      <w:bookmarkEnd w:id="0"/>
      <w:bookmarkEnd w:id="2"/>
    </w:p>
    <w:p w14:paraId="736CB81D" w14:textId="77777777" w:rsidR="008E7846" w:rsidRDefault="008E7846" w:rsidP="009E5A87">
      <w:pPr>
        <w:pStyle w:val="Heading3"/>
        <w:rPr>
          <w:lang w:eastAsia="en-AU"/>
        </w:rPr>
      </w:pPr>
      <w:bookmarkStart w:id="6" w:name="_Toc247691502"/>
      <w:bookmarkStart w:id="7" w:name="_Toc314842483"/>
      <w:bookmarkStart w:id="8" w:name="_Toc118798354"/>
      <w:r>
        <w:rPr>
          <w:lang w:eastAsia="en-AU"/>
        </w:rPr>
        <w:t>Submission details</w:t>
      </w:r>
      <w:bookmarkEnd w:id="6"/>
      <w:bookmarkEnd w:id="7"/>
      <w:bookmarkEnd w:id="8"/>
    </w:p>
    <w:tbl>
      <w:tblPr>
        <w:tblW w:w="5000" w:type="pct"/>
        <w:tblLook w:val="01E0" w:firstRow="1" w:lastRow="1" w:firstColumn="1" w:lastColumn="1" w:noHBand="0" w:noVBand="0"/>
      </w:tblPr>
      <w:tblGrid>
        <w:gridCol w:w="2682"/>
        <w:gridCol w:w="5822"/>
      </w:tblGrid>
      <w:tr w:rsidR="009F2673" w:rsidRPr="003D1E62" w14:paraId="06B66BC8" w14:textId="77777777" w:rsidTr="00BE0864">
        <w:tc>
          <w:tcPr>
            <w:tcW w:w="1577" w:type="pct"/>
          </w:tcPr>
          <w:p w14:paraId="2CE020A1" w14:textId="77777777" w:rsidR="009F2673" w:rsidRPr="003D1E62" w:rsidRDefault="009F2673" w:rsidP="009E5A87">
            <w:pPr>
              <w:rPr>
                <w:i/>
              </w:rPr>
            </w:pPr>
            <w:r>
              <w:rPr>
                <w:i/>
              </w:rPr>
              <w:t>Type of s</w:t>
            </w:r>
            <w:r w:rsidRPr="003D1E62">
              <w:rPr>
                <w:i/>
              </w:rPr>
              <w:t>ubmission</w:t>
            </w:r>
            <w:r>
              <w:rPr>
                <w:i/>
              </w:rPr>
              <w:t>:</w:t>
            </w:r>
          </w:p>
        </w:tc>
        <w:tc>
          <w:tcPr>
            <w:tcW w:w="3423" w:type="pct"/>
          </w:tcPr>
          <w:p w14:paraId="2D509023" w14:textId="05A23A1B" w:rsidR="009F2673" w:rsidRPr="003D1E62" w:rsidRDefault="008A3E09" w:rsidP="009E5A87">
            <w:r>
              <w:t>Extension of indications and change in dose form and strength</w:t>
            </w:r>
          </w:p>
        </w:tc>
      </w:tr>
      <w:tr w:rsidR="009F2673" w:rsidRPr="003D1E62" w14:paraId="5C47AF17" w14:textId="77777777" w:rsidTr="00BE0864">
        <w:tc>
          <w:tcPr>
            <w:tcW w:w="1577" w:type="pct"/>
          </w:tcPr>
          <w:p w14:paraId="1F517BB3" w14:textId="60F0468F" w:rsidR="009F2673" w:rsidRPr="003D1E62" w:rsidRDefault="009F2673" w:rsidP="009E5A87">
            <w:pPr>
              <w:rPr>
                <w:i/>
              </w:rPr>
            </w:pPr>
            <w:r w:rsidRPr="00460036">
              <w:rPr>
                <w:i/>
              </w:rPr>
              <w:t>Product name:</w:t>
            </w:r>
          </w:p>
        </w:tc>
        <w:tc>
          <w:tcPr>
            <w:tcW w:w="3423" w:type="pct"/>
          </w:tcPr>
          <w:p w14:paraId="140343AB" w14:textId="6F9DF605" w:rsidR="009F2673" w:rsidRPr="003D1E62" w:rsidRDefault="008A3E09" w:rsidP="009E5A87">
            <w:proofErr w:type="spellStart"/>
            <w:r>
              <w:t>Kozenis</w:t>
            </w:r>
            <w:proofErr w:type="spellEnd"/>
          </w:p>
        </w:tc>
      </w:tr>
      <w:tr w:rsidR="009F2673" w:rsidRPr="003D1E62" w14:paraId="2ED8E4C1" w14:textId="77777777" w:rsidTr="00BE0864">
        <w:tc>
          <w:tcPr>
            <w:tcW w:w="1577" w:type="pct"/>
          </w:tcPr>
          <w:p w14:paraId="4514F97F" w14:textId="1F20DFE5" w:rsidR="009F2673" w:rsidRPr="003D1E62" w:rsidRDefault="009F2673" w:rsidP="009E5A87">
            <w:pPr>
              <w:rPr>
                <w:i/>
              </w:rPr>
            </w:pPr>
            <w:r w:rsidRPr="00460036">
              <w:rPr>
                <w:i/>
              </w:rPr>
              <w:t>Active ingredient:</w:t>
            </w:r>
          </w:p>
        </w:tc>
        <w:tc>
          <w:tcPr>
            <w:tcW w:w="3423" w:type="pct"/>
          </w:tcPr>
          <w:p w14:paraId="50B44571" w14:textId="37660DE8" w:rsidR="009F2673" w:rsidRPr="008A3E09" w:rsidRDefault="008A3E09" w:rsidP="008A3E09">
            <w:r w:rsidRPr="008A3E09">
              <w:t>Tafenoquine</w:t>
            </w:r>
          </w:p>
        </w:tc>
      </w:tr>
      <w:tr w:rsidR="009F2673" w:rsidRPr="003D1E62" w14:paraId="4FC90A74" w14:textId="77777777" w:rsidTr="00BE0864">
        <w:tc>
          <w:tcPr>
            <w:tcW w:w="1577" w:type="pct"/>
          </w:tcPr>
          <w:p w14:paraId="51CC9EBF" w14:textId="77777777" w:rsidR="009F2673" w:rsidRPr="009F2673" w:rsidRDefault="009F2673" w:rsidP="009E5A87">
            <w:pPr>
              <w:rPr>
                <w:i/>
              </w:rPr>
            </w:pPr>
            <w:r w:rsidRPr="003D1E62">
              <w:rPr>
                <w:i/>
              </w:rPr>
              <w:t>Decision</w:t>
            </w:r>
            <w:r w:rsidRPr="009F2673">
              <w:rPr>
                <w:i/>
              </w:rPr>
              <w:t>:</w:t>
            </w:r>
          </w:p>
        </w:tc>
        <w:tc>
          <w:tcPr>
            <w:tcW w:w="3423" w:type="pct"/>
          </w:tcPr>
          <w:p w14:paraId="31F2EF09" w14:textId="7ADB83E7" w:rsidR="009F2673" w:rsidRPr="003D1E62" w:rsidRDefault="009F2673" w:rsidP="009E5A87">
            <w:r w:rsidRPr="00460036">
              <w:t>Approved</w:t>
            </w:r>
          </w:p>
        </w:tc>
      </w:tr>
      <w:tr w:rsidR="009F2673" w:rsidRPr="003D1E62" w14:paraId="0A3E65FC" w14:textId="77777777" w:rsidTr="00BE0864">
        <w:tc>
          <w:tcPr>
            <w:tcW w:w="1577" w:type="pct"/>
          </w:tcPr>
          <w:p w14:paraId="6EA2EA57" w14:textId="77777777" w:rsidR="009F2673" w:rsidRPr="003D1E62" w:rsidRDefault="009F2673" w:rsidP="009E5A87">
            <w:pPr>
              <w:rPr>
                <w:i/>
              </w:rPr>
            </w:pPr>
            <w:r w:rsidRPr="003D1E62">
              <w:rPr>
                <w:i/>
              </w:rPr>
              <w:t xml:space="preserve">Date of </w:t>
            </w:r>
            <w:r>
              <w:rPr>
                <w:i/>
              </w:rPr>
              <w:t>d</w:t>
            </w:r>
            <w:r w:rsidRPr="003D1E62">
              <w:rPr>
                <w:i/>
              </w:rPr>
              <w:t>ecision:</w:t>
            </w:r>
          </w:p>
        </w:tc>
        <w:tc>
          <w:tcPr>
            <w:tcW w:w="3423" w:type="pct"/>
          </w:tcPr>
          <w:p w14:paraId="7B050283" w14:textId="6A95306D" w:rsidR="009F2673" w:rsidRPr="003D1E62" w:rsidRDefault="000848B1" w:rsidP="009E5A87">
            <w:r>
              <w:t>8 March 2022</w:t>
            </w:r>
          </w:p>
        </w:tc>
      </w:tr>
      <w:tr w:rsidR="009F2673" w:rsidRPr="003D1E62" w14:paraId="1C3DA409" w14:textId="77777777" w:rsidTr="00BE0864">
        <w:tc>
          <w:tcPr>
            <w:tcW w:w="1577" w:type="pct"/>
          </w:tcPr>
          <w:p w14:paraId="16DB3AE8" w14:textId="77777777" w:rsidR="009F2673" w:rsidRPr="00441C3F" w:rsidRDefault="009F2673" w:rsidP="009E5A87">
            <w:pPr>
              <w:rPr>
                <w:i/>
              </w:rPr>
            </w:pPr>
            <w:r w:rsidRPr="00441C3F">
              <w:rPr>
                <w:i/>
              </w:rPr>
              <w:t>Date of entry onto ARTG</w:t>
            </w:r>
            <w:r>
              <w:rPr>
                <w:i/>
              </w:rPr>
              <w:t>:</w:t>
            </w:r>
          </w:p>
        </w:tc>
        <w:tc>
          <w:tcPr>
            <w:tcW w:w="3423" w:type="pct"/>
          </w:tcPr>
          <w:p w14:paraId="736F9F42" w14:textId="299A3ED7" w:rsidR="009F2673" w:rsidRPr="009F2673" w:rsidRDefault="006F343F" w:rsidP="009E5A87">
            <w:r>
              <w:t>9</w:t>
            </w:r>
            <w:r w:rsidR="008A3E09">
              <w:t xml:space="preserve"> March 2022</w:t>
            </w:r>
          </w:p>
        </w:tc>
      </w:tr>
      <w:tr w:rsidR="009F2673" w:rsidRPr="003D1E62" w14:paraId="64A8B0DF" w14:textId="77777777" w:rsidTr="00BE0864">
        <w:tc>
          <w:tcPr>
            <w:tcW w:w="1577" w:type="pct"/>
          </w:tcPr>
          <w:p w14:paraId="03CAA6E5" w14:textId="49DCBA40" w:rsidR="009F2673" w:rsidRPr="00441C3F" w:rsidRDefault="009F2673" w:rsidP="009E5A87">
            <w:pPr>
              <w:rPr>
                <w:i/>
              </w:rPr>
            </w:pPr>
            <w:r>
              <w:rPr>
                <w:i/>
              </w:rPr>
              <w:t>ARTG number:</w:t>
            </w:r>
          </w:p>
        </w:tc>
        <w:tc>
          <w:tcPr>
            <w:tcW w:w="3423" w:type="pct"/>
          </w:tcPr>
          <w:p w14:paraId="10714675" w14:textId="3635C53A" w:rsidR="009F2673" w:rsidRPr="00441C3F" w:rsidRDefault="008A3E09" w:rsidP="009E5A87">
            <w:r>
              <w:t>297214, 350774</w:t>
            </w:r>
          </w:p>
        </w:tc>
      </w:tr>
      <w:tr w:rsidR="009F2673" w:rsidRPr="003D1E62" w14:paraId="19439FF8" w14:textId="77777777" w:rsidTr="00BE0864">
        <w:tc>
          <w:tcPr>
            <w:tcW w:w="1577" w:type="pct"/>
          </w:tcPr>
          <w:p w14:paraId="369647F5" w14:textId="45BB39CE" w:rsidR="009F2673" w:rsidRDefault="001B1DA4" w:rsidP="009E5A87">
            <w:pPr>
              <w:rPr>
                <w:i/>
              </w:rPr>
            </w:pPr>
            <w:r>
              <w:rPr>
                <w:rFonts w:ascii="Wingdings 3" w:hAnsi="Wingdings 3"/>
                <w:sz w:val="34"/>
                <w:szCs w:val="34"/>
                <w:lang w:eastAsia="en-AU"/>
              </w:rPr>
              <w:t></w:t>
            </w:r>
            <w:hyperlink r:id="rId14" w:history="1">
              <w:r w:rsidR="009F2673" w:rsidRPr="009F2673">
                <w:rPr>
                  <w:rStyle w:val="Hyperlink"/>
                  <w:i/>
                </w:rPr>
                <w:t>Black Triangle Scheme</w:t>
              </w:r>
            </w:hyperlink>
            <w:r w:rsidR="009F2673">
              <w:rPr>
                <w:i/>
              </w:rPr>
              <w:t>:</w:t>
            </w:r>
          </w:p>
        </w:tc>
        <w:tc>
          <w:tcPr>
            <w:tcW w:w="3423" w:type="pct"/>
          </w:tcPr>
          <w:p w14:paraId="3E535FE4" w14:textId="6C593C7A" w:rsidR="009F2673" w:rsidRDefault="009F2673" w:rsidP="009E5A87">
            <w:r>
              <w:t>Yes</w:t>
            </w:r>
          </w:p>
          <w:p w14:paraId="32AFB1C5" w14:textId="79EF7769" w:rsidR="009F2673" w:rsidRPr="00487162" w:rsidRDefault="009F2673" w:rsidP="009E5A87">
            <w:r>
              <w:t>This product will remain in the scheme for 5 years, starting on the date the new indication was approved</w:t>
            </w:r>
            <w:r w:rsidR="008A3E09">
              <w:t>.</w:t>
            </w:r>
          </w:p>
        </w:tc>
      </w:tr>
      <w:tr w:rsidR="009F2673" w:rsidRPr="003D1E62" w14:paraId="096CD7FA" w14:textId="77777777" w:rsidTr="00BE0864">
        <w:tc>
          <w:tcPr>
            <w:tcW w:w="1577" w:type="pct"/>
          </w:tcPr>
          <w:p w14:paraId="525CB8EC" w14:textId="77777777" w:rsidR="009F2673" w:rsidRPr="009F2673" w:rsidRDefault="009F2673" w:rsidP="009E5A87">
            <w:pPr>
              <w:rPr>
                <w:i/>
              </w:rPr>
            </w:pPr>
            <w:r w:rsidRPr="00487162">
              <w:rPr>
                <w:i/>
              </w:rPr>
              <w:t xml:space="preserve">Sponsor’s </w:t>
            </w:r>
            <w:r>
              <w:rPr>
                <w:i/>
              </w:rPr>
              <w:t>n</w:t>
            </w:r>
            <w:r w:rsidRPr="00487162">
              <w:rPr>
                <w:i/>
              </w:rPr>
              <w:t xml:space="preserve">ame and </w:t>
            </w:r>
            <w:r>
              <w:rPr>
                <w:i/>
              </w:rPr>
              <w:t>a</w:t>
            </w:r>
            <w:r w:rsidRPr="00487162">
              <w:rPr>
                <w:i/>
              </w:rPr>
              <w:t>ddress:</w:t>
            </w:r>
          </w:p>
        </w:tc>
        <w:tc>
          <w:tcPr>
            <w:tcW w:w="3423" w:type="pct"/>
          </w:tcPr>
          <w:p w14:paraId="64A58EA3" w14:textId="77777777" w:rsidR="008A3E09" w:rsidRDefault="008A3E09" w:rsidP="008A3E09">
            <w:r>
              <w:t>GlaxoSmithKline Australia Pty Ltd,</w:t>
            </w:r>
          </w:p>
          <w:p w14:paraId="3E5DF255" w14:textId="77777777" w:rsidR="008A3E09" w:rsidRDefault="008A3E09" w:rsidP="008A3E09">
            <w:r>
              <w:t>Level 4, 436 Johnston Street,</w:t>
            </w:r>
          </w:p>
          <w:p w14:paraId="4A2F08AE" w14:textId="35268F08" w:rsidR="009F2673" w:rsidRDefault="008A3E09" w:rsidP="008A3E09">
            <w:r>
              <w:t>Abbotsford, Victoria, 3067</w:t>
            </w:r>
          </w:p>
        </w:tc>
      </w:tr>
      <w:tr w:rsidR="009F2673" w:rsidRPr="003D1E62" w14:paraId="4216C4C3" w14:textId="77777777" w:rsidTr="00BE0864">
        <w:tc>
          <w:tcPr>
            <w:tcW w:w="1577" w:type="pct"/>
          </w:tcPr>
          <w:p w14:paraId="2FA6405A" w14:textId="445EA833" w:rsidR="009F2673" w:rsidRPr="00487162" w:rsidRDefault="009F2673" w:rsidP="009E5A87">
            <w:pPr>
              <w:rPr>
                <w:i/>
              </w:rPr>
            </w:pPr>
            <w:r>
              <w:rPr>
                <w:i/>
              </w:rPr>
              <w:t>Dose form:</w:t>
            </w:r>
          </w:p>
        </w:tc>
        <w:tc>
          <w:tcPr>
            <w:tcW w:w="3423" w:type="pct"/>
          </w:tcPr>
          <w:p w14:paraId="17FF8ED2" w14:textId="05F45293" w:rsidR="009F2673" w:rsidRDefault="00E055FA" w:rsidP="009E5A87">
            <w:r>
              <w:t>F</w:t>
            </w:r>
            <w:r w:rsidRPr="000B1C82">
              <w:t>ilm</w:t>
            </w:r>
            <w:r>
              <w:t>-</w:t>
            </w:r>
            <w:r w:rsidRPr="000B1C82">
              <w:t>coated dispersible tablet</w:t>
            </w:r>
            <w:r>
              <w:t xml:space="preserve"> and f</w:t>
            </w:r>
            <w:r w:rsidR="00BE0864">
              <w:t>ilm</w:t>
            </w:r>
            <w:r w:rsidR="001C6EB6">
              <w:t>-</w:t>
            </w:r>
            <w:r w:rsidR="00BE0864">
              <w:t>coated tablet</w:t>
            </w:r>
          </w:p>
        </w:tc>
      </w:tr>
      <w:tr w:rsidR="009F2673" w:rsidRPr="003D1E62" w14:paraId="5078AC9D" w14:textId="77777777" w:rsidTr="00BE0864">
        <w:tc>
          <w:tcPr>
            <w:tcW w:w="1577" w:type="pct"/>
          </w:tcPr>
          <w:p w14:paraId="7E8748B3" w14:textId="07027585" w:rsidR="009F2673" w:rsidRPr="00487162" w:rsidRDefault="009F2673" w:rsidP="009E5A87">
            <w:pPr>
              <w:rPr>
                <w:i/>
              </w:rPr>
            </w:pPr>
            <w:r w:rsidRPr="00487162">
              <w:rPr>
                <w:i/>
              </w:rPr>
              <w:t>Strength</w:t>
            </w:r>
            <w:r w:rsidR="00BE0864">
              <w:rPr>
                <w:i/>
              </w:rPr>
              <w:t>s</w:t>
            </w:r>
            <w:r w:rsidRPr="00487162">
              <w:rPr>
                <w:i/>
              </w:rPr>
              <w:t>:</w:t>
            </w:r>
          </w:p>
        </w:tc>
        <w:tc>
          <w:tcPr>
            <w:tcW w:w="3423" w:type="pct"/>
          </w:tcPr>
          <w:p w14:paraId="26FCEF65" w14:textId="05C0D031" w:rsidR="009F2673" w:rsidRDefault="00BE0864" w:rsidP="009E5A87">
            <w:r>
              <w:t>50 mg and 150 mg</w:t>
            </w:r>
          </w:p>
        </w:tc>
      </w:tr>
      <w:tr w:rsidR="009F2673" w:rsidRPr="003D1E62" w14:paraId="36D98AC5" w14:textId="77777777" w:rsidTr="00BE0864">
        <w:tc>
          <w:tcPr>
            <w:tcW w:w="1577" w:type="pct"/>
          </w:tcPr>
          <w:p w14:paraId="4082E258" w14:textId="548A7FCF" w:rsidR="009F2673" w:rsidRPr="00487162" w:rsidRDefault="009F2673" w:rsidP="009E5A87">
            <w:pPr>
              <w:rPr>
                <w:i/>
              </w:rPr>
            </w:pPr>
            <w:r w:rsidRPr="00487162">
              <w:rPr>
                <w:i/>
              </w:rPr>
              <w:t>Container:</w:t>
            </w:r>
          </w:p>
        </w:tc>
        <w:tc>
          <w:tcPr>
            <w:tcW w:w="3423" w:type="pct"/>
          </w:tcPr>
          <w:p w14:paraId="7832259A" w14:textId="54B0D65B" w:rsidR="009F2673" w:rsidRDefault="00BE0864" w:rsidP="009E5A87">
            <w:r>
              <w:t>Blister pack</w:t>
            </w:r>
          </w:p>
        </w:tc>
      </w:tr>
      <w:tr w:rsidR="009F2673" w:rsidRPr="003D1E62" w14:paraId="32ACD855" w14:textId="77777777" w:rsidTr="00BE0864">
        <w:tc>
          <w:tcPr>
            <w:tcW w:w="1577" w:type="pct"/>
          </w:tcPr>
          <w:p w14:paraId="52AD6AED" w14:textId="13D3EDF3" w:rsidR="009F2673" w:rsidRPr="00487162" w:rsidRDefault="009F2673" w:rsidP="009E5A87">
            <w:pPr>
              <w:rPr>
                <w:i/>
              </w:rPr>
            </w:pPr>
            <w:r w:rsidRPr="00487162">
              <w:rPr>
                <w:i/>
              </w:rPr>
              <w:t>Pack siz</w:t>
            </w:r>
            <w:r w:rsidR="00BE0864">
              <w:rPr>
                <w:i/>
              </w:rPr>
              <w:t>es</w:t>
            </w:r>
            <w:r w:rsidRPr="00487162">
              <w:rPr>
                <w:i/>
              </w:rPr>
              <w:t>:</w:t>
            </w:r>
          </w:p>
        </w:tc>
        <w:tc>
          <w:tcPr>
            <w:tcW w:w="3423" w:type="pct"/>
          </w:tcPr>
          <w:p w14:paraId="747DC7D5" w14:textId="5AF72FB3" w:rsidR="009F2673" w:rsidRDefault="00BE0864" w:rsidP="009E5A87">
            <w:r>
              <w:t>150 mg</w:t>
            </w:r>
            <w:r w:rsidR="001869B6">
              <w:t xml:space="preserve">: </w:t>
            </w:r>
            <w:r>
              <w:t xml:space="preserve">2 </w:t>
            </w:r>
            <w:r w:rsidR="001C6EB6">
              <w:t xml:space="preserve">film-coated </w:t>
            </w:r>
            <w:r>
              <w:t>tablet</w:t>
            </w:r>
            <w:r w:rsidR="001869B6">
              <w:t xml:space="preserve"> pack</w:t>
            </w:r>
          </w:p>
          <w:p w14:paraId="61EBEB40" w14:textId="5A5BD17D" w:rsidR="00BE0864" w:rsidRDefault="00BE0864" w:rsidP="009E5A87">
            <w:r>
              <w:t>50 mg</w:t>
            </w:r>
            <w:r w:rsidR="001869B6">
              <w:t xml:space="preserve">: </w:t>
            </w:r>
            <w:r>
              <w:t xml:space="preserve">30 </w:t>
            </w:r>
            <w:r w:rsidR="001C6EB6">
              <w:t xml:space="preserve">film-coated dispersible </w:t>
            </w:r>
            <w:r>
              <w:t>tablet</w:t>
            </w:r>
            <w:r w:rsidR="001869B6">
              <w:t xml:space="preserve"> pack</w:t>
            </w:r>
          </w:p>
        </w:tc>
      </w:tr>
      <w:tr w:rsidR="009F2673" w:rsidRPr="003D1E62" w14:paraId="57DEBA5A" w14:textId="77777777" w:rsidTr="00BE0864">
        <w:tc>
          <w:tcPr>
            <w:tcW w:w="1577" w:type="pct"/>
          </w:tcPr>
          <w:p w14:paraId="2BF405CE" w14:textId="77777777" w:rsidR="009F2673" w:rsidRPr="00487162" w:rsidRDefault="009F2673" w:rsidP="009E5A87">
            <w:pPr>
              <w:rPr>
                <w:i/>
              </w:rPr>
            </w:pPr>
            <w:r w:rsidRPr="00487162">
              <w:rPr>
                <w:i/>
              </w:rPr>
              <w:t xml:space="preserve">Approved </w:t>
            </w:r>
            <w:r>
              <w:rPr>
                <w:i/>
              </w:rPr>
              <w:t>t</w:t>
            </w:r>
            <w:r w:rsidRPr="00487162">
              <w:rPr>
                <w:i/>
              </w:rPr>
              <w:t>herapeutic use:</w:t>
            </w:r>
          </w:p>
        </w:tc>
        <w:tc>
          <w:tcPr>
            <w:tcW w:w="3423" w:type="pct"/>
          </w:tcPr>
          <w:p w14:paraId="4B8F69E8" w14:textId="59B6967D" w:rsidR="009F2673" w:rsidRPr="007A6DB8" w:rsidRDefault="007A6DB8" w:rsidP="009E5A87">
            <w:pPr>
              <w:rPr>
                <w:i/>
                <w:iCs/>
              </w:rPr>
            </w:pPr>
            <w:r w:rsidRPr="007A6DB8">
              <w:rPr>
                <w:i/>
                <w:iCs/>
              </w:rPr>
              <w:t>Tafenoquine is indicated, in combination with chloroquine, for the radical cure (prevention of relapse) of Plasmodium vivax (P. vivax) malaria (see Section 4.2 D</w:t>
            </w:r>
            <w:r>
              <w:rPr>
                <w:i/>
                <w:iCs/>
              </w:rPr>
              <w:t xml:space="preserve">ose and method of </w:t>
            </w:r>
            <w:proofErr w:type="spellStart"/>
            <w:r>
              <w:rPr>
                <w:i/>
                <w:iCs/>
              </w:rPr>
              <w:t>adminstration</w:t>
            </w:r>
            <w:proofErr w:type="spellEnd"/>
            <w:r w:rsidRPr="007A6DB8">
              <w:rPr>
                <w:i/>
                <w:iCs/>
              </w:rPr>
              <w:t>).</w:t>
            </w:r>
          </w:p>
        </w:tc>
      </w:tr>
      <w:tr w:rsidR="009F2673" w:rsidRPr="003D1E62" w14:paraId="5AA39B7B" w14:textId="77777777" w:rsidTr="00BE0864">
        <w:tc>
          <w:tcPr>
            <w:tcW w:w="1577" w:type="pct"/>
          </w:tcPr>
          <w:p w14:paraId="169FFD11" w14:textId="03A9D0DF" w:rsidR="009F2673" w:rsidRPr="00487162" w:rsidRDefault="009F2673" w:rsidP="009E5A87">
            <w:pPr>
              <w:rPr>
                <w:i/>
              </w:rPr>
            </w:pPr>
            <w:r w:rsidRPr="00487162">
              <w:rPr>
                <w:i/>
              </w:rPr>
              <w:t>Route of administration:</w:t>
            </w:r>
          </w:p>
        </w:tc>
        <w:tc>
          <w:tcPr>
            <w:tcW w:w="3423" w:type="pct"/>
          </w:tcPr>
          <w:p w14:paraId="12BC3E02" w14:textId="0A1339C9" w:rsidR="009F2673" w:rsidRPr="00487162" w:rsidRDefault="007A6DB8" w:rsidP="009E5A87">
            <w:r>
              <w:t>Oral</w:t>
            </w:r>
          </w:p>
        </w:tc>
      </w:tr>
      <w:tr w:rsidR="009F2673" w:rsidRPr="003D1E62" w14:paraId="05C2B7F3" w14:textId="77777777" w:rsidTr="00BE0864">
        <w:tc>
          <w:tcPr>
            <w:tcW w:w="1577" w:type="pct"/>
          </w:tcPr>
          <w:p w14:paraId="5190A5D5" w14:textId="77777777" w:rsidR="009F2673" w:rsidRPr="00487162" w:rsidRDefault="009F2673" w:rsidP="009E5A87">
            <w:pPr>
              <w:rPr>
                <w:i/>
              </w:rPr>
            </w:pPr>
            <w:r w:rsidRPr="00487162">
              <w:rPr>
                <w:i/>
              </w:rPr>
              <w:t>Dosage:</w:t>
            </w:r>
          </w:p>
        </w:tc>
        <w:tc>
          <w:tcPr>
            <w:tcW w:w="3423" w:type="pct"/>
          </w:tcPr>
          <w:p w14:paraId="7E6F48CC" w14:textId="4C949961" w:rsidR="00CB41B8" w:rsidRDefault="00CB41B8" w:rsidP="00CB41B8">
            <w:r w:rsidRPr="007A6DB8">
              <w:t>Tafenoquine should be co-admin</w:t>
            </w:r>
            <w:r>
              <w:t>istered with chloroquine on D</w:t>
            </w:r>
            <w:r w:rsidRPr="007A6DB8">
              <w:t>ay</w:t>
            </w:r>
            <w:r>
              <w:t xml:space="preserve"> 1 or 2</w:t>
            </w:r>
            <w:r w:rsidRPr="007A6DB8">
              <w:t xml:space="preserve"> of the three days chloroquine administration for the treatment of acute </w:t>
            </w:r>
            <w:r w:rsidRPr="007A6DB8">
              <w:rPr>
                <w:i/>
                <w:iCs/>
              </w:rPr>
              <w:t>P.</w:t>
            </w:r>
            <w:r>
              <w:rPr>
                <w:i/>
                <w:iCs/>
              </w:rPr>
              <w:t> </w:t>
            </w:r>
            <w:r w:rsidRPr="007A6DB8">
              <w:rPr>
                <w:i/>
                <w:iCs/>
              </w:rPr>
              <w:t>vivax</w:t>
            </w:r>
            <w:r w:rsidRPr="007A6DB8">
              <w:t xml:space="preserve"> malaria.</w:t>
            </w:r>
          </w:p>
          <w:p w14:paraId="0E48BC7D" w14:textId="1C4BD7C0" w:rsidR="00CB41B8" w:rsidRDefault="00CB41B8" w:rsidP="00CB41B8">
            <w:r>
              <w:t xml:space="preserve">Tafenoquine is </w:t>
            </w:r>
            <w:r w:rsidRPr="00E055FA">
              <w:rPr>
                <w:i/>
              </w:rPr>
              <w:t>not</w:t>
            </w:r>
            <w:r>
              <w:t xml:space="preserve"> indicated for the treatment of acute </w:t>
            </w:r>
            <w:r w:rsidRPr="00E055FA">
              <w:rPr>
                <w:i/>
              </w:rPr>
              <w:t>P. vivax</w:t>
            </w:r>
            <w:r>
              <w:t xml:space="preserve"> malaria. Consideration should be given to official guidance on the appropriate use of antimalarial medicinal products in areas where chloroquine is not recommended.</w:t>
            </w:r>
          </w:p>
          <w:p w14:paraId="1773BCFD" w14:textId="3F648AF4" w:rsidR="00CB41B8" w:rsidRPr="00A06D75" w:rsidRDefault="00CB41B8" w:rsidP="00CB41B8">
            <w:r>
              <w:t xml:space="preserve">Concomitant use of tafenoquine with </w:t>
            </w:r>
            <w:proofErr w:type="spellStart"/>
            <w:r>
              <w:t>dihydroartemisinin</w:t>
            </w:r>
            <w:proofErr w:type="spellEnd"/>
            <w:r>
              <w:t xml:space="preserve">-piperaquine is </w:t>
            </w:r>
            <w:r w:rsidRPr="00CB41B8">
              <w:t>not</w:t>
            </w:r>
            <w:r>
              <w:t xml:space="preserve"> recommended. The efficacy and safety of </w:t>
            </w:r>
            <w:r>
              <w:lastRenderedPageBreak/>
              <w:t>tafenoquine with antimalarials other than chloroquine have not been established.</w:t>
            </w:r>
          </w:p>
          <w:p w14:paraId="7A9D7B14" w14:textId="17FA1F56" w:rsidR="00CB41B8" w:rsidRPr="00E055FA" w:rsidRDefault="00D3170A" w:rsidP="009E5A87">
            <w:pPr>
              <w:rPr>
                <w:i/>
              </w:rPr>
            </w:pPr>
            <w:r>
              <w:rPr>
                <w:i/>
              </w:rPr>
              <w:t>Before taking this medicine</w:t>
            </w:r>
          </w:p>
          <w:p w14:paraId="140F59C7" w14:textId="7E9CD67F" w:rsidR="00190644" w:rsidRPr="00E055FA" w:rsidRDefault="007A6DB8" w:rsidP="007A6DB8">
            <w:r w:rsidRPr="007A6DB8">
              <w:t>All patients must be tested for glucose-6-phosphate dehydrogenase (G6PD) deficiency prior to prescribing tafenoquine (see Section 4.3 C</w:t>
            </w:r>
            <w:r>
              <w:t>ontraindications</w:t>
            </w:r>
            <w:r w:rsidRPr="007A6DB8">
              <w:t xml:space="preserve"> and Section</w:t>
            </w:r>
            <w:r w:rsidR="001869B6">
              <w:t> </w:t>
            </w:r>
            <w:r w:rsidRPr="007A6DB8">
              <w:t>4.4 S</w:t>
            </w:r>
            <w:r>
              <w:t>pecial warnings and precautions for use</w:t>
            </w:r>
            <w:r w:rsidR="00CB41B8">
              <w:t xml:space="preserve">, </w:t>
            </w:r>
            <w:r w:rsidR="00CB41B8" w:rsidRPr="00E055FA">
              <w:rPr>
                <w:i/>
              </w:rPr>
              <w:t>Haemolytic anaemia and G6PD deficiency</w:t>
            </w:r>
            <w:r w:rsidRPr="007A6DB8">
              <w:t>).</w:t>
            </w:r>
          </w:p>
          <w:p w14:paraId="7831D63E" w14:textId="4F81E963" w:rsidR="007A6DB8" w:rsidRPr="007A6DB8" w:rsidRDefault="00D3170A" w:rsidP="007A6DB8">
            <w:pPr>
              <w:rPr>
                <w:i/>
                <w:iCs/>
              </w:rPr>
            </w:pPr>
            <w:r>
              <w:rPr>
                <w:i/>
                <w:iCs/>
              </w:rPr>
              <w:t>Dose in a</w:t>
            </w:r>
            <w:r w:rsidR="007A6DB8" w:rsidRPr="007A6DB8">
              <w:rPr>
                <w:i/>
                <w:iCs/>
              </w:rPr>
              <w:t>dults, adolescents and children weighing greater than 35 kg</w:t>
            </w:r>
          </w:p>
          <w:p w14:paraId="2AF5050E" w14:textId="45E36297" w:rsidR="007A6DB8" w:rsidRDefault="007A6DB8" w:rsidP="007A6DB8">
            <w:r>
              <w:t>A single 300 mg dose (two</w:t>
            </w:r>
            <w:r w:rsidR="001869B6">
              <w:t xml:space="preserve"> </w:t>
            </w:r>
            <w:r>
              <w:t xml:space="preserve">150 mg tafenoquine tablets) is recommended to be given on Day 1 or Day 2 of the </w:t>
            </w:r>
            <w:proofErr w:type="gramStart"/>
            <w:r>
              <w:t>3 day</w:t>
            </w:r>
            <w:proofErr w:type="gramEnd"/>
            <w:r>
              <w:t xml:space="preserve"> course of chloroquine (see Section 5.1 Pharmacodynamic properties).</w:t>
            </w:r>
          </w:p>
          <w:p w14:paraId="14CFBFBB" w14:textId="3A6638C6" w:rsidR="007A6DB8" w:rsidRPr="00D3170A" w:rsidRDefault="00D3170A" w:rsidP="007A6DB8">
            <w:pPr>
              <w:rPr>
                <w:i/>
                <w:iCs/>
              </w:rPr>
            </w:pPr>
            <w:r w:rsidRPr="00E055FA">
              <w:rPr>
                <w:i/>
              </w:rPr>
              <w:t xml:space="preserve">Dose in </w:t>
            </w:r>
            <w:r w:rsidR="007A6DB8" w:rsidRPr="00D3170A">
              <w:rPr>
                <w:i/>
                <w:iCs/>
              </w:rPr>
              <w:t>Adolescents and children (2 years of age</w:t>
            </w:r>
            <w:r w:rsidR="001869B6" w:rsidRPr="00D3170A">
              <w:rPr>
                <w:i/>
                <w:iCs/>
              </w:rPr>
              <w:t xml:space="preserve"> or older</w:t>
            </w:r>
            <w:r w:rsidR="007A6DB8" w:rsidRPr="00D3170A">
              <w:rPr>
                <w:i/>
                <w:iCs/>
              </w:rPr>
              <w:t xml:space="preserve">) weighing </w:t>
            </w:r>
            <w:r w:rsidR="001869B6" w:rsidRPr="00D3170A">
              <w:rPr>
                <w:i/>
                <w:iCs/>
              </w:rPr>
              <w:t xml:space="preserve">above </w:t>
            </w:r>
            <w:r w:rsidR="007A6DB8" w:rsidRPr="00D3170A">
              <w:rPr>
                <w:i/>
                <w:iCs/>
              </w:rPr>
              <w:t xml:space="preserve">10 kg and </w:t>
            </w:r>
            <w:r w:rsidR="001869B6" w:rsidRPr="00D3170A">
              <w:rPr>
                <w:i/>
                <w:iCs/>
              </w:rPr>
              <w:t xml:space="preserve">up to </w:t>
            </w:r>
            <w:r w:rsidR="007A6DB8" w:rsidRPr="00D3170A">
              <w:rPr>
                <w:i/>
                <w:iCs/>
              </w:rPr>
              <w:t>35 kg</w:t>
            </w:r>
          </w:p>
          <w:p w14:paraId="73F5656D" w14:textId="64B18B2E" w:rsidR="007A6DB8" w:rsidRDefault="007A6DB8" w:rsidP="007A6DB8">
            <w:r>
              <w:t>The recommended dose of tafenoquine dispersible tablets is determined according to weight.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3"/>
              <w:gridCol w:w="1170"/>
              <w:gridCol w:w="2700"/>
            </w:tblGrid>
            <w:tr w:rsidR="00C41FF4" w:rsidRPr="00C41FF4" w14:paraId="34016CC1" w14:textId="77777777" w:rsidTr="00E055FA">
              <w:tc>
                <w:tcPr>
                  <w:tcW w:w="1613" w:type="dxa"/>
                  <w:tcBorders>
                    <w:bottom w:val="single" w:sz="4" w:space="0" w:color="auto"/>
                  </w:tcBorders>
                </w:tcPr>
                <w:p w14:paraId="7929DFEF" w14:textId="50132C37" w:rsidR="00C41FF4" w:rsidRPr="00E055FA" w:rsidRDefault="00C41FF4" w:rsidP="007A6DB8">
                  <w:pPr>
                    <w:rPr>
                      <w:sz w:val="19"/>
                      <w:szCs w:val="19"/>
                    </w:rPr>
                  </w:pPr>
                  <w:r w:rsidRPr="00E055FA">
                    <w:rPr>
                      <w:sz w:val="19"/>
                      <w:szCs w:val="19"/>
                    </w:rPr>
                    <w:t>Body weight</w:t>
                  </w:r>
                  <w:r>
                    <w:rPr>
                      <w:sz w:val="19"/>
                      <w:szCs w:val="19"/>
                    </w:rPr>
                    <w:t xml:space="preserve"> (kg)</w:t>
                  </w:r>
                </w:p>
              </w:tc>
              <w:tc>
                <w:tcPr>
                  <w:tcW w:w="1170" w:type="dxa"/>
                  <w:tcBorders>
                    <w:bottom w:val="single" w:sz="4" w:space="0" w:color="auto"/>
                  </w:tcBorders>
                </w:tcPr>
                <w:p w14:paraId="5680C81D" w14:textId="50262A04" w:rsidR="00C41FF4" w:rsidRPr="00E055FA" w:rsidRDefault="00C41FF4" w:rsidP="007A6DB8">
                  <w:pPr>
                    <w:rPr>
                      <w:sz w:val="19"/>
                      <w:szCs w:val="19"/>
                    </w:rPr>
                  </w:pPr>
                  <w:r>
                    <w:rPr>
                      <w:sz w:val="19"/>
                      <w:szCs w:val="19"/>
                    </w:rPr>
                    <w:t>Total dose*</w:t>
                  </w:r>
                </w:p>
              </w:tc>
              <w:tc>
                <w:tcPr>
                  <w:tcW w:w="2700" w:type="dxa"/>
                  <w:tcBorders>
                    <w:bottom w:val="single" w:sz="4" w:space="0" w:color="auto"/>
                  </w:tcBorders>
                </w:tcPr>
                <w:p w14:paraId="2589D6C8" w14:textId="1518B61B" w:rsidR="00C41FF4" w:rsidRPr="00E055FA" w:rsidRDefault="00C41FF4" w:rsidP="007A6DB8">
                  <w:pPr>
                    <w:rPr>
                      <w:sz w:val="19"/>
                      <w:szCs w:val="19"/>
                    </w:rPr>
                  </w:pPr>
                  <w:r>
                    <w:rPr>
                      <w:sz w:val="19"/>
                      <w:szCs w:val="19"/>
                    </w:rPr>
                    <w:t>Number of tablets</w:t>
                  </w:r>
                </w:p>
              </w:tc>
            </w:tr>
            <w:tr w:rsidR="00C41FF4" w:rsidRPr="00C41FF4" w14:paraId="146D1460" w14:textId="77777777" w:rsidTr="00E055FA">
              <w:tc>
                <w:tcPr>
                  <w:tcW w:w="1613" w:type="dxa"/>
                  <w:tcBorders>
                    <w:top w:val="single" w:sz="4" w:space="0" w:color="auto"/>
                  </w:tcBorders>
                </w:tcPr>
                <w:p w14:paraId="35B6077F" w14:textId="371524F0" w:rsidR="00C41FF4" w:rsidRPr="00E055FA" w:rsidRDefault="00190644" w:rsidP="007A6DB8">
                  <w:pPr>
                    <w:rPr>
                      <w:sz w:val="19"/>
                      <w:szCs w:val="19"/>
                    </w:rPr>
                  </w:pPr>
                  <w:r w:rsidRPr="00190644">
                    <w:rPr>
                      <w:sz w:val="19"/>
                      <w:szCs w:val="19"/>
                    </w:rPr>
                    <w:t>&gt; 10 to ≤ 20</w:t>
                  </w:r>
                </w:p>
              </w:tc>
              <w:tc>
                <w:tcPr>
                  <w:tcW w:w="1170" w:type="dxa"/>
                  <w:tcBorders>
                    <w:top w:val="single" w:sz="4" w:space="0" w:color="auto"/>
                  </w:tcBorders>
                </w:tcPr>
                <w:p w14:paraId="234A75BF" w14:textId="448067FC" w:rsidR="00C41FF4" w:rsidRPr="00E055FA" w:rsidRDefault="00190644" w:rsidP="007A6DB8">
                  <w:pPr>
                    <w:rPr>
                      <w:sz w:val="19"/>
                      <w:szCs w:val="19"/>
                    </w:rPr>
                  </w:pPr>
                  <w:r>
                    <w:rPr>
                      <w:sz w:val="19"/>
                      <w:szCs w:val="19"/>
                    </w:rPr>
                    <w:t>100 mg</w:t>
                  </w:r>
                </w:p>
              </w:tc>
              <w:tc>
                <w:tcPr>
                  <w:tcW w:w="2700" w:type="dxa"/>
                  <w:tcBorders>
                    <w:top w:val="single" w:sz="4" w:space="0" w:color="auto"/>
                  </w:tcBorders>
                </w:tcPr>
                <w:p w14:paraId="7A93D55C" w14:textId="7C72CF10" w:rsidR="00C41FF4" w:rsidRPr="00E055FA" w:rsidRDefault="00190644" w:rsidP="007A6DB8">
                  <w:pPr>
                    <w:rPr>
                      <w:sz w:val="19"/>
                      <w:szCs w:val="19"/>
                    </w:rPr>
                  </w:pPr>
                  <w:r>
                    <w:rPr>
                      <w:sz w:val="19"/>
                      <w:szCs w:val="19"/>
                    </w:rPr>
                    <w:t>Two 50 mg dispersible tablets</w:t>
                  </w:r>
                </w:p>
              </w:tc>
            </w:tr>
            <w:tr w:rsidR="00C41FF4" w:rsidRPr="00C41FF4" w14:paraId="33993F36" w14:textId="77777777" w:rsidTr="00E055FA">
              <w:tc>
                <w:tcPr>
                  <w:tcW w:w="1613" w:type="dxa"/>
                  <w:tcBorders>
                    <w:bottom w:val="single" w:sz="4" w:space="0" w:color="auto"/>
                  </w:tcBorders>
                </w:tcPr>
                <w:p w14:paraId="37B3545B" w14:textId="3B2CFADA" w:rsidR="00C41FF4" w:rsidRPr="00E055FA" w:rsidRDefault="00190644" w:rsidP="007A6DB8">
                  <w:pPr>
                    <w:rPr>
                      <w:sz w:val="19"/>
                      <w:szCs w:val="19"/>
                    </w:rPr>
                  </w:pPr>
                  <w:r w:rsidRPr="00190644">
                    <w:rPr>
                      <w:sz w:val="19"/>
                      <w:szCs w:val="19"/>
                    </w:rPr>
                    <w:t>&gt; 20 to ≤ 35</w:t>
                  </w:r>
                </w:p>
              </w:tc>
              <w:tc>
                <w:tcPr>
                  <w:tcW w:w="1170" w:type="dxa"/>
                  <w:tcBorders>
                    <w:bottom w:val="single" w:sz="4" w:space="0" w:color="auto"/>
                  </w:tcBorders>
                </w:tcPr>
                <w:p w14:paraId="75B80AB6" w14:textId="35C7A101" w:rsidR="00C41FF4" w:rsidRPr="00E055FA" w:rsidRDefault="00190644" w:rsidP="007A6DB8">
                  <w:pPr>
                    <w:rPr>
                      <w:sz w:val="19"/>
                      <w:szCs w:val="19"/>
                    </w:rPr>
                  </w:pPr>
                  <w:r>
                    <w:rPr>
                      <w:sz w:val="19"/>
                      <w:szCs w:val="19"/>
                    </w:rPr>
                    <w:t>200 mg</w:t>
                  </w:r>
                </w:p>
              </w:tc>
              <w:tc>
                <w:tcPr>
                  <w:tcW w:w="2700" w:type="dxa"/>
                  <w:tcBorders>
                    <w:bottom w:val="single" w:sz="4" w:space="0" w:color="auto"/>
                  </w:tcBorders>
                </w:tcPr>
                <w:p w14:paraId="307FD849" w14:textId="4E8B5C65" w:rsidR="00C41FF4" w:rsidRPr="00E055FA" w:rsidRDefault="00190644" w:rsidP="007A6DB8">
                  <w:pPr>
                    <w:rPr>
                      <w:sz w:val="19"/>
                      <w:szCs w:val="19"/>
                    </w:rPr>
                  </w:pPr>
                  <w:r>
                    <w:rPr>
                      <w:sz w:val="19"/>
                      <w:szCs w:val="19"/>
                    </w:rPr>
                    <w:t>Four 50 mg dispersible tablets</w:t>
                  </w:r>
                </w:p>
              </w:tc>
            </w:tr>
          </w:tbl>
          <w:p w14:paraId="0A3561E5" w14:textId="343C63F6" w:rsidR="00C41FF4" w:rsidRDefault="00190644" w:rsidP="00E055FA">
            <w:pPr>
              <w:pStyle w:val="TableDescription"/>
            </w:pPr>
            <w:r w:rsidRPr="00E055FA">
              <w:t>*Single dose to be taken on Day 1 or Day 2 of the 3-day course of chloroquine</w:t>
            </w:r>
          </w:p>
          <w:p w14:paraId="0BD3A1FF" w14:textId="596E451B" w:rsidR="00D3170A" w:rsidRPr="00D3170A" w:rsidRDefault="00D3170A">
            <w:r>
              <w:t>The use of tafenoquine in children less than 2 years of age is not recommended as the safety and efficacy of tafenoquine have not been established in this age group.</w:t>
            </w:r>
          </w:p>
          <w:p w14:paraId="11BC7434" w14:textId="77777777" w:rsidR="009F2673" w:rsidRPr="00487162" w:rsidRDefault="009F2673" w:rsidP="009E5A87">
            <w:r w:rsidRPr="00460036">
              <w:t>For further information regarding dosage, refer to the Product Information.</w:t>
            </w:r>
          </w:p>
        </w:tc>
      </w:tr>
      <w:tr w:rsidR="009F2673" w:rsidRPr="003D1E62" w14:paraId="7FEB74DC" w14:textId="77777777" w:rsidTr="00BE0864">
        <w:tc>
          <w:tcPr>
            <w:tcW w:w="1577" w:type="pct"/>
          </w:tcPr>
          <w:p w14:paraId="1A179C94" w14:textId="77777777" w:rsidR="009F2673" w:rsidRPr="00487162" w:rsidRDefault="009F2673" w:rsidP="009E5A87">
            <w:pPr>
              <w:rPr>
                <w:i/>
              </w:rPr>
            </w:pPr>
            <w:r w:rsidRPr="00460036">
              <w:rPr>
                <w:i/>
              </w:rPr>
              <w:lastRenderedPageBreak/>
              <w:t>Pregnancy category</w:t>
            </w:r>
            <w:r>
              <w:rPr>
                <w:i/>
              </w:rPr>
              <w:t>:</w:t>
            </w:r>
          </w:p>
        </w:tc>
        <w:tc>
          <w:tcPr>
            <w:tcW w:w="3423" w:type="pct"/>
          </w:tcPr>
          <w:p w14:paraId="76DD8C1D" w14:textId="5F23F8E8" w:rsidR="007A6DB8" w:rsidRDefault="007A6DB8" w:rsidP="007A6DB8">
            <w:r>
              <w:t>C</w:t>
            </w:r>
          </w:p>
          <w:p w14:paraId="4AD4C204" w14:textId="77777777" w:rsidR="007A6DB8" w:rsidRDefault="007A6DB8" w:rsidP="007A6DB8">
            <w:r>
              <w:t xml:space="preserve">Drugs which, owing to their pharmacological effects, have </w:t>
            </w:r>
            <w:proofErr w:type="gramStart"/>
            <w:r>
              <w:t>caused</w:t>
            </w:r>
            <w:proofErr w:type="gramEnd"/>
            <w:r>
              <w:t xml:space="preserve"> or may be suspected of causing, harmful effects on the human </w:t>
            </w:r>
            <w:proofErr w:type="spellStart"/>
            <w:r>
              <w:t>fetus</w:t>
            </w:r>
            <w:proofErr w:type="spellEnd"/>
            <w:r>
              <w:t xml:space="preserve"> or neonate without causing malformations. These effects may be reversible. Accompanying texts should be consulted for further details.</w:t>
            </w:r>
          </w:p>
          <w:p w14:paraId="19F24FC8" w14:textId="378D8284" w:rsidR="009F2673" w:rsidRPr="00487162" w:rsidRDefault="009F2673" w:rsidP="007A6DB8">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06EF0786" w14:textId="77777777" w:rsidR="008E7846" w:rsidRDefault="008E7846" w:rsidP="008E7846">
      <w:pPr>
        <w:pStyle w:val="Heading3"/>
      </w:pPr>
      <w:bookmarkStart w:id="9" w:name="_Toc247691503"/>
      <w:bookmarkStart w:id="10" w:name="_Toc314842484"/>
      <w:bookmarkStart w:id="11" w:name="_Toc118798355"/>
      <w:r>
        <w:lastRenderedPageBreak/>
        <w:t>Product background</w:t>
      </w:r>
      <w:bookmarkEnd w:id="9"/>
      <w:bookmarkEnd w:id="10"/>
      <w:bookmarkEnd w:id="11"/>
    </w:p>
    <w:p w14:paraId="1B004CDD" w14:textId="2D47FD7F" w:rsidR="009F2673" w:rsidRDefault="009F2673" w:rsidP="009F2673">
      <w:r w:rsidRPr="000A4A42">
        <w:t xml:space="preserve">This AusPAR describes the </w:t>
      </w:r>
      <w:r w:rsidR="001E359E">
        <w:t>submission</w:t>
      </w:r>
      <w:r w:rsidRPr="000A4A42">
        <w:t xml:space="preserve"> by </w:t>
      </w:r>
      <w:r w:rsidR="009C067E">
        <w:t xml:space="preserve">GlaxoSmithKline Australia </w:t>
      </w:r>
      <w:r w:rsidR="000B1C82">
        <w:t>Pty Ltd</w:t>
      </w:r>
      <w:r w:rsidRPr="000A4A42">
        <w:t xml:space="preserve"> (the sponsor) to register</w:t>
      </w:r>
      <w:r w:rsidR="000B1C82">
        <w:t xml:space="preserve"> </w:t>
      </w:r>
      <w:proofErr w:type="spellStart"/>
      <w:r w:rsidR="000B1C82">
        <w:t>Kozenis</w:t>
      </w:r>
      <w:proofErr w:type="spellEnd"/>
      <w:r w:rsidR="000B1C82">
        <w:t xml:space="preserve"> (tafenoquine</w:t>
      </w:r>
      <w:r w:rsidRPr="000A4A42">
        <w:t xml:space="preserve">) </w:t>
      </w:r>
      <w:r w:rsidR="000B1C82">
        <w:t>50 mg</w:t>
      </w:r>
      <w:r w:rsidR="00F23BDD">
        <w:t xml:space="preserve"> </w:t>
      </w:r>
      <w:r w:rsidR="00F23BDD" w:rsidRPr="000B1C82">
        <w:t>film</w:t>
      </w:r>
      <w:r w:rsidR="00F23BDD">
        <w:t xml:space="preserve"> </w:t>
      </w:r>
      <w:r w:rsidR="00F23BDD" w:rsidRPr="000B1C82">
        <w:t>coated dispersible tablet</w:t>
      </w:r>
      <w:r w:rsidR="00F23BDD">
        <w:t>s, and</w:t>
      </w:r>
      <w:r w:rsidR="000B1C82">
        <w:t xml:space="preserve"> 150 mg</w:t>
      </w:r>
      <w:r w:rsidRPr="000A4A42">
        <w:t xml:space="preserve"> </w:t>
      </w:r>
      <w:r w:rsidR="000B1C82">
        <w:t>film coated tablet</w:t>
      </w:r>
      <w:r w:rsidR="00F23BDD">
        <w:t xml:space="preserve">s </w:t>
      </w:r>
      <w:r w:rsidRPr="000A4A42">
        <w:t>for the following extension of indications:</w:t>
      </w:r>
    </w:p>
    <w:p w14:paraId="0713523F" w14:textId="3DD4B493" w:rsidR="000B1C82" w:rsidRPr="000B1C82" w:rsidRDefault="000B1C82" w:rsidP="000B1C82">
      <w:pPr>
        <w:ind w:left="720"/>
        <w:rPr>
          <w:i/>
          <w:iCs/>
        </w:rPr>
      </w:pPr>
      <w:r w:rsidRPr="000B1C82">
        <w:rPr>
          <w:i/>
          <w:iCs/>
        </w:rPr>
        <w:t>Tafenoquine is indicated for the radical cure (prevention of relapse) of Plasmodium vivax (P. vivax) malaria in patients aged 6 months and older (≥ 5 kg body weight) who are receiving appropriate antimalarial therapy for the acute P. vivax infection.</w:t>
      </w:r>
    </w:p>
    <w:p w14:paraId="40F2A51C" w14:textId="438706CC" w:rsidR="006B1D12" w:rsidRDefault="006B1D12" w:rsidP="006B1D12">
      <w:bookmarkStart w:id="12" w:name="_Toc314842485"/>
      <w:bookmarkStart w:id="13" w:name="_Toc247691504"/>
      <w:r>
        <w:t>Globally, malaria is a highly prevalent parasitic infection</w:t>
      </w:r>
      <w:r w:rsidR="00C4407B">
        <w:t>; however, t</w:t>
      </w:r>
      <w:r w:rsidR="00FD4D04">
        <w:t xml:space="preserve">he World Health Organization declared </w:t>
      </w:r>
      <w:r w:rsidR="00FD4D04" w:rsidRPr="00FD4D04">
        <w:t>Australia to be</w:t>
      </w:r>
      <w:r w:rsidR="00FD4D04">
        <w:t xml:space="preserve"> free of endemic malaria in 1981.</w:t>
      </w:r>
      <w:r w:rsidR="00FD4D04">
        <w:rPr>
          <w:rStyle w:val="FootnoteReference"/>
        </w:rPr>
        <w:footnoteReference w:id="1"/>
      </w:r>
      <w:r w:rsidR="00FD4D04" w:rsidRPr="00FD4D04">
        <w:t xml:space="preserve"> </w:t>
      </w:r>
      <w:r w:rsidR="00FD4D04">
        <w:t>O</w:t>
      </w:r>
      <w:r w:rsidR="00FD4D04" w:rsidRPr="00FD4D04">
        <w:t xml:space="preserve">nly </w:t>
      </w:r>
      <w:r w:rsidR="00C4407B">
        <w:t xml:space="preserve">rare </w:t>
      </w:r>
      <w:r w:rsidR="00FD4D04" w:rsidRPr="00FD4D04">
        <w:t>sporadic cases of l</w:t>
      </w:r>
      <w:r w:rsidR="00C4407B">
        <w:t xml:space="preserve">ocal transmission have occurred </w:t>
      </w:r>
      <w:r>
        <w:t>in Northern</w:t>
      </w:r>
      <w:r w:rsidR="00F23BDD">
        <w:t> </w:t>
      </w:r>
      <w:r>
        <w:t>Australia</w:t>
      </w:r>
      <w:r w:rsidR="00C4407B">
        <w:t>;</w:t>
      </w:r>
      <w:r w:rsidR="00C4407B">
        <w:rPr>
          <w:rStyle w:val="FootnoteReference"/>
        </w:rPr>
        <w:footnoteReference w:id="2"/>
      </w:r>
      <w:r>
        <w:t xml:space="preserve"> although the area remains receptive to the propagation of </w:t>
      </w:r>
      <w:r w:rsidRPr="00E055FA">
        <w:rPr>
          <w:i/>
        </w:rPr>
        <w:t>Anopheles</w:t>
      </w:r>
      <w:r>
        <w:t xml:space="preserve"> </w:t>
      </w:r>
      <w:r w:rsidR="00C4407B">
        <w:t xml:space="preserve">mosquitos as a </w:t>
      </w:r>
      <w:r>
        <w:t>vector</w:t>
      </w:r>
      <w:r w:rsidR="00C4407B">
        <w:t>.</w:t>
      </w:r>
      <w:r w:rsidR="00C4407B">
        <w:rPr>
          <w:rStyle w:val="FootnoteReference"/>
        </w:rPr>
        <w:footnoteReference w:id="3"/>
      </w:r>
      <w:r w:rsidR="00C4407B" w:rsidDel="00F23BDD">
        <w:t xml:space="preserve"> </w:t>
      </w:r>
      <w:r w:rsidR="00C4407B">
        <w:t>Cases are also</w:t>
      </w:r>
      <w:r>
        <w:t xml:space="preserve"> reported in returned travellers to Australia.</w:t>
      </w:r>
      <w:r w:rsidR="00C4407B">
        <w:rPr>
          <w:rStyle w:val="FootnoteReference"/>
        </w:rPr>
        <w:footnoteReference w:id="4"/>
      </w:r>
      <w:r>
        <w:t xml:space="preserve"> Consequently, this is an orphan designated submission based </w:t>
      </w:r>
      <w:r w:rsidR="00DD3121">
        <w:t xml:space="preserve">on </w:t>
      </w:r>
      <w:r>
        <w:t xml:space="preserve">the prevalence criterion in Australia. </w:t>
      </w:r>
    </w:p>
    <w:p w14:paraId="37B4EE53" w14:textId="6174AB4D" w:rsidR="006B1D12" w:rsidRDefault="006B1D12" w:rsidP="006B1D12">
      <w:r>
        <w:t xml:space="preserve">In endemic areas, the burden of </w:t>
      </w:r>
      <w:r w:rsidR="0019371A" w:rsidRPr="007A6DB8">
        <w:rPr>
          <w:i/>
          <w:iCs/>
        </w:rPr>
        <w:t xml:space="preserve">Plasmodium vivax </w:t>
      </w:r>
      <w:r w:rsidR="0019371A">
        <w:t>(</w:t>
      </w:r>
      <w:r w:rsidRPr="006B1D12">
        <w:rPr>
          <w:i/>
          <w:iCs/>
        </w:rPr>
        <w:t>P. vivax</w:t>
      </w:r>
      <w:r w:rsidR="0019371A">
        <w:t>)</w:t>
      </w:r>
      <w:r>
        <w:t xml:space="preserve"> disease is stated to be higher in children than in adults.</w:t>
      </w:r>
      <w:bookmarkStart w:id="14" w:name="_Ref121393730"/>
      <w:r w:rsidR="00D90D57">
        <w:rPr>
          <w:rStyle w:val="FootnoteReference"/>
        </w:rPr>
        <w:footnoteReference w:id="5"/>
      </w:r>
      <w:bookmarkEnd w:id="14"/>
      <w:r w:rsidR="00E94CBE">
        <w:rPr>
          <w:vertAlign w:val="superscript"/>
        </w:rPr>
        <w:t>,</w:t>
      </w:r>
      <w:r w:rsidR="00E94CBE">
        <w:rPr>
          <w:rStyle w:val="FootnoteReference"/>
        </w:rPr>
        <w:footnoteReference w:id="6"/>
      </w:r>
      <w:r>
        <w:t xml:space="preserve"> The peak incidence of </w:t>
      </w:r>
      <w:r w:rsidRPr="006B1D12">
        <w:rPr>
          <w:i/>
          <w:iCs/>
        </w:rPr>
        <w:t>P. vivax</w:t>
      </w:r>
      <w:r>
        <w:t xml:space="preserve"> occurs from 1 to 9 years of age.</w:t>
      </w:r>
      <w:r w:rsidR="00E94CBE" w:rsidRPr="00E055FA">
        <w:rPr>
          <w:vertAlign w:val="superscript"/>
        </w:rPr>
        <w:fldChar w:fldCharType="begin"/>
      </w:r>
      <w:r w:rsidR="00E94CBE" w:rsidRPr="00E055FA">
        <w:rPr>
          <w:vertAlign w:val="superscript"/>
        </w:rPr>
        <w:instrText xml:space="preserve"> NOTEREF _Ref121393730 \h </w:instrText>
      </w:r>
      <w:r w:rsidR="00E94CBE">
        <w:rPr>
          <w:vertAlign w:val="superscript"/>
        </w:rPr>
        <w:instrText xml:space="preserve"> \* MERGEFORMAT </w:instrText>
      </w:r>
      <w:r w:rsidR="00E94CBE" w:rsidRPr="00E055FA">
        <w:rPr>
          <w:vertAlign w:val="superscript"/>
        </w:rPr>
      </w:r>
      <w:r w:rsidR="00E94CBE" w:rsidRPr="00E055FA">
        <w:rPr>
          <w:vertAlign w:val="superscript"/>
        </w:rPr>
        <w:fldChar w:fldCharType="separate"/>
      </w:r>
      <w:r w:rsidR="00E94CBE" w:rsidRPr="00E055FA">
        <w:rPr>
          <w:vertAlign w:val="superscript"/>
        </w:rPr>
        <w:t>5</w:t>
      </w:r>
      <w:r w:rsidR="00E94CBE" w:rsidRPr="00E055FA">
        <w:rPr>
          <w:vertAlign w:val="superscript"/>
        </w:rPr>
        <w:fldChar w:fldCharType="end"/>
      </w:r>
      <w:r w:rsidR="00E94CBE" w:rsidRPr="00E055FA">
        <w:rPr>
          <w:vertAlign w:val="superscript"/>
        </w:rPr>
        <w:t>,</w:t>
      </w:r>
      <w:r w:rsidR="00E94CBE" w:rsidRPr="00E94CBE">
        <w:rPr>
          <w:rStyle w:val="FootnoteReference"/>
        </w:rPr>
        <w:footnoteReference w:id="7"/>
      </w:r>
      <w:r w:rsidRPr="00E055FA">
        <w:rPr>
          <w:vertAlign w:val="superscript"/>
        </w:rPr>
        <w:t xml:space="preserve"> </w:t>
      </w:r>
      <w:r>
        <w:t>There is less clarity on rate of incidence in younger than 1 year of age, but the infection doubtless occurs in all ages including infants and toddlers.</w:t>
      </w:r>
    </w:p>
    <w:p w14:paraId="38B34DF4" w14:textId="161B26C9" w:rsidR="002A549C" w:rsidRPr="00E055FA" w:rsidRDefault="002A549C" w:rsidP="006B1D12">
      <w:r w:rsidRPr="002A549C">
        <w:t xml:space="preserve">The current WHO </w:t>
      </w:r>
      <w:proofErr w:type="gramStart"/>
      <w:r w:rsidRPr="002A549C">
        <w:t>guidelines</w:t>
      </w:r>
      <w:r>
        <w:t>;</w:t>
      </w:r>
      <w:proofErr w:type="gramEnd"/>
      <w:r>
        <w:rPr>
          <w:rStyle w:val="FootnoteReference"/>
        </w:rPr>
        <w:footnoteReference w:id="8"/>
      </w:r>
      <w:r w:rsidRPr="002A549C">
        <w:t xml:space="preserve"> for the treatment of </w:t>
      </w:r>
      <w:r w:rsidRPr="00E055FA">
        <w:rPr>
          <w:i/>
        </w:rPr>
        <w:t>P. vivax</w:t>
      </w:r>
      <w:r w:rsidRPr="002A549C">
        <w:t xml:space="preserve"> malaria are the same both for adults and children</w:t>
      </w:r>
      <w:r>
        <w:t>, comprising</w:t>
      </w:r>
      <w:r w:rsidRPr="002A549C">
        <w:t xml:space="preserve"> </w:t>
      </w:r>
      <w:r w:rsidR="006B1D12">
        <w:t>chloroquine for clearing acute parasitaemia, followed by primaquine daily for up to 2 weeks for clearing hepatic hypnozoites</w:t>
      </w:r>
      <w:r>
        <w:t xml:space="preserve"> </w:t>
      </w:r>
      <w:r w:rsidRPr="002A549C">
        <w:t>and prevent disease relapse.</w:t>
      </w:r>
      <w:r w:rsidR="00D41080">
        <w:t xml:space="preserve"> In some parts of the world artemisinin</w:t>
      </w:r>
      <w:r w:rsidR="00D41080">
        <w:noBreakHyphen/>
        <w:t xml:space="preserve">based combination therapies are increasingly favoured in place of </w:t>
      </w:r>
      <w:r w:rsidR="00D41080" w:rsidRPr="00741DCF">
        <w:t>chloroquine</w:t>
      </w:r>
      <w:r w:rsidR="00D41080">
        <w:t xml:space="preserve"> for acute malaria due to widespread </w:t>
      </w:r>
      <w:r w:rsidR="00D41080" w:rsidRPr="00741DCF">
        <w:t>chloroquine</w:t>
      </w:r>
      <w:r w:rsidR="00D41080">
        <w:t xml:space="preserve"> resistance particularly for </w:t>
      </w:r>
      <w:r w:rsidR="00D41080">
        <w:rPr>
          <w:i/>
          <w:iCs/>
        </w:rPr>
        <w:t>P. </w:t>
      </w:r>
      <w:r w:rsidR="00D41080" w:rsidRPr="006B1D12">
        <w:rPr>
          <w:i/>
          <w:iCs/>
        </w:rPr>
        <w:t>falciparum</w:t>
      </w:r>
      <w:r>
        <w:rPr>
          <w:rFonts w:asciiTheme="minorHAnsi" w:eastAsiaTheme="minorHAnsi" w:hAnsiTheme="minorHAnsi" w:cs="TimesNewRoman"/>
          <w:color w:val="000000" w:themeColor="text1"/>
        </w:rPr>
        <w:t>.</w:t>
      </w:r>
      <w:r w:rsidR="00FD444F">
        <w:rPr>
          <w:rStyle w:val="FootnoteReference"/>
          <w:rFonts w:asciiTheme="minorHAnsi" w:eastAsiaTheme="minorHAnsi" w:hAnsiTheme="minorHAnsi" w:cs="TimesNewRoman"/>
          <w:color w:val="000000" w:themeColor="text1"/>
        </w:rPr>
        <w:footnoteReference w:id="9"/>
      </w:r>
      <w:r w:rsidR="00FD444F">
        <w:rPr>
          <w:rFonts w:asciiTheme="minorHAnsi" w:eastAsiaTheme="minorHAnsi" w:hAnsiTheme="minorHAnsi" w:cs="TimesNewRoman"/>
          <w:color w:val="000000" w:themeColor="text1"/>
          <w:vertAlign w:val="superscript"/>
        </w:rPr>
        <w:t>,</w:t>
      </w:r>
      <w:r w:rsidR="00FD444F">
        <w:rPr>
          <w:rStyle w:val="FootnoteReference"/>
          <w:rFonts w:asciiTheme="minorHAnsi" w:eastAsiaTheme="minorHAnsi" w:hAnsiTheme="minorHAnsi" w:cs="TimesNewRoman"/>
          <w:color w:val="000000" w:themeColor="text1"/>
        </w:rPr>
        <w:footnoteReference w:id="10"/>
      </w:r>
    </w:p>
    <w:p w14:paraId="21C184CA" w14:textId="2CE99700" w:rsidR="0026568B" w:rsidRDefault="0026568B" w:rsidP="006B1D12">
      <w:r>
        <w:t>Tafenoquine was first approved in September 2018 as a 150 mg film-coated tablet;</w:t>
      </w:r>
      <w:r>
        <w:rPr>
          <w:rStyle w:val="FootnoteReference"/>
        </w:rPr>
        <w:footnoteReference w:id="11"/>
      </w:r>
      <w:r>
        <w:t xml:space="preserve"> for use in adults (16 years of age and older) for the radical cure prevention of relapse) of </w:t>
      </w:r>
      <w:r w:rsidRPr="00A06D75">
        <w:rPr>
          <w:i/>
        </w:rPr>
        <w:t>P. vivax</w:t>
      </w:r>
      <w:r>
        <w:t xml:space="preserve"> malaria, for use in combination with receiving chloroquine as an appropriate antimalarial therapy for the acute infection.</w:t>
      </w:r>
      <w:r>
        <w:rPr>
          <w:rStyle w:val="FootnoteReference"/>
        </w:rPr>
        <w:footnoteReference w:id="12"/>
      </w:r>
    </w:p>
    <w:p w14:paraId="3AB3ED68" w14:textId="57598EA0" w:rsidR="00D41080" w:rsidRDefault="0026568B" w:rsidP="006B1D12">
      <w:pPr>
        <w:rPr>
          <w:rFonts w:asciiTheme="minorHAnsi" w:eastAsiaTheme="minorHAnsi" w:hAnsiTheme="minorHAnsi" w:cs="TimesNewRoman"/>
          <w:color w:val="000000" w:themeColor="text1"/>
          <w:vertAlign w:val="superscript"/>
        </w:rPr>
      </w:pPr>
      <w:r>
        <w:t xml:space="preserve">Tafenoquine is </w:t>
      </w:r>
      <w:r w:rsidRPr="003125CD">
        <w:t>an 8-aminoquinoline</w:t>
      </w:r>
      <w:r>
        <w:t xml:space="preserve"> which</w:t>
      </w:r>
      <w:r w:rsidRPr="003125CD">
        <w:t xml:space="preserve"> </w:t>
      </w:r>
      <w:r>
        <w:t>can prevent</w:t>
      </w:r>
      <w:r w:rsidRPr="003125CD">
        <w:t xml:space="preserve"> relapse of </w:t>
      </w:r>
      <w:r w:rsidRPr="006B1D12">
        <w:rPr>
          <w:i/>
          <w:iCs/>
        </w:rPr>
        <w:t>P. vivax</w:t>
      </w:r>
      <w:r w:rsidRPr="003125CD">
        <w:t xml:space="preserve"> malaria </w:t>
      </w:r>
      <w:r>
        <w:t xml:space="preserve">by </w:t>
      </w:r>
      <w:r w:rsidRPr="003125CD">
        <w:t>eradicat</w:t>
      </w:r>
      <w:r>
        <w:t xml:space="preserve">ing latent </w:t>
      </w:r>
      <w:r w:rsidRPr="006B1D12">
        <w:rPr>
          <w:i/>
          <w:iCs/>
        </w:rPr>
        <w:t>P. vivax</w:t>
      </w:r>
      <w:r w:rsidRPr="003125CD">
        <w:t xml:space="preserve"> hypnozoites</w:t>
      </w:r>
      <w:r>
        <w:t xml:space="preserve"> in liver. Tafenoquine is a synthetic analogue of primaquine. The use of primaquine in this context may be relatively advantageous with </w:t>
      </w:r>
      <w:r>
        <w:lastRenderedPageBreak/>
        <w:t>lower relapse rate, but tafenoquine offers advantages due to single dose administration</w:t>
      </w:r>
      <w:r w:rsidR="00D41080" w:rsidRPr="00BF0EA8">
        <w:rPr>
          <w:rFonts w:asciiTheme="minorHAnsi" w:eastAsiaTheme="minorHAnsi" w:hAnsiTheme="minorHAnsi" w:cs="TimesNewRoman"/>
        </w:rPr>
        <w:t>.</w:t>
      </w:r>
      <w:r>
        <w:t xml:space="preserve"> Poor </w:t>
      </w:r>
      <w:r w:rsidR="00D41080" w:rsidRPr="007D6A53">
        <w:rPr>
          <w:rFonts w:asciiTheme="minorHAnsi" w:eastAsiaTheme="minorHAnsi" w:hAnsiTheme="minorHAnsi" w:cs="TimesNewRoman"/>
          <w:color w:val="000000" w:themeColor="text1"/>
        </w:rPr>
        <w:t xml:space="preserve">compliance is associated with reduced effectiveness of </w:t>
      </w:r>
      <w:r w:rsidR="00D41080">
        <w:t xml:space="preserve">primaquine </w:t>
      </w:r>
      <w:r w:rsidR="00D41080" w:rsidRPr="007D6A53">
        <w:rPr>
          <w:rFonts w:asciiTheme="minorHAnsi" w:eastAsiaTheme="minorHAnsi" w:hAnsiTheme="minorHAnsi" w:cs="TimesNewRoman"/>
          <w:color w:val="000000" w:themeColor="text1"/>
        </w:rPr>
        <w:t>treatment for radical cure which is dependent on the total dose administered; a 3</w:t>
      </w:r>
      <w:r w:rsidR="003E574A">
        <w:rPr>
          <w:rFonts w:asciiTheme="minorHAnsi" w:eastAsiaTheme="minorHAnsi" w:hAnsiTheme="minorHAnsi" w:cs="TimesNewRoman"/>
          <w:color w:val="000000" w:themeColor="text1"/>
        </w:rPr>
        <w:t>-</w:t>
      </w:r>
      <w:r w:rsidR="00D41080" w:rsidRPr="007D6A53">
        <w:rPr>
          <w:rFonts w:asciiTheme="minorHAnsi" w:eastAsiaTheme="minorHAnsi" w:hAnsiTheme="minorHAnsi" w:cs="TimesNewRoman"/>
          <w:color w:val="000000" w:themeColor="text1"/>
        </w:rPr>
        <w:t xml:space="preserve"> to 4-fold increase in malaria recurrences has been reported in one study when more</w:t>
      </w:r>
      <w:r w:rsidR="00D41080">
        <w:rPr>
          <w:rFonts w:asciiTheme="minorHAnsi" w:eastAsiaTheme="minorHAnsi" w:hAnsiTheme="minorHAnsi" w:cs="TimesNewRoman"/>
          <w:color w:val="000000" w:themeColor="text1"/>
        </w:rPr>
        <w:t xml:space="preserve"> than 3 doses of </w:t>
      </w:r>
      <w:r w:rsidR="00D41080">
        <w:t xml:space="preserve">primaquine </w:t>
      </w:r>
      <w:r w:rsidR="00D41080">
        <w:rPr>
          <w:rFonts w:asciiTheme="minorHAnsi" w:eastAsiaTheme="minorHAnsi" w:hAnsiTheme="minorHAnsi" w:cs="TimesNewRoman"/>
          <w:color w:val="000000" w:themeColor="text1"/>
        </w:rPr>
        <w:t>are missed.</w:t>
      </w:r>
      <w:r w:rsidR="00D41080" w:rsidRPr="00A06D75">
        <w:rPr>
          <w:rStyle w:val="FootnoteReference"/>
          <w:rFonts w:asciiTheme="minorHAnsi" w:eastAsiaTheme="minorHAnsi" w:hAnsiTheme="minorHAnsi" w:cs="TimesNewRoman"/>
          <w:color w:val="000000" w:themeColor="text1"/>
        </w:rPr>
        <w:footnoteReference w:id="13"/>
      </w:r>
      <w:r w:rsidR="00D41080" w:rsidRPr="00A06D75">
        <w:rPr>
          <w:rFonts w:asciiTheme="minorHAnsi" w:eastAsiaTheme="minorHAnsi" w:hAnsiTheme="minorHAnsi" w:cs="TimesNewRoman"/>
          <w:color w:val="000000" w:themeColor="text1"/>
          <w:vertAlign w:val="superscript"/>
        </w:rPr>
        <w:t>,</w:t>
      </w:r>
      <w:r w:rsidR="00D41080" w:rsidRPr="00A06D75">
        <w:rPr>
          <w:rStyle w:val="FootnoteReference"/>
          <w:rFonts w:asciiTheme="minorHAnsi" w:eastAsiaTheme="minorHAnsi" w:hAnsiTheme="minorHAnsi" w:cs="TimesNewRoman"/>
          <w:color w:val="000000" w:themeColor="text1"/>
        </w:rPr>
        <w:footnoteReference w:id="14"/>
      </w:r>
    </w:p>
    <w:p w14:paraId="0431E8E8" w14:textId="24801E87" w:rsidR="0026568B" w:rsidRDefault="0026568B" w:rsidP="006B1D12">
      <w:r>
        <w:t xml:space="preserve">The use of single dose tafenoquine for relapse prevention of </w:t>
      </w:r>
      <w:r w:rsidRPr="00A06D75">
        <w:rPr>
          <w:i/>
        </w:rPr>
        <w:t>P. vivax</w:t>
      </w:r>
      <w:r>
        <w:t xml:space="preserve"> malaria is limited to concomitant </w:t>
      </w:r>
      <w:r w:rsidRPr="00741DCF">
        <w:t>chloroquine</w:t>
      </w:r>
      <w:r>
        <w:t xml:space="preserve"> treatment as the use with </w:t>
      </w:r>
      <w:proofErr w:type="gramStart"/>
      <w:r>
        <w:t>artemisinin based</w:t>
      </w:r>
      <w:proofErr w:type="gramEnd"/>
      <w:r>
        <w:t xml:space="preserve"> combination therapies in this context was found to be ineffective.</w:t>
      </w:r>
    </w:p>
    <w:p w14:paraId="0AFD94DE" w14:textId="278F29D5" w:rsidR="00D41080" w:rsidRDefault="00D41080" w:rsidP="00E055FA">
      <w:proofErr w:type="gramStart"/>
      <w:r w:rsidRPr="00A06D75">
        <w:t>In light of</w:t>
      </w:r>
      <w:proofErr w:type="gramEnd"/>
      <w:r w:rsidRPr="00A06D75">
        <w:t xml:space="preserve"> the efficacy and safety of </w:t>
      </w:r>
      <w:r>
        <w:t>tafenoquine</w:t>
      </w:r>
      <w:r w:rsidRPr="00A06D75">
        <w:t xml:space="preserve"> in adults and the appeal of a single-dose regimen, </w:t>
      </w:r>
      <w:r>
        <w:t>the sponsor</w:t>
      </w:r>
      <w:r w:rsidRPr="00A06D75">
        <w:t xml:space="preserve"> and their co-development partner</w:t>
      </w:r>
      <w:r w:rsidR="00D36F56">
        <w:t xml:space="preserve">s, </w:t>
      </w:r>
      <w:r w:rsidRPr="00A06D75">
        <w:t xml:space="preserve">are seeking to expand the indication of </w:t>
      </w:r>
      <w:r>
        <w:t>tafenoquine</w:t>
      </w:r>
      <w:r w:rsidRPr="00A06D75">
        <w:t xml:space="preserve"> to include children aged from 6 m</w:t>
      </w:r>
      <w:r>
        <w:t>on</w:t>
      </w:r>
      <w:r w:rsidRPr="00A06D75">
        <w:t xml:space="preserve">ths </w:t>
      </w:r>
      <w:r>
        <w:t xml:space="preserve">up to </w:t>
      </w:r>
      <w:r w:rsidRPr="00A06D75">
        <w:t>16 y</w:t>
      </w:r>
      <w:r>
        <w:t>ea</w:t>
      </w:r>
      <w:r w:rsidRPr="00A06D75">
        <w:t>r</w:t>
      </w:r>
      <w:r w:rsidR="0026568B">
        <w:t>s.</w:t>
      </w:r>
    </w:p>
    <w:p w14:paraId="0E1A040A" w14:textId="77777777" w:rsidR="008E7846" w:rsidRPr="003F31A2" w:rsidRDefault="00386150" w:rsidP="008E7846">
      <w:pPr>
        <w:pStyle w:val="Heading3"/>
      </w:pPr>
      <w:bookmarkStart w:id="15" w:name="_Toc118798356"/>
      <w:r>
        <w:t>Regulatory s</w:t>
      </w:r>
      <w:r w:rsidR="008E7846">
        <w:t>tatus</w:t>
      </w:r>
      <w:bookmarkEnd w:id="12"/>
      <w:bookmarkEnd w:id="13"/>
      <w:bookmarkEnd w:id="15"/>
    </w:p>
    <w:p w14:paraId="4614088B" w14:textId="3AA5783E" w:rsidR="00332715" w:rsidRDefault="00332715" w:rsidP="00332715">
      <w:bookmarkStart w:id="16" w:name="_Toc247691505"/>
      <w:bookmarkStart w:id="17" w:name="_Toc314842486"/>
      <w:r>
        <w:t xml:space="preserve">This product received </w:t>
      </w:r>
      <w:hyperlink r:id="rId15" w:history="1">
        <w:r>
          <w:rPr>
            <w:rStyle w:val="Hyperlink"/>
          </w:rPr>
          <w:t>orphan drug designation</w:t>
        </w:r>
      </w:hyperlink>
      <w:r>
        <w:t xml:space="preserve"> on </w:t>
      </w:r>
      <w:r w:rsidR="00940B4C">
        <w:t>15 October 202</w:t>
      </w:r>
      <w:r w:rsidR="000848B1">
        <w:t>0</w:t>
      </w:r>
      <w:r>
        <w:t xml:space="preserve"> for the following indication:</w:t>
      </w:r>
    </w:p>
    <w:p w14:paraId="53C12B6E" w14:textId="7357E3C8" w:rsidR="00940B4C" w:rsidRPr="00940B4C" w:rsidRDefault="00940B4C" w:rsidP="00940B4C">
      <w:pPr>
        <w:ind w:left="720"/>
        <w:rPr>
          <w:i/>
          <w:iCs/>
        </w:rPr>
      </w:pPr>
      <w:r w:rsidRPr="00940B4C">
        <w:rPr>
          <w:i/>
          <w:iCs/>
        </w:rPr>
        <w:t>Tafenoquine is indicated for the radical cure (prevention of relapse) of</w:t>
      </w:r>
      <w:r w:rsidR="0019371A">
        <w:rPr>
          <w:i/>
          <w:iCs/>
        </w:rPr>
        <w:t xml:space="preserve"> </w:t>
      </w:r>
      <w:proofErr w:type="spellStart"/>
      <w:r w:rsidRPr="00940B4C">
        <w:rPr>
          <w:i/>
          <w:iCs/>
        </w:rPr>
        <w:t>PIasmodium</w:t>
      </w:r>
      <w:proofErr w:type="spellEnd"/>
      <w:r w:rsidRPr="00940B4C">
        <w:rPr>
          <w:i/>
          <w:iCs/>
        </w:rPr>
        <w:t xml:space="preserve"> vivax (P. vivax) malaria in patients aged 6 months and older (weighing &gt;. 5 kg) who are receiving appropriate antimalarial therapy for the acute </w:t>
      </w:r>
      <w:proofErr w:type="spellStart"/>
      <w:proofErr w:type="gramStart"/>
      <w:r w:rsidRPr="00940B4C">
        <w:rPr>
          <w:i/>
          <w:iCs/>
        </w:rPr>
        <w:t>P.vivax</w:t>
      </w:r>
      <w:proofErr w:type="spellEnd"/>
      <w:proofErr w:type="gramEnd"/>
      <w:r w:rsidRPr="00940B4C">
        <w:rPr>
          <w:i/>
          <w:iCs/>
        </w:rPr>
        <w:t xml:space="preserve"> infection.</w:t>
      </w:r>
    </w:p>
    <w:p w14:paraId="3CF1BCBE" w14:textId="26D27DA2" w:rsidR="00332715" w:rsidRDefault="00332715" w:rsidP="00332715">
      <w:r>
        <w:t xml:space="preserve">The product received initial registration on the Australian Register of Therapeutic Goods (ARTG) </w:t>
      </w:r>
      <w:r w:rsidR="00940B4C">
        <w:t>on 13 September 2018 for below indication</w:t>
      </w:r>
      <w:r w:rsidR="000848B1">
        <w:t>:</w:t>
      </w:r>
      <w:r w:rsidR="00D36F56" w:rsidRPr="00E055FA">
        <w:rPr>
          <w:vertAlign w:val="superscript"/>
        </w:rPr>
        <w:fldChar w:fldCharType="begin"/>
      </w:r>
      <w:r w:rsidR="00D36F56" w:rsidRPr="00E055FA">
        <w:rPr>
          <w:vertAlign w:val="superscript"/>
        </w:rPr>
        <w:instrText xml:space="preserve"> NOTEREF _Ref121399285 \h </w:instrText>
      </w:r>
      <w:r w:rsidR="00D36F56">
        <w:rPr>
          <w:vertAlign w:val="superscript"/>
        </w:rPr>
        <w:instrText xml:space="preserve"> \* MERGEFORMAT </w:instrText>
      </w:r>
      <w:r w:rsidR="00D36F56" w:rsidRPr="00E055FA">
        <w:rPr>
          <w:vertAlign w:val="superscript"/>
        </w:rPr>
      </w:r>
      <w:r w:rsidR="00D36F56" w:rsidRPr="00E055FA">
        <w:rPr>
          <w:vertAlign w:val="superscript"/>
        </w:rPr>
        <w:fldChar w:fldCharType="separate"/>
      </w:r>
      <w:r w:rsidR="00D36F56" w:rsidRPr="00E055FA">
        <w:rPr>
          <w:vertAlign w:val="superscript"/>
        </w:rPr>
        <w:t>13</w:t>
      </w:r>
      <w:r w:rsidR="00D36F56" w:rsidRPr="00E055FA">
        <w:rPr>
          <w:vertAlign w:val="superscript"/>
        </w:rPr>
        <w:fldChar w:fldCharType="end"/>
      </w:r>
      <w:r w:rsidR="00D36F56" w:rsidRPr="00E055FA">
        <w:rPr>
          <w:vertAlign w:val="superscript"/>
        </w:rPr>
        <w:t>,</w:t>
      </w:r>
      <w:r w:rsidR="00D36F56" w:rsidRPr="00E055FA">
        <w:rPr>
          <w:vertAlign w:val="superscript"/>
        </w:rPr>
        <w:fldChar w:fldCharType="begin"/>
      </w:r>
      <w:r w:rsidR="00D36F56" w:rsidRPr="00E055FA">
        <w:rPr>
          <w:vertAlign w:val="superscript"/>
        </w:rPr>
        <w:instrText xml:space="preserve"> NOTEREF _Ref121399291 \h </w:instrText>
      </w:r>
      <w:r w:rsidR="00D36F56">
        <w:rPr>
          <w:vertAlign w:val="superscript"/>
        </w:rPr>
        <w:instrText xml:space="preserve"> \* MERGEFORMAT </w:instrText>
      </w:r>
      <w:r w:rsidR="00D36F56" w:rsidRPr="00E055FA">
        <w:rPr>
          <w:vertAlign w:val="superscript"/>
        </w:rPr>
      </w:r>
      <w:r w:rsidR="00D36F56" w:rsidRPr="00E055FA">
        <w:rPr>
          <w:vertAlign w:val="superscript"/>
        </w:rPr>
        <w:fldChar w:fldCharType="separate"/>
      </w:r>
      <w:r w:rsidR="00D36F56" w:rsidRPr="00E055FA">
        <w:rPr>
          <w:vertAlign w:val="superscript"/>
        </w:rPr>
        <w:t>14</w:t>
      </w:r>
      <w:r w:rsidR="00D36F56" w:rsidRPr="00E055FA">
        <w:rPr>
          <w:vertAlign w:val="superscript"/>
        </w:rPr>
        <w:fldChar w:fldCharType="end"/>
      </w:r>
    </w:p>
    <w:p w14:paraId="086EA0C4" w14:textId="38E31536" w:rsidR="00940B4C" w:rsidRDefault="00940B4C" w:rsidP="00940B4C">
      <w:pPr>
        <w:ind w:left="720"/>
        <w:rPr>
          <w:i/>
          <w:iCs/>
        </w:rPr>
      </w:pPr>
      <w:r w:rsidRPr="00940B4C">
        <w:rPr>
          <w:i/>
          <w:iCs/>
        </w:rPr>
        <w:t>Tafenoquine is indicated for the radical cure (prevention of relapse) of Plasmodium</w:t>
      </w:r>
      <w:r>
        <w:rPr>
          <w:i/>
          <w:iCs/>
        </w:rPr>
        <w:t xml:space="preserve"> </w:t>
      </w:r>
      <w:r w:rsidRPr="00940B4C">
        <w:rPr>
          <w:i/>
          <w:iCs/>
        </w:rPr>
        <w:t>vivax (P. vivax) malaria in patients aged 16 years and older who are receiving</w:t>
      </w:r>
      <w:r>
        <w:rPr>
          <w:i/>
          <w:iCs/>
        </w:rPr>
        <w:t xml:space="preserve"> </w:t>
      </w:r>
      <w:r w:rsidRPr="00940B4C">
        <w:rPr>
          <w:i/>
          <w:iCs/>
        </w:rPr>
        <w:t>appropriate antimalarial therapy for the acute P. vivax infection (see Section 4.2 D</w:t>
      </w:r>
      <w:r w:rsidR="000848B1">
        <w:rPr>
          <w:i/>
          <w:iCs/>
        </w:rPr>
        <w:t>ose and method of administration</w:t>
      </w:r>
      <w:r w:rsidRPr="00940B4C">
        <w:rPr>
          <w:i/>
          <w:iCs/>
        </w:rPr>
        <w:t>).</w:t>
      </w:r>
    </w:p>
    <w:p w14:paraId="019A459D" w14:textId="57469917" w:rsidR="00940B4C" w:rsidRPr="00940B4C" w:rsidRDefault="00940B4C" w:rsidP="00940B4C">
      <w:r w:rsidRPr="00940B4C">
        <w:t>The approved dose</w:t>
      </w:r>
      <w:r w:rsidR="00D36F56">
        <w:t xml:space="preserve"> (for adults ≥ 16 years of age)</w:t>
      </w:r>
      <w:r w:rsidRPr="00940B4C">
        <w:t xml:space="preserve"> is 300</w:t>
      </w:r>
      <w:r>
        <w:t xml:space="preserve"> </w:t>
      </w:r>
      <w:r w:rsidRPr="00940B4C">
        <w:t>mg single dose (2</w:t>
      </w:r>
      <w:r>
        <w:t xml:space="preserve"> </w:t>
      </w:r>
      <w:r w:rsidR="00D36F56">
        <w:t xml:space="preserve">x </w:t>
      </w:r>
      <w:r w:rsidRPr="00940B4C">
        <w:t xml:space="preserve">150 mg tablets) taken on </w:t>
      </w:r>
      <w:r>
        <w:t>first or second</w:t>
      </w:r>
      <w:r w:rsidRPr="00940B4C">
        <w:t xml:space="preserve"> day of the </w:t>
      </w:r>
      <w:proofErr w:type="gramStart"/>
      <w:r w:rsidR="0019371A">
        <w:t xml:space="preserve">three </w:t>
      </w:r>
      <w:r w:rsidRPr="00940B4C">
        <w:t>day</w:t>
      </w:r>
      <w:proofErr w:type="gramEnd"/>
      <w:r w:rsidRPr="00940B4C">
        <w:t xml:space="preserve"> course of chloroquine.</w:t>
      </w:r>
    </w:p>
    <w:p w14:paraId="51FB8D86" w14:textId="5CC38930" w:rsidR="00940B4C" w:rsidRDefault="00940B4C" w:rsidP="00332715">
      <w:r>
        <w:t>Tafenoquine</w:t>
      </w:r>
      <w:r w:rsidRPr="00940B4C">
        <w:t xml:space="preserve"> (single dose for preventing relapse of </w:t>
      </w:r>
      <w:r w:rsidR="0019371A" w:rsidRPr="0019371A">
        <w:rPr>
          <w:i/>
          <w:iCs/>
        </w:rPr>
        <w:t>P</w:t>
      </w:r>
      <w:r w:rsidR="0019371A">
        <w:rPr>
          <w:i/>
          <w:iCs/>
        </w:rPr>
        <w:t>.</w:t>
      </w:r>
      <w:r w:rsidR="000848B1" w:rsidRPr="000848B1">
        <w:rPr>
          <w:i/>
          <w:iCs/>
        </w:rPr>
        <w:t xml:space="preserve"> </w:t>
      </w:r>
      <w:r w:rsidRPr="000848B1">
        <w:rPr>
          <w:i/>
          <w:iCs/>
        </w:rPr>
        <w:t>vivax</w:t>
      </w:r>
      <w:r w:rsidRPr="00940B4C">
        <w:t xml:space="preserve"> malaria) is approved in the U</w:t>
      </w:r>
      <w:r w:rsidR="000848B1">
        <w:t xml:space="preserve">nited </w:t>
      </w:r>
      <w:r w:rsidRPr="00940B4C">
        <w:t>S</w:t>
      </w:r>
      <w:r w:rsidR="000848B1">
        <w:t xml:space="preserve">tates of </w:t>
      </w:r>
      <w:r w:rsidRPr="00940B4C">
        <w:t>A</w:t>
      </w:r>
      <w:r w:rsidR="000848B1">
        <w:t>merica (USA)</w:t>
      </w:r>
      <w:r w:rsidRPr="00940B4C">
        <w:t xml:space="preserve"> in patients from 16 years of age </w:t>
      </w:r>
      <w:proofErr w:type="gramStart"/>
      <w:r w:rsidRPr="00940B4C">
        <w:t>similar to</w:t>
      </w:r>
      <w:proofErr w:type="gramEnd"/>
      <w:r w:rsidRPr="00940B4C">
        <w:t xml:space="preserve"> its Australian approval. The current paediatric submission is exclusive to Australia and may form the basis of overseas regulatory action or supply elsewhere.</w:t>
      </w:r>
    </w:p>
    <w:p w14:paraId="6A2049BC" w14:textId="77777777" w:rsidR="008E7846" w:rsidRDefault="008E7846" w:rsidP="00940A89">
      <w:pPr>
        <w:pStyle w:val="Heading3"/>
      </w:pPr>
      <w:bookmarkStart w:id="18" w:name="_Toc118798357"/>
      <w:r>
        <w:t>Product Information</w:t>
      </w:r>
      <w:bookmarkEnd w:id="16"/>
      <w:bookmarkEnd w:id="17"/>
      <w:bookmarkEnd w:id="18"/>
    </w:p>
    <w:p w14:paraId="73B990E7" w14:textId="012CD1D7" w:rsidR="00332715" w:rsidRDefault="00332715" w:rsidP="00332715">
      <w:pPr>
        <w:rPr>
          <w:rStyle w:val="Hyperlink"/>
          <w:color w:val="auto"/>
          <w:u w:val="none"/>
        </w:rPr>
      </w:pPr>
      <w:bookmarkStart w:id="19" w:name="_Toc504480011"/>
      <w:bookmarkStart w:id="20" w:name="_Toc247691506"/>
      <w:bookmarkStart w:id="21" w:name="_Toc314842487"/>
      <w:r>
        <w:t xml:space="preserve">The Product Information (PI) approved with the submission which is described in this AusPAR can be found as Attachment 1. For the most recent PI, please refer to the TGA </w:t>
      </w:r>
      <w:hyperlink r:id="rId16" w:history="1">
        <w:r>
          <w:rPr>
            <w:rStyle w:val="Hyperlink"/>
          </w:rPr>
          <w:t>PI/CMI search facility</w:t>
        </w:r>
        <w:r w:rsidRPr="009556D7">
          <w:rPr>
            <w:rStyle w:val="Hyperlink"/>
            <w:color w:val="auto"/>
            <w:u w:val="none"/>
          </w:rPr>
          <w:t>.</w:t>
        </w:r>
      </w:hyperlink>
    </w:p>
    <w:p w14:paraId="549D74FE" w14:textId="202095B6" w:rsidR="00D36F56" w:rsidRDefault="00D36F56" w:rsidP="00332715">
      <w:r>
        <w:rPr>
          <w:rStyle w:val="Hyperlink"/>
          <w:color w:val="auto"/>
          <w:u w:val="none"/>
        </w:rPr>
        <w:br w:type="page"/>
      </w:r>
    </w:p>
    <w:p w14:paraId="57867C02" w14:textId="77777777" w:rsidR="00500337" w:rsidRDefault="00500337" w:rsidP="00500337">
      <w:pPr>
        <w:pStyle w:val="Heading2"/>
      </w:pPr>
      <w:bookmarkStart w:id="22" w:name="_Toc118798358"/>
      <w:r>
        <w:lastRenderedPageBreak/>
        <w:t>Registration timeline</w:t>
      </w:r>
      <w:bookmarkEnd w:id="19"/>
      <w:bookmarkEnd w:id="22"/>
    </w:p>
    <w:p w14:paraId="5D504AC4" w14:textId="77777777" w:rsidR="0074163C" w:rsidRPr="00C93EC1" w:rsidRDefault="0074163C" w:rsidP="0074163C">
      <w:r w:rsidRPr="00C93EC1">
        <w:t xml:space="preserve">The following table captures the key steps and dates for this </w:t>
      </w:r>
      <w:r w:rsidR="00804D99">
        <w:t>submission</w:t>
      </w:r>
      <w:r w:rsidRPr="00C93EC1">
        <w:t>.</w:t>
      </w:r>
    </w:p>
    <w:p w14:paraId="2E51B790" w14:textId="0AC79C5D" w:rsidR="0074163C" w:rsidRPr="0019371A" w:rsidRDefault="0074163C" w:rsidP="0019371A">
      <w:pPr>
        <w:pStyle w:val="TableTitle"/>
      </w:pPr>
      <w:r>
        <w:t xml:space="preserve">Table </w:t>
      </w:r>
      <w:r w:rsidR="00503A56">
        <w:fldChar w:fldCharType="begin"/>
      </w:r>
      <w:r w:rsidR="00503A56">
        <w:instrText xml:space="preserve"> SEQ Table \* ARABIC </w:instrText>
      </w:r>
      <w:r w:rsidR="00503A56">
        <w:fldChar w:fldCharType="separate"/>
      </w:r>
      <w:r w:rsidR="00D70A51">
        <w:rPr>
          <w:noProof/>
        </w:rPr>
        <w:t>1</w:t>
      </w:r>
      <w:r w:rsidR="00503A56">
        <w:rPr>
          <w:noProof/>
        </w:rPr>
        <w:fldChar w:fldCharType="end"/>
      </w:r>
      <w:r>
        <w:t>:</w:t>
      </w:r>
      <w:r w:rsidRPr="006A58A8">
        <w:t xml:space="preserve"> Timeline for Submission PM-20</w:t>
      </w:r>
      <w:r>
        <w:t>2</w:t>
      </w:r>
      <w:r w:rsidR="000848B1">
        <w:t>0</w:t>
      </w:r>
      <w:r w:rsidRPr="006A58A8">
        <w:t>-</w:t>
      </w:r>
      <w:r w:rsidR="000848B1">
        <w:t>05985</w:t>
      </w:r>
      <w:r w:rsidRPr="006A58A8">
        <w:t>-1-</w:t>
      </w:r>
      <w:r w:rsidR="000848B1">
        <w:t>2</w:t>
      </w:r>
    </w:p>
    <w:tbl>
      <w:tblPr>
        <w:tblStyle w:val="TableTGAblue"/>
        <w:tblW w:w="0" w:type="auto"/>
        <w:tblLook w:val="04A0" w:firstRow="1" w:lastRow="0" w:firstColumn="1" w:lastColumn="0" w:noHBand="0" w:noVBand="1"/>
      </w:tblPr>
      <w:tblGrid>
        <w:gridCol w:w="4265"/>
        <w:gridCol w:w="4229"/>
      </w:tblGrid>
      <w:tr w:rsidR="0074163C" w14:paraId="24AC198B" w14:textId="77777777" w:rsidTr="000848B1">
        <w:trPr>
          <w:cnfStyle w:val="100000000000" w:firstRow="1" w:lastRow="0" w:firstColumn="0" w:lastColumn="0" w:oddVBand="0" w:evenVBand="0" w:oddHBand="0" w:evenHBand="0" w:firstRowFirstColumn="0" w:firstRowLastColumn="0" w:lastRowFirstColumn="0" w:lastRowLastColumn="0"/>
        </w:trPr>
        <w:tc>
          <w:tcPr>
            <w:tcW w:w="4265" w:type="dxa"/>
            <w:tcBorders>
              <w:top w:val="single" w:sz="4" w:space="0" w:color="auto"/>
              <w:left w:val="single" w:sz="4" w:space="0" w:color="auto"/>
              <w:bottom w:val="single" w:sz="4" w:space="0" w:color="auto"/>
              <w:right w:val="single" w:sz="4" w:space="0" w:color="auto"/>
            </w:tcBorders>
          </w:tcPr>
          <w:p w14:paraId="0FFBE662" w14:textId="77777777" w:rsidR="0074163C" w:rsidRDefault="0074163C" w:rsidP="009E5A87">
            <w:r>
              <w:t>Description</w:t>
            </w:r>
          </w:p>
        </w:tc>
        <w:tc>
          <w:tcPr>
            <w:tcW w:w="4229" w:type="dxa"/>
            <w:tcBorders>
              <w:top w:val="single" w:sz="4" w:space="0" w:color="auto"/>
              <w:left w:val="single" w:sz="4" w:space="0" w:color="auto"/>
              <w:bottom w:val="single" w:sz="4" w:space="0" w:color="auto"/>
              <w:right w:val="single" w:sz="4" w:space="0" w:color="auto"/>
            </w:tcBorders>
          </w:tcPr>
          <w:p w14:paraId="4DC1F3A0" w14:textId="77777777" w:rsidR="0074163C" w:rsidRDefault="0074163C" w:rsidP="009E5A87">
            <w:r>
              <w:t>Date</w:t>
            </w:r>
          </w:p>
        </w:tc>
      </w:tr>
      <w:tr w:rsidR="000848B1" w14:paraId="38B637C6" w14:textId="77777777" w:rsidTr="000848B1">
        <w:tc>
          <w:tcPr>
            <w:tcW w:w="4265" w:type="dxa"/>
            <w:tcBorders>
              <w:top w:val="single" w:sz="4" w:space="0" w:color="auto"/>
            </w:tcBorders>
          </w:tcPr>
          <w:p w14:paraId="6483F1D3" w14:textId="7D29C6F3" w:rsidR="000848B1" w:rsidRDefault="000848B1" w:rsidP="000848B1">
            <w:r w:rsidRPr="009C08E7">
              <w:rPr>
                <w:iCs/>
              </w:rPr>
              <w:t>Designation</w:t>
            </w:r>
            <w:r>
              <w:rPr>
                <w:iCs/>
              </w:rPr>
              <w:t xml:space="preserve">, </w:t>
            </w:r>
            <w:r w:rsidRPr="009C08E7">
              <w:rPr>
                <w:iCs/>
              </w:rPr>
              <w:t>Orphan</w:t>
            </w:r>
          </w:p>
        </w:tc>
        <w:tc>
          <w:tcPr>
            <w:tcW w:w="4229" w:type="dxa"/>
            <w:tcBorders>
              <w:top w:val="single" w:sz="4" w:space="0" w:color="auto"/>
            </w:tcBorders>
          </w:tcPr>
          <w:p w14:paraId="34E10CD6" w14:textId="6504FEAA" w:rsidR="000848B1" w:rsidRDefault="000848B1" w:rsidP="000848B1">
            <w:r>
              <w:t>15 October 2020</w:t>
            </w:r>
          </w:p>
        </w:tc>
      </w:tr>
      <w:tr w:rsidR="000848B1" w14:paraId="1185C6BA" w14:textId="77777777" w:rsidTr="000848B1">
        <w:tc>
          <w:tcPr>
            <w:tcW w:w="4265" w:type="dxa"/>
            <w:tcBorders>
              <w:top w:val="single" w:sz="4" w:space="0" w:color="auto"/>
            </w:tcBorders>
          </w:tcPr>
          <w:p w14:paraId="795CA9DB" w14:textId="77777777" w:rsidR="000848B1" w:rsidRDefault="000848B1" w:rsidP="000848B1">
            <w:r>
              <w:t>Submission dossier accepted and first round evaluation commenced</w:t>
            </w:r>
          </w:p>
        </w:tc>
        <w:tc>
          <w:tcPr>
            <w:tcW w:w="4229" w:type="dxa"/>
            <w:tcBorders>
              <w:top w:val="single" w:sz="4" w:space="0" w:color="auto"/>
            </w:tcBorders>
          </w:tcPr>
          <w:p w14:paraId="72ED37E2" w14:textId="0DF4630C" w:rsidR="000848B1" w:rsidRDefault="000848B1" w:rsidP="000848B1">
            <w:r>
              <w:t>4 January 2021</w:t>
            </w:r>
          </w:p>
        </w:tc>
      </w:tr>
      <w:tr w:rsidR="000848B1" w14:paraId="3F3221BB" w14:textId="77777777" w:rsidTr="000848B1">
        <w:tc>
          <w:tcPr>
            <w:tcW w:w="4265" w:type="dxa"/>
          </w:tcPr>
          <w:p w14:paraId="54257728" w14:textId="77777777" w:rsidR="000848B1" w:rsidRDefault="000848B1" w:rsidP="000848B1">
            <w:r>
              <w:t>First round evaluation completed</w:t>
            </w:r>
          </w:p>
        </w:tc>
        <w:tc>
          <w:tcPr>
            <w:tcW w:w="4229" w:type="dxa"/>
          </w:tcPr>
          <w:p w14:paraId="3C590C1A" w14:textId="19987275" w:rsidR="000848B1" w:rsidRDefault="000848B1" w:rsidP="000848B1">
            <w:r>
              <w:t>9 July 2021</w:t>
            </w:r>
          </w:p>
        </w:tc>
      </w:tr>
      <w:tr w:rsidR="000848B1" w14:paraId="3C46BD77" w14:textId="77777777" w:rsidTr="000848B1">
        <w:tc>
          <w:tcPr>
            <w:tcW w:w="4265" w:type="dxa"/>
          </w:tcPr>
          <w:p w14:paraId="0144C613" w14:textId="77777777" w:rsidR="000848B1" w:rsidRDefault="000848B1" w:rsidP="000848B1">
            <w:r>
              <w:t>Sponsor provides responses on questions raised in first round evaluation</w:t>
            </w:r>
          </w:p>
        </w:tc>
        <w:tc>
          <w:tcPr>
            <w:tcW w:w="4229" w:type="dxa"/>
          </w:tcPr>
          <w:p w14:paraId="466F70CA" w14:textId="30C77046" w:rsidR="000848B1" w:rsidRDefault="000848B1" w:rsidP="000848B1">
            <w:r>
              <w:t>28 July 2021</w:t>
            </w:r>
          </w:p>
        </w:tc>
      </w:tr>
      <w:tr w:rsidR="000848B1" w14:paraId="27DDD8EF" w14:textId="77777777" w:rsidTr="000848B1">
        <w:tc>
          <w:tcPr>
            <w:tcW w:w="4265" w:type="dxa"/>
          </w:tcPr>
          <w:p w14:paraId="00DF597F" w14:textId="77777777" w:rsidR="000848B1" w:rsidRDefault="000848B1" w:rsidP="000848B1">
            <w:r>
              <w:t>Second round evaluation completed</w:t>
            </w:r>
          </w:p>
        </w:tc>
        <w:tc>
          <w:tcPr>
            <w:tcW w:w="4229" w:type="dxa"/>
          </w:tcPr>
          <w:p w14:paraId="137919C2" w14:textId="1E6DB10D" w:rsidR="000848B1" w:rsidRDefault="000848B1" w:rsidP="000848B1">
            <w:r>
              <w:t>23 September 2021</w:t>
            </w:r>
          </w:p>
        </w:tc>
      </w:tr>
      <w:tr w:rsidR="000848B1" w14:paraId="1DD92B1C" w14:textId="77777777" w:rsidTr="000848B1">
        <w:tc>
          <w:tcPr>
            <w:tcW w:w="4265" w:type="dxa"/>
          </w:tcPr>
          <w:p w14:paraId="04D8034F" w14:textId="712E118B" w:rsidR="000848B1" w:rsidRDefault="000848B1" w:rsidP="000848B1">
            <w:r>
              <w:t xml:space="preserve">Delegate’s </w:t>
            </w:r>
            <w:r w:rsidRPr="000848B1">
              <w:rPr>
                <w:color w:val="auto"/>
              </w:rPr>
              <w:t xml:space="preserve">Overall benefit-risk assessment and request for Advisory Committee advice </w:t>
            </w:r>
          </w:p>
        </w:tc>
        <w:tc>
          <w:tcPr>
            <w:tcW w:w="4229" w:type="dxa"/>
          </w:tcPr>
          <w:p w14:paraId="6E03AB8D" w14:textId="3BD8D4F2" w:rsidR="000848B1" w:rsidRDefault="000848B1" w:rsidP="000848B1">
            <w:r>
              <w:t>20 December 2021</w:t>
            </w:r>
          </w:p>
        </w:tc>
      </w:tr>
      <w:tr w:rsidR="000848B1" w14:paraId="16B222E1" w14:textId="77777777" w:rsidTr="000848B1">
        <w:tc>
          <w:tcPr>
            <w:tcW w:w="4265" w:type="dxa"/>
          </w:tcPr>
          <w:p w14:paraId="2F579C2D" w14:textId="77777777" w:rsidR="000848B1" w:rsidRDefault="000848B1" w:rsidP="000848B1">
            <w:r>
              <w:t>Sponsor’s pre-Advisory Committee response</w:t>
            </w:r>
          </w:p>
        </w:tc>
        <w:tc>
          <w:tcPr>
            <w:tcW w:w="4229" w:type="dxa"/>
          </w:tcPr>
          <w:p w14:paraId="4F0F3D5E" w14:textId="7D0126F6" w:rsidR="000848B1" w:rsidRDefault="000848B1" w:rsidP="000848B1">
            <w:r>
              <w:t>17 January 2022</w:t>
            </w:r>
          </w:p>
        </w:tc>
      </w:tr>
      <w:tr w:rsidR="000848B1" w14:paraId="130DBB4F" w14:textId="77777777" w:rsidTr="000848B1">
        <w:tc>
          <w:tcPr>
            <w:tcW w:w="4265" w:type="dxa"/>
          </w:tcPr>
          <w:p w14:paraId="4AF0E283" w14:textId="77777777" w:rsidR="000848B1" w:rsidRDefault="000848B1" w:rsidP="000848B1">
            <w:r>
              <w:t>Advisory Committee meeting</w:t>
            </w:r>
          </w:p>
        </w:tc>
        <w:tc>
          <w:tcPr>
            <w:tcW w:w="4229" w:type="dxa"/>
          </w:tcPr>
          <w:p w14:paraId="162E8E17" w14:textId="43E16B9F" w:rsidR="000848B1" w:rsidRDefault="009C79CB" w:rsidP="000848B1">
            <w:r>
              <w:t>3 and 4 February 2022</w:t>
            </w:r>
          </w:p>
        </w:tc>
      </w:tr>
      <w:tr w:rsidR="000848B1" w14:paraId="25A91D58" w14:textId="77777777" w:rsidTr="000848B1">
        <w:tc>
          <w:tcPr>
            <w:tcW w:w="4265" w:type="dxa"/>
          </w:tcPr>
          <w:p w14:paraId="10D78CF6" w14:textId="77777777" w:rsidR="000848B1" w:rsidRDefault="000848B1" w:rsidP="000848B1">
            <w:r>
              <w:t>Registration decision (Outcome)</w:t>
            </w:r>
          </w:p>
        </w:tc>
        <w:tc>
          <w:tcPr>
            <w:tcW w:w="4229" w:type="dxa"/>
          </w:tcPr>
          <w:p w14:paraId="384762E1" w14:textId="34EA0195" w:rsidR="000848B1" w:rsidRDefault="000848B1" w:rsidP="000848B1">
            <w:r>
              <w:t>8 March 2022</w:t>
            </w:r>
          </w:p>
        </w:tc>
      </w:tr>
      <w:tr w:rsidR="000848B1" w14:paraId="24DF2EF8" w14:textId="77777777" w:rsidTr="000848B1">
        <w:tc>
          <w:tcPr>
            <w:tcW w:w="4265" w:type="dxa"/>
          </w:tcPr>
          <w:p w14:paraId="63D77702" w14:textId="77777777" w:rsidR="000848B1" w:rsidRDefault="000848B1" w:rsidP="000848B1">
            <w:r w:rsidRPr="005A79F5">
              <w:t>Completion of administrative activities and registration on the ARTG</w:t>
            </w:r>
          </w:p>
        </w:tc>
        <w:tc>
          <w:tcPr>
            <w:tcW w:w="4229" w:type="dxa"/>
          </w:tcPr>
          <w:p w14:paraId="5BFD70D9" w14:textId="735F19F8" w:rsidR="000848B1" w:rsidRDefault="006F343F" w:rsidP="000848B1">
            <w:r>
              <w:t>9</w:t>
            </w:r>
            <w:r w:rsidR="000848B1">
              <w:t xml:space="preserve"> March 2022</w:t>
            </w:r>
          </w:p>
        </w:tc>
      </w:tr>
      <w:tr w:rsidR="000848B1" w14:paraId="073DEC5B" w14:textId="77777777" w:rsidTr="000848B1">
        <w:tc>
          <w:tcPr>
            <w:tcW w:w="4265" w:type="dxa"/>
          </w:tcPr>
          <w:p w14:paraId="2119966B" w14:textId="77777777" w:rsidR="000848B1" w:rsidRDefault="000848B1" w:rsidP="000848B1">
            <w:r>
              <w:t>Number of working days from submission dossier acceptance to registration decision*</w:t>
            </w:r>
          </w:p>
        </w:tc>
        <w:tc>
          <w:tcPr>
            <w:tcW w:w="4229" w:type="dxa"/>
          </w:tcPr>
          <w:p w14:paraId="6DAC54CB" w14:textId="5DD62837" w:rsidR="000848B1" w:rsidRDefault="000848B1" w:rsidP="000848B1">
            <w:r>
              <w:t>250 days</w:t>
            </w:r>
          </w:p>
        </w:tc>
      </w:tr>
    </w:tbl>
    <w:p w14:paraId="6DA1153B" w14:textId="77777777" w:rsidR="0074163C" w:rsidRDefault="0074163C" w:rsidP="0074163C">
      <w:pPr>
        <w:pStyle w:val="TableDescription"/>
      </w:pPr>
      <w:r>
        <w:t>*</w:t>
      </w:r>
      <w:r w:rsidRPr="00BF3774">
        <w:t xml:space="preserve">Statutory </w:t>
      </w:r>
      <w:r>
        <w:t xml:space="preserve">timeframe for standard </w:t>
      </w:r>
      <w:r w:rsidR="00BB0B78">
        <w:t>submission</w:t>
      </w:r>
      <w:r>
        <w:t>s is 255 working days</w:t>
      </w:r>
    </w:p>
    <w:p w14:paraId="1C347147" w14:textId="77777777" w:rsidR="008E7846" w:rsidRPr="00792A32" w:rsidRDefault="00006FAB" w:rsidP="008E7846">
      <w:pPr>
        <w:pStyle w:val="Heading2"/>
      </w:pPr>
      <w:bookmarkStart w:id="23" w:name="_Toc196046504"/>
      <w:bookmarkStart w:id="24" w:name="_Toc247691527"/>
      <w:bookmarkStart w:id="25" w:name="_Toc314842510"/>
      <w:bookmarkStart w:id="26" w:name="_Toc118798359"/>
      <w:bookmarkStart w:id="27" w:name="_Toc163441390"/>
      <w:bookmarkEnd w:id="20"/>
      <w:bookmarkEnd w:id="21"/>
      <w:bookmarkEnd w:id="1"/>
      <w:r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3"/>
      <w:bookmarkEnd w:id="24"/>
      <w:bookmarkEnd w:id="25"/>
      <w:bookmarkEnd w:id="26"/>
    </w:p>
    <w:p w14:paraId="22EA719C" w14:textId="77777777" w:rsidR="005A79F5" w:rsidRDefault="005A79F5" w:rsidP="0074163C">
      <w:pPr>
        <w:pStyle w:val="Instructions"/>
        <w:rPr>
          <w:i w:val="0"/>
          <w:color w:val="auto"/>
        </w:rPr>
      </w:pPr>
      <w:bookmarkStart w:id="28" w:name="_Toc247691528"/>
      <w:bookmarkStart w:id="29" w:name="_Toc314842511"/>
      <w:r w:rsidRPr="005A79F5">
        <w:rPr>
          <w:i w:val="0"/>
          <w:color w:val="auto"/>
        </w:rPr>
        <w:t>A summary of the TGA’s assessment for this submission is provided below</w:t>
      </w:r>
      <w:r>
        <w:rPr>
          <w:i w:val="0"/>
          <w:color w:val="auto"/>
        </w:rPr>
        <w:t>.</w:t>
      </w:r>
    </w:p>
    <w:p w14:paraId="2EFDADB6" w14:textId="77777777" w:rsidR="0074163C" w:rsidRDefault="0074163C" w:rsidP="0074163C">
      <w:r>
        <w:t>TGA guidance at pre-submission meetings is nonbinding and without prejudice.</w:t>
      </w:r>
    </w:p>
    <w:p w14:paraId="6C81EE60" w14:textId="77777777" w:rsidR="008E7846" w:rsidRDefault="008E7846" w:rsidP="008E7846">
      <w:pPr>
        <w:pStyle w:val="Heading3"/>
      </w:pPr>
      <w:bookmarkStart w:id="30" w:name="_Toc118798360"/>
      <w:r>
        <w:t>Quality</w:t>
      </w:r>
      <w:bookmarkEnd w:id="28"/>
      <w:bookmarkEnd w:id="29"/>
      <w:bookmarkEnd w:id="30"/>
    </w:p>
    <w:p w14:paraId="6D9959A0" w14:textId="4A6BE65D" w:rsidR="006B4644" w:rsidRDefault="00D36F56" w:rsidP="006B4644">
      <w:bookmarkStart w:id="31" w:name="_Toc314842512"/>
      <w:r>
        <w:t>A q</w:t>
      </w:r>
      <w:r w:rsidR="006B4644">
        <w:t>uality evaluation</w:t>
      </w:r>
      <w:r w:rsidR="006B4644" w:rsidRPr="006B4644">
        <w:t xml:space="preserve"> was required for the new dispersible tablet. However, </w:t>
      </w:r>
      <w:r>
        <w:t xml:space="preserve">the </w:t>
      </w:r>
      <w:r w:rsidR="006B4644" w:rsidRPr="006B4644">
        <w:t>relative bioavailability (bioequivalence) is assumed between the 50</w:t>
      </w:r>
      <w:r w:rsidR="006B4644">
        <w:t xml:space="preserve"> </w:t>
      </w:r>
      <w:r w:rsidR="006B4644" w:rsidRPr="006B4644">
        <w:t xml:space="preserve">mg </w:t>
      </w:r>
      <w:proofErr w:type="gramStart"/>
      <w:r w:rsidR="006B4644" w:rsidRPr="006B4644">
        <w:t>dispersible</w:t>
      </w:r>
      <w:proofErr w:type="gramEnd"/>
      <w:r w:rsidR="006B4644" w:rsidRPr="006B4644">
        <w:t xml:space="preserve"> and the current conventional 150</w:t>
      </w:r>
      <w:r w:rsidR="006B4644">
        <w:t xml:space="preserve"> </w:t>
      </w:r>
      <w:r w:rsidR="006B4644" w:rsidRPr="006B4644">
        <w:t xml:space="preserve">mg oral tablet based on population </w:t>
      </w:r>
      <w:r w:rsidR="006B4644">
        <w:t>pharmacokinetics (</w:t>
      </w:r>
      <w:r w:rsidR="006B4644" w:rsidRPr="006B4644">
        <w:t>PK</w:t>
      </w:r>
      <w:r w:rsidR="006B4644">
        <w:t>)</w:t>
      </w:r>
      <w:r w:rsidR="006B4644" w:rsidRPr="006B4644">
        <w:t xml:space="preserve"> </w:t>
      </w:r>
      <w:r w:rsidR="006B4644">
        <w:t>that is</w:t>
      </w:r>
      <w:r>
        <w:t>, an</w:t>
      </w:r>
      <w:r w:rsidR="006B4644" w:rsidRPr="006B4644">
        <w:t xml:space="preserve"> </w:t>
      </w:r>
      <w:r w:rsidR="006B4644" w:rsidRPr="006B4644">
        <w:rPr>
          <w:i/>
          <w:iCs/>
        </w:rPr>
        <w:t>in vivo</w:t>
      </w:r>
      <w:r w:rsidR="006B4644" w:rsidRPr="006B4644">
        <w:t xml:space="preserve"> </w:t>
      </w:r>
      <w:r w:rsidR="006B4644">
        <w:t xml:space="preserve">bioequivalence </w:t>
      </w:r>
      <w:r w:rsidR="006B4644" w:rsidRPr="006B4644">
        <w:t>study was not done.</w:t>
      </w:r>
      <w:r w:rsidR="00B37244">
        <w:t xml:space="preserve"> The chemical structure of tafenoquine is shown in </w:t>
      </w:r>
      <w:r w:rsidR="00B37244">
        <w:fldChar w:fldCharType="begin"/>
      </w:r>
      <w:r w:rsidR="00B37244">
        <w:instrText xml:space="preserve"> REF _Ref118374323 \h </w:instrText>
      </w:r>
      <w:r w:rsidR="00B37244">
        <w:fldChar w:fldCharType="separate"/>
      </w:r>
      <w:r w:rsidR="00D70A51" w:rsidRPr="006B4644">
        <w:t xml:space="preserve">Figure </w:t>
      </w:r>
      <w:r w:rsidR="00D70A51">
        <w:rPr>
          <w:noProof/>
        </w:rPr>
        <w:t>1</w:t>
      </w:r>
      <w:r w:rsidR="00B37244">
        <w:fldChar w:fldCharType="end"/>
      </w:r>
      <w:r w:rsidR="00B37244">
        <w:t>.</w:t>
      </w:r>
    </w:p>
    <w:p w14:paraId="744FEF75" w14:textId="0C6A9CCE" w:rsidR="006B4644" w:rsidRDefault="006B4644" w:rsidP="006B4644">
      <w:pPr>
        <w:pStyle w:val="FigureTitle"/>
      </w:pPr>
      <w:bookmarkStart w:id="32" w:name="_Ref118374323"/>
      <w:r w:rsidRPr="006B4644">
        <w:lastRenderedPageBreak/>
        <w:t xml:space="preserve">Figure </w:t>
      </w:r>
      <w:r w:rsidR="00503A56">
        <w:fldChar w:fldCharType="begin"/>
      </w:r>
      <w:r w:rsidR="00503A56">
        <w:instrText xml:space="preserve"> SEQ Figure \* ARABIC </w:instrText>
      </w:r>
      <w:r w:rsidR="00503A56">
        <w:fldChar w:fldCharType="separate"/>
      </w:r>
      <w:r w:rsidR="00D70A51">
        <w:rPr>
          <w:noProof/>
        </w:rPr>
        <w:t>1</w:t>
      </w:r>
      <w:r w:rsidR="00503A56">
        <w:rPr>
          <w:noProof/>
        </w:rPr>
        <w:fldChar w:fldCharType="end"/>
      </w:r>
      <w:bookmarkEnd w:id="32"/>
      <w:r>
        <w:t>: Structure of tafenoquine</w:t>
      </w:r>
    </w:p>
    <w:p w14:paraId="12B818C4" w14:textId="1F5D7B31" w:rsidR="006B4644" w:rsidRDefault="006B4644" w:rsidP="006B4644">
      <w:r w:rsidRPr="006B4644">
        <w:rPr>
          <w:noProof/>
          <w:lang w:val="en-GB" w:eastAsia="en-GB"/>
        </w:rPr>
        <w:drawing>
          <wp:inline distT="0" distB="0" distL="0" distR="0" wp14:anchorId="081BD3F0" wp14:editId="0A478CB5">
            <wp:extent cx="3057525" cy="1865690"/>
            <wp:effectExtent l="0" t="0" r="0" b="1270"/>
            <wp:docPr id="1" name="Picture 1" descr="Structure of tafenoqu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ructure of tafenoquin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74999" cy="1876352"/>
                    </a:xfrm>
                    <a:prstGeom prst="rect">
                      <a:avLst/>
                    </a:prstGeom>
                    <a:noFill/>
                    <a:ln>
                      <a:noFill/>
                    </a:ln>
                  </pic:spPr>
                </pic:pic>
              </a:graphicData>
            </a:graphic>
          </wp:inline>
        </w:drawing>
      </w:r>
    </w:p>
    <w:p w14:paraId="604BDAA5" w14:textId="4CBC5422" w:rsidR="00D36F56" w:rsidRDefault="00D36F56" w:rsidP="006B4644"/>
    <w:p w14:paraId="323A84DC" w14:textId="56C3A121" w:rsidR="00F20B5A" w:rsidRDefault="00585E05" w:rsidP="00F20B5A">
      <w:r>
        <w:t>T</w:t>
      </w:r>
      <w:r w:rsidR="00F20B5A">
        <w:t>he 50 mg film-coated dispersible tablets for oral administration proposed in this submission are yellow, film-coated, round-shaped dispersible tablets, plain on one side and debossed with ‘GS INC’ on the other side.</w:t>
      </w:r>
    </w:p>
    <w:p w14:paraId="0998CDA2" w14:textId="719FE36F" w:rsidR="00585E05" w:rsidRDefault="00585E05" w:rsidP="00585E05">
      <w:r>
        <w:t>The 50 mg dispersible tablets supplied in child-resistant, aluminium foil, perforated blister strips</w:t>
      </w:r>
      <w:r w:rsidR="00554282">
        <w:t xml:space="preserve">, containing </w:t>
      </w:r>
      <w:r>
        <w:t>2 tablets on one side and 1 tablet plus a dummy pocket on the other side.</w:t>
      </w:r>
    </w:p>
    <w:p w14:paraId="2A094FCC" w14:textId="34D3B8C4" w:rsidR="00585E05" w:rsidRDefault="00585E05" w:rsidP="00F20B5A">
      <w:r>
        <w:t xml:space="preserve">The pack contains 10 blisters, with </w:t>
      </w:r>
      <w:r w:rsidR="009A1A84">
        <w:t>30</w:t>
      </w:r>
      <w:r>
        <w:t xml:space="preserve"> tablets (bulk pack), to support weight-based dosing of multiple patients.</w:t>
      </w:r>
    </w:p>
    <w:p w14:paraId="39640820" w14:textId="2C80100E" w:rsidR="00554282" w:rsidRDefault="00554282" w:rsidP="00F20B5A">
      <w:r>
        <w:t xml:space="preserve">A visual example can be seen in </w:t>
      </w:r>
      <w:r>
        <w:fldChar w:fldCharType="begin"/>
      </w:r>
      <w:r>
        <w:instrText xml:space="preserve"> REF _Ref118801815 \h </w:instrText>
      </w:r>
      <w:r>
        <w:fldChar w:fldCharType="separate"/>
      </w:r>
      <w:r w:rsidRPr="00905564">
        <w:t xml:space="preserve">Figure </w:t>
      </w:r>
      <w:r>
        <w:rPr>
          <w:noProof/>
        </w:rPr>
        <w:t>2</w:t>
      </w:r>
      <w:r>
        <w:fldChar w:fldCharType="end"/>
      </w:r>
      <w:r>
        <w:t xml:space="preserve">, in Section: </w:t>
      </w:r>
      <w:r>
        <w:fldChar w:fldCharType="begin"/>
      </w:r>
      <w:r>
        <w:instrText xml:space="preserve"> REF _Ref121403416 \h </w:instrText>
      </w:r>
      <w:r>
        <w:fldChar w:fldCharType="separate"/>
      </w:r>
      <w:r>
        <w:t>Questions for the sponsor</w:t>
      </w:r>
      <w:r>
        <w:fldChar w:fldCharType="end"/>
      </w:r>
      <w:r>
        <w:t>.</w:t>
      </w:r>
    </w:p>
    <w:p w14:paraId="60736A41" w14:textId="5A1F3987" w:rsidR="00D36F56" w:rsidRDefault="00F20B5A" w:rsidP="00D36F56">
      <w:r>
        <w:t xml:space="preserve">The </w:t>
      </w:r>
      <w:r w:rsidR="00585E05">
        <w:t>previously approved</w:t>
      </w:r>
      <w:r w:rsidR="00585E05" w:rsidRPr="00E055FA">
        <w:rPr>
          <w:vertAlign w:val="superscript"/>
        </w:rPr>
        <w:fldChar w:fldCharType="begin"/>
      </w:r>
      <w:r w:rsidR="00585E05" w:rsidRPr="00E055FA">
        <w:rPr>
          <w:vertAlign w:val="superscript"/>
        </w:rPr>
        <w:instrText xml:space="preserve"> NOTEREF _Ref121399285 \h </w:instrText>
      </w:r>
      <w:r w:rsidR="00585E05">
        <w:rPr>
          <w:vertAlign w:val="superscript"/>
        </w:rPr>
        <w:instrText xml:space="preserve"> \* MERGEFORMAT </w:instrText>
      </w:r>
      <w:r w:rsidR="00585E05" w:rsidRPr="00E055FA">
        <w:rPr>
          <w:vertAlign w:val="superscript"/>
        </w:rPr>
      </w:r>
      <w:r w:rsidR="00585E05" w:rsidRPr="00E055FA">
        <w:rPr>
          <w:vertAlign w:val="superscript"/>
        </w:rPr>
        <w:fldChar w:fldCharType="separate"/>
      </w:r>
      <w:r w:rsidR="00585E05" w:rsidRPr="00E055FA">
        <w:rPr>
          <w:vertAlign w:val="superscript"/>
        </w:rPr>
        <w:t>13</w:t>
      </w:r>
      <w:r w:rsidR="00585E05" w:rsidRPr="00E055FA">
        <w:rPr>
          <w:vertAlign w:val="superscript"/>
        </w:rPr>
        <w:fldChar w:fldCharType="end"/>
      </w:r>
      <w:r w:rsidR="00585E05" w:rsidRPr="00E055FA">
        <w:rPr>
          <w:vertAlign w:val="superscript"/>
        </w:rPr>
        <w:t>,</w:t>
      </w:r>
      <w:r w:rsidR="00585E05" w:rsidRPr="00E055FA">
        <w:rPr>
          <w:vertAlign w:val="superscript"/>
        </w:rPr>
        <w:fldChar w:fldCharType="begin"/>
      </w:r>
      <w:r w:rsidR="00585E05" w:rsidRPr="00E055FA">
        <w:rPr>
          <w:vertAlign w:val="superscript"/>
        </w:rPr>
        <w:instrText xml:space="preserve"> NOTEREF _Ref121399291 \h </w:instrText>
      </w:r>
      <w:r w:rsidR="00585E05">
        <w:rPr>
          <w:vertAlign w:val="superscript"/>
        </w:rPr>
        <w:instrText xml:space="preserve"> \* MERGEFORMAT </w:instrText>
      </w:r>
      <w:r w:rsidR="00585E05" w:rsidRPr="00E055FA">
        <w:rPr>
          <w:vertAlign w:val="superscript"/>
        </w:rPr>
      </w:r>
      <w:r w:rsidR="00585E05" w:rsidRPr="00E055FA">
        <w:rPr>
          <w:vertAlign w:val="superscript"/>
        </w:rPr>
        <w:fldChar w:fldCharType="separate"/>
      </w:r>
      <w:r w:rsidR="00585E05" w:rsidRPr="00E055FA">
        <w:rPr>
          <w:vertAlign w:val="superscript"/>
        </w:rPr>
        <w:t>14</w:t>
      </w:r>
      <w:r w:rsidR="00585E05" w:rsidRPr="00E055FA">
        <w:rPr>
          <w:vertAlign w:val="superscript"/>
        </w:rPr>
        <w:fldChar w:fldCharType="end"/>
      </w:r>
      <w:r w:rsidR="00585E05">
        <w:t xml:space="preserve"> </w:t>
      </w:r>
      <w:r w:rsidR="00D36F56">
        <w:t xml:space="preserve">150 mg film-coated </w:t>
      </w:r>
      <w:r>
        <w:t>tablets for oral administration are p</w:t>
      </w:r>
      <w:r w:rsidR="00D36F56">
        <w:t>ink, film-coated, capsule-shaped tablets, plain on one side and debossed with ‘GS J</w:t>
      </w:r>
      <w:r>
        <w:t xml:space="preserve">11’ on the other </w:t>
      </w:r>
      <w:r w:rsidR="00D36F56">
        <w:t>side.</w:t>
      </w:r>
    </w:p>
    <w:p w14:paraId="5A40A1E6" w14:textId="330368AB" w:rsidR="00585E05" w:rsidRDefault="00585E05" w:rsidP="00D36F56">
      <w:r>
        <w:t>The 150 mg tablets supplied in a child-resistant aluminium foil blister strip. The pack contains 2 tablets.</w:t>
      </w:r>
    </w:p>
    <w:p w14:paraId="1A0E52E9" w14:textId="4C31AB8A" w:rsidR="00F20B5A" w:rsidRDefault="00585E05" w:rsidP="00D36F56">
      <w:proofErr w:type="spellStart"/>
      <w:r>
        <w:t>Kozenis</w:t>
      </w:r>
      <w:proofErr w:type="spellEnd"/>
      <w:r>
        <w:t xml:space="preserve"> should be stored </w:t>
      </w:r>
      <w:r w:rsidR="009A1A84">
        <w:t xml:space="preserve">below 30°C </w:t>
      </w:r>
      <w:r>
        <w:t>in the original package to protect from moisture</w:t>
      </w:r>
      <w:r w:rsidR="009A1A84">
        <w:t>. The 50 mg dispersible tablets have a shelf life of 24 months, and the 150 mg film-coated tablets have a shelf-life of 60 months.</w:t>
      </w:r>
    </w:p>
    <w:p w14:paraId="288EB270" w14:textId="40C290C6" w:rsidR="009A1A84" w:rsidRDefault="009A1A84" w:rsidP="00E055FA">
      <w:pPr>
        <w:pStyle w:val="Heading4"/>
      </w:pPr>
      <w:r>
        <w:t>Recommendation</w:t>
      </w:r>
    </w:p>
    <w:p w14:paraId="19F918EE" w14:textId="6226385B" w:rsidR="006B4644" w:rsidRPr="006B4644" w:rsidRDefault="006B4644" w:rsidP="006B4644">
      <w:r w:rsidRPr="006B4644">
        <w:t>Registration of the 50</w:t>
      </w:r>
      <w:r>
        <w:t xml:space="preserve"> </w:t>
      </w:r>
      <w:r w:rsidRPr="006B4644">
        <w:t xml:space="preserve">mg dispersible tablet is recommended from </w:t>
      </w:r>
      <w:r w:rsidR="0019371A">
        <w:t>p</w:t>
      </w:r>
      <w:r w:rsidRPr="006B4644">
        <w:t xml:space="preserve">harmaceutical </w:t>
      </w:r>
      <w:r w:rsidR="0019371A">
        <w:t>c</w:t>
      </w:r>
      <w:r w:rsidRPr="006B4644">
        <w:t>hemistry perspective. There are no outstanding issues.</w:t>
      </w:r>
    </w:p>
    <w:p w14:paraId="00D794B1" w14:textId="2F9C4B14" w:rsidR="008E7846" w:rsidRDefault="008E7846" w:rsidP="006B4644">
      <w:pPr>
        <w:pStyle w:val="Heading3"/>
      </w:pPr>
      <w:bookmarkStart w:id="33" w:name="_Toc118798361"/>
      <w:r>
        <w:t>Nonclinical</w:t>
      </w:r>
      <w:bookmarkEnd w:id="31"/>
      <w:bookmarkEnd w:id="33"/>
    </w:p>
    <w:p w14:paraId="3409C915" w14:textId="69FF4F91" w:rsidR="00B37244" w:rsidRDefault="0074163C" w:rsidP="00B37244">
      <w:r>
        <w:t>A full nonclinical evaluation was conducted at the time this product received initial registration.</w:t>
      </w:r>
      <w:r w:rsidR="009A1A84" w:rsidRPr="00E055FA">
        <w:rPr>
          <w:vertAlign w:val="superscript"/>
        </w:rPr>
        <w:fldChar w:fldCharType="begin"/>
      </w:r>
      <w:r w:rsidR="009A1A84" w:rsidRPr="00E055FA">
        <w:rPr>
          <w:vertAlign w:val="superscript"/>
        </w:rPr>
        <w:instrText xml:space="preserve"> NOTEREF _Ref121399291 \h </w:instrText>
      </w:r>
      <w:r w:rsidR="009A1A84">
        <w:rPr>
          <w:vertAlign w:val="superscript"/>
        </w:rPr>
        <w:instrText xml:space="preserve"> \* MERGEFORMAT </w:instrText>
      </w:r>
      <w:r w:rsidR="009A1A84" w:rsidRPr="00E055FA">
        <w:rPr>
          <w:vertAlign w:val="superscript"/>
        </w:rPr>
      </w:r>
      <w:r w:rsidR="009A1A84" w:rsidRPr="00E055FA">
        <w:rPr>
          <w:vertAlign w:val="superscript"/>
        </w:rPr>
        <w:fldChar w:fldCharType="separate"/>
      </w:r>
      <w:r w:rsidR="009A1A84" w:rsidRPr="00E055FA">
        <w:rPr>
          <w:vertAlign w:val="superscript"/>
        </w:rPr>
        <w:t>14</w:t>
      </w:r>
      <w:r w:rsidR="009A1A84" w:rsidRPr="00E055FA">
        <w:rPr>
          <w:vertAlign w:val="superscript"/>
        </w:rPr>
        <w:fldChar w:fldCharType="end"/>
      </w:r>
      <w:r w:rsidR="00B37244">
        <w:t xml:space="preserve"> </w:t>
      </w:r>
      <w:r w:rsidR="009A1A84">
        <w:t>The s</w:t>
      </w:r>
      <w:r w:rsidR="00BF60DE">
        <w:t>ponsor</w:t>
      </w:r>
      <w:r w:rsidR="00B37244">
        <w:t xml:space="preserve"> provided one rat study to assess the palatability of the dispersible tablet</w:t>
      </w:r>
      <w:r w:rsidR="00BF60DE">
        <w:t xml:space="preserve"> in this submission.</w:t>
      </w:r>
    </w:p>
    <w:p w14:paraId="1CF31217" w14:textId="6203BBBE" w:rsidR="00B37244" w:rsidRPr="0074163C" w:rsidRDefault="00B37244" w:rsidP="0074163C">
      <w:r>
        <w:t xml:space="preserve">There are no </w:t>
      </w:r>
      <w:r w:rsidR="00BF60DE">
        <w:t>nonclinical</w:t>
      </w:r>
      <w:r>
        <w:t xml:space="preserve"> objections to the proposed extension of use in children from 6 months of age and above. No toxicology related changes to the current PI are required.</w:t>
      </w:r>
    </w:p>
    <w:p w14:paraId="57CC6BCC" w14:textId="77777777" w:rsidR="008E7846" w:rsidRDefault="008E7846" w:rsidP="008E7846">
      <w:pPr>
        <w:pStyle w:val="Heading3"/>
      </w:pPr>
      <w:bookmarkStart w:id="34" w:name="_Toc247691530"/>
      <w:bookmarkStart w:id="35" w:name="_Toc314842513"/>
      <w:bookmarkStart w:id="36" w:name="_Toc118798362"/>
      <w:r>
        <w:lastRenderedPageBreak/>
        <w:t>Clinical</w:t>
      </w:r>
      <w:bookmarkEnd w:id="34"/>
      <w:bookmarkEnd w:id="35"/>
      <w:bookmarkEnd w:id="36"/>
    </w:p>
    <w:p w14:paraId="03E11112" w14:textId="029C52FC" w:rsidR="00BF60DE" w:rsidRPr="00BF60DE" w:rsidRDefault="00C91791" w:rsidP="00BF60DE">
      <w:pPr>
        <w:pStyle w:val="Heading4"/>
      </w:pPr>
      <w:bookmarkStart w:id="37" w:name="_Toc314842514"/>
      <w:r>
        <w:t>Study TAF113577 (TEACH trial)</w:t>
      </w:r>
    </w:p>
    <w:p w14:paraId="6C589A48" w14:textId="422830D7" w:rsidR="00BF60DE" w:rsidRDefault="00BF60DE" w:rsidP="00BF60DE">
      <w:r>
        <w:t>Study TAF113577 (</w:t>
      </w:r>
      <w:r w:rsidR="009A1A84">
        <w:t xml:space="preserve">also known as the </w:t>
      </w:r>
      <w:r>
        <w:t>TEACH trial) was a prospective, open label, single arm study in children (aged older or equal to 6 months to younger than 16 years) carried out in four centres in two countries (Col</w:t>
      </w:r>
      <w:r w:rsidR="009A1A84">
        <w:t>o</w:t>
      </w:r>
      <w:r>
        <w:t xml:space="preserve">mbia and Vietnam) between 2017 to 2020. The participants were to have positive </w:t>
      </w:r>
      <w:r w:rsidRPr="00BF60DE">
        <w:rPr>
          <w:i/>
          <w:iCs/>
        </w:rPr>
        <w:t>P. vivax</w:t>
      </w:r>
      <w:r>
        <w:t xml:space="preserve"> smear and a history of fever within 48 hours prior to enrolment and were required to have normal levels </w:t>
      </w:r>
      <w:r w:rsidR="009A1A84" w:rsidRPr="009A1A84">
        <w:t>Glucose-6-phosphate dehydrogenase</w:t>
      </w:r>
      <w:r w:rsidR="009A1A84">
        <w:t xml:space="preserve"> (</w:t>
      </w:r>
      <w:r>
        <w:t>G6PD</w:t>
      </w:r>
      <w:r w:rsidR="009A1A84">
        <w:t>)</w:t>
      </w:r>
      <w:r>
        <w:t>.</w:t>
      </w:r>
    </w:p>
    <w:p w14:paraId="5A8B7877" w14:textId="77777777" w:rsidR="009A1A84" w:rsidRDefault="00BF60DE" w:rsidP="00BF60DE">
      <w:r>
        <w:t xml:space="preserve">The study was a pharmacokinetics study designed for dose selection by bridging adult efficacy and systemic exposure data to children aged older or equal to 6 months to younger than 16 years. A secondary objective was to assess parasitological efficacy of tafenoquine for radical cure of </w:t>
      </w:r>
      <w:r w:rsidRPr="00BF60DE">
        <w:rPr>
          <w:i/>
          <w:iCs/>
        </w:rPr>
        <w:t>P. vivax</w:t>
      </w:r>
      <w:r>
        <w:t xml:space="preserve"> in children with acute </w:t>
      </w:r>
      <w:r w:rsidRPr="00BF60DE">
        <w:rPr>
          <w:i/>
          <w:iCs/>
        </w:rPr>
        <w:t>P. vivax</w:t>
      </w:r>
      <w:r>
        <w:t xml:space="preserve"> malaria being treated with concomitant </w:t>
      </w:r>
      <w:r w:rsidRPr="00741DCF">
        <w:t>chloroquine</w:t>
      </w:r>
      <w:r>
        <w:t>.</w:t>
      </w:r>
    </w:p>
    <w:p w14:paraId="1E23A595" w14:textId="1AE670CA" w:rsidR="00BF60DE" w:rsidRDefault="00BF60DE" w:rsidP="00BF60DE">
      <w:r>
        <w:t>The protocol defined weight bands for dose characterisation were as follows:</w:t>
      </w:r>
    </w:p>
    <w:p w14:paraId="58940E7C" w14:textId="06224232" w:rsidR="00BF60DE" w:rsidRDefault="00BF60DE" w:rsidP="00BF60DE">
      <w:pPr>
        <w:pStyle w:val="ListBullet"/>
      </w:pPr>
      <w:r>
        <w:t>≥ 5 kg to ≤ 10 kg</w:t>
      </w:r>
    </w:p>
    <w:p w14:paraId="42FC7E38" w14:textId="4A91E20D" w:rsidR="00BF60DE" w:rsidRDefault="00BF60DE" w:rsidP="00BF60DE">
      <w:pPr>
        <w:pStyle w:val="ListBullet"/>
      </w:pPr>
      <w:r>
        <w:t>&gt; 10 kg to ≤ 20 kg</w:t>
      </w:r>
    </w:p>
    <w:p w14:paraId="6B82F5A5" w14:textId="01206920" w:rsidR="00BF60DE" w:rsidRDefault="00BF60DE" w:rsidP="00BF60DE">
      <w:pPr>
        <w:pStyle w:val="ListBullet"/>
      </w:pPr>
      <w:r>
        <w:t>&gt; 20 kg to ≤ 35 kg</w:t>
      </w:r>
    </w:p>
    <w:p w14:paraId="1A16A9D7" w14:textId="536DA2C0" w:rsidR="00BF60DE" w:rsidRDefault="00BF60DE" w:rsidP="00BF60DE">
      <w:pPr>
        <w:pStyle w:val="ListBullet"/>
      </w:pPr>
      <w:r>
        <w:t>&gt; 35 kg</w:t>
      </w:r>
    </w:p>
    <w:p w14:paraId="727E49FC" w14:textId="013CF122" w:rsidR="00BF60DE" w:rsidRDefault="00BF60DE" w:rsidP="00BF60DE">
      <w:r w:rsidRPr="00BF60DE">
        <w:t>The goal was to</w:t>
      </w:r>
      <w:r w:rsidR="009A1A84">
        <w:t xml:space="preserve"> achieve</w:t>
      </w:r>
      <w:r w:rsidRPr="00BF60DE">
        <w:t xml:space="preserve"> a median tafenoquine exposure of 96 μg.hr/mL in each weight band comparable to the median exposure of tafenoquine observed in adults and adolescents aged ≥ 16 years following administration of 300 mg </w:t>
      </w:r>
      <w:r>
        <w:t>single</w:t>
      </w:r>
      <w:r w:rsidRPr="00BF60DE">
        <w:t xml:space="preserve"> dose. The proposed dosing, using a population pharmacokinetic (</w:t>
      </w:r>
      <w:proofErr w:type="spellStart"/>
      <w:r w:rsidRPr="00BF60DE">
        <w:t>popPK</w:t>
      </w:r>
      <w:proofErr w:type="spellEnd"/>
      <w:r w:rsidRPr="00BF60DE">
        <w:t>) model from adult/adolescent data in Part 1 of Study TAF112582 (previously evaluated) incorporating allometric scaling for body weight</w:t>
      </w:r>
      <w:r>
        <w:t xml:space="preserve"> (</w:t>
      </w:r>
      <w:r>
        <w:fldChar w:fldCharType="begin"/>
      </w:r>
      <w:r>
        <w:instrText xml:space="preserve"> REF _Ref118375391 \h </w:instrText>
      </w:r>
      <w:r>
        <w:fldChar w:fldCharType="separate"/>
      </w:r>
      <w:r w:rsidR="00D70A51" w:rsidRPr="00BF60DE">
        <w:t xml:space="preserve">Table </w:t>
      </w:r>
      <w:r w:rsidR="00D70A51">
        <w:rPr>
          <w:noProof/>
        </w:rPr>
        <w:t>2</w:t>
      </w:r>
      <w:r>
        <w:fldChar w:fldCharType="end"/>
      </w:r>
      <w:r>
        <w:t>).</w:t>
      </w:r>
    </w:p>
    <w:p w14:paraId="77D92CF4" w14:textId="0353DFD4" w:rsidR="00BF60DE" w:rsidRPr="00BF60DE" w:rsidRDefault="00BF60DE" w:rsidP="00BF60DE">
      <w:pPr>
        <w:pStyle w:val="TableTitle"/>
      </w:pPr>
      <w:bookmarkStart w:id="38" w:name="_Ref118375391"/>
      <w:r w:rsidRPr="00BF60DE">
        <w:t xml:space="preserve">Table </w:t>
      </w:r>
      <w:r w:rsidR="00503A56">
        <w:fldChar w:fldCharType="begin"/>
      </w:r>
      <w:r w:rsidR="00503A56">
        <w:instrText xml:space="preserve"> SEQ Table \* ARABIC </w:instrText>
      </w:r>
      <w:r w:rsidR="00503A56">
        <w:fldChar w:fldCharType="separate"/>
      </w:r>
      <w:r w:rsidR="00D70A51">
        <w:rPr>
          <w:noProof/>
        </w:rPr>
        <w:t>2</w:t>
      </w:r>
      <w:r w:rsidR="00503A56">
        <w:rPr>
          <w:noProof/>
        </w:rPr>
        <w:fldChar w:fldCharType="end"/>
      </w:r>
      <w:bookmarkEnd w:id="38"/>
      <w:r>
        <w:t xml:space="preserve">: </w:t>
      </w:r>
      <w:r w:rsidR="009A1A84">
        <w:t xml:space="preserve">Study TAF113577 (TEACH trial) </w:t>
      </w:r>
      <w:r>
        <w:t>Weight bands for tafenoquine dosing</w:t>
      </w:r>
    </w:p>
    <w:p w14:paraId="71E9412E" w14:textId="32D2271E" w:rsidR="00BF60DE" w:rsidRDefault="00BF60DE" w:rsidP="00ED533B">
      <w:pPr>
        <w:pStyle w:val="TableDescription"/>
      </w:pPr>
      <w:r>
        <w:rPr>
          <w:noProof/>
          <w:lang w:val="en-GB" w:eastAsia="en-GB"/>
        </w:rPr>
        <w:drawing>
          <wp:inline distT="0" distB="0" distL="0" distR="0" wp14:anchorId="02B720EC" wp14:editId="656A11DA">
            <wp:extent cx="5112161" cy="2162754"/>
            <wp:effectExtent l="0" t="0" r="0" b="9525"/>
            <wp:docPr id="5" name="Picture 5" descr="Weight bands for tafenoquine do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eight bands for tafenoquine dosi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8999" b="7392"/>
                    <a:stretch/>
                  </pic:blipFill>
                  <pic:spPr bwMode="auto">
                    <a:xfrm>
                      <a:off x="0" y="0"/>
                      <a:ext cx="5130755" cy="2170621"/>
                    </a:xfrm>
                    <a:prstGeom prst="rect">
                      <a:avLst/>
                    </a:prstGeom>
                    <a:noFill/>
                    <a:ln>
                      <a:noFill/>
                    </a:ln>
                    <a:extLst>
                      <a:ext uri="{53640926-AAD7-44D8-BBD7-CCE9431645EC}">
                        <a14:shadowObscured xmlns:a14="http://schemas.microsoft.com/office/drawing/2010/main"/>
                      </a:ext>
                    </a:extLst>
                  </pic:spPr>
                </pic:pic>
              </a:graphicData>
            </a:graphic>
          </wp:inline>
        </w:drawing>
      </w:r>
    </w:p>
    <w:p w14:paraId="43338323" w14:textId="4863CB27" w:rsidR="00ED533B" w:rsidRDefault="00ED533B" w:rsidP="00ED533B">
      <w:pPr>
        <w:pStyle w:val="TableDescription"/>
      </w:pPr>
      <w:r>
        <w:t>Note: The tafenoquine (TQ) dose is based on achieving a target AUC (0-infinty) of 96 µg.hr/mL</w:t>
      </w:r>
    </w:p>
    <w:p w14:paraId="1C766CA3" w14:textId="35B2A0E1" w:rsidR="00BF60DE" w:rsidRDefault="00BF60DE" w:rsidP="00BF60DE">
      <w:r w:rsidRPr="00BF60DE">
        <w:t xml:space="preserve">The initial group for recruitment and dosing in the study consisted of children who were at least 2 years to </w:t>
      </w:r>
      <w:r>
        <w:t xml:space="preserve">younger than </w:t>
      </w:r>
      <w:r w:rsidRPr="00BF60DE">
        <w:t xml:space="preserve">16 years. At the </w:t>
      </w:r>
      <w:r>
        <w:t>first</w:t>
      </w:r>
      <w:r w:rsidRPr="00BF60DE">
        <w:t xml:space="preserve"> interim analysis, although exposures in these participants, at doses as proposed above, were within pre-specified limit (</w:t>
      </w:r>
      <w:r w:rsidR="0019371A">
        <w:t>a</w:t>
      </w:r>
      <w:r w:rsidR="00ED533B">
        <w:t>rea under concentration time curve (</w:t>
      </w:r>
      <w:r w:rsidRPr="00BF60DE">
        <w:t>AUC</w:t>
      </w:r>
      <w:r w:rsidR="00ED533B">
        <w:t>)</w:t>
      </w:r>
      <w:r w:rsidRPr="00BF60DE">
        <w:t xml:space="preserve"> &lt;</w:t>
      </w:r>
      <w:r w:rsidR="00ED533B">
        <w:t> </w:t>
      </w:r>
      <w:r w:rsidRPr="00BF60DE">
        <w:t xml:space="preserve">192 </w:t>
      </w:r>
      <w:r w:rsidR="00ED533B">
        <w:t>µ</w:t>
      </w:r>
      <w:r w:rsidRPr="00BF60DE">
        <w:t>g.hr/mL</w:t>
      </w:r>
      <w:r w:rsidR="00ED533B">
        <w:t>, that is about two times the</w:t>
      </w:r>
      <w:r w:rsidRPr="00BF60DE">
        <w:t xml:space="preserve"> target), dose reduction in lower weight bands (from 100</w:t>
      </w:r>
      <w:r w:rsidR="00ED533B">
        <w:t xml:space="preserve"> </w:t>
      </w:r>
      <w:r w:rsidRPr="00BF60DE">
        <w:t xml:space="preserve">mg </w:t>
      </w:r>
      <w:r w:rsidR="00ED533B">
        <w:t xml:space="preserve">to </w:t>
      </w:r>
      <w:r w:rsidRPr="00BF60DE">
        <w:t>50</w:t>
      </w:r>
      <w:r w:rsidR="00ED533B">
        <w:t xml:space="preserve"> </w:t>
      </w:r>
      <w:r w:rsidRPr="00BF60DE">
        <w:t xml:space="preserve">mg in the </w:t>
      </w:r>
      <w:r w:rsidR="00ED533B">
        <w:t xml:space="preserve">greater or equal to </w:t>
      </w:r>
      <w:r w:rsidRPr="00BF60DE">
        <w:t>5</w:t>
      </w:r>
      <w:r w:rsidR="00ED533B">
        <w:t xml:space="preserve"> kg to </w:t>
      </w:r>
      <w:r w:rsidRPr="00BF60DE">
        <w:t>10kg group and, 150</w:t>
      </w:r>
      <w:r w:rsidR="00ED533B">
        <w:t xml:space="preserve"> </w:t>
      </w:r>
      <w:r w:rsidRPr="00BF60DE">
        <w:t xml:space="preserve">mg </w:t>
      </w:r>
      <w:r w:rsidR="00ED533B">
        <w:t xml:space="preserve">to </w:t>
      </w:r>
      <w:r w:rsidRPr="00BF60DE">
        <w:t xml:space="preserve">100mg in the </w:t>
      </w:r>
      <w:r w:rsidR="00ED533B">
        <w:t>greater than</w:t>
      </w:r>
      <w:r w:rsidRPr="00BF60DE">
        <w:t>10</w:t>
      </w:r>
      <w:r w:rsidR="00ED533B">
        <w:t xml:space="preserve"> </w:t>
      </w:r>
      <w:r w:rsidRPr="00BF60DE">
        <w:t xml:space="preserve">kg to </w:t>
      </w:r>
      <w:r w:rsidR="00ED533B">
        <w:t xml:space="preserve">less than or equal to </w:t>
      </w:r>
      <w:r w:rsidRPr="00BF60DE">
        <w:t>20</w:t>
      </w:r>
      <w:r w:rsidR="00ED533B">
        <w:t xml:space="preserve"> </w:t>
      </w:r>
      <w:r w:rsidRPr="00BF60DE">
        <w:t xml:space="preserve">kg group) was undertaken so that exposures closer to the intended 96 μg.hr/mL could be achieved at lower doses. The updated dosing regimen was confirmed at the </w:t>
      </w:r>
      <w:r w:rsidR="00ED533B">
        <w:t>second</w:t>
      </w:r>
      <w:r w:rsidRPr="00BF60DE">
        <w:t xml:space="preserve"> </w:t>
      </w:r>
      <w:r w:rsidRPr="00BF60DE">
        <w:lastRenderedPageBreak/>
        <w:t>interim analysis without any further dosing alterations and are being also proposed for registration</w:t>
      </w:r>
      <w:r w:rsidR="00ED533B">
        <w:t xml:space="preserve"> (</w:t>
      </w:r>
      <w:r w:rsidR="00ED533B">
        <w:fldChar w:fldCharType="begin"/>
      </w:r>
      <w:r w:rsidR="00ED533B">
        <w:instrText xml:space="preserve"> REF _Ref118375653 \h </w:instrText>
      </w:r>
      <w:r w:rsidR="00ED533B">
        <w:fldChar w:fldCharType="separate"/>
      </w:r>
      <w:r w:rsidR="00D70A51" w:rsidRPr="00ED533B">
        <w:t xml:space="preserve">Table </w:t>
      </w:r>
      <w:r w:rsidR="00D70A51">
        <w:rPr>
          <w:noProof/>
        </w:rPr>
        <w:t>3</w:t>
      </w:r>
      <w:r w:rsidR="00ED533B">
        <w:fldChar w:fldCharType="end"/>
      </w:r>
      <w:r w:rsidR="00ED533B">
        <w:t>).</w:t>
      </w:r>
    </w:p>
    <w:p w14:paraId="1AA8051F" w14:textId="1581C735" w:rsidR="00ED533B" w:rsidRPr="00BF60DE" w:rsidRDefault="00ED533B" w:rsidP="00ED533B">
      <w:pPr>
        <w:pStyle w:val="TableTitle"/>
      </w:pPr>
      <w:bookmarkStart w:id="39" w:name="_Ref118375653"/>
      <w:r w:rsidRPr="00ED533B">
        <w:t xml:space="preserve">Table </w:t>
      </w:r>
      <w:r w:rsidR="00503A56">
        <w:fldChar w:fldCharType="begin"/>
      </w:r>
      <w:r w:rsidR="00503A56">
        <w:instrText xml:space="preserve"> SEQ Table \* ARABIC </w:instrText>
      </w:r>
      <w:r w:rsidR="00503A56">
        <w:fldChar w:fldCharType="separate"/>
      </w:r>
      <w:r w:rsidR="00D70A51">
        <w:rPr>
          <w:noProof/>
        </w:rPr>
        <w:t>3</w:t>
      </w:r>
      <w:r w:rsidR="00503A56">
        <w:rPr>
          <w:noProof/>
        </w:rPr>
        <w:fldChar w:fldCharType="end"/>
      </w:r>
      <w:bookmarkEnd w:id="39"/>
      <w:r>
        <w:t xml:space="preserve">: </w:t>
      </w:r>
      <w:r w:rsidR="009A1A84">
        <w:t xml:space="preserve">Study TAF113577 (TEACH trial) </w:t>
      </w:r>
      <w:r>
        <w:t>Population pharmacokinetic model predicted exposures at the proposed final dosing regime</w:t>
      </w:r>
    </w:p>
    <w:p w14:paraId="0632647D" w14:textId="5C9C6FE6" w:rsidR="00BF60DE" w:rsidRDefault="00BF60DE" w:rsidP="00ED533B">
      <w:r>
        <w:rPr>
          <w:noProof/>
          <w:lang w:val="en-GB" w:eastAsia="en-GB"/>
        </w:rPr>
        <w:drawing>
          <wp:inline distT="0" distB="0" distL="0" distR="0" wp14:anchorId="4676B9C0" wp14:editId="5CAE389C">
            <wp:extent cx="5260941" cy="1073426"/>
            <wp:effectExtent l="0" t="0" r="0" b="0"/>
            <wp:docPr id="4" name="Picture 4" descr="Population pharmacokinetics model predicted exposures at the proposed final dosing reg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opulation pharmacokinetics model predicted exposures at the proposed final dosing regime"/>
                    <pic:cNvPicPr>
                      <a:picLocks noChangeAspect="1" noChangeArrowheads="1"/>
                    </pic:cNvPicPr>
                  </pic:nvPicPr>
                  <pic:blipFill rotWithShape="1">
                    <a:blip r:embed="rId19">
                      <a:extLst>
                        <a:ext uri="{28A0092B-C50C-407E-A947-70E740481C1C}">
                          <a14:useLocalDpi xmlns:a14="http://schemas.microsoft.com/office/drawing/2010/main" val="0"/>
                        </a:ext>
                      </a:extLst>
                    </a:blip>
                    <a:srcRect t="17467" b="11999"/>
                    <a:stretch/>
                  </pic:blipFill>
                  <pic:spPr bwMode="auto">
                    <a:xfrm>
                      <a:off x="0" y="0"/>
                      <a:ext cx="5312845" cy="1084016"/>
                    </a:xfrm>
                    <a:prstGeom prst="rect">
                      <a:avLst/>
                    </a:prstGeom>
                    <a:noFill/>
                    <a:ln>
                      <a:noFill/>
                    </a:ln>
                    <a:extLst>
                      <a:ext uri="{53640926-AAD7-44D8-BBD7-CCE9431645EC}">
                        <a14:shadowObscured xmlns:a14="http://schemas.microsoft.com/office/drawing/2010/main"/>
                      </a:ext>
                    </a:extLst>
                  </pic:spPr>
                </pic:pic>
              </a:graphicData>
            </a:graphic>
          </wp:inline>
        </w:drawing>
      </w:r>
    </w:p>
    <w:p w14:paraId="6E74B911" w14:textId="0523C5B1" w:rsidR="00ED533B" w:rsidRDefault="00ED533B" w:rsidP="00ED533B">
      <w:pPr>
        <w:pStyle w:val="TableDescription"/>
      </w:pPr>
      <w:r>
        <w:t>Abbreviations: AUC0-∞ = Area under concentration-time curve from zero to infinity. PI = Prediction interval, TQ = tafenoquine.</w:t>
      </w:r>
    </w:p>
    <w:p w14:paraId="5645B686" w14:textId="2FD61354" w:rsidR="00BF60DE" w:rsidRDefault="00BF60DE" w:rsidP="00BF60DE">
      <w:r w:rsidRPr="00115945">
        <w:t xml:space="preserve">The lowest </w:t>
      </w:r>
      <w:r>
        <w:t xml:space="preserve">dose </w:t>
      </w:r>
      <w:r w:rsidRPr="00115945">
        <w:t>(50</w:t>
      </w:r>
      <w:r w:rsidR="00ED533B">
        <w:t xml:space="preserve"> </w:t>
      </w:r>
      <w:r w:rsidRPr="00115945">
        <w:t xml:space="preserve">mg) weight band </w:t>
      </w:r>
      <w:r>
        <w:t>(</w:t>
      </w:r>
      <w:r w:rsidR="00ED533B">
        <w:t xml:space="preserve">greater or equal to </w:t>
      </w:r>
      <w:r>
        <w:t xml:space="preserve">5kg to 10kg) </w:t>
      </w:r>
      <w:r w:rsidRPr="00115945">
        <w:t>open</w:t>
      </w:r>
      <w:r>
        <w:t>ed</w:t>
      </w:r>
      <w:r w:rsidRPr="00115945">
        <w:t xml:space="preserve"> for recruitment after </w:t>
      </w:r>
      <w:r w:rsidR="00ED533B">
        <w:t>the second</w:t>
      </w:r>
      <w:r w:rsidRPr="00115945">
        <w:t xml:space="preserve"> interim analysis. However, despite repeated attempts over 9</w:t>
      </w:r>
      <w:r w:rsidR="009A1A84">
        <w:t> </w:t>
      </w:r>
      <w:r w:rsidRPr="00115945">
        <w:t>months, no childre</w:t>
      </w:r>
      <w:r>
        <w:t>n</w:t>
      </w:r>
      <w:r w:rsidRPr="00115945">
        <w:t xml:space="preserve"> aged </w:t>
      </w:r>
      <w:r w:rsidR="00ED533B">
        <w:t xml:space="preserve">older or equal to </w:t>
      </w:r>
      <w:r w:rsidRPr="00115945">
        <w:t xml:space="preserve">6 months to </w:t>
      </w:r>
      <w:r w:rsidR="00ED533B">
        <w:t xml:space="preserve">younger or equal to </w:t>
      </w:r>
      <w:r w:rsidRPr="00115945">
        <w:t>2 y</w:t>
      </w:r>
      <w:r>
        <w:t>ear</w:t>
      </w:r>
      <w:r w:rsidRPr="00115945">
        <w:t>s (</w:t>
      </w:r>
      <w:r>
        <w:t xml:space="preserve">body weight </w:t>
      </w:r>
      <w:r w:rsidRPr="00115945">
        <w:t>5</w:t>
      </w:r>
      <w:r w:rsidR="009A1A84">
        <w:t xml:space="preserve"> </w:t>
      </w:r>
      <w:r w:rsidRPr="00115945">
        <w:t>kg) could be recruited.</w:t>
      </w:r>
    </w:p>
    <w:p w14:paraId="4B78057A" w14:textId="4F470F6B" w:rsidR="00BF60DE" w:rsidRDefault="00BF60DE" w:rsidP="00BF60DE">
      <w:r>
        <w:t>Thus, participation in the study (N</w:t>
      </w:r>
      <w:r w:rsidR="00ED533B">
        <w:t xml:space="preserve"> </w:t>
      </w:r>
      <w:r>
        <w:t>=</w:t>
      </w:r>
      <w:r w:rsidR="00ED533B">
        <w:t xml:space="preserve"> </w:t>
      </w:r>
      <w:r>
        <w:t xml:space="preserve">60) were limited to </w:t>
      </w:r>
      <w:proofErr w:type="gramStart"/>
      <w:r>
        <w:t>children</w:t>
      </w:r>
      <w:r w:rsidRPr="00157567">
        <w:t xml:space="preserve"> </w:t>
      </w:r>
      <w:r w:rsidR="009A1A84">
        <w:t xml:space="preserve"> between</w:t>
      </w:r>
      <w:proofErr w:type="gramEnd"/>
      <w:r w:rsidR="009A1A84">
        <w:t xml:space="preserve"> </w:t>
      </w:r>
      <w:r w:rsidRPr="00157567">
        <w:t>2</w:t>
      </w:r>
      <w:r>
        <w:t xml:space="preserve"> to </w:t>
      </w:r>
      <w:r w:rsidRPr="00157567">
        <w:t>15 y</w:t>
      </w:r>
      <w:r>
        <w:t>ears</w:t>
      </w:r>
      <w:r w:rsidRPr="00157567">
        <w:t xml:space="preserve"> </w:t>
      </w:r>
      <w:r>
        <w:t>of age</w:t>
      </w:r>
      <w:r w:rsidRPr="00157567">
        <w:t xml:space="preserve"> with body weight ranging from 12</w:t>
      </w:r>
      <w:r w:rsidR="00ED533B">
        <w:t xml:space="preserve"> </w:t>
      </w:r>
      <w:r w:rsidRPr="00157567">
        <w:t>kg to 62</w:t>
      </w:r>
      <w:r w:rsidR="00ED533B">
        <w:t xml:space="preserve"> </w:t>
      </w:r>
      <w:r w:rsidRPr="00157567">
        <w:t>kg</w:t>
      </w:r>
      <w:r w:rsidR="00ED533B">
        <w:t xml:space="preserve"> (</w:t>
      </w:r>
      <w:r w:rsidR="00ED533B">
        <w:fldChar w:fldCharType="begin"/>
      </w:r>
      <w:r w:rsidR="00ED533B">
        <w:instrText xml:space="preserve"> REF _Ref118375999 \h </w:instrText>
      </w:r>
      <w:r w:rsidR="00ED533B">
        <w:fldChar w:fldCharType="separate"/>
      </w:r>
      <w:r w:rsidR="00D70A51" w:rsidRPr="00ED533B">
        <w:t xml:space="preserve">Table </w:t>
      </w:r>
      <w:r w:rsidR="00D70A51">
        <w:rPr>
          <w:noProof/>
        </w:rPr>
        <w:t>4</w:t>
      </w:r>
      <w:r w:rsidR="00ED533B">
        <w:fldChar w:fldCharType="end"/>
      </w:r>
      <w:r w:rsidR="00ED533B">
        <w:t>).</w:t>
      </w:r>
    </w:p>
    <w:p w14:paraId="4031F420" w14:textId="67DA49C3" w:rsidR="00ED533B" w:rsidRDefault="00ED533B" w:rsidP="00ED533B">
      <w:pPr>
        <w:pStyle w:val="TableTitle"/>
      </w:pPr>
      <w:bookmarkStart w:id="40" w:name="_Ref118375999"/>
      <w:r w:rsidRPr="00ED533B">
        <w:t xml:space="preserve">Table </w:t>
      </w:r>
      <w:r w:rsidR="00503A56">
        <w:fldChar w:fldCharType="begin"/>
      </w:r>
      <w:r w:rsidR="00503A56">
        <w:instrText xml:space="preserve"> SEQ Table \* ARABIC </w:instrText>
      </w:r>
      <w:r w:rsidR="00503A56">
        <w:fldChar w:fldCharType="separate"/>
      </w:r>
      <w:r w:rsidR="00D70A51">
        <w:rPr>
          <w:noProof/>
        </w:rPr>
        <w:t>4</w:t>
      </w:r>
      <w:r w:rsidR="00503A56">
        <w:rPr>
          <w:noProof/>
        </w:rPr>
        <w:fldChar w:fldCharType="end"/>
      </w:r>
      <w:bookmarkEnd w:id="40"/>
      <w:r w:rsidRPr="00ED533B">
        <w:t>:</w:t>
      </w:r>
      <w:r>
        <w:t xml:space="preserve"> </w:t>
      </w:r>
      <w:r w:rsidR="009A1A84">
        <w:t xml:space="preserve">Study TAF113577 (TEACH trial) </w:t>
      </w:r>
      <w:r>
        <w:t>Demographic and baseline characteristics (safety population)</w:t>
      </w:r>
    </w:p>
    <w:p w14:paraId="5676E825" w14:textId="5980A3A5" w:rsidR="00BF60DE" w:rsidRDefault="00BF60DE" w:rsidP="00ED533B">
      <w:r>
        <w:rPr>
          <w:noProof/>
          <w:lang w:val="en-GB" w:eastAsia="en-GB"/>
        </w:rPr>
        <w:drawing>
          <wp:inline distT="0" distB="0" distL="0" distR="0" wp14:anchorId="53C0E78C" wp14:editId="6CAF2C0E">
            <wp:extent cx="5254595" cy="2592125"/>
            <wp:effectExtent l="0" t="0" r="3810" b="0"/>
            <wp:docPr id="3" name="Picture 3" descr="Demographic and baseline characteristics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mographic and baseline characteristics (safety population)"/>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8525" r="1571" b="3219"/>
                    <a:stretch/>
                  </pic:blipFill>
                  <pic:spPr bwMode="auto">
                    <a:xfrm>
                      <a:off x="0" y="0"/>
                      <a:ext cx="5265763" cy="2597634"/>
                    </a:xfrm>
                    <a:prstGeom prst="rect">
                      <a:avLst/>
                    </a:prstGeom>
                    <a:noFill/>
                    <a:ln>
                      <a:noFill/>
                    </a:ln>
                    <a:extLst>
                      <a:ext uri="{53640926-AAD7-44D8-BBD7-CCE9431645EC}">
                        <a14:shadowObscured xmlns:a14="http://schemas.microsoft.com/office/drawing/2010/main"/>
                      </a:ext>
                    </a:extLst>
                  </pic:spPr>
                </pic:pic>
              </a:graphicData>
            </a:graphic>
          </wp:inline>
        </w:drawing>
      </w:r>
    </w:p>
    <w:p w14:paraId="3712C66F" w14:textId="10BCB6B1" w:rsidR="00ED533B" w:rsidRDefault="00ED533B" w:rsidP="00ED533B">
      <w:pPr>
        <w:pStyle w:val="TableDescription"/>
      </w:pPr>
      <w:r>
        <w:t>Abbreviation</w:t>
      </w:r>
      <w:r w:rsidR="009A1A84">
        <w:t>s</w:t>
      </w:r>
      <w:r>
        <w:t>:</w:t>
      </w:r>
      <w:r w:rsidR="001A12A3">
        <w:t xml:space="preserve"> Max = maximum, Min = minimum, SD = standard deviation, TQ =</w:t>
      </w:r>
      <w:r>
        <w:t xml:space="preserve"> </w:t>
      </w:r>
      <w:bookmarkStart w:id="41" w:name="_Hlk118376133"/>
      <w:r w:rsidR="001A12A3">
        <w:t>tafenoquine.</w:t>
      </w:r>
    </w:p>
    <w:bookmarkEnd w:id="41"/>
    <w:p w14:paraId="2AB4B094" w14:textId="42B04A04" w:rsidR="00BF60DE" w:rsidRPr="001A12A3" w:rsidRDefault="00BF60DE" w:rsidP="001A12A3">
      <w:r w:rsidRPr="001A12A3">
        <w:t>The mean G6PD enzyme activity was 10.461 IU/gram of haemoglobin. All had G6PD enzyme activity at least 70% of the site median for</w:t>
      </w:r>
      <w:r w:rsidR="00C91791">
        <w:t xml:space="preserve"> males with normal</w:t>
      </w:r>
      <w:r w:rsidRPr="001A12A3">
        <w:t xml:space="preserve"> G6PD normal </w:t>
      </w:r>
      <w:r w:rsidR="00C91791">
        <w:t>production</w:t>
      </w:r>
      <w:r w:rsidRPr="001A12A3">
        <w:t>.</w:t>
      </w:r>
    </w:p>
    <w:p w14:paraId="70E6EF23" w14:textId="06D5596A" w:rsidR="00BF60DE" w:rsidRPr="001A12A3" w:rsidRDefault="00BF60DE" w:rsidP="001A12A3">
      <w:r w:rsidRPr="001A12A3">
        <w:t xml:space="preserve">Participants with </w:t>
      </w:r>
      <w:r w:rsidR="00C91791">
        <w:t xml:space="preserve">a </w:t>
      </w:r>
      <w:r w:rsidRPr="001A12A3">
        <w:t>body</w:t>
      </w:r>
      <w:r w:rsidR="00C91791">
        <w:t xml:space="preserve"> weight</w:t>
      </w:r>
      <w:r w:rsidRPr="001A12A3">
        <w:t xml:space="preserve"> </w:t>
      </w:r>
      <w:r w:rsidR="001A12A3">
        <w:t xml:space="preserve">greater than </w:t>
      </w:r>
      <w:r w:rsidRPr="001A12A3">
        <w:t>35</w:t>
      </w:r>
      <w:r w:rsidR="001A12A3">
        <w:t xml:space="preserve"> </w:t>
      </w:r>
      <w:r w:rsidRPr="001A12A3">
        <w:t xml:space="preserve">kg had the choice of taking the adult </w:t>
      </w:r>
      <w:r w:rsidR="001A12A3" w:rsidRPr="001A12A3">
        <w:t>tafenoquine</w:t>
      </w:r>
      <w:r w:rsidRPr="001A12A3">
        <w:t xml:space="preserve"> 150</w:t>
      </w:r>
      <w:r w:rsidR="001A12A3">
        <w:t> </w:t>
      </w:r>
      <w:r w:rsidRPr="001A12A3">
        <w:t xml:space="preserve">mg tablet or the dispersible </w:t>
      </w:r>
      <w:r w:rsidR="001A12A3" w:rsidRPr="001A12A3">
        <w:t>tafenoquine</w:t>
      </w:r>
      <w:r w:rsidR="001A12A3">
        <w:t xml:space="preserve"> </w:t>
      </w:r>
      <w:r w:rsidRPr="001A12A3">
        <w:t>50</w:t>
      </w:r>
      <w:r w:rsidR="001A12A3">
        <w:t xml:space="preserve"> </w:t>
      </w:r>
      <w:r w:rsidRPr="001A12A3">
        <w:t>mg tablet. All children in the 100</w:t>
      </w:r>
      <w:r w:rsidR="001A12A3">
        <w:t> </w:t>
      </w:r>
      <w:r w:rsidRPr="001A12A3">
        <w:t>mg, 150</w:t>
      </w:r>
      <w:r w:rsidR="001A12A3">
        <w:t> </w:t>
      </w:r>
      <w:r w:rsidRPr="001A12A3">
        <w:t xml:space="preserve">mg (prior to </w:t>
      </w:r>
      <w:r w:rsidR="001A12A3">
        <w:t>first</w:t>
      </w:r>
      <w:r w:rsidRPr="001A12A3">
        <w:t xml:space="preserve"> interim analysis) and 200</w:t>
      </w:r>
      <w:r w:rsidR="001A12A3">
        <w:t> </w:t>
      </w:r>
      <w:r w:rsidRPr="001A12A3">
        <w:t>mg dose groups received the 50</w:t>
      </w:r>
      <w:r w:rsidR="001A12A3">
        <w:t> </w:t>
      </w:r>
      <w:r w:rsidRPr="001A12A3">
        <w:t>mg dispersible tablet. Overall, 45</w:t>
      </w:r>
      <w:r w:rsidR="001A12A3">
        <w:t xml:space="preserve"> out of </w:t>
      </w:r>
      <w:r w:rsidRPr="001A12A3">
        <w:t xml:space="preserve">60 participants received the dispersible tablet. </w:t>
      </w:r>
      <w:r w:rsidR="001A12A3">
        <w:t>Chloroquine</w:t>
      </w:r>
      <w:r w:rsidRPr="001A12A3">
        <w:t xml:space="preserve"> (25 mg/kg total dose) was administered according to local protocol divided over </w:t>
      </w:r>
      <w:r w:rsidR="001A12A3">
        <w:t>three</w:t>
      </w:r>
      <w:r w:rsidRPr="001A12A3">
        <w:t xml:space="preserve"> days.</w:t>
      </w:r>
    </w:p>
    <w:p w14:paraId="6670F598" w14:textId="6CFCB9F0" w:rsidR="00BF60DE" w:rsidRPr="001A12A3" w:rsidRDefault="00BF60DE" w:rsidP="001A12A3">
      <w:r w:rsidRPr="001A12A3">
        <w:t xml:space="preserve">All except </w:t>
      </w:r>
      <w:r w:rsidR="001A12A3">
        <w:t>four</w:t>
      </w:r>
      <w:r w:rsidRPr="001A12A3">
        <w:t xml:space="preserve"> participants were </w:t>
      </w:r>
      <w:r w:rsidRPr="001A12A3">
        <w:rPr>
          <w:i/>
          <w:iCs/>
        </w:rPr>
        <w:t>P. vivax</w:t>
      </w:r>
      <w:r w:rsidRPr="001A12A3">
        <w:t xml:space="preserve"> smear positive at </w:t>
      </w:r>
      <w:r w:rsidR="001A12A3">
        <w:t>B</w:t>
      </w:r>
      <w:r w:rsidRPr="001A12A3">
        <w:t xml:space="preserve">aseline. The four </w:t>
      </w:r>
      <w:r w:rsidRPr="001A12A3">
        <w:rPr>
          <w:i/>
          <w:iCs/>
        </w:rPr>
        <w:t>P. vivax</w:t>
      </w:r>
      <w:r w:rsidRPr="001A12A3">
        <w:t xml:space="preserve"> negative children on Day 1 had positive </w:t>
      </w:r>
      <w:r w:rsidRPr="001A12A3">
        <w:rPr>
          <w:i/>
          <w:iCs/>
        </w:rPr>
        <w:t>P. vivax</w:t>
      </w:r>
      <w:r w:rsidRPr="001A12A3">
        <w:t xml:space="preserve"> smears during the screening period and were possibly negative due to </w:t>
      </w:r>
      <w:r w:rsidR="001A12A3">
        <w:t>chloroquine</w:t>
      </w:r>
      <w:r w:rsidRPr="001A12A3">
        <w:t xml:space="preserve"> treatment up to 48 hours prior to the </w:t>
      </w:r>
      <w:r w:rsidR="001A12A3" w:rsidRPr="001A12A3">
        <w:lastRenderedPageBreak/>
        <w:t>tafenoquine</w:t>
      </w:r>
      <w:r w:rsidRPr="001A12A3">
        <w:t xml:space="preserve"> administration. All participants were </w:t>
      </w:r>
      <w:r w:rsidR="0019371A" w:rsidRPr="007A6DB8">
        <w:rPr>
          <w:i/>
          <w:iCs/>
        </w:rPr>
        <w:t>Plasmodium</w:t>
      </w:r>
      <w:r w:rsidRPr="001A12A3">
        <w:rPr>
          <w:i/>
          <w:iCs/>
        </w:rPr>
        <w:t xml:space="preserve"> falciparum</w:t>
      </w:r>
      <w:r w:rsidR="0019371A">
        <w:rPr>
          <w:i/>
          <w:iCs/>
        </w:rPr>
        <w:t xml:space="preserve"> </w:t>
      </w:r>
      <w:r w:rsidR="0019371A">
        <w:t>(</w:t>
      </w:r>
      <w:r w:rsidR="0019371A">
        <w:rPr>
          <w:i/>
          <w:iCs/>
        </w:rPr>
        <w:t>P.</w:t>
      </w:r>
      <w:r w:rsidR="0019371A" w:rsidRPr="0019371A">
        <w:rPr>
          <w:i/>
          <w:iCs/>
        </w:rPr>
        <w:t xml:space="preserve"> </w:t>
      </w:r>
      <w:r w:rsidR="0019371A" w:rsidRPr="001A12A3">
        <w:rPr>
          <w:i/>
          <w:iCs/>
        </w:rPr>
        <w:t>falciparum</w:t>
      </w:r>
      <w:r w:rsidR="0019371A">
        <w:t>)</w:t>
      </w:r>
      <w:r w:rsidRPr="001A12A3">
        <w:t xml:space="preserve"> smear negative on Day 1.</w:t>
      </w:r>
    </w:p>
    <w:p w14:paraId="168AA702" w14:textId="5A9B0D25" w:rsidR="00BF60DE" w:rsidRPr="001A12A3" w:rsidRDefault="00BF60DE" w:rsidP="001A12A3">
      <w:r w:rsidRPr="001A12A3">
        <w:t>A total of 58</w:t>
      </w:r>
      <w:r w:rsidR="001A12A3">
        <w:t xml:space="preserve"> out of </w:t>
      </w:r>
      <w:r w:rsidRPr="001A12A3">
        <w:t>60 children were successfully dosed in the study (53</w:t>
      </w:r>
      <w:r w:rsidR="001A12A3">
        <w:t xml:space="preserve"> out of </w:t>
      </w:r>
      <w:r w:rsidRPr="001A12A3">
        <w:t xml:space="preserve">60 on </w:t>
      </w:r>
      <w:r w:rsidR="001A12A3">
        <w:t xml:space="preserve">first </w:t>
      </w:r>
      <w:r w:rsidRPr="001A12A3">
        <w:t xml:space="preserve">attempt). Of the </w:t>
      </w:r>
      <w:r w:rsidR="001A12A3">
        <w:t>seven</w:t>
      </w:r>
      <w:r w:rsidRPr="001A12A3">
        <w:t xml:space="preserve"> children who vomited or spat out </w:t>
      </w:r>
      <w:r w:rsidR="001A12A3">
        <w:t>first</w:t>
      </w:r>
      <w:r w:rsidRPr="001A12A3">
        <w:t xml:space="preserve"> dose (within an hour of dosing), all had received the 50</w:t>
      </w:r>
      <w:r w:rsidR="001A12A3">
        <w:t xml:space="preserve"> </w:t>
      </w:r>
      <w:r w:rsidRPr="001A12A3">
        <w:t>mg dispersed tablet. Of these, 5</w:t>
      </w:r>
      <w:r w:rsidR="001A12A3">
        <w:t xml:space="preserve"> out of </w:t>
      </w:r>
      <w:r w:rsidRPr="001A12A3">
        <w:t xml:space="preserve">7 were successfully dosed on </w:t>
      </w:r>
      <w:r w:rsidR="0019371A">
        <w:t>s</w:t>
      </w:r>
      <w:r w:rsidR="001A12A3">
        <w:t>econd</w:t>
      </w:r>
      <w:r w:rsidRPr="001A12A3">
        <w:t xml:space="preserve"> attempt. Two children also vomited or spat out on </w:t>
      </w:r>
      <w:r w:rsidR="001A12A3">
        <w:t>second</w:t>
      </w:r>
      <w:r w:rsidRPr="001A12A3">
        <w:t xml:space="preserve"> dosing attempt (</w:t>
      </w:r>
      <w:r w:rsidR="001A12A3">
        <w:t>one</w:t>
      </w:r>
      <w:r w:rsidRPr="001A12A3">
        <w:t xml:space="preserve"> in the 150</w:t>
      </w:r>
      <w:r w:rsidR="001A12A3">
        <w:t xml:space="preserve"> </w:t>
      </w:r>
      <w:r w:rsidRPr="001A12A3">
        <w:t xml:space="preserve">mg group and </w:t>
      </w:r>
      <w:r w:rsidR="001A12A3">
        <w:t>one</w:t>
      </w:r>
      <w:r w:rsidRPr="001A12A3">
        <w:t xml:space="preserve"> in the 300</w:t>
      </w:r>
      <w:r w:rsidR="001A12A3">
        <w:t xml:space="preserve"> </w:t>
      </w:r>
      <w:r w:rsidRPr="001A12A3">
        <w:t xml:space="preserve">mg group) and were excluded from the </w:t>
      </w:r>
      <w:r w:rsidR="0019371A">
        <w:t>PK</w:t>
      </w:r>
      <w:r w:rsidRPr="001A12A3">
        <w:t xml:space="preserve"> analysis.</w:t>
      </w:r>
    </w:p>
    <w:p w14:paraId="6035A295" w14:textId="001466C1" w:rsidR="00BF60DE" w:rsidRDefault="00BF60DE" w:rsidP="001A12A3">
      <w:r w:rsidRPr="001A12A3">
        <w:t xml:space="preserve">At </w:t>
      </w:r>
      <w:r w:rsidR="001A12A3">
        <w:t>four</w:t>
      </w:r>
      <w:r w:rsidRPr="001A12A3">
        <w:t xml:space="preserve"> months of follow up, 53</w:t>
      </w:r>
      <w:r w:rsidR="001A12A3">
        <w:t xml:space="preserve"> out of </w:t>
      </w:r>
      <w:r w:rsidRPr="001A12A3">
        <w:t>60 (88%) participants were confirmed to be recurrence</w:t>
      </w:r>
      <w:r w:rsidR="001A12A3">
        <w:t xml:space="preserve"> </w:t>
      </w:r>
      <w:r w:rsidRPr="001A12A3">
        <w:t>free. The Kaplan-Meier estimate of recurrence-free rate was 95% (95%</w:t>
      </w:r>
      <w:r w:rsidR="00C91791">
        <w:t> </w:t>
      </w:r>
      <w:r w:rsidRPr="001A12A3">
        <w:t>CI</w:t>
      </w:r>
      <w:r w:rsidR="00C91791">
        <w:t>: </w:t>
      </w:r>
      <w:r w:rsidRPr="001A12A3">
        <w:t>85%, 98%)</w:t>
      </w:r>
      <w:r w:rsidR="001A12A3">
        <w:t xml:space="preserve"> (</w:t>
      </w:r>
      <w:r w:rsidR="001A12A3">
        <w:fldChar w:fldCharType="begin"/>
      </w:r>
      <w:r w:rsidR="001A12A3">
        <w:instrText xml:space="preserve"> REF _Ref118376394 \h </w:instrText>
      </w:r>
      <w:r w:rsidR="001A12A3">
        <w:fldChar w:fldCharType="separate"/>
      </w:r>
      <w:r w:rsidR="00D70A51" w:rsidRPr="001A12A3">
        <w:t xml:space="preserve">Table </w:t>
      </w:r>
      <w:r w:rsidR="00D70A51">
        <w:rPr>
          <w:noProof/>
        </w:rPr>
        <w:t>5</w:t>
      </w:r>
      <w:r w:rsidR="001A12A3">
        <w:fldChar w:fldCharType="end"/>
      </w:r>
      <w:r w:rsidR="001A12A3">
        <w:t>)</w:t>
      </w:r>
    </w:p>
    <w:p w14:paraId="2AF62522" w14:textId="6AC8C0F7" w:rsidR="001A12A3" w:rsidRPr="001A12A3" w:rsidRDefault="001A12A3" w:rsidP="001A12A3">
      <w:pPr>
        <w:pStyle w:val="TableTitle"/>
      </w:pPr>
      <w:bookmarkStart w:id="42" w:name="_Ref118376394"/>
      <w:r w:rsidRPr="001A12A3">
        <w:t xml:space="preserve">Table </w:t>
      </w:r>
      <w:r w:rsidR="00503A56">
        <w:fldChar w:fldCharType="begin"/>
      </w:r>
      <w:r w:rsidR="00503A56">
        <w:instrText xml:space="preserve"> SEQ Table \* ARABIC </w:instrText>
      </w:r>
      <w:r w:rsidR="00503A56">
        <w:fldChar w:fldCharType="separate"/>
      </w:r>
      <w:r w:rsidR="00D70A51">
        <w:rPr>
          <w:noProof/>
        </w:rPr>
        <w:t>5</w:t>
      </w:r>
      <w:r w:rsidR="00503A56">
        <w:rPr>
          <w:noProof/>
        </w:rPr>
        <w:fldChar w:fldCharType="end"/>
      </w:r>
      <w:bookmarkEnd w:id="42"/>
      <w:r>
        <w:t xml:space="preserve">: </w:t>
      </w:r>
      <w:r w:rsidR="00C91791">
        <w:t xml:space="preserve">Study TAF113577 (TEACH trial) </w:t>
      </w:r>
      <w:r>
        <w:t>Survival analysis of recurrence free efficacy over 4 months (modified intent to treat population)</w:t>
      </w:r>
    </w:p>
    <w:p w14:paraId="04AB2A70" w14:textId="47E81AD3" w:rsidR="00BF60DE" w:rsidRDefault="00BF60DE" w:rsidP="00E235DD">
      <w:r>
        <w:rPr>
          <w:noProof/>
          <w:lang w:val="en-GB" w:eastAsia="en-GB"/>
        </w:rPr>
        <w:drawing>
          <wp:inline distT="0" distB="0" distL="0" distR="0" wp14:anchorId="2A7FCCD0" wp14:editId="0805057B">
            <wp:extent cx="4658912" cy="2003190"/>
            <wp:effectExtent l="0" t="0" r="8890" b="0"/>
            <wp:docPr id="2" name="Picture 2" descr="Survival analysis of recurrence free efficacy over 4 months (modified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rvival analysis of recurrence free efficacy over 4 months (modified intent to treat population)"/>
                    <pic:cNvPicPr>
                      <a:picLocks noChangeAspect="1" noChangeArrowheads="1"/>
                    </pic:cNvPicPr>
                  </pic:nvPicPr>
                  <pic:blipFill rotWithShape="1">
                    <a:blip r:embed="rId21">
                      <a:extLst>
                        <a:ext uri="{28A0092B-C50C-407E-A947-70E740481C1C}">
                          <a14:useLocalDpi xmlns:a14="http://schemas.microsoft.com/office/drawing/2010/main" val="0"/>
                        </a:ext>
                      </a:extLst>
                    </a:blip>
                    <a:srcRect l="985" t="8229" r="2769" b="12018"/>
                    <a:stretch/>
                  </pic:blipFill>
                  <pic:spPr bwMode="auto">
                    <a:xfrm>
                      <a:off x="0" y="0"/>
                      <a:ext cx="4660722" cy="2003968"/>
                    </a:xfrm>
                    <a:prstGeom prst="rect">
                      <a:avLst/>
                    </a:prstGeom>
                    <a:noFill/>
                    <a:ln>
                      <a:noFill/>
                    </a:ln>
                    <a:extLst>
                      <a:ext uri="{53640926-AAD7-44D8-BBD7-CCE9431645EC}">
                        <a14:shadowObscured xmlns:a14="http://schemas.microsoft.com/office/drawing/2010/main"/>
                      </a:ext>
                    </a:extLst>
                  </pic:spPr>
                </pic:pic>
              </a:graphicData>
            </a:graphic>
          </wp:inline>
        </w:drawing>
      </w:r>
    </w:p>
    <w:p w14:paraId="2E59EEFD" w14:textId="415DF466" w:rsidR="00E235DD" w:rsidRDefault="00E235DD" w:rsidP="00E235DD">
      <w:pPr>
        <w:pStyle w:val="TableDescription"/>
      </w:pPr>
      <w:r>
        <w:t>Note: Weight bands were: tafenoquine (TQ) 100 mg: ˃ 10 to ≤ 20 kg (cohort 2 and 3); TQ 150 mg: ˃ 10 to ≤ 20 kg (cohort 1); TQ 200mg: ˃ 20 to ≤ 35 kg; TQ 300 mg: ˃ 35 kg.</w:t>
      </w:r>
    </w:p>
    <w:p w14:paraId="4C75B296" w14:textId="681E07B0" w:rsidR="00E235DD" w:rsidRDefault="00E235DD" w:rsidP="00E235DD">
      <w:pPr>
        <w:pStyle w:val="TableDescription"/>
      </w:pPr>
      <w:r>
        <w:t>a Kaplan-Meier methodology</w:t>
      </w:r>
    </w:p>
    <w:p w14:paraId="3587CB47" w14:textId="07B8BEB7" w:rsidR="00BF60DE" w:rsidRDefault="00350198" w:rsidP="00350198">
      <w:r>
        <w:t xml:space="preserve">The Delegate noted that </w:t>
      </w:r>
      <w:r w:rsidR="00BF60DE">
        <w:t xml:space="preserve">‘recurrence’ was defined as a positive blood smear with or without </w:t>
      </w:r>
      <w:r w:rsidR="00BF60DE" w:rsidRPr="00350198">
        <w:rPr>
          <w:i/>
          <w:iCs/>
        </w:rPr>
        <w:t>P. vivax</w:t>
      </w:r>
      <w:r w:rsidR="00BF60DE">
        <w:t xml:space="preserve"> malaria symptoms. Note this is not a formal treatment effect as the study was uncontrolled. It was also not possible to determine, with the available genetic techniques, if a recurrence was a relapse (liver stage treatment failure), or a re-infection (</w:t>
      </w:r>
      <w:r w:rsidR="000760A1">
        <w:t>that is</w:t>
      </w:r>
      <w:r w:rsidR="00BF60DE">
        <w:t xml:space="preserve"> new infection), or a recrudescence (blood stage treatment failure). For the purposes of this study, recurrence represents any malaria that re-occurred after the study treatment.</w:t>
      </w:r>
    </w:p>
    <w:p w14:paraId="358E2C4C" w14:textId="29B6B1C9" w:rsidR="00BF60DE" w:rsidRPr="00256047" w:rsidRDefault="00A240E9">
      <w:pPr>
        <w:pStyle w:val="Heading4"/>
      </w:pPr>
      <w:r>
        <w:t>P</w:t>
      </w:r>
      <w:r w:rsidR="00350198">
        <w:t xml:space="preserve">harmacokinetic </w:t>
      </w:r>
      <w:r>
        <w:t>W</w:t>
      </w:r>
      <w:r w:rsidR="00350198">
        <w:t xml:space="preserve">orking </w:t>
      </w:r>
      <w:r>
        <w:t>G</w:t>
      </w:r>
      <w:r w:rsidR="00350198">
        <w:t>roup</w:t>
      </w:r>
      <w:r w:rsidR="00C91791">
        <w:t xml:space="preserve"> review</w:t>
      </w:r>
    </w:p>
    <w:p w14:paraId="2A4640B8" w14:textId="38CF1B22" w:rsidR="00BF60DE" w:rsidRPr="001A3885" w:rsidRDefault="00BF60DE" w:rsidP="00350198">
      <w:r>
        <w:t xml:space="preserve">The </w:t>
      </w:r>
      <w:r w:rsidR="00350198">
        <w:t>s</w:t>
      </w:r>
      <w:r>
        <w:t xml:space="preserve">ponsor’s </w:t>
      </w:r>
      <w:r w:rsidR="00350198">
        <w:t>population pharmacokinetics</w:t>
      </w:r>
      <w:r>
        <w:t xml:space="preserve"> modelling was reviewed by the TGA</w:t>
      </w:r>
      <w:r w:rsidR="00A240E9">
        <w:t>’s</w:t>
      </w:r>
      <w:r>
        <w:t xml:space="preserve"> </w:t>
      </w:r>
      <w:r w:rsidR="00A240E9">
        <w:t>P</w:t>
      </w:r>
      <w:r w:rsidR="00350198">
        <w:t xml:space="preserve">harmacokinetics </w:t>
      </w:r>
      <w:r w:rsidR="00A240E9">
        <w:t>W</w:t>
      </w:r>
      <w:r>
        <w:t xml:space="preserve">orking </w:t>
      </w:r>
      <w:r w:rsidR="00A240E9">
        <w:t>G</w:t>
      </w:r>
      <w:r>
        <w:t xml:space="preserve">roup. </w:t>
      </w:r>
      <w:r w:rsidRPr="00026B60">
        <w:t xml:space="preserve">The </w:t>
      </w:r>
      <w:r w:rsidR="000760A1">
        <w:t>working group</w:t>
      </w:r>
      <w:r>
        <w:t xml:space="preserve"> also reviewed </w:t>
      </w:r>
      <w:r w:rsidR="00C91791">
        <w:t xml:space="preserve">the </w:t>
      </w:r>
      <w:r w:rsidR="000760A1">
        <w:t>s</w:t>
      </w:r>
      <w:r>
        <w:t xml:space="preserve">ponsor’s response to </w:t>
      </w:r>
      <w:r w:rsidR="000760A1">
        <w:t>TGA’s questions</w:t>
      </w:r>
      <w:r>
        <w:t xml:space="preserve"> and found </w:t>
      </w:r>
      <w:r w:rsidR="000760A1">
        <w:t xml:space="preserve">the responses </w:t>
      </w:r>
      <w:r>
        <w:t>satisfactory, commenting that t</w:t>
      </w:r>
      <w:r w:rsidRPr="002A152A">
        <w:t>he data did</w:t>
      </w:r>
      <w:r>
        <w:t xml:space="preserve"> not</w:t>
      </w:r>
      <w:r w:rsidRPr="002A152A">
        <w:t xml:space="preserve"> have participants </w:t>
      </w:r>
      <w:r w:rsidR="000760A1">
        <w:t xml:space="preserve">younger than </w:t>
      </w:r>
      <w:r w:rsidR="00170337">
        <w:t>two</w:t>
      </w:r>
      <w:r>
        <w:t xml:space="preserve"> years of age and </w:t>
      </w:r>
      <w:r w:rsidRPr="002A152A">
        <w:t xml:space="preserve">that </w:t>
      </w:r>
      <w:r>
        <w:t xml:space="preserve">while this may be a </w:t>
      </w:r>
      <w:r w:rsidRPr="002A152A">
        <w:t xml:space="preserve">clinical </w:t>
      </w:r>
      <w:r>
        <w:t>issue,</w:t>
      </w:r>
      <w:r w:rsidRPr="002A152A">
        <w:t xml:space="preserve"> </w:t>
      </w:r>
      <w:r>
        <w:t xml:space="preserve">the </w:t>
      </w:r>
      <w:r w:rsidR="000760A1">
        <w:t>s</w:t>
      </w:r>
      <w:r>
        <w:t>ponsor’s</w:t>
      </w:r>
      <w:r w:rsidRPr="002A152A">
        <w:t xml:space="preserve"> justification for modelling decisions </w:t>
      </w:r>
      <w:r>
        <w:t>was</w:t>
      </w:r>
      <w:r w:rsidRPr="002A152A">
        <w:t xml:space="preserve"> acceptable</w:t>
      </w:r>
      <w:r>
        <w:t>.</w:t>
      </w:r>
    </w:p>
    <w:p w14:paraId="642D95E7" w14:textId="0687B3BD" w:rsidR="00BF60DE" w:rsidRPr="009D6204" w:rsidRDefault="00BF60DE" w:rsidP="000760A1">
      <w:pPr>
        <w:pStyle w:val="Heading4"/>
      </w:pPr>
      <w:r>
        <w:t>C</w:t>
      </w:r>
      <w:r w:rsidR="000760A1">
        <w:t>linical safety</w:t>
      </w:r>
    </w:p>
    <w:p w14:paraId="43DCAE90" w14:textId="5BAFAB92" w:rsidR="00BF60DE" w:rsidRDefault="00BF60DE" w:rsidP="00350198">
      <w:r>
        <w:t>No data are currently available on the clinical use of 50</w:t>
      </w:r>
      <w:r w:rsidR="000760A1">
        <w:t xml:space="preserve"> </w:t>
      </w:r>
      <w:r>
        <w:t xml:space="preserve">mg dispersible tablet in </w:t>
      </w:r>
      <w:r w:rsidRPr="0008595A">
        <w:t xml:space="preserve">children </w:t>
      </w:r>
      <w:r w:rsidR="000760A1">
        <w:t xml:space="preserve">younger than </w:t>
      </w:r>
      <w:r w:rsidRPr="0008595A">
        <w:t xml:space="preserve">2 </w:t>
      </w:r>
      <w:r>
        <w:t xml:space="preserve">years of age </w:t>
      </w:r>
      <w:r w:rsidRPr="0008595A">
        <w:t xml:space="preserve">(weighing </w:t>
      </w:r>
      <w:r w:rsidR="00170337">
        <w:t xml:space="preserve">less than </w:t>
      </w:r>
      <w:r>
        <w:t>10 kg</w:t>
      </w:r>
      <w:r w:rsidRPr="0008595A">
        <w:t>)</w:t>
      </w:r>
      <w:r>
        <w:t>. T</w:t>
      </w:r>
      <w:r w:rsidRPr="0008595A">
        <w:t>herefore, the safety</w:t>
      </w:r>
      <w:r>
        <w:t xml:space="preserve"> and adverse effects</w:t>
      </w:r>
      <w:r w:rsidRPr="0008595A">
        <w:t xml:space="preserve"> profile in children </w:t>
      </w:r>
      <w:r w:rsidR="00170337">
        <w:t xml:space="preserve">younger than </w:t>
      </w:r>
      <w:r w:rsidRPr="0008595A">
        <w:t>2 y</w:t>
      </w:r>
      <w:r>
        <w:t>ears is unknown</w:t>
      </w:r>
      <w:r w:rsidRPr="0008595A">
        <w:t>.</w:t>
      </w:r>
      <w:r>
        <w:t xml:space="preserve"> The available safety dataset in 2</w:t>
      </w:r>
      <w:r w:rsidR="00170337">
        <w:t xml:space="preserve"> to </w:t>
      </w:r>
      <w:r>
        <w:t>15 years of age</w:t>
      </w:r>
      <w:r w:rsidRPr="0008595A">
        <w:t xml:space="preserve"> </w:t>
      </w:r>
      <w:r>
        <w:t>(N</w:t>
      </w:r>
      <w:r w:rsidR="00170337">
        <w:t xml:space="preserve"> </w:t>
      </w:r>
      <w:r>
        <w:t>=</w:t>
      </w:r>
      <w:r w:rsidR="00170337">
        <w:t xml:space="preserve"> </w:t>
      </w:r>
      <w:r w:rsidRPr="0008595A">
        <w:t>60</w:t>
      </w:r>
      <w:r>
        <w:t xml:space="preserve">) from </w:t>
      </w:r>
      <w:r w:rsidR="00170337">
        <w:t>S</w:t>
      </w:r>
      <w:r>
        <w:t>tudy</w:t>
      </w:r>
      <w:r w:rsidRPr="0008595A">
        <w:t xml:space="preserve"> TAF113577</w:t>
      </w:r>
      <w:r>
        <w:t xml:space="preserve"> is also very limited. N</w:t>
      </w:r>
      <w:r w:rsidRPr="0008595A">
        <w:t xml:space="preserve">o new </w:t>
      </w:r>
      <w:r>
        <w:t xml:space="preserve">or unexpected </w:t>
      </w:r>
      <w:r w:rsidRPr="0008595A">
        <w:t xml:space="preserve">safety signals were identified </w:t>
      </w:r>
      <w:r>
        <w:t xml:space="preserve">in this dataset </w:t>
      </w:r>
      <w:r w:rsidRPr="0008595A">
        <w:t xml:space="preserve">as compared to the adult </w:t>
      </w:r>
      <w:r>
        <w:t xml:space="preserve">and </w:t>
      </w:r>
      <w:r>
        <w:lastRenderedPageBreak/>
        <w:t>adolescent data other than the additional issue of vomiting and/or spitting out of the dose (within one hour) requiring re-dosing.</w:t>
      </w:r>
    </w:p>
    <w:p w14:paraId="4CEA7484" w14:textId="77777777" w:rsidR="008E7846" w:rsidRDefault="00386150" w:rsidP="007B6132">
      <w:pPr>
        <w:pStyle w:val="Heading3"/>
        <w:rPr>
          <w:lang w:eastAsia="en-AU"/>
        </w:rPr>
      </w:pPr>
      <w:bookmarkStart w:id="43" w:name="_Toc118798363"/>
      <w:r>
        <w:rPr>
          <w:lang w:eastAsia="en-AU"/>
        </w:rPr>
        <w:t>Risk m</w:t>
      </w:r>
      <w:r w:rsidR="008E7846">
        <w:rPr>
          <w:lang w:eastAsia="en-AU"/>
        </w:rPr>
        <w:t xml:space="preserve">anagement </w:t>
      </w:r>
      <w:r>
        <w:rPr>
          <w:lang w:eastAsia="en-AU"/>
        </w:rPr>
        <w:t>p</w:t>
      </w:r>
      <w:r w:rsidR="008E7846">
        <w:rPr>
          <w:lang w:eastAsia="en-AU"/>
        </w:rPr>
        <w:t>lan</w:t>
      </w:r>
      <w:bookmarkEnd w:id="37"/>
      <w:bookmarkEnd w:id="43"/>
    </w:p>
    <w:p w14:paraId="49A852B2" w14:textId="0A7B8AF3" w:rsidR="00170337" w:rsidRDefault="00170337" w:rsidP="00170337">
      <w:bookmarkStart w:id="44" w:name="_Toc247691531"/>
      <w:bookmarkStart w:id="45" w:name="_Toc314842515"/>
      <w:bookmarkStart w:id="46" w:name="_Toc196046505"/>
      <w:bookmarkStart w:id="47" w:name="_Toc196046949"/>
      <w:proofErr w:type="spellStart"/>
      <w:r>
        <w:t>Kozenis</w:t>
      </w:r>
      <w:proofErr w:type="spellEnd"/>
      <w:r>
        <w:t xml:space="preserve"> </w:t>
      </w:r>
      <w:r w:rsidR="00C91791">
        <w:t>(tafenoquine) as a 150 mg film-coated tablet is</w:t>
      </w:r>
      <w:r>
        <w:t xml:space="preserve"> currently approved for the radical cure (prevention of relapse) of </w:t>
      </w:r>
      <w:r w:rsidRPr="00170337">
        <w:rPr>
          <w:i/>
          <w:iCs/>
        </w:rPr>
        <w:t>P. vivax</w:t>
      </w:r>
      <w:r>
        <w:t xml:space="preserve"> malaria in patients aged 16 years and older who are receiving appropriate antimalarial therapy for the acute </w:t>
      </w:r>
      <w:r w:rsidRPr="00170337">
        <w:rPr>
          <w:i/>
          <w:iCs/>
        </w:rPr>
        <w:t>P. vivax</w:t>
      </w:r>
      <w:r>
        <w:t xml:space="preserve"> infection.</w:t>
      </w:r>
      <w:r w:rsidR="00C91791" w:rsidRPr="00E055FA">
        <w:rPr>
          <w:vertAlign w:val="superscript"/>
        </w:rPr>
        <w:fldChar w:fldCharType="begin"/>
      </w:r>
      <w:r w:rsidR="00C91791" w:rsidRPr="00E055FA">
        <w:rPr>
          <w:vertAlign w:val="superscript"/>
        </w:rPr>
        <w:instrText xml:space="preserve"> NOTEREF _Ref121399291 \h </w:instrText>
      </w:r>
      <w:r w:rsidR="00C91791">
        <w:rPr>
          <w:vertAlign w:val="superscript"/>
        </w:rPr>
        <w:instrText xml:space="preserve"> \* MERGEFORMAT </w:instrText>
      </w:r>
      <w:r w:rsidR="00C91791" w:rsidRPr="00E055FA">
        <w:rPr>
          <w:vertAlign w:val="superscript"/>
        </w:rPr>
      </w:r>
      <w:r w:rsidR="00C91791" w:rsidRPr="00E055FA">
        <w:rPr>
          <w:vertAlign w:val="superscript"/>
        </w:rPr>
        <w:fldChar w:fldCharType="separate"/>
      </w:r>
      <w:r w:rsidR="00C91791" w:rsidRPr="00E055FA">
        <w:rPr>
          <w:vertAlign w:val="superscript"/>
        </w:rPr>
        <w:t>14</w:t>
      </w:r>
      <w:r w:rsidR="00C91791" w:rsidRPr="00E055FA">
        <w:rPr>
          <w:vertAlign w:val="superscript"/>
        </w:rPr>
        <w:fldChar w:fldCharType="end"/>
      </w:r>
    </w:p>
    <w:p w14:paraId="59795A64" w14:textId="408E4B5E" w:rsidR="00170337" w:rsidRDefault="00170337" w:rsidP="00170337">
      <w:r>
        <w:t>The current recommended dosage for patients aged 16 years and older is a single 300 mg dose (</w:t>
      </w:r>
      <w:r w:rsidR="00C91791">
        <w:t xml:space="preserve">2 x </w:t>
      </w:r>
      <w:r>
        <w:t xml:space="preserve">150 mg tafenoquine tablets) given on Day 1 or Day 2 of a </w:t>
      </w:r>
      <w:proofErr w:type="gramStart"/>
      <w:r w:rsidR="00A240E9">
        <w:t>three</w:t>
      </w:r>
      <w:r>
        <w:t xml:space="preserve"> day</w:t>
      </w:r>
      <w:proofErr w:type="gramEnd"/>
      <w:r>
        <w:t xml:space="preserve"> course of chloroquine.</w:t>
      </w:r>
    </w:p>
    <w:p w14:paraId="3F23C0AA" w14:textId="2DEE2CBE" w:rsidR="00170337" w:rsidRDefault="00170337" w:rsidP="00170337">
      <w:r>
        <w:t>The most recently evaluated Australia</w:t>
      </w:r>
      <w:r w:rsidR="00A240E9">
        <w:t>n</w:t>
      </w:r>
      <w:r>
        <w:t xml:space="preserve"> (</w:t>
      </w:r>
      <w:proofErr w:type="spellStart"/>
      <w:r>
        <w:t>Aus</w:t>
      </w:r>
      <w:proofErr w:type="spellEnd"/>
      <w:r>
        <w:t xml:space="preserve">)-risk management plan (RMP) was version 1.2 (dated 24 August 2018; data lock point (DLP) 11 January 2018). </w:t>
      </w:r>
      <w:r w:rsidR="00DE0831">
        <w:t>The sponsor</w:t>
      </w:r>
      <w:r>
        <w:t xml:space="preserve"> has submitted AUS-RMP version 2.0 (dated 17 November 2020; DLP 19 July 2020) in support of the extended indications.</w:t>
      </w:r>
    </w:p>
    <w:p w14:paraId="58F7A823" w14:textId="6D2EE504" w:rsidR="0074163C" w:rsidRDefault="0074163C" w:rsidP="0074163C">
      <w:r>
        <w:t xml:space="preserve">The summary of safety concerns and their associated risk monitoring and mitigation strategies are summarised in </w:t>
      </w:r>
      <w:r w:rsidR="00170337">
        <w:fldChar w:fldCharType="begin"/>
      </w:r>
      <w:r w:rsidR="00170337">
        <w:instrText xml:space="preserve"> REF _Ref97629131 \h </w:instrText>
      </w:r>
      <w:r w:rsidR="00170337">
        <w:fldChar w:fldCharType="separate"/>
      </w:r>
      <w:r w:rsidR="00D70A51">
        <w:t xml:space="preserve">Table </w:t>
      </w:r>
      <w:r w:rsidR="00D70A51">
        <w:rPr>
          <w:noProof/>
        </w:rPr>
        <w:t>6</w:t>
      </w:r>
      <w:r w:rsidR="00170337">
        <w:fldChar w:fldCharType="end"/>
      </w:r>
      <w:r>
        <w:t xml:space="preserve">. Further information regarding </w:t>
      </w:r>
      <w:r w:rsidR="00CC5044">
        <w:t>the TGA</w:t>
      </w:r>
      <w:r w:rsidR="00BF7063">
        <w:t>’</w:t>
      </w:r>
      <w:r w:rsidR="00CC5044">
        <w:t>s r</w:t>
      </w:r>
      <w:r>
        <w:t xml:space="preserve">isk management approach can be found in </w:t>
      </w:r>
      <w:hyperlink r:id="rId22" w:history="1">
        <w:r w:rsidRPr="0023444E">
          <w:rPr>
            <w:rStyle w:val="Hyperlink"/>
          </w:rPr>
          <w:t>risk management plans for medicines and biologicals</w:t>
        </w:r>
      </w:hyperlink>
      <w:r>
        <w:t xml:space="preserve"> and </w:t>
      </w:r>
      <w:hyperlink r:id="rId23" w:history="1">
        <w:r w:rsidRPr="0023444E">
          <w:rPr>
            <w:rStyle w:val="Hyperlink"/>
          </w:rPr>
          <w:t>the TGA's risk management approach</w:t>
        </w:r>
      </w:hyperlink>
      <w:r>
        <w:t>.</w:t>
      </w:r>
    </w:p>
    <w:p w14:paraId="2FFA27E6" w14:textId="5B2EC21A" w:rsidR="0074163C" w:rsidRDefault="0074163C" w:rsidP="0074163C">
      <w:pPr>
        <w:pStyle w:val="TableTitle"/>
      </w:pPr>
      <w:bookmarkStart w:id="48" w:name="_Ref97629131"/>
      <w:r>
        <w:t xml:space="preserve">Table </w:t>
      </w:r>
      <w:r w:rsidR="00503A56">
        <w:fldChar w:fldCharType="begin"/>
      </w:r>
      <w:r w:rsidR="00503A56">
        <w:instrText xml:space="preserve"> SEQ Table \* ARABIC </w:instrText>
      </w:r>
      <w:r w:rsidR="00503A56">
        <w:fldChar w:fldCharType="separate"/>
      </w:r>
      <w:r w:rsidR="00D70A51">
        <w:rPr>
          <w:noProof/>
        </w:rPr>
        <w:t>6</w:t>
      </w:r>
      <w:r w:rsidR="00503A56">
        <w:rPr>
          <w:noProof/>
        </w:rPr>
        <w:fldChar w:fldCharType="end"/>
      </w:r>
      <w:bookmarkEnd w:id="48"/>
      <w:r>
        <w:t>: Summary of safety concerns</w:t>
      </w:r>
    </w:p>
    <w:p w14:paraId="6FBF823E" w14:textId="66622A56" w:rsidR="0074163C" w:rsidRDefault="0074163C" w:rsidP="0074163C">
      <w:r>
        <w:t>The sponsor is required to comply with</w:t>
      </w:r>
      <w:r w:rsidRPr="008964B6">
        <w:t xml:space="preserve"> product vigilance and risk minimisation requirements</w:t>
      </w:r>
      <w:r>
        <w:t>.</w:t>
      </w:r>
    </w:p>
    <w:tbl>
      <w:tblPr>
        <w:tblStyle w:val="TableTGAblue"/>
        <w:tblW w:w="5189" w:type="pct"/>
        <w:tblLook w:val="04A0" w:firstRow="1" w:lastRow="0" w:firstColumn="1" w:lastColumn="0" w:noHBand="0" w:noVBand="1"/>
      </w:tblPr>
      <w:tblGrid>
        <w:gridCol w:w="1327"/>
        <w:gridCol w:w="1812"/>
        <w:gridCol w:w="1297"/>
        <w:gridCol w:w="1541"/>
        <w:gridCol w:w="1297"/>
        <w:gridCol w:w="1541"/>
      </w:tblGrid>
      <w:tr w:rsidR="00170337" w:rsidRPr="00BF52F4" w14:paraId="5440D7AC" w14:textId="77777777" w:rsidTr="00E055FA">
        <w:trPr>
          <w:cnfStyle w:val="100000000000" w:firstRow="1" w:lastRow="0" w:firstColumn="0" w:lastColumn="0" w:oddVBand="0" w:evenVBand="0" w:oddHBand="0" w:evenHBand="0" w:firstRowFirstColumn="0" w:firstRowLastColumn="0" w:lastRowFirstColumn="0" w:lastRowLastColumn="0"/>
          <w:trHeight w:val="131"/>
        </w:trPr>
        <w:tc>
          <w:tcPr>
            <w:tcW w:w="2396" w:type="pct"/>
            <w:gridSpan w:val="2"/>
            <w:vMerge w:val="restart"/>
            <w:tcBorders>
              <w:top w:val="single" w:sz="4" w:space="0" w:color="auto"/>
              <w:left w:val="single" w:sz="4" w:space="0" w:color="auto"/>
              <w:bottom w:val="single" w:sz="4" w:space="0" w:color="auto"/>
              <w:right w:val="single" w:sz="4" w:space="0" w:color="auto"/>
            </w:tcBorders>
          </w:tcPr>
          <w:p w14:paraId="48FE3833" w14:textId="77777777" w:rsidR="00170337" w:rsidRPr="00E055FA" w:rsidRDefault="00170337" w:rsidP="00E055FA">
            <w:r w:rsidRPr="00E055FA">
              <w:t>Summary of safety concerns</w:t>
            </w:r>
          </w:p>
        </w:tc>
        <w:tc>
          <w:tcPr>
            <w:tcW w:w="1327" w:type="pct"/>
            <w:gridSpan w:val="2"/>
            <w:tcBorders>
              <w:top w:val="single" w:sz="4" w:space="0" w:color="auto"/>
              <w:left w:val="single" w:sz="4" w:space="0" w:color="auto"/>
              <w:bottom w:val="single" w:sz="4" w:space="0" w:color="auto"/>
              <w:right w:val="single" w:sz="4" w:space="0" w:color="auto"/>
            </w:tcBorders>
          </w:tcPr>
          <w:p w14:paraId="5BBEC7FB" w14:textId="77777777" w:rsidR="00170337" w:rsidRPr="00E055FA" w:rsidRDefault="00170337" w:rsidP="00E055FA">
            <w:r w:rsidRPr="00E055FA">
              <w:t>Pharmacovigilance</w:t>
            </w:r>
          </w:p>
        </w:tc>
        <w:tc>
          <w:tcPr>
            <w:tcW w:w="1276" w:type="pct"/>
            <w:gridSpan w:val="2"/>
            <w:tcBorders>
              <w:top w:val="single" w:sz="4" w:space="0" w:color="auto"/>
              <w:left w:val="single" w:sz="4" w:space="0" w:color="auto"/>
              <w:bottom w:val="single" w:sz="4" w:space="0" w:color="auto"/>
              <w:right w:val="single" w:sz="4" w:space="0" w:color="auto"/>
            </w:tcBorders>
          </w:tcPr>
          <w:p w14:paraId="410ABEA7" w14:textId="77777777" w:rsidR="00170337" w:rsidRPr="00E055FA" w:rsidRDefault="00170337" w:rsidP="00E055FA">
            <w:r w:rsidRPr="00E055FA">
              <w:t>Risk Minimisation</w:t>
            </w:r>
          </w:p>
        </w:tc>
      </w:tr>
      <w:tr w:rsidR="00E055FA" w:rsidRPr="00BF52F4" w14:paraId="48F08C5C" w14:textId="77777777" w:rsidTr="00E055FA">
        <w:trPr>
          <w:trHeight w:val="150"/>
        </w:trPr>
        <w:tc>
          <w:tcPr>
            <w:tcW w:w="2396" w:type="pct"/>
            <w:gridSpan w:val="2"/>
            <w:vMerge/>
            <w:tcBorders>
              <w:top w:val="single" w:sz="4" w:space="0" w:color="auto"/>
              <w:left w:val="single" w:sz="4" w:space="0" w:color="auto"/>
              <w:bottom w:val="single" w:sz="4" w:space="0" w:color="auto"/>
              <w:right w:val="single" w:sz="4" w:space="0" w:color="auto"/>
            </w:tcBorders>
          </w:tcPr>
          <w:p w14:paraId="569EB481" w14:textId="77777777" w:rsidR="00170337" w:rsidRPr="00E055FA" w:rsidRDefault="00170337" w:rsidP="00E055FA">
            <w:pPr>
              <w:rPr>
                <w:color w:val="FFFFFF" w:themeColor="background1"/>
              </w:rPr>
            </w:pPr>
          </w:p>
        </w:tc>
        <w:tc>
          <w:tcPr>
            <w:tcW w:w="595" w:type="pct"/>
            <w:tcBorders>
              <w:top w:val="single" w:sz="4" w:space="0" w:color="auto"/>
              <w:left w:val="single" w:sz="4" w:space="0" w:color="auto"/>
              <w:bottom w:val="single" w:sz="4" w:space="0" w:color="auto"/>
              <w:right w:val="single" w:sz="4" w:space="0" w:color="auto"/>
            </w:tcBorders>
            <w:shd w:val="clear" w:color="auto" w:fill="006DA7"/>
          </w:tcPr>
          <w:p w14:paraId="217F9C98" w14:textId="77777777" w:rsidR="00170337" w:rsidRPr="00E055FA" w:rsidRDefault="00170337" w:rsidP="00E055FA">
            <w:pPr>
              <w:rPr>
                <w:color w:val="FFFFFF" w:themeColor="background1"/>
              </w:rPr>
            </w:pPr>
            <w:r w:rsidRPr="00E055FA">
              <w:rPr>
                <w:color w:val="FFFFFF" w:themeColor="background1"/>
              </w:rPr>
              <w:t>Routine</w:t>
            </w:r>
          </w:p>
        </w:tc>
        <w:tc>
          <w:tcPr>
            <w:tcW w:w="732" w:type="pct"/>
            <w:tcBorders>
              <w:top w:val="single" w:sz="4" w:space="0" w:color="auto"/>
              <w:left w:val="single" w:sz="4" w:space="0" w:color="auto"/>
              <w:bottom w:val="single" w:sz="4" w:space="0" w:color="auto"/>
              <w:right w:val="single" w:sz="4" w:space="0" w:color="auto"/>
            </w:tcBorders>
            <w:shd w:val="clear" w:color="auto" w:fill="006DA7"/>
          </w:tcPr>
          <w:p w14:paraId="37A743FE" w14:textId="77777777" w:rsidR="00170337" w:rsidRPr="00E055FA" w:rsidRDefault="00170337" w:rsidP="00E055FA">
            <w:pPr>
              <w:rPr>
                <w:color w:val="FFFFFF" w:themeColor="background1"/>
              </w:rPr>
            </w:pPr>
            <w:r w:rsidRPr="00E055FA">
              <w:rPr>
                <w:color w:val="FFFFFF" w:themeColor="background1"/>
              </w:rPr>
              <w:t>Additional</w:t>
            </w:r>
          </w:p>
        </w:tc>
        <w:tc>
          <w:tcPr>
            <w:tcW w:w="561" w:type="pct"/>
            <w:tcBorders>
              <w:top w:val="single" w:sz="4" w:space="0" w:color="auto"/>
              <w:left w:val="single" w:sz="4" w:space="0" w:color="auto"/>
              <w:bottom w:val="single" w:sz="4" w:space="0" w:color="auto"/>
              <w:right w:val="single" w:sz="4" w:space="0" w:color="auto"/>
            </w:tcBorders>
            <w:shd w:val="clear" w:color="auto" w:fill="006DA7"/>
          </w:tcPr>
          <w:p w14:paraId="26E839C5" w14:textId="77777777" w:rsidR="00170337" w:rsidRPr="00E055FA" w:rsidRDefault="00170337" w:rsidP="00E055FA">
            <w:pPr>
              <w:rPr>
                <w:color w:val="FFFFFF" w:themeColor="background1"/>
              </w:rPr>
            </w:pPr>
            <w:r w:rsidRPr="00E055FA">
              <w:rPr>
                <w:color w:val="FFFFFF" w:themeColor="background1"/>
              </w:rPr>
              <w:t>Routine</w:t>
            </w:r>
          </w:p>
        </w:tc>
        <w:tc>
          <w:tcPr>
            <w:tcW w:w="0" w:type="pct"/>
            <w:tcBorders>
              <w:top w:val="single" w:sz="4" w:space="0" w:color="auto"/>
              <w:left w:val="single" w:sz="4" w:space="0" w:color="auto"/>
              <w:bottom w:val="single" w:sz="4" w:space="0" w:color="auto"/>
              <w:right w:val="single" w:sz="4" w:space="0" w:color="auto"/>
            </w:tcBorders>
            <w:shd w:val="clear" w:color="auto" w:fill="006DA7"/>
          </w:tcPr>
          <w:p w14:paraId="35FD13E2" w14:textId="77777777" w:rsidR="00170337" w:rsidRPr="00E055FA" w:rsidRDefault="00170337" w:rsidP="00E055FA">
            <w:pPr>
              <w:rPr>
                <w:color w:val="FFFFFF" w:themeColor="background1"/>
              </w:rPr>
            </w:pPr>
            <w:r w:rsidRPr="00E055FA">
              <w:rPr>
                <w:color w:val="FFFFFF" w:themeColor="background1"/>
              </w:rPr>
              <w:t>Additional</w:t>
            </w:r>
          </w:p>
        </w:tc>
      </w:tr>
      <w:tr w:rsidR="00087381" w:rsidRPr="00BF52F4" w14:paraId="710FD0FC" w14:textId="77777777" w:rsidTr="00E055FA">
        <w:trPr>
          <w:trHeight w:val="137"/>
        </w:trPr>
        <w:tc>
          <w:tcPr>
            <w:tcW w:w="814" w:type="pct"/>
            <w:vMerge w:val="restart"/>
            <w:tcBorders>
              <w:top w:val="single" w:sz="4" w:space="0" w:color="auto"/>
            </w:tcBorders>
          </w:tcPr>
          <w:p w14:paraId="4F45754B" w14:textId="77777777" w:rsidR="00170337" w:rsidRPr="00E055FA" w:rsidRDefault="00170337" w:rsidP="00E055FA">
            <w:pPr>
              <w:pStyle w:val="Tabletext"/>
              <w:ind w:left="0" w:right="0"/>
              <w:rPr>
                <w:b/>
                <w:sz w:val="20"/>
              </w:rPr>
            </w:pPr>
            <w:r w:rsidRPr="00E055FA">
              <w:rPr>
                <w:b/>
                <w:sz w:val="20"/>
              </w:rPr>
              <w:t>Important identified risks</w:t>
            </w:r>
          </w:p>
        </w:tc>
        <w:tc>
          <w:tcPr>
            <w:tcW w:w="1583" w:type="pct"/>
            <w:tcBorders>
              <w:top w:val="single" w:sz="4" w:space="0" w:color="auto"/>
            </w:tcBorders>
          </w:tcPr>
          <w:p w14:paraId="36B1B037" w14:textId="77777777" w:rsidR="00170337" w:rsidRPr="00E055FA" w:rsidRDefault="00170337" w:rsidP="00E055FA">
            <w:pPr>
              <w:pStyle w:val="Tabletext"/>
              <w:ind w:left="0" w:right="0"/>
              <w:rPr>
                <w:sz w:val="20"/>
              </w:rPr>
            </w:pPr>
            <w:r w:rsidRPr="00E055FA">
              <w:rPr>
                <w:sz w:val="20"/>
              </w:rPr>
              <w:t>Haemolytic anaemia (in G6PD deficiency).</w:t>
            </w:r>
          </w:p>
        </w:tc>
        <w:tc>
          <w:tcPr>
            <w:tcW w:w="595" w:type="pct"/>
            <w:tcBorders>
              <w:top w:val="single" w:sz="4" w:space="0" w:color="auto"/>
            </w:tcBorders>
          </w:tcPr>
          <w:p w14:paraId="59C1EC05" w14:textId="77777777" w:rsidR="00170337" w:rsidRPr="00C00804" w:rsidRDefault="00170337" w:rsidP="00E055FA">
            <w:pPr>
              <w:pStyle w:val="Tabletext"/>
              <w:ind w:left="0" w:right="0"/>
              <w:jc w:val="center"/>
            </w:pPr>
            <w:r w:rsidRPr="00C00804">
              <w:sym w:font="Wingdings" w:char="F0FC"/>
            </w:r>
            <w:r>
              <w:t>*</w:t>
            </w:r>
          </w:p>
        </w:tc>
        <w:tc>
          <w:tcPr>
            <w:tcW w:w="732" w:type="pct"/>
            <w:tcBorders>
              <w:top w:val="single" w:sz="4" w:space="0" w:color="auto"/>
            </w:tcBorders>
          </w:tcPr>
          <w:p w14:paraId="7F8864F0" w14:textId="77777777" w:rsidR="00170337" w:rsidRPr="00C00804" w:rsidRDefault="00170337" w:rsidP="00E055FA">
            <w:pPr>
              <w:pStyle w:val="Tabletext"/>
              <w:ind w:left="0" w:right="0"/>
              <w:jc w:val="center"/>
            </w:pPr>
            <w:r w:rsidRPr="00C00804">
              <w:t>–</w:t>
            </w:r>
          </w:p>
        </w:tc>
        <w:tc>
          <w:tcPr>
            <w:tcW w:w="561" w:type="pct"/>
            <w:tcBorders>
              <w:top w:val="single" w:sz="4" w:space="0" w:color="auto"/>
            </w:tcBorders>
          </w:tcPr>
          <w:p w14:paraId="2E954552" w14:textId="77777777" w:rsidR="00170337" w:rsidRPr="00C00804" w:rsidRDefault="00170337" w:rsidP="00E055FA">
            <w:pPr>
              <w:pStyle w:val="Tabletext"/>
              <w:ind w:left="0" w:right="0"/>
              <w:jc w:val="center"/>
            </w:pPr>
            <w:r w:rsidRPr="00C00804">
              <w:sym w:font="Wingdings" w:char="F0FC"/>
            </w:r>
          </w:p>
        </w:tc>
        <w:tc>
          <w:tcPr>
            <w:tcW w:w="0" w:type="pct"/>
            <w:tcBorders>
              <w:top w:val="single" w:sz="4" w:space="0" w:color="auto"/>
            </w:tcBorders>
          </w:tcPr>
          <w:p w14:paraId="2F9137A0" w14:textId="77777777" w:rsidR="00170337" w:rsidRPr="00C00804" w:rsidRDefault="00170337" w:rsidP="00E055FA">
            <w:pPr>
              <w:pStyle w:val="Tabletext"/>
              <w:ind w:left="0" w:right="0"/>
              <w:jc w:val="center"/>
            </w:pPr>
            <w:r w:rsidRPr="00C00804">
              <w:t>–</w:t>
            </w:r>
          </w:p>
        </w:tc>
      </w:tr>
      <w:tr w:rsidR="00087381" w:rsidRPr="00BF52F4" w14:paraId="3EADA03D" w14:textId="77777777" w:rsidTr="00E055FA">
        <w:trPr>
          <w:trHeight w:val="187"/>
        </w:trPr>
        <w:tc>
          <w:tcPr>
            <w:tcW w:w="814" w:type="pct"/>
            <w:vMerge/>
          </w:tcPr>
          <w:p w14:paraId="06D147EA" w14:textId="77777777" w:rsidR="00170337" w:rsidRPr="00E055FA" w:rsidRDefault="00170337" w:rsidP="00E055FA">
            <w:pPr>
              <w:pStyle w:val="Tabletext"/>
              <w:ind w:left="0" w:right="0"/>
              <w:rPr>
                <w:b/>
                <w:sz w:val="20"/>
              </w:rPr>
            </w:pPr>
          </w:p>
        </w:tc>
        <w:tc>
          <w:tcPr>
            <w:tcW w:w="1583" w:type="pct"/>
          </w:tcPr>
          <w:p w14:paraId="25C092EF" w14:textId="77777777" w:rsidR="00170337" w:rsidRPr="00E055FA" w:rsidRDefault="00170337" w:rsidP="00E055FA">
            <w:pPr>
              <w:pStyle w:val="Tabletext"/>
              <w:ind w:left="0" w:right="0"/>
              <w:rPr>
                <w:sz w:val="20"/>
              </w:rPr>
            </w:pPr>
            <w:r w:rsidRPr="00E055FA">
              <w:rPr>
                <w:sz w:val="20"/>
              </w:rPr>
              <w:t>Use in pregnancy</w:t>
            </w:r>
          </w:p>
        </w:tc>
        <w:tc>
          <w:tcPr>
            <w:tcW w:w="595" w:type="pct"/>
          </w:tcPr>
          <w:p w14:paraId="67D193C5" w14:textId="77777777" w:rsidR="00170337" w:rsidRPr="00C00804" w:rsidRDefault="00170337" w:rsidP="00E055FA">
            <w:pPr>
              <w:pStyle w:val="Tabletext"/>
              <w:ind w:left="0" w:right="0"/>
              <w:jc w:val="center"/>
            </w:pPr>
            <w:r w:rsidRPr="00C00804">
              <w:sym w:font="Wingdings" w:char="F0FC"/>
            </w:r>
          </w:p>
        </w:tc>
        <w:tc>
          <w:tcPr>
            <w:tcW w:w="732" w:type="pct"/>
          </w:tcPr>
          <w:p w14:paraId="6E1EC834" w14:textId="77777777" w:rsidR="00170337" w:rsidRPr="00C00804" w:rsidRDefault="00170337" w:rsidP="00E055FA">
            <w:pPr>
              <w:pStyle w:val="Tabletext"/>
              <w:ind w:left="0" w:right="0"/>
              <w:jc w:val="center"/>
            </w:pPr>
            <w:r w:rsidRPr="00C00804">
              <w:t>–</w:t>
            </w:r>
          </w:p>
        </w:tc>
        <w:tc>
          <w:tcPr>
            <w:tcW w:w="561" w:type="pct"/>
          </w:tcPr>
          <w:p w14:paraId="2DF3525A" w14:textId="77777777" w:rsidR="00170337" w:rsidRPr="00C00804" w:rsidRDefault="00170337" w:rsidP="00E055FA">
            <w:pPr>
              <w:pStyle w:val="Tabletext"/>
              <w:ind w:left="0" w:right="0"/>
              <w:jc w:val="center"/>
            </w:pPr>
            <w:r w:rsidRPr="00C00804">
              <w:sym w:font="Wingdings" w:char="F0FC"/>
            </w:r>
          </w:p>
        </w:tc>
        <w:tc>
          <w:tcPr>
            <w:tcW w:w="0" w:type="pct"/>
          </w:tcPr>
          <w:p w14:paraId="6AAB0A0E" w14:textId="77777777" w:rsidR="00170337" w:rsidRPr="00C00804" w:rsidRDefault="00170337" w:rsidP="00E055FA">
            <w:pPr>
              <w:pStyle w:val="Tabletext"/>
              <w:ind w:left="0" w:right="0"/>
              <w:jc w:val="center"/>
            </w:pPr>
            <w:r w:rsidRPr="00C00804">
              <w:t>–</w:t>
            </w:r>
          </w:p>
        </w:tc>
      </w:tr>
      <w:tr w:rsidR="00087381" w:rsidRPr="00BF52F4" w14:paraId="3100D843" w14:textId="77777777" w:rsidTr="00E055FA">
        <w:trPr>
          <w:trHeight w:val="159"/>
        </w:trPr>
        <w:tc>
          <w:tcPr>
            <w:tcW w:w="814" w:type="pct"/>
            <w:vMerge w:val="restart"/>
          </w:tcPr>
          <w:p w14:paraId="25E9263E" w14:textId="77777777" w:rsidR="00170337" w:rsidRPr="00E055FA" w:rsidRDefault="00170337" w:rsidP="00E055FA">
            <w:pPr>
              <w:pStyle w:val="Tabletext"/>
              <w:ind w:left="0" w:right="0"/>
              <w:rPr>
                <w:b/>
                <w:sz w:val="20"/>
              </w:rPr>
            </w:pPr>
            <w:r w:rsidRPr="00E055FA">
              <w:rPr>
                <w:b/>
                <w:sz w:val="20"/>
              </w:rPr>
              <w:t>Important potential risks</w:t>
            </w:r>
          </w:p>
        </w:tc>
        <w:tc>
          <w:tcPr>
            <w:tcW w:w="1583" w:type="pct"/>
          </w:tcPr>
          <w:p w14:paraId="79449AD8" w14:textId="25373577" w:rsidR="00170337" w:rsidRPr="00E055FA" w:rsidRDefault="00170337" w:rsidP="00E055FA">
            <w:pPr>
              <w:pStyle w:val="Tabletext"/>
              <w:ind w:left="0" w:right="0"/>
              <w:rPr>
                <w:sz w:val="20"/>
              </w:rPr>
            </w:pPr>
            <w:r w:rsidRPr="00E055FA">
              <w:rPr>
                <w:sz w:val="20"/>
              </w:rPr>
              <w:t>Serious psychiatric events in individuals with a past or current history of significant psychiatric</w:t>
            </w:r>
            <w:r w:rsidR="00087381" w:rsidRPr="00E055FA">
              <w:rPr>
                <w:sz w:val="20"/>
              </w:rPr>
              <w:t xml:space="preserve"> </w:t>
            </w:r>
            <w:r w:rsidRPr="00E055FA">
              <w:rPr>
                <w:sz w:val="20"/>
              </w:rPr>
              <w:t>disorders</w:t>
            </w:r>
          </w:p>
        </w:tc>
        <w:tc>
          <w:tcPr>
            <w:tcW w:w="595" w:type="pct"/>
          </w:tcPr>
          <w:p w14:paraId="57F547FA" w14:textId="77777777" w:rsidR="00170337" w:rsidRPr="00C00804" w:rsidRDefault="00170337" w:rsidP="00E055FA">
            <w:pPr>
              <w:pStyle w:val="Tabletext"/>
              <w:ind w:left="0" w:right="0"/>
              <w:jc w:val="center"/>
            </w:pPr>
            <w:r w:rsidRPr="00C00804">
              <w:sym w:font="Wingdings" w:char="F0FC"/>
            </w:r>
          </w:p>
        </w:tc>
        <w:tc>
          <w:tcPr>
            <w:tcW w:w="732" w:type="pct"/>
          </w:tcPr>
          <w:p w14:paraId="77D7373B" w14:textId="77777777" w:rsidR="00170337" w:rsidRPr="00C00804" w:rsidRDefault="00170337" w:rsidP="00E055FA">
            <w:pPr>
              <w:pStyle w:val="Tabletext"/>
              <w:ind w:left="0" w:right="0"/>
              <w:jc w:val="center"/>
            </w:pPr>
            <w:r w:rsidRPr="00C00804">
              <w:t>–</w:t>
            </w:r>
          </w:p>
        </w:tc>
        <w:tc>
          <w:tcPr>
            <w:tcW w:w="561" w:type="pct"/>
          </w:tcPr>
          <w:p w14:paraId="166EC47A" w14:textId="77777777" w:rsidR="00170337" w:rsidRPr="00C00804" w:rsidRDefault="00170337" w:rsidP="00E055FA">
            <w:pPr>
              <w:pStyle w:val="Tabletext"/>
              <w:ind w:left="0" w:right="0"/>
              <w:jc w:val="center"/>
            </w:pPr>
            <w:r w:rsidRPr="00C00804">
              <w:sym w:font="Wingdings" w:char="F0FC"/>
            </w:r>
          </w:p>
        </w:tc>
        <w:tc>
          <w:tcPr>
            <w:tcW w:w="0" w:type="pct"/>
          </w:tcPr>
          <w:p w14:paraId="3274417B" w14:textId="77777777" w:rsidR="00170337" w:rsidRPr="00C00804" w:rsidRDefault="00170337" w:rsidP="00E055FA">
            <w:pPr>
              <w:pStyle w:val="Tabletext"/>
              <w:ind w:left="0" w:right="0"/>
              <w:jc w:val="center"/>
            </w:pPr>
            <w:r w:rsidRPr="00C00804">
              <w:t>–</w:t>
            </w:r>
          </w:p>
        </w:tc>
      </w:tr>
      <w:tr w:rsidR="00087381" w:rsidRPr="00BF52F4" w14:paraId="7903ABE0" w14:textId="77777777" w:rsidTr="00E055FA">
        <w:trPr>
          <w:trHeight w:val="112"/>
        </w:trPr>
        <w:tc>
          <w:tcPr>
            <w:tcW w:w="814" w:type="pct"/>
            <w:vMerge/>
          </w:tcPr>
          <w:p w14:paraId="08754E3F" w14:textId="77777777" w:rsidR="00170337" w:rsidRPr="00E055FA" w:rsidRDefault="00170337" w:rsidP="00E055FA">
            <w:pPr>
              <w:pStyle w:val="Tabletext"/>
              <w:ind w:left="0" w:right="0"/>
              <w:rPr>
                <w:b/>
                <w:sz w:val="20"/>
              </w:rPr>
            </w:pPr>
          </w:p>
        </w:tc>
        <w:tc>
          <w:tcPr>
            <w:tcW w:w="1583" w:type="pct"/>
          </w:tcPr>
          <w:p w14:paraId="17477A71" w14:textId="77777777" w:rsidR="00170337" w:rsidRPr="00E055FA" w:rsidRDefault="00170337" w:rsidP="00E055FA">
            <w:pPr>
              <w:pStyle w:val="Tabletext"/>
              <w:ind w:left="0" w:right="0"/>
              <w:rPr>
                <w:sz w:val="20"/>
              </w:rPr>
            </w:pPr>
            <w:r w:rsidRPr="00E055FA">
              <w:rPr>
                <w:sz w:val="20"/>
              </w:rPr>
              <w:t>Use in lactating women</w:t>
            </w:r>
          </w:p>
        </w:tc>
        <w:tc>
          <w:tcPr>
            <w:tcW w:w="595" w:type="pct"/>
          </w:tcPr>
          <w:p w14:paraId="2C30F354" w14:textId="77777777" w:rsidR="00170337" w:rsidRPr="00C00804" w:rsidRDefault="00170337" w:rsidP="00E055FA">
            <w:pPr>
              <w:pStyle w:val="Tabletext"/>
              <w:ind w:left="0" w:right="0"/>
              <w:jc w:val="center"/>
            </w:pPr>
            <w:r w:rsidRPr="00C00804">
              <w:sym w:font="Wingdings" w:char="F0FC"/>
            </w:r>
          </w:p>
        </w:tc>
        <w:tc>
          <w:tcPr>
            <w:tcW w:w="732" w:type="pct"/>
          </w:tcPr>
          <w:p w14:paraId="6CF3B2C8" w14:textId="77777777" w:rsidR="00170337" w:rsidRPr="00C00804" w:rsidRDefault="00170337" w:rsidP="00E055FA">
            <w:pPr>
              <w:pStyle w:val="Tabletext"/>
              <w:ind w:left="0" w:right="0"/>
              <w:jc w:val="center"/>
            </w:pPr>
            <w:r w:rsidRPr="00C00804">
              <w:t>–</w:t>
            </w:r>
          </w:p>
        </w:tc>
        <w:tc>
          <w:tcPr>
            <w:tcW w:w="561" w:type="pct"/>
          </w:tcPr>
          <w:p w14:paraId="5C1E979E" w14:textId="77777777" w:rsidR="00170337" w:rsidRPr="00C00804" w:rsidRDefault="00170337" w:rsidP="00E055FA">
            <w:pPr>
              <w:pStyle w:val="Tabletext"/>
              <w:ind w:left="0" w:right="0"/>
              <w:jc w:val="center"/>
            </w:pPr>
            <w:r w:rsidRPr="00C00804">
              <w:sym w:font="Wingdings" w:char="F0FC"/>
            </w:r>
          </w:p>
        </w:tc>
        <w:tc>
          <w:tcPr>
            <w:tcW w:w="0" w:type="pct"/>
          </w:tcPr>
          <w:p w14:paraId="1CAB7712" w14:textId="77777777" w:rsidR="00170337" w:rsidRPr="00C00804" w:rsidRDefault="00170337" w:rsidP="00E055FA">
            <w:pPr>
              <w:pStyle w:val="Tabletext"/>
              <w:ind w:left="0" w:right="0"/>
              <w:jc w:val="center"/>
            </w:pPr>
            <w:r w:rsidRPr="00C00804">
              <w:t>–</w:t>
            </w:r>
          </w:p>
        </w:tc>
      </w:tr>
      <w:tr w:rsidR="00087381" w:rsidRPr="00BF52F4" w14:paraId="5833D37D" w14:textId="77777777" w:rsidTr="00E055FA">
        <w:trPr>
          <w:trHeight w:val="178"/>
        </w:trPr>
        <w:tc>
          <w:tcPr>
            <w:tcW w:w="814" w:type="pct"/>
            <w:vMerge w:val="restart"/>
          </w:tcPr>
          <w:p w14:paraId="1CE5B560" w14:textId="77777777" w:rsidR="00170337" w:rsidRPr="00E055FA" w:rsidRDefault="00170337" w:rsidP="00E055FA">
            <w:pPr>
              <w:pStyle w:val="Tabletext"/>
              <w:ind w:left="0" w:right="0"/>
              <w:rPr>
                <w:b/>
                <w:sz w:val="20"/>
              </w:rPr>
            </w:pPr>
            <w:r w:rsidRPr="00E055FA">
              <w:rPr>
                <w:b/>
                <w:sz w:val="20"/>
              </w:rPr>
              <w:t>Missing information</w:t>
            </w:r>
          </w:p>
        </w:tc>
        <w:tc>
          <w:tcPr>
            <w:tcW w:w="1583" w:type="pct"/>
          </w:tcPr>
          <w:p w14:paraId="336BE73D" w14:textId="77777777" w:rsidR="00170337" w:rsidRPr="00E055FA" w:rsidRDefault="00170337" w:rsidP="00E055FA">
            <w:pPr>
              <w:pStyle w:val="Tabletext"/>
              <w:ind w:left="0" w:right="0"/>
              <w:rPr>
                <w:sz w:val="20"/>
              </w:rPr>
            </w:pPr>
            <w:r w:rsidRPr="00E055FA">
              <w:rPr>
                <w:sz w:val="20"/>
              </w:rPr>
              <w:t>Use in children aged 6 months to under 2 years</w:t>
            </w:r>
          </w:p>
        </w:tc>
        <w:tc>
          <w:tcPr>
            <w:tcW w:w="595" w:type="pct"/>
          </w:tcPr>
          <w:p w14:paraId="4D92CDF3" w14:textId="77777777" w:rsidR="00170337" w:rsidRPr="00C00804" w:rsidRDefault="00170337" w:rsidP="00E055FA">
            <w:pPr>
              <w:pStyle w:val="Tabletext"/>
              <w:ind w:left="0" w:right="0"/>
              <w:jc w:val="center"/>
            </w:pPr>
            <w:r w:rsidRPr="00C00804">
              <w:sym w:font="Wingdings" w:char="F0FC"/>
            </w:r>
          </w:p>
        </w:tc>
        <w:tc>
          <w:tcPr>
            <w:tcW w:w="732" w:type="pct"/>
          </w:tcPr>
          <w:p w14:paraId="13F3C55D" w14:textId="77777777" w:rsidR="00170337" w:rsidRPr="00C00804" w:rsidRDefault="00170337" w:rsidP="00E055FA">
            <w:pPr>
              <w:pStyle w:val="Tabletext"/>
              <w:ind w:left="0" w:right="0"/>
              <w:jc w:val="center"/>
            </w:pPr>
            <w:r w:rsidRPr="00C00804">
              <w:t>–</w:t>
            </w:r>
          </w:p>
        </w:tc>
        <w:tc>
          <w:tcPr>
            <w:tcW w:w="561" w:type="pct"/>
          </w:tcPr>
          <w:p w14:paraId="09E72B59" w14:textId="77777777" w:rsidR="00170337" w:rsidRPr="00C00804" w:rsidRDefault="00170337" w:rsidP="00E055FA">
            <w:pPr>
              <w:pStyle w:val="Tabletext"/>
              <w:ind w:left="0" w:right="0"/>
              <w:jc w:val="center"/>
            </w:pPr>
            <w:r w:rsidRPr="00C00804">
              <w:sym w:font="Wingdings" w:char="F0FC"/>
            </w:r>
          </w:p>
        </w:tc>
        <w:tc>
          <w:tcPr>
            <w:tcW w:w="0" w:type="pct"/>
          </w:tcPr>
          <w:p w14:paraId="0476AF68" w14:textId="77777777" w:rsidR="00170337" w:rsidRPr="00C00804" w:rsidRDefault="00170337" w:rsidP="00E055FA">
            <w:pPr>
              <w:pStyle w:val="Tabletext"/>
              <w:ind w:left="0" w:right="0"/>
              <w:jc w:val="center"/>
            </w:pPr>
            <w:r w:rsidRPr="00C00804">
              <w:t>–</w:t>
            </w:r>
          </w:p>
        </w:tc>
      </w:tr>
      <w:tr w:rsidR="00087381" w:rsidRPr="00BF52F4" w14:paraId="7BFF94D0" w14:textId="77777777" w:rsidTr="00E055FA">
        <w:trPr>
          <w:trHeight w:val="103"/>
        </w:trPr>
        <w:tc>
          <w:tcPr>
            <w:tcW w:w="814" w:type="pct"/>
            <w:vMerge/>
          </w:tcPr>
          <w:p w14:paraId="574550C7" w14:textId="77777777" w:rsidR="00170337" w:rsidRPr="00BF52F4" w:rsidRDefault="00170337" w:rsidP="00E055FA">
            <w:pPr>
              <w:pStyle w:val="Tabletext"/>
              <w:ind w:left="0" w:right="0"/>
            </w:pPr>
          </w:p>
        </w:tc>
        <w:tc>
          <w:tcPr>
            <w:tcW w:w="1583" w:type="pct"/>
          </w:tcPr>
          <w:p w14:paraId="1938D17D" w14:textId="77777777" w:rsidR="00170337" w:rsidRPr="00E055FA" w:rsidRDefault="00170337" w:rsidP="00E055FA">
            <w:pPr>
              <w:pStyle w:val="Tabletext"/>
              <w:ind w:left="0" w:right="0"/>
              <w:rPr>
                <w:sz w:val="20"/>
              </w:rPr>
            </w:pPr>
            <w:r w:rsidRPr="00E055FA">
              <w:rPr>
                <w:sz w:val="20"/>
              </w:rPr>
              <w:t>Use in children under 6 months of age</w:t>
            </w:r>
          </w:p>
        </w:tc>
        <w:tc>
          <w:tcPr>
            <w:tcW w:w="595" w:type="pct"/>
          </w:tcPr>
          <w:p w14:paraId="33C9712B" w14:textId="77777777" w:rsidR="00170337" w:rsidRPr="00C00804" w:rsidRDefault="00170337" w:rsidP="00E055FA">
            <w:pPr>
              <w:pStyle w:val="Tabletext"/>
              <w:ind w:left="0" w:right="0"/>
              <w:jc w:val="center"/>
            </w:pPr>
            <w:r w:rsidRPr="00C00804">
              <w:sym w:font="Wingdings" w:char="F0FC"/>
            </w:r>
          </w:p>
        </w:tc>
        <w:tc>
          <w:tcPr>
            <w:tcW w:w="732" w:type="pct"/>
          </w:tcPr>
          <w:p w14:paraId="52074068" w14:textId="77777777" w:rsidR="00170337" w:rsidRPr="00C00804" w:rsidRDefault="00170337" w:rsidP="00E055FA">
            <w:pPr>
              <w:pStyle w:val="Tabletext"/>
              <w:ind w:left="0" w:right="0"/>
              <w:jc w:val="center"/>
            </w:pPr>
            <w:r w:rsidRPr="00C00804">
              <w:t>–</w:t>
            </w:r>
          </w:p>
        </w:tc>
        <w:tc>
          <w:tcPr>
            <w:tcW w:w="561" w:type="pct"/>
          </w:tcPr>
          <w:p w14:paraId="7B3EC20D" w14:textId="77777777" w:rsidR="00170337" w:rsidRPr="00C00804" w:rsidRDefault="00170337" w:rsidP="00E055FA">
            <w:pPr>
              <w:pStyle w:val="Tabletext"/>
              <w:ind w:left="0" w:right="0"/>
              <w:jc w:val="center"/>
            </w:pPr>
            <w:r w:rsidRPr="00C00804">
              <w:sym w:font="Wingdings" w:char="F0FC"/>
            </w:r>
          </w:p>
        </w:tc>
        <w:tc>
          <w:tcPr>
            <w:tcW w:w="0" w:type="pct"/>
          </w:tcPr>
          <w:p w14:paraId="31A7589F" w14:textId="77777777" w:rsidR="00170337" w:rsidRPr="00C00804" w:rsidRDefault="00170337" w:rsidP="00E055FA">
            <w:pPr>
              <w:pStyle w:val="Tabletext"/>
              <w:ind w:left="0" w:right="0"/>
              <w:jc w:val="center"/>
            </w:pPr>
            <w:r w:rsidRPr="00C00804">
              <w:t>–</w:t>
            </w:r>
          </w:p>
        </w:tc>
      </w:tr>
      <w:tr w:rsidR="00087381" w:rsidRPr="00BF52F4" w14:paraId="2C2DC959" w14:textId="77777777" w:rsidTr="00E055FA">
        <w:trPr>
          <w:trHeight w:val="103"/>
        </w:trPr>
        <w:tc>
          <w:tcPr>
            <w:tcW w:w="814" w:type="pct"/>
            <w:vMerge/>
          </w:tcPr>
          <w:p w14:paraId="16FCF397" w14:textId="77777777" w:rsidR="00170337" w:rsidRPr="00BF52F4" w:rsidRDefault="00170337" w:rsidP="00E055FA">
            <w:pPr>
              <w:pStyle w:val="Tabletext"/>
              <w:ind w:left="0" w:right="0"/>
            </w:pPr>
          </w:p>
        </w:tc>
        <w:tc>
          <w:tcPr>
            <w:tcW w:w="1583" w:type="pct"/>
          </w:tcPr>
          <w:p w14:paraId="01199D6F" w14:textId="77777777" w:rsidR="00170337" w:rsidRPr="00E055FA" w:rsidRDefault="00170337" w:rsidP="00E055FA">
            <w:pPr>
              <w:pStyle w:val="Tabletext"/>
              <w:ind w:left="0" w:right="0"/>
              <w:rPr>
                <w:sz w:val="20"/>
              </w:rPr>
            </w:pPr>
            <w:r w:rsidRPr="00E055FA">
              <w:rPr>
                <w:sz w:val="20"/>
              </w:rPr>
              <w:t>Use in patients aged 65 years or older</w:t>
            </w:r>
          </w:p>
        </w:tc>
        <w:tc>
          <w:tcPr>
            <w:tcW w:w="595" w:type="pct"/>
          </w:tcPr>
          <w:p w14:paraId="4EB959EE" w14:textId="77777777" w:rsidR="00170337" w:rsidRPr="00C00804" w:rsidRDefault="00170337" w:rsidP="00E055FA">
            <w:pPr>
              <w:pStyle w:val="Tabletext"/>
              <w:ind w:left="0" w:right="0"/>
              <w:jc w:val="center"/>
            </w:pPr>
            <w:r w:rsidRPr="00C00804">
              <w:sym w:font="Wingdings" w:char="F0FC"/>
            </w:r>
          </w:p>
        </w:tc>
        <w:tc>
          <w:tcPr>
            <w:tcW w:w="732" w:type="pct"/>
          </w:tcPr>
          <w:p w14:paraId="37BBD88D" w14:textId="77777777" w:rsidR="00170337" w:rsidRPr="00C00804" w:rsidRDefault="00170337" w:rsidP="00E055FA">
            <w:pPr>
              <w:pStyle w:val="Tabletext"/>
              <w:ind w:left="0" w:right="0"/>
              <w:jc w:val="center"/>
            </w:pPr>
            <w:r w:rsidRPr="00C00804">
              <w:t>–</w:t>
            </w:r>
          </w:p>
        </w:tc>
        <w:tc>
          <w:tcPr>
            <w:tcW w:w="561" w:type="pct"/>
          </w:tcPr>
          <w:p w14:paraId="3C6F7D67" w14:textId="77777777" w:rsidR="00170337" w:rsidRPr="00C00804" w:rsidRDefault="00170337" w:rsidP="00E055FA">
            <w:pPr>
              <w:pStyle w:val="Tabletext"/>
              <w:ind w:left="0" w:right="0"/>
              <w:jc w:val="center"/>
            </w:pPr>
            <w:r w:rsidRPr="00C00804">
              <w:sym w:font="Wingdings" w:char="F0FC"/>
            </w:r>
          </w:p>
        </w:tc>
        <w:tc>
          <w:tcPr>
            <w:tcW w:w="0" w:type="pct"/>
          </w:tcPr>
          <w:p w14:paraId="1C2AACA4" w14:textId="77777777" w:rsidR="00170337" w:rsidRPr="00C00804" w:rsidRDefault="00170337" w:rsidP="00E055FA">
            <w:pPr>
              <w:pStyle w:val="Tabletext"/>
              <w:ind w:left="0" w:right="0"/>
              <w:jc w:val="center"/>
            </w:pPr>
            <w:r w:rsidRPr="00C00804">
              <w:t>–</w:t>
            </w:r>
          </w:p>
        </w:tc>
      </w:tr>
      <w:tr w:rsidR="00087381" w:rsidRPr="00BF52F4" w14:paraId="05A81FF8" w14:textId="77777777" w:rsidTr="00E055FA">
        <w:trPr>
          <w:trHeight w:val="103"/>
        </w:trPr>
        <w:tc>
          <w:tcPr>
            <w:tcW w:w="814" w:type="pct"/>
            <w:vMerge/>
          </w:tcPr>
          <w:p w14:paraId="739236E4" w14:textId="77777777" w:rsidR="00170337" w:rsidRPr="00BF52F4" w:rsidRDefault="00170337" w:rsidP="00E055FA">
            <w:pPr>
              <w:pStyle w:val="Tabletext"/>
              <w:ind w:left="0" w:right="0"/>
            </w:pPr>
          </w:p>
        </w:tc>
        <w:tc>
          <w:tcPr>
            <w:tcW w:w="1583" w:type="pct"/>
          </w:tcPr>
          <w:p w14:paraId="4B50C7AE" w14:textId="77777777" w:rsidR="00170337" w:rsidRPr="00E055FA" w:rsidRDefault="00170337" w:rsidP="00E055FA">
            <w:pPr>
              <w:pStyle w:val="Tabletext"/>
              <w:ind w:left="0" w:right="0"/>
              <w:rPr>
                <w:sz w:val="20"/>
              </w:rPr>
            </w:pPr>
            <w:r w:rsidRPr="00E055FA">
              <w:rPr>
                <w:sz w:val="20"/>
              </w:rPr>
              <w:t>Use in patients with renal impairment</w:t>
            </w:r>
          </w:p>
        </w:tc>
        <w:tc>
          <w:tcPr>
            <w:tcW w:w="595" w:type="pct"/>
          </w:tcPr>
          <w:p w14:paraId="75094BFA" w14:textId="77777777" w:rsidR="00170337" w:rsidRPr="00C00804" w:rsidRDefault="00170337" w:rsidP="00E055FA">
            <w:pPr>
              <w:pStyle w:val="Tabletext"/>
              <w:ind w:left="0" w:right="0"/>
              <w:jc w:val="center"/>
            </w:pPr>
            <w:r w:rsidRPr="00C00804">
              <w:sym w:font="Wingdings" w:char="F0FC"/>
            </w:r>
          </w:p>
        </w:tc>
        <w:tc>
          <w:tcPr>
            <w:tcW w:w="732" w:type="pct"/>
          </w:tcPr>
          <w:p w14:paraId="00B4B9FF" w14:textId="77777777" w:rsidR="00170337" w:rsidRPr="00C00804" w:rsidRDefault="00170337" w:rsidP="00E055FA">
            <w:pPr>
              <w:pStyle w:val="Tabletext"/>
              <w:ind w:left="0" w:right="0"/>
              <w:jc w:val="center"/>
            </w:pPr>
            <w:r w:rsidRPr="00C00804">
              <w:t>–</w:t>
            </w:r>
          </w:p>
        </w:tc>
        <w:tc>
          <w:tcPr>
            <w:tcW w:w="561" w:type="pct"/>
          </w:tcPr>
          <w:p w14:paraId="30502F00" w14:textId="77777777" w:rsidR="00170337" w:rsidRPr="00C00804" w:rsidRDefault="00170337" w:rsidP="00E055FA">
            <w:pPr>
              <w:pStyle w:val="Tabletext"/>
              <w:ind w:left="0" w:right="0"/>
              <w:jc w:val="center"/>
            </w:pPr>
            <w:r w:rsidRPr="00C00804">
              <w:sym w:font="Wingdings" w:char="F0FC"/>
            </w:r>
          </w:p>
        </w:tc>
        <w:tc>
          <w:tcPr>
            <w:tcW w:w="0" w:type="pct"/>
          </w:tcPr>
          <w:p w14:paraId="0F27D1CB" w14:textId="77777777" w:rsidR="00170337" w:rsidRPr="00C00804" w:rsidRDefault="00170337" w:rsidP="00E055FA">
            <w:pPr>
              <w:pStyle w:val="Tabletext"/>
              <w:ind w:left="0" w:right="0"/>
              <w:jc w:val="center"/>
            </w:pPr>
            <w:r w:rsidRPr="00C00804">
              <w:t>–</w:t>
            </w:r>
          </w:p>
        </w:tc>
      </w:tr>
      <w:tr w:rsidR="00087381" w:rsidRPr="00BF52F4" w14:paraId="6CA1425B" w14:textId="77777777" w:rsidTr="00E055FA">
        <w:trPr>
          <w:trHeight w:val="140"/>
        </w:trPr>
        <w:tc>
          <w:tcPr>
            <w:tcW w:w="814" w:type="pct"/>
            <w:vMerge/>
          </w:tcPr>
          <w:p w14:paraId="1DDF264E" w14:textId="77777777" w:rsidR="00170337" w:rsidRPr="00BF52F4" w:rsidRDefault="00170337" w:rsidP="00E055FA">
            <w:pPr>
              <w:pStyle w:val="Tabletext"/>
              <w:ind w:left="0" w:right="0"/>
            </w:pPr>
          </w:p>
        </w:tc>
        <w:tc>
          <w:tcPr>
            <w:tcW w:w="1583" w:type="pct"/>
          </w:tcPr>
          <w:p w14:paraId="14CD38D2" w14:textId="77777777" w:rsidR="00170337" w:rsidRPr="00E055FA" w:rsidRDefault="00170337" w:rsidP="00E055FA">
            <w:pPr>
              <w:pStyle w:val="Tabletext"/>
              <w:ind w:left="0" w:right="0"/>
              <w:rPr>
                <w:sz w:val="20"/>
              </w:rPr>
            </w:pPr>
            <w:r w:rsidRPr="00E055FA">
              <w:rPr>
                <w:sz w:val="20"/>
              </w:rPr>
              <w:t>Use in patients with hepatic impairment</w:t>
            </w:r>
          </w:p>
        </w:tc>
        <w:tc>
          <w:tcPr>
            <w:tcW w:w="595" w:type="pct"/>
          </w:tcPr>
          <w:p w14:paraId="20098E25" w14:textId="77777777" w:rsidR="00170337" w:rsidRPr="00C00804" w:rsidRDefault="00170337" w:rsidP="00E055FA">
            <w:pPr>
              <w:pStyle w:val="Tabletext"/>
              <w:ind w:left="0" w:right="0"/>
              <w:jc w:val="center"/>
            </w:pPr>
            <w:r w:rsidRPr="00C00804">
              <w:sym w:font="Wingdings" w:char="F0FC"/>
            </w:r>
          </w:p>
        </w:tc>
        <w:tc>
          <w:tcPr>
            <w:tcW w:w="732" w:type="pct"/>
          </w:tcPr>
          <w:p w14:paraId="299EE5F7" w14:textId="77777777" w:rsidR="00170337" w:rsidRPr="00C00804" w:rsidRDefault="00170337" w:rsidP="00E055FA">
            <w:pPr>
              <w:pStyle w:val="Tabletext"/>
              <w:ind w:left="0" w:right="0"/>
              <w:jc w:val="center"/>
            </w:pPr>
            <w:r w:rsidRPr="00C00804">
              <w:t>–</w:t>
            </w:r>
          </w:p>
        </w:tc>
        <w:tc>
          <w:tcPr>
            <w:tcW w:w="561" w:type="pct"/>
          </w:tcPr>
          <w:p w14:paraId="4FE8FF9F" w14:textId="77777777" w:rsidR="00170337" w:rsidRPr="00C00804" w:rsidRDefault="00170337" w:rsidP="00E055FA">
            <w:pPr>
              <w:pStyle w:val="Tabletext"/>
              <w:ind w:left="0" w:right="0"/>
              <w:jc w:val="center"/>
            </w:pPr>
            <w:r w:rsidRPr="00C00804">
              <w:sym w:font="Wingdings" w:char="F0FC"/>
            </w:r>
          </w:p>
        </w:tc>
        <w:tc>
          <w:tcPr>
            <w:tcW w:w="0" w:type="pct"/>
          </w:tcPr>
          <w:p w14:paraId="38A35283" w14:textId="77777777" w:rsidR="00170337" w:rsidRPr="00C00804" w:rsidRDefault="00170337" w:rsidP="00E055FA">
            <w:pPr>
              <w:pStyle w:val="Tabletext"/>
              <w:ind w:left="0" w:right="0"/>
              <w:jc w:val="center"/>
            </w:pPr>
            <w:r w:rsidRPr="00C00804">
              <w:t>–</w:t>
            </w:r>
          </w:p>
        </w:tc>
      </w:tr>
    </w:tbl>
    <w:p w14:paraId="5EFF151C" w14:textId="299D330D" w:rsidR="00170337" w:rsidRDefault="00170337" w:rsidP="00170337">
      <w:pPr>
        <w:pStyle w:val="TableDescription"/>
      </w:pPr>
      <w:r w:rsidRPr="00170337">
        <w:t>*Includes a Follow-up questionnaire</w:t>
      </w:r>
    </w:p>
    <w:p w14:paraId="120DC38D" w14:textId="520AD1CC" w:rsidR="00170337" w:rsidRPr="0065059A" w:rsidRDefault="00170337" w:rsidP="00170337">
      <w:r w:rsidRPr="0065059A">
        <w:t xml:space="preserve">The summary of safety </w:t>
      </w:r>
      <w:r>
        <w:t>concerns is</w:t>
      </w:r>
      <w:r w:rsidRPr="0065059A">
        <w:t xml:space="preserve"> very similar to the previous </w:t>
      </w:r>
      <w:r w:rsidR="00087381">
        <w:t>submission;</w:t>
      </w:r>
      <w:r w:rsidR="00087381" w:rsidRPr="00E055FA">
        <w:rPr>
          <w:vertAlign w:val="superscript"/>
        </w:rPr>
        <w:fldChar w:fldCharType="begin"/>
      </w:r>
      <w:r w:rsidR="00087381" w:rsidRPr="00E055FA">
        <w:rPr>
          <w:vertAlign w:val="superscript"/>
        </w:rPr>
        <w:instrText xml:space="preserve"> NOTEREF _Ref121399291 \h </w:instrText>
      </w:r>
      <w:r w:rsidR="00087381">
        <w:rPr>
          <w:vertAlign w:val="superscript"/>
        </w:rPr>
        <w:instrText xml:space="preserve"> \* MERGEFORMAT </w:instrText>
      </w:r>
      <w:r w:rsidR="00087381" w:rsidRPr="00E055FA">
        <w:rPr>
          <w:vertAlign w:val="superscript"/>
        </w:rPr>
      </w:r>
      <w:r w:rsidR="00087381" w:rsidRPr="00E055FA">
        <w:rPr>
          <w:vertAlign w:val="superscript"/>
        </w:rPr>
        <w:fldChar w:fldCharType="separate"/>
      </w:r>
      <w:r w:rsidR="00087381" w:rsidRPr="00E055FA">
        <w:rPr>
          <w:vertAlign w:val="superscript"/>
        </w:rPr>
        <w:t>14</w:t>
      </w:r>
      <w:r w:rsidR="00087381" w:rsidRPr="00E055FA">
        <w:rPr>
          <w:vertAlign w:val="superscript"/>
        </w:rPr>
        <w:fldChar w:fldCharType="end"/>
      </w:r>
      <w:r w:rsidR="00087381" w:rsidRPr="0065059A">
        <w:t xml:space="preserve"> </w:t>
      </w:r>
      <w:proofErr w:type="gramStart"/>
      <w:r w:rsidRPr="0065059A">
        <w:t>wit</w:t>
      </w:r>
      <w:r>
        <w:t>h the exception of</w:t>
      </w:r>
      <w:proofErr w:type="gramEnd"/>
      <w:r>
        <w:t xml:space="preserve"> the change to the</w:t>
      </w:r>
      <w:r w:rsidRPr="0065059A">
        <w:t xml:space="preserve"> ages for use in children included under </w:t>
      </w:r>
      <w:r w:rsidRPr="00E055FA">
        <w:rPr>
          <w:i/>
        </w:rPr>
        <w:t>Missing Information</w:t>
      </w:r>
      <w:r w:rsidRPr="0065059A">
        <w:t>. The ages are</w:t>
      </w:r>
      <w:r>
        <w:t xml:space="preserve"> consistent</w:t>
      </w:r>
      <w:r w:rsidRPr="0065059A">
        <w:t xml:space="preserve"> with the current application to </w:t>
      </w:r>
      <w:r>
        <w:t>change the patient group and the information that is missing</w:t>
      </w:r>
      <w:r w:rsidRPr="0065059A">
        <w:t>. Therefore</w:t>
      </w:r>
      <w:r>
        <w:t>,</w:t>
      </w:r>
      <w:r w:rsidRPr="0065059A">
        <w:t xml:space="preserve"> th</w:t>
      </w:r>
      <w:r>
        <w:t>e summary of safety concerns is</w:t>
      </w:r>
      <w:r w:rsidRPr="0065059A">
        <w:t xml:space="preserve"> acceptable.</w:t>
      </w:r>
    </w:p>
    <w:p w14:paraId="3513A64E" w14:textId="63457AD7" w:rsidR="00170337" w:rsidRPr="0065059A" w:rsidRDefault="00170337" w:rsidP="00170337">
      <w:r w:rsidRPr="0065059A">
        <w:t>Only routine pharmacovigilance activities are proposed which includes a follow-up questionnaire for haemolytic anaemia. This is the same as the previous application which was considered acceptable.</w:t>
      </w:r>
    </w:p>
    <w:p w14:paraId="4DDFCD03" w14:textId="3ECD589E" w:rsidR="00170337" w:rsidRPr="0065059A" w:rsidRDefault="00170337" w:rsidP="00170337">
      <w:r w:rsidRPr="0065059A">
        <w:t>Only routine risk minimisation activities are proposed which</w:t>
      </w:r>
      <w:r>
        <w:t xml:space="preserve"> includes an </w:t>
      </w:r>
      <w:r w:rsidRPr="00E055FA">
        <w:rPr>
          <w:i/>
        </w:rPr>
        <w:t>Instructions for Use</w:t>
      </w:r>
      <w:r w:rsidRPr="0065059A">
        <w:t xml:space="preserve"> leaflet to be included as a package insert in the 50 mg dispersible tablet box. As previously, no additional risk minimisation</w:t>
      </w:r>
      <w:r>
        <w:t xml:space="preserve"> activities are propos</w:t>
      </w:r>
      <w:r w:rsidRPr="0065059A">
        <w:t xml:space="preserve">ed </w:t>
      </w:r>
      <w:r>
        <w:t xml:space="preserve">which is appropriate, </w:t>
      </w:r>
      <w:r w:rsidRPr="0065059A">
        <w:t>but the sponsor should make some amendments to the PI,</w:t>
      </w:r>
      <w:r>
        <w:t xml:space="preserve"> Consumer Medicine Information (</w:t>
      </w:r>
      <w:r w:rsidRPr="0065059A">
        <w:t>CMI</w:t>
      </w:r>
      <w:r>
        <w:t>)</w:t>
      </w:r>
      <w:r w:rsidRPr="0065059A">
        <w:t xml:space="preserve"> and package insert as described in </w:t>
      </w:r>
      <w:r>
        <w:t xml:space="preserve">detail in </w:t>
      </w:r>
      <w:r w:rsidRPr="0065059A">
        <w:t>Section 4.2</w:t>
      </w:r>
      <w:r>
        <w:t xml:space="preserve"> </w:t>
      </w:r>
      <w:r w:rsidR="00087381">
        <w:t xml:space="preserve">(Dose and Method of Administration) </w:t>
      </w:r>
      <w:r>
        <w:t xml:space="preserve">of </w:t>
      </w:r>
      <w:r w:rsidR="00087381">
        <w:t xml:space="preserve">the </w:t>
      </w:r>
      <w:r>
        <w:t>PI</w:t>
      </w:r>
      <w:r w:rsidRPr="0065059A">
        <w:t>.</w:t>
      </w:r>
    </w:p>
    <w:p w14:paraId="0EBC41F5" w14:textId="34C6C9F8" w:rsidR="00170337" w:rsidRDefault="00170337" w:rsidP="00170337">
      <w:r w:rsidRPr="00170337">
        <w:t>There are no outstanding or new recommendations.</w:t>
      </w:r>
    </w:p>
    <w:p w14:paraId="20F476F1" w14:textId="77777777" w:rsidR="008E7846" w:rsidRDefault="00AA0ED0" w:rsidP="008E7846">
      <w:pPr>
        <w:pStyle w:val="Heading3"/>
      </w:pPr>
      <w:bookmarkStart w:id="49" w:name="_Toc118798364"/>
      <w:r>
        <w:t>Risk-benefit a</w:t>
      </w:r>
      <w:r w:rsidR="008E7846">
        <w:t>nalysis</w:t>
      </w:r>
      <w:bookmarkEnd w:id="44"/>
      <w:bookmarkEnd w:id="45"/>
      <w:bookmarkEnd w:id="49"/>
    </w:p>
    <w:p w14:paraId="5D83BD1D" w14:textId="48860978" w:rsidR="0074163C" w:rsidRDefault="0074163C" w:rsidP="0074163C">
      <w:pPr>
        <w:pStyle w:val="Heading4"/>
      </w:pPr>
      <w:bookmarkStart w:id="50" w:name="_Toc98931932"/>
      <w:r>
        <w:t>Delegate’s considerations</w:t>
      </w:r>
      <w:bookmarkEnd w:id="50"/>
      <w:r w:rsidR="00A41A73">
        <w:t xml:space="preserve"> and proposed action</w:t>
      </w:r>
    </w:p>
    <w:p w14:paraId="5D041FE1" w14:textId="041F6876" w:rsidR="00170337" w:rsidRDefault="00170337" w:rsidP="00170337">
      <w:r>
        <w:t>The dose recommendations derived from population pharmacokinetics modelling are supported including the youngest weight band of children ≥ 5</w:t>
      </w:r>
      <w:r w:rsidR="00A240E9">
        <w:t xml:space="preserve"> </w:t>
      </w:r>
      <w:r>
        <w:t>kg to 10</w:t>
      </w:r>
      <w:r w:rsidR="00A240E9">
        <w:t xml:space="preserve"> </w:t>
      </w:r>
      <w:r>
        <w:t>kg (at least 6</w:t>
      </w:r>
      <w:r w:rsidR="00087381">
        <w:t> </w:t>
      </w:r>
      <w:r>
        <w:t>months of age).</w:t>
      </w:r>
    </w:p>
    <w:p w14:paraId="596122EA" w14:textId="7E596A08" w:rsidR="00170337" w:rsidRDefault="00170337" w:rsidP="00170337">
      <w:r>
        <w:t>The lack of data in 6 months to 2 years age group for an infection which affects millions including children every year worldwide is not satisfactory.</w:t>
      </w:r>
      <w:r w:rsidR="00A41A73">
        <w:t xml:space="preserve"> </w:t>
      </w:r>
      <w:r>
        <w:t xml:space="preserve">However, an unmet need, a paediatric formulation and accepted principle of extrapolating efficacy </w:t>
      </w:r>
      <w:r w:rsidR="00087381">
        <w:t>and</w:t>
      </w:r>
      <w:r>
        <w:t xml:space="preserve"> safety from adults to children are important considerations.</w:t>
      </w:r>
      <w:r w:rsidR="00A41A73">
        <w:t xml:space="preserve"> </w:t>
      </w:r>
      <w:r>
        <w:t>It is expected that in due course post</w:t>
      </w:r>
      <w:r w:rsidR="00087381">
        <w:noBreakHyphen/>
      </w:r>
      <w:r>
        <w:t>market data or further studies will fill the current information gap.</w:t>
      </w:r>
    </w:p>
    <w:p w14:paraId="7E85564D" w14:textId="56A3D78A" w:rsidR="00170337" w:rsidRDefault="00170337" w:rsidP="00170337">
      <w:r>
        <w:t xml:space="preserve">However, </w:t>
      </w:r>
      <w:r w:rsidR="00087381">
        <w:t xml:space="preserve">a </w:t>
      </w:r>
      <w:r>
        <w:t xml:space="preserve">lack of </w:t>
      </w:r>
      <w:r w:rsidR="00087381" w:rsidRPr="00E055FA">
        <w:rPr>
          <w:i/>
        </w:rPr>
        <w:t>in vivo</w:t>
      </w:r>
      <w:r w:rsidR="00554282">
        <w:t xml:space="preserve"> </w:t>
      </w:r>
      <w:r>
        <w:t xml:space="preserve">experience in dosing young children (aged 6 months to 2 years) with the proposed dispersible tablet is an additional aspect for which advice from </w:t>
      </w:r>
      <w:r w:rsidR="00A240E9">
        <w:t>Advisory Committee on Medicines (</w:t>
      </w:r>
      <w:r>
        <w:t>ACM</w:t>
      </w:r>
      <w:r w:rsidR="00A240E9">
        <w:t>)</w:t>
      </w:r>
      <w:r>
        <w:t xml:space="preserve"> is requested.</w:t>
      </w:r>
    </w:p>
    <w:p w14:paraId="5C4CCC5F" w14:textId="77777777" w:rsidR="00170337" w:rsidRDefault="00170337" w:rsidP="00170337">
      <w:r>
        <w:t>This is an important deficiency as practical experience of administering this formulation in very young children, even in a highly supervised circumstance such as a clinical trial, is not available at present to inform actual clinical use whether supervised or unsupervised.</w:t>
      </w:r>
    </w:p>
    <w:p w14:paraId="094930DB" w14:textId="5974F1D7" w:rsidR="00170337" w:rsidRDefault="00170337" w:rsidP="00170337">
      <w:r>
        <w:lastRenderedPageBreak/>
        <w:t xml:space="preserve">The clinical </w:t>
      </w:r>
      <w:r w:rsidR="00554282">
        <w:t xml:space="preserve">evaluation </w:t>
      </w:r>
      <w:r>
        <w:t>is supportive of approval in all age groups and has emphasised that administration in children should occur in supervised setting to ensure dosing guidance is followed. The Australia</w:t>
      </w:r>
      <w:r w:rsidR="00A240E9">
        <w:t>n</w:t>
      </w:r>
      <w:r w:rsidR="00087381">
        <w:t>-</w:t>
      </w:r>
      <w:r>
        <w:t xml:space="preserve">specific </w:t>
      </w:r>
      <w:r w:rsidR="00A240E9">
        <w:t>RMP</w:t>
      </w:r>
      <w:r>
        <w:t xml:space="preserve"> also states that dosing in children will likely occur in a hospital setting.</w:t>
      </w:r>
    </w:p>
    <w:p w14:paraId="57E3FAF4" w14:textId="65A97FE6" w:rsidR="00170337" w:rsidRDefault="00170337" w:rsidP="00170337">
      <w:r>
        <w:t>As regards the finished product, the proposed blister pack for</w:t>
      </w:r>
      <w:r w:rsidR="00E055FA">
        <w:t xml:space="preserve"> 50 mg dispersible tablets</w:t>
      </w:r>
      <w:r>
        <w:t xml:space="preserve"> contains </w:t>
      </w:r>
      <w:r w:rsidR="00A240E9">
        <w:t>three</w:t>
      </w:r>
      <w:r>
        <w:t xml:space="preserve"> tablets and a bulk pack not for dispensing will contain </w:t>
      </w:r>
      <w:r w:rsidR="00A240E9">
        <w:t>ten</w:t>
      </w:r>
      <w:r>
        <w:t xml:space="preserve"> blister packs. Therefore, the dispensing pack is not an exact dose for any age group. Cost, </w:t>
      </w:r>
      <w:proofErr w:type="gramStart"/>
      <w:r>
        <w:t>supply</w:t>
      </w:r>
      <w:proofErr w:type="gramEnd"/>
      <w:r>
        <w:t xml:space="preserve"> and dispensing are stated to be the reasons for this presentation. However, </w:t>
      </w:r>
      <w:r w:rsidR="00A240E9">
        <w:t>two</w:t>
      </w:r>
      <w:r>
        <w:t xml:space="preserve"> tablets dispensing pack will be more logical. Note the adult dispensing pack is two 150</w:t>
      </w:r>
      <w:r w:rsidR="00A41A73">
        <w:t xml:space="preserve"> </w:t>
      </w:r>
      <w:r>
        <w:t>mg tablets (</w:t>
      </w:r>
      <w:r w:rsidR="00A41A73">
        <w:t>that is</w:t>
      </w:r>
      <w:r>
        <w:t xml:space="preserve"> one single dose).</w:t>
      </w:r>
    </w:p>
    <w:p w14:paraId="0D2A3A32" w14:textId="2FA74C4C" w:rsidR="00554282" w:rsidRDefault="00554282" w:rsidP="00E055FA">
      <w:pPr>
        <w:spacing w:before="0" w:after="200" w:line="0" w:lineRule="auto"/>
      </w:pPr>
      <w:r>
        <w:br w:type="page"/>
      </w:r>
    </w:p>
    <w:p w14:paraId="5EC02DC8" w14:textId="77777777" w:rsidR="0074163C" w:rsidRDefault="0074163C" w:rsidP="0074163C">
      <w:pPr>
        <w:pStyle w:val="Heading4"/>
      </w:pPr>
      <w:bookmarkStart w:id="51" w:name="_Toc98931934"/>
      <w:bookmarkStart w:id="52" w:name="_Ref121403416"/>
      <w:r>
        <w:lastRenderedPageBreak/>
        <w:t>Questions for the sponsor</w:t>
      </w:r>
      <w:bookmarkEnd w:id="51"/>
      <w:bookmarkEnd w:id="52"/>
    </w:p>
    <w:p w14:paraId="603D4D81" w14:textId="77777777" w:rsidR="00A41A73" w:rsidRDefault="0074163C" w:rsidP="00A41A73">
      <w:r>
        <w:t>The sponsor provided the following response to questions from the Delegate.</w:t>
      </w:r>
      <w:r w:rsidR="00A41A73" w:rsidRPr="00A41A73">
        <w:t xml:space="preserve"> </w:t>
      </w:r>
    </w:p>
    <w:p w14:paraId="08E22FCD" w14:textId="77777777" w:rsidR="00A41A73" w:rsidRDefault="00A41A73" w:rsidP="00A41A73">
      <w:pPr>
        <w:pStyle w:val="Numberbullet0"/>
        <w:rPr>
          <w:b/>
          <w:bCs/>
        </w:rPr>
      </w:pPr>
      <w:r w:rsidRPr="00A41A73">
        <w:rPr>
          <w:b/>
          <w:bCs/>
        </w:rPr>
        <w:t>Further comments are requested from the sponsor in its pre-ACM response about potential problems when trying to dose very young children with the dispersed tablet.</w:t>
      </w:r>
    </w:p>
    <w:p w14:paraId="69E419FA" w14:textId="029E2AF2" w:rsidR="00A41A73" w:rsidRPr="00A41A73" w:rsidRDefault="00A41A73" w:rsidP="00A41A73">
      <w:pPr>
        <w:pStyle w:val="Numberbullet0"/>
        <w:rPr>
          <w:b/>
          <w:bCs/>
        </w:rPr>
      </w:pPr>
      <w:r w:rsidRPr="00A41A73">
        <w:rPr>
          <w:b/>
          <w:bCs/>
        </w:rPr>
        <w:t>Further information on taste and palatability and ways to promote safe use and correct dosing in children 6 months to 2 years of age should also be included.</w:t>
      </w:r>
    </w:p>
    <w:p w14:paraId="64DD6F50" w14:textId="329C85EE" w:rsidR="00A41A73" w:rsidRDefault="00A41A73" w:rsidP="00A41A73">
      <w:r>
        <w:t xml:space="preserve">The proposed commercial pack for tafenoquine dispersible tablets is a blister pack containing three tablets in an orientated polyamide/aluminium foil/polyvinyl chloride laminate, sealed with a child-resistant </w:t>
      </w:r>
      <w:proofErr w:type="gramStart"/>
      <w:r>
        <w:t>20 micron</w:t>
      </w:r>
      <w:proofErr w:type="gramEnd"/>
      <w:r>
        <w:t xml:space="preserve"> push through aluminium lidding foil with a vinyl acrylic heat seal coating. The proposed blister pack provides adequate protection to the drug product from moisture vapour and protection through distribution and use and hence ensures the requirements of the quality target product profile are met. Data from stability studies show acceptable physical and chemical stability of the drug product in the proposed blister pack at both accelerated and </w:t>
      </w:r>
      <w:r w:rsidR="00554282">
        <w:t>long-term</w:t>
      </w:r>
      <w:r>
        <w:t xml:space="preserve"> storage conditions.</w:t>
      </w:r>
    </w:p>
    <w:p w14:paraId="31803CCA" w14:textId="0CCD0A9E" w:rsidR="00A41A73" w:rsidRDefault="00A41A73" w:rsidP="00A41A73">
      <w:r>
        <w:t xml:space="preserve">Ten blisters (30 tablets) will be packed into a bulk pack with the supporting package insert as per country/language requirements. The proposed blister presentation supplied to the </w:t>
      </w:r>
      <w:r w:rsidR="00A240E9">
        <w:t>h</w:t>
      </w:r>
      <w:r>
        <w:t xml:space="preserve">ealthcare </w:t>
      </w:r>
      <w:r w:rsidR="00A240E9">
        <w:t>p</w:t>
      </w:r>
      <w:r>
        <w:t xml:space="preserve">ractitioner contains a perforation, as shown in </w:t>
      </w:r>
      <w:r w:rsidR="00732893">
        <w:fldChar w:fldCharType="begin"/>
      </w:r>
      <w:r w:rsidR="00732893">
        <w:instrText xml:space="preserve"> REF _Ref118801815 \h </w:instrText>
      </w:r>
      <w:r w:rsidR="00732893">
        <w:fldChar w:fldCharType="separate"/>
      </w:r>
      <w:r w:rsidR="00732893" w:rsidRPr="00905564">
        <w:t xml:space="preserve">Figure </w:t>
      </w:r>
      <w:r w:rsidR="00732893">
        <w:rPr>
          <w:noProof/>
        </w:rPr>
        <w:t>2</w:t>
      </w:r>
      <w:r w:rsidR="00732893">
        <w:fldChar w:fldCharType="end"/>
      </w:r>
      <w:r>
        <w:t xml:space="preserve">. This has been designed to enable an individualised </w:t>
      </w:r>
      <w:proofErr w:type="gramStart"/>
      <w:r>
        <w:t>weight based</w:t>
      </w:r>
      <w:proofErr w:type="gramEnd"/>
      <w:r>
        <w:t xml:space="preserve"> dose to be dispensed by the </w:t>
      </w:r>
      <w:r w:rsidR="00554282">
        <w:t>practitioner</w:t>
      </w:r>
      <w:r>
        <w:t xml:space="preserve">. The format of the blister presentation has been chosen to maximise access by minimising cost of goods and supply chain burden for clinics without impacting patient safety. The blister perforation can be used by the </w:t>
      </w:r>
      <w:r w:rsidR="00554282">
        <w:t xml:space="preserve">healthcare practitioner </w:t>
      </w:r>
      <w:r>
        <w:t xml:space="preserve">to enable the required dose for patient administration and maximises the number of potential patients that can be treated from a single bulk pack. The </w:t>
      </w:r>
      <w:proofErr w:type="gramStart"/>
      <w:r>
        <w:t>three tablet</w:t>
      </w:r>
      <w:proofErr w:type="gramEnd"/>
      <w:r>
        <w:t xml:space="preserve"> perforated blister reduces potential waste, as doses of one, two or four tablets can be provided without impacting the integrity of the remaining tablets in the other half of the blister pack. Each part of the separated blister contains necessary information, dosing table, number of tablets on the respective side of the blister, lot details and expiry date. This ensures patient relevant information is always retained.</w:t>
      </w:r>
    </w:p>
    <w:p w14:paraId="0DA944E6" w14:textId="4484F4B2" w:rsidR="0074163C" w:rsidRDefault="00A41A73" w:rsidP="00A41A73">
      <w:r>
        <w:t xml:space="preserve">The commercial bulk pack of ten blisters (30 tablets) was optimised in field studies, performed in Brazil and India, in anticipation of the expected dispensing scenarios from </w:t>
      </w:r>
      <w:proofErr w:type="gramStart"/>
      <w:r>
        <w:t>an</w:t>
      </w:r>
      <w:proofErr w:type="gramEnd"/>
      <w:r>
        <w:t xml:space="preserve"> </w:t>
      </w:r>
      <w:r w:rsidR="00554282">
        <w:t xml:space="preserve">healthcare practitioner </w:t>
      </w:r>
      <w:r>
        <w:t xml:space="preserve">clinical setting and provision of the required dose directly to the patient in-clinic. The design of the blister pack presentation also accommodates situations where the required dose can be provided to the patient’s carer for administration outside of a clinical setting and sufficient package inserts are included to accompany the maximum possible doses from the bulk pack. Comprehension of the blister presentation and package insert was confirmed in the field studies by interview with </w:t>
      </w:r>
      <w:r w:rsidR="00554282">
        <w:t xml:space="preserve">healthcare practitioner </w:t>
      </w:r>
      <w:r>
        <w:t>and caregivers, covering a range of literacy levels and geographic settings.</w:t>
      </w:r>
    </w:p>
    <w:p w14:paraId="4E8AF25F" w14:textId="23201626" w:rsidR="00905564" w:rsidRDefault="00905564" w:rsidP="00905564">
      <w:pPr>
        <w:pStyle w:val="FigureTitle"/>
      </w:pPr>
      <w:bookmarkStart w:id="53" w:name="_Ref118801815"/>
      <w:r w:rsidRPr="00905564">
        <w:lastRenderedPageBreak/>
        <w:t xml:space="preserve">Figure </w:t>
      </w:r>
      <w:r w:rsidR="00503A56">
        <w:fldChar w:fldCharType="begin"/>
      </w:r>
      <w:r w:rsidR="00503A56">
        <w:instrText xml:space="preserve"> SEQ Figure \* ARABIC </w:instrText>
      </w:r>
      <w:r w:rsidR="00503A56">
        <w:fldChar w:fldCharType="separate"/>
      </w:r>
      <w:r w:rsidR="00D70A51">
        <w:rPr>
          <w:noProof/>
        </w:rPr>
        <w:t>2</w:t>
      </w:r>
      <w:r w:rsidR="00503A56">
        <w:rPr>
          <w:noProof/>
        </w:rPr>
        <w:fldChar w:fldCharType="end"/>
      </w:r>
      <w:bookmarkEnd w:id="53"/>
      <w:r>
        <w:t xml:space="preserve">: Proposed </w:t>
      </w:r>
      <w:proofErr w:type="spellStart"/>
      <w:r w:rsidR="00554282">
        <w:t>Kozenis</w:t>
      </w:r>
      <w:proofErr w:type="spellEnd"/>
      <w:r w:rsidR="00554282">
        <w:t xml:space="preserve"> </w:t>
      </w:r>
      <w:r>
        <w:t>blister format</w:t>
      </w:r>
    </w:p>
    <w:p w14:paraId="0B1D397F" w14:textId="7506CA14" w:rsidR="00905564" w:rsidRDefault="00905564" w:rsidP="00905564">
      <w:r w:rsidRPr="00905564">
        <w:rPr>
          <w:noProof/>
          <w:lang w:val="en-GB" w:eastAsia="en-GB"/>
        </w:rPr>
        <w:drawing>
          <wp:inline distT="0" distB="0" distL="0" distR="0" wp14:anchorId="62EB35EB" wp14:editId="52DC13A0">
            <wp:extent cx="4363234" cy="2830664"/>
            <wp:effectExtent l="0" t="0" r="0" b="8255"/>
            <wp:docPr id="6" name="Picture 6" descr="Proposed blister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roposed blister forma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80923" cy="2842140"/>
                    </a:xfrm>
                    <a:prstGeom prst="rect">
                      <a:avLst/>
                    </a:prstGeom>
                    <a:noFill/>
                    <a:ln>
                      <a:noFill/>
                    </a:ln>
                  </pic:spPr>
                </pic:pic>
              </a:graphicData>
            </a:graphic>
          </wp:inline>
        </w:drawing>
      </w:r>
    </w:p>
    <w:p w14:paraId="748CCE1F" w14:textId="6FE7749E" w:rsidR="00905564" w:rsidRDefault="00905564" w:rsidP="00905564">
      <w:r>
        <w:t xml:space="preserve">A sensory analysis study was performed to determine the acceptability of a formulation representative of that presented in the </w:t>
      </w:r>
      <w:r w:rsidR="00A240E9">
        <w:t>d</w:t>
      </w:r>
      <w:r>
        <w:t xml:space="preserve">escription and </w:t>
      </w:r>
      <w:r w:rsidR="00A240E9">
        <w:t>c</w:t>
      </w:r>
      <w:r>
        <w:t xml:space="preserve">omposition of the </w:t>
      </w:r>
      <w:r w:rsidR="00A240E9">
        <w:t>d</w:t>
      </w:r>
      <w:r>
        <w:t xml:space="preserve">rug </w:t>
      </w:r>
      <w:r w:rsidR="00A240E9">
        <w:t>p</w:t>
      </w:r>
      <w:r>
        <w:t xml:space="preserve">roduct. Three variations of the formulation were trialled in 12 adult male volunteers </w:t>
      </w:r>
      <w:r w:rsidR="00A240E9">
        <w:t>[Information redacted]</w:t>
      </w:r>
      <w:r>
        <w:t xml:space="preserve">. The sensory analysis study determined that the addition of </w:t>
      </w:r>
      <w:r w:rsidR="00A240E9">
        <w:t>[Information redacted]</w:t>
      </w:r>
      <w:r>
        <w:t xml:space="preserve"> made the dispersion acceptable and that a level of </w:t>
      </w:r>
      <w:r w:rsidR="00A240E9">
        <w:t>[Information redacted]</w:t>
      </w:r>
      <w:r>
        <w:t xml:space="preserve"> in a </w:t>
      </w:r>
      <w:r w:rsidR="00A240E9">
        <w:t>t</w:t>
      </w:r>
      <w:r>
        <w:t xml:space="preserve">afenoquine </w:t>
      </w:r>
      <w:r w:rsidR="00A240E9">
        <w:t>d</w:t>
      </w:r>
      <w:r>
        <w:t xml:space="preserve">ispersible </w:t>
      </w:r>
      <w:r w:rsidR="00A240E9">
        <w:t>t</w:t>
      </w:r>
      <w:r>
        <w:t xml:space="preserve">ablet was more acceptable than formulations containing </w:t>
      </w:r>
      <w:r w:rsidR="00A240E9">
        <w:t>[Information redacted]</w:t>
      </w:r>
      <w:r>
        <w:t>.</w:t>
      </w:r>
    </w:p>
    <w:p w14:paraId="6CF3F181" w14:textId="3E7EF061" w:rsidR="00905564" w:rsidRDefault="00905564" w:rsidP="00905564">
      <w:r>
        <w:t xml:space="preserve">The acceptability of the formulation was further verified by </w:t>
      </w:r>
      <w:proofErr w:type="spellStart"/>
      <w:r>
        <w:t>i</w:t>
      </w:r>
      <w:proofErr w:type="spellEnd"/>
      <w:r>
        <w:t xml:space="preserve">) additional </w:t>
      </w:r>
      <w:r w:rsidRPr="00A240E9">
        <w:rPr>
          <w:i/>
          <w:iCs/>
        </w:rPr>
        <w:t>in vitro</w:t>
      </w:r>
      <w:r>
        <w:t xml:space="preserve"> assessment, ii) an additional human sensory study performed on the proposed commercial formulation and iii) the successful completion of Study TAF113577</w:t>
      </w:r>
      <w:r w:rsidR="000470B7">
        <w:t xml:space="preserve"> (TEACH trial</w:t>
      </w:r>
      <w:r>
        <w:t xml:space="preserve">) using the proposed commercial formulation. Development of the dosing regimen during the </w:t>
      </w:r>
      <w:r w:rsidR="00A240E9">
        <w:t xml:space="preserve">Study </w:t>
      </w:r>
      <w:r>
        <w:t xml:space="preserve">TAF113577 refined the administration procedure to minimise instances of intolerance (vomiting). Vomiting is a well-recognised symptom of </w:t>
      </w:r>
      <w:r w:rsidRPr="00A240E9">
        <w:rPr>
          <w:i/>
          <w:iCs/>
        </w:rPr>
        <w:t>P. vivax</w:t>
      </w:r>
      <w:r>
        <w:t xml:space="preserve"> malaria in children;</w:t>
      </w:r>
      <w:r>
        <w:rPr>
          <w:rStyle w:val="FootnoteReference"/>
        </w:rPr>
        <w:footnoteReference w:id="15"/>
      </w:r>
      <w:r>
        <w:t>,</w:t>
      </w:r>
      <w:r>
        <w:rPr>
          <w:rStyle w:val="FootnoteReference"/>
        </w:rPr>
        <w:footnoteReference w:id="16"/>
      </w:r>
      <w:r>
        <w:t xml:space="preserve"> and was also the most common </w:t>
      </w:r>
      <w:r w:rsidR="000470B7">
        <w:t xml:space="preserve">adverse event </w:t>
      </w:r>
      <w:r>
        <w:t xml:space="preserve">reported during the pivotal paediatric </w:t>
      </w:r>
      <w:r w:rsidR="00A240E9">
        <w:t>S</w:t>
      </w:r>
      <w:r>
        <w:t xml:space="preserve">tudy TAF113577 and post-dose vomiting/spitting following the initial dose of </w:t>
      </w:r>
      <w:r w:rsidR="00A240E9">
        <w:t>tafenoquine</w:t>
      </w:r>
      <w:r>
        <w:t xml:space="preserve"> within an hour of administration was also observed. Re</w:t>
      </w:r>
      <w:r w:rsidR="00A240E9">
        <w:noBreakHyphen/>
      </w:r>
      <w:r>
        <w:t xml:space="preserve">dosing was recommended following vomiting/spitting out within </w:t>
      </w:r>
      <w:r w:rsidR="006E18FF">
        <w:t xml:space="preserve">one </w:t>
      </w:r>
      <w:r>
        <w:t xml:space="preserve">hour of administration and did not impact </w:t>
      </w:r>
      <w:r w:rsidR="00A240E9">
        <w:t>tafenoquine</w:t>
      </w:r>
      <w:r>
        <w:t xml:space="preserve"> bioavailability by a clinically relevant amount and none of these subjects experienced a recurrence of </w:t>
      </w:r>
      <w:r w:rsidRPr="00A240E9">
        <w:rPr>
          <w:i/>
          <w:iCs/>
        </w:rPr>
        <w:t>P. vivax</w:t>
      </w:r>
      <w:r>
        <w:t xml:space="preserve"> malaria and thus did not impact the benefit/risk profile of </w:t>
      </w:r>
      <w:r w:rsidR="00A240E9">
        <w:t>tafenoquine</w:t>
      </w:r>
      <w:r>
        <w:t>.</w:t>
      </w:r>
    </w:p>
    <w:p w14:paraId="208356D5" w14:textId="7D1FF5ED" w:rsidR="00905564" w:rsidRDefault="00905564" w:rsidP="00905564">
      <w:r>
        <w:t>To mitigate the risk of an ineffective dose in the event of vomiting or spitting out of medication wording is proposed in the labelling that in the event of vomiting within an hour of dosing, a repeat dose should be given. Paediatric patients should be monitored for vomiting or for spitting out of their dose. Re-dosing should not be attempted more than once and is not recommended if vomiting or spitting out occurs more than an hour after initial dosing.</w:t>
      </w:r>
    </w:p>
    <w:p w14:paraId="599D21B0" w14:textId="26D892A1" w:rsidR="00905564" w:rsidRDefault="00905564" w:rsidP="00905564">
      <w:r>
        <w:t xml:space="preserve">The predicted exposures at the proposed doses indicate in the event where a double dosing were to occur, that is in the unlikely event that both the dose and the re-dose on vomiting are absorbed, the exposure would be within 2-fold of the median exposure, </w:t>
      </w:r>
      <w:r>
        <w:lastRenderedPageBreak/>
        <w:t xml:space="preserve">comparable to those seen at the </w:t>
      </w:r>
      <w:r w:rsidR="00A240E9">
        <w:t>tafenoquine</w:t>
      </w:r>
      <w:r>
        <w:t xml:space="preserve"> 600 mg dose studied in adults in </w:t>
      </w:r>
      <w:r w:rsidR="00A240E9">
        <w:t>Study</w:t>
      </w:r>
      <w:r w:rsidR="000470B7">
        <w:t> </w:t>
      </w:r>
      <w:r>
        <w:t xml:space="preserve">TAF112582 Part 1, </w:t>
      </w:r>
      <w:r w:rsidR="00A240E9">
        <w:t>tafenoquine</w:t>
      </w:r>
      <w:r>
        <w:t xml:space="preserve"> dose ranging study, </w:t>
      </w:r>
      <w:r w:rsidR="00A240E9">
        <w:t>tafenoquine</w:t>
      </w:r>
      <w:r>
        <w:t xml:space="preserve"> has been dosed up to 1200 mg achieving </w:t>
      </w:r>
      <w:r w:rsidR="00A240E9">
        <w:t xml:space="preserve">tafenoquine </w:t>
      </w:r>
      <w:r>
        <w:t>exposures with an acceptable safety profile. Thus, the PK analysis supports the recommendation that subjects should be re-dosed if they vomit or spit out their medication within one hour of initial dosing.</w:t>
      </w:r>
    </w:p>
    <w:p w14:paraId="39A02A9F" w14:textId="6101D9C6" w:rsidR="00905564" w:rsidRDefault="00905564" w:rsidP="00905564">
      <w:r>
        <w:t xml:space="preserve">Unit dose is assured by the individual tablet and dose flexibility to enable </w:t>
      </w:r>
      <w:proofErr w:type="gramStart"/>
      <w:r>
        <w:t>weight based</w:t>
      </w:r>
      <w:proofErr w:type="gramEnd"/>
      <w:r>
        <w:t xml:space="preserve"> dosing is achieved by number of unit doses dispensed by the </w:t>
      </w:r>
      <w:r w:rsidR="000470B7">
        <w:t>healthcare practitioner</w:t>
      </w:r>
      <w:r>
        <w:t xml:space="preserve">, no further adjustment or dilution is required following preparation for dosing. The principal of preparation and administration was assessed in the field studies, with children and infants, performed in Brazil and India. These field studies involved </w:t>
      </w:r>
      <w:r w:rsidR="000470B7">
        <w:t xml:space="preserve">healthcare practitioner </w:t>
      </w:r>
      <w:r>
        <w:t>and caregivers, across a range of literacy levels, and confirmed the Instructions for Use</w:t>
      </w:r>
      <w:r w:rsidR="000470B7">
        <w:t xml:space="preserve"> </w:t>
      </w:r>
      <w:r>
        <w:t>/</w:t>
      </w:r>
      <w:r w:rsidR="000470B7">
        <w:t xml:space="preserve"> </w:t>
      </w:r>
      <w:r>
        <w:t>Australian package insert were understood.</w:t>
      </w:r>
    </w:p>
    <w:p w14:paraId="2024BB2E" w14:textId="5AB95C82" w:rsidR="00905564" w:rsidRDefault="00905564" w:rsidP="00905564">
      <w:r>
        <w:t xml:space="preserve">The </w:t>
      </w:r>
      <w:r w:rsidR="000470B7">
        <w:t xml:space="preserve">Instructions for Use </w:t>
      </w:r>
      <w:r>
        <w:t xml:space="preserve">pictorially show a small cup for dose preparation and a small cup and spoon for administration. While dosing devices are not provided for single dose products, comprehension of the selection of </w:t>
      </w:r>
      <w:proofErr w:type="gramStart"/>
      <w:r>
        <w:t>age appropriate</w:t>
      </w:r>
      <w:proofErr w:type="gramEnd"/>
      <w:r>
        <w:t xml:space="preserve"> dosing devices was confirmed by interview of </w:t>
      </w:r>
      <w:r w:rsidR="000470B7">
        <w:t xml:space="preserve">healthcare practitioner </w:t>
      </w:r>
      <w:r>
        <w:t xml:space="preserve">and caregivers in the field studies. Qualitative data collected in the field studies showed that </w:t>
      </w:r>
      <w:r w:rsidR="000470B7">
        <w:t xml:space="preserve">healthcare practitioner </w:t>
      </w:r>
      <w:r>
        <w:t xml:space="preserve">had, or were able to procure, appropriate devices to facilitate preparation and administration of medicines to paediatric patients. These options would be available in the clinic and could be provided by the </w:t>
      </w:r>
      <w:r w:rsidR="000470B7">
        <w:t xml:space="preserve">healthcare practitioner </w:t>
      </w:r>
      <w:r>
        <w:t>for home administration if required.</w:t>
      </w:r>
    </w:p>
    <w:p w14:paraId="6044A0E3" w14:textId="7CE51316" w:rsidR="00905564" w:rsidRPr="00905564" w:rsidRDefault="00905564" w:rsidP="00905564">
      <w:r>
        <w:t xml:space="preserve">Based on this information </w:t>
      </w:r>
      <w:r w:rsidR="00A240E9">
        <w:t>sponsor</w:t>
      </w:r>
      <w:r>
        <w:t xml:space="preserve"> believe there are no reasons why the product could not be correctly dosed safely in children 6 months to 2 years of age.</w:t>
      </w:r>
    </w:p>
    <w:p w14:paraId="3E2AABC0" w14:textId="77777777" w:rsidR="0074163C" w:rsidRPr="00F73346" w:rsidRDefault="0074163C" w:rsidP="0074163C">
      <w:pPr>
        <w:pStyle w:val="Heading4"/>
      </w:pPr>
      <w:bookmarkStart w:id="54" w:name="_Toc98931936"/>
      <w:bookmarkStart w:id="55" w:name="_Toc247691532"/>
      <w:bookmarkStart w:id="56" w:name="_Toc314842516"/>
      <w:bookmarkEnd w:id="27"/>
      <w:bookmarkEnd w:id="46"/>
      <w:bookmarkEnd w:id="47"/>
      <w:r w:rsidRPr="00F73346">
        <w:t>Advisory Committee considerations</w:t>
      </w:r>
      <w:bookmarkEnd w:id="54"/>
    </w:p>
    <w:p w14:paraId="060BC0B1" w14:textId="46C93479" w:rsidR="0074163C" w:rsidRDefault="0074163C" w:rsidP="0074163C">
      <w:pPr>
        <w:rPr>
          <w:bCs/>
        </w:rPr>
      </w:pPr>
      <w:r w:rsidRPr="00456765">
        <w:rPr>
          <w:bCs/>
        </w:rPr>
        <w:t xml:space="preserve">The </w:t>
      </w:r>
      <w:hyperlink r:id="rId25" w:history="1">
        <w:r w:rsidRPr="00C65E63">
          <w:rPr>
            <w:rStyle w:val="Hyperlink"/>
            <w:szCs w:val="21"/>
          </w:rPr>
          <w:t>Advisory Committee on Medicines (ACM)</w:t>
        </w:r>
      </w:hyperlink>
      <w:r w:rsidRPr="006F343F">
        <w:rPr>
          <w:szCs w:val="21"/>
        </w:rPr>
        <w:t xml:space="preserve"> </w:t>
      </w:r>
      <w:r w:rsidRPr="00456765">
        <w:rPr>
          <w:bCs/>
        </w:rPr>
        <w:t>having considered the evaluations and the Delegate’s overview, as well as the sponsor’s response to these documents, advised the following</w:t>
      </w:r>
      <w:r>
        <w:rPr>
          <w:bCs/>
        </w:rPr>
        <w:t>.</w:t>
      </w:r>
    </w:p>
    <w:p w14:paraId="0BEBF4E9" w14:textId="77777777" w:rsidR="0074163C" w:rsidRPr="00F73346" w:rsidRDefault="0074163C" w:rsidP="0074163C">
      <w:pPr>
        <w:pStyle w:val="Heading5"/>
      </w:pPr>
      <w:r w:rsidRPr="00F73346">
        <w:t>Specific advice to the Delegate</w:t>
      </w:r>
    </w:p>
    <w:p w14:paraId="1D409E56" w14:textId="2D8A6126" w:rsidR="006F343F" w:rsidRPr="00521268" w:rsidRDefault="006F343F" w:rsidP="006F343F">
      <w:pPr>
        <w:pStyle w:val="Numberbullet0"/>
        <w:keepNext/>
        <w:numPr>
          <w:ilvl w:val="0"/>
          <w:numId w:val="35"/>
        </w:numPr>
        <w:rPr>
          <w:b/>
          <w:bCs/>
          <w:i/>
          <w:iCs/>
        </w:rPr>
      </w:pPr>
      <w:r w:rsidRPr="00521268">
        <w:rPr>
          <w:b/>
          <w:bCs/>
          <w:i/>
          <w:iCs/>
        </w:rPr>
        <w:t xml:space="preserve">The </w:t>
      </w:r>
      <w:r w:rsidR="00A240E9">
        <w:rPr>
          <w:b/>
          <w:bCs/>
          <w:i/>
          <w:iCs/>
        </w:rPr>
        <w:t>committee</w:t>
      </w:r>
      <w:r w:rsidRPr="00521268">
        <w:rPr>
          <w:b/>
          <w:bCs/>
          <w:i/>
          <w:iCs/>
        </w:rPr>
        <w:t xml:space="preserve"> is requested advise whether it </w:t>
      </w:r>
      <w:r>
        <w:rPr>
          <w:b/>
          <w:bCs/>
          <w:i/>
          <w:iCs/>
        </w:rPr>
        <w:t xml:space="preserve">is </w:t>
      </w:r>
      <w:r w:rsidRPr="00521268">
        <w:rPr>
          <w:b/>
          <w:bCs/>
          <w:i/>
          <w:iCs/>
        </w:rPr>
        <w:t>clinically appropriate and safe to register the 50</w:t>
      </w:r>
      <w:r>
        <w:rPr>
          <w:b/>
          <w:bCs/>
          <w:i/>
          <w:iCs/>
        </w:rPr>
        <w:t xml:space="preserve"> </w:t>
      </w:r>
      <w:r w:rsidRPr="00521268">
        <w:rPr>
          <w:b/>
          <w:bCs/>
          <w:i/>
          <w:iCs/>
        </w:rPr>
        <w:t>mg dispersible tablet for use in children 6 months to 2 years of age despite lack of any clinical experience in this age group at present.</w:t>
      </w:r>
    </w:p>
    <w:p w14:paraId="53070E66" w14:textId="184ABB27" w:rsidR="006F343F" w:rsidRPr="007D3D4C" w:rsidRDefault="006F343F" w:rsidP="006F343F">
      <w:r w:rsidRPr="00DB0506">
        <w:t xml:space="preserve">The ACM does not consider it clinically appropriate and safe to register the new dosage form for use in children as young as 6 months to 2 years of age </w:t>
      </w:r>
      <w:r>
        <w:t xml:space="preserve">as </w:t>
      </w:r>
      <w:r w:rsidRPr="00DB0506">
        <w:t xml:space="preserve">there was no data in children </w:t>
      </w:r>
      <w:r w:rsidR="00A240E9">
        <w:t>younger than</w:t>
      </w:r>
      <w:r>
        <w:t xml:space="preserve"> </w:t>
      </w:r>
      <w:r w:rsidRPr="00DB0506">
        <w:t>2 years of age</w:t>
      </w:r>
      <w:r>
        <w:t>. The ACM was of the view that e</w:t>
      </w:r>
      <w:r w:rsidRPr="00DB0506">
        <w:t>xtrapolating exposure from adults to children is particularly fraught in the very young age group proposed by the sponsor</w:t>
      </w:r>
      <w:r>
        <w:t xml:space="preserve"> as the PK profile in this age group is likely to be different, presenting </w:t>
      </w:r>
      <w:r w:rsidRPr="00721523">
        <w:t xml:space="preserve">a definite risk of incorrect </w:t>
      </w:r>
      <w:r>
        <w:t>dosing and suboptimal exposure</w:t>
      </w:r>
      <w:r w:rsidRPr="00721523">
        <w:t xml:space="preserve">. Suboptimal exposure will </w:t>
      </w:r>
      <w:r>
        <w:t>reduce the</w:t>
      </w:r>
      <w:r w:rsidRPr="00721523">
        <w:t xml:space="preserve"> efficacy and </w:t>
      </w:r>
      <w:r>
        <w:t xml:space="preserve">affect </w:t>
      </w:r>
      <w:r w:rsidRPr="00721523">
        <w:t>the outcome of treatment.</w:t>
      </w:r>
    </w:p>
    <w:p w14:paraId="50C051FE" w14:textId="77777777" w:rsidR="006F343F" w:rsidRDefault="006F343F" w:rsidP="006F343F">
      <w:r w:rsidRPr="007D3D4C">
        <w:t xml:space="preserve">In addition, </w:t>
      </w:r>
      <w:r>
        <w:t xml:space="preserve">the </w:t>
      </w:r>
      <w:r w:rsidRPr="007D3D4C">
        <w:t xml:space="preserve">ACM </w:t>
      </w:r>
      <w:r>
        <w:t>commented</w:t>
      </w:r>
      <w:r w:rsidRPr="007D3D4C">
        <w:t xml:space="preserve"> that there are alternative safe and effective options (primaquine) and therefore </w:t>
      </w:r>
      <w:r>
        <w:t xml:space="preserve">there is </w:t>
      </w:r>
      <w:r w:rsidRPr="007D3D4C">
        <w:t xml:space="preserve">not an unmet need, particularly in Australia where the number of children under </w:t>
      </w:r>
      <w:r>
        <w:t>2 years of age</w:t>
      </w:r>
      <w:r w:rsidRPr="007D3D4C">
        <w:t xml:space="preserve"> affected</w:t>
      </w:r>
      <w:r>
        <w:t xml:space="preserve"> by malaria</w:t>
      </w:r>
      <w:r w:rsidRPr="007D3D4C">
        <w:t xml:space="preserve"> is low. </w:t>
      </w:r>
      <w:r>
        <w:t>The ACM noted that in Australia, m</w:t>
      </w:r>
      <w:r w:rsidRPr="007D3D4C">
        <w:t>alaria is a disease associated with residing in or travelling to overseas areas with endemic transmission</w:t>
      </w:r>
      <w:r>
        <w:t>.</w:t>
      </w:r>
    </w:p>
    <w:p w14:paraId="7D166F89" w14:textId="141EC138" w:rsidR="006F343F" w:rsidRDefault="006F343F" w:rsidP="006F343F">
      <w:r w:rsidRPr="00DB0506">
        <w:t>The ACM</w:t>
      </w:r>
      <w:r>
        <w:t xml:space="preserve"> was also of the opinion</w:t>
      </w:r>
      <w:r w:rsidRPr="00DB0506">
        <w:t xml:space="preserve"> that </w:t>
      </w:r>
      <w:r>
        <w:t xml:space="preserve">the </w:t>
      </w:r>
      <w:r w:rsidRPr="00DB0506">
        <w:t xml:space="preserve">sponsor could have recruited </w:t>
      </w:r>
      <w:r w:rsidR="000470B7">
        <w:t xml:space="preserve">children </w:t>
      </w:r>
      <w:r w:rsidR="00833537">
        <w:t>younger than</w:t>
      </w:r>
      <w:r>
        <w:t xml:space="preserve"> </w:t>
      </w:r>
      <w:r w:rsidRPr="00DB0506">
        <w:t>2-year-old infants to a carefully selected clinical study centre.</w:t>
      </w:r>
      <w:r>
        <w:t xml:space="preserve"> </w:t>
      </w:r>
      <w:r w:rsidRPr="00125664">
        <w:t xml:space="preserve">The ACM </w:t>
      </w:r>
      <w:r>
        <w:t>concluded</w:t>
      </w:r>
      <w:r w:rsidRPr="00125664">
        <w:t xml:space="preserve"> that data is needed before tafenoquine can </w:t>
      </w:r>
      <w:r>
        <w:t xml:space="preserve">safely </w:t>
      </w:r>
      <w:r w:rsidRPr="00125664">
        <w:t xml:space="preserve">be approved for use in </w:t>
      </w:r>
      <w:r>
        <w:t xml:space="preserve">the </w:t>
      </w:r>
      <w:r w:rsidRPr="003E4167">
        <w:t>6 months to 2</w:t>
      </w:r>
      <w:r w:rsidR="000470B7">
        <w:t> </w:t>
      </w:r>
      <w:r w:rsidRPr="003E4167">
        <w:t>years</w:t>
      </w:r>
      <w:r w:rsidRPr="00125664">
        <w:t xml:space="preserve"> age group.</w:t>
      </w:r>
    </w:p>
    <w:p w14:paraId="60C1DB0C" w14:textId="13BF8401" w:rsidR="006F343F" w:rsidRPr="003369B7" w:rsidRDefault="000470B7" w:rsidP="006F343F">
      <w:pPr>
        <w:pStyle w:val="Numberbullet0"/>
        <w:numPr>
          <w:ilvl w:val="0"/>
          <w:numId w:val="35"/>
        </w:numPr>
        <w:rPr>
          <w:b/>
          <w:bCs/>
          <w:i/>
          <w:iCs/>
        </w:rPr>
      </w:pPr>
      <w:r>
        <w:rPr>
          <w:b/>
          <w:bCs/>
          <w:i/>
          <w:iCs/>
        </w:rPr>
        <w:t>Does the ACM have any o</w:t>
      </w:r>
      <w:r w:rsidR="006F343F">
        <w:rPr>
          <w:b/>
          <w:bCs/>
          <w:i/>
          <w:iCs/>
        </w:rPr>
        <w:t>ther advice</w:t>
      </w:r>
      <w:r>
        <w:rPr>
          <w:b/>
          <w:bCs/>
          <w:i/>
          <w:iCs/>
        </w:rPr>
        <w:t xml:space="preserve"> regarding this submission?</w:t>
      </w:r>
    </w:p>
    <w:p w14:paraId="07FD3401" w14:textId="77777777" w:rsidR="006F343F" w:rsidRDefault="006F343F" w:rsidP="00C61F95">
      <w:r>
        <w:t>The ACM recommended amendments to the proposed Australian PI as follows:</w:t>
      </w:r>
    </w:p>
    <w:p w14:paraId="17C0B945" w14:textId="77777777" w:rsidR="006F343F" w:rsidRPr="003E4167" w:rsidRDefault="006F343F" w:rsidP="006F343F">
      <w:pPr>
        <w:ind w:left="720"/>
        <w:rPr>
          <w:b/>
          <w:bCs/>
        </w:rPr>
      </w:pPr>
      <w:r>
        <w:rPr>
          <w:b/>
          <w:bCs/>
          <w:lang w:val="en-US"/>
        </w:rPr>
        <w:lastRenderedPageBreak/>
        <w:t>‘</w:t>
      </w:r>
      <w:r w:rsidRPr="003E4167">
        <w:rPr>
          <w:b/>
          <w:bCs/>
          <w:lang w:val="en-US"/>
        </w:rPr>
        <w:t>Populations:</w:t>
      </w:r>
    </w:p>
    <w:p w14:paraId="57905AAA" w14:textId="77777777" w:rsidR="006F343F" w:rsidRPr="00B512CD" w:rsidRDefault="006F343F" w:rsidP="006F343F">
      <w:pPr>
        <w:ind w:left="720"/>
      </w:pPr>
      <w:r w:rsidRPr="00B512CD">
        <w:rPr>
          <w:lang w:val="en-US"/>
        </w:rPr>
        <w:t xml:space="preserve">Note that clinical trial experience with KOZENIS in children is limited to patients above 2 years of age, as no patients in the 6 months to 2 years age group or weighing &lt; 10kg </w:t>
      </w:r>
      <w:proofErr w:type="gramStart"/>
      <w:r w:rsidRPr="003E4167">
        <w:rPr>
          <w:b/>
          <w:bCs/>
          <w:strike/>
          <w:lang w:val="en-US"/>
        </w:rPr>
        <w:t>could be</w:t>
      </w:r>
      <w:r w:rsidRPr="003E4167">
        <w:rPr>
          <w:b/>
          <w:bCs/>
          <w:lang w:val="en-US"/>
        </w:rPr>
        <w:t xml:space="preserve"> </w:t>
      </w:r>
      <w:r w:rsidRPr="003E4167">
        <w:rPr>
          <w:b/>
          <w:bCs/>
          <w:u w:val="single"/>
          <w:lang w:val="en-US"/>
        </w:rPr>
        <w:t>were</w:t>
      </w:r>
      <w:proofErr w:type="gramEnd"/>
      <w:r w:rsidRPr="00B512CD">
        <w:rPr>
          <w:lang w:val="en-US"/>
        </w:rPr>
        <w:t xml:space="preserve"> enrolled in the </w:t>
      </w:r>
      <w:proofErr w:type="spellStart"/>
      <w:r w:rsidRPr="00B512CD">
        <w:rPr>
          <w:lang w:val="en-US"/>
        </w:rPr>
        <w:t>paediatric</w:t>
      </w:r>
      <w:proofErr w:type="spellEnd"/>
      <w:r w:rsidRPr="00B512CD">
        <w:rPr>
          <w:lang w:val="en-US"/>
        </w:rPr>
        <w:t xml:space="preserve"> clinical trial (see Section 5.1 PHARMACODYNAMIC PROPERTIES, Clinical Trials). The dose recommendations in Table 1 above are based on pharmacokinetic modelling. The doses across the </w:t>
      </w:r>
      <w:r>
        <w:rPr>
          <w:lang w:val="en-US"/>
        </w:rPr>
        <w:t>3</w:t>
      </w:r>
      <w:r w:rsidRPr="00B512CD">
        <w:rPr>
          <w:lang w:val="en-US"/>
        </w:rPr>
        <w:t xml:space="preserve"> body-weight bands were selected to achieve plasma drug levels comparable to those in adults &amp; adolescents at the approved clinical dose.</w:t>
      </w:r>
      <w:r>
        <w:rPr>
          <w:lang w:val="en-US"/>
        </w:rPr>
        <w:t>’</w:t>
      </w:r>
    </w:p>
    <w:p w14:paraId="761BA2C7" w14:textId="7864ACE8" w:rsidR="006F343F" w:rsidRPr="006F343F" w:rsidRDefault="006F343F" w:rsidP="006F343F">
      <w:r w:rsidRPr="00F82CD0">
        <w:t xml:space="preserve">The ACM also </w:t>
      </w:r>
      <w:r>
        <w:t>advised that relevant places in the PI should</w:t>
      </w:r>
      <w:r w:rsidRPr="00F82CD0">
        <w:t xml:space="preserve"> specify </w:t>
      </w:r>
      <w:r>
        <w:t xml:space="preserve">that </w:t>
      </w:r>
      <w:r w:rsidRPr="00F82CD0">
        <w:t>quantitative</w:t>
      </w:r>
      <w:r w:rsidRPr="00F82CD0">
        <w:rPr>
          <w:b/>
          <w:bCs/>
        </w:rPr>
        <w:t> </w:t>
      </w:r>
      <w:r w:rsidRPr="00F82CD0">
        <w:t>G6PD testing </w:t>
      </w:r>
      <w:r>
        <w:t>is required</w:t>
      </w:r>
      <w:r w:rsidRPr="00F82CD0">
        <w:t>.</w:t>
      </w:r>
      <w:r>
        <w:t xml:space="preserve"> Even patients</w:t>
      </w:r>
      <w:r w:rsidRPr="00137B4D">
        <w:t xml:space="preserve"> with partial deficiency that may be missed by qualitative testing </w:t>
      </w:r>
      <w:r>
        <w:t>are</w:t>
      </w:r>
      <w:r w:rsidRPr="00137B4D">
        <w:t xml:space="preserve"> at risk for h</w:t>
      </w:r>
      <w:r>
        <w:t>a</w:t>
      </w:r>
      <w:r w:rsidRPr="00137B4D">
        <w:t>emolysis. Therefore, physicians must perform quantitative G6PD testing before prescribing tafenoquin</w:t>
      </w:r>
      <w:r>
        <w:t>e.</w:t>
      </w:r>
    </w:p>
    <w:p w14:paraId="281BB23B" w14:textId="77777777" w:rsidR="0074163C" w:rsidRPr="00F73346" w:rsidRDefault="0074163C" w:rsidP="0074163C">
      <w:pPr>
        <w:pStyle w:val="Heading5"/>
      </w:pPr>
      <w:r w:rsidRPr="00F73346">
        <w:t>Conclusion</w:t>
      </w:r>
    </w:p>
    <w:p w14:paraId="2EE64C34" w14:textId="77777777" w:rsidR="006F343F" w:rsidRDefault="006F343F" w:rsidP="006F343F">
      <w:r>
        <w:t>The ACM considered this product to have an overall positive benefit-risk profile for the following indication:</w:t>
      </w:r>
    </w:p>
    <w:p w14:paraId="5406229C" w14:textId="77777777" w:rsidR="006F343F" w:rsidRPr="006F343F" w:rsidRDefault="006F343F" w:rsidP="006F343F">
      <w:pPr>
        <w:ind w:left="720"/>
        <w:rPr>
          <w:i/>
          <w:iCs/>
        </w:rPr>
      </w:pPr>
      <w:r w:rsidRPr="006F343F">
        <w:rPr>
          <w:i/>
          <w:iCs/>
        </w:rPr>
        <w:t>Tafenoquine is indicated for the radical cure (prevention of relapse) of Plasmodium vivax (P. vivax) malaria in patients aged 2 years and older who are receiving chloroquine for acute P. vivax infection.</w:t>
      </w:r>
    </w:p>
    <w:p w14:paraId="0A6A8B99" w14:textId="77777777" w:rsidR="006F343F" w:rsidRDefault="006F343F" w:rsidP="006F343F">
      <w:pPr>
        <w:ind w:left="720"/>
      </w:pPr>
      <w:r w:rsidRPr="006F343F">
        <w:rPr>
          <w:i/>
          <w:iCs/>
        </w:rPr>
        <w:t>Its use should include quantitative G6PD testing to exclude patients with enzyme activity &lt; 70%.</w:t>
      </w:r>
    </w:p>
    <w:p w14:paraId="6F6F8ECD" w14:textId="347A26A7" w:rsidR="006F343F" w:rsidRPr="007D53B6" w:rsidRDefault="006F343F" w:rsidP="006F343F">
      <w:r>
        <w:t>The ACM did not support the indication to include children as young as 6 months and older (≥ 5 kg body weight).</w:t>
      </w:r>
    </w:p>
    <w:p w14:paraId="28EE52A4" w14:textId="77777777" w:rsidR="008E7846" w:rsidRPr="002E238E" w:rsidRDefault="008E7846" w:rsidP="00D212F3">
      <w:pPr>
        <w:pStyle w:val="Heading2"/>
      </w:pPr>
      <w:bookmarkStart w:id="57" w:name="_Toc118798365"/>
      <w:r>
        <w:t>Outcome</w:t>
      </w:r>
      <w:bookmarkEnd w:id="55"/>
      <w:bookmarkEnd w:id="56"/>
      <w:bookmarkEnd w:id="57"/>
    </w:p>
    <w:p w14:paraId="47CB69B8" w14:textId="1B08BD7D" w:rsidR="0074163C" w:rsidRDefault="0074163C" w:rsidP="0074163C">
      <w:bookmarkStart w:id="58" w:name="_Toc247691533"/>
      <w:bookmarkStart w:id="59" w:name="_Toc314842517"/>
      <w:r>
        <w:t xml:space="preserve">Based on a review of quality, </w:t>
      </w:r>
      <w:r w:rsidR="00CC5044">
        <w:t>safety,</w:t>
      </w:r>
      <w:r>
        <w:t xml:space="preserve"> and efficacy, the TGA approved the registration of</w:t>
      </w:r>
      <w:r w:rsidR="006F343F">
        <w:t xml:space="preserve"> </w:t>
      </w:r>
      <w:proofErr w:type="spellStart"/>
      <w:r w:rsidR="006F343F">
        <w:t>Kozenis</w:t>
      </w:r>
      <w:proofErr w:type="spellEnd"/>
      <w:r w:rsidR="006F343F">
        <w:t xml:space="preserve"> (tafenoquine</w:t>
      </w:r>
      <w:r w:rsidR="006F343F" w:rsidRPr="000A4A42">
        <w:t xml:space="preserve">) </w:t>
      </w:r>
      <w:r w:rsidR="006F343F">
        <w:t>50 mg</w:t>
      </w:r>
      <w:r w:rsidR="001C6EB6">
        <w:t xml:space="preserve"> film-coated dispersible tablets, and</w:t>
      </w:r>
      <w:r w:rsidR="006F343F">
        <w:t xml:space="preserve"> 150 mg</w:t>
      </w:r>
      <w:r w:rsidR="006F343F" w:rsidRPr="000A4A42">
        <w:t xml:space="preserve">, </w:t>
      </w:r>
      <w:r w:rsidR="006F343F">
        <w:t>film coated tablet</w:t>
      </w:r>
      <w:r w:rsidR="001C6EB6">
        <w:t xml:space="preserve">s, </w:t>
      </w:r>
      <w:r w:rsidR="006F343F">
        <w:t>blister pack</w:t>
      </w:r>
      <w:r>
        <w:t>, for the following extension of indications</w:t>
      </w:r>
      <w:r w:rsidR="006F343F">
        <w:t xml:space="preserve"> and change in dose form and strength</w:t>
      </w:r>
      <w:r w:rsidR="00833537">
        <w:t>:</w:t>
      </w:r>
    </w:p>
    <w:p w14:paraId="26EE4B93" w14:textId="395A13EA" w:rsidR="00C54779" w:rsidRDefault="00C54779" w:rsidP="00C54779">
      <w:pPr>
        <w:ind w:left="720"/>
        <w:rPr>
          <w:i/>
          <w:iCs/>
        </w:rPr>
      </w:pPr>
      <w:r w:rsidRPr="007A6DB8">
        <w:rPr>
          <w:i/>
          <w:iCs/>
        </w:rPr>
        <w:t>Tafenoquine is indicated, in combination with chloroquine, for the radical cure (prevention of relapse) of Plasmodium vivax (P. vivax) malaria (see Section 4.2 D</w:t>
      </w:r>
      <w:r>
        <w:rPr>
          <w:i/>
          <w:iCs/>
        </w:rPr>
        <w:t xml:space="preserve">ose and method of </w:t>
      </w:r>
      <w:r w:rsidR="00EE2E8F">
        <w:rPr>
          <w:i/>
          <w:iCs/>
        </w:rPr>
        <w:t>administration</w:t>
      </w:r>
      <w:r w:rsidRPr="007A6DB8">
        <w:rPr>
          <w:i/>
          <w:iCs/>
        </w:rPr>
        <w:t>).</w:t>
      </w:r>
    </w:p>
    <w:p w14:paraId="5E9F5C7D" w14:textId="79149D95" w:rsidR="0074163C" w:rsidRDefault="0074163C" w:rsidP="0074163C">
      <w:r>
        <w:t xml:space="preserve">As such, the full indications </w:t>
      </w:r>
      <w:proofErr w:type="gramStart"/>
      <w:r>
        <w:t>at this time</w:t>
      </w:r>
      <w:proofErr w:type="gramEnd"/>
      <w:r>
        <w:t xml:space="preserve"> were:</w:t>
      </w:r>
    </w:p>
    <w:p w14:paraId="09B509FD" w14:textId="4FBAD7FE" w:rsidR="00C54779" w:rsidRDefault="00C54779" w:rsidP="00C54779">
      <w:pPr>
        <w:ind w:left="720"/>
        <w:rPr>
          <w:i/>
          <w:iCs/>
        </w:rPr>
      </w:pPr>
      <w:r w:rsidRPr="007A6DB8">
        <w:rPr>
          <w:i/>
          <w:iCs/>
        </w:rPr>
        <w:t>Tafenoquine is indicated, in combination with chloroquine, for the radical cure (prevention of relapse) of Plasmodium vivax (P. vivax) malaria (see Section 4.2 D</w:t>
      </w:r>
      <w:r>
        <w:rPr>
          <w:i/>
          <w:iCs/>
        </w:rPr>
        <w:t xml:space="preserve">ose and method of </w:t>
      </w:r>
      <w:r w:rsidR="00EE2E8F">
        <w:rPr>
          <w:i/>
          <w:iCs/>
        </w:rPr>
        <w:t>administration</w:t>
      </w:r>
      <w:r w:rsidRPr="007A6DB8">
        <w:rPr>
          <w:i/>
          <w:iCs/>
        </w:rPr>
        <w:t>).</w:t>
      </w:r>
    </w:p>
    <w:p w14:paraId="10CA5E2F" w14:textId="77777777" w:rsidR="00D23139" w:rsidRPr="00D23139" w:rsidRDefault="00D23139" w:rsidP="00D212F3">
      <w:pPr>
        <w:pStyle w:val="Heading3"/>
      </w:pPr>
      <w:bookmarkStart w:id="60" w:name="_Toc118798366"/>
      <w:r w:rsidRPr="00D23139">
        <w:t>Specific conditions of registration applying to these goods</w:t>
      </w:r>
      <w:bookmarkEnd w:id="60"/>
    </w:p>
    <w:p w14:paraId="03755890" w14:textId="5A38974C" w:rsidR="00C54779" w:rsidRDefault="00C54779" w:rsidP="00C54779">
      <w:pPr>
        <w:pStyle w:val="ListBullet"/>
      </w:pPr>
      <w:proofErr w:type="spellStart"/>
      <w:r>
        <w:t>Kozenis</w:t>
      </w:r>
      <w:proofErr w:type="spellEnd"/>
      <w:r>
        <w:t xml:space="preserve"> (tafenoquine succinate) is to be included in the Black Triangle Scheme. The PI and CMI for </w:t>
      </w:r>
      <w:proofErr w:type="spellStart"/>
      <w:r>
        <w:t>K</w:t>
      </w:r>
      <w:r w:rsidR="00610492">
        <w:t>ozenis</w:t>
      </w:r>
      <w:proofErr w:type="spellEnd"/>
      <w:r w:rsidR="00610492">
        <w:t xml:space="preserve"> </w:t>
      </w:r>
      <w:r>
        <w:t>must include the black triangle symbol and mandatory accompanying text for five years, which starts from the date the new indication is registered.</w:t>
      </w:r>
    </w:p>
    <w:p w14:paraId="7FCF7384" w14:textId="4DFCF8E6" w:rsidR="00610492" w:rsidRDefault="00C54779" w:rsidP="00C54779">
      <w:pPr>
        <w:pStyle w:val="ListBullet"/>
      </w:pPr>
      <w:r>
        <w:t xml:space="preserve">The </w:t>
      </w:r>
      <w:proofErr w:type="spellStart"/>
      <w:r>
        <w:t>Kozenis</w:t>
      </w:r>
      <w:proofErr w:type="spellEnd"/>
      <w:r>
        <w:t xml:space="preserve"> AUS-RMP (version 2.0; dated 17 November 2020; DLP 19 July 2020) included with submission PM-2020-05985-1-2, and any subsequent revisions, as agreed with the TGA will be implemented in Australia. </w:t>
      </w:r>
    </w:p>
    <w:p w14:paraId="13A2B472" w14:textId="77777777" w:rsidR="00610492" w:rsidRDefault="00C54779" w:rsidP="00610492">
      <w:pPr>
        <w:pStyle w:val="ListBullet"/>
        <w:numPr>
          <w:ilvl w:val="0"/>
          <w:numId w:val="0"/>
        </w:numPr>
        <w:ind w:left="360"/>
      </w:pPr>
      <w:r>
        <w:lastRenderedPageBreak/>
        <w:t>An obligatory component of risk management plans is routine pharmacovigilance. Routine pharmacovigilance includes the submission of periodic safety update reports (PSURs).</w:t>
      </w:r>
    </w:p>
    <w:p w14:paraId="5E0597B8" w14:textId="1D29120E" w:rsidR="00610492" w:rsidRDefault="00C54779" w:rsidP="00610492">
      <w:pPr>
        <w:pStyle w:val="ListBullet"/>
        <w:numPr>
          <w:ilvl w:val="0"/>
          <w:numId w:val="0"/>
        </w:numPr>
        <w:ind w:left="360"/>
      </w:pPr>
      <w:r>
        <w:t>Unless agreed separately between the supplier who is the recipient of the approval and the TGA, the first report must be submitted to TGA no later than 15 calendar months after the date of th</w:t>
      </w:r>
      <w:r w:rsidR="00610492">
        <w:t>e</w:t>
      </w:r>
      <w:r>
        <w:t xml:space="preserve"> approval letter. The subsequent reports must be submitted no less frequently than annually from the date of the first submitted report until the period covered by such reports is not less than three years from the date of th</w:t>
      </w:r>
      <w:r w:rsidR="00610492">
        <w:t>e</w:t>
      </w:r>
      <w:r>
        <w:t xml:space="preserve"> approval letter. The annual submission may be made up of two PSURs each covering six months. If the sponsor wishes, the </w:t>
      </w:r>
      <w:proofErr w:type="gramStart"/>
      <w:r>
        <w:t>six monthly</w:t>
      </w:r>
      <w:proofErr w:type="gramEnd"/>
      <w:r>
        <w:t xml:space="preserve"> reports may be submitted separately as they become available.</w:t>
      </w:r>
    </w:p>
    <w:p w14:paraId="344509F5" w14:textId="6BA0FAB4" w:rsidR="00610492" w:rsidRDefault="00C54779" w:rsidP="00610492">
      <w:pPr>
        <w:pStyle w:val="ListBullet"/>
        <w:numPr>
          <w:ilvl w:val="0"/>
          <w:numId w:val="0"/>
        </w:numPr>
        <w:ind w:left="360"/>
      </w:pPr>
      <w:r>
        <w:t xml:space="preserve">If the product is approved in the </w:t>
      </w:r>
      <w:r w:rsidR="00610492">
        <w:t xml:space="preserve">[European Union] </w:t>
      </w:r>
      <w:r>
        <w:t>EU during the three years period, reports can be provided in line with the published list of EU reference dates no less frequently than annually from the date of the first submitted report until the period covered by such reports is not less than three years from the date of this approval letter.</w:t>
      </w:r>
    </w:p>
    <w:p w14:paraId="7FEE869B" w14:textId="1BD778E1" w:rsidR="00C54779" w:rsidRPr="00C54779" w:rsidRDefault="00C54779" w:rsidP="00610492">
      <w:pPr>
        <w:pStyle w:val="ListBullet"/>
        <w:numPr>
          <w:ilvl w:val="0"/>
          <w:numId w:val="0"/>
        </w:numPr>
        <w:ind w:left="360"/>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4DD5A305" w14:textId="77777777" w:rsidR="008E7846" w:rsidRDefault="00A80B5B" w:rsidP="00D23139">
      <w:pPr>
        <w:pStyle w:val="Heading2"/>
      </w:pPr>
      <w:bookmarkStart w:id="61" w:name="_Toc118798367"/>
      <w:r>
        <w:t xml:space="preserve">Attachment 1. </w:t>
      </w:r>
      <w:r w:rsidR="008E7846">
        <w:t xml:space="preserve">Product </w:t>
      </w:r>
      <w:r w:rsidR="00AA0ED0">
        <w:t>I</w:t>
      </w:r>
      <w:r w:rsidR="008E7846">
        <w:t>nformation</w:t>
      </w:r>
      <w:bookmarkEnd w:id="58"/>
      <w:bookmarkEnd w:id="59"/>
      <w:bookmarkEnd w:id="61"/>
    </w:p>
    <w:p w14:paraId="17DBD7C7" w14:textId="39D3F66B" w:rsidR="00523A21" w:rsidRDefault="006136D7" w:rsidP="00C80137">
      <w:r w:rsidRPr="002B3624">
        <w:t xml:space="preserve">The </w:t>
      </w:r>
      <w:r>
        <w:t>PI</w:t>
      </w:r>
      <w:r w:rsidRPr="002B3624">
        <w:t xml:space="preserve"> for</w:t>
      </w:r>
      <w:r w:rsidR="00610492">
        <w:t xml:space="preserve"> </w:t>
      </w:r>
      <w:proofErr w:type="spellStart"/>
      <w:r w:rsidR="00610492">
        <w:t>Kozenis</w:t>
      </w:r>
      <w:proofErr w:type="spellEnd"/>
      <w:r w:rsidR="0074163C">
        <w:t xml:space="preserve"> </w:t>
      </w:r>
      <w:r>
        <w:t xml:space="preserve">approved with the submission which is described in </w:t>
      </w:r>
      <w:r w:rsidRPr="002B3624">
        <w:t>this AusPAR is at Attachment 1.</w:t>
      </w:r>
      <w:r w:rsidR="00CC5044">
        <w:t xml:space="preserve"> </w:t>
      </w:r>
      <w:r w:rsidR="0074163C" w:rsidRPr="00940A89">
        <w:t xml:space="preserve">For the most recent </w:t>
      </w:r>
      <w:r w:rsidR="0074163C">
        <w:t>PI,</w:t>
      </w:r>
      <w:r w:rsidR="0074163C" w:rsidRPr="00940A89">
        <w:t xml:space="preserve"> ple</w:t>
      </w:r>
      <w:r w:rsidR="0074163C">
        <w:t xml:space="preserve">ase refer to the TGA </w:t>
      </w:r>
      <w:hyperlink r:id="rId26" w:history="1">
        <w:r w:rsidR="0074163C" w:rsidRPr="008A698E">
          <w:rPr>
            <w:rStyle w:val="Hyperlink"/>
          </w:rPr>
          <w:t>PI/CMI search facility</w:t>
        </w:r>
        <w:r w:rsidR="0074163C" w:rsidRPr="00EB36D6">
          <w:rPr>
            <w:rStyle w:val="Hyperlink"/>
            <w:color w:val="auto"/>
            <w:u w:val="none"/>
          </w:rPr>
          <w:t>.</w:t>
        </w:r>
      </w:hyperlink>
    </w:p>
    <w:p w14:paraId="2A6D2BE9" w14:textId="77777777" w:rsidR="008E7846" w:rsidRPr="00EB36D6" w:rsidRDefault="008E7846" w:rsidP="00EB36D6">
      <w:r w:rsidRPr="00C80137">
        <w:br w:type="page"/>
      </w:r>
    </w:p>
    <w:p w14:paraId="5EC6FF2F" w14:textId="77777777" w:rsidR="00C80137" w:rsidRPr="001D043B" w:rsidRDefault="00C80137" w:rsidP="003A7F6C">
      <w:pPr>
        <w:pStyle w:val="TableTitle"/>
        <w:sectPr w:rsidR="00C80137" w:rsidRPr="001D043B" w:rsidSect="00B452CE">
          <w:headerReference w:type="even" r:id="rId27"/>
          <w:headerReference w:type="default" r:id="rId28"/>
          <w:headerReference w:type="first" r:id="rId29"/>
          <w:footerReference w:type="first" r:id="rId30"/>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7A44735E" w14:textId="77777777" w:rsidTr="00A05FA4">
        <w:trPr>
          <w:trHeight w:hRule="exact" w:val="704"/>
        </w:trPr>
        <w:tc>
          <w:tcPr>
            <w:tcW w:w="9175" w:type="dxa"/>
          </w:tcPr>
          <w:p w14:paraId="1338849F" w14:textId="77777777" w:rsidR="001C32CD" w:rsidRPr="00487162" w:rsidRDefault="001C32CD" w:rsidP="00A05FA4">
            <w:pPr>
              <w:pStyle w:val="TGASignoff"/>
            </w:pPr>
            <w:r w:rsidRPr="00487162">
              <w:lastRenderedPageBreak/>
              <w:t>Therapeutic Goods Administration</w:t>
            </w:r>
          </w:p>
        </w:tc>
      </w:tr>
      <w:tr w:rsidR="001C32CD" w:rsidRPr="004C239D" w14:paraId="74408AA4" w14:textId="77777777" w:rsidTr="00A05FA4">
        <w:trPr>
          <w:trHeight w:val="1221"/>
        </w:trPr>
        <w:tc>
          <w:tcPr>
            <w:tcW w:w="9175" w:type="dxa"/>
            <w:tcMar>
              <w:top w:w="28" w:type="dxa"/>
            </w:tcMar>
          </w:tcPr>
          <w:p w14:paraId="2F0AD26A" w14:textId="77777777" w:rsidR="001C32CD" w:rsidRPr="00487162" w:rsidRDefault="001C32CD" w:rsidP="00A05FA4">
            <w:pPr>
              <w:pStyle w:val="Address"/>
            </w:pPr>
            <w:r w:rsidRPr="00487162">
              <w:t>PO Box 100 Woden ACT 2606 Australia</w:t>
            </w:r>
          </w:p>
          <w:p w14:paraId="4D36EA53" w14:textId="13A13074" w:rsidR="001C32CD" w:rsidRPr="00487162" w:rsidRDefault="001C32CD" w:rsidP="00A05FA4">
            <w:pPr>
              <w:pStyle w:val="Address"/>
            </w:pPr>
            <w:r w:rsidRPr="00487162">
              <w:t xml:space="preserve">Email: </w:t>
            </w:r>
            <w:hyperlink r:id="rId31" w:history="1">
              <w:r w:rsidRPr="004C239D">
                <w:rPr>
                  <w:rStyle w:val="Hyperlink"/>
                </w:rPr>
                <w:t>info@tga.gov.au</w:t>
              </w:r>
            </w:hyperlink>
            <w:r w:rsidRPr="00487162">
              <w:t xml:space="preserve">  Phone: 1800 020 </w:t>
            </w:r>
            <w:proofErr w:type="gramStart"/>
            <w:r w:rsidRPr="00487162">
              <w:t>653  Fax</w:t>
            </w:r>
            <w:proofErr w:type="gramEnd"/>
            <w:r w:rsidRPr="00487162">
              <w:t>: 02 6232 8605</w:t>
            </w:r>
          </w:p>
          <w:p w14:paraId="4EC8465F" w14:textId="29CC93DB" w:rsidR="001C32CD" w:rsidRPr="004C239D" w:rsidRDefault="00503A56" w:rsidP="00A05FA4">
            <w:pPr>
              <w:pStyle w:val="Address"/>
              <w:spacing w:line="260" w:lineRule="atLeast"/>
              <w:rPr>
                <w:b/>
                <w:color w:val="0000FF"/>
                <w:u w:val="single"/>
              </w:rPr>
            </w:pPr>
            <w:hyperlink r:id="rId32" w:history="1">
              <w:r w:rsidR="007C6B9B" w:rsidRPr="007C6B9B">
                <w:rPr>
                  <w:rStyle w:val="Hyperlink"/>
                  <w:b/>
                </w:rPr>
                <w:t>https://www.tga.gov.au</w:t>
              </w:r>
            </w:hyperlink>
          </w:p>
        </w:tc>
      </w:tr>
    </w:tbl>
    <w:p w14:paraId="6B13B780" w14:textId="77777777" w:rsidR="00774E1D" w:rsidRPr="008A5E0B" w:rsidRDefault="00774E1D" w:rsidP="004C239D"/>
    <w:sectPr w:rsidR="00774E1D" w:rsidRPr="008A5E0B" w:rsidSect="001C32CD">
      <w:headerReference w:type="even" r:id="rId33"/>
      <w:headerReference w:type="default" r:id="rId34"/>
      <w:footerReference w:type="default" r:id="rId35"/>
      <w:headerReference w:type="first" r:id="rId36"/>
      <w:footerReference w:type="first" r:id="rId37"/>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0A393" w14:textId="77777777" w:rsidR="000470B7" w:rsidRDefault="000470B7" w:rsidP="00C40A36">
      <w:pPr>
        <w:spacing w:after="0"/>
      </w:pPr>
      <w:r>
        <w:separator/>
      </w:r>
    </w:p>
  </w:endnote>
  <w:endnote w:type="continuationSeparator" w:id="0">
    <w:p w14:paraId="11FF5AFB" w14:textId="77777777" w:rsidR="000470B7" w:rsidRDefault="000470B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TimesNewRoman">
    <w:altName w:val="Yu Gothic UI"/>
    <w:panose1 w:val="00000000000000000000"/>
    <w:charset w:val="00"/>
    <w:family w:val="auto"/>
    <w:notTrueType/>
    <w:pitch w:val="default"/>
    <w:sig w:usb0="00000003" w:usb1="08070000" w:usb2="00000010" w:usb3="00000000" w:csb0="0002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0470B7" w:rsidRPr="00487162" w14:paraId="44DBE0C2" w14:textId="77777777" w:rsidTr="00DB750B">
      <w:trPr>
        <w:trHeight w:val="269"/>
      </w:trPr>
      <w:tc>
        <w:tcPr>
          <w:tcW w:w="7371" w:type="dxa"/>
          <w:tcMar>
            <w:top w:w="142" w:type="dxa"/>
            <w:bottom w:w="0" w:type="dxa"/>
          </w:tcMar>
        </w:tcPr>
        <w:p w14:paraId="5CBEE272" w14:textId="0BC19143" w:rsidR="000470B7" w:rsidRPr="00487162" w:rsidRDefault="000470B7" w:rsidP="00460036">
          <w:pPr>
            <w:pStyle w:val="Footer"/>
          </w:pPr>
          <w:proofErr w:type="spellStart"/>
          <w:r w:rsidRPr="00487162">
            <w:t>AusPA</w:t>
          </w:r>
          <w:r>
            <w:t>R</w:t>
          </w:r>
          <w:proofErr w:type="spellEnd"/>
          <w:r>
            <w:t xml:space="preserve"> - </w:t>
          </w:r>
          <w:proofErr w:type="spellStart"/>
          <w:r>
            <w:t>Kozenis</w:t>
          </w:r>
          <w:proofErr w:type="spellEnd"/>
          <w:r>
            <w:t xml:space="preserve"> </w:t>
          </w:r>
          <w:r w:rsidRPr="00460036">
            <w:t xml:space="preserve">– </w:t>
          </w:r>
          <w:r>
            <w:t>tafenoquine</w:t>
          </w:r>
          <w:r w:rsidRPr="00460036">
            <w:t xml:space="preserve"> </w:t>
          </w:r>
          <w:r>
            <w:t>– GlaxoSmithKline Australia Pty Ltd - PM-2020</w:t>
          </w:r>
          <w:r w:rsidRPr="00487162">
            <w:t>-</w:t>
          </w:r>
          <w:r>
            <w:t>05985</w:t>
          </w:r>
          <w:r w:rsidRPr="00487162">
            <w:t>-</w:t>
          </w:r>
          <w:r>
            <w:t>1</w:t>
          </w:r>
          <w:r w:rsidRPr="00487162">
            <w:t>-</w:t>
          </w:r>
          <w:r>
            <w:t>2</w:t>
          </w:r>
          <w:r>
            <w:br/>
          </w:r>
          <w:r w:rsidR="00E055FA">
            <w:t>FINAL</w:t>
          </w:r>
          <w:r w:rsidRPr="00487162">
            <w:t xml:space="preserve"> </w:t>
          </w:r>
          <w:r w:rsidR="00E055FA">
            <w:t>13 December</w:t>
          </w:r>
          <w:r>
            <w:t xml:space="preserve"> 2022</w:t>
          </w:r>
        </w:p>
      </w:tc>
      <w:tc>
        <w:tcPr>
          <w:tcW w:w="1490" w:type="dxa"/>
          <w:tcMar>
            <w:top w:w="142" w:type="dxa"/>
            <w:bottom w:w="0" w:type="dxa"/>
          </w:tcMar>
        </w:tcPr>
        <w:p w14:paraId="22021492" w14:textId="126203B0" w:rsidR="000470B7" w:rsidRPr="00487162" w:rsidRDefault="000470B7" w:rsidP="00DB750B">
          <w:pPr>
            <w:pStyle w:val="Footer"/>
            <w:jc w:val="right"/>
          </w:pPr>
          <w:r w:rsidRPr="00487162">
            <w:t xml:space="preserve">Page </w:t>
          </w:r>
          <w:r>
            <w:fldChar w:fldCharType="begin"/>
          </w:r>
          <w:r>
            <w:instrText xml:space="preserve"> PAGE  \* Arabic </w:instrText>
          </w:r>
          <w:r>
            <w:fldChar w:fldCharType="separate"/>
          </w:r>
          <w:r w:rsidR="0028042D">
            <w:rPr>
              <w:noProof/>
            </w:rPr>
            <w:t>8</w:t>
          </w:r>
          <w:r>
            <w:fldChar w:fldCharType="end"/>
          </w:r>
          <w:r w:rsidRPr="00487162">
            <w:t xml:space="preserve"> of </w:t>
          </w:r>
          <w:r w:rsidR="00503A56">
            <w:fldChar w:fldCharType="begin"/>
          </w:r>
          <w:r w:rsidR="00503A56">
            <w:instrText xml:space="preserve"> NUMPAGES  \* Arabic </w:instrText>
          </w:r>
          <w:r w:rsidR="00503A56">
            <w:fldChar w:fldCharType="separate"/>
          </w:r>
          <w:r w:rsidR="0028042D">
            <w:rPr>
              <w:noProof/>
            </w:rPr>
            <w:t>23</w:t>
          </w:r>
          <w:r w:rsidR="00503A56">
            <w:rPr>
              <w:noProof/>
            </w:rPr>
            <w:fldChar w:fldCharType="end"/>
          </w:r>
        </w:p>
      </w:tc>
    </w:tr>
  </w:tbl>
  <w:p w14:paraId="424A4366" w14:textId="77777777" w:rsidR="000470B7" w:rsidRDefault="000470B7"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0470B7" w:rsidRPr="00487162" w14:paraId="5EC00FC6" w14:textId="77777777" w:rsidTr="00E45619">
      <w:trPr>
        <w:trHeight w:val="269"/>
      </w:trPr>
      <w:tc>
        <w:tcPr>
          <w:tcW w:w="4519" w:type="dxa"/>
          <w:tcBorders>
            <w:top w:val="single" w:sz="4" w:space="0" w:color="auto"/>
          </w:tcBorders>
          <w:tcMar>
            <w:top w:w="142" w:type="dxa"/>
            <w:bottom w:w="0" w:type="dxa"/>
          </w:tcMar>
        </w:tcPr>
        <w:p w14:paraId="7C70F91A" w14:textId="77777777" w:rsidR="000470B7" w:rsidRPr="00487162" w:rsidRDefault="000470B7" w:rsidP="00FE1DEE">
          <w:pPr>
            <w:pStyle w:val="Footer"/>
          </w:pPr>
          <w:r w:rsidRPr="00487162">
            <w:t>Document title, Part #, Section # - Section title</w:t>
          </w:r>
        </w:p>
        <w:p w14:paraId="15116524" w14:textId="77777777" w:rsidR="000470B7" w:rsidRPr="00487162" w:rsidRDefault="000470B7" w:rsidP="00FE1DEE">
          <w:pPr>
            <w:pStyle w:val="Footer"/>
          </w:pPr>
          <w:r w:rsidRPr="00487162">
            <w:t>V1.0 October 2010</w:t>
          </w:r>
        </w:p>
      </w:tc>
      <w:tc>
        <w:tcPr>
          <w:tcW w:w="4342" w:type="dxa"/>
          <w:tcBorders>
            <w:top w:val="single" w:sz="4" w:space="0" w:color="auto"/>
          </w:tcBorders>
          <w:tcMar>
            <w:top w:w="142" w:type="dxa"/>
            <w:bottom w:w="0" w:type="dxa"/>
          </w:tcMar>
        </w:tcPr>
        <w:p w14:paraId="5761D1F2" w14:textId="77777777" w:rsidR="000470B7" w:rsidRPr="00487162" w:rsidRDefault="000470B7"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503A56">
            <w:fldChar w:fldCharType="begin"/>
          </w:r>
          <w:r w:rsidR="00503A56">
            <w:instrText xml:space="preserve"> NUMPAGES  </w:instrText>
          </w:r>
          <w:r w:rsidR="00503A56">
            <w:fldChar w:fldCharType="separate"/>
          </w:r>
          <w:r>
            <w:rPr>
              <w:noProof/>
            </w:rPr>
            <w:t>21</w:t>
          </w:r>
          <w:r w:rsidR="00503A56">
            <w:rPr>
              <w:noProof/>
            </w:rPr>
            <w:fldChar w:fldCharType="end"/>
          </w:r>
        </w:p>
      </w:tc>
    </w:tr>
  </w:tbl>
  <w:p w14:paraId="0929F720" w14:textId="77777777" w:rsidR="000470B7" w:rsidRDefault="00047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B3DE" w14:textId="77777777" w:rsidR="000470B7" w:rsidRPr="001C32CD" w:rsidRDefault="000470B7"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0470B7" w14:paraId="6CF35B2D" w14:textId="77777777" w:rsidTr="0010601F">
      <w:trPr>
        <w:trHeight w:val="108"/>
      </w:trPr>
      <w:tc>
        <w:tcPr>
          <w:tcW w:w="8875" w:type="dxa"/>
          <w:gridSpan w:val="2"/>
          <w:tcBorders>
            <w:bottom w:val="single" w:sz="4" w:space="0" w:color="auto"/>
          </w:tcBorders>
          <w:tcMar>
            <w:right w:w="284" w:type="dxa"/>
          </w:tcMar>
        </w:tcPr>
        <w:p w14:paraId="6284F3B0" w14:textId="77777777" w:rsidR="000470B7" w:rsidRDefault="000470B7" w:rsidP="006E08B3">
          <w:pPr>
            <w:pStyle w:val="Heading3"/>
          </w:pPr>
          <w:r>
            <w:t>Copyright</w:t>
          </w:r>
        </w:p>
        <w:p w14:paraId="218595C2" w14:textId="77777777" w:rsidR="000470B7" w:rsidRDefault="000470B7" w:rsidP="006E08B3">
          <w:r>
            <w:rPr>
              <w:rFonts w:cs="Arial"/>
            </w:rPr>
            <w:t>©</w:t>
          </w:r>
          <w:r>
            <w:t xml:space="preserve"> Commonwealth of Australia [add year]</w:t>
          </w:r>
        </w:p>
        <w:p w14:paraId="1CCEFFC2" w14:textId="77777777" w:rsidR="000470B7" w:rsidRDefault="000470B7" w:rsidP="006E08B3"/>
        <w:p w14:paraId="4C366581" w14:textId="77777777" w:rsidR="000470B7" w:rsidRDefault="000470B7"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5DE0F043" w14:textId="77777777" w:rsidR="000470B7" w:rsidRDefault="000470B7" w:rsidP="006E08B3"/>
        <w:p w14:paraId="196E117C" w14:textId="77777777" w:rsidR="000470B7" w:rsidRDefault="000470B7" w:rsidP="006E08B3">
          <w:pPr>
            <w:pStyle w:val="Heading3"/>
          </w:pPr>
          <w:r>
            <w:t>Confidentiality</w:t>
          </w:r>
        </w:p>
        <w:p w14:paraId="2EA17F0A" w14:textId="77777777" w:rsidR="000470B7" w:rsidRDefault="000470B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049376EE" w14:textId="77777777" w:rsidR="000470B7" w:rsidRDefault="000470B7" w:rsidP="006E08B3"/>
        <w:p w14:paraId="28464933" w14:textId="77777777" w:rsidR="000470B7" w:rsidRDefault="000470B7" w:rsidP="006E08B3">
          <w:r>
            <w:t>For submission made by individuals, all personal details, other than your name, will be removed from your submission before it is published on the TGA’s Internet site.</w:t>
          </w:r>
        </w:p>
        <w:p w14:paraId="2B7300F8" w14:textId="77777777" w:rsidR="000470B7" w:rsidRDefault="000470B7" w:rsidP="006E08B3"/>
        <w:p w14:paraId="75F902F5" w14:textId="77777777" w:rsidR="000470B7" w:rsidRDefault="000470B7" w:rsidP="006E08B3">
          <w:r>
            <w:t>In addition, a list of parties making submissions will be published. If you do not wish to be identified with your submission you must specifically request this in the space provided in the submission coversheet.</w:t>
          </w:r>
        </w:p>
      </w:tc>
    </w:tr>
    <w:tr w:rsidR="000470B7" w14:paraId="139B7194" w14:textId="77777777" w:rsidTr="0010601F">
      <w:trPr>
        <w:trHeight w:val="417"/>
      </w:trPr>
      <w:tc>
        <w:tcPr>
          <w:tcW w:w="4519" w:type="dxa"/>
          <w:tcBorders>
            <w:top w:val="single" w:sz="4" w:space="0" w:color="auto"/>
          </w:tcBorders>
          <w:tcMar>
            <w:top w:w="142" w:type="dxa"/>
            <w:bottom w:w="0" w:type="dxa"/>
          </w:tcMar>
        </w:tcPr>
        <w:p w14:paraId="4EFDB606" w14:textId="77777777" w:rsidR="000470B7" w:rsidRDefault="000470B7" w:rsidP="006E08B3">
          <w:r>
            <w:t>Document title, Part #, Section # - Section title</w:t>
          </w:r>
        </w:p>
        <w:p w14:paraId="763CD493" w14:textId="77777777" w:rsidR="000470B7" w:rsidRDefault="000470B7" w:rsidP="006E08B3">
          <w:r>
            <w:t>V1.0 October 2010</w:t>
          </w:r>
        </w:p>
      </w:tc>
      <w:tc>
        <w:tcPr>
          <w:tcW w:w="4356" w:type="dxa"/>
          <w:tcBorders>
            <w:top w:val="single" w:sz="4" w:space="0" w:color="auto"/>
          </w:tcBorders>
          <w:tcMar>
            <w:top w:w="142" w:type="dxa"/>
            <w:bottom w:w="0" w:type="dxa"/>
          </w:tcMar>
        </w:tcPr>
        <w:p w14:paraId="16B407C9" w14:textId="77777777" w:rsidR="000470B7" w:rsidRDefault="000470B7"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503A56">
            <w:fldChar w:fldCharType="begin"/>
          </w:r>
          <w:r w:rsidR="00503A56">
            <w:instrText xml:space="preserve"> NUMPAGES  \* Arabic </w:instrText>
          </w:r>
          <w:r w:rsidR="00503A56">
            <w:fldChar w:fldCharType="separate"/>
          </w:r>
          <w:r>
            <w:rPr>
              <w:noProof/>
            </w:rPr>
            <w:t>21</w:t>
          </w:r>
          <w:r w:rsidR="00503A56">
            <w:rPr>
              <w:noProof/>
            </w:rPr>
            <w:fldChar w:fldCharType="end"/>
          </w:r>
          <w:r>
            <w:t xml:space="preserve">  </w:t>
          </w:r>
        </w:p>
      </w:tc>
    </w:tr>
  </w:tbl>
  <w:p w14:paraId="4D610026" w14:textId="77777777" w:rsidR="000470B7" w:rsidRDefault="000470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97440" w14:textId="77777777" w:rsidR="000470B7" w:rsidRDefault="000470B7" w:rsidP="00C40A36">
      <w:pPr>
        <w:spacing w:after="0"/>
      </w:pPr>
      <w:r>
        <w:separator/>
      </w:r>
    </w:p>
  </w:footnote>
  <w:footnote w:type="continuationSeparator" w:id="0">
    <w:p w14:paraId="78B33552" w14:textId="77777777" w:rsidR="000470B7" w:rsidRDefault="000470B7" w:rsidP="00C40A36">
      <w:pPr>
        <w:spacing w:after="0"/>
      </w:pPr>
      <w:r>
        <w:continuationSeparator/>
      </w:r>
    </w:p>
  </w:footnote>
  <w:footnote w:id="1">
    <w:p w14:paraId="5E5BE7D3" w14:textId="784C651B" w:rsidR="000470B7" w:rsidRPr="00E055FA" w:rsidRDefault="000470B7">
      <w:pPr>
        <w:pStyle w:val="FootnoteText"/>
        <w:rPr>
          <w:lang w:val="en-GB"/>
        </w:rPr>
      </w:pPr>
      <w:r>
        <w:rPr>
          <w:rStyle w:val="FootnoteReference"/>
        </w:rPr>
        <w:footnoteRef/>
      </w:r>
      <w:r>
        <w:t xml:space="preserve"> </w:t>
      </w:r>
      <w:r w:rsidRPr="00FD4D04">
        <w:t>World Health Organization. Synopsis of the world malaria situation in 1981</w:t>
      </w:r>
      <w:r>
        <w:t xml:space="preserve">. </w:t>
      </w:r>
      <w:r w:rsidRPr="00E055FA">
        <w:rPr>
          <w:i/>
        </w:rPr>
        <w:t>Weekly Epidemiological Record.</w:t>
      </w:r>
      <w:r w:rsidRPr="00FD4D04">
        <w:t xml:space="preserve"> </w:t>
      </w:r>
      <w:r>
        <w:t xml:space="preserve">WHO </w:t>
      </w:r>
      <w:r w:rsidRPr="00FD4D04">
        <w:t>1983;58(25):189-</w:t>
      </w:r>
      <w:proofErr w:type="gramStart"/>
      <w:r w:rsidRPr="00FD4D04">
        <w:t>92.</w:t>
      </w:r>
      <w:proofErr w:type="gramEnd"/>
    </w:p>
  </w:footnote>
  <w:footnote w:id="2">
    <w:p w14:paraId="26CC44C6" w14:textId="77777777" w:rsidR="000470B7" w:rsidRPr="00E83BEF" w:rsidRDefault="000470B7" w:rsidP="00C4407B">
      <w:pPr>
        <w:pStyle w:val="FootnoteText"/>
        <w:rPr>
          <w:lang w:val="en-GB"/>
        </w:rPr>
      </w:pPr>
      <w:r>
        <w:rPr>
          <w:rStyle w:val="FootnoteReference"/>
        </w:rPr>
        <w:footnoteRef/>
      </w:r>
      <w:r>
        <w:t xml:space="preserve"> </w:t>
      </w:r>
      <w:r w:rsidRPr="00C4407B">
        <w:t>Preston-Thomas A,</w:t>
      </w:r>
      <w:r>
        <w:t xml:space="preserve"> et al.</w:t>
      </w:r>
      <w:r w:rsidRPr="00C4407B">
        <w:t xml:space="preserve"> An outbreak of Plasmodium falciparum malaria in the Torres Strait</w:t>
      </w:r>
      <w:r w:rsidRPr="00E055FA">
        <w:rPr>
          <w:i/>
        </w:rPr>
        <w:t xml:space="preserve">. </w:t>
      </w:r>
      <w:proofErr w:type="spellStart"/>
      <w:r w:rsidRPr="00E055FA">
        <w:rPr>
          <w:i/>
        </w:rPr>
        <w:t>Commun</w:t>
      </w:r>
      <w:proofErr w:type="spellEnd"/>
      <w:r w:rsidRPr="00E055FA">
        <w:rPr>
          <w:i/>
        </w:rPr>
        <w:t xml:space="preserve"> Dis </w:t>
      </w:r>
      <w:proofErr w:type="spellStart"/>
      <w:r w:rsidRPr="00E055FA">
        <w:rPr>
          <w:i/>
        </w:rPr>
        <w:t>Intell</w:t>
      </w:r>
      <w:proofErr w:type="spellEnd"/>
      <w:r w:rsidRPr="00E055FA">
        <w:rPr>
          <w:i/>
        </w:rPr>
        <w:t xml:space="preserve"> Q Rep</w:t>
      </w:r>
      <w:r w:rsidRPr="00C4407B">
        <w:t>. 2012;36(2</w:t>
      </w:r>
      <w:proofErr w:type="gramStart"/>
      <w:r w:rsidRPr="00C4407B">
        <w:t>):E</w:t>
      </w:r>
      <w:proofErr w:type="gramEnd"/>
      <w:r w:rsidRPr="00C4407B">
        <w:t>180-E185.</w:t>
      </w:r>
    </w:p>
  </w:footnote>
  <w:footnote w:id="3">
    <w:p w14:paraId="06D8061B" w14:textId="3C6600D3" w:rsidR="000470B7" w:rsidRPr="00DC1620" w:rsidRDefault="000470B7" w:rsidP="00C4407B">
      <w:pPr>
        <w:pStyle w:val="FootnoteText"/>
        <w:rPr>
          <w:lang w:val="en-GB"/>
        </w:rPr>
      </w:pPr>
      <w:r>
        <w:rPr>
          <w:rStyle w:val="FootnoteReference"/>
        </w:rPr>
        <w:footnoteRef/>
      </w:r>
      <w:r>
        <w:t xml:space="preserve"> </w:t>
      </w:r>
      <w:r w:rsidRPr="00FD4D04">
        <w:t xml:space="preserve">Webb, Doggett, Russell.  A guide to mosquitoes of Australia (2016). </w:t>
      </w:r>
      <w:r w:rsidRPr="00E055FA">
        <w:rPr>
          <w:i/>
        </w:rPr>
        <w:t>CSIRO Publishing</w:t>
      </w:r>
      <w:r>
        <w:rPr>
          <w:i/>
        </w:rPr>
        <w:t>.</w:t>
      </w:r>
    </w:p>
  </w:footnote>
  <w:footnote w:id="4">
    <w:p w14:paraId="46B9D7A7" w14:textId="522BA0C2" w:rsidR="000470B7" w:rsidRPr="00E055FA" w:rsidRDefault="000470B7">
      <w:pPr>
        <w:pStyle w:val="FootnoteText"/>
        <w:rPr>
          <w:lang w:val="en-GB"/>
        </w:rPr>
      </w:pPr>
      <w:r>
        <w:rPr>
          <w:rStyle w:val="FootnoteReference"/>
        </w:rPr>
        <w:footnoteRef/>
      </w:r>
      <w:r>
        <w:t xml:space="preserve"> Robinson, P et al. </w:t>
      </w:r>
      <w:r w:rsidRPr="00C4407B">
        <w:t xml:space="preserve">(2001). Imported Malaria Treated in Melbourne, Australia: Epidemiology and Clinical Features in 246 Patients. </w:t>
      </w:r>
      <w:r w:rsidRPr="00E055FA">
        <w:rPr>
          <w:i/>
        </w:rPr>
        <w:t>Journal of travel medicine.</w:t>
      </w:r>
      <w:r>
        <w:t xml:space="preserve"> 8. 76-81.</w:t>
      </w:r>
    </w:p>
  </w:footnote>
  <w:footnote w:id="5">
    <w:p w14:paraId="267E061C" w14:textId="43DF9E35" w:rsidR="000470B7" w:rsidRPr="00E055FA" w:rsidRDefault="000470B7">
      <w:pPr>
        <w:pStyle w:val="FootnoteText"/>
        <w:rPr>
          <w:lang w:val="en-GB"/>
        </w:rPr>
      </w:pPr>
      <w:r>
        <w:rPr>
          <w:rStyle w:val="FootnoteReference"/>
        </w:rPr>
        <w:footnoteRef/>
      </w:r>
      <w:r>
        <w:t xml:space="preserve"> </w:t>
      </w:r>
      <w:proofErr w:type="spellStart"/>
      <w:r w:rsidRPr="00D90D57">
        <w:t>Phimpraphi</w:t>
      </w:r>
      <w:proofErr w:type="spellEnd"/>
      <w:r w:rsidRPr="00D90D57">
        <w:t xml:space="preserve"> W, et al. Longitudinal study of Plasmodium falciparum and Plasmodium vivax in a Karen population in Thailand. </w:t>
      </w:r>
      <w:r w:rsidRPr="00E055FA">
        <w:rPr>
          <w:i/>
        </w:rPr>
        <w:t>Malaria journal</w:t>
      </w:r>
      <w:r w:rsidRPr="00D90D57">
        <w:t xml:space="preserve"> 2008; 7: 99-99.</w:t>
      </w:r>
    </w:p>
  </w:footnote>
  <w:footnote w:id="6">
    <w:p w14:paraId="268F5269" w14:textId="4AD6597B" w:rsidR="000470B7" w:rsidRPr="00E055FA" w:rsidRDefault="000470B7">
      <w:pPr>
        <w:pStyle w:val="FootnoteText"/>
        <w:rPr>
          <w:lang w:val="en-GB"/>
        </w:rPr>
      </w:pPr>
      <w:r>
        <w:rPr>
          <w:rStyle w:val="FootnoteReference"/>
        </w:rPr>
        <w:footnoteRef/>
      </w:r>
      <w:r>
        <w:t xml:space="preserve"> Douglas N</w:t>
      </w:r>
      <w:r w:rsidRPr="00E94CBE">
        <w:t xml:space="preserve">, et al. Mortality attributable to Plasmodium vivax malaria: a clinical audit from Papua, Indonesia. </w:t>
      </w:r>
      <w:r w:rsidRPr="00E055FA">
        <w:rPr>
          <w:i/>
        </w:rPr>
        <w:t>BMC Med</w:t>
      </w:r>
      <w:r w:rsidRPr="00E94CBE">
        <w:t xml:space="preserve"> 2014; 12: 217.</w:t>
      </w:r>
    </w:p>
  </w:footnote>
  <w:footnote w:id="7">
    <w:p w14:paraId="591578AF" w14:textId="4B9FF355" w:rsidR="000470B7" w:rsidRPr="00E055FA" w:rsidRDefault="000470B7">
      <w:pPr>
        <w:pStyle w:val="FootnoteText"/>
        <w:rPr>
          <w:lang w:val="en-GB"/>
        </w:rPr>
      </w:pPr>
      <w:r>
        <w:rPr>
          <w:rStyle w:val="FootnoteReference"/>
        </w:rPr>
        <w:footnoteRef/>
      </w:r>
      <w:r>
        <w:t xml:space="preserve"> </w:t>
      </w:r>
      <w:proofErr w:type="spellStart"/>
      <w:r w:rsidRPr="00E94CBE">
        <w:t>Feged-Rivadeneira</w:t>
      </w:r>
      <w:proofErr w:type="spellEnd"/>
      <w:r w:rsidRPr="00E94CBE">
        <w:t xml:space="preserve"> A, </w:t>
      </w:r>
      <w:r>
        <w:t>et al.</w:t>
      </w:r>
      <w:r w:rsidRPr="00E94CBE">
        <w:t xml:space="preserve"> Malaria intensity in Colombia by regions and populations. </w:t>
      </w:r>
      <w:proofErr w:type="spellStart"/>
      <w:r w:rsidRPr="00E055FA">
        <w:rPr>
          <w:i/>
        </w:rPr>
        <w:t>PLoS</w:t>
      </w:r>
      <w:proofErr w:type="spellEnd"/>
      <w:r w:rsidRPr="00E055FA">
        <w:rPr>
          <w:i/>
        </w:rPr>
        <w:t xml:space="preserve"> One</w:t>
      </w:r>
      <w:r w:rsidRPr="00E94CBE">
        <w:t xml:space="preserve"> 2018; 13(9): e0203673.</w:t>
      </w:r>
    </w:p>
  </w:footnote>
  <w:footnote w:id="8">
    <w:p w14:paraId="10B7E20F" w14:textId="77777777" w:rsidR="000470B7" w:rsidRPr="003D4C01" w:rsidRDefault="000470B7" w:rsidP="002A549C">
      <w:pPr>
        <w:pStyle w:val="FootnoteText"/>
      </w:pPr>
      <w:r>
        <w:rPr>
          <w:rStyle w:val="FootnoteReference"/>
        </w:rPr>
        <w:footnoteRef/>
      </w:r>
      <w:r>
        <w:t xml:space="preserve"> WHO: Guidelines for the treatment of </w:t>
      </w:r>
      <w:proofErr w:type="gramStart"/>
      <w:r>
        <w:t>malaria.</w:t>
      </w:r>
      <w:proofErr w:type="gramEnd"/>
      <w:r>
        <w:t xml:space="preserve"> Third edition. 2015 World Health Organization: Geneva, Switzerland. Available at: </w:t>
      </w:r>
      <w:hyperlink r:id="rId1" w:history="1">
        <w:r w:rsidRPr="00420918">
          <w:rPr>
            <w:rStyle w:val="Hyperlink"/>
          </w:rPr>
          <w:t>http://www.who.int/malaria/publications/atoz/9789241549127/en/</w:t>
        </w:r>
      </w:hyperlink>
      <w:r>
        <w:t xml:space="preserve"> </w:t>
      </w:r>
    </w:p>
  </w:footnote>
  <w:footnote w:id="9">
    <w:p w14:paraId="37EB3C47" w14:textId="58B01B54" w:rsidR="000470B7" w:rsidRPr="00FD444F" w:rsidRDefault="000470B7" w:rsidP="00FD444F">
      <w:pPr>
        <w:pStyle w:val="FootnoteText"/>
      </w:pPr>
      <w:r>
        <w:rPr>
          <w:rStyle w:val="FootnoteReference"/>
        </w:rPr>
        <w:footnoteRef/>
      </w:r>
      <w:r>
        <w:t xml:space="preserve"> </w:t>
      </w:r>
      <w:proofErr w:type="spellStart"/>
      <w:r>
        <w:t>Sumawinata</w:t>
      </w:r>
      <w:proofErr w:type="spellEnd"/>
      <w:r>
        <w:t xml:space="preserve"> IW, et al. Very high risk of therapeutic failure with chloroquine for uncomplicated Plasmodium falciparum and P. vivax malaria in Indonesian Papua. </w:t>
      </w:r>
      <w:r w:rsidRPr="00E055FA">
        <w:rPr>
          <w:i/>
        </w:rPr>
        <w:t xml:space="preserve">Am J Trop Med and </w:t>
      </w:r>
      <w:proofErr w:type="spellStart"/>
      <w:r w:rsidRPr="00E055FA">
        <w:rPr>
          <w:i/>
        </w:rPr>
        <w:t>Hyg</w:t>
      </w:r>
      <w:proofErr w:type="spellEnd"/>
      <w:r w:rsidRPr="00E055FA">
        <w:rPr>
          <w:i/>
        </w:rPr>
        <w:t>.</w:t>
      </w:r>
      <w:r>
        <w:t xml:space="preserve"> 2003;68(4): 416-420.</w:t>
      </w:r>
    </w:p>
  </w:footnote>
  <w:footnote w:id="10">
    <w:p w14:paraId="774CBE87" w14:textId="064256AF" w:rsidR="000470B7" w:rsidRPr="00E055FA" w:rsidRDefault="000470B7">
      <w:pPr>
        <w:pStyle w:val="FootnoteText"/>
        <w:rPr>
          <w:lang w:val="en-GB"/>
        </w:rPr>
      </w:pPr>
      <w:r>
        <w:rPr>
          <w:rStyle w:val="FootnoteReference"/>
        </w:rPr>
        <w:footnoteRef/>
      </w:r>
      <w:r>
        <w:t xml:space="preserve"> </w:t>
      </w:r>
      <w:proofErr w:type="spellStart"/>
      <w:r>
        <w:t>Sutanto</w:t>
      </w:r>
      <w:proofErr w:type="spellEnd"/>
      <w:r>
        <w:t xml:space="preserve"> I, et al. Evaluation of chloroquine therapy for vivax and falciparum malaria in southern Sumatra, western Indonesia. </w:t>
      </w:r>
      <w:r w:rsidRPr="00E055FA">
        <w:rPr>
          <w:i/>
        </w:rPr>
        <w:t>Malaria Journal</w:t>
      </w:r>
      <w:r>
        <w:t xml:space="preserve">. </w:t>
      </w:r>
      <w:proofErr w:type="gramStart"/>
      <w:r>
        <w:t>2010;9:52</w:t>
      </w:r>
      <w:proofErr w:type="gramEnd"/>
      <w:r>
        <w:t>.</w:t>
      </w:r>
    </w:p>
  </w:footnote>
  <w:footnote w:id="11">
    <w:p w14:paraId="10167BB8" w14:textId="77777777" w:rsidR="0026568B" w:rsidRPr="00A06D75" w:rsidRDefault="0026568B" w:rsidP="0026568B">
      <w:pPr>
        <w:pStyle w:val="FootnoteText"/>
        <w:rPr>
          <w:lang w:val="en-GB"/>
        </w:rPr>
      </w:pPr>
      <w:r>
        <w:rPr>
          <w:rStyle w:val="FootnoteReference"/>
        </w:rPr>
        <w:footnoteRef/>
      </w:r>
      <w:r>
        <w:t xml:space="preserve"> </w:t>
      </w:r>
      <w:proofErr w:type="spellStart"/>
      <w:r w:rsidRPr="003E574A">
        <w:t>Kozenis</w:t>
      </w:r>
      <w:proofErr w:type="spellEnd"/>
      <w:r w:rsidRPr="003E574A">
        <w:t xml:space="preserve"> tafenoquine 150 mg f</w:t>
      </w:r>
      <w:r>
        <w:t>ilm-coated tablet blister pack was first registered on 13 September 2018 (ARTG R 297214)</w:t>
      </w:r>
    </w:p>
  </w:footnote>
  <w:footnote w:id="12">
    <w:p w14:paraId="4994FFBC" w14:textId="77777777" w:rsidR="0026568B" w:rsidRPr="00A06D75" w:rsidRDefault="0026568B" w:rsidP="0026568B">
      <w:pPr>
        <w:pStyle w:val="FootnoteText"/>
        <w:rPr>
          <w:lang w:val="en-GB"/>
        </w:rPr>
      </w:pPr>
      <w:r>
        <w:rPr>
          <w:rStyle w:val="FootnoteReference"/>
        </w:rPr>
        <w:footnoteRef/>
      </w:r>
      <w:r>
        <w:t xml:space="preserve"> </w:t>
      </w:r>
      <w:proofErr w:type="spellStart"/>
      <w:r>
        <w:t>AusPAR</w:t>
      </w:r>
      <w:proofErr w:type="spellEnd"/>
      <w:r>
        <w:t xml:space="preserve"> for </w:t>
      </w:r>
      <w:proofErr w:type="spellStart"/>
      <w:r>
        <w:t>Kozenis</w:t>
      </w:r>
      <w:proofErr w:type="spellEnd"/>
      <w:r>
        <w:t xml:space="preserve"> (tafenoquine (as succinate)) GlaxoSmithKline Australia Pty Ltd, submission PM</w:t>
      </w:r>
      <w:r>
        <w:noBreakHyphen/>
        <w:t>2017</w:t>
      </w:r>
      <w:r>
        <w:noBreakHyphen/>
        <w:t xml:space="preserve">04578-1-2 </w:t>
      </w:r>
      <w:r w:rsidRPr="003E574A">
        <w:t>297214</w:t>
      </w:r>
      <w:r>
        <w:t xml:space="preserve">. Available at: </w:t>
      </w:r>
      <w:hyperlink r:id="rId2" w:history="1">
        <w:proofErr w:type="spellStart"/>
        <w:r>
          <w:rPr>
            <w:rStyle w:val="Hyperlink"/>
          </w:rPr>
          <w:t>AusPAR</w:t>
        </w:r>
        <w:proofErr w:type="spellEnd"/>
        <w:r>
          <w:rPr>
            <w:rStyle w:val="Hyperlink"/>
          </w:rPr>
          <w:t>: Tafenoquine (as succinate) | Therapeutic Goods Administration (TGA)</w:t>
        </w:r>
      </w:hyperlink>
    </w:p>
  </w:footnote>
  <w:footnote w:id="13">
    <w:p w14:paraId="159FDCAF" w14:textId="77777777" w:rsidR="000470B7" w:rsidRPr="00A06D75" w:rsidRDefault="000470B7" w:rsidP="00D41080">
      <w:pPr>
        <w:pStyle w:val="FootnoteText"/>
        <w:rPr>
          <w:lang w:val="en-GB"/>
        </w:rPr>
      </w:pPr>
      <w:r>
        <w:rPr>
          <w:rStyle w:val="FootnoteReference"/>
        </w:rPr>
        <w:footnoteRef/>
      </w:r>
      <w:r>
        <w:t xml:space="preserve"> </w:t>
      </w:r>
      <w:proofErr w:type="spellStart"/>
      <w:r w:rsidRPr="00D57E78">
        <w:t>Abreha</w:t>
      </w:r>
      <w:proofErr w:type="spellEnd"/>
      <w:r w:rsidRPr="00D57E78">
        <w:t xml:space="preserve"> T, et al. Comparison of artemether-lumefantrine and chloroquine with and without primaquine for the treatment of Plasmodium vivax infection in Ethiopia: a randomized controlled trial. </w:t>
      </w:r>
      <w:proofErr w:type="spellStart"/>
      <w:r w:rsidRPr="00A06D75">
        <w:rPr>
          <w:i/>
        </w:rPr>
        <w:t>PLoS</w:t>
      </w:r>
      <w:proofErr w:type="spellEnd"/>
      <w:r w:rsidRPr="00A06D75">
        <w:rPr>
          <w:i/>
        </w:rPr>
        <w:t xml:space="preserve"> Med.</w:t>
      </w:r>
      <w:r w:rsidRPr="00D57E78">
        <w:t xml:space="preserve"> 2017; 14(5</w:t>
      </w:r>
      <w:proofErr w:type="gramStart"/>
      <w:r w:rsidRPr="00D57E78">
        <w:t>):e</w:t>
      </w:r>
      <w:proofErr w:type="gramEnd"/>
      <w:r w:rsidRPr="00D57E78">
        <w:t>1002299.</w:t>
      </w:r>
    </w:p>
  </w:footnote>
  <w:footnote w:id="14">
    <w:p w14:paraId="30E1F12E" w14:textId="77777777" w:rsidR="000470B7" w:rsidRPr="00A06D75" w:rsidRDefault="000470B7" w:rsidP="00D41080">
      <w:pPr>
        <w:pStyle w:val="FootnoteText"/>
        <w:rPr>
          <w:lang w:val="en-GB"/>
        </w:rPr>
      </w:pPr>
      <w:r>
        <w:rPr>
          <w:rStyle w:val="FootnoteReference"/>
        </w:rPr>
        <w:footnoteRef/>
      </w:r>
      <w:r>
        <w:t xml:space="preserve"> </w:t>
      </w:r>
      <w:r w:rsidRPr="00D57E78">
        <w:t xml:space="preserve">Takeuchi R, et al. </w:t>
      </w:r>
      <w:proofErr w:type="gramStart"/>
      <w:r w:rsidRPr="00D57E78">
        <w:t>Directly-observed</w:t>
      </w:r>
      <w:proofErr w:type="gramEnd"/>
      <w:r w:rsidRPr="00D57E78">
        <w:t xml:space="preserve"> therapy (DOT) for the radical 14-day primaquine treatment of Plasmodium vivax malaria on the Thai-Myanmar border</w:t>
      </w:r>
      <w:r w:rsidRPr="00A06D75">
        <w:rPr>
          <w:i/>
        </w:rPr>
        <w:t>. Malaria J.</w:t>
      </w:r>
      <w:r w:rsidRPr="00D57E78">
        <w:t xml:space="preserve"> </w:t>
      </w:r>
      <w:proofErr w:type="gramStart"/>
      <w:r w:rsidRPr="00D57E78">
        <w:t>2010;9:308</w:t>
      </w:r>
      <w:proofErr w:type="gramEnd"/>
    </w:p>
  </w:footnote>
  <w:footnote w:id="15">
    <w:p w14:paraId="195A2675" w14:textId="700CB590" w:rsidR="000470B7" w:rsidRDefault="000470B7" w:rsidP="00905564">
      <w:pPr>
        <w:pStyle w:val="FootnoteText"/>
      </w:pPr>
      <w:r>
        <w:rPr>
          <w:rStyle w:val="FootnoteReference"/>
        </w:rPr>
        <w:footnoteRef/>
      </w:r>
      <w:r>
        <w:t xml:space="preserve"> </w:t>
      </w:r>
      <w:proofErr w:type="spellStart"/>
      <w:r>
        <w:t>Ketema</w:t>
      </w:r>
      <w:proofErr w:type="spellEnd"/>
      <w:r>
        <w:t xml:space="preserve"> T, et al. Plasmodium vivax associated severe malaria complications among children in some</w:t>
      </w:r>
    </w:p>
    <w:p w14:paraId="500E4181" w14:textId="328216B8" w:rsidR="000470B7" w:rsidRDefault="000470B7" w:rsidP="00905564">
      <w:pPr>
        <w:pStyle w:val="FootnoteText"/>
      </w:pPr>
      <w:r>
        <w:t xml:space="preserve">malaria endemic areas of Ethiopia. </w:t>
      </w:r>
      <w:r w:rsidRPr="00905564">
        <w:rPr>
          <w:i/>
          <w:iCs/>
        </w:rPr>
        <w:t>BMC Public Health</w:t>
      </w:r>
      <w:r>
        <w:t xml:space="preserve"> 2013; 13: 637.</w:t>
      </w:r>
    </w:p>
  </w:footnote>
  <w:footnote w:id="16">
    <w:p w14:paraId="178BDDDA" w14:textId="1C7CCFB3" w:rsidR="000470B7" w:rsidRDefault="000470B7" w:rsidP="00905564">
      <w:pPr>
        <w:pStyle w:val="FootnoteText"/>
      </w:pPr>
      <w:r>
        <w:rPr>
          <w:rStyle w:val="FootnoteReference"/>
        </w:rPr>
        <w:footnoteRef/>
      </w:r>
      <w:r>
        <w:t xml:space="preserve"> </w:t>
      </w:r>
      <w:proofErr w:type="spellStart"/>
      <w:r>
        <w:t>Demissie</w:t>
      </w:r>
      <w:proofErr w:type="spellEnd"/>
      <w:r>
        <w:t xml:space="preserve"> Y, et al. Complicated malaria symptoms associated with Plasmodium vivax among patients</w:t>
      </w:r>
    </w:p>
    <w:p w14:paraId="1E5C002B" w14:textId="6BCABED2" w:rsidR="000470B7" w:rsidRDefault="000470B7" w:rsidP="00905564">
      <w:pPr>
        <w:pStyle w:val="FootnoteText"/>
      </w:pPr>
      <w:r>
        <w:t xml:space="preserve">visiting health facilities in Mendi town, Northwest Ethiopia. </w:t>
      </w:r>
      <w:r w:rsidRPr="00905564">
        <w:rPr>
          <w:i/>
          <w:iCs/>
        </w:rPr>
        <w:t>BMC Infect Dis</w:t>
      </w:r>
      <w:r>
        <w:t xml:space="preserve"> 2016; 16(1): 436.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E3D7" w14:textId="77777777" w:rsidR="000470B7" w:rsidRDefault="000470B7"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0C7B" w14:textId="77777777" w:rsidR="000470B7" w:rsidRDefault="000470B7">
    <w:pPr>
      <w:rPr>
        <w:noProof/>
        <w:lang w:eastAsia="en-AU"/>
      </w:rPr>
    </w:pPr>
    <w:r w:rsidRPr="00347824">
      <w:rPr>
        <w:noProof/>
        <w:lang w:val="en-GB" w:eastAsia="en-GB"/>
      </w:rPr>
      <w:drawing>
        <wp:anchor distT="0" distB="0" distL="114300" distR="114300" simplePos="0" relativeHeight="251659264" behindDoc="1" locked="0" layoutInCell="1" allowOverlap="1" wp14:anchorId="6C8B3345" wp14:editId="333AD282">
          <wp:simplePos x="0" y="0"/>
          <wp:positionH relativeFrom="column">
            <wp:posOffset>-1089660</wp:posOffset>
          </wp:positionH>
          <wp:positionV relativeFrom="paragraph">
            <wp:posOffset>-585470</wp:posOffset>
          </wp:positionV>
          <wp:extent cx="7572375" cy="10706100"/>
          <wp:effectExtent l="19050" t="0" r="0" b="0"/>
          <wp:wrapNone/>
          <wp:docPr id="9"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63AA" w14:textId="77777777" w:rsidR="000470B7" w:rsidRDefault="000470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20F1" w14:textId="77777777" w:rsidR="000470B7" w:rsidRDefault="000470B7">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8F22" w14:textId="77777777" w:rsidR="000470B7" w:rsidRDefault="000470B7">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36F4" w14:textId="77777777" w:rsidR="000470B7" w:rsidRDefault="000470B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288F" w14:textId="77777777" w:rsidR="000470B7" w:rsidRDefault="000470B7"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5F81" w14:textId="77777777" w:rsidR="000470B7" w:rsidRDefault="000470B7" w:rsidP="006E08B3">
    <w:r>
      <w:t>Therapeutic Goods Administration</w:t>
    </w:r>
  </w:p>
  <w:p w14:paraId="3071B839" w14:textId="77777777" w:rsidR="000470B7" w:rsidRDefault="000470B7"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92033F"/>
    <w:multiLevelType w:val="hybridMultilevel"/>
    <w:tmpl w:val="4844E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9"/>
  </w:num>
  <w:num w:numId="4">
    <w:abstractNumId w:val="9"/>
  </w:num>
  <w:num w:numId="5">
    <w:abstractNumId w:val="0"/>
  </w:num>
  <w:num w:numId="6">
    <w:abstractNumId w:val="9"/>
  </w:num>
  <w:num w:numId="7">
    <w:abstractNumId w:val="9"/>
  </w:num>
  <w:num w:numId="8">
    <w:abstractNumId w:val="7"/>
  </w:num>
  <w:num w:numId="9">
    <w:abstractNumId w:val="7"/>
  </w:num>
  <w:num w:numId="10">
    <w:abstractNumId w:val="7"/>
  </w:num>
  <w:num w:numId="11">
    <w:abstractNumId w:val="7"/>
  </w:num>
  <w:num w:numId="12">
    <w:abstractNumId w:val="3"/>
    <w:lvlOverride w:ilvl="0">
      <w:lvl w:ilvl="0">
        <w:numFmt w:val="bullet"/>
        <w:lvlText w:val="•"/>
        <w:legacy w:legacy="1" w:legacySpace="0" w:legacyIndent="0"/>
        <w:lvlJc w:val="left"/>
        <w:rPr>
          <w:rFonts w:ascii="Helv" w:hAnsi="Helv" w:hint="default"/>
        </w:rPr>
      </w:lvl>
    </w:lvlOverride>
  </w:num>
  <w:num w:numId="13">
    <w:abstractNumId w:val="9"/>
  </w:num>
  <w:num w:numId="14">
    <w:abstractNumId w:val="9"/>
  </w:num>
  <w:num w:numId="15">
    <w:abstractNumId w:val="9"/>
  </w:num>
  <w:num w:numId="16">
    <w:abstractNumId w:val="7"/>
  </w:num>
  <w:num w:numId="17">
    <w:abstractNumId w:val="7"/>
  </w:num>
  <w:num w:numId="18">
    <w:abstractNumId w:val="7"/>
  </w:num>
  <w:num w:numId="19">
    <w:abstractNumId w:val="9"/>
  </w:num>
  <w:num w:numId="20">
    <w:abstractNumId w:val="9"/>
  </w:num>
  <w:num w:numId="21">
    <w:abstractNumId w:val="9"/>
  </w:num>
  <w:num w:numId="22">
    <w:abstractNumId w:val="7"/>
  </w:num>
  <w:num w:numId="23">
    <w:abstractNumId w:val="7"/>
  </w:num>
  <w:num w:numId="24">
    <w:abstractNumId w:val="7"/>
  </w:num>
  <w:num w:numId="25">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1"/>
  </w:num>
  <w:num w:numId="28">
    <w:abstractNumId w:val="13"/>
  </w:num>
  <w:num w:numId="29">
    <w:abstractNumId w:val="8"/>
  </w:num>
  <w:num w:numId="30">
    <w:abstractNumId w:val="10"/>
  </w:num>
  <w:num w:numId="31">
    <w:abstractNumId w:val="4"/>
  </w:num>
  <w:num w:numId="32">
    <w:abstractNumId w:val="12"/>
  </w:num>
  <w:num w:numId="33">
    <w:abstractNumId w:val="6"/>
  </w:num>
  <w:num w:numId="34">
    <w:abstractNumId w:val="5"/>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F13"/>
    <w:rsid w:val="00002031"/>
    <w:rsid w:val="00004734"/>
    <w:rsid w:val="00006B22"/>
    <w:rsid w:val="00006D31"/>
    <w:rsid w:val="00006FAB"/>
    <w:rsid w:val="0001276A"/>
    <w:rsid w:val="000246AE"/>
    <w:rsid w:val="00025C67"/>
    <w:rsid w:val="00032109"/>
    <w:rsid w:val="00044772"/>
    <w:rsid w:val="0004541C"/>
    <w:rsid w:val="000470B7"/>
    <w:rsid w:val="0005559E"/>
    <w:rsid w:val="000604D6"/>
    <w:rsid w:val="000734D8"/>
    <w:rsid w:val="000760A1"/>
    <w:rsid w:val="00077775"/>
    <w:rsid w:val="000848B1"/>
    <w:rsid w:val="00087381"/>
    <w:rsid w:val="00090471"/>
    <w:rsid w:val="00096AA7"/>
    <w:rsid w:val="000A3AED"/>
    <w:rsid w:val="000B1C82"/>
    <w:rsid w:val="000B3532"/>
    <w:rsid w:val="000B3A75"/>
    <w:rsid w:val="000C00C2"/>
    <w:rsid w:val="000C690F"/>
    <w:rsid w:val="000D1295"/>
    <w:rsid w:val="000D391B"/>
    <w:rsid w:val="000D3D6D"/>
    <w:rsid w:val="000D4FC7"/>
    <w:rsid w:val="000E6196"/>
    <w:rsid w:val="000F4869"/>
    <w:rsid w:val="000F5B42"/>
    <w:rsid w:val="000F6E6F"/>
    <w:rsid w:val="00103607"/>
    <w:rsid w:val="0010601F"/>
    <w:rsid w:val="0010788A"/>
    <w:rsid w:val="00107A31"/>
    <w:rsid w:val="00110EA5"/>
    <w:rsid w:val="00112F56"/>
    <w:rsid w:val="00117C1F"/>
    <w:rsid w:val="00122C2E"/>
    <w:rsid w:val="00124ACD"/>
    <w:rsid w:val="00125318"/>
    <w:rsid w:val="001305A2"/>
    <w:rsid w:val="00133238"/>
    <w:rsid w:val="00133A1B"/>
    <w:rsid w:val="0014197B"/>
    <w:rsid w:val="001447CD"/>
    <w:rsid w:val="001516B1"/>
    <w:rsid w:val="00154EBB"/>
    <w:rsid w:val="00156316"/>
    <w:rsid w:val="00161181"/>
    <w:rsid w:val="00161D56"/>
    <w:rsid w:val="00162D14"/>
    <w:rsid w:val="00163780"/>
    <w:rsid w:val="00165389"/>
    <w:rsid w:val="00170337"/>
    <w:rsid w:val="0017693F"/>
    <w:rsid w:val="0018110E"/>
    <w:rsid w:val="00181684"/>
    <w:rsid w:val="001843C6"/>
    <w:rsid w:val="001850E0"/>
    <w:rsid w:val="00185407"/>
    <w:rsid w:val="001869B6"/>
    <w:rsid w:val="00190644"/>
    <w:rsid w:val="0019371A"/>
    <w:rsid w:val="001A03AF"/>
    <w:rsid w:val="001A12A3"/>
    <w:rsid w:val="001A2158"/>
    <w:rsid w:val="001A525F"/>
    <w:rsid w:val="001A5A00"/>
    <w:rsid w:val="001A66B8"/>
    <w:rsid w:val="001B09F9"/>
    <w:rsid w:val="001B1DA4"/>
    <w:rsid w:val="001B5C90"/>
    <w:rsid w:val="001B6448"/>
    <w:rsid w:val="001C32CD"/>
    <w:rsid w:val="001C6EB6"/>
    <w:rsid w:val="001D2984"/>
    <w:rsid w:val="001E07CF"/>
    <w:rsid w:val="001E359E"/>
    <w:rsid w:val="001E59F1"/>
    <w:rsid w:val="001F2CEE"/>
    <w:rsid w:val="001F49EB"/>
    <w:rsid w:val="001F6CBA"/>
    <w:rsid w:val="001F72F1"/>
    <w:rsid w:val="00201D4E"/>
    <w:rsid w:val="002076C9"/>
    <w:rsid w:val="00220B8A"/>
    <w:rsid w:val="002257F3"/>
    <w:rsid w:val="002314EA"/>
    <w:rsid w:val="00233456"/>
    <w:rsid w:val="002339A5"/>
    <w:rsid w:val="00250271"/>
    <w:rsid w:val="00250F35"/>
    <w:rsid w:val="00257848"/>
    <w:rsid w:val="002578E8"/>
    <w:rsid w:val="0026568B"/>
    <w:rsid w:val="0027084A"/>
    <w:rsid w:val="00271E85"/>
    <w:rsid w:val="00280265"/>
    <w:rsid w:val="0028042D"/>
    <w:rsid w:val="00286434"/>
    <w:rsid w:val="00286C59"/>
    <w:rsid w:val="00291957"/>
    <w:rsid w:val="002942D1"/>
    <w:rsid w:val="0029501A"/>
    <w:rsid w:val="002A3721"/>
    <w:rsid w:val="002A549C"/>
    <w:rsid w:val="002B1638"/>
    <w:rsid w:val="002B3624"/>
    <w:rsid w:val="002C1601"/>
    <w:rsid w:val="002D0952"/>
    <w:rsid w:val="002E40B3"/>
    <w:rsid w:val="002E4C9A"/>
    <w:rsid w:val="002F11F8"/>
    <w:rsid w:val="002F3F56"/>
    <w:rsid w:val="002F44B5"/>
    <w:rsid w:val="002F4EAE"/>
    <w:rsid w:val="002F5122"/>
    <w:rsid w:val="00311AC0"/>
    <w:rsid w:val="003176FC"/>
    <w:rsid w:val="00324E45"/>
    <w:rsid w:val="0032583B"/>
    <w:rsid w:val="00327883"/>
    <w:rsid w:val="00332715"/>
    <w:rsid w:val="00335504"/>
    <w:rsid w:val="0033604D"/>
    <w:rsid w:val="00340C18"/>
    <w:rsid w:val="003442FD"/>
    <w:rsid w:val="00347824"/>
    <w:rsid w:val="00350198"/>
    <w:rsid w:val="00350567"/>
    <w:rsid w:val="003521E8"/>
    <w:rsid w:val="00370CE3"/>
    <w:rsid w:val="003728F3"/>
    <w:rsid w:val="003735BC"/>
    <w:rsid w:val="0037496E"/>
    <w:rsid w:val="00383221"/>
    <w:rsid w:val="00386150"/>
    <w:rsid w:val="003874CE"/>
    <w:rsid w:val="00390900"/>
    <w:rsid w:val="003A7F6C"/>
    <w:rsid w:val="003B4D60"/>
    <w:rsid w:val="003B7E39"/>
    <w:rsid w:val="003C58DC"/>
    <w:rsid w:val="003D1E62"/>
    <w:rsid w:val="003E0B99"/>
    <w:rsid w:val="003E2486"/>
    <w:rsid w:val="003E3208"/>
    <w:rsid w:val="003E574A"/>
    <w:rsid w:val="003F0B04"/>
    <w:rsid w:val="0040134E"/>
    <w:rsid w:val="004334C7"/>
    <w:rsid w:val="00440A2D"/>
    <w:rsid w:val="00441C3F"/>
    <w:rsid w:val="00444D1A"/>
    <w:rsid w:val="0045186A"/>
    <w:rsid w:val="00454BDC"/>
    <w:rsid w:val="004564A7"/>
    <w:rsid w:val="00456765"/>
    <w:rsid w:val="00460036"/>
    <w:rsid w:val="004617BF"/>
    <w:rsid w:val="00463658"/>
    <w:rsid w:val="004637A0"/>
    <w:rsid w:val="004722CC"/>
    <w:rsid w:val="00490483"/>
    <w:rsid w:val="004936E4"/>
    <w:rsid w:val="00494E60"/>
    <w:rsid w:val="00497487"/>
    <w:rsid w:val="004A2771"/>
    <w:rsid w:val="004A6189"/>
    <w:rsid w:val="004A7390"/>
    <w:rsid w:val="004B7B76"/>
    <w:rsid w:val="004C239D"/>
    <w:rsid w:val="004C2B1B"/>
    <w:rsid w:val="004C2DCA"/>
    <w:rsid w:val="004C4FBE"/>
    <w:rsid w:val="004C61D2"/>
    <w:rsid w:val="004E74EE"/>
    <w:rsid w:val="004F0C4A"/>
    <w:rsid w:val="004F0F38"/>
    <w:rsid w:val="004F47D6"/>
    <w:rsid w:val="00500337"/>
    <w:rsid w:val="00501921"/>
    <w:rsid w:val="00503A56"/>
    <w:rsid w:val="00505417"/>
    <w:rsid w:val="0052149B"/>
    <w:rsid w:val="00523A21"/>
    <w:rsid w:val="00530354"/>
    <w:rsid w:val="0053625B"/>
    <w:rsid w:val="005434C6"/>
    <w:rsid w:val="00543B39"/>
    <w:rsid w:val="00545CDB"/>
    <w:rsid w:val="00546154"/>
    <w:rsid w:val="00550096"/>
    <w:rsid w:val="00554282"/>
    <w:rsid w:val="00555280"/>
    <w:rsid w:val="00557FF9"/>
    <w:rsid w:val="00562327"/>
    <w:rsid w:val="005711D5"/>
    <w:rsid w:val="00576378"/>
    <w:rsid w:val="00577130"/>
    <w:rsid w:val="00577945"/>
    <w:rsid w:val="00577E38"/>
    <w:rsid w:val="00585322"/>
    <w:rsid w:val="005857C6"/>
    <w:rsid w:val="00585E05"/>
    <w:rsid w:val="00592F6E"/>
    <w:rsid w:val="00593AD1"/>
    <w:rsid w:val="005A68B6"/>
    <w:rsid w:val="005A79F5"/>
    <w:rsid w:val="005C494B"/>
    <w:rsid w:val="005C5570"/>
    <w:rsid w:val="005C5B66"/>
    <w:rsid w:val="005C79A4"/>
    <w:rsid w:val="005D5442"/>
    <w:rsid w:val="00603F32"/>
    <w:rsid w:val="00605AD4"/>
    <w:rsid w:val="00610492"/>
    <w:rsid w:val="006136D7"/>
    <w:rsid w:val="00625A6E"/>
    <w:rsid w:val="00632398"/>
    <w:rsid w:val="00640FC3"/>
    <w:rsid w:val="00642020"/>
    <w:rsid w:val="006430EE"/>
    <w:rsid w:val="00643CE5"/>
    <w:rsid w:val="0065337B"/>
    <w:rsid w:val="0065419D"/>
    <w:rsid w:val="006603BC"/>
    <w:rsid w:val="006604D8"/>
    <w:rsid w:val="00664A5B"/>
    <w:rsid w:val="0066735C"/>
    <w:rsid w:val="006763D2"/>
    <w:rsid w:val="00680C08"/>
    <w:rsid w:val="006901BA"/>
    <w:rsid w:val="006916A0"/>
    <w:rsid w:val="006931B1"/>
    <w:rsid w:val="006A15C0"/>
    <w:rsid w:val="006A58A8"/>
    <w:rsid w:val="006B1D12"/>
    <w:rsid w:val="006B4644"/>
    <w:rsid w:val="006C3E2A"/>
    <w:rsid w:val="006C642F"/>
    <w:rsid w:val="006D03E5"/>
    <w:rsid w:val="006D40BB"/>
    <w:rsid w:val="006D5D3E"/>
    <w:rsid w:val="006E08B3"/>
    <w:rsid w:val="006E18FF"/>
    <w:rsid w:val="006E7D4A"/>
    <w:rsid w:val="006F17AC"/>
    <w:rsid w:val="006F25B8"/>
    <w:rsid w:val="006F343F"/>
    <w:rsid w:val="006F572E"/>
    <w:rsid w:val="007046D6"/>
    <w:rsid w:val="00705DB0"/>
    <w:rsid w:val="0072292E"/>
    <w:rsid w:val="00722B57"/>
    <w:rsid w:val="00730F8A"/>
    <w:rsid w:val="00732893"/>
    <w:rsid w:val="00735A8C"/>
    <w:rsid w:val="0074163C"/>
    <w:rsid w:val="0074253D"/>
    <w:rsid w:val="00744121"/>
    <w:rsid w:val="0074429B"/>
    <w:rsid w:val="007615BC"/>
    <w:rsid w:val="00762F05"/>
    <w:rsid w:val="007652FF"/>
    <w:rsid w:val="007703EF"/>
    <w:rsid w:val="00770CAC"/>
    <w:rsid w:val="00770EF1"/>
    <w:rsid w:val="0077131A"/>
    <w:rsid w:val="00773EF7"/>
    <w:rsid w:val="00774E1D"/>
    <w:rsid w:val="007765D8"/>
    <w:rsid w:val="0077675A"/>
    <w:rsid w:val="00780355"/>
    <w:rsid w:val="007819FD"/>
    <w:rsid w:val="00785717"/>
    <w:rsid w:val="00785721"/>
    <w:rsid w:val="00793A59"/>
    <w:rsid w:val="007A1A2A"/>
    <w:rsid w:val="007A46F5"/>
    <w:rsid w:val="007A6505"/>
    <w:rsid w:val="007A6DB8"/>
    <w:rsid w:val="007B6132"/>
    <w:rsid w:val="007B6E9F"/>
    <w:rsid w:val="007C1216"/>
    <w:rsid w:val="007C1AF7"/>
    <w:rsid w:val="007C6B9B"/>
    <w:rsid w:val="007D53B6"/>
    <w:rsid w:val="007F6F13"/>
    <w:rsid w:val="00804D99"/>
    <w:rsid w:val="00805D27"/>
    <w:rsid w:val="00806DCB"/>
    <w:rsid w:val="008110BC"/>
    <w:rsid w:val="00821776"/>
    <w:rsid w:val="008307DB"/>
    <w:rsid w:val="008321F5"/>
    <w:rsid w:val="00832369"/>
    <w:rsid w:val="00833537"/>
    <w:rsid w:val="00833ED8"/>
    <w:rsid w:val="00834660"/>
    <w:rsid w:val="00836BC2"/>
    <w:rsid w:val="0085156D"/>
    <w:rsid w:val="00852B28"/>
    <w:rsid w:val="0085641B"/>
    <w:rsid w:val="00857136"/>
    <w:rsid w:val="00865B03"/>
    <w:rsid w:val="00875A6B"/>
    <w:rsid w:val="00885B11"/>
    <w:rsid w:val="00886D15"/>
    <w:rsid w:val="00887DD8"/>
    <w:rsid w:val="00891BA9"/>
    <w:rsid w:val="00896018"/>
    <w:rsid w:val="008960DD"/>
    <w:rsid w:val="0089635C"/>
    <w:rsid w:val="008A2B9D"/>
    <w:rsid w:val="008A3D9F"/>
    <w:rsid w:val="008A3E09"/>
    <w:rsid w:val="008A5E0B"/>
    <w:rsid w:val="008A6D59"/>
    <w:rsid w:val="008B0EC6"/>
    <w:rsid w:val="008B4B03"/>
    <w:rsid w:val="008B596F"/>
    <w:rsid w:val="008C159F"/>
    <w:rsid w:val="008C1623"/>
    <w:rsid w:val="008C1850"/>
    <w:rsid w:val="008C51A9"/>
    <w:rsid w:val="008E7846"/>
    <w:rsid w:val="008F02E5"/>
    <w:rsid w:val="008F1CCC"/>
    <w:rsid w:val="008F2967"/>
    <w:rsid w:val="008F6943"/>
    <w:rsid w:val="00902A21"/>
    <w:rsid w:val="00905564"/>
    <w:rsid w:val="0091523F"/>
    <w:rsid w:val="00920330"/>
    <w:rsid w:val="009219D7"/>
    <w:rsid w:val="00922D53"/>
    <w:rsid w:val="00923B70"/>
    <w:rsid w:val="00924482"/>
    <w:rsid w:val="00930237"/>
    <w:rsid w:val="00937C17"/>
    <w:rsid w:val="00940A89"/>
    <w:rsid w:val="00940B4C"/>
    <w:rsid w:val="00941F77"/>
    <w:rsid w:val="00946EA5"/>
    <w:rsid w:val="009556D7"/>
    <w:rsid w:val="00960520"/>
    <w:rsid w:val="00963C08"/>
    <w:rsid w:val="009752A5"/>
    <w:rsid w:val="0098585A"/>
    <w:rsid w:val="009A1A84"/>
    <w:rsid w:val="009A4CED"/>
    <w:rsid w:val="009A690D"/>
    <w:rsid w:val="009B1D12"/>
    <w:rsid w:val="009B416B"/>
    <w:rsid w:val="009C067E"/>
    <w:rsid w:val="009C4BD5"/>
    <w:rsid w:val="009C79CB"/>
    <w:rsid w:val="009D7B77"/>
    <w:rsid w:val="009E0BB0"/>
    <w:rsid w:val="009E3FBB"/>
    <w:rsid w:val="009E5A87"/>
    <w:rsid w:val="009F2673"/>
    <w:rsid w:val="009F7353"/>
    <w:rsid w:val="00A04F85"/>
    <w:rsid w:val="00A05FA4"/>
    <w:rsid w:val="00A102E4"/>
    <w:rsid w:val="00A1219C"/>
    <w:rsid w:val="00A12C42"/>
    <w:rsid w:val="00A14DF7"/>
    <w:rsid w:val="00A22D57"/>
    <w:rsid w:val="00A240E9"/>
    <w:rsid w:val="00A3246D"/>
    <w:rsid w:val="00A36FA7"/>
    <w:rsid w:val="00A41A73"/>
    <w:rsid w:val="00A44DDB"/>
    <w:rsid w:val="00A475B7"/>
    <w:rsid w:val="00A47AF7"/>
    <w:rsid w:val="00A47C3E"/>
    <w:rsid w:val="00A50226"/>
    <w:rsid w:val="00A60BAD"/>
    <w:rsid w:val="00A77F87"/>
    <w:rsid w:val="00A80B5B"/>
    <w:rsid w:val="00A84E36"/>
    <w:rsid w:val="00A964D1"/>
    <w:rsid w:val="00AA0ED0"/>
    <w:rsid w:val="00AC2B40"/>
    <w:rsid w:val="00AC2BB2"/>
    <w:rsid w:val="00AC2C3C"/>
    <w:rsid w:val="00AC512D"/>
    <w:rsid w:val="00AD0083"/>
    <w:rsid w:val="00AD3935"/>
    <w:rsid w:val="00AE65EB"/>
    <w:rsid w:val="00AE67A7"/>
    <w:rsid w:val="00AF1D94"/>
    <w:rsid w:val="00AF2313"/>
    <w:rsid w:val="00AF60C5"/>
    <w:rsid w:val="00B009C6"/>
    <w:rsid w:val="00B013BE"/>
    <w:rsid w:val="00B01548"/>
    <w:rsid w:val="00B130C5"/>
    <w:rsid w:val="00B13EBD"/>
    <w:rsid w:val="00B1406F"/>
    <w:rsid w:val="00B21D29"/>
    <w:rsid w:val="00B25034"/>
    <w:rsid w:val="00B33588"/>
    <w:rsid w:val="00B33863"/>
    <w:rsid w:val="00B37244"/>
    <w:rsid w:val="00B37D17"/>
    <w:rsid w:val="00B4175E"/>
    <w:rsid w:val="00B41C85"/>
    <w:rsid w:val="00B452CE"/>
    <w:rsid w:val="00B54C25"/>
    <w:rsid w:val="00B67CA3"/>
    <w:rsid w:val="00B76B91"/>
    <w:rsid w:val="00B77EB1"/>
    <w:rsid w:val="00B811C6"/>
    <w:rsid w:val="00B855B0"/>
    <w:rsid w:val="00B92E08"/>
    <w:rsid w:val="00BB0B78"/>
    <w:rsid w:val="00BB75D6"/>
    <w:rsid w:val="00BC622A"/>
    <w:rsid w:val="00BE0864"/>
    <w:rsid w:val="00BE0A78"/>
    <w:rsid w:val="00BE6542"/>
    <w:rsid w:val="00BE79F0"/>
    <w:rsid w:val="00BF046D"/>
    <w:rsid w:val="00BF1190"/>
    <w:rsid w:val="00BF3774"/>
    <w:rsid w:val="00BF5D04"/>
    <w:rsid w:val="00BF60DE"/>
    <w:rsid w:val="00BF7063"/>
    <w:rsid w:val="00C009AA"/>
    <w:rsid w:val="00C1164D"/>
    <w:rsid w:val="00C16861"/>
    <w:rsid w:val="00C34133"/>
    <w:rsid w:val="00C346AB"/>
    <w:rsid w:val="00C404A6"/>
    <w:rsid w:val="00C40A36"/>
    <w:rsid w:val="00C41FF4"/>
    <w:rsid w:val="00C420FC"/>
    <w:rsid w:val="00C4407B"/>
    <w:rsid w:val="00C44419"/>
    <w:rsid w:val="00C45E7B"/>
    <w:rsid w:val="00C462EB"/>
    <w:rsid w:val="00C471B1"/>
    <w:rsid w:val="00C525A2"/>
    <w:rsid w:val="00C52E24"/>
    <w:rsid w:val="00C54779"/>
    <w:rsid w:val="00C61F95"/>
    <w:rsid w:val="00C6316B"/>
    <w:rsid w:val="00C634A9"/>
    <w:rsid w:val="00C64586"/>
    <w:rsid w:val="00C70A36"/>
    <w:rsid w:val="00C70D53"/>
    <w:rsid w:val="00C72837"/>
    <w:rsid w:val="00C73D0B"/>
    <w:rsid w:val="00C74F5C"/>
    <w:rsid w:val="00C772FF"/>
    <w:rsid w:val="00C80137"/>
    <w:rsid w:val="00C801AF"/>
    <w:rsid w:val="00C80256"/>
    <w:rsid w:val="00C91791"/>
    <w:rsid w:val="00C94CD4"/>
    <w:rsid w:val="00C9747E"/>
    <w:rsid w:val="00CB41B8"/>
    <w:rsid w:val="00CB6BC0"/>
    <w:rsid w:val="00CC1B7C"/>
    <w:rsid w:val="00CC5044"/>
    <w:rsid w:val="00CC727F"/>
    <w:rsid w:val="00CF15C3"/>
    <w:rsid w:val="00CF2B6F"/>
    <w:rsid w:val="00CF2F3E"/>
    <w:rsid w:val="00CF58B6"/>
    <w:rsid w:val="00CF5DAD"/>
    <w:rsid w:val="00D0062D"/>
    <w:rsid w:val="00D017ED"/>
    <w:rsid w:val="00D040D3"/>
    <w:rsid w:val="00D04C65"/>
    <w:rsid w:val="00D153D8"/>
    <w:rsid w:val="00D201D2"/>
    <w:rsid w:val="00D212F3"/>
    <w:rsid w:val="00D224FE"/>
    <w:rsid w:val="00D23139"/>
    <w:rsid w:val="00D3170A"/>
    <w:rsid w:val="00D36F56"/>
    <w:rsid w:val="00D41080"/>
    <w:rsid w:val="00D425BB"/>
    <w:rsid w:val="00D453FA"/>
    <w:rsid w:val="00D56348"/>
    <w:rsid w:val="00D57E78"/>
    <w:rsid w:val="00D6493E"/>
    <w:rsid w:val="00D70A51"/>
    <w:rsid w:val="00D7195D"/>
    <w:rsid w:val="00D72CBA"/>
    <w:rsid w:val="00D7301E"/>
    <w:rsid w:val="00D83AE1"/>
    <w:rsid w:val="00D854AC"/>
    <w:rsid w:val="00D855D4"/>
    <w:rsid w:val="00D902C9"/>
    <w:rsid w:val="00D90D57"/>
    <w:rsid w:val="00D93466"/>
    <w:rsid w:val="00DA1124"/>
    <w:rsid w:val="00DA64CB"/>
    <w:rsid w:val="00DB06B8"/>
    <w:rsid w:val="00DB3325"/>
    <w:rsid w:val="00DB6124"/>
    <w:rsid w:val="00DB750B"/>
    <w:rsid w:val="00DB75B7"/>
    <w:rsid w:val="00DC0A2F"/>
    <w:rsid w:val="00DC1948"/>
    <w:rsid w:val="00DC6E02"/>
    <w:rsid w:val="00DD28CD"/>
    <w:rsid w:val="00DD3121"/>
    <w:rsid w:val="00DE02AE"/>
    <w:rsid w:val="00DE0831"/>
    <w:rsid w:val="00DE39D1"/>
    <w:rsid w:val="00DF1D7F"/>
    <w:rsid w:val="00DF4BE4"/>
    <w:rsid w:val="00DF7C6F"/>
    <w:rsid w:val="00E02382"/>
    <w:rsid w:val="00E02FB4"/>
    <w:rsid w:val="00E055FA"/>
    <w:rsid w:val="00E13FC7"/>
    <w:rsid w:val="00E20571"/>
    <w:rsid w:val="00E235DD"/>
    <w:rsid w:val="00E235F7"/>
    <w:rsid w:val="00E23659"/>
    <w:rsid w:val="00E239D4"/>
    <w:rsid w:val="00E26130"/>
    <w:rsid w:val="00E33D42"/>
    <w:rsid w:val="00E40B22"/>
    <w:rsid w:val="00E44ED1"/>
    <w:rsid w:val="00E45619"/>
    <w:rsid w:val="00E4588F"/>
    <w:rsid w:val="00E46DA3"/>
    <w:rsid w:val="00E51BB1"/>
    <w:rsid w:val="00E55CB0"/>
    <w:rsid w:val="00E624A5"/>
    <w:rsid w:val="00E64BA4"/>
    <w:rsid w:val="00E7344E"/>
    <w:rsid w:val="00E82665"/>
    <w:rsid w:val="00E94CBE"/>
    <w:rsid w:val="00EB0798"/>
    <w:rsid w:val="00EB36D6"/>
    <w:rsid w:val="00EB40AD"/>
    <w:rsid w:val="00EB586E"/>
    <w:rsid w:val="00EB5FC8"/>
    <w:rsid w:val="00EC4342"/>
    <w:rsid w:val="00EC463D"/>
    <w:rsid w:val="00EC7A85"/>
    <w:rsid w:val="00ED2922"/>
    <w:rsid w:val="00ED3CAD"/>
    <w:rsid w:val="00ED533B"/>
    <w:rsid w:val="00ED5A41"/>
    <w:rsid w:val="00EE1DE8"/>
    <w:rsid w:val="00EE27C2"/>
    <w:rsid w:val="00EE2E8F"/>
    <w:rsid w:val="00EF4BAD"/>
    <w:rsid w:val="00EF59DC"/>
    <w:rsid w:val="00EF66B5"/>
    <w:rsid w:val="00F033EC"/>
    <w:rsid w:val="00F04F68"/>
    <w:rsid w:val="00F12670"/>
    <w:rsid w:val="00F14B27"/>
    <w:rsid w:val="00F20B5A"/>
    <w:rsid w:val="00F23BDD"/>
    <w:rsid w:val="00F3148D"/>
    <w:rsid w:val="00F325C5"/>
    <w:rsid w:val="00F32FE0"/>
    <w:rsid w:val="00F35298"/>
    <w:rsid w:val="00F4216E"/>
    <w:rsid w:val="00F47333"/>
    <w:rsid w:val="00F47E37"/>
    <w:rsid w:val="00F53C07"/>
    <w:rsid w:val="00F54B65"/>
    <w:rsid w:val="00F63DBF"/>
    <w:rsid w:val="00F640B6"/>
    <w:rsid w:val="00F66DF2"/>
    <w:rsid w:val="00F80E40"/>
    <w:rsid w:val="00F848D9"/>
    <w:rsid w:val="00F931CE"/>
    <w:rsid w:val="00FA4BBA"/>
    <w:rsid w:val="00FA5069"/>
    <w:rsid w:val="00FA5B82"/>
    <w:rsid w:val="00FA639E"/>
    <w:rsid w:val="00FC1FCA"/>
    <w:rsid w:val="00FC25E4"/>
    <w:rsid w:val="00FC4EF7"/>
    <w:rsid w:val="00FD0824"/>
    <w:rsid w:val="00FD119B"/>
    <w:rsid w:val="00FD1EDC"/>
    <w:rsid w:val="00FD444F"/>
    <w:rsid w:val="00FD4D04"/>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77D0F6"/>
  <w15:docId w15:val="{E779EB83-F906-4C99-8B0E-199A64EF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20B5A"/>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9556D7"/>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9556D7"/>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9556D7"/>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9556D7"/>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9556D7"/>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9556D7"/>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9F2673"/>
    <w:pPr>
      <w:keepNext/>
      <w:spacing w:after="180"/>
    </w:pPr>
    <w:rPr>
      <w:b/>
      <w:szCs w:val="20"/>
    </w:rPr>
  </w:style>
  <w:style w:type="character" w:customStyle="1" w:styleId="UnresolvedMention1">
    <w:name w:val="Unresolved Mention1"/>
    <w:basedOn w:val="DefaultParagraphFont"/>
    <w:uiPriority w:val="99"/>
    <w:semiHidden/>
    <w:unhideWhenUsed/>
    <w:rsid w:val="009F2673"/>
    <w:rPr>
      <w:color w:val="605E5C"/>
      <w:shd w:val="clear" w:color="auto" w:fill="E1DFDD"/>
    </w:rPr>
  </w:style>
  <w:style w:type="paragraph" w:customStyle="1" w:styleId="Default">
    <w:name w:val="Default"/>
    <w:rsid w:val="008A3E09"/>
    <w:pPr>
      <w:autoSpaceDE w:val="0"/>
      <w:autoSpaceDN w:val="0"/>
      <w:adjustRightInd w:val="0"/>
      <w:spacing w:after="0" w:line="240" w:lineRule="auto"/>
    </w:pPr>
    <w:rPr>
      <w:rFonts w:ascii="Cambria" w:hAnsi="Cambria" w:cs="Cambria"/>
      <w:color w:val="000000"/>
      <w:sz w:val="24"/>
      <w:szCs w:val="24"/>
    </w:rPr>
  </w:style>
  <w:style w:type="character" w:customStyle="1" w:styleId="TabletextChar">
    <w:name w:val="Table text Char"/>
    <w:basedOn w:val="DefaultParagraphFont"/>
    <w:link w:val="Tabletext"/>
    <w:rsid w:val="00170337"/>
    <w:rPr>
      <w:rFonts w:ascii="Cambria" w:eastAsia="Cambria" w:hAnsi="Cambria" w:cs="Times New Roman"/>
      <w:sz w:val="19"/>
    </w:rPr>
  </w:style>
  <w:style w:type="paragraph" w:customStyle="1" w:styleId="Bulletlist">
    <w:name w:val="Bullet list"/>
    <w:basedOn w:val="Normal"/>
    <w:link w:val="BulletlistChar"/>
    <w:qFormat/>
    <w:rsid w:val="00170337"/>
    <w:pPr>
      <w:numPr>
        <w:numId w:val="34"/>
      </w:numPr>
      <w:spacing w:before="0" w:after="180" w:line="252" w:lineRule="auto"/>
      <w:ind w:left="426" w:hanging="284"/>
    </w:pPr>
    <w:rPr>
      <w:rFonts w:eastAsia="Times New Roman"/>
      <w:snapToGrid w:val="0"/>
      <w:kern w:val="2"/>
      <w:sz w:val="23"/>
    </w:rPr>
  </w:style>
  <w:style w:type="character" w:customStyle="1" w:styleId="BulletlistChar">
    <w:name w:val="Bullet list Char"/>
    <w:basedOn w:val="DefaultParagraphFont"/>
    <w:link w:val="Bulletlist"/>
    <w:rsid w:val="00170337"/>
    <w:rPr>
      <w:rFonts w:ascii="Cambria" w:eastAsia="Times New Roman" w:hAnsi="Cambria" w:cs="Times New Roman"/>
      <w:snapToGrid w:val="0"/>
      <w:kern w:val="2"/>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89732">
      <w:bodyDiv w:val="1"/>
      <w:marLeft w:val="0"/>
      <w:marRight w:val="0"/>
      <w:marTop w:val="0"/>
      <w:marBottom w:val="0"/>
      <w:divBdr>
        <w:top w:val="none" w:sz="0" w:space="0" w:color="auto"/>
        <w:left w:val="none" w:sz="0" w:space="0" w:color="auto"/>
        <w:bottom w:val="none" w:sz="0" w:space="0" w:color="auto"/>
        <w:right w:val="none" w:sz="0" w:space="0" w:color="auto"/>
      </w:divBdr>
    </w:div>
    <w:div w:id="643001893">
      <w:bodyDiv w:val="1"/>
      <w:marLeft w:val="0"/>
      <w:marRight w:val="0"/>
      <w:marTop w:val="0"/>
      <w:marBottom w:val="0"/>
      <w:divBdr>
        <w:top w:val="none" w:sz="0" w:space="0" w:color="auto"/>
        <w:left w:val="none" w:sz="0" w:space="0" w:color="auto"/>
        <w:bottom w:val="none" w:sz="0" w:space="0" w:color="auto"/>
        <w:right w:val="none" w:sz="0" w:space="0" w:color="auto"/>
      </w:divBdr>
    </w:div>
    <w:div w:id="785083079">
      <w:bodyDiv w:val="1"/>
      <w:marLeft w:val="0"/>
      <w:marRight w:val="0"/>
      <w:marTop w:val="0"/>
      <w:marBottom w:val="0"/>
      <w:divBdr>
        <w:top w:val="none" w:sz="0" w:space="0" w:color="auto"/>
        <w:left w:val="none" w:sz="0" w:space="0" w:color="auto"/>
        <w:bottom w:val="none" w:sz="0" w:space="0" w:color="auto"/>
        <w:right w:val="none" w:sz="0" w:space="0" w:color="auto"/>
      </w:divBdr>
    </w:div>
    <w:div w:id="842208009">
      <w:bodyDiv w:val="1"/>
      <w:marLeft w:val="0"/>
      <w:marRight w:val="0"/>
      <w:marTop w:val="0"/>
      <w:marBottom w:val="0"/>
      <w:divBdr>
        <w:top w:val="none" w:sz="0" w:space="0" w:color="auto"/>
        <w:left w:val="none" w:sz="0" w:space="0" w:color="auto"/>
        <w:bottom w:val="none" w:sz="0" w:space="0" w:color="auto"/>
        <w:right w:val="none" w:sz="0" w:space="0" w:color="auto"/>
      </w:divBdr>
    </w:div>
    <w:div w:id="1486387910">
      <w:bodyDiv w:val="1"/>
      <w:marLeft w:val="0"/>
      <w:marRight w:val="0"/>
      <w:marTop w:val="0"/>
      <w:marBottom w:val="0"/>
      <w:divBdr>
        <w:top w:val="none" w:sz="0" w:space="0" w:color="auto"/>
        <w:left w:val="none" w:sz="0" w:space="0" w:color="auto"/>
        <w:bottom w:val="none" w:sz="0" w:space="0" w:color="auto"/>
        <w:right w:val="none" w:sz="0" w:space="0" w:color="auto"/>
      </w:divBdr>
    </w:div>
    <w:div w:id="1563560313">
      <w:bodyDiv w:val="1"/>
      <w:marLeft w:val="0"/>
      <w:marRight w:val="0"/>
      <w:marTop w:val="0"/>
      <w:marBottom w:val="0"/>
      <w:divBdr>
        <w:top w:val="none" w:sz="0" w:space="0" w:color="auto"/>
        <w:left w:val="none" w:sz="0" w:space="0" w:color="auto"/>
        <w:bottom w:val="none" w:sz="0" w:space="0" w:color="auto"/>
        <w:right w:val="none" w:sz="0" w:space="0" w:color="auto"/>
      </w:divBdr>
    </w:div>
    <w:div w:id="1878739786">
      <w:bodyDiv w:val="1"/>
      <w:marLeft w:val="0"/>
      <w:marRight w:val="0"/>
      <w:marTop w:val="0"/>
      <w:marBottom w:val="0"/>
      <w:divBdr>
        <w:top w:val="none" w:sz="0" w:space="0" w:color="auto"/>
        <w:left w:val="none" w:sz="0" w:space="0" w:color="auto"/>
        <w:bottom w:val="none" w:sz="0" w:space="0" w:color="auto"/>
        <w:right w:val="none" w:sz="0" w:space="0" w:color="auto"/>
      </w:divBdr>
    </w:div>
    <w:div w:id="1979408714">
      <w:bodyDiv w:val="1"/>
      <w:marLeft w:val="0"/>
      <w:marRight w:val="0"/>
      <w:marTop w:val="0"/>
      <w:marBottom w:val="0"/>
      <w:divBdr>
        <w:top w:val="none" w:sz="0" w:space="0" w:color="auto"/>
        <w:left w:val="none" w:sz="0" w:space="0" w:color="auto"/>
        <w:bottom w:val="none" w:sz="0" w:space="0" w:color="auto"/>
        <w:right w:val="none" w:sz="0" w:space="0" w:color="auto"/>
      </w:divBdr>
    </w:div>
    <w:div w:id="2059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https://www.tga.gov.au/picmi-search-facility"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hyperlink" Target="https://www.tga.gov.au/committee/advisory-committee-medicines-acm" TargetMode="Externa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picmi-search-facility" TargetMode="External"/><Relationship Id="rId20" Type="http://schemas.openxmlformats.org/officeDocument/2006/relationships/image" Target="media/image5.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hyperlink" Target="https://www.tga.gov.au"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tga.gov.au/publication/orphan-drug-designation" TargetMode="External"/><Relationship Id="rId23" Type="http://schemas.openxmlformats.org/officeDocument/2006/relationships/hyperlink" Target="https://www.tga.gov.au/tgas-risk-management-approach" TargetMode="External"/><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hyperlink" Target="mailto:tga.copyright@tga.gov.au" TargetMode="External"/><Relationship Id="rId19" Type="http://schemas.openxmlformats.org/officeDocument/2006/relationships/image" Target="media/image4.png"/><Relationship Id="rId31"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hyperlink" Target="https://www.tga.gov.au/australian-public-assessment-report-auspar-guidance" TargetMode="External"/><Relationship Id="rId14" Type="http://schemas.openxmlformats.org/officeDocument/2006/relationships/hyperlink" Target="https://www.tga.gov.au/black-triangle-scheme" TargetMode="External"/><Relationship Id="rId22" Type="http://schemas.openxmlformats.org/officeDocument/2006/relationships/hyperlink" Target="https://www.tga.gov.au/publication/risk-management-plans-medicines-and-biologicals" TargetMode="External"/><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tga.gov.au/resources/auspar/auspar-tafenoquine-succinate" TargetMode="External"/><Relationship Id="rId1" Type="http://schemas.openxmlformats.org/officeDocument/2006/relationships/hyperlink" Target="http://www.who.int/malaria/publications/atoz/9789241549127/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8164\D22-5542303%20%20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72123-E784-443B-AF89-86AFCDD0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D22-5542303  AusPAR template.DOTX</Template>
  <TotalTime>14</TotalTime>
  <Pages>22</Pages>
  <Words>6486</Words>
  <Characters>36974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Company>
  <LinksUpToDate>false</LinksUpToDate>
  <CharactersWithSpaces>43374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Kozenis</dc:title>
  <dc:subject>prescription medicine regulation</dc:subject>
  <dc:creator>Therapeutic Goods Administration</dc:creator>
  <cp:keywords/>
  <cp:lastModifiedBy>PITKIN, Brendan</cp:lastModifiedBy>
  <cp:revision>4</cp:revision>
  <cp:lastPrinted>2019-08-14T04:30:00Z</cp:lastPrinted>
  <dcterms:created xsi:type="dcterms:W3CDTF">2022-12-13T02:06:00Z</dcterms:created>
  <dcterms:modified xsi:type="dcterms:W3CDTF">2022-12-20T00:21:00Z</dcterms:modified>
  <cp:category/>
</cp:coreProperties>
</file>