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7379C98" w14:textId="77777777" w:rsidTr="00BF1190">
        <w:trPr>
          <w:trHeight w:val="1863"/>
        </w:trPr>
        <w:tc>
          <w:tcPr>
            <w:tcW w:w="3652" w:type="dxa"/>
            <w:tcBorders>
              <w:top w:val="nil"/>
              <w:left w:val="nil"/>
              <w:bottom w:val="nil"/>
              <w:right w:val="nil"/>
            </w:tcBorders>
          </w:tcPr>
          <w:p w14:paraId="3C814B6E" w14:textId="254E0B80" w:rsidR="008E7846" w:rsidRPr="00096AA7" w:rsidRDefault="00B13864" w:rsidP="00096AA7">
            <w:pPr>
              <w:rPr>
                <w:rFonts w:ascii="Arial" w:hAnsi="Arial" w:cs="Arial"/>
                <w:b/>
                <w:color w:val="002C47"/>
                <w:sz w:val="36"/>
                <w:szCs w:val="36"/>
              </w:rPr>
            </w:pPr>
            <w:r>
              <w:rPr>
                <w:rFonts w:ascii="Arial" w:hAnsi="Arial" w:cs="Arial"/>
                <w:b/>
                <w:color w:val="002C47"/>
                <w:sz w:val="36"/>
                <w:szCs w:val="36"/>
              </w:rPr>
              <w:t>November</w:t>
            </w:r>
            <w:r w:rsidR="00321369">
              <w:rPr>
                <w:rFonts w:ascii="Arial" w:hAnsi="Arial" w:cs="Arial"/>
                <w:b/>
                <w:color w:val="002C47"/>
                <w:sz w:val="36"/>
                <w:szCs w:val="36"/>
              </w:rPr>
              <w:t xml:space="preserve"> </w:t>
            </w:r>
            <w:r w:rsidR="009D2250">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BE1BF76" w14:textId="77777777" w:rsidTr="0032583B">
        <w:trPr>
          <w:trHeight w:val="868"/>
        </w:trPr>
        <w:tc>
          <w:tcPr>
            <w:tcW w:w="9079" w:type="dxa"/>
          </w:tcPr>
          <w:p w14:paraId="3B7F40B2" w14:textId="174C599C"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3B7A7F" w:rsidRPr="003B7A7F">
              <w:rPr>
                <w:color w:val="FFFFFF" w:themeColor="background1"/>
              </w:rPr>
              <w:t>Flucelvax Quad</w:t>
            </w:r>
          </w:p>
        </w:tc>
      </w:tr>
      <w:tr w:rsidR="0032583B" w:rsidRPr="00B64760" w14:paraId="0B0AC371" w14:textId="77777777" w:rsidTr="0032583B">
        <w:tc>
          <w:tcPr>
            <w:tcW w:w="9079" w:type="dxa"/>
          </w:tcPr>
          <w:p w14:paraId="3E7AE0B1" w14:textId="70534C5E" w:rsidR="0032583B" w:rsidRPr="008E7846" w:rsidRDefault="003B7A7F" w:rsidP="00460036">
            <w:pPr>
              <w:pStyle w:val="Subtitle"/>
              <w:rPr>
                <w:color w:val="FFFFFF" w:themeColor="background1"/>
              </w:rPr>
            </w:pPr>
            <w:r w:rsidRPr="003B7A7F">
              <w:rPr>
                <w:color w:val="FFFFFF" w:themeColor="background1"/>
              </w:rPr>
              <w:t>Active ingredient</w:t>
            </w:r>
            <w:r w:rsidR="0032583B" w:rsidRPr="008E7846">
              <w:rPr>
                <w:color w:val="FFFFFF" w:themeColor="background1"/>
              </w:rPr>
              <w:t xml:space="preserve">: </w:t>
            </w:r>
            <w:r w:rsidRPr="003B7A7F">
              <w:rPr>
                <w:color w:val="FFFFFF" w:themeColor="background1"/>
              </w:rPr>
              <w:t>Quadrivalent influenza vaccine</w:t>
            </w:r>
          </w:p>
        </w:tc>
      </w:tr>
      <w:tr w:rsidR="0032583B" w:rsidRPr="00B64760" w14:paraId="74163053" w14:textId="77777777" w:rsidTr="0032583B">
        <w:trPr>
          <w:trHeight w:val="486"/>
        </w:trPr>
        <w:tc>
          <w:tcPr>
            <w:tcW w:w="9079" w:type="dxa"/>
          </w:tcPr>
          <w:p w14:paraId="36F8710F" w14:textId="68EB67DE" w:rsidR="0032583B" w:rsidRPr="008E7846" w:rsidRDefault="00460036" w:rsidP="0032583B">
            <w:pPr>
              <w:pStyle w:val="Subtitle"/>
              <w:rPr>
                <w:color w:val="FFFFFF" w:themeColor="background1"/>
              </w:rPr>
            </w:pPr>
            <w:r>
              <w:rPr>
                <w:color w:val="FFFFFF" w:themeColor="background1"/>
              </w:rPr>
              <w:t xml:space="preserve">Sponsor: </w:t>
            </w:r>
            <w:r w:rsidR="009D2250" w:rsidRPr="009D2250">
              <w:rPr>
                <w:color w:val="FFFFFF" w:themeColor="background1"/>
              </w:rPr>
              <w:t>Seqirus Pty Ltd</w:t>
            </w:r>
          </w:p>
        </w:tc>
      </w:tr>
    </w:tbl>
    <w:p w14:paraId="1248E53A" w14:textId="43AB54EA" w:rsidR="008E7846" w:rsidRPr="0085156D" w:rsidRDefault="008E7846" w:rsidP="0085156D"/>
    <w:p w14:paraId="118EAC54" w14:textId="77777777" w:rsidR="008E7846" w:rsidRPr="001F6CBA" w:rsidRDefault="008E7846" w:rsidP="004C4076">
      <w:pPr>
        <w:pStyle w:val="NonTOCHeading2"/>
        <w:pageBreakBefore/>
      </w:pPr>
      <w:r w:rsidRPr="001F6CBA">
        <w:lastRenderedPageBreak/>
        <w:t>About the Therapeutic Goods Administration (TGA)</w:t>
      </w:r>
    </w:p>
    <w:p w14:paraId="2975C63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642128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4FCEC4FA"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A677A2B"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7EC6AB2B" w14:textId="3D34FDFF"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26A191E0" w14:textId="77777777" w:rsidR="008E7846" w:rsidRDefault="008E7846" w:rsidP="00875A6B">
      <w:pPr>
        <w:pStyle w:val="NonTOCHeading2"/>
      </w:pPr>
      <w:r>
        <w:t xml:space="preserve">About </w:t>
      </w:r>
      <w:proofErr w:type="spellStart"/>
      <w:r>
        <w:t>AusPARs</w:t>
      </w:r>
      <w:proofErr w:type="spellEnd"/>
    </w:p>
    <w:p w14:paraId="1F65FE97"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26E4B3E2"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ED5B474"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7788754"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45EC7C67"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1C6D61EC" w14:textId="77777777" w:rsidR="00924482" w:rsidRPr="00DF1D7F" w:rsidRDefault="00924482" w:rsidP="00F54B65">
      <w:pPr>
        <w:pStyle w:val="LegalSubheading"/>
        <w:spacing w:before="3120"/>
      </w:pPr>
      <w:r w:rsidRPr="00DF1D7F">
        <w:t>Copyright</w:t>
      </w:r>
    </w:p>
    <w:p w14:paraId="2B5260CB" w14:textId="3501021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691BC4">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12581F38"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color w:val="2B579A"/>
          <w:sz w:val="22"/>
          <w:shd w:val="clear" w:color="auto" w:fill="E6E6E6"/>
        </w:rPr>
        <w:id w:val="5618007"/>
        <w:docPartObj>
          <w:docPartGallery w:val="Table of Contents"/>
          <w:docPartUnique/>
        </w:docPartObj>
      </w:sdtPr>
      <w:sdtEndPr>
        <w:rPr>
          <w:b/>
          <w:bCs w:val="0"/>
          <w:sz w:val="25"/>
        </w:rPr>
      </w:sdtEndPr>
      <w:sdtContent>
        <w:p w14:paraId="59B26828" w14:textId="77777777" w:rsidR="0089635C" w:rsidRPr="0089635C" w:rsidRDefault="0089635C" w:rsidP="0010788A">
          <w:pPr>
            <w:pStyle w:val="Contents"/>
          </w:pPr>
          <w:r w:rsidRPr="0010788A">
            <w:t>Contents</w:t>
          </w:r>
        </w:p>
        <w:p w14:paraId="506FE262" w14:textId="67980249" w:rsidR="0028296F" w:rsidRDefault="00C525A2">
          <w:pPr>
            <w:pStyle w:val="TOC1"/>
            <w:rPr>
              <w:rFonts w:asciiTheme="minorHAnsi" w:eastAsiaTheme="minorEastAsia" w:hAnsiTheme="minorHAnsi" w:cstheme="minorBidi"/>
              <w:b w:val="0"/>
              <w:noProof/>
              <w:sz w:val="22"/>
              <w:lang w:eastAsia="en-AU"/>
            </w:rPr>
          </w:pPr>
          <w:r>
            <w:rPr>
              <w:color w:val="2B579A"/>
              <w:shd w:val="clear" w:color="auto" w:fill="E6E6E6"/>
            </w:rPr>
            <w:fldChar w:fldCharType="begin"/>
          </w:r>
          <w:r>
            <w:instrText xml:space="preserve"> TOC \h \z \t "Heading 2,1,Heading 3,2" </w:instrText>
          </w:r>
          <w:r>
            <w:rPr>
              <w:color w:val="2B579A"/>
              <w:shd w:val="clear" w:color="auto" w:fill="E6E6E6"/>
            </w:rPr>
            <w:fldChar w:fldCharType="separate"/>
          </w:r>
          <w:hyperlink w:anchor="_Toc119662214" w:history="1">
            <w:r w:rsidR="0028296F" w:rsidRPr="00EE2100">
              <w:rPr>
                <w:rStyle w:val="Hyperlink"/>
                <w:noProof/>
              </w:rPr>
              <w:t>List of abbreviations</w:t>
            </w:r>
            <w:r w:rsidR="0028296F">
              <w:rPr>
                <w:noProof/>
                <w:webHidden/>
              </w:rPr>
              <w:tab/>
            </w:r>
            <w:r w:rsidR="0028296F">
              <w:rPr>
                <w:noProof/>
                <w:webHidden/>
              </w:rPr>
              <w:fldChar w:fldCharType="begin"/>
            </w:r>
            <w:r w:rsidR="0028296F">
              <w:rPr>
                <w:noProof/>
                <w:webHidden/>
              </w:rPr>
              <w:instrText xml:space="preserve"> PAGEREF _Toc119662214 \h </w:instrText>
            </w:r>
            <w:r w:rsidR="0028296F">
              <w:rPr>
                <w:noProof/>
                <w:webHidden/>
              </w:rPr>
            </w:r>
            <w:r w:rsidR="0028296F">
              <w:rPr>
                <w:noProof/>
                <w:webHidden/>
              </w:rPr>
              <w:fldChar w:fldCharType="separate"/>
            </w:r>
            <w:r w:rsidR="0028296F">
              <w:rPr>
                <w:noProof/>
                <w:webHidden/>
              </w:rPr>
              <w:t>4</w:t>
            </w:r>
            <w:r w:rsidR="0028296F">
              <w:rPr>
                <w:noProof/>
                <w:webHidden/>
              </w:rPr>
              <w:fldChar w:fldCharType="end"/>
            </w:r>
          </w:hyperlink>
        </w:p>
        <w:p w14:paraId="6F4CB3D9" w14:textId="49607F75" w:rsidR="0028296F" w:rsidRDefault="007C1059">
          <w:pPr>
            <w:pStyle w:val="TOC1"/>
            <w:rPr>
              <w:rFonts w:asciiTheme="minorHAnsi" w:eastAsiaTheme="minorEastAsia" w:hAnsiTheme="minorHAnsi" w:cstheme="minorBidi"/>
              <w:b w:val="0"/>
              <w:noProof/>
              <w:sz w:val="22"/>
              <w:lang w:eastAsia="en-AU"/>
            </w:rPr>
          </w:pPr>
          <w:hyperlink w:anchor="_Toc119662215" w:history="1">
            <w:r w:rsidR="0028296F" w:rsidRPr="00EE2100">
              <w:rPr>
                <w:rStyle w:val="Hyperlink"/>
                <w:noProof/>
              </w:rPr>
              <w:t>I. Introduction to product submission</w:t>
            </w:r>
            <w:r w:rsidR="0028296F">
              <w:rPr>
                <w:noProof/>
                <w:webHidden/>
              </w:rPr>
              <w:tab/>
            </w:r>
            <w:r w:rsidR="0028296F">
              <w:rPr>
                <w:noProof/>
                <w:webHidden/>
              </w:rPr>
              <w:fldChar w:fldCharType="begin"/>
            </w:r>
            <w:r w:rsidR="0028296F">
              <w:rPr>
                <w:noProof/>
                <w:webHidden/>
              </w:rPr>
              <w:instrText xml:space="preserve"> PAGEREF _Toc119662215 \h </w:instrText>
            </w:r>
            <w:r w:rsidR="0028296F">
              <w:rPr>
                <w:noProof/>
                <w:webHidden/>
              </w:rPr>
            </w:r>
            <w:r w:rsidR="0028296F">
              <w:rPr>
                <w:noProof/>
                <w:webHidden/>
              </w:rPr>
              <w:fldChar w:fldCharType="separate"/>
            </w:r>
            <w:r w:rsidR="0028296F">
              <w:rPr>
                <w:noProof/>
                <w:webHidden/>
              </w:rPr>
              <w:t>6</w:t>
            </w:r>
            <w:r w:rsidR="0028296F">
              <w:rPr>
                <w:noProof/>
                <w:webHidden/>
              </w:rPr>
              <w:fldChar w:fldCharType="end"/>
            </w:r>
          </w:hyperlink>
        </w:p>
        <w:p w14:paraId="6C9C7B66" w14:textId="1023870D" w:rsidR="0028296F" w:rsidRDefault="007C1059">
          <w:pPr>
            <w:pStyle w:val="TOC2"/>
            <w:rPr>
              <w:rFonts w:asciiTheme="minorHAnsi" w:eastAsiaTheme="minorEastAsia" w:hAnsiTheme="minorHAnsi" w:cstheme="minorBidi"/>
              <w:b w:val="0"/>
              <w:noProof/>
              <w:sz w:val="22"/>
              <w:lang w:eastAsia="en-AU"/>
            </w:rPr>
          </w:pPr>
          <w:hyperlink w:anchor="_Toc119662216" w:history="1">
            <w:r w:rsidR="0028296F" w:rsidRPr="00EE2100">
              <w:rPr>
                <w:rStyle w:val="Hyperlink"/>
                <w:noProof/>
                <w:lang w:eastAsia="en-AU"/>
              </w:rPr>
              <w:t>Submission details</w:t>
            </w:r>
            <w:r w:rsidR="0028296F">
              <w:rPr>
                <w:noProof/>
                <w:webHidden/>
              </w:rPr>
              <w:tab/>
            </w:r>
            <w:r w:rsidR="0028296F">
              <w:rPr>
                <w:noProof/>
                <w:webHidden/>
              </w:rPr>
              <w:fldChar w:fldCharType="begin"/>
            </w:r>
            <w:r w:rsidR="0028296F">
              <w:rPr>
                <w:noProof/>
                <w:webHidden/>
              </w:rPr>
              <w:instrText xml:space="preserve"> PAGEREF _Toc119662216 \h </w:instrText>
            </w:r>
            <w:r w:rsidR="0028296F">
              <w:rPr>
                <w:noProof/>
                <w:webHidden/>
              </w:rPr>
            </w:r>
            <w:r w:rsidR="0028296F">
              <w:rPr>
                <w:noProof/>
                <w:webHidden/>
              </w:rPr>
              <w:fldChar w:fldCharType="separate"/>
            </w:r>
            <w:r w:rsidR="0028296F">
              <w:rPr>
                <w:noProof/>
                <w:webHidden/>
              </w:rPr>
              <w:t>6</w:t>
            </w:r>
            <w:r w:rsidR="0028296F">
              <w:rPr>
                <w:noProof/>
                <w:webHidden/>
              </w:rPr>
              <w:fldChar w:fldCharType="end"/>
            </w:r>
          </w:hyperlink>
        </w:p>
        <w:p w14:paraId="4A36E3BA" w14:textId="2FA57E95" w:rsidR="0028296F" w:rsidRDefault="007C1059">
          <w:pPr>
            <w:pStyle w:val="TOC2"/>
            <w:rPr>
              <w:rFonts w:asciiTheme="minorHAnsi" w:eastAsiaTheme="minorEastAsia" w:hAnsiTheme="minorHAnsi" w:cstheme="minorBidi"/>
              <w:b w:val="0"/>
              <w:noProof/>
              <w:sz w:val="22"/>
              <w:lang w:eastAsia="en-AU"/>
            </w:rPr>
          </w:pPr>
          <w:hyperlink w:anchor="_Toc119662217" w:history="1">
            <w:r w:rsidR="0028296F" w:rsidRPr="00EE2100">
              <w:rPr>
                <w:rStyle w:val="Hyperlink"/>
                <w:noProof/>
              </w:rPr>
              <w:t>Product background</w:t>
            </w:r>
            <w:r w:rsidR="0028296F">
              <w:rPr>
                <w:noProof/>
                <w:webHidden/>
              </w:rPr>
              <w:tab/>
            </w:r>
            <w:r w:rsidR="0028296F">
              <w:rPr>
                <w:noProof/>
                <w:webHidden/>
              </w:rPr>
              <w:fldChar w:fldCharType="begin"/>
            </w:r>
            <w:r w:rsidR="0028296F">
              <w:rPr>
                <w:noProof/>
                <w:webHidden/>
              </w:rPr>
              <w:instrText xml:space="preserve"> PAGEREF _Toc119662217 \h </w:instrText>
            </w:r>
            <w:r w:rsidR="0028296F">
              <w:rPr>
                <w:noProof/>
                <w:webHidden/>
              </w:rPr>
            </w:r>
            <w:r w:rsidR="0028296F">
              <w:rPr>
                <w:noProof/>
                <w:webHidden/>
              </w:rPr>
              <w:fldChar w:fldCharType="separate"/>
            </w:r>
            <w:r w:rsidR="0028296F">
              <w:rPr>
                <w:noProof/>
                <w:webHidden/>
              </w:rPr>
              <w:t>7</w:t>
            </w:r>
            <w:r w:rsidR="0028296F">
              <w:rPr>
                <w:noProof/>
                <w:webHidden/>
              </w:rPr>
              <w:fldChar w:fldCharType="end"/>
            </w:r>
          </w:hyperlink>
        </w:p>
        <w:p w14:paraId="36CB3129" w14:textId="0F337488" w:rsidR="0028296F" w:rsidRDefault="007C1059">
          <w:pPr>
            <w:pStyle w:val="TOC2"/>
            <w:rPr>
              <w:rFonts w:asciiTheme="minorHAnsi" w:eastAsiaTheme="minorEastAsia" w:hAnsiTheme="minorHAnsi" w:cstheme="minorBidi"/>
              <w:b w:val="0"/>
              <w:noProof/>
              <w:sz w:val="22"/>
              <w:lang w:eastAsia="en-AU"/>
            </w:rPr>
          </w:pPr>
          <w:hyperlink w:anchor="_Toc119662218" w:history="1">
            <w:r w:rsidR="0028296F" w:rsidRPr="00EE2100">
              <w:rPr>
                <w:rStyle w:val="Hyperlink"/>
                <w:noProof/>
              </w:rPr>
              <w:t>Regulatory status</w:t>
            </w:r>
            <w:r w:rsidR="0028296F">
              <w:rPr>
                <w:noProof/>
                <w:webHidden/>
              </w:rPr>
              <w:tab/>
            </w:r>
            <w:r w:rsidR="0028296F">
              <w:rPr>
                <w:noProof/>
                <w:webHidden/>
              </w:rPr>
              <w:fldChar w:fldCharType="begin"/>
            </w:r>
            <w:r w:rsidR="0028296F">
              <w:rPr>
                <w:noProof/>
                <w:webHidden/>
              </w:rPr>
              <w:instrText xml:space="preserve"> PAGEREF _Toc119662218 \h </w:instrText>
            </w:r>
            <w:r w:rsidR="0028296F">
              <w:rPr>
                <w:noProof/>
                <w:webHidden/>
              </w:rPr>
            </w:r>
            <w:r w:rsidR="0028296F">
              <w:rPr>
                <w:noProof/>
                <w:webHidden/>
              </w:rPr>
              <w:fldChar w:fldCharType="separate"/>
            </w:r>
            <w:r w:rsidR="0028296F">
              <w:rPr>
                <w:noProof/>
                <w:webHidden/>
              </w:rPr>
              <w:t>9</w:t>
            </w:r>
            <w:r w:rsidR="0028296F">
              <w:rPr>
                <w:noProof/>
                <w:webHidden/>
              </w:rPr>
              <w:fldChar w:fldCharType="end"/>
            </w:r>
          </w:hyperlink>
        </w:p>
        <w:p w14:paraId="2C29BC86" w14:textId="25263C48" w:rsidR="0028296F" w:rsidRDefault="007C1059">
          <w:pPr>
            <w:pStyle w:val="TOC2"/>
            <w:rPr>
              <w:rFonts w:asciiTheme="minorHAnsi" w:eastAsiaTheme="minorEastAsia" w:hAnsiTheme="minorHAnsi" w:cstheme="minorBidi"/>
              <w:b w:val="0"/>
              <w:noProof/>
              <w:sz w:val="22"/>
              <w:lang w:eastAsia="en-AU"/>
            </w:rPr>
          </w:pPr>
          <w:hyperlink w:anchor="_Toc119662219" w:history="1">
            <w:r w:rsidR="0028296F" w:rsidRPr="00EE2100">
              <w:rPr>
                <w:rStyle w:val="Hyperlink"/>
                <w:noProof/>
              </w:rPr>
              <w:t>Product Information</w:t>
            </w:r>
            <w:r w:rsidR="0028296F">
              <w:rPr>
                <w:noProof/>
                <w:webHidden/>
              </w:rPr>
              <w:tab/>
            </w:r>
            <w:r w:rsidR="0028296F">
              <w:rPr>
                <w:noProof/>
                <w:webHidden/>
              </w:rPr>
              <w:fldChar w:fldCharType="begin"/>
            </w:r>
            <w:r w:rsidR="0028296F">
              <w:rPr>
                <w:noProof/>
                <w:webHidden/>
              </w:rPr>
              <w:instrText xml:space="preserve"> PAGEREF _Toc119662219 \h </w:instrText>
            </w:r>
            <w:r w:rsidR="0028296F">
              <w:rPr>
                <w:noProof/>
                <w:webHidden/>
              </w:rPr>
            </w:r>
            <w:r w:rsidR="0028296F">
              <w:rPr>
                <w:noProof/>
                <w:webHidden/>
              </w:rPr>
              <w:fldChar w:fldCharType="separate"/>
            </w:r>
            <w:r w:rsidR="0028296F">
              <w:rPr>
                <w:noProof/>
                <w:webHidden/>
              </w:rPr>
              <w:t>10</w:t>
            </w:r>
            <w:r w:rsidR="0028296F">
              <w:rPr>
                <w:noProof/>
                <w:webHidden/>
              </w:rPr>
              <w:fldChar w:fldCharType="end"/>
            </w:r>
          </w:hyperlink>
        </w:p>
        <w:p w14:paraId="58323739" w14:textId="4B689E31" w:rsidR="0028296F" w:rsidRDefault="007C1059">
          <w:pPr>
            <w:pStyle w:val="TOC1"/>
            <w:rPr>
              <w:rFonts w:asciiTheme="minorHAnsi" w:eastAsiaTheme="minorEastAsia" w:hAnsiTheme="minorHAnsi" w:cstheme="minorBidi"/>
              <w:b w:val="0"/>
              <w:noProof/>
              <w:sz w:val="22"/>
              <w:lang w:eastAsia="en-AU"/>
            </w:rPr>
          </w:pPr>
          <w:hyperlink w:anchor="_Toc119662220" w:history="1">
            <w:r w:rsidR="0028296F" w:rsidRPr="00EE2100">
              <w:rPr>
                <w:rStyle w:val="Hyperlink"/>
                <w:noProof/>
              </w:rPr>
              <w:t>II. Registration timeline</w:t>
            </w:r>
            <w:r w:rsidR="0028296F">
              <w:rPr>
                <w:noProof/>
                <w:webHidden/>
              </w:rPr>
              <w:tab/>
            </w:r>
            <w:r w:rsidR="0028296F">
              <w:rPr>
                <w:noProof/>
                <w:webHidden/>
              </w:rPr>
              <w:fldChar w:fldCharType="begin"/>
            </w:r>
            <w:r w:rsidR="0028296F">
              <w:rPr>
                <w:noProof/>
                <w:webHidden/>
              </w:rPr>
              <w:instrText xml:space="preserve"> PAGEREF _Toc119662220 \h </w:instrText>
            </w:r>
            <w:r w:rsidR="0028296F">
              <w:rPr>
                <w:noProof/>
                <w:webHidden/>
              </w:rPr>
            </w:r>
            <w:r w:rsidR="0028296F">
              <w:rPr>
                <w:noProof/>
                <w:webHidden/>
              </w:rPr>
              <w:fldChar w:fldCharType="separate"/>
            </w:r>
            <w:r w:rsidR="0028296F">
              <w:rPr>
                <w:noProof/>
                <w:webHidden/>
              </w:rPr>
              <w:t>10</w:t>
            </w:r>
            <w:r w:rsidR="0028296F">
              <w:rPr>
                <w:noProof/>
                <w:webHidden/>
              </w:rPr>
              <w:fldChar w:fldCharType="end"/>
            </w:r>
          </w:hyperlink>
        </w:p>
        <w:p w14:paraId="197D57AE" w14:textId="5E0E9DC5" w:rsidR="0028296F" w:rsidRDefault="007C1059">
          <w:pPr>
            <w:pStyle w:val="TOC1"/>
            <w:rPr>
              <w:rFonts w:asciiTheme="minorHAnsi" w:eastAsiaTheme="minorEastAsia" w:hAnsiTheme="minorHAnsi" w:cstheme="minorBidi"/>
              <w:b w:val="0"/>
              <w:noProof/>
              <w:sz w:val="22"/>
              <w:lang w:eastAsia="en-AU"/>
            </w:rPr>
          </w:pPr>
          <w:hyperlink w:anchor="_Toc119662221" w:history="1">
            <w:r w:rsidR="0028296F" w:rsidRPr="00EE2100">
              <w:rPr>
                <w:rStyle w:val="Hyperlink"/>
                <w:noProof/>
              </w:rPr>
              <w:t>III. Submission overview and risk/benefit assessment</w:t>
            </w:r>
            <w:r w:rsidR="0028296F">
              <w:rPr>
                <w:noProof/>
                <w:webHidden/>
              </w:rPr>
              <w:tab/>
            </w:r>
            <w:r w:rsidR="0028296F">
              <w:rPr>
                <w:noProof/>
                <w:webHidden/>
              </w:rPr>
              <w:fldChar w:fldCharType="begin"/>
            </w:r>
            <w:r w:rsidR="0028296F">
              <w:rPr>
                <w:noProof/>
                <w:webHidden/>
              </w:rPr>
              <w:instrText xml:space="preserve"> PAGEREF _Toc119662221 \h </w:instrText>
            </w:r>
            <w:r w:rsidR="0028296F">
              <w:rPr>
                <w:noProof/>
                <w:webHidden/>
              </w:rPr>
            </w:r>
            <w:r w:rsidR="0028296F">
              <w:rPr>
                <w:noProof/>
                <w:webHidden/>
              </w:rPr>
              <w:fldChar w:fldCharType="separate"/>
            </w:r>
            <w:r w:rsidR="0028296F">
              <w:rPr>
                <w:noProof/>
                <w:webHidden/>
              </w:rPr>
              <w:t>11</w:t>
            </w:r>
            <w:r w:rsidR="0028296F">
              <w:rPr>
                <w:noProof/>
                <w:webHidden/>
              </w:rPr>
              <w:fldChar w:fldCharType="end"/>
            </w:r>
          </w:hyperlink>
        </w:p>
        <w:p w14:paraId="78997D1B" w14:textId="73A2D1F9" w:rsidR="0028296F" w:rsidRDefault="007C1059">
          <w:pPr>
            <w:pStyle w:val="TOC2"/>
            <w:rPr>
              <w:rFonts w:asciiTheme="minorHAnsi" w:eastAsiaTheme="minorEastAsia" w:hAnsiTheme="minorHAnsi" w:cstheme="minorBidi"/>
              <w:b w:val="0"/>
              <w:noProof/>
              <w:sz w:val="22"/>
              <w:lang w:eastAsia="en-AU"/>
            </w:rPr>
          </w:pPr>
          <w:hyperlink w:anchor="_Toc119662222" w:history="1">
            <w:r w:rsidR="0028296F" w:rsidRPr="00EE2100">
              <w:rPr>
                <w:rStyle w:val="Hyperlink"/>
                <w:noProof/>
              </w:rPr>
              <w:t>Quality</w:t>
            </w:r>
            <w:r w:rsidR="0028296F">
              <w:rPr>
                <w:noProof/>
                <w:webHidden/>
              </w:rPr>
              <w:tab/>
            </w:r>
            <w:r w:rsidR="0028296F">
              <w:rPr>
                <w:noProof/>
                <w:webHidden/>
              </w:rPr>
              <w:fldChar w:fldCharType="begin"/>
            </w:r>
            <w:r w:rsidR="0028296F">
              <w:rPr>
                <w:noProof/>
                <w:webHidden/>
              </w:rPr>
              <w:instrText xml:space="preserve"> PAGEREF _Toc119662222 \h </w:instrText>
            </w:r>
            <w:r w:rsidR="0028296F">
              <w:rPr>
                <w:noProof/>
                <w:webHidden/>
              </w:rPr>
            </w:r>
            <w:r w:rsidR="0028296F">
              <w:rPr>
                <w:noProof/>
                <w:webHidden/>
              </w:rPr>
              <w:fldChar w:fldCharType="separate"/>
            </w:r>
            <w:r w:rsidR="0028296F">
              <w:rPr>
                <w:noProof/>
                <w:webHidden/>
              </w:rPr>
              <w:t>11</w:t>
            </w:r>
            <w:r w:rsidR="0028296F">
              <w:rPr>
                <w:noProof/>
                <w:webHidden/>
              </w:rPr>
              <w:fldChar w:fldCharType="end"/>
            </w:r>
          </w:hyperlink>
        </w:p>
        <w:p w14:paraId="33617F47" w14:textId="6378D3A7" w:rsidR="0028296F" w:rsidRDefault="007C1059">
          <w:pPr>
            <w:pStyle w:val="TOC2"/>
            <w:rPr>
              <w:rFonts w:asciiTheme="minorHAnsi" w:eastAsiaTheme="minorEastAsia" w:hAnsiTheme="minorHAnsi" w:cstheme="minorBidi"/>
              <w:b w:val="0"/>
              <w:noProof/>
              <w:sz w:val="22"/>
              <w:lang w:eastAsia="en-AU"/>
            </w:rPr>
          </w:pPr>
          <w:hyperlink w:anchor="_Toc119662223" w:history="1">
            <w:r w:rsidR="0028296F" w:rsidRPr="00EE2100">
              <w:rPr>
                <w:rStyle w:val="Hyperlink"/>
                <w:noProof/>
              </w:rPr>
              <w:t>Nonclinical</w:t>
            </w:r>
            <w:r w:rsidR="0028296F">
              <w:rPr>
                <w:noProof/>
                <w:webHidden/>
              </w:rPr>
              <w:tab/>
            </w:r>
            <w:r w:rsidR="0028296F">
              <w:rPr>
                <w:noProof/>
                <w:webHidden/>
              </w:rPr>
              <w:fldChar w:fldCharType="begin"/>
            </w:r>
            <w:r w:rsidR="0028296F">
              <w:rPr>
                <w:noProof/>
                <w:webHidden/>
              </w:rPr>
              <w:instrText xml:space="preserve"> PAGEREF _Toc119662223 \h </w:instrText>
            </w:r>
            <w:r w:rsidR="0028296F">
              <w:rPr>
                <w:noProof/>
                <w:webHidden/>
              </w:rPr>
            </w:r>
            <w:r w:rsidR="0028296F">
              <w:rPr>
                <w:noProof/>
                <w:webHidden/>
              </w:rPr>
              <w:fldChar w:fldCharType="separate"/>
            </w:r>
            <w:r w:rsidR="0028296F">
              <w:rPr>
                <w:noProof/>
                <w:webHidden/>
              </w:rPr>
              <w:t>12</w:t>
            </w:r>
            <w:r w:rsidR="0028296F">
              <w:rPr>
                <w:noProof/>
                <w:webHidden/>
              </w:rPr>
              <w:fldChar w:fldCharType="end"/>
            </w:r>
          </w:hyperlink>
        </w:p>
        <w:p w14:paraId="3E5C940B" w14:textId="6E9D430D" w:rsidR="0028296F" w:rsidRDefault="007C1059">
          <w:pPr>
            <w:pStyle w:val="TOC2"/>
            <w:rPr>
              <w:rFonts w:asciiTheme="minorHAnsi" w:eastAsiaTheme="minorEastAsia" w:hAnsiTheme="minorHAnsi" w:cstheme="minorBidi"/>
              <w:b w:val="0"/>
              <w:noProof/>
              <w:sz w:val="22"/>
              <w:lang w:eastAsia="en-AU"/>
            </w:rPr>
          </w:pPr>
          <w:hyperlink w:anchor="_Toc119662224" w:history="1">
            <w:r w:rsidR="0028296F" w:rsidRPr="00EE2100">
              <w:rPr>
                <w:rStyle w:val="Hyperlink"/>
                <w:noProof/>
              </w:rPr>
              <w:t>Clinical</w:t>
            </w:r>
            <w:r w:rsidR="0028296F">
              <w:rPr>
                <w:noProof/>
                <w:webHidden/>
              </w:rPr>
              <w:tab/>
            </w:r>
            <w:r w:rsidR="0028296F">
              <w:rPr>
                <w:noProof/>
                <w:webHidden/>
              </w:rPr>
              <w:fldChar w:fldCharType="begin"/>
            </w:r>
            <w:r w:rsidR="0028296F">
              <w:rPr>
                <w:noProof/>
                <w:webHidden/>
              </w:rPr>
              <w:instrText xml:space="preserve"> PAGEREF _Toc119662224 \h </w:instrText>
            </w:r>
            <w:r w:rsidR="0028296F">
              <w:rPr>
                <w:noProof/>
                <w:webHidden/>
              </w:rPr>
            </w:r>
            <w:r w:rsidR="0028296F">
              <w:rPr>
                <w:noProof/>
                <w:webHidden/>
              </w:rPr>
              <w:fldChar w:fldCharType="separate"/>
            </w:r>
            <w:r w:rsidR="0028296F">
              <w:rPr>
                <w:noProof/>
                <w:webHidden/>
              </w:rPr>
              <w:t>12</w:t>
            </w:r>
            <w:r w:rsidR="0028296F">
              <w:rPr>
                <w:noProof/>
                <w:webHidden/>
              </w:rPr>
              <w:fldChar w:fldCharType="end"/>
            </w:r>
          </w:hyperlink>
        </w:p>
        <w:p w14:paraId="00A84E41" w14:textId="2794BC5B" w:rsidR="0028296F" w:rsidRDefault="007C1059">
          <w:pPr>
            <w:pStyle w:val="TOC2"/>
            <w:rPr>
              <w:rFonts w:asciiTheme="minorHAnsi" w:eastAsiaTheme="minorEastAsia" w:hAnsiTheme="minorHAnsi" w:cstheme="minorBidi"/>
              <w:b w:val="0"/>
              <w:noProof/>
              <w:sz w:val="22"/>
              <w:lang w:eastAsia="en-AU"/>
            </w:rPr>
          </w:pPr>
          <w:hyperlink w:anchor="_Toc119662225" w:history="1">
            <w:r w:rsidR="0028296F" w:rsidRPr="00EE2100">
              <w:rPr>
                <w:rStyle w:val="Hyperlink"/>
                <w:noProof/>
                <w:lang w:eastAsia="en-AU"/>
              </w:rPr>
              <w:t>Risk management plan</w:t>
            </w:r>
            <w:r w:rsidR="0028296F">
              <w:rPr>
                <w:noProof/>
                <w:webHidden/>
              </w:rPr>
              <w:tab/>
            </w:r>
            <w:r w:rsidR="0028296F">
              <w:rPr>
                <w:noProof/>
                <w:webHidden/>
              </w:rPr>
              <w:fldChar w:fldCharType="begin"/>
            </w:r>
            <w:r w:rsidR="0028296F">
              <w:rPr>
                <w:noProof/>
                <w:webHidden/>
              </w:rPr>
              <w:instrText xml:space="preserve"> PAGEREF _Toc119662225 \h </w:instrText>
            </w:r>
            <w:r w:rsidR="0028296F">
              <w:rPr>
                <w:noProof/>
                <w:webHidden/>
              </w:rPr>
            </w:r>
            <w:r w:rsidR="0028296F">
              <w:rPr>
                <w:noProof/>
                <w:webHidden/>
              </w:rPr>
              <w:fldChar w:fldCharType="separate"/>
            </w:r>
            <w:r w:rsidR="0028296F">
              <w:rPr>
                <w:noProof/>
                <w:webHidden/>
              </w:rPr>
              <w:t>33</w:t>
            </w:r>
            <w:r w:rsidR="0028296F">
              <w:rPr>
                <w:noProof/>
                <w:webHidden/>
              </w:rPr>
              <w:fldChar w:fldCharType="end"/>
            </w:r>
          </w:hyperlink>
        </w:p>
        <w:p w14:paraId="53CEC870" w14:textId="46D7D3C1" w:rsidR="0028296F" w:rsidRDefault="007C1059">
          <w:pPr>
            <w:pStyle w:val="TOC2"/>
            <w:rPr>
              <w:rFonts w:asciiTheme="minorHAnsi" w:eastAsiaTheme="minorEastAsia" w:hAnsiTheme="minorHAnsi" w:cstheme="minorBidi"/>
              <w:b w:val="0"/>
              <w:noProof/>
              <w:sz w:val="22"/>
              <w:lang w:eastAsia="en-AU"/>
            </w:rPr>
          </w:pPr>
          <w:hyperlink w:anchor="_Toc119662226" w:history="1">
            <w:r w:rsidR="0028296F" w:rsidRPr="00EE2100">
              <w:rPr>
                <w:rStyle w:val="Hyperlink"/>
                <w:noProof/>
              </w:rPr>
              <w:t>Risk-benefit analysis</w:t>
            </w:r>
            <w:r w:rsidR="0028296F">
              <w:rPr>
                <w:noProof/>
                <w:webHidden/>
              </w:rPr>
              <w:tab/>
            </w:r>
            <w:r w:rsidR="0028296F">
              <w:rPr>
                <w:noProof/>
                <w:webHidden/>
              </w:rPr>
              <w:fldChar w:fldCharType="begin"/>
            </w:r>
            <w:r w:rsidR="0028296F">
              <w:rPr>
                <w:noProof/>
                <w:webHidden/>
              </w:rPr>
              <w:instrText xml:space="preserve"> PAGEREF _Toc119662226 \h </w:instrText>
            </w:r>
            <w:r w:rsidR="0028296F">
              <w:rPr>
                <w:noProof/>
                <w:webHidden/>
              </w:rPr>
            </w:r>
            <w:r w:rsidR="0028296F">
              <w:rPr>
                <w:noProof/>
                <w:webHidden/>
              </w:rPr>
              <w:fldChar w:fldCharType="separate"/>
            </w:r>
            <w:r w:rsidR="0028296F">
              <w:rPr>
                <w:noProof/>
                <w:webHidden/>
              </w:rPr>
              <w:t>35</w:t>
            </w:r>
            <w:r w:rsidR="0028296F">
              <w:rPr>
                <w:noProof/>
                <w:webHidden/>
              </w:rPr>
              <w:fldChar w:fldCharType="end"/>
            </w:r>
          </w:hyperlink>
        </w:p>
        <w:p w14:paraId="3EEC4CB3" w14:textId="48676132" w:rsidR="0028296F" w:rsidRDefault="007C1059">
          <w:pPr>
            <w:pStyle w:val="TOC2"/>
            <w:rPr>
              <w:rFonts w:asciiTheme="minorHAnsi" w:eastAsiaTheme="minorEastAsia" w:hAnsiTheme="minorHAnsi" w:cstheme="minorBidi"/>
              <w:b w:val="0"/>
              <w:noProof/>
              <w:sz w:val="22"/>
              <w:lang w:eastAsia="en-AU"/>
            </w:rPr>
          </w:pPr>
          <w:hyperlink w:anchor="_Toc119662227" w:history="1">
            <w:r w:rsidR="0028296F" w:rsidRPr="00EE2100">
              <w:rPr>
                <w:rStyle w:val="Hyperlink"/>
                <w:noProof/>
              </w:rPr>
              <w:t>Outcome</w:t>
            </w:r>
            <w:r w:rsidR="0028296F">
              <w:rPr>
                <w:noProof/>
                <w:webHidden/>
              </w:rPr>
              <w:tab/>
            </w:r>
            <w:r w:rsidR="0028296F">
              <w:rPr>
                <w:noProof/>
                <w:webHidden/>
              </w:rPr>
              <w:fldChar w:fldCharType="begin"/>
            </w:r>
            <w:r w:rsidR="0028296F">
              <w:rPr>
                <w:noProof/>
                <w:webHidden/>
              </w:rPr>
              <w:instrText xml:space="preserve"> PAGEREF _Toc119662227 \h </w:instrText>
            </w:r>
            <w:r w:rsidR="0028296F">
              <w:rPr>
                <w:noProof/>
                <w:webHidden/>
              </w:rPr>
            </w:r>
            <w:r w:rsidR="0028296F">
              <w:rPr>
                <w:noProof/>
                <w:webHidden/>
              </w:rPr>
              <w:fldChar w:fldCharType="separate"/>
            </w:r>
            <w:r w:rsidR="0028296F">
              <w:rPr>
                <w:noProof/>
                <w:webHidden/>
              </w:rPr>
              <w:t>38</w:t>
            </w:r>
            <w:r w:rsidR="0028296F">
              <w:rPr>
                <w:noProof/>
                <w:webHidden/>
              </w:rPr>
              <w:fldChar w:fldCharType="end"/>
            </w:r>
          </w:hyperlink>
        </w:p>
        <w:p w14:paraId="0A47566F" w14:textId="45646DA0" w:rsidR="0028296F" w:rsidRDefault="007C1059">
          <w:pPr>
            <w:pStyle w:val="TOC1"/>
            <w:rPr>
              <w:rFonts w:asciiTheme="minorHAnsi" w:eastAsiaTheme="minorEastAsia" w:hAnsiTheme="minorHAnsi" w:cstheme="minorBidi"/>
              <w:b w:val="0"/>
              <w:noProof/>
              <w:sz w:val="22"/>
              <w:lang w:eastAsia="en-AU"/>
            </w:rPr>
          </w:pPr>
          <w:hyperlink w:anchor="_Toc119662228" w:history="1">
            <w:r w:rsidR="0028296F" w:rsidRPr="00EE2100">
              <w:rPr>
                <w:rStyle w:val="Hyperlink"/>
                <w:noProof/>
              </w:rPr>
              <w:t>Attachment 1. Product Information</w:t>
            </w:r>
            <w:r w:rsidR="0028296F">
              <w:rPr>
                <w:noProof/>
                <w:webHidden/>
              </w:rPr>
              <w:tab/>
            </w:r>
            <w:r w:rsidR="0028296F">
              <w:rPr>
                <w:noProof/>
                <w:webHidden/>
              </w:rPr>
              <w:fldChar w:fldCharType="begin"/>
            </w:r>
            <w:r w:rsidR="0028296F">
              <w:rPr>
                <w:noProof/>
                <w:webHidden/>
              </w:rPr>
              <w:instrText xml:space="preserve"> PAGEREF _Toc119662228 \h </w:instrText>
            </w:r>
            <w:r w:rsidR="0028296F">
              <w:rPr>
                <w:noProof/>
                <w:webHidden/>
              </w:rPr>
            </w:r>
            <w:r w:rsidR="0028296F">
              <w:rPr>
                <w:noProof/>
                <w:webHidden/>
              </w:rPr>
              <w:fldChar w:fldCharType="separate"/>
            </w:r>
            <w:r w:rsidR="0028296F">
              <w:rPr>
                <w:noProof/>
                <w:webHidden/>
              </w:rPr>
              <w:t>39</w:t>
            </w:r>
            <w:r w:rsidR="0028296F">
              <w:rPr>
                <w:noProof/>
                <w:webHidden/>
              </w:rPr>
              <w:fldChar w:fldCharType="end"/>
            </w:r>
          </w:hyperlink>
        </w:p>
        <w:p w14:paraId="5D644482" w14:textId="6DCB86E9" w:rsidR="003A7F6C" w:rsidRPr="00B811C6" w:rsidRDefault="00C525A2" w:rsidP="00B811C6">
          <w:pPr>
            <w:pStyle w:val="TOC2"/>
          </w:pPr>
          <w:r>
            <w:rPr>
              <w:color w:val="2B579A"/>
              <w:shd w:val="clear" w:color="auto" w:fill="E6E6E6"/>
            </w:rPr>
            <w:fldChar w:fldCharType="end"/>
          </w:r>
        </w:p>
      </w:sdtContent>
    </w:sdt>
    <w:bookmarkStart w:id="2" w:name="_Toc314842482" w:displacedByCustomXml="prev"/>
    <w:p w14:paraId="6AA52756" w14:textId="77777777" w:rsidR="00FD119B" w:rsidRDefault="00FD119B">
      <w:pPr>
        <w:spacing w:before="0" w:after="200" w:line="0" w:lineRule="auto"/>
      </w:pPr>
      <w:r>
        <w:br w:type="page"/>
      </w:r>
    </w:p>
    <w:p w14:paraId="5CE2EE99" w14:textId="77777777" w:rsidR="00FD119B" w:rsidRDefault="00324E45" w:rsidP="004F0C4A">
      <w:pPr>
        <w:pStyle w:val="Heading2"/>
      </w:pPr>
      <w:bookmarkStart w:id="3" w:name="_Toc351716269"/>
      <w:bookmarkStart w:id="4" w:name="_Toc351718881"/>
      <w:bookmarkStart w:id="5" w:name="_Toc355338616"/>
      <w:bookmarkStart w:id="6" w:name="_Toc356306144"/>
      <w:bookmarkStart w:id="7" w:name="_Toc119662214"/>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FD119B" w14:paraId="06BD6BF3" w14:textId="77777777" w:rsidTr="00393EE5">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53ED42D9" w14:textId="77777777" w:rsidR="00FD119B" w:rsidRPr="0083135E" w:rsidRDefault="00FD119B" w:rsidP="0083135E">
            <w:r w:rsidRPr="0083135E">
              <w:t>Abbreviation</w:t>
            </w:r>
          </w:p>
        </w:tc>
        <w:tc>
          <w:tcPr>
            <w:tcW w:w="6604" w:type="dxa"/>
            <w:tcBorders>
              <w:top w:val="single" w:sz="4" w:space="0" w:color="auto"/>
              <w:left w:val="single" w:sz="4" w:space="0" w:color="auto"/>
              <w:bottom w:val="single" w:sz="4" w:space="0" w:color="auto"/>
              <w:right w:val="single" w:sz="4" w:space="0" w:color="auto"/>
            </w:tcBorders>
          </w:tcPr>
          <w:p w14:paraId="502A6DA6" w14:textId="77777777" w:rsidR="00FD119B" w:rsidRPr="0083135E" w:rsidRDefault="00FD119B" w:rsidP="0083135E">
            <w:r w:rsidRPr="0083135E">
              <w:t>Meaning</w:t>
            </w:r>
          </w:p>
        </w:tc>
      </w:tr>
      <w:tr w:rsidR="00393EE5" w:rsidRPr="00FD119B" w14:paraId="67FF7670" w14:textId="77777777" w:rsidTr="00393EE5">
        <w:tc>
          <w:tcPr>
            <w:tcW w:w="1890" w:type="dxa"/>
            <w:tcBorders>
              <w:top w:val="single" w:sz="4" w:space="0" w:color="auto"/>
            </w:tcBorders>
          </w:tcPr>
          <w:p w14:paraId="2BE2F94F" w14:textId="5E371771" w:rsidR="00393EE5" w:rsidRPr="00CF7F9B" w:rsidRDefault="00393EE5" w:rsidP="00393EE5">
            <w:r w:rsidRPr="00CF7F9B">
              <w:rPr>
                <w:bCs/>
              </w:rPr>
              <w:t>ACV</w:t>
            </w:r>
          </w:p>
        </w:tc>
        <w:tc>
          <w:tcPr>
            <w:tcW w:w="6604" w:type="dxa"/>
            <w:tcBorders>
              <w:top w:val="single" w:sz="4" w:space="0" w:color="auto"/>
            </w:tcBorders>
          </w:tcPr>
          <w:p w14:paraId="3D830FBC" w14:textId="028B2CCF" w:rsidR="00393EE5" w:rsidRPr="00CF7F9B" w:rsidRDefault="00393EE5" w:rsidP="00393EE5">
            <w:r w:rsidRPr="00CF7F9B">
              <w:rPr>
                <w:bCs/>
              </w:rPr>
              <w:t>Advisory Committee on Vaccines</w:t>
            </w:r>
          </w:p>
        </w:tc>
      </w:tr>
      <w:tr w:rsidR="00393EE5" w:rsidRPr="00FD119B" w14:paraId="79EBA9FB" w14:textId="77777777" w:rsidTr="00393EE5">
        <w:tc>
          <w:tcPr>
            <w:tcW w:w="1890" w:type="dxa"/>
          </w:tcPr>
          <w:p w14:paraId="4E6F8A0B" w14:textId="3042C41D" w:rsidR="00393EE5" w:rsidRPr="00CF7F9B" w:rsidRDefault="00393EE5" w:rsidP="00393EE5">
            <w:r w:rsidRPr="00CF7F9B">
              <w:t>AE</w:t>
            </w:r>
          </w:p>
        </w:tc>
        <w:tc>
          <w:tcPr>
            <w:tcW w:w="6604" w:type="dxa"/>
          </w:tcPr>
          <w:p w14:paraId="280F9C4B" w14:textId="0C6A47E2" w:rsidR="00393EE5" w:rsidRPr="00CF7F9B" w:rsidRDefault="00393EE5" w:rsidP="00393EE5">
            <w:r w:rsidRPr="00CF7F9B">
              <w:t>Adverse event</w:t>
            </w:r>
          </w:p>
        </w:tc>
      </w:tr>
      <w:tr w:rsidR="00393EE5" w:rsidRPr="00FD119B" w14:paraId="6A7926F9" w14:textId="77777777" w:rsidTr="00393EE5">
        <w:tc>
          <w:tcPr>
            <w:tcW w:w="1890" w:type="dxa"/>
          </w:tcPr>
          <w:p w14:paraId="60E4FFFD" w14:textId="64546E2F" w:rsidR="00393EE5" w:rsidRPr="00CF7F9B" w:rsidRDefault="00393EE5" w:rsidP="00393EE5">
            <w:r w:rsidRPr="00CF7F9B">
              <w:t>ARTG</w:t>
            </w:r>
          </w:p>
        </w:tc>
        <w:tc>
          <w:tcPr>
            <w:tcW w:w="6604" w:type="dxa"/>
          </w:tcPr>
          <w:p w14:paraId="4C3D65DA" w14:textId="1613ED0C" w:rsidR="00393EE5" w:rsidRPr="00CF7F9B" w:rsidRDefault="00393EE5" w:rsidP="00393EE5">
            <w:r w:rsidRPr="00CF7F9B">
              <w:t>Australian Register of Therapeutic Goods</w:t>
            </w:r>
          </w:p>
        </w:tc>
      </w:tr>
      <w:tr w:rsidR="00393EE5" w:rsidRPr="00FD119B" w14:paraId="7B425904" w14:textId="77777777" w:rsidTr="00393EE5">
        <w:tc>
          <w:tcPr>
            <w:tcW w:w="1890" w:type="dxa"/>
          </w:tcPr>
          <w:p w14:paraId="44D902F0" w14:textId="1579B563" w:rsidR="00393EE5" w:rsidRPr="00CF7F9B" w:rsidRDefault="00393EE5" w:rsidP="00393EE5">
            <w:r w:rsidRPr="00CF7F9B">
              <w:t>ASA</w:t>
            </w:r>
          </w:p>
        </w:tc>
        <w:tc>
          <w:tcPr>
            <w:tcW w:w="6604" w:type="dxa"/>
          </w:tcPr>
          <w:p w14:paraId="54527AEB" w14:textId="066F61EC" w:rsidR="00393EE5" w:rsidRPr="00CF7F9B" w:rsidRDefault="00393EE5" w:rsidP="00393EE5">
            <w:r w:rsidRPr="00CF7F9B">
              <w:t xml:space="preserve">Australia </w:t>
            </w:r>
            <w:r w:rsidR="00321369">
              <w:t>s</w:t>
            </w:r>
            <w:r w:rsidRPr="00CF7F9B">
              <w:t xml:space="preserve">pecific </w:t>
            </w:r>
            <w:r w:rsidR="00321369">
              <w:t>a</w:t>
            </w:r>
            <w:r w:rsidRPr="00CF7F9B">
              <w:t>nnex</w:t>
            </w:r>
          </w:p>
        </w:tc>
      </w:tr>
      <w:tr w:rsidR="00393EE5" w:rsidRPr="00FD119B" w14:paraId="589EE4FE" w14:textId="77777777" w:rsidTr="00393EE5">
        <w:tc>
          <w:tcPr>
            <w:tcW w:w="1890" w:type="dxa"/>
          </w:tcPr>
          <w:p w14:paraId="3C22C1B8" w14:textId="4C99233D" w:rsidR="00393EE5" w:rsidRPr="00CF7F9B" w:rsidRDefault="00393EE5" w:rsidP="00393EE5">
            <w:proofErr w:type="spellStart"/>
            <w:r w:rsidRPr="00CF7F9B">
              <w:t>AusVaxSafety</w:t>
            </w:r>
            <w:proofErr w:type="spellEnd"/>
          </w:p>
        </w:tc>
        <w:tc>
          <w:tcPr>
            <w:tcW w:w="6604" w:type="dxa"/>
          </w:tcPr>
          <w:p w14:paraId="1C6E9034" w14:textId="29E9C52F" w:rsidR="00393EE5" w:rsidRPr="00CF7F9B" w:rsidRDefault="00393EE5" w:rsidP="00393EE5">
            <w:r w:rsidRPr="00CF7F9B">
              <w:t>Australia vaccine safety system</w:t>
            </w:r>
          </w:p>
        </w:tc>
      </w:tr>
      <w:tr w:rsidR="00393EE5" w:rsidRPr="00FD119B" w14:paraId="6A241BE4" w14:textId="77777777" w:rsidTr="00393EE5">
        <w:tc>
          <w:tcPr>
            <w:tcW w:w="1890" w:type="dxa"/>
          </w:tcPr>
          <w:p w14:paraId="1274F7C7" w14:textId="083E76BE" w:rsidR="00393EE5" w:rsidRPr="00CF7F9B" w:rsidRDefault="00393EE5" w:rsidP="00393EE5">
            <w:r w:rsidRPr="00CF7F9B">
              <w:t>CHMP</w:t>
            </w:r>
          </w:p>
        </w:tc>
        <w:tc>
          <w:tcPr>
            <w:tcW w:w="6604" w:type="dxa"/>
          </w:tcPr>
          <w:p w14:paraId="2C523E13" w14:textId="5F5E0241" w:rsidR="00393EE5" w:rsidRPr="00CF7F9B" w:rsidRDefault="00393EE5" w:rsidP="00393EE5">
            <w:r w:rsidRPr="00CF7F9B">
              <w:t>Committee for Medicinal Products for Human Use (European Union)</w:t>
            </w:r>
          </w:p>
        </w:tc>
      </w:tr>
      <w:tr w:rsidR="00393EE5" w:rsidRPr="00FD119B" w14:paraId="03653B62" w14:textId="77777777" w:rsidTr="00393EE5">
        <w:tc>
          <w:tcPr>
            <w:tcW w:w="1890" w:type="dxa"/>
          </w:tcPr>
          <w:p w14:paraId="27E96613" w14:textId="34897066" w:rsidR="00393EE5" w:rsidRPr="00CF7F9B" w:rsidRDefault="00393EE5" w:rsidP="00393EE5">
            <w:r w:rsidRPr="00CF7F9B">
              <w:t>CI</w:t>
            </w:r>
          </w:p>
        </w:tc>
        <w:tc>
          <w:tcPr>
            <w:tcW w:w="6604" w:type="dxa"/>
          </w:tcPr>
          <w:p w14:paraId="3FFDB713" w14:textId="44216ACD" w:rsidR="00393EE5" w:rsidRPr="00CF7F9B" w:rsidRDefault="00393EE5" w:rsidP="00393EE5">
            <w:r w:rsidRPr="00CF7F9B">
              <w:t xml:space="preserve">Confidence </w:t>
            </w:r>
            <w:r w:rsidR="00321369">
              <w:t>i</w:t>
            </w:r>
            <w:r w:rsidRPr="00CF7F9B">
              <w:t>nterval</w:t>
            </w:r>
          </w:p>
        </w:tc>
      </w:tr>
      <w:tr w:rsidR="00393EE5" w:rsidRPr="00FD119B" w14:paraId="0B182068" w14:textId="77777777" w:rsidTr="00393EE5">
        <w:tc>
          <w:tcPr>
            <w:tcW w:w="1890" w:type="dxa"/>
          </w:tcPr>
          <w:p w14:paraId="1D7C269E" w14:textId="67ECF9CB" w:rsidR="00393EE5" w:rsidRPr="00CF7F9B" w:rsidRDefault="00393EE5" w:rsidP="00393EE5">
            <w:r w:rsidRPr="00CF7F9B">
              <w:t>DLP</w:t>
            </w:r>
          </w:p>
        </w:tc>
        <w:tc>
          <w:tcPr>
            <w:tcW w:w="6604" w:type="dxa"/>
          </w:tcPr>
          <w:p w14:paraId="3EE24FB1" w14:textId="1AA31287" w:rsidR="00393EE5" w:rsidRPr="00CF7F9B" w:rsidRDefault="00393EE5" w:rsidP="00393EE5">
            <w:r w:rsidRPr="00CF7F9B">
              <w:t xml:space="preserve">Data </w:t>
            </w:r>
            <w:r w:rsidR="00321369">
              <w:t>l</w:t>
            </w:r>
            <w:r w:rsidRPr="00CF7F9B">
              <w:t xml:space="preserve">ock </w:t>
            </w:r>
            <w:r w:rsidR="00321369">
              <w:t>p</w:t>
            </w:r>
            <w:r w:rsidRPr="00CF7F9B">
              <w:t>oint</w:t>
            </w:r>
          </w:p>
        </w:tc>
      </w:tr>
      <w:tr w:rsidR="00393EE5" w:rsidRPr="00FD119B" w14:paraId="6CA86ABF" w14:textId="77777777" w:rsidTr="00393EE5">
        <w:tc>
          <w:tcPr>
            <w:tcW w:w="1890" w:type="dxa"/>
          </w:tcPr>
          <w:p w14:paraId="05E05FC7" w14:textId="3E30EDCC" w:rsidR="00393EE5" w:rsidRPr="00CF7F9B" w:rsidRDefault="00393EE5" w:rsidP="00393EE5">
            <w:r w:rsidRPr="00CF7F9B">
              <w:t>EMA</w:t>
            </w:r>
          </w:p>
        </w:tc>
        <w:tc>
          <w:tcPr>
            <w:tcW w:w="6604" w:type="dxa"/>
          </w:tcPr>
          <w:p w14:paraId="0BC7021B" w14:textId="761F7DC1" w:rsidR="00393EE5" w:rsidRPr="00CF7F9B" w:rsidRDefault="00393EE5" w:rsidP="00393EE5">
            <w:r w:rsidRPr="00CF7F9B">
              <w:t>European Medicines Agency (European Union)</w:t>
            </w:r>
          </w:p>
        </w:tc>
      </w:tr>
      <w:tr w:rsidR="00393EE5" w:rsidRPr="00FD119B" w14:paraId="23150634" w14:textId="77777777" w:rsidTr="00393EE5">
        <w:tc>
          <w:tcPr>
            <w:tcW w:w="1890" w:type="dxa"/>
          </w:tcPr>
          <w:p w14:paraId="498525D0" w14:textId="31283C5E" w:rsidR="00393EE5" w:rsidRPr="00CF7F9B" w:rsidRDefault="00393EE5" w:rsidP="00393EE5">
            <w:r w:rsidRPr="00CF7F9B">
              <w:t>EMEA</w:t>
            </w:r>
          </w:p>
        </w:tc>
        <w:tc>
          <w:tcPr>
            <w:tcW w:w="6604" w:type="dxa"/>
          </w:tcPr>
          <w:p w14:paraId="14087249" w14:textId="6FA0A14F" w:rsidR="00393EE5" w:rsidRPr="00CF7F9B" w:rsidRDefault="00393EE5" w:rsidP="00393EE5">
            <w:r w:rsidRPr="00CF7F9B">
              <w:t>European Medicines Evaluation Agency (European Union)</w:t>
            </w:r>
          </w:p>
        </w:tc>
      </w:tr>
      <w:tr w:rsidR="00393EE5" w:rsidRPr="00FD119B" w14:paraId="18BE9BB1" w14:textId="77777777" w:rsidTr="00393EE5">
        <w:tc>
          <w:tcPr>
            <w:tcW w:w="1890" w:type="dxa"/>
          </w:tcPr>
          <w:p w14:paraId="152E69B4" w14:textId="005958A0" w:rsidR="00393EE5" w:rsidRPr="00CF7F9B" w:rsidRDefault="00393EE5" w:rsidP="00393EE5">
            <w:r w:rsidRPr="00CF7F9B">
              <w:t>EU</w:t>
            </w:r>
          </w:p>
        </w:tc>
        <w:tc>
          <w:tcPr>
            <w:tcW w:w="6604" w:type="dxa"/>
          </w:tcPr>
          <w:p w14:paraId="3099D64A" w14:textId="7EA9AE97" w:rsidR="00393EE5" w:rsidRPr="00CF7F9B" w:rsidRDefault="00393EE5" w:rsidP="00393EE5">
            <w:r w:rsidRPr="00CF7F9B">
              <w:t>European Union</w:t>
            </w:r>
          </w:p>
        </w:tc>
      </w:tr>
      <w:tr w:rsidR="00393EE5" w:rsidRPr="00FD119B" w14:paraId="3D72071D" w14:textId="77777777" w:rsidTr="00393EE5">
        <w:tc>
          <w:tcPr>
            <w:tcW w:w="1890" w:type="dxa"/>
          </w:tcPr>
          <w:p w14:paraId="337B300A" w14:textId="4E9BC719" w:rsidR="00393EE5" w:rsidRPr="00CF7F9B" w:rsidRDefault="00393EE5" w:rsidP="00393EE5">
            <w:r w:rsidRPr="00CF7F9B">
              <w:t>FAS</w:t>
            </w:r>
          </w:p>
        </w:tc>
        <w:tc>
          <w:tcPr>
            <w:tcW w:w="6604" w:type="dxa"/>
          </w:tcPr>
          <w:p w14:paraId="17EEC115" w14:textId="4931F60E" w:rsidR="00393EE5" w:rsidRPr="00CF7F9B" w:rsidRDefault="00393EE5" w:rsidP="00393EE5">
            <w:r w:rsidRPr="00CF7F9B">
              <w:t>Full analysis set</w:t>
            </w:r>
          </w:p>
        </w:tc>
      </w:tr>
      <w:tr w:rsidR="00393EE5" w:rsidRPr="00FD119B" w14:paraId="7EA20829" w14:textId="77777777" w:rsidTr="00393EE5">
        <w:tc>
          <w:tcPr>
            <w:tcW w:w="1890" w:type="dxa"/>
          </w:tcPr>
          <w:p w14:paraId="449FF3C3" w14:textId="1CB9471D" w:rsidR="00393EE5" w:rsidRPr="00CF7F9B" w:rsidRDefault="00393EE5" w:rsidP="00393EE5">
            <w:r w:rsidRPr="00CF7F9B">
              <w:t>GMR</w:t>
            </w:r>
          </w:p>
        </w:tc>
        <w:tc>
          <w:tcPr>
            <w:tcW w:w="6604" w:type="dxa"/>
          </w:tcPr>
          <w:p w14:paraId="475763F2" w14:textId="0AE9D6B7" w:rsidR="00393EE5" w:rsidRPr="00CF7F9B" w:rsidRDefault="00393EE5" w:rsidP="00393EE5">
            <w:r w:rsidRPr="00CF7F9B">
              <w:t>Geometric mean ratio</w:t>
            </w:r>
          </w:p>
        </w:tc>
      </w:tr>
      <w:tr w:rsidR="00393EE5" w:rsidRPr="00FD119B" w14:paraId="47ECE4DC" w14:textId="77777777" w:rsidTr="00393EE5">
        <w:tc>
          <w:tcPr>
            <w:tcW w:w="1890" w:type="dxa"/>
          </w:tcPr>
          <w:p w14:paraId="40519FE1" w14:textId="47DEE047" w:rsidR="00393EE5" w:rsidRPr="00CF7F9B" w:rsidRDefault="00393EE5" w:rsidP="00393EE5">
            <w:r w:rsidRPr="00CF7F9B">
              <w:t>GMT</w:t>
            </w:r>
          </w:p>
        </w:tc>
        <w:tc>
          <w:tcPr>
            <w:tcW w:w="6604" w:type="dxa"/>
          </w:tcPr>
          <w:p w14:paraId="166F53C2" w14:textId="4C4EEDAB" w:rsidR="00393EE5" w:rsidRPr="00CF7F9B" w:rsidRDefault="00393EE5" w:rsidP="00393EE5">
            <w:bookmarkStart w:id="8" w:name="_Hlk103180439"/>
            <w:r w:rsidRPr="00CF7F9B">
              <w:t>Geometric mean titre</w:t>
            </w:r>
            <w:bookmarkEnd w:id="8"/>
          </w:p>
        </w:tc>
      </w:tr>
      <w:tr w:rsidR="00393EE5" w:rsidRPr="00FD119B" w14:paraId="40E1F5BA" w14:textId="77777777" w:rsidTr="00393EE5">
        <w:tc>
          <w:tcPr>
            <w:tcW w:w="1890" w:type="dxa"/>
          </w:tcPr>
          <w:p w14:paraId="686A48FF" w14:textId="0B0085DA" w:rsidR="00393EE5" w:rsidRPr="00CF7F9B" w:rsidRDefault="00393EE5" w:rsidP="00393EE5">
            <w:r w:rsidRPr="00CF7F9B">
              <w:t>GVP</w:t>
            </w:r>
          </w:p>
        </w:tc>
        <w:tc>
          <w:tcPr>
            <w:tcW w:w="6604" w:type="dxa"/>
          </w:tcPr>
          <w:p w14:paraId="507F5B64" w14:textId="2E1BAFAC" w:rsidR="00393EE5" w:rsidRPr="00CF7F9B" w:rsidRDefault="00393EE5" w:rsidP="00393EE5">
            <w:r w:rsidRPr="00CF7F9B">
              <w:t>Good pharmacovigilance practices</w:t>
            </w:r>
          </w:p>
        </w:tc>
      </w:tr>
      <w:tr w:rsidR="00393EE5" w:rsidRPr="00FD119B" w14:paraId="6B1E556F" w14:textId="77777777" w:rsidTr="00393EE5">
        <w:tc>
          <w:tcPr>
            <w:tcW w:w="1890" w:type="dxa"/>
          </w:tcPr>
          <w:p w14:paraId="7316E3F2" w14:textId="632E5121" w:rsidR="00393EE5" w:rsidRPr="00CF7F9B" w:rsidRDefault="00393EE5" w:rsidP="00393EE5">
            <w:r w:rsidRPr="00CF7F9B">
              <w:t>HI</w:t>
            </w:r>
          </w:p>
        </w:tc>
        <w:tc>
          <w:tcPr>
            <w:tcW w:w="6604" w:type="dxa"/>
          </w:tcPr>
          <w:p w14:paraId="5033B7C8" w14:textId="79B3F7B2" w:rsidR="00393EE5" w:rsidRPr="00CF7F9B" w:rsidRDefault="00393EE5" w:rsidP="00393EE5">
            <w:r w:rsidRPr="00CF7F9B">
              <w:t>H</w:t>
            </w:r>
            <w:r w:rsidR="001539F2">
              <w:t>a</w:t>
            </w:r>
            <w:r w:rsidRPr="00CF7F9B">
              <w:t>emagglutination inhibition</w:t>
            </w:r>
          </w:p>
        </w:tc>
      </w:tr>
      <w:tr w:rsidR="00393EE5" w:rsidRPr="00FD119B" w14:paraId="285453AD" w14:textId="77777777" w:rsidTr="00393EE5">
        <w:tc>
          <w:tcPr>
            <w:tcW w:w="1890" w:type="dxa"/>
          </w:tcPr>
          <w:p w14:paraId="2EFCABAA" w14:textId="160C81E3" w:rsidR="00393EE5" w:rsidRPr="00CF7F9B" w:rsidRDefault="00393EE5" w:rsidP="00393EE5">
            <w:r w:rsidRPr="00CF7F9B">
              <w:t>HR</w:t>
            </w:r>
          </w:p>
        </w:tc>
        <w:tc>
          <w:tcPr>
            <w:tcW w:w="6604" w:type="dxa"/>
          </w:tcPr>
          <w:p w14:paraId="2E525A06" w14:textId="78DFA280" w:rsidR="00393EE5" w:rsidRPr="00CF7F9B" w:rsidRDefault="00393EE5" w:rsidP="00393EE5">
            <w:r w:rsidRPr="00CF7F9B">
              <w:t>Hazard ratio</w:t>
            </w:r>
          </w:p>
        </w:tc>
      </w:tr>
      <w:tr w:rsidR="00393EE5" w:rsidRPr="00FD119B" w14:paraId="47C080F6" w14:textId="77777777" w:rsidTr="00393EE5">
        <w:tc>
          <w:tcPr>
            <w:tcW w:w="1890" w:type="dxa"/>
          </w:tcPr>
          <w:p w14:paraId="71E35686" w14:textId="366A12D2" w:rsidR="00393EE5" w:rsidRPr="00CF7F9B" w:rsidRDefault="00393EE5" w:rsidP="00393EE5">
            <w:r w:rsidRPr="00CF7F9B">
              <w:t>MDCK</w:t>
            </w:r>
          </w:p>
        </w:tc>
        <w:tc>
          <w:tcPr>
            <w:tcW w:w="6604" w:type="dxa"/>
          </w:tcPr>
          <w:p w14:paraId="397B3C2E" w14:textId="1E60C1C1" w:rsidR="00393EE5" w:rsidRPr="00CF7F9B" w:rsidRDefault="00393EE5" w:rsidP="00393EE5">
            <w:proofErr w:type="spellStart"/>
            <w:r w:rsidRPr="00CF7F9B">
              <w:t>Madin</w:t>
            </w:r>
            <w:proofErr w:type="spellEnd"/>
            <w:r w:rsidRPr="00CF7F9B">
              <w:t>-Darby canine kidney</w:t>
            </w:r>
          </w:p>
        </w:tc>
      </w:tr>
      <w:tr w:rsidR="00393EE5" w:rsidRPr="00FD119B" w14:paraId="7B2697E3" w14:textId="77777777" w:rsidTr="00393EE5">
        <w:tc>
          <w:tcPr>
            <w:tcW w:w="1890" w:type="dxa"/>
          </w:tcPr>
          <w:p w14:paraId="76105183" w14:textId="00F5DD30" w:rsidR="00393EE5" w:rsidRPr="00CF7F9B" w:rsidRDefault="00393EE5" w:rsidP="00393EE5">
            <w:r w:rsidRPr="00CF7F9B">
              <w:t>NIP</w:t>
            </w:r>
          </w:p>
        </w:tc>
        <w:tc>
          <w:tcPr>
            <w:tcW w:w="6604" w:type="dxa"/>
          </w:tcPr>
          <w:p w14:paraId="6B140C3E" w14:textId="73332645" w:rsidR="00393EE5" w:rsidRPr="00CF7F9B" w:rsidRDefault="00393EE5" w:rsidP="00393EE5">
            <w:r w:rsidRPr="00CF7F9B">
              <w:t>National Immunisation Program</w:t>
            </w:r>
          </w:p>
        </w:tc>
      </w:tr>
      <w:tr w:rsidR="00393EE5" w:rsidRPr="00FD119B" w14:paraId="2C30EED8" w14:textId="77777777" w:rsidTr="00393EE5">
        <w:tc>
          <w:tcPr>
            <w:tcW w:w="1890" w:type="dxa"/>
          </w:tcPr>
          <w:p w14:paraId="59D64F5F" w14:textId="0C5008E0" w:rsidR="00393EE5" w:rsidRPr="00CF7F9B" w:rsidRDefault="00393EE5" w:rsidP="00393EE5">
            <w:r w:rsidRPr="00CF7F9B">
              <w:t>PI</w:t>
            </w:r>
          </w:p>
        </w:tc>
        <w:tc>
          <w:tcPr>
            <w:tcW w:w="6604" w:type="dxa"/>
          </w:tcPr>
          <w:p w14:paraId="0DAFCBFA" w14:textId="7571364A" w:rsidR="00393EE5" w:rsidRPr="00CF7F9B" w:rsidRDefault="00393EE5" w:rsidP="00393EE5">
            <w:r w:rsidRPr="00CF7F9B">
              <w:t>Product Information</w:t>
            </w:r>
          </w:p>
        </w:tc>
      </w:tr>
      <w:tr w:rsidR="00393EE5" w:rsidRPr="00FD119B" w14:paraId="1D1A9852" w14:textId="77777777" w:rsidTr="00393EE5">
        <w:tc>
          <w:tcPr>
            <w:tcW w:w="1890" w:type="dxa"/>
          </w:tcPr>
          <w:p w14:paraId="6B758154" w14:textId="133CA893" w:rsidR="00393EE5" w:rsidRPr="00CF7F9B" w:rsidRDefault="00393EE5" w:rsidP="00393EE5">
            <w:r w:rsidRPr="00CF7F9B">
              <w:t>PK</w:t>
            </w:r>
          </w:p>
        </w:tc>
        <w:tc>
          <w:tcPr>
            <w:tcW w:w="6604" w:type="dxa"/>
          </w:tcPr>
          <w:p w14:paraId="15EF6C4E" w14:textId="191BD444" w:rsidR="00393EE5" w:rsidRPr="00CF7F9B" w:rsidRDefault="00393EE5" w:rsidP="00393EE5">
            <w:r w:rsidRPr="00CF7F9B">
              <w:t>Pharmacokinetic(s)</w:t>
            </w:r>
          </w:p>
        </w:tc>
      </w:tr>
      <w:tr w:rsidR="00393EE5" w:rsidRPr="00FD119B" w14:paraId="5A50ED28" w14:textId="77777777" w:rsidTr="00393EE5">
        <w:tc>
          <w:tcPr>
            <w:tcW w:w="1890" w:type="dxa"/>
          </w:tcPr>
          <w:p w14:paraId="03CC85ED" w14:textId="5BAAE568" w:rsidR="00393EE5" w:rsidRPr="00CF7F9B" w:rsidRDefault="00393EE5" w:rsidP="00393EE5">
            <w:r w:rsidRPr="00CF7F9B">
              <w:t>PSUR</w:t>
            </w:r>
          </w:p>
        </w:tc>
        <w:tc>
          <w:tcPr>
            <w:tcW w:w="6604" w:type="dxa"/>
          </w:tcPr>
          <w:p w14:paraId="583A941C" w14:textId="088D0A79" w:rsidR="00393EE5" w:rsidRPr="00CF7F9B" w:rsidRDefault="00393EE5" w:rsidP="00393EE5">
            <w:r w:rsidRPr="00CF7F9B">
              <w:t xml:space="preserve">Periodic </w:t>
            </w:r>
            <w:r w:rsidR="00321369">
              <w:t>s</w:t>
            </w:r>
            <w:r w:rsidRPr="00CF7F9B">
              <w:t xml:space="preserve">afety </w:t>
            </w:r>
            <w:r w:rsidR="00321369">
              <w:t>u</w:t>
            </w:r>
            <w:r w:rsidRPr="00CF7F9B">
              <w:t xml:space="preserve">pdate </w:t>
            </w:r>
            <w:r w:rsidR="00321369">
              <w:t>r</w:t>
            </w:r>
            <w:r w:rsidRPr="00CF7F9B">
              <w:t>eport</w:t>
            </w:r>
          </w:p>
        </w:tc>
      </w:tr>
      <w:tr w:rsidR="00393EE5" w:rsidRPr="00FD119B" w14:paraId="4B559C7A" w14:textId="77777777" w:rsidTr="00393EE5">
        <w:tc>
          <w:tcPr>
            <w:tcW w:w="1890" w:type="dxa"/>
          </w:tcPr>
          <w:p w14:paraId="57E93A2B" w14:textId="2C93810A" w:rsidR="00393EE5" w:rsidRPr="00CF7F9B" w:rsidRDefault="00393EE5" w:rsidP="00393EE5">
            <w:r w:rsidRPr="00CF7F9B">
              <w:t>RMP</w:t>
            </w:r>
          </w:p>
        </w:tc>
        <w:tc>
          <w:tcPr>
            <w:tcW w:w="6604" w:type="dxa"/>
          </w:tcPr>
          <w:p w14:paraId="29696508" w14:textId="2ADD1A98" w:rsidR="00393EE5" w:rsidRPr="00CF7F9B" w:rsidRDefault="00393EE5" w:rsidP="00393EE5">
            <w:r w:rsidRPr="00CF7F9B">
              <w:t xml:space="preserve">Risk </w:t>
            </w:r>
            <w:r w:rsidR="00321369">
              <w:t>m</w:t>
            </w:r>
            <w:r w:rsidRPr="00CF7F9B">
              <w:t xml:space="preserve">anagement </w:t>
            </w:r>
            <w:r w:rsidR="00321369">
              <w:t>p</w:t>
            </w:r>
            <w:r w:rsidRPr="00CF7F9B">
              <w:t>lan</w:t>
            </w:r>
          </w:p>
        </w:tc>
      </w:tr>
      <w:tr w:rsidR="00393EE5" w:rsidRPr="00FD119B" w14:paraId="331D2F42" w14:textId="77777777" w:rsidTr="00393EE5">
        <w:tc>
          <w:tcPr>
            <w:tcW w:w="1890" w:type="dxa"/>
          </w:tcPr>
          <w:p w14:paraId="788AD871" w14:textId="31C73D9A" w:rsidR="00393EE5" w:rsidRPr="00CF7F9B" w:rsidRDefault="00393EE5" w:rsidP="00393EE5">
            <w:r w:rsidRPr="00CF7F9B">
              <w:t>RT-PCR</w:t>
            </w:r>
          </w:p>
        </w:tc>
        <w:tc>
          <w:tcPr>
            <w:tcW w:w="6604" w:type="dxa"/>
          </w:tcPr>
          <w:p w14:paraId="019E5B32" w14:textId="4F63C228" w:rsidR="00393EE5" w:rsidRPr="00CF7F9B" w:rsidRDefault="00393EE5" w:rsidP="00393EE5">
            <w:r w:rsidRPr="00CF7F9B">
              <w:t xml:space="preserve">Reverse </w:t>
            </w:r>
            <w:r w:rsidR="00321369">
              <w:t>t</w:t>
            </w:r>
            <w:r w:rsidRPr="00CF7F9B">
              <w:t xml:space="preserve">ranscription </w:t>
            </w:r>
            <w:r w:rsidR="00321369">
              <w:t>p</w:t>
            </w:r>
            <w:r w:rsidRPr="00CF7F9B">
              <w:t xml:space="preserve">olymerase </w:t>
            </w:r>
            <w:r w:rsidR="00321369">
              <w:t>c</w:t>
            </w:r>
            <w:r w:rsidRPr="00CF7F9B">
              <w:t xml:space="preserve">hain </w:t>
            </w:r>
            <w:r w:rsidR="00321369">
              <w:t>r</w:t>
            </w:r>
            <w:r w:rsidRPr="00CF7F9B">
              <w:t>eaction</w:t>
            </w:r>
          </w:p>
        </w:tc>
      </w:tr>
      <w:tr w:rsidR="00393EE5" w:rsidRPr="00FD119B" w14:paraId="7FE9AD0C" w14:textId="77777777" w:rsidTr="00393EE5">
        <w:tc>
          <w:tcPr>
            <w:tcW w:w="1890" w:type="dxa"/>
          </w:tcPr>
          <w:p w14:paraId="5F6929F5" w14:textId="7A0F4F05" w:rsidR="00393EE5" w:rsidRPr="00CF7F9B" w:rsidRDefault="00393EE5" w:rsidP="00393EE5">
            <w:r w:rsidRPr="00CF7F9B">
              <w:lastRenderedPageBreak/>
              <w:t>SAE</w:t>
            </w:r>
          </w:p>
        </w:tc>
        <w:tc>
          <w:tcPr>
            <w:tcW w:w="6604" w:type="dxa"/>
          </w:tcPr>
          <w:p w14:paraId="607B9400" w14:textId="512B5BA9" w:rsidR="00393EE5" w:rsidRPr="00CF7F9B" w:rsidRDefault="00393EE5" w:rsidP="00393EE5">
            <w:r w:rsidRPr="00CF7F9B">
              <w:t xml:space="preserve">Serious </w:t>
            </w:r>
            <w:r w:rsidR="00321369">
              <w:t>a</w:t>
            </w:r>
            <w:r w:rsidRPr="00CF7F9B">
              <w:t xml:space="preserve">dverse </w:t>
            </w:r>
            <w:r w:rsidR="00321369">
              <w:t>e</w:t>
            </w:r>
            <w:r w:rsidRPr="00CF7F9B">
              <w:t>vent</w:t>
            </w:r>
          </w:p>
        </w:tc>
      </w:tr>
      <w:tr w:rsidR="00393EE5" w:rsidRPr="00FD119B" w14:paraId="1823DB57" w14:textId="77777777" w:rsidTr="00393EE5">
        <w:tc>
          <w:tcPr>
            <w:tcW w:w="1890" w:type="dxa"/>
          </w:tcPr>
          <w:p w14:paraId="24125743" w14:textId="0CFE62EA" w:rsidR="00393EE5" w:rsidRPr="00CF7F9B" w:rsidRDefault="00393EE5" w:rsidP="00393EE5">
            <w:r w:rsidRPr="00CF7F9B">
              <w:t>SOC</w:t>
            </w:r>
          </w:p>
        </w:tc>
        <w:tc>
          <w:tcPr>
            <w:tcW w:w="6604" w:type="dxa"/>
          </w:tcPr>
          <w:p w14:paraId="6EAA58F7" w14:textId="1625556C" w:rsidR="00393EE5" w:rsidRPr="00CF7F9B" w:rsidRDefault="00393EE5" w:rsidP="00393EE5">
            <w:r w:rsidRPr="00CF7F9B">
              <w:t>System Organ Class</w:t>
            </w:r>
          </w:p>
        </w:tc>
      </w:tr>
      <w:tr w:rsidR="00393EE5" w:rsidRPr="00FD119B" w14:paraId="227FC377" w14:textId="77777777" w:rsidTr="00393EE5">
        <w:tc>
          <w:tcPr>
            <w:tcW w:w="1890" w:type="dxa"/>
          </w:tcPr>
          <w:p w14:paraId="095E04F8" w14:textId="314ABC5E" w:rsidR="00393EE5" w:rsidRPr="00CF7F9B" w:rsidRDefault="00393EE5" w:rsidP="00393EE5">
            <w:r w:rsidRPr="00CF7F9B">
              <w:t>US(A)</w:t>
            </w:r>
          </w:p>
        </w:tc>
        <w:tc>
          <w:tcPr>
            <w:tcW w:w="6604" w:type="dxa"/>
          </w:tcPr>
          <w:p w14:paraId="76F14F65" w14:textId="1B293B77" w:rsidR="00393EE5" w:rsidRPr="00CF7F9B" w:rsidRDefault="00393EE5" w:rsidP="00393EE5">
            <w:r w:rsidRPr="00CF7F9B">
              <w:t>United States (of America)</w:t>
            </w:r>
          </w:p>
        </w:tc>
      </w:tr>
      <w:tr w:rsidR="00393EE5" w:rsidRPr="00FD119B" w14:paraId="1AF2F944" w14:textId="77777777" w:rsidTr="00393EE5">
        <w:tc>
          <w:tcPr>
            <w:tcW w:w="1890" w:type="dxa"/>
          </w:tcPr>
          <w:p w14:paraId="29CBB265" w14:textId="17DB0B7D" w:rsidR="00393EE5" w:rsidRPr="00CF7F9B" w:rsidRDefault="00393EE5" w:rsidP="00393EE5">
            <w:r w:rsidRPr="00CF7F9B">
              <w:t>VE</w:t>
            </w:r>
          </w:p>
        </w:tc>
        <w:tc>
          <w:tcPr>
            <w:tcW w:w="6604" w:type="dxa"/>
          </w:tcPr>
          <w:p w14:paraId="06879886" w14:textId="49548A49" w:rsidR="00393EE5" w:rsidRPr="00CF7F9B" w:rsidRDefault="00393EE5" w:rsidP="00393EE5">
            <w:r w:rsidRPr="00CF7F9B">
              <w:t>Vaccine efficacy</w:t>
            </w:r>
          </w:p>
        </w:tc>
      </w:tr>
      <w:tr w:rsidR="00393EE5" w:rsidRPr="00FD119B" w14:paraId="15EA3B49" w14:textId="77777777" w:rsidTr="00393EE5">
        <w:tc>
          <w:tcPr>
            <w:tcW w:w="1890" w:type="dxa"/>
          </w:tcPr>
          <w:p w14:paraId="7126D888" w14:textId="4B49DE1F" w:rsidR="00393EE5" w:rsidRPr="00CF7F9B" w:rsidRDefault="00393EE5" w:rsidP="00393EE5">
            <w:r w:rsidRPr="00CF7F9B">
              <w:t>WHO</w:t>
            </w:r>
          </w:p>
        </w:tc>
        <w:tc>
          <w:tcPr>
            <w:tcW w:w="6604" w:type="dxa"/>
          </w:tcPr>
          <w:p w14:paraId="7A4DCE24" w14:textId="6BDB2FAA" w:rsidR="00393EE5" w:rsidRPr="00CF7F9B" w:rsidRDefault="00393EE5" w:rsidP="00393EE5">
            <w:r w:rsidRPr="00CF7F9B">
              <w:t>World Health Organization</w:t>
            </w:r>
          </w:p>
        </w:tc>
      </w:tr>
    </w:tbl>
    <w:p w14:paraId="3B5DF1E1" w14:textId="77777777" w:rsidR="00FD119B" w:rsidRDefault="00FD119B" w:rsidP="00FD119B"/>
    <w:p w14:paraId="1E150F4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04C7161" w14:textId="77777777" w:rsidR="008E7846" w:rsidRDefault="00F53C07" w:rsidP="008E7846">
      <w:pPr>
        <w:pStyle w:val="Heading2"/>
      </w:pPr>
      <w:bookmarkStart w:id="9" w:name="_Toc119662215"/>
      <w:r>
        <w:lastRenderedPageBreak/>
        <w:t>I.</w:t>
      </w:r>
      <w:r w:rsidR="008E7846">
        <w:t xml:space="preserve"> Introduction to product submission</w:t>
      </w:r>
      <w:bookmarkEnd w:id="9"/>
      <w:bookmarkEnd w:id="0"/>
      <w:bookmarkEnd w:id="2"/>
    </w:p>
    <w:p w14:paraId="6FA68B20" w14:textId="77777777" w:rsidR="008E7846" w:rsidRDefault="008E7846" w:rsidP="008E7846">
      <w:pPr>
        <w:pStyle w:val="Heading3"/>
        <w:rPr>
          <w:lang w:eastAsia="en-AU"/>
        </w:rPr>
      </w:pPr>
      <w:bookmarkStart w:id="10" w:name="_Toc247691502"/>
      <w:bookmarkStart w:id="11" w:name="_Toc314842483"/>
      <w:bookmarkStart w:id="12" w:name="_Toc119662216"/>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3190510" w14:textId="77777777" w:rsidTr="35E2D724">
        <w:tc>
          <w:tcPr>
            <w:tcW w:w="2907" w:type="dxa"/>
          </w:tcPr>
          <w:p w14:paraId="6334324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478A32E" w14:textId="2C8A5E4C" w:rsidR="008E7846" w:rsidRPr="003D1E62" w:rsidRDefault="00D12C94" w:rsidP="001B5C90">
            <w:r>
              <w:t>Extension of indication</w:t>
            </w:r>
            <w:r w:rsidR="0038328D">
              <w:t>s</w:t>
            </w:r>
          </w:p>
        </w:tc>
      </w:tr>
      <w:tr w:rsidR="00460036" w:rsidRPr="003D1E62" w14:paraId="0F6C2068" w14:textId="77777777" w:rsidTr="35E2D724">
        <w:tc>
          <w:tcPr>
            <w:tcW w:w="2907" w:type="dxa"/>
          </w:tcPr>
          <w:p w14:paraId="71E3F91F" w14:textId="4488E7D5" w:rsidR="00460036" w:rsidRPr="003D1E62" w:rsidRDefault="00460036" w:rsidP="003D1E62">
            <w:pPr>
              <w:rPr>
                <w:i/>
              </w:rPr>
            </w:pPr>
            <w:r w:rsidRPr="00460036">
              <w:rPr>
                <w:i/>
              </w:rPr>
              <w:t>Product name:</w:t>
            </w:r>
          </w:p>
        </w:tc>
        <w:tc>
          <w:tcPr>
            <w:tcW w:w="6307" w:type="dxa"/>
          </w:tcPr>
          <w:p w14:paraId="51D910F3" w14:textId="6A501A87" w:rsidR="00460036" w:rsidRPr="003D1E62" w:rsidRDefault="00691BC4" w:rsidP="001B5C90">
            <w:r w:rsidRPr="00691BC4">
              <w:t>Flucelvax Quad</w:t>
            </w:r>
          </w:p>
        </w:tc>
      </w:tr>
      <w:tr w:rsidR="00460036" w:rsidRPr="003D1E62" w14:paraId="2C9E7171" w14:textId="77777777" w:rsidTr="35E2D724">
        <w:tc>
          <w:tcPr>
            <w:tcW w:w="2907" w:type="dxa"/>
          </w:tcPr>
          <w:p w14:paraId="4223FF5C" w14:textId="3EA0698A" w:rsidR="00460036" w:rsidRPr="003D1E62" w:rsidRDefault="00460036" w:rsidP="003D1E62">
            <w:pPr>
              <w:rPr>
                <w:i/>
              </w:rPr>
            </w:pPr>
            <w:r w:rsidRPr="00460036">
              <w:rPr>
                <w:i/>
              </w:rPr>
              <w:t>Active ingredient:</w:t>
            </w:r>
          </w:p>
        </w:tc>
        <w:tc>
          <w:tcPr>
            <w:tcW w:w="6307" w:type="dxa"/>
          </w:tcPr>
          <w:p w14:paraId="7A08547E" w14:textId="210567E8" w:rsidR="00460036" w:rsidRPr="003D1E62" w:rsidRDefault="00691BC4" w:rsidP="00691BC4">
            <w:r>
              <w:t>Quadrivalent influenza vaccine (surface antigen, inactivated)</w:t>
            </w:r>
          </w:p>
        </w:tc>
      </w:tr>
      <w:tr w:rsidR="008E7846" w:rsidRPr="003D1E62" w14:paraId="329A7882" w14:textId="77777777" w:rsidTr="35E2D724">
        <w:tc>
          <w:tcPr>
            <w:tcW w:w="2907" w:type="dxa"/>
          </w:tcPr>
          <w:p w14:paraId="5572C5B4" w14:textId="77777777" w:rsidR="008E7846" w:rsidRPr="003D1E62" w:rsidRDefault="008E7846" w:rsidP="003D1E62">
            <w:r w:rsidRPr="003D1E62">
              <w:rPr>
                <w:i/>
              </w:rPr>
              <w:t>Decision</w:t>
            </w:r>
            <w:r w:rsidRPr="003D1E62">
              <w:t>:</w:t>
            </w:r>
          </w:p>
        </w:tc>
        <w:tc>
          <w:tcPr>
            <w:tcW w:w="6307" w:type="dxa"/>
          </w:tcPr>
          <w:p w14:paraId="2F177970" w14:textId="6D1E7903" w:rsidR="008E7846" w:rsidRPr="003D1E62" w:rsidRDefault="00460036" w:rsidP="001B5C90">
            <w:r w:rsidRPr="00460036">
              <w:t>Approved</w:t>
            </w:r>
          </w:p>
        </w:tc>
      </w:tr>
      <w:tr w:rsidR="008E7846" w:rsidRPr="003D1E62" w14:paraId="7C6EF55D" w14:textId="77777777" w:rsidTr="35E2D724">
        <w:tc>
          <w:tcPr>
            <w:tcW w:w="2907" w:type="dxa"/>
          </w:tcPr>
          <w:p w14:paraId="6B0DDD41"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DEDF224" w14:textId="6AA2F16A" w:rsidR="008E7846" w:rsidRPr="003D1E62" w:rsidRDefault="00D12C94" w:rsidP="001B5C90">
            <w:r w:rsidRPr="00D12C94">
              <w:t>10 November 2021</w:t>
            </w:r>
          </w:p>
        </w:tc>
      </w:tr>
      <w:tr w:rsidR="00ED2922" w:rsidRPr="003D1E62" w14:paraId="7CEFD46D" w14:textId="77777777" w:rsidTr="35E2D724">
        <w:tc>
          <w:tcPr>
            <w:tcW w:w="2907" w:type="dxa"/>
          </w:tcPr>
          <w:p w14:paraId="47C7EA05" w14:textId="77777777" w:rsidR="00ED2922" w:rsidRPr="00441C3F" w:rsidRDefault="00ED2922" w:rsidP="001B5C90">
            <w:pPr>
              <w:rPr>
                <w:i/>
              </w:rPr>
            </w:pPr>
            <w:r w:rsidRPr="00441C3F">
              <w:rPr>
                <w:i/>
              </w:rPr>
              <w:t>Date of entry onto ARTG</w:t>
            </w:r>
            <w:r w:rsidR="00500337">
              <w:rPr>
                <w:i/>
              </w:rPr>
              <w:t>:</w:t>
            </w:r>
          </w:p>
        </w:tc>
        <w:tc>
          <w:tcPr>
            <w:tcW w:w="6307" w:type="dxa"/>
          </w:tcPr>
          <w:p w14:paraId="5B6997C2" w14:textId="147EEC10" w:rsidR="00ED2922" w:rsidRPr="00441C3F" w:rsidRDefault="00D12C94" w:rsidP="00D153D8">
            <w:pPr>
              <w:rPr>
                <w:i/>
              </w:rPr>
            </w:pPr>
            <w:r>
              <w:t>11 November 2021</w:t>
            </w:r>
          </w:p>
        </w:tc>
      </w:tr>
      <w:tr w:rsidR="00500337" w:rsidRPr="003D1E62" w14:paraId="6F841B89" w14:textId="77777777" w:rsidTr="35E2D724">
        <w:tc>
          <w:tcPr>
            <w:tcW w:w="2907" w:type="dxa"/>
          </w:tcPr>
          <w:p w14:paraId="17B54978" w14:textId="6E0F7E68" w:rsidR="00500337" w:rsidRPr="00441C3F" w:rsidRDefault="00500337" w:rsidP="001B5C90">
            <w:pPr>
              <w:rPr>
                <w:i/>
              </w:rPr>
            </w:pPr>
            <w:r>
              <w:rPr>
                <w:i/>
              </w:rPr>
              <w:t>ARTG numbers:</w:t>
            </w:r>
          </w:p>
        </w:tc>
        <w:tc>
          <w:tcPr>
            <w:tcW w:w="6307" w:type="dxa"/>
          </w:tcPr>
          <w:p w14:paraId="20D03B6A" w14:textId="49B82E12" w:rsidR="00500337" w:rsidRPr="00441C3F" w:rsidRDefault="00881B4B" w:rsidP="00EC463D">
            <w:r w:rsidRPr="00881B4B">
              <w:t xml:space="preserve">319093 </w:t>
            </w:r>
            <w:r>
              <w:t xml:space="preserve">and </w:t>
            </w:r>
            <w:r w:rsidRPr="00881B4B">
              <w:t>341450</w:t>
            </w:r>
          </w:p>
        </w:tc>
      </w:tr>
      <w:tr w:rsidR="003735BC" w:rsidRPr="003D1E62" w14:paraId="78B9EA95" w14:textId="77777777" w:rsidTr="35E2D724">
        <w:tc>
          <w:tcPr>
            <w:tcW w:w="2907" w:type="dxa"/>
          </w:tcPr>
          <w:p w14:paraId="3A21424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110E9D6C" w14:textId="451555C9" w:rsidR="003735BC" w:rsidRPr="00487162" w:rsidRDefault="003735BC" w:rsidP="00691BC4">
            <w:r>
              <w:t>No</w:t>
            </w:r>
          </w:p>
        </w:tc>
      </w:tr>
      <w:tr w:rsidR="008E7846" w:rsidRPr="00487162" w14:paraId="6A8DC3A3" w14:textId="77777777" w:rsidTr="35E2D724">
        <w:tc>
          <w:tcPr>
            <w:tcW w:w="2907" w:type="dxa"/>
          </w:tcPr>
          <w:p w14:paraId="577DC87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DD8D04C" w14:textId="77777777" w:rsidR="008E7846" w:rsidRDefault="00691BC4" w:rsidP="00E45619">
            <w:r w:rsidRPr="00691BC4">
              <w:t>Seqirus Pty Ltd</w:t>
            </w:r>
          </w:p>
          <w:p w14:paraId="2604A3C2" w14:textId="77777777" w:rsidR="00691BC4" w:rsidRDefault="00691BC4" w:rsidP="00691BC4">
            <w:r>
              <w:t>63 Poplar Road</w:t>
            </w:r>
          </w:p>
          <w:p w14:paraId="0F8132FD" w14:textId="54BFDF7D" w:rsidR="00691BC4" w:rsidRPr="00487162" w:rsidRDefault="00691BC4" w:rsidP="00691BC4">
            <w:r>
              <w:t>Parkville, VIC</w:t>
            </w:r>
            <w:r w:rsidR="001539F2">
              <w:t>,</w:t>
            </w:r>
            <w:r>
              <w:t xml:space="preserve"> 3052</w:t>
            </w:r>
          </w:p>
        </w:tc>
      </w:tr>
      <w:tr w:rsidR="008E7846" w:rsidRPr="00487162" w14:paraId="0468CE66" w14:textId="77777777" w:rsidTr="35E2D724">
        <w:tc>
          <w:tcPr>
            <w:tcW w:w="2907" w:type="dxa"/>
          </w:tcPr>
          <w:p w14:paraId="5B97391A" w14:textId="075BB2D1" w:rsidR="008E7846" w:rsidRPr="00487162" w:rsidRDefault="001B5C90" w:rsidP="00E45619">
            <w:pPr>
              <w:rPr>
                <w:i/>
              </w:rPr>
            </w:pPr>
            <w:r>
              <w:rPr>
                <w:i/>
              </w:rPr>
              <w:t>Dose form:</w:t>
            </w:r>
          </w:p>
        </w:tc>
        <w:tc>
          <w:tcPr>
            <w:tcW w:w="6307" w:type="dxa"/>
          </w:tcPr>
          <w:p w14:paraId="53768212" w14:textId="59BF4D31" w:rsidR="008E7846" w:rsidRPr="00487162" w:rsidRDefault="00881B4B" w:rsidP="00E45619">
            <w:r>
              <w:t>S</w:t>
            </w:r>
            <w:r w:rsidRPr="00881B4B">
              <w:t>uspension for injection</w:t>
            </w:r>
          </w:p>
        </w:tc>
      </w:tr>
      <w:tr w:rsidR="008E7846" w:rsidRPr="00487162" w14:paraId="360D6931" w14:textId="77777777" w:rsidTr="35E2D724">
        <w:tc>
          <w:tcPr>
            <w:tcW w:w="2907" w:type="dxa"/>
          </w:tcPr>
          <w:p w14:paraId="43C2DB13" w14:textId="784F029D" w:rsidR="008E7846" w:rsidRPr="00487162" w:rsidRDefault="00324E45" w:rsidP="00E45619">
            <w:pPr>
              <w:rPr>
                <w:i/>
              </w:rPr>
            </w:pPr>
            <w:r>
              <w:rPr>
                <w:i/>
              </w:rPr>
              <w:t>Strengths:</w:t>
            </w:r>
          </w:p>
        </w:tc>
        <w:tc>
          <w:tcPr>
            <w:tcW w:w="6307" w:type="dxa"/>
          </w:tcPr>
          <w:p w14:paraId="31C57083" w14:textId="0C2B5301" w:rsidR="00D12C94" w:rsidRDefault="00D12C94" w:rsidP="00260EA9">
            <w:r w:rsidRPr="00D12C94">
              <w:t>60 µg (15 µg x 4) haemagglutinin/0.5 mL</w:t>
            </w:r>
            <w:r w:rsidR="00405746">
              <w:t xml:space="preserve"> dose</w:t>
            </w:r>
          </w:p>
          <w:p w14:paraId="19FDE482" w14:textId="718BC5A5" w:rsidR="008E7846" w:rsidRDefault="00260EA9" w:rsidP="00260EA9">
            <w:r>
              <w:t xml:space="preserve">Each 0.5 mL dose contains </w:t>
            </w:r>
            <w:r w:rsidR="001539F2">
              <w:t xml:space="preserve">a total of </w:t>
            </w:r>
            <w:r w:rsidR="001539F2" w:rsidRPr="00D12C94">
              <w:t xml:space="preserve">60 µg </w:t>
            </w:r>
            <w:r>
              <w:t xml:space="preserve">influenza virus surface antigens </w:t>
            </w:r>
            <w:r w:rsidR="00D12C94">
              <w:t>(</w:t>
            </w:r>
            <w:r w:rsidR="00D12C94" w:rsidRPr="00D12C94">
              <w:t>haemagglutinin</w:t>
            </w:r>
            <w:r w:rsidR="00D12C94">
              <w:t>)</w:t>
            </w:r>
            <w:r w:rsidR="001539F2">
              <w:t>, comprised of 15 µg haemagglutinin</w:t>
            </w:r>
            <w:r w:rsidR="00D12C94">
              <w:t xml:space="preserve"> </w:t>
            </w:r>
            <w:r>
              <w:t xml:space="preserve">for </w:t>
            </w:r>
            <w:r w:rsidR="00D12C94">
              <w:t xml:space="preserve">each of </w:t>
            </w:r>
            <w:r>
              <w:t xml:space="preserve">the </w:t>
            </w:r>
            <w:r w:rsidR="00405746">
              <w:t xml:space="preserve">four </w:t>
            </w:r>
            <w:r>
              <w:t xml:space="preserve">following </w:t>
            </w:r>
            <w:r w:rsidR="00405746">
              <w:t>strains</w:t>
            </w:r>
            <w:r>
              <w:t>:</w:t>
            </w:r>
          </w:p>
          <w:p w14:paraId="4FEA300C" w14:textId="646BF633" w:rsidR="00260EA9" w:rsidRDefault="00260EA9" w:rsidP="00BA6FBA">
            <w:pPr>
              <w:ind w:left="720"/>
            </w:pPr>
            <w:r w:rsidRPr="00260EA9">
              <w:t>A/Wisconsin/588/2019 (H1N1)</w:t>
            </w:r>
            <w:r w:rsidR="00D12C94">
              <w:t xml:space="preserve"> </w:t>
            </w:r>
            <w:r w:rsidRPr="00260EA9">
              <w:t>pdm09-like virus</w:t>
            </w:r>
          </w:p>
          <w:p w14:paraId="1AFE70C8" w14:textId="77777777" w:rsidR="00260EA9" w:rsidRDefault="00260EA9" w:rsidP="00BA6FBA">
            <w:pPr>
              <w:ind w:left="720"/>
            </w:pPr>
            <w:r w:rsidRPr="00260EA9">
              <w:t>A/Darwin/6/2021(H3N2)-like virus</w:t>
            </w:r>
          </w:p>
          <w:p w14:paraId="03492C16" w14:textId="77777777" w:rsidR="00260EA9" w:rsidRDefault="00260EA9" w:rsidP="00BA6FBA">
            <w:pPr>
              <w:ind w:left="720"/>
            </w:pPr>
            <w:r w:rsidRPr="00260EA9">
              <w:t>B/Austria/1359417/2021-like virus</w:t>
            </w:r>
          </w:p>
          <w:p w14:paraId="255B2E56" w14:textId="3966ECBF" w:rsidR="00260EA9" w:rsidRPr="00487162" w:rsidRDefault="00260EA9" w:rsidP="00BA6FBA">
            <w:pPr>
              <w:ind w:left="720"/>
            </w:pPr>
            <w:r w:rsidRPr="00260EA9">
              <w:t>B/Phuket/3073/2013-like virus</w:t>
            </w:r>
          </w:p>
        </w:tc>
      </w:tr>
      <w:tr w:rsidR="008E7846" w:rsidRPr="00487162" w14:paraId="094E8840" w14:textId="77777777" w:rsidTr="35E2D724">
        <w:tc>
          <w:tcPr>
            <w:tcW w:w="2907" w:type="dxa"/>
          </w:tcPr>
          <w:p w14:paraId="3B894F5F" w14:textId="7B311828" w:rsidR="008E7846" w:rsidRPr="00487162" w:rsidRDefault="008E7846" w:rsidP="00E45619">
            <w:pPr>
              <w:rPr>
                <w:i/>
              </w:rPr>
            </w:pPr>
            <w:r w:rsidRPr="00487162">
              <w:rPr>
                <w:i/>
              </w:rPr>
              <w:t>Containers:</w:t>
            </w:r>
          </w:p>
        </w:tc>
        <w:tc>
          <w:tcPr>
            <w:tcW w:w="6307" w:type="dxa"/>
          </w:tcPr>
          <w:p w14:paraId="1DB6CFCC" w14:textId="40458FB8" w:rsidR="008E7846" w:rsidRPr="00881B4B" w:rsidRDefault="00881B4B" w:rsidP="00881B4B">
            <w:r w:rsidRPr="00881B4B">
              <w:t>Pre-filled syringe (needle free) and pre-filled syringe (with attached needle)</w:t>
            </w:r>
          </w:p>
        </w:tc>
      </w:tr>
      <w:tr w:rsidR="008E7846" w:rsidRPr="00487162" w14:paraId="6FDA40E8" w14:textId="77777777" w:rsidTr="35E2D724">
        <w:tc>
          <w:tcPr>
            <w:tcW w:w="2907" w:type="dxa"/>
          </w:tcPr>
          <w:p w14:paraId="24CDA923" w14:textId="5C9A620C" w:rsidR="008E7846" w:rsidRPr="00487162" w:rsidRDefault="008E7846" w:rsidP="00E45619">
            <w:pPr>
              <w:rPr>
                <w:i/>
              </w:rPr>
            </w:pPr>
            <w:r w:rsidRPr="00487162">
              <w:rPr>
                <w:i/>
              </w:rPr>
              <w:t>Pack sizes:</w:t>
            </w:r>
          </w:p>
        </w:tc>
        <w:tc>
          <w:tcPr>
            <w:tcW w:w="6307" w:type="dxa"/>
          </w:tcPr>
          <w:p w14:paraId="00DE6BCD" w14:textId="22B1C2D7" w:rsidR="008E7846" w:rsidRPr="00487162" w:rsidRDefault="00D12C94" w:rsidP="00E45619">
            <w:r>
              <w:t>1</w:t>
            </w:r>
            <w:r w:rsidR="00260EA9">
              <w:t xml:space="preserve"> and </w:t>
            </w:r>
            <w:r>
              <w:t>10</w:t>
            </w:r>
            <w:r w:rsidR="00405746">
              <w:t xml:space="preserve"> syringes</w:t>
            </w:r>
          </w:p>
        </w:tc>
      </w:tr>
      <w:tr w:rsidR="008E7846" w:rsidRPr="00487162" w14:paraId="02103B43" w14:textId="77777777" w:rsidTr="35E2D724">
        <w:tc>
          <w:tcPr>
            <w:tcW w:w="2907" w:type="dxa"/>
          </w:tcPr>
          <w:p w14:paraId="22F8EF4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4626CA9" w14:textId="41EE7236" w:rsidR="00691BC4" w:rsidRPr="00691BC4" w:rsidRDefault="00691BC4" w:rsidP="00691BC4">
            <w:pPr>
              <w:rPr>
                <w:i/>
                <w:iCs/>
              </w:rPr>
            </w:pPr>
            <w:r w:rsidRPr="00691BC4">
              <w:rPr>
                <w:i/>
                <w:iCs/>
              </w:rPr>
              <w:t xml:space="preserve">For the prevention of influenza caused by </w:t>
            </w:r>
            <w:r w:rsidR="00AA5979" w:rsidRPr="00691BC4">
              <w:rPr>
                <w:i/>
                <w:iCs/>
              </w:rPr>
              <w:t>influenza virus</w:t>
            </w:r>
            <w:r w:rsidRPr="00691BC4">
              <w:rPr>
                <w:i/>
                <w:iCs/>
              </w:rPr>
              <w:t>, Types</w:t>
            </w:r>
            <w:r w:rsidR="007C0C7D">
              <w:rPr>
                <w:i/>
                <w:iCs/>
              </w:rPr>
              <w:t> </w:t>
            </w:r>
            <w:r w:rsidRPr="00691BC4">
              <w:rPr>
                <w:i/>
                <w:iCs/>
              </w:rPr>
              <w:t>A and B contained in the vaccine. The vaccine is indicated for use in adults and children 2 years of age and older.</w:t>
            </w:r>
          </w:p>
          <w:p w14:paraId="43006ADB" w14:textId="4F2B654E" w:rsidR="008E7846" w:rsidRPr="00487162" w:rsidRDefault="00691BC4" w:rsidP="00691BC4">
            <w:pPr>
              <w:rPr>
                <w:rFonts w:eastAsia="MS Mincho"/>
                <w:lang w:eastAsia="ja-JP"/>
              </w:rPr>
            </w:pPr>
            <w:r w:rsidRPr="00691BC4">
              <w:rPr>
                <w:i/>
                <w:iCs/>
              </w:rPr>
              <w:lastRenderedPageBreak/>
              <w:t>For full details regarding recommendations for influenza vaccination, please refer to the relevant national immunisation guidelines.</w:t>
            </w:r>
          </w:p>
        </w:tc>
      </w:tr>
      <w:tr w:rsidR="008E7846" w:rsidRPr="00487162" w14:paraId="192DDB1C" w14:textId="77777777" w:rsidTr="35E2D724">
        <w:tc>
          <w:tcPr>
            <w:tcW w:w="2907" w:type="dxa"/>
          </w:tcPr>
          <w:p w14:paraId="43BE3BCD" w14:textId="3B83EEBA" w:rsidR="008E7846" w:rsidRPr="00487162" w:rsidRDefault="008E7846" w:rsidP="00E45619">
            <w:pPr>
              <w:rPr>
                <w:i/>
              </w:rPr>
            </w:pPr>
            <w:r w:rsidRPr="00487162">
              <w:rPr>
                <w:i/>
              </w:rPr>
              <w:lastRenderedPageBreak/>
              <w:t>Route of administration:</w:t>
            </w:r>
          </w:p>
        </w:tc>
        <w:tc>
          <w:tcPr>
            <w:tcW w:w="6307" w:type="dxa"/>
          </w:tcPr>
          <w:p w14:paraId="740905BB" w14:textId="1DB3ED3C" w:rsidR="008E7846" w:rsidRPr="00487162" w:rsidRDefault="00881B4B" w:rsidP="00E45619">
            <w:r w:rsidRPr="00881B4B">
              <w:t>Intramuscular</w:t>
            </w:r>
          </w:p>
        </w:tc>
      </w:tr>
      <w:tr w:rsidR="008E7846" w:rsidRPr="00487162" w14:paraId="3D7C9DE7" w14:textId="77777777" w:rsidTr="35E2D724">
        <w:tc>
          <w:tcPr>
            <w:tcW w:w="2907" w:type="dxa"/>
          </w:tcPr>
          <w:p w14:paraId="0F3B8489" w14:textId="77777777" w:rsidR="008E7846" w:rsidRPr="00487162" w:rsidRDefault="008E7846" w:rsidP="00E45619">
            <w:pPr>
              <w:rPr>
                <w:i/>
              </w:rPr>
            </w:pPr>
            <w:r w:rsidRPr="00487162">
              <w:rPr>
                <w:i/>
              </w:rPr>
              <w:t>Dosage:</w:t>
            </w:r>
          </w:p>
        </w:tc>
        <w:tc>
          <w:tcPr>
            <w:tcW w:w="6307" w:type="dxa"/>
          </w:tcPr>
          <w:p w14:paraId="7D5DF788" w14:textId="5B5D8777" w:rsidR="00D12C94" w:rsidRDefault="75D34E1C" w:rsidP="00D12C94">
            <w:r w:rsidRPr="35E2D724">
              <w:rPr>
                <w:rFonts w:eastAsia="Calibri"/>
              </w:rPr>
              <w:t>Adults and children from 9 year</w:t>
            </w:r>
            <w:r w:rsidR="00405746">
              <w:rPr>
                <w:rFonts w:eastAsia="Calibri"/>
              </w:rPr>
              <w:t>s</w:t>
            </w:r>
            <w:r w:rsidRPr="35E2D724">
              <w:rPr>
                <w:rFonts w:eastAsia="Calibri"/>
              </w:rPr>
              <w:t xml:space="preserve"> of age</w:t>
            </w:r>
            <w:r w:rsidR="756D3DC6" w:rsidRPr="35E2D724">
              <w:rPr>
                <w:rFonts w:eastAsia="Calibri"/>
              </w:rPr>
              <w:t xml:space="preserve"> should receive</w:t>
            </w:r>
            <w:r w:rsidRPr="35E2D724">
              <w:rPr>
                <w:rFonts w:eastAsia="Calibri"/>
              </w:rPr>
              <w:t xml:space="preserve"> a single 0.5 mL dose</w:t>
            </w:r>
            <w:r>
              <w:t>.</w:t>
            </w:r>
          </w:p>
          <w:p w14:paraId="67D54FA9" w14:textId="1A2A418E" w:rsidR="00D12C94" w:rsidRDefault="75D34E1C" w:rsidP="00E45619">
            <w:r>
              <w:t>Children from 2 to &lt; 9 years</w:t>
            </w:r>
            <w:r w:rsidR="756D3DC6">
              <w:t xml:space="preserve"> </w:t>
            </w:r>
            <w:r w:rsidR="00405746">
              <w:t xml:space="preserve">of age </w:t>
            </w:r>
            <w:r w:rsidR="756D3DC6">
              <w:t>should receive</w:t>
            </w:r>
            <w:r>
              <w:t xml:space="preserve"> one or two 0.5</w:t>
            </w:r>
            <w:r w:rsidR="756D3DC6">
              <w:t> </w:t>
            </w:r>
            <w:r>
              <w:t>mL doses</w:t>
            </w:r>
            <w:r w:rsidR="756D3DC6">
              <w:t xml:space="preserve">. Children less than 9 years of age who have not been previously vaccinated against influenza, should receive a second dose. The two doses should </w:t>
            </w:r>
            <w:r w:rsidR="3A6C7215">
              <w:t xml:space="preserve">be </w:t>
            </w:r>
            <w:r w:rsidR="756D3DC6">
              <w:t>administer</w:t>
            </w:r>
            <w:r w:rsidR="3A6C7215">
              <w:t>ed</w:t>
            </w:r>
            <w:r w:rsidR="756D3DC6">
              <w:t xml:space="preserve"> at least 4</w:t>
            </w:r>
            <w:r w:rsidR="00405746">
              <w:t> </w:t>
            </w:r>
            <w:r w:rsidR="756D3DC6">
              <w:t>weeks apart.</w:t>
            </w:r>
          </w:p>
          <w:p w14:paraId="48CB6208" w14:textId="78B365D6" w:rsidR="00460036" w:rsidRPr="00487162" w:rsidRDefault="00460036" w:rsidP="00E45619">
            <w:r w:rsidRPr="00460036">
              <w:t>For further information regarding dosage, refer to the Product Information.</w:t>
            </w:r>
          </w:p>
        </w:tc>
      </w:tr>
      <w:tr w:rsidR="00460036" w:rsidRPr="00487162" w14:paraId="43D23EB8" w14:textId="77777777" w:rsidTr="35E2D724">
        <w:tc>
          <w:tcPr>
            <w:tcW w:w="2907" w:type="dxa"/>
          </w:tcPr>
          <w:p w14:paraId="70C28E51" w14:textId="77777777" w:rsidR="00460036" w:rsidRPr="00487162" w:rsidRDefault="00460036" w:rsidP="00E45619">
            <w:pPr>
              <w:rPr>
                <w:i/>
              </w:rPr>
            </w:pPr>
            <w:r w:rsidRPr="00460036">
              <w:rPr>
                <w:i/>
              </w:rPr>
              <w:t>Pregnancy category</w:t>
            </w:r>
            <w:r>
              <w:rPr>
                <w:i/>
              </w:rPr>
              <w:t>:</w:t>
            </w:r>
          </w:p>
        </w:tc>
        <w:tc>
          <w:tcPr>
            <w:tcW w:w="6307" w:type="dxa"/>
          </w:tcPr>
          <w:p w14:paraId="05846E34" w14:textId="4A2F1E07" w:rsidR="00D12C94" w:rsidRDefault="00D12C94" w:rsidP="00D12C94">
            <w:r>
              <w:t>B1</w:t>
            </w:r>
          </w:p>
          <w:p w14:paraId="44847EEE" w14:textId="77777777" w:rsidR="00D12C94" w:rsidRDefault="00D12C94" w:rsidP="00D12C94">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2DAACBD" w14:textId="50A7A343" w:rsidR="00460036" w:rsidRPr="00D12C94" w:rsidRDefault="00D12C94" w:rsidP="00D12C94">
            <w:r>
              <w:t xml:space="preserve">Studies in animals have not shown evidence of an increased occurrence of </w:t>
            </w:r>
            <w:proofErr w:type="spellStart"/>
            <w:r>
              <w:t>fetal</w:t>
            </w:r>
            <w:proofErr w:type="spellEnd"/>
            <w:r>
              <w:t xml:space="preserve"> damage.</w:t>
            </w:r>
          </w:p>
          <w:p w14:paraId="7FB7A8C3" w14:textId="0BFC9744"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3BCF8AD" w14:textId="77777777" w:rsidR="008E7846" w:rsidRDefault="008E7846" w:rsidP="008E7846">
      <w:pPr>
        <w:pStyle w:val="Heading3"/>
      </w:pPr>
      <w:bookmarkStart w:id="13" w:name="_Toc247691503"/>
      <w:bookmarkStart w:id="14" w:name="_Toc314842484"/>
      <w:bookmarkStart w:id="15" w:name="_Toc119662217"/>
      <w:r>
        <w:t>Product background</w:t>
      </w:r>
      <w:bookmarkEnd w:id="13"/>
      <w:bookmarkEnd w:id="14"/>
      <w:bookmarkEnd w:id="15"/>
    </w:p>
    <w:p w14:paraId="339CEAE7" w14:textId="69E1692C" w:rsidR="008E7846" w:rsidRDefault="00250271" w:rsidP="00940A89">
      <w:r w:rsidRPr="00250271">
        <w:t xml:space="preserve">This </w:t>
      </w:r>
      <w:proofErr w:type="spellStart"/>
      <w:r w:rsidRPr="00250271">
        <w:t>AusPAR</w:t>
      </w:r>
      <w:proofErr w:type="spellEnd"/>
      <w:r w:rsidRPr="00250271">
        <w:t xml:space="preserve"> describes the application by </w:t>
      </w:r>
      <w:r w:rsidR="00691BC4" w:rsidRPr="00691BC4">
        <w:t>Seqirus Pty Ltd</w:t>
      </w:r>
      <w:r w:rsidRPr="00250271">
        <w:t xml:space="preserve"> (the sponsor) to register </w:t>
      </w:r>
      <w:r w:rsidR="00691BC4" w:rsidRPr="00691BC4">
        <w:t xml:space="preserve">Flucelvax Quad </w:t>
      </w:r>
      <w:r w:rsidRPr="00250271">
        <w:t>(</w:t>
      </w:r>
      <w:r w:rsidR="00691BC4">
        <w:t>q</w:t>
      </w:r>
      <w:r w:rsidR="00691BC4" w:rsidRPr="00691BC4">
        <w:t>uadrivalent influenza vaccine</w:t>
      </w:r>
      <w:r w:rsidRPr="00250271">
        <w:t xml:space="preserve">) </w:t>
      </w:r>
      <w:r w:rsidR="00D12C94" w:rsidRPr="00D12C94">
        <w:t>60 µg (15 µg x 4) haemagglutinin/0.5</w:t>
      </w:r>
      <w:r w:rsidR="007C0C7D">
        <w:t> </w:t>
      </w:r>
      <w:r w:rsidR="00D12C94" w:rsidRPr="00D12C94">
        <w:t>mL</w:t>
      </w:r>
      <w:r w:rsidRPr="00250271">
        <w:t xml:space="preserve">, </w:t>
      </w:r>
      <w:r w:rsidR="00881B4B">
        <w:t>s</w:t>
      </w:r>
      <w:r w:rsidR="00881B4B" w:rsidRPr="00881B4B">
        <w:t>uspension for injection</w:t>
      </w:r>
      <w:r w:rsidRPr="00250271">
        <w:t xml:space="preserve"> for the following proposed extension of indications</w:t>
      </w:r>
      <w:r w:rsidR="00CF5DAD">
        <w:t>:</w:t>
      </w:r>
    </w:p>
    <w:p w14:paraId="71E2E8BE" w14:textId="1619A02D" w:rsidR="00A25FD0" w:rsidRPr="00A25FD0" w:rsidRDefault="00A25FD0" w:rsidP="00A25FD0">
      <w:pPr>
        <w:ind w:left="720"/>
        <w:rPr>
          <w:i/>
          <w:iCs/>
        </w:rPr>
      </w:pPr>
      <w:r w:rsidRPr="00A25FD0">
        <w:rPr>
          <w:i/>
          <w:iCs/>
        </w:rPr>
        <w:t xml:space="preserve">For the prevention of influenza caused by </w:t>
      </w:r>
      <w:r w:rsidR="00AA5979" w:rsidRPr="00A25FD0">
        <w:rPr>
          <w:i/>
          <w:iCs/>
        </w:rPr>
        <w:t>influenza virus</w:t>
      </w:r>
      <w:r w:rsidRPr="00A25FD0">
        <w:rPr>
          <w:i/>
          <w:iCs/>
        </w:rPr>
        <w:t>, Types A and B contained in the vaccine. The vaccine is indicated for use in adults and children 2 years of age and older.</w:t>
      </w:r>
    </w:p>
    <w:p w14:paraId="5C43E86C" w14:textId="287B70A0" w:rsidR="00A25FD0" w:rsidRDefault="00A25FD0" w:rsidP="00A25FD0">
      <w:pPr>
        <w:ind w:left="720"/>
        <w:rPr>
          <w:i/>
          <w:iCs/>
        </w:rPr>
      </w:pPr>
      <w:r w:rsidRPr="00A25FD0">
        <w:rPr>
          <w:i/>
          <w:iCs/>
        </w:rPr>
        <w:t>For full details regarding recommendations for influenza vaccination, please refer to the relevant national immunisation guidelines.</w:t>
      </w:r>
    </w:p>
    <w:p w14:paraId="56C5DAF5" w14:textId="3D372CA1" w:rsidR="00A25FD0" w:rsidRPr="00A25FD0" w:rsidRDefault="00A25FD0" w:rsidP="00A25FD0">
      <w:r w:rsidRPr="00A25FD0">
        <w:t xml:space="preserve">Influenza is caused by transmission of respiratory droplets containing the </w:t>
      </w:r>
      <w:r w:rsidR="00D219D9" w:rsidRPr="00A25FD0">
        <w:t xml:space="preserve">influenza </w:t>
      </w:r>
      <w:r w:rsidRPr="00A25FD0">
        <w:t xml:space="preserve">virus </w:t>
      </w:r>
      <w:r w:rsidR="00565954" w:rsidRPr="00A25FD0">
        <w:t>particles and</w:t>
      </w:r>
      <w:r w:rsidRPr="00A25FD0">
        <w:t xml:space="preserve"> is a seasonal disease that occurs in epidemics primarily throughout the winter months.</w:t>
      </w:r>
      <w:r w:rsidR="00D219D9">
        <w:t xml:space="preserve"> </w:t>
      </w:r>
      <w:r w:rsidRPr="00A25FD0">
        <w:t xml:space="preserve">Influenza illness is characterised by acute onset of respiratory and systemic effects, such as fever, headache, myalgia, malaise, cough, sore </w:t>
      </w:r>
      <w:r w:rsidR="00337DC9" w:rsidRPr="00A25FD0">
        <w:t>throat,</w:t>
      </w:r>
      <w:r w:rsidRPr="00A25FD0">
        <w:t xml:space="preserve"> and rhinitis. Children may also commonly experience vomiting and diarrhoea. In general, influenza resolves within two to seven days, but can be prolonged in certain individuals. Notably, influenza can exacerbate underlying medical conditions in the elderly and those with chronic diseases. In this population, influenza is also more likely to progress to secondary </w:t>
      </w:r>
      <w:r w:rsidRPr="00A25FD0">
        <w:lastRenderedPageBreak/>
        <w:t>viral or bacterial pneumonia.</w:t>
      </w:r>
      <w:r w:rsidR="004853F3">
        <w:t xml:space="preserve"> </w:t>
      </w:r>
      <w:r w:rsidRPr="00A25FD0">
        <w:t>Severe and complicated influenza may potentially lead to hospitalisation and death in more vulnerable populations, such as older people (≥</w:t>
      </w:r>
      <w:r w:rsidR="00D219D9">
        <w:t> </w:t>
      </w:r>
      <w:r w:rsidRPr="00A25FD0">
        <w:t>65</w:t>
      </w:r>
      <w:r w:rsidR="007C0C7D">
        <w:t> </w:t>
      </w:r>
      <w:r w:rsidRPr="00A25FD0">
        <w:t>years of age), pregnant women, younger children (especially up to 24 months of age), and patients with chronic underlying diseases.</w:t>
      </w:r>
    </w:p>
    <w:p w14:paraId="7F6DC5C3" w14:textId="029ECEA8" w:rsidR="00A25FD0" w:rsidRPr="00A25FD0" w:rsidRDefault="00A25FD0" w:rsidP="00A25FD0">
      <w:r w:rsidRPr="00A25FD0">
        <w:t>There are four types of influenza viruses: A, B, C, and D.</w:t>
      </w:r>
      <w:r w:rsidR="004853F3">
        <w:t xml:space="preserve"> </w:t>
      </w:r>
      <w:r w:rsidRPr="00A25FD0">
        <w:t>Types A and B are responsible for most influenza infection in human</w:t>
      </w:r>
      <w:r w:rsidR="00893489">
        <w:t>s</w:t>
      </w:r>
      <w:r w:rsidRPr="00A25FD0">
        <w:t>.</w:t>
      </w:r>
      <w:bookmarkStart w:id="16" w:name="_Ref103178423"/>
      <w:r w:rsidRPr="00D219D9">
        <w:rPr>
          <w:vertAlign w:val="superscript"/>
        </w:rPr>
        <w:footnoteReference w:id="3"/>
      </w:r>
      <w:bookmarkEnd w:id="16"/>
      <w:r w:rsidR="004853F3">
        <w:t xml:space="preserve"> </w:t>
      </w:r>
      <w:r w:rsidRPr="00A25FD0">
        <w:t xml:space="preserve">Influenza A viruses are divided into subtypes based on two viral external proteins: </w:t>
      </w:r>
      <w:r w:rsidR="00D219D9">
        <w:t>h</w:t>
      </w:r>
      <w:r w:rsidR="00D219D9" w:rsidRPr="0083135E">
        <w:t>aemaggluti</w:t>
      </w:r>
      <w:r w:rsidR="00D219D9" w:rsidRPr="00D219D9">
        <w:t>nin</w:t>
      </w:r>
      <w:r w:rsidRPr="00D219D9">
        <w:t xml:space="preserve"> and </w:t>
      </w:r>
      <w:r w:rsidR="00D219D9">
        <w:t>n</w:t>
      </w:r>
      <w:r w:rsidR="00D219D9" w:rsidRPr="00D219D9">
        <w:t>euraminidase</w:t>
      </w:r>
      <w:r w:rsidRPr="00A25FD0">
        <w:t>.</w:t>
      </w:r>
      <w:r w:rsidR="004853F3">
        <w:t xml:space="preserve"> </w:t>
      </w:r>
      <w:r w:rsidRPr="00A25FD0">
        <w:t>Influenza B viruses are separated into two distinct genetic lineages: Yamagata and Victoria.</w:t>
      </w:r>
      <w:r w:rsidR="004853F3">
        <w:t xml:space="preserve"> </w:t>
      </w:r>
      <w:r w:rsidRPr="00A25FD0">
        <w:t>Influenza type</w:t>
      </w:r>
      <w:r w:rsidR="007C0C7D">
        <w:t> </w:t>
      </w:r>
      <w:r w:rsidRPr="00A25FD0">
        <w:t xml:space="preserve">A viruses have been isolated from several non-human species, including birds, horses, and </w:t>
      </w:r>
      <w:r w:rsidR="00565954" w:rsidRPr="00A25FD0">
        <w:t>swine,</w:t>
      </w:r>
      <w:r w:rsidRPr="00A25FD0">
        <w:t xml:space="preserve"> whereas influenza type B viruses almost exclusively affect humans.</w:t>
      </w:r>
      <w:r w:rsidR="004853F3">
        <w:t xml:space="preserve"> </w:t>
      </w:r>
      <w:r w:rsidRPr="00A25FD0">
        <w:t>The influenza</w:t>
      </w:r>
      <w:r w:rsidR="007C0C7D">
        <w:t> </w:t>
      </w:r>
      <w:r w:rsidRPr="00A25FD0">
        <w:t xml:space="preserve">A or B surface </w:t>
      </w:r>
      <w:r w:rsidR="00D219D9">
        <w:t>h</w:t>
      </w:r>
      <w:r w:rsidR="00D219D9" w:rsidRPr="0083135E">
        <w:t>aemagglutinin</w:t>
      </w:r>
      <w:r w:rsidRPr="00A25FD0">
        <w:t xml:space="preserve"> glycoprotein is the key antigen involved in attachment of the virus to receptors on respiratory epithelial cells, whereas the </w:t>
      </w:r>
      <w:r w:rsidR="00D219D9">
        <w:t>n</w:t>
      </w:r>
      <w:r w:rsidR="00D219D9" w:rsidRPr="00D219D9">
        <w:t>euraminidase</w:t>
      </w:r>
      <w:r w:rsidRPr="00A25FD0">
        <w:t xml:space="preserve"> glycoprotein is involved in release of the virus from the cell surface.</w:t>
      </w:r>
    </w:p>
    <w:p w14:paraId="3148C519" w14:textId="2908A019" w:rsidR="00A25FD0" w:rsidRPr="00A25FD0" w:rsidRDefault="00A25FD0" w:rsidP="00A25FD0">
      <w:r w:rsidRPr="00A25FD0">
        <w:t xml:space="preserve">Novel influenza strains arise from antigenic drift due to random accumulation of mutations, particularly in the </w:t>
      </w:r>
      <w:r w:rsidR="00D219D9">
        <w:t>h</w:t>
      </w:r>
      <w:r w:rsidR="00D219D9" w:rsidRPr="0083135E">
        <w:t>aemagglutinin</w:t>
      </w:r>
      <w:r w:rsidRPr="00A25FD0">
        <w:t xml:space="preserve"> gene.</w:t>
      </w:r>
      <w:r w:rsidRPr="00D219D9">
        <w:rPr>
          <w:vertAlign w:val="superscript"/>
        </w:rPr>
        <w:footnoteReference w:id="4"/>
      </w:r>
      <w:r w:rsidRPr="00A25FD0">
        <w:t xml:space="preserve"> These events result in emergence of new strains of the influenza virus capable of causing epidemics, as pre-existing antibodies resulting from previous virus exposure or vaccination are generally not cross</w:t>
      </w:r>
      <w:r w:rsidR="00D219D9">
        <w:t xml:space="preserve"> </w:t>
      </w:r>
      <w:r w:rsidRPr="00A25FD0">
        <w:t>protective.</w:t>
      </w:r>
      <w:r w:rsidR="004853F3">
        <w:t xml:space="preserve"> </w:t>
      </w:r>
      <w:r w:rsidRPr="00A25FD0">
        <w:t xml:space="preserve">For this reason, the </w:t>
      </w:r>
      <w:r w:rsidRPr="003D5BAB">
        <w:t>World Health Organi</w:t>
      </w:r>
      <w:r w:rsidR="00D219D9" w:rsidRPr="003D5BAB">
        <w:t>z</w:t>
      </w:r>
      <w:r w:rsidRPr="003D5BAB">
        <w:t>ation (WHO)</w:t>
      </w:r>
      <w:r w:rsidRPr="00A25FD0">
        <w:t xml:space="preserve"> holds a strain consultation meeting annually to decide on influenza vaccine composition for the Southern Hemisphere.</w:t>
      </w:r>
      <w:r w:rsidR="004853F3">
        <w:t xml:space="preserve"> </w:t>
      </w:r>
      <w:r w:rsidRPr="00A25FD0">
        <w:t xml:space="preserve">In Australia, the recommendation from WHO is further reviewed by the </w:t>
      </w:r>
      <w:r w:rsidR="003D5BAB" w:rsidRPr="00C44A49">
        <w:t>Australian Influenza Vaccine Committee</w:t>
      </w:r>
      <w:r w:rsidR="00C44A49">
        <w:t>;</w:t>
      </w:r>
      <w:r w:rsidR="00C44A49">
        <w:rPr>
          <w:rStyle w:val="FootnoteReference"/>
        </w:rPr>
        <w:footnoteReference w:id="5"/>
      </w:r>
      <w:r w:rsidR="003D5BAB" w:rsidRPr="003D5BAB">
        <w:t xml:space="preserve"> </w:t>
      </w:r>
      <w:r w:rsidRPr="00A25FD0">
        <w:t>to advise the TGA on the composition of the seasonal influenza vaccine.</w:t>
      </w:r>
    </w:p>
    <w:p w14:paraId="4FBE2247" w14:textId="088D1BB1" w:rsidR="00A25FD0" w:rsidRPr="00A25FD0" w:rsidRDefault="00A25FD0" w:rsidP="00A25FD0">
      <w:r w:rsidRPr="00A25FD0">
        <w:t>The public health impact of influenza is profound.</w:t>
      </w:r>
      <w:r w:rsidR="004853F3">
        <w:t xml:space="preserve"> </w:t>
      </w:r>
      <w:r w:rsidRPr="00A25FD0">
        <w:t>In 2016, there were over 12,000</w:t>
      </w:r>
      <w:r w:rsidR="007C0C7D">
        <w:t> </w:t>
      </w:r>
      <w:r w:rsidRPr="00A25FD0">
        <w:t>hospital admissions for influenza in Australia.</w:t>
      </w:r>
      <w:bookmarkStart w:id="17" w:name="_Ref103178387"/>
      <w:r w:rsidRPr="00D219D9">
        <w:rPr>
          <w:vertAlign w:val="superscript"/>
        </w:rPr>
        <w:footnoteReference w:id="6"/>
      </w:r>
      <w:bookmarkEnd w:id="17"/>
      <w:r w:rsidRPr="00A25FD0">
        <w:t xml:space="preserve"> The number of hospital visits rises and falls each year depending on the characteristics of the </w:t>
      </w:r>
      <w:proofErr w:type="gramStart"/>
      <w:r w:rsidRPr="00A25FD0">
        <w:t>particular influenza</w:t>
      </w:r>
      <w:proofErr w:type="gramEnd"/>
      <w:r w:rsidRPr="00A25FD0">
        <w:t xml:space="preserve"> season. Hospitalisation rates are generally highest among children aged under 5 </w:t>
      </w:r>
      <w:r w:rsidR="00893489">
        <w:t xml:space="preserve">years </w:t>
      </w:r>
      <w:r w:rsidRPr="00A25FD0">
        <w:t xml:space="preserve">and adults </w:t>
      </w:r>
      <w:r w:rsidR="00893489">
        <w:t xml:space="preserve">aged </w:t>
      </w:r>
      <w:r w:rsidRPr="00A25FD0">
        <w:t xml:space="preserve">65 </w:t>
      </w:r>
      <w:r w:rsidR="00893489">
        <w:t xml:space="preserve">years </w:t>
      </w:r>
      <w:r w:rsidRPr="00A25FD0">
        <w:t>and over.</w:t>
      </w:r>
      <w:r w:rsidR="004853F3">
        <w:t xml:space="preserve"> </w:t>
      </w:r>
      <w:r w:rsidRPr="00A25FD0">
        <w:t>Between 1997 and 2016, influenza caused 2,316 deaths in Australia, 80% of which were in people aged 65 and over.</w:t>
      </w:r>
      <w:r w:rsidR="00D5036B" w:rsidRPr="00D5036B">
        <w:rPr>
          <w:color w:val="2B579A"/>
          <w:shd w:val="clear" w:color="auto" w:fill="E6E6E6"/>
          <w:vertAlign w:val="superscript"/>
        </w:rPr>
        <w:fldChar w:fldCharType="begin"/>
      </w:r>
      <w:r w:rsidR="00D5036B" w:rsidRPr="00D5036B">
        <w:rPr>
          <w:vertAlign w:val="superscript"/>
        </w:rPr>
        <w:instrText xml:space="preserve"> NOTEREF _Ref103178387 \h </w:instrText>
      </w:r>
      <w:r w:rsidR="00D5036B">
        <w:rPr>
          <w:vertAlign w:val="superscript"/>
        </w:rPr>
        <w:instrText xml:space="preserve"> \* MERGEFORMAT </w:instrText>
      </w:r>
      <w:r w:rsidR="00D5036B" w:rsidRPr="00D5036B">
        <w:rPr>
          <w:color w:val="2B579A"/>
          <w:shd w:val="clear" w:color="auto" w:fill="E6E6E6"/>
          <w:vertAlign w:val="superscript"/>
        </w:rPr>
      </w:r>
      <w:r w:rsidR="00D5036B" w:rsidRPr="00D5036B">
        <w:rPr>
          <w:color w:val="2B579A"/>
          <w:shd w:val="clear" w:color="auto" w:fill="E6E6E6"/>
          <w:vertAlign w:val="superscript"/>
        </w:rPr>
        <w:fldChar w:fldCharType="separate"/>
      </w:r>
      <w:r w:rsidR="0028296F">
        <w:rPr>
          <w:vertAlign w:val="superscript"/>
        </w:rPr>
        <w:t>5</w:t>
      </w:r>
      <w:r w:rsidR="00D5036B" w:rsidRPr="00D5036B">
        <w:rPr>
          <w:color w:val="2B579A"/>
          <w:shd w:val="clear" w:color="auto" w:fill="E6E6E6"/>
          <w:vertAlign w:val="superscript"/>
        </w:rPr>
        <w:fldChar w:fldCharType="end"/>
      </w:r>
      <w:r w:rsidRPr="00D5036B">
        <w:t xml:space="preserve"> </w:t>
      </w:r>
      <w:r w:rsidR="00893489">
        <w:t>It should be noted however that t</w:t>
      </w:r>
      <w:r w:rsidRPr="00A25FD0">
        <w:t>hese data may underestimate the real impact of influenza on deaths in Australia, as many of the people who die may not have been tested for influenza.</w:t>
      </w:r>
      <w:r w:rsidR="004853F3">
        <w:t xml:space="preserve"> </w:t>
      </w:r>
      <w:r w:rsidRPr="00A25FD0">
        <w:t>Worldwide, these annual epidemics are estimated to result in about 3 to 5 million cases of severe illness, and about 290,000 to 650,000 respiratory deaths.</w:t>
      </w:r>
      <w:r w:rsidR="00D5036B" w:rsidRPr="00D5036B">
        <w:rPr>
          <w:color w:val="2B579A"/>
          <w:shd w:val="clear" w:color="auto" w:fill="E6E6E6"/>
          <w:vertAlign w:val="superscript"/>
        </w:rPr>
        <w:fldChar w:fldCharType="begin"/>
      </w:r>
      <w:r w:rsidR="00D5036B" w:rsidRPr="00D5036B">
        <w:rPr>
          <w:vertAlign w:val="superscript"/>
        </w:rPr>
        <w:instrText xml:space="preserve"> NOTEREF _Ref103178423 \h </w:instrText>
      </w:r>
      <w:r w:rsidR="00D5036B">
        <w:rPr>
          <w:vertAlign w:val="superscript"/>
        </w:rPr>
        <w:instrText xml:space="preserve"> \* MERGEFORMAT </w:instrText>
      </w:r>
      <w:r w:rsidR="00D5036B" w:rsidRPr="00D5036B">
        <w:rPr>
          <w:color w:val="2B579A"/>
          <w:shd w:val="clear" w:color="auto" w:fill="E6E6E6"/>
          <w:vertAlign w:val="superscript"/>
        </w:rPr>
      </w:r>
      <w:r w:rsidR="00D5036B" w:rsidRPr="00D5036B">
        <w:rPr>
          <w:color w:val="2B579A"/>
          <w:shd w:val="clear" w:color="auto" w:fill="E6E6E6"/>
          <w:vertAlign w:val="superscript"/>
        </w:rPr>
        <w:fldChar w:fldCharType="separate"/>
      </w:r>
      <w:r w:rsidR="0028296F">
        <w:rPr>
          <w:vertAlign w:val="superscript"/>
        </w:rPr>
        <w:t>2</w:t>
      </w:r>
      <w:r w:rsidR="00D5036B" w:rsidRPr="00D5036B">
        <w:rPr>
          <w:color w:val="2B579A"/>
          <w:shd w:val="clear" w:color="auto" w:fill="E6E6E6"/>
          <w:vertAlign w:val="superscript"/>
        </w:rPr>
        <w:fldChar w:fldCharType="end"/>
      </w:r>
    </w:p>
    <w:p w14:paraId="5F6CA56C" w14:textId="7BF23BAA" w:rsidR="00A25FD0" w:rsidRPr="00A25FD0" w:rsidRDefault="00A25FD0" w:rsidP="00A25FD0">
      <w:r w:rsidRPr="00A25FD0">
        <w:t>Clinical management of influenza is based mostly on symptomatic treatment.</w:t>
      </w:r>
      <w:r w:rsidR="004853F3">
        <w:t xml:space="preserve"> </w:t>
      </w:r>
      <w:r w:rsidRPr="00A25FD0">
        <w:t xml:space="preserve">There are </w:t>
      </w:r>
      <w:proofErr w:type="gramStart"/>
      <w:r w:rsidRPr="00A25FD0">
        <w:t>a number of</w:t>
      </w:r>
      <w:proofErr w:type="gramEnd"/>
      <w:r w:rsidRPr="00A25FD0">
        <w:t xml:space="preserve"> anti-viral medications such as </w:t>
      </w:r>
      <w:r w:rsidR="00D219D9">
        <w:t>n</w:t>
      </w:r>
      <w:r w:rsidR="00D219D9" w:rsidRPr="00D219D9">
        <w:t>euraminidase</w:t>
      </w:r>
      <w:r w:rsidRPr="00A25FD0">
        <w:t xml:space="preserve"> inhibitors (</w:t>
      </w:r>
      <w:r w:rsidR="00D5036B">
        <w:t>for example,</w:t>
      </w:r>
      <w:r w:rsidRPr="00A25FD0">
        <w:t xml:space="preserve"> oseltamivir</w:t>
      </w:r>
      <w:r w:rsidR="00893489">
        <w:t xml:space="preserve"> and </w:t>
      </w:r>
      <w:r w:rsidR="00AF18E5">
        <w:t>p</w:t>
      </w:r>
      <w:r w:rsidR="00AF18E5" w:rsidRPr="00AF18E5">
        <w:t>eramivir</w:t>
      </w:r>
      <w:r w:rsidRPr="00A25FD0">
        <w:t>) which may reduce disease severity and duration.</w:t>
      </w:r>
      <w:r w:rsidR="004853F3">
        <w:t xml:space="preserve"> </w:t>
      </w:r>
      <w:r w:rsidRPr="00A25FD0">
        <w:t>However, such therapy needs to be started less than 48</w:t>
      </w:r>
      <w:r w:rsidR="00D5036B">
        <w:t xml:space="preserve"> to </w:t>
      </w:r>
      <w:r w:rsidRPr="00A25FD0">
        <w:t xml:space="preserve">72 hours after onset of </w:t>
      </w:r>
      <w:r w:rsidR="00565954" w:rsidRPr="00A25FD0">
        <w:t>symptoms and</w:t>
      </w:r>
      <w:r w:rsidRPr="00A25FD0">
        <w:t xml:space="preserve"> may induce drug</w:t>
      </w:r>
      <w:r w:rsidR="00D5036B">
        <w:t xml:space="preserve"> </w:t>
      </w:r>
      <w:r w:rsidRPr="00A25FD0">
        <w:t>resistance.</w:t>
      </w:r>
      <w:r w:rsidR="004853F3">
        <w:t xml:space="preserve"> </w:t>
      </w:r>
      <w:r w:rsidRPr="00A25FD0">
        <w:t>Corticosteroids are not routinely used, unless indicated for other respiratory conditions such as asthma.</w:t>
      </w:r>
    </w:p>
    <w:p w14:paraId="6613127F" w14:textId="5F1857C9" w:rsidR="00A25FD0" w:rsidRPr="003D5BAB" w:rsidRDefault="00A25FD0" w:rsidP="00A25FD0">
      <w:r w:rsidRPr="00A25FD0">
        <w:t>It is widely accepted that the most effective prevention of the disease is vaccination, with the first vaccine being dated back to over 70 years.</w:t>
      </w:r>
      <w:r w:rsidR="004853F3">
        <w:t xml:space="preserve"> </w:t>
      </w:r>
      <w:r w:rsidRPr="00A25FD0">
        <w:t xml:space="preserve">Injected inactivated influenza vaccines are </w:t>
      </w:r>
      <w:proofErr w:type="gramStart"/>
      <w:r w:rsidRPr="00A25FD0">
        <w:t>most commonly used</w:t>
      </w:r>
      <w:proofErr w:type="gramEnd"/>
      <w:r w:rsidRPr="00A25FD0">
        <w:t xml:space="preserve"> throughout the world, </w:t>
      </w:r>
      <w:r w:rsidR="00565954" w:rsidRPr="00A25FD0">
        <w:t>however,</w:t>
      </w:r>
      <w:r w:rsidRPr="00A25FD0">
        <w:t xml:space="preserve"> are largely susceptible to </w:t>
      </w:r>
      <w:r w:rsidRPr="00A25FD0">
        <w:lastRenderedPageBreak/>
        <w:t xml:space="preserve">antigenic drift of the viral </w:t>
      </w:r>
      <w:r w:rsidR="00D219D9">
        <w:t>h</w:t>
      </w:r>
      <w:r w:rsidR="00D219D9" w:rsidRPr="0083135E">
        <w:t>aemagglutinin</w:t>
      </w:r>
      <w:r w:rsidRPr="00A25FD0">
        <w:t xml:space="preserve"> and </w:t>
      </w:r>
      <w:r w:rsidR="00D219D9">
        <w:t>n</w:t>
      </w:r>
      <w:r w:rsidR="00D219D9" w:rsidRPr="00D219D9">
        <w:t>euraminidase</w:t>
      </w:r>
      <w:r w:rsidRPr="00A25FD0">
        <w:t>.</w:t>
      </w:r>
      <w:r w:rsidR="004853F3">
        <w:t xml:space="preserve"> </w:t>
      </w:r>
      <w:r w:rsidRPr="00A25FD0">
        <w:t xml:space="preserve">For this reason, vaccines </w:t>
      </w:r>
      <w:r w:rsidRPr="003D5BAB">
        <w:t>against seasonal influenza may need to be updated annually.</w:t>
      </w:r>
    </w:p>
    <w:p w14:paraId="7F4F0F4F" w14:textId="6B6E012E" w:rsidR="00A25FD0" w:rsidRPr="00A25FD0" w:rsidRDefault="00A25FD0" w:rsidP="00A25FD0">
      <w:r w:rsidRPr="003D5BAB">
        <w:t xml:space="preserve">In Australia, those eligible for a free flu shot under the </w:t>
      </w:r>
      <w:r w:rsidRPr="00C44A49">
        <w:t>National Immunisation Program</w:t>
      </w:r>
      <w:r w:rsidRPr="003D5BAB">
        <w:t xml:space="preserve"> (NIP)</w:t>
      </w:r>
      <w:r w:rsidR="00C44A49">
        <w:rPr>
          <w:rStyle w:val="FootnoteReference"/>
        </w:rPr>
        <w:footnoteReference w:id="7"/>
      </w:r>
      <w:r w:rsidRPr="003D5BAB">
        <w:t xml:space="preserve"> include</w:t>
      </w:r>
      <w:r w:rsidRPr="00A25FD0">
        <w:t xml:space="preserve"> children from 6 months to less than 5 years of age, people ≥</w:t>
      </w:r>
      <w:r w:rsidR="00D5036B">
        <w:t xml:space="preserve"> </w:t>
      </w:r>
      <w:r w:rsidRPr="00A25FD0">
        <w:t>65 years, pregnant women, people who suffer specific medical risk conditions, and all Aboriginal and Torres Strait Islander People from 6 months of age.</w:t>
      </w:r>
      <w:r w:rsidRPr="00D5036B">
        <w:rPr>
          <w:vertAlign w:val="superscript"/>
        </w:rPr>
        <w:footnoteReference w:id="8"/>
      </w:r>
      <w:r w:rsidR="004853F3">
        <w:t xml:space="preserve"> </w:t>
      </w:r>
      <w:r w:rsidRPr="00A25FD0">
        <w:t xml:space="preserve">For those that are not funded by the NIP, annual vaccination is recommended for anyone six months of age and </w:t>
      </w:r>
      <w:r w:rsidR="00565954" w:rsidRPr="00A25FD0">
        <w:t>older and</w:t>
      </w:r>
      <w:r w:rsidRPr="00A25FD0">
        <w:t xml:space="preserve"> are able to purchase the vaccine.</w:t>
      </w:r>
    </w:p>
    <w:p w14:paraId="170B3347" w14:textId="6562DA18" w:rsidR="00A25FD0" w:rsidRPr="00A25FD0" w:rsidRDefault="00A25FD0" w:rsidP="00A25FD0">
      <w:r w:rsidRPr="00A25FD0">
        <w:t>The recommended flu vaccine for 2020 was a quadrivalent vaccine for all age groups, with 6</w:t>
      </w:r>
      <w:r w:rsidR="008406BB">
        <w:t> </w:t>
      </w:r>
      <w:r w:rsidRPr="00A25FD0">
        <w:t>egg</w:t>
      </w:r>
      <w:r w:rsidR="008406BB">
        <w:t>-</w:t>
      </w:r>
      <w:r w:rsidRPr="00A25FD0">
        <w:t>based quadrivalent influenza vaccine brands: Fluarix Tetra,</w:t>
      </w:r>
      <w:r w:rsidR="00077E4A">
        <w:rPr>
          <w:rStyle w:val="FootnoteReference"/>
        </w:rPr>
        <w:footnoteReference w:id="9"/>
      </w:r>
      <w:r w:rsidRPr="00A25FD0">
        <w:t xml:space="preserve"> Afluria Quad</w:t>
      </w:r>
      <w:r w:rsidR="00077E4A">
        <w:t>,</w:t>
      </w:r>
      <w:r w:rsidR="00077E4A">
        <w:rPr>
          <w:rStyle w:val="FootnoteReference"/>
        </w:rPr>
        <w:footnoteReference w:id="10"/>
      </w:r>
      <w:r w:rsidRPr="00A25FD0">
        <w:t xml:space="preserve"> </w:t>
      </w:r>
      <w:proofErr w:type="spellStart"/>
      <w:r w:rsidRPr="00A25FD0">
        <w:t>Fluad</w:t>
      </w:r>
      <w:proofErr w:type="spellEnd"/>
      <w:r w:rsidRPr="00A25FD0">
        <w:t xml:space="preserve"> Quad,</w:t>
      </w:r>
      <w:r w:rsidR="00077E4A">
        <w:rPr>
          <w:rStyle w:val="FootnoteReference"/>
        </w:rPr>
        <w:footnoteReference w:id="11"/>
      </w:r>
      <w:r w:rsidRPr="00A25FD0">
        <w:t xml:space="preserve"> </w:t>
      </w:r>
      <w:proofErr w:type="spellStart"/>
      <w:r w:rsidRPr="00A25FD0">
        <w:t>Influvac</w:t>
      </w:r>
      <w:proofErr w:type="spellEnd"/>
      <w:r w:rsidRPr="00A25FD0">
        <w:t xml:space="preserve"> Tetra</w:t>
      </w:r>
      <w:r w:rsidR="00C02769">
        <w:t>,</w:t>
      </w:r>
      <w:r w:rsidR="00C02769">
        <w:rPr>
          <w:rStyle w:val="FootnoteReference"/>
        </w:rPr>
        <w:footnoteReference w:id="12"/>
      </w:r>
      <w:r w:rsidRPr="00A25FD0">
        <w:t xml:space="preserve"> </w:t>
      </w:r>
      <w:proofErr w:type="spellStart"/>
      <w:r w:rsidRPr="00A25FD0">
        <w:t>FluQuadri</w:t>
      </w:r>
      <w:proofErr w:type="spellEnd"/>
      <w:r w:rsidR="00C02769">
        <w:t>,</w:t>
      </w:r>
      <w:r w:rsidR="00C02769">
        <w:rPr>
          <w:rStyle w:val="FootnoteReference"/>
        </w:rPr>
        <w:footnoteReference w:id="13"/>
      </w:r>
      <w:r w:rsidRPr="00A25FD0">
        <w:t xml:space="preserve"> and </w:t>
      </w:r>
      <w:proofErr w:type="spellStart"/>
      <w:r w:rsidRPr="00A25FD0">
        <w:t>Vaxigrip</w:t>
      </w:r>
      <w:proofErr w:type="spellEnd"/>
      <w:r w:rsidRPr="00A25FD0">
        <w:t xml:space="preserve"> Tetra.</w:t>
      </w:r>
      <w:r w:rsidR="00C02769">
        <w:rPr>
          <w:rStyle w:val="FootnoteReference"/>
        </w:rPr>
        <w:footnoteReference w:id="14"/>
      </w:r>
      <w:r w:rsidRPr="00A25FD0">
        <w:t xml:space="preserve"> Of these, </w:t>
      </w:r>
      <w:proofErr w:type="spellStart"/>
      <w:r w:rsidRPr="00A25FD0">
        <w:t>Fluad</w:t>
      </w:r>
      <w:proofErr w:type="spellEnd"/>
      <w:r w:rsidRPr="00A25FD0">
        <w:t xml:space="preserve"> Quad is </w:t>
      </w:r>
      <w:r w:rsidR="00AF18E5">
        <w:t xml:space="preserve">an </w:t>
      </w:r>
      <w:r w:rsidR="00D5036B" w:rsidRPr="00A25FD0">
        <w:t>adjuvanted</w:t>
      </w:r>
      <w:r w:rsidRPr="00A25FD0">
        <w:t xml:space="preserve"> vaccine, and is specifically registered for people 65 years and above. </w:t>
      </w:r>
      <w:r w:rsidR="009D2250" w:rsidRPr="00A25FD0">
        <w:t>Flucelvax Quad</w:t>
      </w:r>
      <w:r w:rsidRPr="00A25FD0">
        <w:t xml:space="preserve"> </w:t>
      </w:r>
      <w:r w:rsidR="00AF18E5">
        <w:t>was</w:t>
      </w:r>
      <w:r w:rsidR="00AF18E5" w:rsidRPr="00A25FD0">
        <w:t xml:space="preserve"> </w:t>
      </w:r>
      <w:r w:rsidRPr="00A25FD0">
        <w:t xml:space="preserve">available for 2021 </w:t>
      </w:r>
      <w:r w:rsidR="00565954" w:rsidRPr="00A25FD0">
        <w:t>season and</w:t>
      </w:r>
      <w:r w:rsidRPr="00A25FD0">
        <w:t xml:space="preserve"> is the first cell</w:t>
      </w:r>
      <w:r w:rsidR="008406BB">
        <w:t>-</w:t>
      </w:r>
      <w:r w:rsidRPr="00A25FD0">
        <w:t>based influenza vaccine to be rolled out in Australia. However, the product is not currently funded by the NIP.</w:t>
      </w:r>
    </w:p>
    <w:p w14:paraId="45FEEEDC" w14:textId="52A25716" w:rsidR="008406BB" w:rsidRDefault="786F3732" w:rsidP="00A25FD0">
      <w:r w:rsidRPr="00A25FD0">
        <w:t>Flucelvax Quad</w:t>
      </w:r>
      <w:r w:rsidR="756D3DC6" w:rsidRPr="00A25FD0">
        <w:t xml:space="preserve"> is a quadrivalent surface antigen, inactivated, influenza vaccine, prepared in </w:t>
      </w:r>
      <w:proofErr w:type="spellStart"/>
      <w:r w:rsidR="712ABC28" w:rsidRPr="003D5BAB">
        <w:t>Madin</w:t>
      </w:r>
      <w:proofErr w:type="spellEnd"/>
      <w:r w:rsidR="712ABC28" w:rsidRPr="003D5BAB">
        <w:t>-Darby canine kidney (</w:t>
      </w:r>
      <w:r w:rsidR="756D3DC6" w:rsidRPr="003D5BAB">
        <w:t>MDCK</w:t>
      </w:r>
      <w:r w:rsidR="712ABC28" w:rsidRPr="003D5BAB">
        <w:t>)</w:t>
      </w:r>
      <w:r w:rsidR="756D3DC6" w:rsidRPr="00A25FD0">
        <w:t xml:space="preserve"> cell cultures (</w:t>
      </w:r>
      <w:r w:rsidR="222658CB">
        <w:t xml:space="preserve">that is, </w:t>
      </w:r>
      <w:r w:rsidR="756D3DC6" w:rsidRPr="00A25FD0">
        <w:t>cell</w:t>
      </w:r>
      <w:r w:rsidR="008406BB">
        <w:t>-</w:t>
      </w:r>
      <w:r w:rsidR="756D3DC6" w:rsidRPr="00A25FD0">
        <w:t>based).</w:t>
      </w:r>
      <w:r w:rsidR="42316FB0">
        <w:t xml:space="preserve"> At the time of this submission, the</w:t>
      </w:r>
      <w:r w:rsidR="756D3DC6" w:rsidRPr="00A25FD0">
        <w:t xml:space="preserve"> product </w:t>
      </w:r>
      <w:r w:rsidR="756D3DC6">
        <w:t>was</w:t>
      </w:r>
      <w:r w:rsidR="000039F9">
        <w:t xml:space="preserve"> </w:t>
      </w:r>
      <w:r w:rsidR="756D3DC6" w:rsidRPr="00A25FD0">
        <w:t>registered in Australia for prevention of influenza in people who are 9 years and older.</w:t>
      </w:r>
      <w:r w:rsidR="222658CB">
        <w:t xml:space="preserve"> </w:t>
      </w:r>
      <w:r w:rsidR="756D3DC6" w:rsidRPr="00A25FD0">
        <w:t>In general, cell</w:t>
      </w:r>
      <w:r w:rsidR="008406BB">
        <w:t>-</w:t>
      </w:r>
      <w:r w:rsidR="756D3DC6" w:rsidRPr="00A25FD0">
        <w:t>based influenza vaccine carries several potential advantages over egg</w:t>
      </w:r>
      <w:r w:rsidR="008406BB">
        <w:t>-</w:t>
      </w:r>
      <w:r w:rsidR="756D3DC6" w:rsidRPr="00A25FD0">
        <w:t>based vaccines. The vaccine does not have any egg components and is suitable for patients with a true egg allergy.</w:t>
      </w:r>
      <w:r w:rsidR="42316FB0">
        <w:t xml:space="preserve"> </w:t>
      </w:r>
      <w:r w:rsidR="756D3DC6" w:rsidRPr="00A25FD0">
        <w:t>In addition, production of cell</w:t>
      </w:r>
      <w:r w:rsidR="008406BB">
        <w:t>-</w:t>
      </w:r>
      <w:r w:rsidR="756D3DC6" w:rsidRPr="00A25FD0">
        <w:t xml:space="preserve">based vaccines does not require a stable supply of </w:t>
      </w:r>
      <w:proofErr w:type="gramStart"/>
      <w:r w:rsidR="756D3DC6" w:rsidRPr="00A25FD0">
        <w:t>high</w:t>
      </w:r>
      <w:r w:rsidR="222658CB">
        <w:t xml:space="preserve"> </w:t>
      </w:r>
      <w:r w:rsidR="756D3DC6" w:rsidRPr="00A25FD0">
        <w:t>quality</w:t>
      </w:r>
      <w:proofErr w:type="gramEnd"/>
      <w:r w:rsidR="756D3DC6" w:rsidRPr="00A25FD0">
        <w:t xml:space="preserve"> eggs, and therefore easier for scaling up of production.</w:t>
      </w:r>
      <w:r w:rsidR="42316FB0">
        <w:t xml:space="preserve"> </w:t>
      </w:r>
      <w:r w:rsidR="756D3DC6" w:rsidRPr="00A25FD0">
        <w:t>Cell</w:t>
      </w:r>
      <w:r w:rsidR="008406BB">
        <w:t>-</w:t>
      </w:r>
      <w:r w:rsidR="756D3DC6" w:rsidRPr="00A25FD0">
        <w:t xml:space="preserve">based vaccines are also less susceptible to change in the antigenicity of </w:t>
      </w:r>
      <w:r w:rsidR="3A6C7215">
        <w:t>h</w:t>
      </w:r>
      <w:r w:rsidR="3A6C7215" w:rsidRPr="0083135E">
        <w:t>aemagglutinin</w:t>
      </w:r>
      <w:r w:rsidR="756D3DC6" w:rsidRPr="00A25FD0">
        <w:t>.</w:t>
      </w:r>
      <w:bookmarkStart w:id="18" w:name="_Ref103178797"/>
      <w:r w:rsidR="00A25FD0" w:rsidRPr="00D5036B">
        <w:rPr>
          <w:vertAlign w:val="superscript"/>
        </w:rPr>
        <w:footnoteReference w:id="15"/>
      </w:r>
      <w:bookmarkEnd w:id="18"/>
      <w:r w:rsidR="42316FB0">
        <w:t xml:space="preserve"> </w:t>
      </w:r>
      <w:r w:rsidR="00892E7E" w:rsidRPr="00A25FD0">
        <w:t>However, cell</w:t>
      </w:r>
      <w:r w:rsidR="008406BB">
        <w:t>-</w:t>
      </w:r>
      <w:r w:rsidR="00892E7E" w:rsidRPr="00A25FD0">
        <w:t xml:space="preserve">based vaccine technology may have several disadvantages, which include potential contamination of the cell lines or cell culture reagents, and theoretical risk of </w:t>
      </w:r>
      <w:proofErr w:type="spellStart"/>
      <w:r w:rsidR="00892E7E" w:rsidRPr="00A25FD0">
        <w:t>tumourigenicity</w:t>
      </w:r>
      <w:proofErr w:type="spellEnd"/>
      <w:r w:rsidR="00892E7E" w:rsidRPr="00A25FD0">
        <w:t xml:space="preserve"> from immortalised cell lines used in the production.</w:t>
      </w:r>
      <w:r w:rsidR="00A45B69" w:rsidRPr="00A45B69">
        <w:t xml:space="preserve"> </w:t>
      </w:r>
      <w:r w:rsidR="000E01BE">
        <w:t>However, s</w:t>
      </w:r>
      <w:r w:rsidR="00A45B69" w:rsidRPr="00A45B69">
        <w:t>everal lines of argument have been put forward to dispel concerns about tumorigenicity.</w:t>
      </w:r>
      <w:r w:rsidR="00892E7E" w:rsidRPr="00D5036B">
        <w:rPr>
          <w:vertAlign w:val="superscript"/>
        </w:rPr>
        <w:fldChar w:fldCharType="begin"/>
      </w:r>
      <w:r w:rsidR="00892E7E" w:rsidRPr="00D5036B">
        <w:rPr>
          <w:vertAlign w:val="superscript"/>
        </w:rPr>
        <w:instrText xml:space="preserve"> NOTEREF _Ref103178797 \h </w:instrText>
      </w:r>
      <w:r w:rsidR="00892E7E">
        <w:rPr>
          <w:vertAlign w:val="superscript"/>
        </w:rPr>
        <w:instrText xml:space="preserve"> \* MERGEFORMAT </w:instrText>
      </w:r>
      <w:r w:rsidR="00892E7E" w:rsidRPr="00D5036B">
        <w:rPr>
          <w:vertAlign w:val="superscript"/>
        </w:rPr>
      </w:r>
      <w:r w:rsidR="00892E7E" w:rsidRPr="00D5036B">
        <w:rPr>
          <w:vertAlign w:val="superscript"/>
        </w:rPr>
        <w:fldChar w:fldCharType="separate"/>
      </w:r>
      <w:r w:rsidR="0028296F">
        <w:rPr>
          <w:vertAlign w:val="superscript"/>
        </w:rPr>
        <w:t>14</w:t>
      </w:r>
      <w:r w:rsidR="00892E7E" w:rsidRPr="00D5036B">
        <w:rPr>
          <w:vertAlign w:val="superscript"/>
        </w:rPr>
        <w:fldChar w:fldCharType="end"/>
      </w:r>
      <w:r w:rsidR="00892E7E">
        <w:t xml:space="preserve"> </w:t>
      </w:r>
      <w:r w:rsidR="00892E7E" w:rsidRPr="00A25FD0">
        <w:t>While undesirable effects from these risks remain unlikely, high level of quality control and monitoring are warranted with cell</w:t>
      </w:r>
      <w:r w:rsidR="008406BB">
        <w:t>-</w:t>
      </w:r>
      <w:r w:rsidR="00892E7E" w:rsidRPr="00A25FD0">
        <w:t>based vaccines.</w:t>
      </w:r>
    </w:p>
    <w:p w14:paraId="1C4FDD22" w14:textId="77777777" w:rsidR="008E7846" w:rsidRPr="003F31A2" w:rsidRDefault="00386150" w:rsidP="008E7846">
      <w:pPr>
        <w:pStyle w:val="Heading3"/>
      </w:pPr>
      <w:bookmarkStart w:id="19" w:name="_Toc314842485"/>
      <w:bookmarkStart w:id="20" w:name="_Toc247691504"/>
      <w:bookmarkStart w:id="21" w:name="_Toc119662218"/>
      <w:r>
        <w:t>Regulatory s</w:t>
      </w:r>
      <w:r w:rsidR="008E7846">
        <w:t>tatus</w:t>
      </w:r>
      <w:bookmarkEnd w:id="19"/>
      <w:bookmarkEnd w:id="20"/>
      <w:bookmarkEnd w:id="21"/>
    </w:p>
    <w:p w14:paraId="51356C71" w14:textId="37C44A03" w:rsidR="00006FAB" w:rsidRDefault="00006FAB" w:rsidP="00006FAB">
      <w:bookmarkStart w:id="22" w:name="_Toc247691505"/>
      <w:bookmarkStart w:id="23" w:name="_Toc314842486"/>
      <w:r>
        <w:t xml:space="preserve">The product received initial registration on </w:t>
      </w:r>
      <w:r w:rsidRPr="003D5BAB">
        <w:t>the Australian Register of Therapeutic Goods (ARTG) on</w:t>
      </w:r>
      <w:r w:rsidR="0083135E" w:rsidRPr="003D5BAB">
        <w:t xml:space="preserve"> 1 September 2020</w:t>
      </w:r>
      <w:r w:rsidR="0069140C">
        <w:t>;</w:t>
      </w:r>
      <w:bookmarkStart w:id="24" w:name="_Ref119489524"/>
      <w:r w:rsidR="0069140C">
        <w:rPr>
          <w:rStyle w:val="FootnoteReference"/>
        </w:rPr>
        <w:footnoteReference w:id="16"/>
      </w:r>
      <w:bookmarkEnd w:id="24"/>
      <w:r w:rsidR="0083135E" w:rsidRPr="003D5BAB">
        <w:t xml:space="preserve"> for the following indication</w:t>
      </w:r>
      <w:r w:rsidR="0083135E">
        <w:t>:</w:t>
      </w:r>
    </w:p>
    <w:p w14:paraId="12AC2092" w14:textId="7A6C0FDF" w:rsidR="0083135E" w:rsidRPr="00FC7E14" w:rsidRDefault="0083135E" w:rsidP="0083135E">
      <w:pPr>
        <w:ind w:left="720"/>
        <w:rPr>
          <w:i/>
        </w:rPr>
      </w:pPr>
      <w:r w:rsidRPr="00FC7E14">
        <w:rPr>
          <w:i/>
        </w:rPr>
        <w:lastRenderedPageBreak/>
        <w:t xml:space="preserve">For the prevention of influenza caused by </w:t>
      </w:r>
      <w:r w:rsidR="00AA5979" w:rsidRPr="00FC7E14">
        <w:rPr>
          <w:i/>
        </w:rPr>
        <w:t>influenza virus</w:t>
      </w:r>
      <w:r w:rsidRPr="00FC7E14">
        <w:rPr>
          <w:i/>
        </w:rPr>
        <w:t>, Types A and B contained in the vaccine. The vaccine is indicated for use in adults and children 9 years of age and older.</w:t>
      </w:r>
    </w:p>
    <w:p w14:paraId="227D3D97" w14:textId="706A29CC" w:rsidR="0083135E" w:rsidRDefault="0083135E" w:rsidP="0083135E">
      <w:pPr>
        <w:ind w:left="720"/>
      </w:pPr>
      <w:r w:rsidRPr="00FC7E14">
        <w:rPr>
          <w:i/>
        </w:rPr>
        <w:t>For full details regarding recommendations for influenza vaccination, please refer to the relevant national immunisation guidelines.</w:t>
      </w:r>
    </w:p>
    <w:p w14:paraId="2B9A4B41" w14:textId="1C55A695" w:rsidR="00006FAB" w:rsidRDefault="00006FAB" w:rsidP="00006FAB">
      <w:r>
        <w:t>At the time the TGA considered this application, similar application</w:t>
      </w:r>
      <w:r w:rsidR="00173ABB">
        <w:t>s</w:t>
      </w:r>
      <w:r>
        <w:t xml:space="preserve"> had been approved in </w:t>
      </w:r>
      <w:r w:rsidR="00173ABB" w:rsidRPr="0083135E">
        <w:t>Brazil</w:t>
      </w:r>
      <w:r w:rsidR="00173ABB">
        <w:t xml:space="preserve"> on </w:t>
      </w:r>
      <w:r w:rsidR="00173ABB" w:rsidRPr="0083135E">
        <w:t>8 June 2020</w:t>
      </w:r>
      <w:r w:rsidR="00173ABB">
        <w:t xml:space="preserve">, </w:t>
      </w:r>
      <w:r w:rsidR="00173ABB" w:rsidRPr="0083135E">
        <w:t>Canada</w:t>
      </w:r>
      <w:r w:rsidR="00173ABB">
        <w:t xml:space="preserve"> on </w:t>
      </w:r>
      <w:r w:rsidR="00173ABB" w:rsidRPr="0083135E">
        <w:t>8 March 2021</w:t>
      </w:r>
      <w:r w:rsidR="00173ABB">
        <w:t xml:space="preserve">, </w:t>
      </w:r>
      <w:r w:rsidR="008406BB">
        <w:t xml:space="preserve">the </w:t>
      </w:r>
      <w:r w:rsidR="00173ABB">
        <w:t>European Union</w:t>
      </w:r>
      <w:r w:rsidR="00393EE5">
        <w:t xml:space="preserve"> (EU)</w:t>
      </w:r>
      <w:r w:rsidR="00173ABB">
        <w:t xml:space="preserve"> and </w:t>
      </w:r>
      <w:r w:rsidR="003F683B">
        <w:t>Great Britain</w:t>
      </w:r>
      <w:r w:rsidR="00173ABB">
        <w:t xml:space="preserve"> on </w:t>
      </w:r>
      <w:r w:rsidR="00173ABB" w:rsidRPr="0083135E">
        <w:t>22 October 2020</w:t>
      </w:r>
      <w:r w:rsidR="00173ABB">
        <w:t>, and United States of America</w:t>
      </w:r>
      <w:r w:rsidR="00393EE5">
        <w:t xml:space="preserve"> (USA)</w:t>
      </w:r>
      <w:r w:rsidR="00173ABB">
        <w:t xml:space="preserve"> on </w:t>
      </w:r>
      <w:r w:rsidR="00173ABB" w:rsidRPr="0083135E">
        <w:t>3 March 2021</w:t>
      </w:r>
      <w:r>
        <w:t>.</w:t>
      </w:r>
    </w:p>
    <w:p w14:paraId="678BAE73" w14:textId="4BB9BF5B" w:rsidR="00324E45" w:rsidRPr="00BE515D" w:rsidRDefault="478C3530" w:rsidP="00BE515D">
      <w:pPr>
        <w:pStyle w:val="TableTitle"/>
      </w:pPr>
      <w:r>
        <w:t xml:space="preserve">Table </w:t>
      </w:r>
      <w:r w:rsidR="00324E45" w:rsidRPr="35E2D724">
        <w:rPr>
          <w:noProof/>
          <w:color w:val="2B579A"/>
          <w:shd w:val="clear" w:color="auto" w:fill="E6E6E6"/>
        </w:rPr>
        <w:fldChar w:fldCharType="begin"/>
      </w:r>
      <w:r w:rsidR="00324E45" w:rsidRPr="35E2D724">
        <w:rPr>
          <w:noProof/>
        </w:rPr>
        <w:instrText xml:space="preserve"> SEQ Table \* ARABIC </w:instrText>
      </w:r>
      <w:r w:rsidR="00324E45" w:rsidRPr="35E2D724">
        <w:rPr>
          <w:noProof/>
          <w:color w:val="2B579A"/>
          <w:shd w:val="clear" w:color="auto" w:fill="E6E6E6"/>
        </w:rPr>
        <w:fldChar w:fldCharType="separate"/>
      </w:r>
      <w:r w:rsidR="0028296F">
        <w:rPr>
          <w:noProof/>
        </w:rPr>
        <w:t>1</w:t>
      </w:r>
      <w:r w:rsidR="00324E45" w:rsidRPr="35E2D724">
        <w:rPr>
          <w:noProof/>
          <w:color w:val="2B579A"/>
          <w:shd w:val="clear" w:color="auto" w:fill="E6E6E6"/>
        </w:rPr>
        <w:fldChar w:fldCharType="end"/>
      </w:r>
      <w:r>
        <w:t>: International regulatory status</w:t>
      </w:r>
    </w:p>
    <w:tbl>
      <w:tblPr>
        <w:tblStyle w:val="TableTGAblue"/>
        <w:tblW w:w="0" w:type="auto"/>
        <w:tblLook w:val="04A0" w:firstRow="1" w:lastRow="0" w:firstColumn="1" w:lastColumn="0" w:noHBand="0" w:noVBand="1"/>
      </w:tblPr>
      <w:tblGrid>
        <w:gridCol w:w="1302"/>
        <w:gridCol w:w="1385"/>
        <w:gridCol w:w="1986"/>
        <w:gridCol w:w="3686"/>
      </w:tblGrid>
      <w:tr w:rsidR="00173ABB" w14:paraId="58CF915F" w14:textId="77777777" w:rsidTr="00C534A0">
        <w:trPr>
          <w:cnfStyle w:val="100000000000" w:firstRow="1" w:lastRow="0" w:firstColumn="0" w:lastColumn="0" w:oddVBand="0" w:evenVBand="0" w:oddHBand="0" w:evenHBand="0" w:firstRowFirstColumn="0" w:firstRowLastColumn="0" w:lastRowFirstColumn="0" w:lastRowLastColumn="0"/>
        </w:trPr>
        <w:tc>
          <w:tcPr>
            <w:tcW w:w="1302" w:type="dxa"/>
            <w:tcBorders>
              <w:top w:val="single" w:sz="4" w:space="0" w:color="auto"/>
              <w:left w:val="single" w:sz="4" w:space="0" w:color="auto"/>
              <w:bottom w:val="single" w:sz="4" w:space="0" w:color="auto"/>
              <w:right w:val="single" w:sz="4" w:space="0" w:color="auto"/>
            </w:tcBorders>
          </w:tcPr>
          <w:p w14:paraId="74B0531B" w14:textId="77777777" w:rsidR="00006FAB" w:rsidRDefault="00006FAB" w:rsidP="00006FAB">
            <w:pPr>
              <w:ind w:left="0" w:right="0"/>
            </w:pPr>
            <w:r>
              <w:t>Region</w:t>
            </w:r>
          </w:p>
        </w:tc>
        <w:tc>
          <w:tcPr>
            <w:tcW w:w="1385" w:type="dxa"/>
            <w:tcBorders>
              <w:top w:val="single" w:sz="4" w:space="0" w:color="auto"/>
              <w:left w:val="single" w:sz="4" w:space="0" w:color="auto"/>
              <w:bottom w:val="single" w:sz="4" w:space="0" w:color="auto"/>
              <w:right w:val="single" w:sz="4" w:space="0" w:color="auto"/>
            </w:tcBorders>
          </w:tcPr>
          <w:p w14:paraId="2B713124" w14:textId="77777777" w:rsidR="00006FAB" w:rsidRDefault="00006FAB" w:rsidP="00006FAB">
            <w:pPr>
              <w:ind w:left="0" w:right="0"/>
            </w:pPr>
            <w:r>
              <w:t>Submission date</w:t>
            </w:r>
          </w:p>
        </w:tc>
        <w:tc>
          <w:tcPr>
            <w:tcW w:w="1986" w:type="dxa"/>
            <w:tcBorders>
              <w:top w:val="single" w:sz="4" w:space="0" w:color="auto"/>
              <w:left w:val="single" w:sz="4" w:space="0" w:color="auto"/>
              <w:bottom w:val="single" w:sz="4" w:space="0" w:color="auto"/>
              <w:right w:val="single" w:sz="4" w:space="0" w:color="auto"/>
            </w:tcBorders>
          </w:tcPr>
          <w:p w14:paraId="3076EF25" w14:textId="77777777" w:rsidR="00006FAB" w:rsidRDefault="00006FAB" w:rsidP="00006FAB">
            <w:pPr>
              <w:ind w:left="0" w:right="0"/>
            </w:pPr>
            <w:r>
              <w:t>Status</w:t>
            </w:r>
          </w:p>
        </w:tc>
        <w:tc>
          <w:tcPr>
            <w:tcW w:w="3686" w:type="dxa"/>
            <w:tcBorders>
              <w:top w:val="single" w:sz="4" w:space="0" w:color="auto"/>
              <w:left w:val="single" w:sz="4" w:space="0" w:color="auto"/>
              <w:bottom w:val="single" w:sz="4" w:space="0" w:color="auto"/>
              <w:right w:val="single" w:sz="4" w:space="0" w:color="auto"/>
            </w:tcBorders>
          </w:tcPr>
          <w:p w14:paraId="5DC139B4" w14:textId="77777777" w:rsidR="00006FAB" w:rsidRDefault="00006FAB" w:rsidP="00006FAB">
            <w:pPr>
              <w:ind w:left="0" w:right="0"/>
            </w:pPr>
            <w:r>
              <w:t>Approved indications</w:t>
            </w:r>
          </w:p>
        </w:tc>
      </w:tr>
      <w:tr w:rsidR="00173ABB" w14:paraId="069296CA" w14:textId="77777777" w:rsidTr="00C534A0">
        <w:tc>
          <w:tcPr>
            <w:tcW w:w="1302" w:type="dxa"/>
          </w:tcPr>
          <w:p w14:paraId="6951D8D9" w14:textId="694DC668" w:rsidR="00006FAB" w:rsidRDefault="0083135E" w:rsidP="00006FAB">
            <w:pPr>
              <w:ind w:left="0" w:right="0"/>
            </w:pPr>
            <w:r w:rsidRPr="0083135E">
              <w:t>Brazil</w:t>
            </w:r>
          </w:p>
        </w:tc>
        <w:tc>
          <w:tcPr>
            <w:tcW w:w="1385" w:type="dxa"/>
          </w:tcPr>
          <w:p w14:paraId="03F8F7DE" w14:textId="33512962" w:rsidR="00006FAB" w:rsidRDefault="0083135E" w:rsidP="00006FAB">
            <w:pPr>
              <w:ind w:left="0" w:right="0"/>
            </w:pPr>
            <w:r w:rsidRPr="0083135E">
              <w:t>28 April 2020</w:t>
            </w:r>
          </w:p>
        </w:tc>
        <w:tc>
          <w:tcPr>
            <w:tcW w:w="1986" w:type="dxa"/>
          </w:tcPr>
          <w:p w14:paraId="0149BCDE" w14:textId="37A1C12E" w:rsidR="00006FAB" w:rsidRDefault="00173ABB" w:rsidP="00006FAB">
            <w:pPr>
              <w:ind w:left="0" w:right="0"/>
            </w:pPr>
            <w:r>
              <w:t>Approved on</w:t>
            </w:r>
            <w:r w:rsidR="00011E40">
              <w:t xml:space="preserve"> </w:t>
            </w:r>
            <w:r w:rsidR="0083135E" w:rsidRPr="0083135E">
              <w:t>8</w:t>
            </w:r>
            <w:r w:rsidR="00011E40">
              <w:t> </w:t>
            </w:r>
            <w:r w:rsidR="0083135E" w:rsidRPr="0083135E">
              <w:t>June</w:t>
            </w:r>
            <w:r w:rsidR="00011E40">
              <w:t> </w:t>
            </w:r>
            <w:r w:rsidR="0083135E" w:rsidRPr="0083135E">
              <w:t>2020</w:t>
            </w:r>
          </w:p>
        </w:tc>
        <w:tc>
          <w:tcPr>
            <w:tcW w:w="3686" w:type="dxa"/>
          </w:tcPr>
          <w:p w14:paraId="04DF537D" w14:textId="1CB944A8" w:rsidR="00006FAB" w:rsidRPr="00173ABB" w:rsidRDefault="0083135E" w:rsidP="00173ABB">
            <w:pPr>
              <w:ind w:left="0"/>
              <w:rPr>
                <w:i/>
                <w:iCs/>
              </w:rPr>
            </w:pPr>
            <w:r w:rsidRPr="00173ABB">
              <w:rPr>
                <w:i/>
                <w:iCs/>
              </w:rPr>
              <w:t>For the prevention of influenza disease</w:t>
            </w:r>
            <w:r w:rsidR="00173ABB" w:rsidRPr="00173ABB">
              <w:rPr>
                <w:i/>
                <w:iCs/>
              </w:rPr>
              <w:t xml:space="preserve"> </w:t>
            </w:r>
            <w:r w:rsidRPr="00173ABB">
              <w:rPr>
                <w:i/>
                <w:iCs/>
              </w:rPr>
              <w:t>caused by influenza virus subtypes A</w:t>
            </w:r>
            <w:r w:rsidR="00173ABB" w:rsidRPr="00173ABB">
              <w:rPr>
                <w:i/>
                <w:iCs/>
              </w:rPr>
              <w:t xml:space="preserve"> </w:t>
            </w:r>
            <w:r w:rsidRPr="00173ABB">
              <w:rPr>
                <w:i/>
                <w:iCs/>
              </w:rPr>
              <w:t>and type B contained in the vaccine</w:t>
            </w:r>
            <w:r w:rsidR="00173ABB" w:rsidRPr="00173ABB">
              <w:rPr>
                <w:i/>
                <w:iCs/>
              </w:rPr>
              <w:t xml:space="preserve"> </w:t>
            </w:r>
            <w:r w:rsidRPr="00173ABB">
              <w:rPr>
                <w:i/>
                <w:iCs/>
              </w:rPr>
              <w:t>for persons 2 years of age and older.</w:t>
            </w:r>
          </w:p>
        </w:tc>
      </w:tr>
      <w:tr w:rsidR="00173ABB" w14:paraId="0F37E3BE" w14:textId="77777777" w:rsidTr="00C534A0">
        <w:tc>
          <w:tcPr>
            <w:tcW w:w="1302" w:type="dxa"/>
          </w:tcPr>
          <w:p w14:paraId="78013F8C" w14:textId="71B9E470" w:rsidR="0083135E" w:rsidRPr="0083135E" w:rsidRDefault="0083135E" w:rsidP="00173ABB">
            <w:pPr>
              <w:ind w:left="0"/>
            </w:pPr>
            <w:r w:rsidRPr="0083135E">
              <w:t>Canada</w:t>
            </w:r>
          </w:p>
        </w:tc>
        <w:tc>
          <w:tcPr>
            <w:tcW w:w="1385" w:type="dxa"/>
          </w:tcPr>
          <w:p w14:paraId="62EFDEBC" w14:textId="58A086FE" w:rsidR="0083135E" w:rsidRPr="0083135E" w:rsidRDefault="0083135E" w:rsidP="00173ABB">
            <w:pPr>
              <w:ind w:left="0"/>
            </w:pPr>
            <w:r w:rsidRPr="0083135E">
              <w:t>14 April 2020</w:t>
            </w:r>
          </w:p>
        </w:tc>
        <w:tc>
          <w:tcPr>
            <w:tcW w:w="1986" w:type="dxa"/>
          </w:tcPr>
          <w:p w14:paraId="2740BC52" w14:textId="537CE61D" w:rsidR="0083135E" w:rsidRPr="0083135E" w:rsidRDefault="00173ABB" w:rsidP="00173ABB">
            <w:pPr>
              <w:ind w:left="0"/>
            </w:pPr>
            <w:r>
              <w:t xml:space="preserve">Approved on </w:t>
            </w:r>
            <w:r w:rsidR="0083135E" w:rsidRPr="0083135E">
              <w:t>8</w:t>
            </w:r>
            <w:r w:rsidR="0069140C">
              <w:t> </w:t>
            </w:r>
            <w:r w:rsidR="0083135E" w:rsidRPr="0083135E">
              <w:t>March 2021</w:t>
            </w:r>
          </w:p>
        </w:tc>
        <w:tc>
          <w:tcPr>
            <w:tcW w:w="3686" w:type="dxa"/>
          </w:tcPr>
          <w:p w14:paraId="79857073" w14:textId="00E38B49" w:rsidR="0083135E" w:rsidRPr="00173ABB" w:rsidRDefault="0083135E" w:rsidP="00173ABB">
            <w:pPr>
              <w:ind w:left="0"/>
              <w:rPr>
                <w:i/>
                <w:iCs/>
              </w:rPr>
            </w:pPr>
            <w:r w:rsidRPr="00173ABB">
              <w:rPr>
                <w:i/>
                <w:iCs/>
              </w:rPr>
              <w:t>For the active immunization of adults</w:t>
            </w:r>
            <w:r w:rsidR="00173ABB" w:rsidRPr="00173ABB">
              <w:rPr>
                <w:i/>
                <w:iCs/>
              </w:rPr>
              <w:t xml:space="preserve"> </w:t>
            </w:r>
            <w:r w:rsidRPr="00173ABB">
              <w:rPr>
                <w:i/>
                <w:iCs/>
              </w:rPr>
              <w:t>and children aged 2 years or older for</w:t>
            </w:r>
            <w:r w:rsidR="00173ABB" w:rsidRPr="00173ABB">
              <w:rPr>
                <w:i/>
                <w:iCs/>
              </w:rPr>
              <w:t xml:space="preserve"> </w:t>
            </w:r>
            <w:r w:rsidRPr="00173ABB">
              <w:rPr>
                <w:i/>
                <w:iCs/>
              </w:rPr>
              <w:t>the prevention of influenza disease</w:t>
            </w:r>
            <w:r w:rsidR="00173ABB" w:rsidRPr="00173ABB">
              <w:rPr>
                <w:i/>
                <w:iCs/>
              </w:rPr>
              <w:t xml:space="preserve"> </w:t>
            </w:r>
            <w:r w:rsidRPr="00173ABB">
              <w:rPr>
                <w:i/>
                <w:iCs/>
              </w:rPr>
              <w:t>caused by influenza virus subtypes A</w:t>
            </w:r>
            <w:r w:rsidR="00173ABB" w:rsidRPr="00173ABB">
              <w:rPr>
                <w:i/>
                <w:iCs/>
              </w:rPr>
              <w:t xml:space="preserve"> </w:t>
            </w:r>
            <w:r w:rsidRPr="00173ABB">
              <w:rPr>
                <w:i/>
                <w:iCs/>
              </w:rPr>
              <w:t>and type B contained in the vaccine.</w:t>
            </w:r>
          </w:p>
        </w:tc>
      </w:tr>
      <w:tr w:rsidR="00173ABB" w14:paraId="1AE18213" w14:textId="77777777" w:rsidTr="00C534A0">
        <w:tc>
          <w:tcPr>
            <w:tcW w:w="1302" w:type="dxa"/>
          </w:tcPr>
          <w:p w14:paraId="53294417" w14:textId="35165851" w:rsidR="0083135E" w:rsidRPr="0083135E" w:rsidRDefault="3B5A2A55" w:rsidP="00173ABB">
            <w:pPr>
              <w:ind w:left="0"/>
            </w:pPr>
            <w:r>
              <w:t xml:space="preserve">European Union and </w:t>
            </w:r>
            <w:r w:rsidR="00280220">
              <w:t>Great Britain</w:t>
            </w:r>
            <w:r>
              <w:t>;</w:t>
            </w:r>
            <w:r w:rsidR="00173ABB">
              <w:rPr>
                <w:rStyle w:val="FootnoteReference"/>
              </w:rPr>
              <w:footnoteReference w:id="17"/>
            </w:r>
          </w:p>
        </w:tc>
        <w:tc>
          <w:tcPr>
            <w:tcW w:w="1385" w:type="dxa"/>
          </w:tcPr>
          <w:p w14:paraId="71260822" w14:textId="12D6CE5A" w:rsidR="0083135E" w:rsidRPr="0083135E" w:rsidRDefault="0083135E" w:rsidP="00173ABB">
            <w:pPr>
              <w:ind w:left="0"/>
            </w:pPr>
            <w:r w:rsidRPr="0083135E">
              <w:t>10 March 2020</w:t>
            </w:r>
          </w:p>
        </w:tc>
        <w:tc>
          <w:tcPr>
            <w:tcW w:w="1986" w:type="dxa"/>
          </w:tcPr>
          <w:p w14:paraId="5B130220" w14:textId="7994CFA8" w:rsidR="0083135E" w:rsidRPr="0083135E" w:rsidRDefault="00173ABB" w:rsidP="00173ABB">
            <w:pPr>
              <w:ind w:left="0"/>
            </w:pPr>
            <w:r>
              <w:t xml:space="preserve">Approved on </w:t>
            </w:r>
            <w:r w:rsidR="0083135E" w:rsidRPr="0083135E">
              <w:t>22</w:t>
            </w:r>
            <w:r w:rsidR="0069140C">
              <w:t> </w:t>
            </w:r>
            <w:r w:rsidR="0083135E" w:rsidRPr="0083135E">
              <w:t>October 2020</w:t>
            </w:r>
          </w:p>
        </w:tc>
        <w:tc>
          <w:tcPr>
            <w:tcW w:w="3686" w:type="dxa"/>
          </w:tcPr>
          <w:p w14:paraId="0345768C" w14:textId="4BAE4D00" w:rsidR="0083135E" w:rsidRPr="00173ABB" w:rsidRDefault="0083135E" w:rsidP="00173ABB">
            <w:pPr>
              <w:ind w:left="0"/>
              <w:rPr>
                <w:i/>
                <w:iCs/>
              </w:rPr>
            </w:pPr>
            <w:r w:rsidRPr="00173ABB">
              <w:rPr>
                <w:i/>
                <w:iCs/>
              </w:rPr>
              <w:t>Prophylaxis of influenza in adults and</w:t>
            </w:r>
            <w:r w:rsidR="00173ABB" w:rsidRPr="00173ABB">
              <w:rPr>
                <w:i/>
                <w:iCs/>
              </w:rPr>
              <w:t xml:space="preserve"> </w:t>
            </w:r>
            <w:r w:rsidRPr="00173ABB">
              <w:rPr>
                <w:i/>
                <w:iCs/>
              </w:rPr>
              <w:t>children from 2 years of age.</w:t>
            </w:r>
          </w:p>
        </w:tc>
      </w:tr>
      <w:tr w:rsidR="00173ABB" w14:paraId="105A5613" w14:textId="77777777" w:rsidTr="00C534A0">
        <w:tc>
          <w:tcPr>
            <w:tcW w:w="1302" w:type="dxa"/>
          </w:tcPr>
          <w:p w14:paraId="13806C7F" w14:textId="4C3C870B" w:rsidR="0083135E" w:rsidRPr="0083135E" w:rsidRDefault="00173ABB" w:rsidP="00173ABB">
            <w:pPr>
              <w:ind w:left="0"/>
            </w:pPr>
            <w:r>
              <w:t>United States of America</w:t>
            </w:r>
          </w:p>
        </w:tc>
        <w:tc>
          <w:tcPr>
            <w:tcW w:w="1385" w:type="dxa"/>
          </w:tcPr>
          <w:p w14:paraId="40CF0806" w14:textId="346206DF" w:rsidR="0083135E" w:rsidRPr="0083135E" w:rsidRDefault="0083135E" w:rsidP="00173ABB">
            <w:pPr>
              <w:ind w:left="0"/>
            </w:pPr>
            <w:r w:rsidRPr="0083135E">
              <w:t>31 March 2020</w:t>
            </w:r>
          </w:p>
        </w:tc>
        <w:tc>
          <w:tcPr>
            <w:tcW w:w="1986" w:type="dxa"/>
          </w:tcPr>
          <w:p w14:paraId="61739762" w14:textId="5CEF5A2A" w:rsidR="0083135E" w:rsidRPr="0083135E" w:rsidRDefault="00173ABB" w:rsidP="00173ABB">
            <w:pPr>
              <w:ind w:left="0"/>
            </w:pPr>
            <w:r>
              <w:t xml:space="preserve">Approved on </w:t>
            </w:r>
            <w:r w:rsidR="0083135E" w:rsidRPr="0083135E">
              <w:t>3</w:t>
            </w:r>
            <w:r w:rsidR="0069140C">
              <w:t> </w:t>
            </w:r>
            <w:r w:rsidR="0083135E" w:rsidRPr="0083135E">
              <w:t>March 2021</w:t>
            </w:r>
          </w:p>
        </w:tc>
        <w:tc>
          <w:tcPr>
            <w:tcW w:w="3686" w:type="dxa"/>
          </w:tcPr>
          <w:p w14:paraId="2A837633" w14:textId="11AF8025" w:rsidR="0083135E" w:rsidRPr="00173ABB" w:rsidRDefault="0083135E" w:rsidP="00173ABB">
            <w:pPr>
              <w:ind w:left="0"/>
              <w:rPr>
                <w:i/>
                <w:iCs/>
              </w:rPr>
            </w:pPr>
            <w:r w:rsidRPr="00173ABB">
              <w:rPr>
                <w:i/>
                <w:iCs/>
              </w:rPr>
              <w:t>For the prevention of influenza disease</w:t>
            </w:r>
            <w:r w:rsidR="00173ABB" w:rsidRPr="00173ABB">
              <w:rPr>
                <w:i/>
                <w:iCs/>
              </w:rPr>
              <w:t xml:space="preserve"> </w:t>
            </w:r>
            <w:r w:rsidRPr="00173ABB">
              <w:rPr>
                <w:i/>
                <w:iCs/>
              </w:rPr>
              <w:t>caused by influenza virus subtypes A</w:t>
            </w:r>
            <w:r w:rsidR="00173ABB" w:rsidRPr="00173ABB">
              <w:rPr>
                <w:i/>
                <w:iCs/>
              </w:rPr>
              <w:t xml:space="preserve"> </w:t>
            </w:r>
            <w:r w:rsidRPr="00173ABB">
              <w:rPr>
                <w:i/>
                <w:iCs/>
              </w:rPr>
              <w:t>and type B contained in the vaccine</w:t>
            </w:r>
            <w:r w:rsidR="00173ABB" w:rsidRPr="00173ABB">
              <w:rPr>
                <w:i/>
                <w:iCs/>
              </w:rPr>
              <w:t xml:space="preserve"> </w:t>
            </w:r>
            <w:r w:rsidRPr="00173ABB">
              <w:rPr>
                <w:i/>
                <w:iCs/>
              </w:rPr>
              <w:t>for persons 2 years of age and older.</w:t>
            </w:r>
          </w:p>
        </w:tc>
      </w:tr>
    </w:tbl>
    <w:p w14:paraId="40AF8115" w14:textId="77777777" w:rsidR="008E7846" w:rsidRDefault="008E7846" w:rsidP="00940A89">
      <w:pPr>
        <w:pStyle w:val="Heading3"/>
      </w:pPr>
      <w:bookmarkStart w:id="25" w:name="_Toc119662219"/>
      <w:r>
        <w:t>Product Information</w:t>
      </w:r>
      <w:bookmarkEnd w:id="22"/>
      <w:bookmarkEnd w:id="23"/>
      <w:bookmarkEnd w:id="25"/>
    </w:p>
    <w:p w14:paraId="2795AB95" w14:textId="2FEEE645" w:rsidR="003B7A7F" w:rsidRDefault="003B7A7F" w:rsidP="00691BC4">
      <w:bookmarkStart w:id="26" w:name="_Toc247691506"/>
      <w:bookmarkStart w:id="27"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7" w:history="1">
        <w:r>
          <w:rPr>
            <w:rStyle w:val="Hyperlink"/>
          </w:rPr>
          <w:t>PI/CMI search facility</w:t>
        </w:r>
        <w:r w:rsidRPr="009556D7">
          <w:rPr>
            <w:rStyle w:val="Hyperlink"/>
            <w:color w:val="auto"/>
            <w:u w:val="none"/>
          </w:rPr>
          <w:t>.</w:t>
        </w:r>
      </w:hyperlink>
    </w:p>
    <w:p w14:paraId="0FC69A8F" w14:textId="77777777" w:rsidR="00500337" w:rsidRDefault="00500337" w:rsidP="00500337">
      <w:pPr>
        <w:pStyle w:val="Heading2"/>
      </w:pPr>
      <w:bookmarkStart w:id="28" w:name="_Toc504480011"/>
      <w:bookmarkStart w:id="29" w:name="_Toc119662220"/>
      <w:r>
        <w:t>II. Registration timeline</w:t>
      </w:r>
      <w:bookmarkEnd w:id="28"/>
      <w:bookmarkEnd w:id="29"/>
    </w:p>
    <w:p w14:paraId="51240B55" w14:textId="12597DDF" w:rsidR="00500337" w:rsidRDefault="00500337" w:rsidP="00500337">
      <w:r>
        <w:t>The following table captures the key steps and dates for this application.</w:t>
      </w:r>
    </w:p>
    <w:p w14:paraId="471D9A44" w14:textId="061D3409" w:rsidR="006A58A8" w:rsidRPr="00BE515D" w:rsidRDefault="000F6E68" w:rsidP="00BE515D">
      <w:pPr>
        <w:pStyle w:val="TableTitle"/>
      </w:pPr>
      <w:r w:rsidRPr="00BE515D">
        <w:lastRenderedPageBreak/>
        <w:t xml:space="preserve">Table </w:t>
      </w:r>
      <w:r w:rsidR="001117CF">
        <w:rPr>
          <w:noProof/>
          <w:color w:val="2B579A"/>
          <w:shd w:val="clear" w:color="auto" w:fill="E6E6E6"/>
        </w:rPr>
        <w:fldChar w:fldCharType="begin"/>
      </w:r>
      <w:r w:rsidR="001117CF">
        <w:rPr>
          <w:noProof/>
        </w:rPr>
        <w:instrText xml:space="preserve"> SEQ Table \* ARABIC </w:instrText>
      </w:r>
      <w:r w:rsidR="001117CF">
        <w:rPr>
          <w:noProof/>
          <w:color w:val="2B579A"/>
          <w:shd w:val="clear" w:color="auto" w:fill="E6E6E6"/>
        </w:rPr>
        <w:fldChar w:fldCharType="separate"/>
      </w:r>
      <w:r w:rsidR="0028296F">
        <w:rPr>
          <w:noProof/>
        </w:rPr>
        <w:t>2</w:t>
      </w:r>
      <w:r w:rsidR="001117CF">
        <w:rPr>
          <w:noProof/>
          <w:color w:val="2B579A"/>
          <w:shd w:val="clear" w:color="auto" w:fill="E6E6E6"/>
        </w:rPr>
        <w:fldChar w:fldCharType="end"/>
      </w:r>
      <w:r w:rsidR="00006FAB" w:rsidRPr="00BE515D">
        <w:t>:</w:t>
      </w:r>
      <w:r w:rsidR="006A58A8" w:rsidRPr="00BE515D">
        <w:t xml:space="preserve"> Timeline for Submission </w:t>
      </w:r>
      <w:r w:rsidR="00691BC4" w:rsidRPr="00BE515D">
        <w:t>PM-2020-05368-1-2</w:t>
      </w:r>
    </w:p>
    <w:tbl>
      <w:tblPr>
        <w:tblStyle w:val="TableTGAblue"/>
        <w:tblW w:w="0" w:type="auto"/>
        <w:tblLook w:val="04A0" w:firstRow="1" w:lastRow="0" w:firstColumn="1" w:lastColumn="0" w:noHBand="0" w:noVBand="1"/>
      </w:tblPr>
      <w:tblGrid>
        <w:gridCol w:w="4263"/>
        <w:gridCol w:w="4096"/>
      </w:tblGrid>
      <w:tr w:rsidR="00500337" w14:paraId="724DBD7C" w14:textId="77777777" w:rsidTr="00C534A0">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72E109B4" w14:textId="77777777" w:rsidR="00500337" w:rsidRDefault="00500337" w:rsidP="00500337">
            <w:pPr>
              <w:ind w:left="0" w:right="0"/>
            </w:pPr>
            <w:r>
              <w:t>Description</w:t>
            </w:r>
          </w:p>
        </w:tc>
        <w:tc>
          <w:tcPr>
            <w:tcW w:w="4096" w:type="dxa"/>
            <w:tcBorders>
              <w:top w:val="single" w:sz="4" w:space="0" w:color="auto"/>
              <w:left w:val="single" w:sz="4" w:space="0" w:color="auto"/>
              <w:bottom w:val="single" w:sz="4" w:space="0" w:color="auto"/>
              <w:right w:val="single" w:sz="4" w:space="0" w:color="auto"/>
            </w:tcBorders>
          </w:tcPr>
          <w:p w14:paraId="3E3E2CE9" w14:textId="77777777" w:rsidR="00500337" w:rsidRDefault="00500337" w:rsidP="00500337">
            <w:pPr>
              <w:ind w:left="0" w:right="0"/>
            </w:pPr>
            <w:r>
              <w:t>Date</w:t>
            </w:r>
          </w:p>
        </w:tc>
      </w:tr>
      <w:tr w:rsidR="00500337" w14:paraId="426015A7" w14:textId="77777777" w:rsidTr="00C534A0">
        <w:tc>
          <w:tcPr>
            <w:tcW w:w="4263" w:type="dxa"/>
            <w:tcBorders>
              <w:top w:val="single" w:sz="4" w:space="0" w:color="auto"/>
            </w:tcBorders>
          </w:tcPr>
          <w:p w14:paraId="2B6B2BE5" w14:textId="77777777" w:rsidR="00500337" w:rsidRDefault="00500337" w:rsidP="00500337">
            <w:pPr>
              <w:ind w:left="0" w:right="0"/>
            </w:pPr>
            <w:r>
              <w:t>Submission dossier accepted and first round evaluation commenced</w:t>
            </w:r>
          </w:p>
        </w:tc>
        <w:tc>
          <w:tcPr>
            <w:tcW w:w="4096" w:type="dxa"/>
            <w:tcBorders>
              <w:top w:val="single" w:sz="4" w:space="0" w:color="auto"/>
            </w:tcBorders>
          </w:tcPr>
          <w:p w14:paraId="497FAEC2" w14:textId="7B4A06E6" w:rsidR="00500337" w:rsidRDefault="00173ABB" w:rsidP="00500337">
            <w:pPr>
              <w:ind w:left="0" w:right="0"/>
            </w:pPr>
            <w:r w:rsidRPr="00173ABB">
              <w:t>30</w:t>
            </w:r>
            <w:r w:rsidR="0029516D">
              <w:t xml:space="preserve"> November </w:t>
            </w:r>
            <w:r w:rsidRPr="00173ABB">
              <w:t>2020</w:t>
            </w:r>
          </w:p>
        </w:tc>
      </w:tr>
      <w:tr w:rsidR="00500337" w14:paraId="243F3CEB" w14:textId="77777777" w:rsidTr="00C534A0">
        <w:tc>
          <w:tcPr>
            <w:tcW w:w="4263" w:type="dxa"/>
          </w:tcPr>
          <w:p w14:paraId="7B2B84F3" w14:textId="77777777" w:rsidR="00500337" w:rsidRDefault="00500337" w:rsidP="00500337">
            <w:pPr>
              <w:ind w:left="0" w:right="0"/>
            </w:pPr>
            <w:r>
              <w:t>First round evaluation completed</w:t>
            </w:r>
          </w:p>
        </w:tc>
        <w:tc>
          <w:tcPr>
            <w:tcW w:w="4096" w:type="dxa"/>
          </w:tcPr>
          <w:p w14:paraId="4F9863F3" w14:textId="7FC8F899" w:rsidR="00500337" w:rsidRDefault="00173ABB" w:rsidP="00500337">
            <w:pPr>
              <w:ind w:left="0" w:right="0"/>
            </w:pPr>
            <w:r w:rsidRPr="00173ABB">
              <w:t>3</w:t>
            </w:r>
            <w:r w:rsidR="0029516D">
              <w:t xml:space="preserve"> May </w:t>
            </w:r>
            <w:r w:rsidRPr="00173ABB">
              <w:t>2021</w:t>
            </w:r>
          </w:p>
        </w:tc>
      </w:tr>
      <w:tr w:rsidR="00500337" w14:paraId="627A580D" w14:textId="77777777" w:rsidTr="00C534A0">
        <w:tc>
          <w:tcPr>
            <w:tcW w:w="4263" w:type="dxa"/>
          </w:tcPr>
          <w:p w14:paraId="2910BC78" w14:textId="77777777" w:rsidR="00500337" w:rsidRDefault="00500337" w:rsidP="00500337">
            <w:pPr>
              <w:ind w:left="0" w:right="0"/>
            </w:pPr>
            <w:r>
              <w:t>Sponsor provides responses on questions raised in first round evaluation</w:t>
            </w:r>
          </w:p>
        </w:tc>
        <w:tc>
          <w:tcPr>
            <w:tcW w:w="4096" w:type="dxa"/>
          </w:tcPr>
          <w:p w14:paraId="021B0ACF" w14:textId="3352A5D9" w:rsidR="00500337" w:rsidRDefault="00173ABB" w:rsidP="00500337">
            <w:pPr>
              <w:ind w:left="0" w:right="0"/>
            </w:pPr>
            <w:r w:rsidRPr="00173ABB">
              <w:t>7</w:t>
            </w:r>
            <w:r w:rsidR="0029516D">
              <w:t xml:space="preserve"> July </w:t>
            </w:r>
            <w:r w:rsidRPr="00173ABB">
              <w:t>2021</w:t>
            </w:r>
          </w:p>
        </w:tc>
      </w:tr>
      <w:tr w:rsidR="00500337" w14:paraId="4202AA2E" w14:textId="77777777" w:rsidTr="00C534A0">
        <w:tc>
          <w:tcPr>
            <w:tcW w:w="4263" w:type="dxa"/>
          </w:tcPr>
          <w:p w14:paraId="0A90D50D" w14:textId="77777777" w:rsidR="00500337" w:rsidRDefault="00500337" w:rsidP="00500337">
            <w:pPr>
              <w:ind w:left="0" w:right="0"/>
            </w:pPr>
            <w:r>
              <w:t>Second round evaluation completed</w:t>
            </w:r>
          </w:p>
        </w:tc>
        <w:tc>
          <w:tcPr>
            <w:tcW w:w="4096" w:type="dxa"/>
          </w:tcPr>
          <w:p w14:paraId="714A1488" w14:textId="150C6254" w:rsidR="00500337" w:rsidRDefault="00173ABB" w:rsidP="00500337">
            <w:pPr>
              <w:ind w:left="0" w:right="0"/>
            </w:pPr>
            <w:r w:rsidRPr="00173ABB">
              <w:t>10</w:t>
            </w:r>
            <w:r w:rsidR="0029516D">
              <w:t xml:space="preserve"> August </w:t>
            </w:r>
            <w:r w:rsidRPr="00173ABB">
              <w:t>2021</w:t>
            </w:r>
          </w:p>
        </w:tc>
      </w:tr>
      <w:tr w:rsidR="00500337" w14:paraId="4A5F742A" w14:textId="77777777" w:rsidTr="00C534A0">
        <w:tc>
          <w:tcPr>
            <w:tcW w:w="4263" w:type="dxa"/>
          </w:tcPr>
          <w:p w14:paraId="7B477B74" w14:textId="54A3885F" w:rsidR="00500337" w:rsidRDefault="00324E45" w:rsidP="00500337">
            <w:pPr>
              <w:ind w:left="0" w:right="0"/>
            </w:pPr>
            <w:r w:rsidRPr="0029516D">
              <w:t>Delegate’s Overall benefit-risk assessment and request for Advisory Committee advice</w:t>
            </w:r>
          </w:p>
        </w:tc>
        <w:tc>
          <w:tcPr>
            <w:tcW w:w="4096" w:type="dxa"/>
          </w:tcPr>
          <w:p w14:paraId="0057FBB1" w14:textId="72C4EF6A" w:rsidR="00500337" w:rsidRDefault="0029516D" w:rsidP="00500337">
            <w:pPr>
              <w:ind w:left="0" w:right="0"/>
            </w:pPr>
            <w:r w:rsidRPr="0029516D">
              <w:t>30 August 2021</w:t>
            </w:r>
          </w:p>
        </w:tc>
      </w:tr>
      <w:tr w:rsidR="00500337" w14:paraId="7B624579" w14:textId="77777777" w:rsidTr="00C534A0">
        <w:tc>
          <w:tcPr>
            <w:tcW w:w="4263" w:type="dxa"/>
          </w:tcPr>
          <w:p w14:paraId="4AF8584F" w14:textId="77777777" w:rsidR="00500337" w:rsidRDefault="00500337" w:rsidP="00500337">
            <w:pPr>
              <w:ind w:left="0" w:right="0"/>
            </w:pPr>
            <w:r>
              <w:t>Sponsor’s pre-Advisory Committee response</w:t>
            </w:r>
          </w:p>
        </w:tc>
        <w:tc>
          <w:tcPr>
            <w:tcW w:w="4096" w:type="dxa"/>
          </w:tcPr>
          <w:p w14:paraId="3460A9E3" w14:textId="395A63EA" w:rsidR="00500337" w:rsidRDefault="0029516D" w:rsidP="00500337">
            <w:pPr>
              <w:ind w:left="0" w:right="0"/>
            </w:pPr>
            <w:r>
              <w:t xml:space="preserve">9 </w:t>
            </w:r>
            <w:r w:rsidRPr="0029516D">
              <w:t>September 2021</w:t>
            </w:r>
          </w:p>
        </w:tc>
      </w:tr>
      <w:tr w:rsidR="00500337" w14:paraId="049F71E1" w14:textId="77777777" w:rsidTr="00C534A0">
        <w:tc>
          <w:tcPr>
            <w:tcW w:w="4263" w:type="dxa"/>
          </w:tcPr>
          <w:p w14:paraId="04103543" w14:textId="77777777" w:rsidR="00500337" w:rsidRDefault="00500337" w:rsidP="00500337">
            <w:pPr>
              <w:ind w:left="0" w:right="0"/>
            </w:pPr>
            <w:r>
              <w:t>Advisory Committee meeting</w:t>
            </w:r>
          </w:p>
        </w:tc>
        <w:tc>
          <w:tcPr>
            <w:tcW w:w="4096" w:type="dxa"/>
          </w:tcPr>
          <w:p w14:paraId="7CD7FA04" w14:textId="336686A7" w:rsidR="00500337" w:rsidRDefault="0029516D" w:rsidP="00500337">
            <w:pPr>
              <w:ind w:left="0" w:right="0"/>
            </w:pPr>
            <w:r w:rsidRPr="0029516D">
              <w:t>29 September 2021</w:t>
            </w:r>
          </w:p>
        </w:tc>
      </w:tr>
      <w:tr w:rsidR="00500337" w14:paraId="03286AA5" w14:textId="77777777" w:rsidTr="00C534A0">
        <w:tc>
          <w:tcPr>
            <w:tcW w:w="4263" w:type="dxa"/>
          </w:tcPr>
          <w:p w14:paraId="73E0731E" w14:textId="77777777" w:rsidR="00500337" w:rsidRDefault="00500337" w:rsidP="00500337">
            <w:pPr>
              <w:ind w:left="0" w:right="0"/>
            </w:pPr>
            <w:r>
              <w:t>Registration decision (Outcome)</w:t>
            </w:r>
          </w:p>
        </w:tc>
        <w:tc>
          <w:tcPr>
            <w:tcW w:w="4096" w:type="dxa"/>
          </w:tcPr>
          <w:p w14:paraId="04AD3073" w14:textId="51DE2AB3" w:rsidR="00500337" w:rsidRDefault="00173ABB" w:rsidP="00500337">
            <w:pPr>
              <w:ind w:left="0" w:right="0"/>
            </w:pPr>
            <w:r w:rsidRPr="00173ABB">
              <w:t>10 November 2021</w:t>
            </w:r>
          </w:p>
        </w:tc>
      </w:tr>
      <w:tr w:rsidR="00500337" w14:paraId="744495B1" w14:textId="77777777" w:rsidTr="00C534A0">
        <w:tc>
          <w:tcPr>
            <w:tcW w:w="4263" w:type="dxa"/>
          </w:tcPr>
          <w:p w14:paraId="408FFEA1" w14:textId="77777777" w:rsidR="00500337" w:rsidRDefault="00500337" w:rsidP="00500337">
            <w:pPr>
              <w:ind w:left="0" w:right="0"/>
            </w:pPr>
            <w:r>
              <w:t xml:space="preserve">Completion of administrative activities and registration on </w:t>
            </w:r>
            <w:r w:rsidR="00006FAB">
              <w:t xml:space="preserve">the </w:t>
            </w:r>
            <w:r>
              <w:t>ARTG</w:t>
            </w:r>
          </w:p>
        </w:tc>
        <w:tc>
          <w:tcPr>
            <w:tcW w:w="4096" w:type="dxa"/>
          </w:tcPr>
          <w:p w14:paraId="6F28334A" w14:textId="2C5E6E15" w:rsidR="00500337" w:rsidRDefault="00173ABB" w:rsidP="00500337">
            <w:pPr>
              <w:ind w:left="0" w:right="0"/>
            </w:pPr>
            <w:r w:rsidRPr="00173ABB">
              <w:t>1</w:t>
            </w:r>
            <w:r>
              <w:t>1</w:t>
            </w:r>
            <w:r w:rsidRPr="00173ABB">
              <w:t xml:space="preserve"> November 2021</w:t>
            </w:r>
          </w:p>
        </w:tc>
      </w:tr>
      <w:tr w:rsidR="00500337" w14:paraId="080DB516" w14:textId="77777777" w:rsidTr="00C534A0">
        <w:tc>
          <w:tcPr>
            <w:tcW w:w="4263" w:type="dxa"/>
          </w:tcPr>
          <w:p w14:paraId="062F923A" w14:textId="77777777" w:rsidR="00500337" w:rsidRDefault="00500337" w:rsidP="00500337">
            <w:pPr>
              <w:ind w:left="0" w:right="0"/>
            </w:pPr>
            <w:r>
              <w:t>Number of working days from submission dossier acceptance to registration decision*</w:t>
            </w:r>
          </w:p>
        </w:tc>
        <w:tc>
          <w:tcPr>
            <w:tcW w:w="4096" w:type="dxa"/>
          </w:tcPr>
          <w:p w14:paraId="6A097656" w14:textId="58F992AB" w:rsidR="00500337" w:rsidRDefault="00173ABB" w:rsidP="00500337">
            <w:pPr>
              <w:ind w:left="0" w:right="0"/>
            </w:pPr>
            <w:r w:rsidRPr="00173ABB">
              <w:t>188</w:t>
            </w:r>
          </w:p>
        </w:tc>
      </w:tr>
    </w:tbl>
    <w:p w14:paraId="10E8B96E"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35C683F" w14:textId="77777777" w:rsidR="008E7846" w:rsidRPr="00792A32" w:rsidRDefault="00456765" w:rsidP="008E7846">
      <w:pPr>
        <w:pStyle w:val="Heading2"/>
      </w:pPr>
      <w:bookmarkStart w:id="30" w:name="_Toc196046504"/>
      <w:bookmarkStart w:id="31" w:name="_Toc247691527"/>
      <w:bookmarkStart w:id="32" w:name="_Toc314842510"/>
      <w:bookmarkStart w:id="33" w:name="_Toc119662221"/>
      <w:bookmarkStart w:id="34" w:name="_Toc163441390"/>
      <w:bookmarkEnd w:id="26"/>
      <w:bookmarkEnd w:id="27"/>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1E6B9D66" w14:textId="55C31CA5" w:rsidR="00833B8B" w:rsidRDefault="00833B8B" w:rsidP="00006FAB">
      <w:bookmarkStart w:id="35" w:name="_Toc247691528"/>
      <w:r w:rsidRPr="00833B8B">
        <w:t>A summary of the TGA’s assessment for this submission is provided below.</w:t>
      </w:r>
    </w:p>
    <w:p w14:paraId="6FD39175" w14:textId="77777777" w:rsidR="0029516D" w:rsidRPr="0029516D" w:rsidRDefault="0029516D" w:rsidP="0029516D">
      <w:r w:rsidRPr="0029516D">
        <w:t>Relevant guidelines or guidance documents referred to by the Delegate are listed below:</w:t>
      </w:r>
    </w:p>
    <w:p w14:paraId="3370BC57" w14:textId="068D7078" w:rsidR="0029516D" w:rsidRPr="0029516D" w:rsidRDefault="001E6F3C" w:rsidP="0029516D">
      <w:pPr>
        <w:pStyle w:val="ListBullet"/>
      </w:pPr>
      <w:r w:rsidRPr="003D5BAB">
        <w:t>European Medicines Agency (EMA), Committee for Medicinal Products for Human Use (CHMP),</w:t>
      </w:r>
      <w:r>
        <w:t xml:space="preserve"> </w:t>
      </w:r>
      <w:r w:rsidR="0029516D" w:rsidRPr="0029516D">
        <w:t>Guideline on Influenza Vaccines - Non-clinical and Clinical Module</w:t>
      </w:r>
      <w:r>
        <w:t xml:space="preserve">, </w:t>
      </w:r>
      <w:r w:rsidR="0029516D" w:rsidRPr="0029516D">
        <w:t>EMA/CHMP/VWP/457259/2014</w:t>
      </w:r>
      <w:r>
        <w:t xml:space="preserve">, </w:t>
      </w:r>
      <w:r w:rsidRPr="001E6F3C">
        <w:t>21 July 2016</w:t>
      </w:r>
      <w:r>
        <w:t>.</w:t>
      </w:r>
    </w:p>
    <w:p w14:paraId="48E76F4E" w14:textId="62E02D90" w:rsidR="0029516D" w:rsidRPr="0029516D" w:rsidRDefault="001E6F3C" w:rsidP="0029516D">
      <w:pPr>
        <w:pStyle w:val="ListBullet"/>
      </w:pPr>
      <w:r w:rsidRPr="003D5BAB">
        <w:t>European Medicines Evaluation Agency (EMEA</w:t>
      </w:r>
      <w:r w:rsidRPr="001E6F3C">
        <w:t>), Committee for Medicinal Products for Human Use (CHMP),</w:t>
      </w:r>
      <w:r>
        <w:t xml:space="preserve"> </w:t>
      </w:r>
      <w:r w:rsidR="0029516D" w:rsidRPr="0029516D">
        <w:t>Guideline on Clinical Evaluation of New Vaccines</w:t>
      </w:r>
      <w:r>
        <w:t xml:space="preserve">, </w:t>
      </w:r>
      <w:r w:rsidR="0029516D" w:rsidRPr="0029516D">
        <w:t>EMEA/CHMP/VWP/164653/2005</w:t>
      </w:r>
      <w:r>
        <w:t xml:space="preserve">, </w:t>
      </w:r>
      <w:r w:rsidRPr="001E6F3C">
        <w:t>18 October 2006</w:t>
      </w:r>
      <w:r>
        <w:t>.</w:t>
      </w:r>
    </w:p>
    <w:p w14:paraId="1D724FBE" w14:textId="77777777" w:rsidR="008E7846" w:rsidRDefault="008E7846" w:rsidP="008E7846">
      <w:pPr>
        <w:pStyle w:val="Heading3"/>
      </w:pPr>
      <w:bookmarkStart w:id="36" w:name="_Toc314842511"/>
      <w:bookmarkStart w:id="37" w:name="_Toc119662222"/>
      <w:r>
        <w:t>Quality</w:t>
      </w:r>
      <w:bookmarkEnd w:id="35"/>
      <w:bookmarkEnd w:id="36"/>
      <w:bookmarkEnd w:id="37"/>
    </w:p>
    <w:p w14:paraId="7E28C812" w14:textId="2CA88935" w:rsidR="0029516D" w:rsidRDefault="0029516D" w:rsidP="00006FAB">
      <w:r w:rsidRPr="000349EF">
        <w:t>A full quality evaluation was conducted at the time this product received initial registration.</w:t>
      </w:r>
      <w:r w:rsidR="0069140C" w:rsidRPr="00011E40">
        <w:rPr>
          <w:vertAlign w:val="superscript"/>
        </w:rPr>
        <w:fldChar w:fldCharType="begin"/>
      </w:r>
      <w:r w:rsidR="0069140C" w:rsidRPr="00011E40">
        <w:rPr>
          <w:vertAlign w:val="superscript"/>
        </w:rPr>
        <w:instrText xml:space="preserve"> NOTEREF _Ref119489524 \h </w:instrText>
      </w:r>
      <w:r w:rsidR="0069140C">
        <w:rPr>
          <w:vertAlign w:val="superscript"/>
        </w:rPr>
        <w:instrText xml:space="preserve"> \* MERGEFORMAT </w:instrText>
      </w:r>
      <w:r w:rsidR="0069140C" w:rsidRPr="00011E40">
        <w:rPr>
          <w:vertAlign w:val="superscript"/>
        </w:rPr>
      </w:r>
      <w:r w:rsidR="0069140C" w:rsidRPr="00011E40">
        <w:rPr>
          <w:vertAlign w:val="superscript"/>
        </w:rPr>
        <w:fldChar w:fldCharType="separate"/>
      </w:r>
      <w:r w:rsidR="0028296F">
        <w:rPr>
          <w:vertAlign w:val="superscript"/>
        </w:rPr>
        <w:t>15</w:t>
      </w:r>
      <w:r w:rsidR="0069140C" w:rsidRPr="00011E40">
        <w:rPr>
          <w:vertAlign w:val="superscript"/>
        </w:rPr>
        <w:fldChar w:fldCharType="end"/>
      </w:r>
    </w:p>
    <w:p w14:paraId="19A2A06C" w14:textId="77777777" w:rsidR="008E7846" w:rsidRDefault="008E7846" w:rsidP="008E7846">
      <w:pPr>
        <w:pStyle w:val="Heading3"/>
      </w:pPr>
      <w:bookmarkStart w:id="38" w:name="_Toc314842512"/>
      <w:bookmarkStart w:id="39" w:name="_Toc119662223"/>
      <w:r>
        <w:lastRenderedPageBreak/>
        <w:t>Nonclinical</w:t>
      </w:r>
      <w:bookmarkEnd w:id="38"/>
      <w:bookmarkEnd w:id="39"/>
    </w:p>
    <w:p w14:paraId="26C60F22" w14:textId="3AD16A8F" w:rsidR="0029516D" w:rsidRDefault="0029516D" w:rsidP="00006FAB">
      <w:r w:rsidRPr="000349EF">
        <w:t xml:space="preserve">A full </w:t>
      </w:r>
      <w:r w:rsidR="00DE2A6F">
        <w:t>n</w:t>
      </w:r>
      <w:r w:rsidR="00DE2A6F" w:rsidRPr="00DE2A6F">
        <w:t>onclinical</w:t>
      </w:r>
      <w:r w:rsidR="00DE2A6F">
        <w:t xml:space="preserve"> </w:t>
      </w:r>
      <w:r w:rsidRPr="000349EF">
        <w:t>evaluation was conducted at the time this product received initial registration.</w:t>
      </w:r>
      <w:r w:rsidR="0069140C" w:rsidRPr="00541E02">
        <w:rPr>
          <w:vertAlign w:val="superscript"/>
        </w:rPr>
        <w:fldChar w:fldCharType="begin"/>
      </w:r>
      <w:r w:rsidR="0069140C" w:rsidRPr="00541E02">
        <w:rPr>
          <w:vertAlign w:val="superscript"/>
        </w:rPr>
        <w:instrText xml:space="preserve"> NOTEREF _Ref119489524 \h </w:instrText>
      </w:r>
      <w:r w:rsidR="0069140C">
        <w:rPr>
          <w:vertAlign w:val="superscript"/>
        </w:rPr>
        <w:instrText xml:space="preserve"> \* MERGEFORMAT </w:instrText>
      </w:r>
      <w:r w:rsidR="0069140C" w:rsidRPr="00541E02">
        <w:rPr>
          <w:vertAlign w:val="superscript"/>
        </w:rPr>
      </w:r>
      <w:r w:rsidR="0069140C" w:rsidRPr="00541E02">
        <w:rPr>
          <w:vertAlign w:val="superscript"/>
        </w:rPr>
        <w:fldChar w:fldCharType="separate"/>
      </w:r>
      <w:r w:rsidR="0028296F">
        <w:rPr>
          <w:vertAlign w:val="superscript"/>
        </w:rPr>
        <w:t>15</w:t>
      </w:r>
      <w:r w:rsidR="0069140C" w:rsidRPr="00541E02">
        <w:rPr>
          <w:vertAlign w:val="superscript"/>
        </w:rPr>
        <w:fldChar w:fldCharType="end"/>
      </w:r>
    </w:p>
    <w:p w14:paraId="2FA2B110" w14:textId="77777777" w:rsidR="008E7846" w:rsidRDefault="008E7846" w:rsidP="008E7846">
      <w:pPr>
        <w:pStyle w:val="Heading3"/>
      </w:pPr>
      <w:bookmarkStart w:id="40" w:name="_Toc247691530"/>
      <w:bookmarkStart w:id="41" w:name="_Toc314842513"/>
      <w:bookmarkStart w:id="42" w:name="_Toc119662224"/>
      <w:r>
        <w:t>Clinical</w:t>
      </w:r>
      <w:bookmarkEnd w:id="40"/>
      <w:bookmarkEnd w:id="41"/>
      <w:bookmarkEnd w:id="42"/>
    </w:p>
    <w:p w14:paraId="2DFEF8FC" w14:textId="77777777" w:rsidR="00833B8B" w:rsidRDefault="00833B8B" w:rsidP="00833B8B">
      <w:pPr>
        <w:pStyle w:val="Heading4"/>
      </w:pPr>
      <w:bookmarkStart w:id="43" w:name="_Toc98931928"/>
      <w:bookmarkStart w:id="44" w:name="_Toc314842514"/>
      <w:r>
        <w:t>Summary of clinical studies</w:t>
      </w:r>
      <w:bookmarkEnd w:id="43"/>
    </w:p>
    <w:p w14:paraId="0BC23C5D" w14:textId="753C8451" w:rsidR="009D2250" w:rsidRPr="0029516D" w:rsidRDefault="0029516D" w:rsidP="0029516D">
      <w:r w:rsidRPr="0029516D">
        <w:t xml:space="preserve">The clinical dossier </w:t>
      </w:r>
      <w:r w:rsidR="001E6F3C">
        <w:t xml:space="preserve">contained </w:t>
      </w:r>
      <w:r w:rsidR="001E6F3C" w:rsidRPr="004D1392">
        <w:rPr>
          <w:lang w:eastAsia="ja-JP"/>
        </w:rPr>
        <w:t xml:space="preserve">a Phase </w:t>
      </w:r>
      <w:r w:rsidR="001E6F3C">
        <w:rPr>
          <w:lang w:eastAsia="ja-JP"/>
        </w:rPr>
        <w:t>III</w:t>
      </w:r>
      <w:r w:rsidR="001E6F3C" w:rsidRPr="004D1392">
        <w:rPr>
          <w:lang w:eastAsia="ja-JP"/>
        </w:rPr>
        <w:t>/</w:t>
      </w:r>
      <w:r w:rsidR="001E6F3C">
        <w:rPr>
          <w:lang w:eastAsia="ja-JP"/>
        </w:rPr>
        <w:t>IV</w:t>
      </w:r>
      <w:r w:rsidR="001E6F3C" w:rsidRPr="004D1392">
        <w:rPr>
          <w:lang w:eastAsia="ja-JP"/>
        </w:rPr>
        <w:t xml:space="preserve"> </w:t>
      </w:r>
      <w:r w:rsidR="001E6F3C">
        <w:rPr>
          <w:lang w:eastAsia="ja-JP"/>
        </w:rPr>
        <w:t>s</w:t>
      </w:r>
      <w:r w:rsidR="001E6F3C" w:rsidRPr="004D1392">
        <w:rPr>
          <w:lang w:eastAsia="ja-JP"/>
        </w:rPr>
        <w:t>tudy</w:t>
      </w:r>
      <w:r w:rsidR="001E6F3C">
        <w:t xml:space="preserve">: </w:t>
      </w:r>
      <w:r w:rsidR="009D2250" w:rsidRPr="00DB6D2E">
        <w:rPr>
          <w:lang w:eastAsia="ja-JP"/>
        </w:rPr>
        <w:t xml:space="preserve">Study </w:t>
      </w:r>
      <w:r w:rsidR="009D2250">
        <w:rPr>
          <w:lang w:eastAsia="ja-JP"/>
        </w:rPr>
        <w:t>V</w:t>
      </w:r>
      <w:r w:rsidR="009D2250" w:rsidRPr="00DB6D2E">
        <w:rPr>
          <w:lang w:eastAsia="ja-JP"/>
        </w:rPr>
        <w:t>130</w:t>
      </w:r>
      <w:r w:rsidR="009D2250">
        <w:rPr>
          <w:lang w:eastAsia="ja-JP"/>
        </w:rPr>
        <w:t>_</w:t>
      </w:r>
      <w:r w:rsidR="009D2250" w:rsidRPr="00DB6D2E">
        <w:rPr>
          <w:lang w:eastAsia="ja-JP"/>
        </w:rPr>
        <w:t>12</w:t>
      </w:r>
      <w:r w:rsidR="001E6F3C">
        <w:rPr>
          <w:lang w:eastAsia="ja-JP"/>
        </w:rPr>
        <w:t>.</w:t>
      </w:r>
    </w:p>
    <w:p w14:paraId="7A8ABCD3" w14:textId="013DCDCD" w:rsidR="0029516D" w:rsidRPr="00505BA7" w:rsidRDefault="0029516D" w:rsidP="00505BA7">
      <w:pPr>
        <w:pStyle w:val="Heading4"/>
      </w:pPr>
      <w:r w:rsidRPr="00505BA7">
        <w:t>Pharmacology</w:t>
      </w:r>
    </w:p>
    <w:p w14:paraId="377AF472" w14:textId="717479AC" w:rsidR="0029516D" w:rsidRPr="00505BA7" w:rsidRDefault="0029516D" w:rsidP="00505BA7">
      <w:pPr>
        <w:pStyle w:val="Heading5"/>
      </w:pPr>
      <w:r w:rsidRPr="00505BA7">
        <w:t>Pharmacokinetics</w:t>
      </w:r>
    </w:p>
    <w:p w14:paraId="030094C1" w14:textId="37438C16" w:rsidR="0029516D" w:rsidRPr="00505BA7" w:rsidRDefault="0029516D" w:rsidP="00505BA7">
      <w:r w:rsidRPr="00505BA7">
        <w:t xml:space="preserve">No study on clinical </w:t>
      </w:r>
      <w:r w:rsidRPr="003D5BAB">
        <w:t xml:space="preserve">pharmacokinetics </w:t>
      </w:r>
      <w:r w:rsidR="001E6F3C" w:rsidRPr="003D5BAB">
        <w:t>(PK)</w:t>
      </w:r>
      <w:r w:rsidR="001E6F3C">
        <w:t xml:space="preserve"> </w:t>
      </w:r>
      <w:r w:rsidRPr="00505BA7">
        <w:t xml:space="preserve">was performed for the development of </w:t>
      </w:r>
      <w:r w:rsidR="009D2250" w:rsidRPr="00505BA7">
        <w:t>Flucelvax Quad</w:t>
      </w:r>
      <w:r w:rsidRPr="00505BA7">
        <w:t>.</w:t>
      </w:r>
      <w:r w:rsidR="009D2250">
        <w:t xml:space="preserve"> </w:t>
      </w:r>
      <w:r w:rsidRPr="00505BA7">
        <w:t>This is acceptable given that the PK properties would not provide useful information for establishing adequate dosing recommendations.</w:t>
      </w:r>
      <w:bookmarkStart w:id="45" w:name="_Ref103179608"/>
      <w:r w:rsidR="001E6F3C">
        <w:rPr>
          <w:rStyle w:val="FootnoteReference"/>
        </w:rPr>
        <w:footnoteReference w:id="18"/>
      </w:r>
      <w:bookmarkEnd w:id="45"/>
      <w:r w:rsidR="009D2250">
        <w:t xml:space="preserve"> </w:t>
      </w:r>
      <w:r w:rsidRPr="00505BA7">
        <w:t>There is no dose adjustment proposed for paediatric population.</w:t>
      </w:r>
    </w:p>
    <w:p w14:paraId="485773B3" w14:textId="604CACC6" w:rsidR="0029516D" w:rsidRPr="00505BA7" w:rsidRDefault="0029516D" w:rsidP="00505BA7">
      <w:pPr>
        <w:pStyle w:val="Heading5"/>
      </w:pPr>
      <w:r w:rsidRPr="00505BA7">
        <w:t xml:space="preserve">Population </w:t>
      </w:r>
      <w:r w:rsidR="001E6F3C">
        <w:t>p</w:t>
      </w:r>
      <w:r w:rsidR="001E6F3C" w:rsidRPr="001E6F3C">
        <w:t>harmacokinetic</w:t>
      </w:r>
      <w:r w:rsidR="00F178B8">
        <w:t>s</w:t>
      </w:r>
    </w:p>
    <w:p w14:paraId="5DFE6DB9" w14:textId="2BE034FE" w:rsidR="0029516D" w:rsidRPr="00505BA7" w:rsidRDefault="00F178B8" w:rsidP="00505BA7">
      <w:r w:rsidRPr="00F178B8">
        <w:t>Population pharmacokinetic data</w:t>
      </w:r>
      <w:r>
        <w:t xml:space="preserve"> are n</w:t>
      </w:r>
      <w:r w:rsidR="0029516D" w:rsidRPr="00505BA7">
        <w:t>ot applicable</w:t>
      </w:r>
      <w:r>
        <w:t xml:space="preserve"> to this submission.</w:t>
      </w:r>
    </w:p>
    <w:p w14:paraId="04C43EEF" w14:textId="5370F038" w:rsidR="0029516D" w:rsidRPr="00505BA7" w:rsidRDefault="0029516D" w:rsidP="00F178B8">
      <w:pPr>
        <w:pStyle w:val="Heading5"/>
      </w:pPr>
      <w:r w:rsidRPr="00F178B8">
        <w:t>Pharmacodynamics</w:t>
      </w:r>
    </w:p>
    <w:p w14:paraId="77AEF970" w14:textId="1CE47022" w:rsidR="0029516D" w:rsidRPr="00505BA7" w:rsidRDefault="00D5036B" w:rsidP="00505BA7">
      <w:r>
        <w:t>Flucelvax Quad</w:t>
      </w:r>
      <w:r w:rsidR="0029516D" w:rsidRPr="00505BA7">
        <w:t xml:space="preserve"> provides active immunisation against four influenza virus strains (two A</w:t>
      </w:r>
      <w:r w:rsidR="00F178B8">
        <w:t> </w:t>
      </w:r>
      <w:r w:rsidR="0029516D" w:rsidRPr="00505BA7">
        <w:t xml:space="preserve">subtypes and two B </w:t>
      </w:r>
      <w:r w:rsidR="00723E9D">
        <w:t>lineages</w:t>
      </w:r>
      <w:r w:rsidR="0029516D" w:rsidRPr="00505BA7">
        <w:t>) contained in the vaccine by inducing humoral antibodies against the haemagglutinin proteins. These antibodies neutralise influenza viruses.</w:t>
      </w:r>
    </w:p>
    <w:p w14:paraId="0EA43ABF" w14:textId="697BA2B9" w:rsidR="0029516D" w:rsidRPr="00505BA7" w:rsidRDefault="0029516D" w:rsidP="00505BA7">
      <w:r w:rsidRPr="00505BA7">
        <w:t>The pharmacodynamic profile of vaccines is defined by their immunogenicity profile, as detailed in the CHMP guideline</w:t>
      </w:r>
      <w:r w:rsidR="00F178B8">
        <w:t>.</w:t>
      </w:r>
      <w:r w:rsidR="00F178B8" w:rsidRPr="00F178B8">
        <w:rPr>
          <w:color w:val="2B579A"/>
          <w:shd w:val="clear" w:color="auto" w:fill="E6E6E6"/>
          <w:vertAlign w:val="superscript"/>
        </w:rPr>
        <w:fldChar w:fldCharType="begin"/>
      </w:r>
      <w:r w:rsidR="00F178B8" w:rsidRPr="00F178B8">
        <w:rPr>
          <w:vertAlign w:val="superscript"/>
        </w:rPr>
        <w:instrText xml:space="preserve"> NOTEREF _Ref103179608 \h </w:instrText>
      </w:r>
      <w:r w:rsidR="00F178B8">
        <w:rPr>
          <w:vertAlign w:val="superscript"/>
        </w:rPr>
        <w:instrText xml:space="preserve"> \* MERGEFORMAT </w:instrText>
      </w:r>
      <w:r w:rsidR="00F178B8" w:rsidRPr="00F178B8">
        <w:rPr>
          <w:color w:val="2B579A"/>
          <w:shd w:val="clear" w:color="auto" w:fill="E6E6E6"/>
          <w:vertAlign w:val="superscript"/>
        </w:rPr>
      </w:r>
      <w:r w:rsidR="00F178B8" w:rsidRPr="00F178B8">
        <w:rPr>
          <w:color w:val="2B579A"/>
          <w:shd w:val="clear" w:color="auto" w:fill="E6E6E6"/>
          <w:vertAlign w:val="superscript"/>
        </w:rPr>
        <w:fldChar w:fldCharType="separate"/>
      </w:r>
      <w:r w:rsidR="0028296F">
        <w:rPr>
          <w:vertAlign w:val="superscript"/>
        </w:rPr>
        <w:t>17</w:t>
      </w:r>
      <w:r w:rsidR="00F178B8" w:rsidRPr="00F178B8">
        <w:rPr>
          <w:color w:val="2B579A"/>
          <w:shd w:val="clear" w:color="auto" w:fill="E6E6E6"/>
          <w:vertAlign w:val="superscript"/>
        </w:rPr>
        <w:fldChar w:fldCharType="end"/>
      </w:r>
    </w:p>
    <w:p w14:paraId="4D6E6B02" w14:textId="7B529FDD" w:rsidR="0029516D" w:rsidRPr="00505BA7" w:rsidRDefault="0029516D" w:rsidP="00505BA7">
      <w:r w:rsidRPr="00505BA7">
        <w:t xml:space="preserve">In Study V130_12, immunogenicity </w:t>
      </w:r>
      <w:r w:rsidRPr="003D5BAB">
        <w:t xml:space="preserve">endpoints were assessed by the haemagglutination inhibition (HI) and </w:t>
      </w:r>
      <w:proofErr w:type="spellStart"/>
      <w:r w:rsidR="00565954" w:rsidRPr="00565954">
        <w:t>microneutrali</w:t>
      </w:r>
      <w:r w:rsidR="00565954">
        <w:t>s</w:t>
      </w:r>
      <w:r w:rsidR="00565954" w:rsidRPr="00565954">
        <w:t>ation</w:t>
      </w:r>
      <w:proofErr w:type="spellEnd"/>
      <w:r w:rsidRPr="003D5BAB">
        <w:t xml:space="preserve"> assay for all strains. The HI assay used for immunogenicity evaluation of influenza vaccines is considered adequate for </w:t>
      </w:r>
      <w:r w:rsidR="00F178B8" w:rsidRPr="003D5BAB">
        <w:t>Study </w:t>
      </w:r>
      <w:r w:rsidRPr="003D5BAB">
        <w:t>V130_12, because it is in line with the Guideline on Influenza Vaccines.</w:t>
      </w:r>
      <w:bookmarkStart w:id="46" w:name="_Ref103260894"/>
      <w:r w:rsidR="00F178B8" w:rsidRPr="003D5BAB">
        <w:rPr>
          <w:rStyle w:val="FootnoteReference"/>
        </w:rPr>
        <w:footnoteReference w:id="19"/>
      </w:r>
      <w:bookmarkEnd w:id="46"/>
      <w:r w:rsidRPr="003D5BAB">
        <w:t xml:space="preserve"> In light of the technical challenges with the HI assay, particularly with the </w:t>
      </w:r>
      <w:r w:rsidR="00723E9D">
        <w:t xml:space="preserve">influenza </w:t>
      </w:r>
      <w:r w:rsidRPr="003D5BAB">
        <w:t>A/H3N2 strain used in the vaccine in Season 2 (A/Singapore/GP2050/2015), quantification of neutrali</w:t>
      </w:r>
      <w:r w:rsidR="00F178B8" w:rsidRPr="003D5BAB">
        <w:t>s</w:t>
      </w:r>
      <w:r w:rsidRPr="003D5BAB">
        <w:t xml:space="preserve">ing antibody titres using the </w:t>
      </w:r>
      <w:proofErr w:type="spellStart"/>
      <w:r w:rsidR="00565954" w:rsidRPr="00565954">
        <w:t>microneutrali</w:t>
      </w:r>
      <w:r w:rsidR="00565954">
        <w:t>s</w:t>
      </w:r>
      <w:r w:rsidR="00565954" w:rsidRPr="00565954">
        <w:t>ation</w:t>
      </w:r>
      <w:proofErr w:type="spellEnd"/>
      <w:r w:rsidRPr="003D5BAB">
        <w:t xml:space="preserve"> assay against </w:t>
      </w:r>
      <w:r w:rsidR="00723E9D">
        <w:t>influenza</w:t>
      </w:r>
      <w:r w:rsidR="00723E9D" w:rsidRPr="00505BA7">
        <w:t xml:space="preserve"> </w:t>
      </w:r>
      <w:r w:rsidRPr="00505BA7">
        <w:t>A/H3N2 has been used as an alternative.</w:t>
      </w:r>
    </w:p>
    <w:p w14:paraId="200BF95B" w14:textId="6CBD4698" w:rsidR="0029516D" w:rsidRPr="00421942" w:rsidRDefault="0029516D" w:rsidP="00F178B8">
      <w:pPr>
        <w:pStyle w:val="Heading5"/>
      </w:pPr>
      <w:r w:rsidRPr="00421942">
        <w:t>Study V130_12 objectives</w:t>
      </w:r>
    </w:p>
    <w:p w14:paraId="0669D26E" w14:textId="3208FFC7" w:rsidR="0029516D" w:rsidRPr="00505BA7" w:rsidRDefault="0029516D" w:rsidP="00F178B8">
      <w:pPr>
        <w:pStyle w:val="Heading6"/>
      </w:pPr>
      <w:r w:rsidRPr="00505BA7">
        <w:t xml:space="preserve">Secondary </w:t>
      </w:r>
      <w:r w:rsidR="00F178B8" w:rsidRPr="00505BA7">
        <w:t>immunogenicity objective</w:t>
      </w:r>
    </w:p>
    <w:p w14:paraId="24BA8C8C" w14:textId="14BD0E0E" w:rsidR="0029516D" w:rsidRPr="00505BA7" w:rsidRDefault="0029516D" w:rsidP="00505BA7">
      <w:r w:rsidRPr="00505BA7">
        <w:t>To characteri</w:t>
      </w:r>
      <w:r w:rsidR="00F178B8">
        <w:t>s</w:t>
      </w:r>
      <w:r w:rsidRPr="00505BA7">
        <w:t xml:space="preserve">e the immunogenicity of </w:t>
      </w:r>
      <w:r w:rsidR="00D5036B">
        <w:t>Flucelvax Quad</w:t>
      </w:r>
      <w:r w:rsidRPr="00505BA7">
        <w:t xml:space="preserve"> by HI assay 3 weeks after the last vaccination in a subset of subjects in the age cohort 2 to &lt;</w:t>
      </w:r>
      <w:r w:rsidR="00F178B8">
        <w:t xml:space="preserve"> </w:t>
      </w:r>
      <w:r w:rsidRPr="00505BA7">
        <w:t>9 years of age.</w:t>
      </w:r>
    </w:p>
    <w:p w14:paraId="23AE8E62" w14:textId="5601BD8A" w:rsidR="0029516D" w:rsidRPr="00505BA7" w:rsidRDefault="0029516D" w:rsidP="00F178B8">
      <w:pPr>
        <w:pStyle w:val="Heading6"/>
      </w:pPr>
      <w:r w:rsidRPr="00505BA7">
        <w:t xml:space="preserve">Exploratory </w:t>
      </w:r>
      <w:r w:rsidR="00F178B8" w:rsidRPr="00505BA7">
        <w:t>immunogenicity objective</w:t>
      </w:r>
    </w:p>
    <w:p w14:paraId="7A990FED" w14:textId="1F345600" w:rsidR="0029516D" w:rsidRPr="00505BA7" w:rsidRDefault="0029516D" w:rsidP="00505BA7">
      <w:r w:rsidRPr="00505BA7">
        <w:t>To further characteri</w:t>
      </w:r>
      <w:r w:rsidR="00F178B8">
        <w:t>s</w:t>
      </w:r>
      <w:r w:rsidRPr="00505BA7">
        <w:t>e the immune response in a subset of subjects in the age cohort 2 to &lt;</w:t>
      </w:r>
      <w:r w:rsidR="00F178B8">
        <w:t> </w:t>
      </w:r>
      <w:r w:rsidRPr="00505BA7">
        <w:t xml:space="preserve">9 years of age, using other assays, such as </w:t>
      </w:r>
      <w:proofErr w:type="spellStart"/>
      <w:r w:rsidR="00565954" w:rsidRPr="00565954">
        <w:t>microneutrali</w:t>
      </w:r>
      <w:r w:rsidR="00565954">
        <w:t>s</w:t>
      </w:r>
      <w:r w:rsidR="00565954" w:rsidRPr="00565954">
        <w:t>ation</w:t>
      </w:r>
      <w:proofErr w:type="spellEnd"/>
      <w:r w:rsidRPr="00505BA7">
        <w:t>.</w:t>
      </w:r>
    </w:p>
    <w:p w14:paraId="5D04FE7E" w14:textId="24F8C9F2" w:rsidR="0029516D" w:rsidRPr="00505BA7" w:rsidRDefault="0029516D" w:rsidP="00F178B8">
      <w:pPr>
        <w:pStyle w:val="Heading6"/>
      </w:pPr>
      <w:r w:rsidRPr="00505BA7">
        <w:lastRenderedPageBreak/>
        <w:t xml:space="preserve">Secondary </w:t>
      </w:r>
      <w:r w:rsidR="00F178B8" w:rsidRPr="00505BA7">
        <w:t>immunogenicity endpoints</w:t>
      </w:r>
    </w:p>
    <w:p w14:paraId="23A40A4E" w14:textId="2BCBE769" w:rsidR="0029516D" w:rsidRPr="00505BA7" w:rsidRDefault="0029516D" w:rsidP="00505BA7">
      <w:r w:rsidRPr="00505BA7">
        <w:t>The immunogenicity of study vaccine was assessed 21 days after the last vaccine administration by measuring the HI assay to the 4 viral strains included in the vaccine. The</w:t>
      </w:r>
      <w:r w:rsidR="00723E9D">
        <w:t> </w:t>
      </w:r>
      <w:r w:rsidRPr="00505BA7">
        <w:t>measures for assessing immunogenicity as determined by HI were as follows:</w:t>
      </w:r>
    </w:p>
    <w:p w14:paraId="672C26B4" w14:textId="487976F1" w:rsidR="0029516D" w:rsidRPr="00505BA7" w:rsidRDefault="00F178B8" w:rsidP="00505BA7">
      <w:pPr>
        <w:pStyle w:val="ListBullet"/>
      </w:pPr>
      <w:r>
        <w:t>H</w:t>
      </w:r>
      <w:r w:rsidRPr="00F178B8">
        <w:t xml:space="preserve">aemagglutination inhibition </w:t>
      </w:r>
      <w:r>
        <w:t>(</w:t>
      </w:r>
      <w:r w:rsidR="0029516D" w:rsidRPr="00505BA7">
        <w:t>HI</w:t>
      </w:r>
      <w:r>
        <w:t>)</w:t>
      </w:r>
      <w:r w:rsidR="0029516D" w:rsidRPr="00505BA7">
        <w:t xml:space="preserve"> </w:t>
      </w:r>
      <w:r w:rsidRPr="003D5BAB">
        <w:t xml:space="preserve">geometric mean titres </w:t>
      </w:r>
      <w:r w:rsidR="0029516D" w:rsidRPr="003D5BAB">
        <w:t>(GMTs)</w:t>
      </w:r>
      <w:r w:rsidR="0029516D" w:rsidRPr="00505BA7">
        <w:t xml:space="preserve"> on Day 1 (all subjects), Day 22 (all </w:t>
      </w:r>
      <w:r w:rsidR="009D2250">
        <w:t>‘</w:t>
      </w:r>
      <w:r w:rsidR="0029516D" w:rsidRPr="00505BA7">
        <w:t>previously vaccinated</w:t>
      </w:r>
      <w:r w:rsidR="009D2250">
        <w:t>’</w:t>
      </w:r>
      <w:r w:rsidR="0029516D" w:rsidRPr="00505BA7">
        <w:t xml:space="preserve"> subjects receiving a single vaccine dose) or Days 29 and 50 (all </w:t>
      </w:r>
      <w:r w:rsidR="009D2250">
        <w:t>‘</w:t>
      </w:r>
      <w:r w:rsidR="0029516D" w:rsidRPr="00505BA7">
        <w:t>not previously vaccinated</w:t>
      </w:r>
      <w:r w:rsidR="009D2250">
        <w:t>’</w:t>
      </w:r>
      <w:r w:rsidR="0029516D" w:rsidRPr="00505BA7">
        <w:t xml:space="preserve"> subjects receiving 2 doses) for all 4</w:t>
      </w:r>
      <w:r w:rsidR="00723E9D">
        <w:t> </w:t>
      </w:r>
      <w:r w:rsidR="0029516D" w:rsidRPr="00505BA7">
        <w:t>influenza strains.</w:t>
      </w:r>
    </w:p>
    <w:p w14:paraId="23D5B576" w14:textId="1A13FB45" w:rsidR="0029516D" w:rsidRPr="00505BA7" w:rsidRDefault="0029516D" w:rsidP="00505BA7">
      <w:pPr>
        <w:pStyle w:val="ListBullet"/>
      </w:pPr>
      <w:r w:rsidRPr="00505BA7">
        <w:t>Percentage of subjects achieving seroconversion (defined as: either a pre</w:t>
      </w:r>
      <w:r w:rsidR="00F178B8">
        <w:t>-</w:t>
      </w:r>
      <w:r w:rsidRPr="00505BA7">
        <w:t>vaccination HI titre &lt;</w:t>
      </w:r>
      <w:r w:rsidR="00F178B8">
        <w:t xml:space="preserve"> </w:t>
      </w:r>
      <w:r w:rsidRPr="00505BA7">
        <w:t>1:10 and a post</w:t>
      </w:r>
      <w:r w:rsidR="00F178B8">
        <w:t>-</w:t>
      </w:r>
      <w:r w:rsidRPr="00505BA7">
        <w:t>vaccination HI titre ≥</w:t>
      </w:r>
      <w:r w:rsidR="00F178B8">
        <w:t xml:space="preserve"> </w:t>
      </w:r>
      <w:r w:rsidRPr="00505BA7">
        <w:t>1:40 or a pre</w:t>
      </w:r>
      <w:r w:rsidR="00F178B8">
        <w:t>-</w:t>
      </w:r>
      <w:r w:rsidRPr="00505BA7">
        <w:t>vaccination HI titre ≥</w:t>
      </w:r>
      <w:r w:rsidR="00F178B8">
        <w:t> </w:t>
      </w:r>
      <w:r w:rsidRPr="00505BA7">
        <w:t>1:10 and a ≥</w:t>
      </w:r>
      <w:r w:rsidR="00F178B8">
        <w:t xml:space="preserve"> </w:t>
      </w:r>
      <w:proofErr w:type="gramStart"/>
      <w:r w:rsidRPr="00505BA7">
        <w:t>4 fold</w:t>
      </w:r>
      <w:proofErr w:type="gramEnd"/>
      <w:r w:rsidRPr="00505BA7">
        <w:t xml:space="preserve"> increase in postvaccination HI titre) on Day 22 (all </w:t>
      </w:r>
      <w:r w:rsidR="009D2250">
        <w:t>‘</w:t>
      </w:r>
      <w:r w:rsidRPr="00505BA7">
        <w:t>previously vaccinated</w:t>
      </w:r>
      <w:r w:rsidR="009D2250">
        <w:t>’</w:t>
      </w:r>
      <w:r w:rsidRPr="00505BA7">
        <w:t xml:space="preserve"> subjects receiving a single vaccine dose) or Days 29 and 50 (all </w:t>
      </w:r>
      <w:r w:rsidR="009D2250">
        <w:t>‘</w:t>
      </w:r>
      <w:r w:rsidRPr="00505BA7">
        <w:t>not previously vaccinated</w:t>
      </w:r>
      <w:r w:rsidR="009D2250">
        <w:t>’</w:t>
      </w:r>
      <w:r w:rsidRPr="00505BA7">
        <w:t xml:space="preserve"> subjects receiving 2 doses) for all 4 influenza strains.</w:t>
      </w:r>
    </w:p>
    <w:p w14:paraId="589F4330" w14:textId="28B23676" w:rsidR="0029516D" w:rsidRPr="00505BA7" w:rsidRDefault="00F178B8" w:rsidP="00505BA7">
      <w:pPr>
        <w:pStyle w:val="ListBullet"/>
      </w:pPr>
      <w:r>
        <w:t>H</w:t>
      </w:r>
      <w:r w:rsidRPr="00F178B8">
        <w:t xml:space="preserve">aemagglutination inhibition </w:t>
      </w:r>
      <w:r>
        <w:t>(</w:t>
      </w:r>
      <w:r w:rsidRPr="00505BA7">
        <w:t>HI</w:t>
      </w:r>
      <w:r>
        <w:t>)</w:t>
      </w:r>
      <w:r w:rsidRPr="00505BA7">
        <w:t xml:space="preserve"> </w:t>
      </w:r>
      <w:r w:rsidRPr="003D5BAB">
        <w:t>g</w:t>
      </w:r>
      <w:r w:rsidR="0029516D" w:rsidRPr="003D5BAB">
        <w:t>eometric mean ratio (GMR):</w:t>
      </w:r>
      <w:r w:rsidR="0029516D" w:rsidRPr="00505BA7">
        <w:t xml:space="preserve"> of Day 22/Day</w:t>
      </w:r>
      <w:r w:rsidR="007C0C7D">
        <w:t> </w:t>
      </w:r>
      <w:r w:rsidR="0029516D" w:rsidRPr="00505BA7">
        <w:t>1 (all</w:t>
      </w:r>
      <w:r w:rsidR="00723E9D">
        <w:t> </w:t>
      </w:r>
      <w:r w:rsidR="009D2250">
        <w:t>‘</w:t>
      </w:r>
      <w:r w:rsidR="0029516D" w:rsidRPr="00505BA7">
        <w:t>previously vaccinated</w:t>
      </w:r>
      <w:r w:rsidR="009D2250">
        <w:t>’</w:t>
      </w:r>
      <w:r w:rsidR="0029516D" w:rsidRPr="00505BA7">
        <w:t xml:space="preserve"> subjects receiving a single vaccine dose) or Day 29/Day</w:t>
      </w:r>
      <w:r w:rsidR="007C0C7D">
        <w:t> </w:t>
      </w:r>
      <w:r w:rsidR="0029516D" w:rsidRPr="00505BA7">
        <w:t xml:space="preserve">1 and Day 50/Day 1 (all </w:t>
      </w:r>
      <w:r w:rsidR="009D2250">
        <w:t>‘</w:t>
      </w:r>
      <w:r w:rsidR="0029516D" w:rsidRPr="00505BA7">
        <w:t>not previously vaccinated</w:t>
      </w:r>
      <w:r w:rsidR="009D2250">
        <w:t>’</w:t>
      </w:r>
      <w:r w:rsidR="0029516D" w:rsidRPr="00505BA7">
        <w:t xml:space="preserve"> subjects receiving 2 doses) for all 4</w:t>
      </w:r>
      <w:r>
        <w:t> </w:t>
      </w:r>
      <w:r w:rsidR="0029516D" w:rsidRPr="00505BA7">
        <w:t>influenza strains.</w:t>
      </w:r>
    </w:p>
    <w:p w14:paraId="70E161AD" w14:textId="22BDB8FC" w:rsidR="0029516D" w:rsidRPr="00505BA7" w:rsidRDefault="0029516D" w:rsidP="00505BA7">
      <w:pPr>
        <w:pStyle w:val="ListBullet"/>
      </w:pPr>
      <w:r w:rsidRPr="00505BA7">
        <w:t>Percentage of subjects with HI titre ≥</w:t>
      </w:r>
      <w:r w:rsidR="00F178B8">
        <w:t xml:space="preserve"> </w:t>
      </w:r>
      <w:r w:rsidRPr="00505BA7">
        <w:t xml:space="preserve">1:40 on Day 22 (all </w:t>
      </w:r>
      <w:r w:rsidR="009D2250">
        <w:t>‘</w:t>
      </w:r>
      <w:r w:rsidRPr="00505BA7">
        <w:t>previously vaccinated</w:t>
      </w:r>
      <w:r w:rsidR="009D2250">
        <w:t>’</w:t>
      </w:r>
      <w:r w:rsidRPr="00505BA7">
        <w:t xml:space="preserve"> subjects receiving a single vaccine dose) or Days 29 and 50 (all </w:t>
      </w:r>
      <w:r w:rsidR="009D2250">
        <w:t>‘</w:t>
      </w:r>
      <w:r w:rsidRPr="00505BA7">
        <w:t>not previously vaccinated</w:t>
      </w:r>
      <w:r w:rsidR="009D2250">
        <w:t>’</w:t>
      </w:r>
      <w:r w:rsidRPr="00505BA7">
        <w:t xml:space="preserve"> subjects receiving 2 doses) for all 4 influenza strains.</w:t>
      </w:r>
    </w:p>
    <w:p w14:paraId="116D1081" w14:textId="5C6F710B" w:rsidR="0029516D" w:rsidRPr="00505BA7" w:rsidRDefault="0029516D" w:rsidP="00505BA7">
      <w:r w:rsidRPr="00505BA7">
        <w:t xml:space="preserve">The immunogenicity of </w:t>
      </w:r>
      <w:r w:rsidR="009D2250" w:rsidRPr="00505BA7">
        <w:t>Flucelvax Quad</w:t>
      </w:r>
      <w:r w:rsidRPr="00505BA7">
        <w:t xml:space="preserve"> by HI assay 3 weeks after the last vaccination was performed in a subset of 751 subjects 2 to &lt;</w:t>
      </w:r>
      <w:r w:rsidR="00F178B8">
        <w:t xml:space="preserve"> </w:t>
      </w:r>
      <w:r w:rsidRPr="00505BA7">
        <w:t>9 years of age.</w:t>
      </w:r>
      <w:r w:rsidR="009D2250">
        <w:t xml:space="preserve"> </w:t>
      </w:r>
      <w:r w:rsidRPr="00505BA7">
        <w:t xml:space="preserve">From these 721 (422 subjects from Season 2, and 299 subjects from Season 3) were included in the </w:t>
      </w:r>
      <w:r w:rsidR="00F178B8" w:rsidRPr="003D5BAB">
        <w:t>full analysis set (</w:t>
      </w:r>
      <w:r w:rsidRPr="003D5BAB">
        <w:t>FAS</w:t>
      </w:r>
      <w:r w:rsidR="00F178B8" w:rsidRPr="003D5BAB">
        <w:t>)</w:t>
      </w:r>
      <w:r w:rsidRPr="003D5BAB">
        <w:t>.</w:t>
      </w:r>
    </w:p>
    <w:p w14:paraId="201ED2A6" w14:textId="398CD58C" w:rsidR="0029516D" w:rsidRPr="00505BA7" w:rsidRDefault="0029516D" w:rsidP="00505BA7">
      <w:r w:rsidRPr="00505BA7">
        <w:t xml:space="preserve">Immunogenicity </w:t>
      </w:r>
      <w:r w:rsidR="00F178B8" w:rsidRPr="00505BA7">
        <w:t>was</w:t>
      </w:r>
      <w:r w:rsidRPr="00505BA7">
        <w:t xml:space="preserve"> assessed at </w:t>
      </w:r>
      <w:r w:rsidR="009D2250" w:rsidRPr="00505BA7">
        <w:t>Baseline</w:t>
      </w:r>
      <w:r w:rsidRPr="00505BA7">
        <w:t xml:space="preserve"> (Day 1, all subjects in immunogenicity subset), at Day 22 (all </w:t>
      </w:r>
      <w:r w:rsidR="009D2250">
        <w:t>‘</w:t>
      </w:r>
      <w:r w:rsidRPr="00505BA7">
        <w:t>previously vaccinated</w:t>
      </w:r>
      <w:r w:rsidR="009D2250">
        <w:t>’</w:t>
      </w:r>
      <w:r w:rsidRPr="00505BA7">
        <w:t xml:space="preserve"> subjects receiving a single dose of the study vaccine), and at Days 29 and 50 (all </w:t>
      </w:r>
      <w:r w:rsidR="009D2250">
        <w:t>‘</w:t>
      </w:r>
      <w:r w:rsidRPr="00505BA7">
        <w:t>not previously vaccinated</w:t>
      </w:r>
      <w:r w:rsidR="009D2250">
        <w:t>’</w:t>
      </w:r>
      <w:r w:rsidRPr="00505BA7">
        <w:t xml:space="preserve"> subjects receiving 2 doses) for all 4</w:t>
      </w:r>
      <w:r w:rsidR="00F178B8">
        <w:t> </w:t>
      </w:r>
      <w:r w:rsidRPr="00505BA7">
        <w:t>influenza strains using the HI assay.</w:t>
      </w:r>
    </w:p>
    <w:p w14:paraId="05F51A6C" w14:textId="5DA09E5C" w:rsidR="00BE515D" w:rsidRDefault="0029516D" w:rsidP="004C4076">
      <w:r w:rsidRPr="00505BA7">
        <w:t>Only the Type A/H1N1 vaccine strain remained consistent between the two seasons.</w:t>
      </w:r>
      <w:r w:rsidR="009D2250">
        <w:t xml:space="preserve"> </w:t>
      </w:r>
      <w:r w:rsidRPr="00505BA7">
        <w:t>All other vaccine strains (Type A/H3N2, Type B/Yamagata and Type B/Victoria) were updated between Season 2 and 3. For each assay and strain, the following measures were derived: GMT, GMR, seroconversion rates, and the percentages of subjects with HI titres ≥</w:t>
      </w:r>
      <w:r w:rsidR="00F178B8">
        <w:t> </w:t>
      </w:r>
      <w:r w:rsidRPr="00505BA7">
        <w:t>1:40.</w:t>
      </w:r>
      <w:r w:rsidR="009D2250">
        <w:t xml:space="preserve"> </w:t>
      </w:r>
      <w:r w:rsidRPr="00505BA7">
        <w:t xml:space="preserve">Immunogenicity was analysed </w:t>
      </w:r>
      <w:r w:rsidR="00F178B8" w:rsidRPr="00505BA7">
        <w:t>descriptively,</w:t>
      </w:r>
      <w:r w:rsidRPr="00505BA7">
        <w:t xml:space="preserve"> and no success criteria were applied.</w:t>
      </w:r>
      <w:r w:rsidR="009D2250">
        <w:t xml:space="preserve"> </w:t>
      </w:r>
      <w:r w:rsidRPr="00505BA7">
        <w:t>The sponsor has mentioned that all sera were tested in a single clinical serology laboratory in line with the recommendations of the current CHMP influenza vaccines guideline.</w:t>
      </w:r>
      <w:bookmarkStart w:id="47" w:name="_Toc70111548"/>
    </w:p>
    <w:p w14:paraId="32C6347E" w14:textId="253FF7FD" w:rsidR="0029516D" w:rsidRPr="00134872" w:rsidRDefault="00F178B8" w:rsidP="004C4076">
      <w:pPr>
        <w:pStyle w:val="TableTitle"/>
        <w:pageBreakBefor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3</w:t>
      </w:r>
      <w:r w:rsidR="007C1059">
        <w:rPr>
          <w:noProof/>
        </w:rPr>
        <w:fldChar w:fldCharType="end"/>
      </w:r>
      <w:r w:rsidRPr="00134872">
        <w:t>:</w:t>
      </w:r>
      <w:r w:rsidR="0029516D" w:rsidRPr="00134872">
        <w:t xml:space="preserve"> </w:t>
      </w:r>
      <w:r w:rsidRPr="00134872">
        <w:t xml:space="preserve">Study V130_12 </w:t>
      </w:r>
      <w:proofErr w:type="gramStart"/>
      <w:r w:rsidR="0029516D" w:rsidRPr="00134872">
        <w:t>Post</w:t>
      </w:r>
      <w:r w:rsidRPr="00134872">
        <w:t>-</w:t>
      </w:r>
      <w:r w:rsidR="0029516D" w:rsidRPr="00134872">
        <w:t>vaccination</w:t>
      </w:r>
      <w:proofErr w:type="gramEnd"/>
      <w:r w:rsidR="0029516D" w:rsidRPr="00134872">
        <w:t xml:space="preserve"> </w:t>
      </w:r>
      <w:r w:rsidRPr="00134872">
        <w:t>geometric mean titre</w:t>
      </w:r>
      <w:r w:rsidR="0029516D" w:rsidRPr="00134872">
        <w:t xml:space="preserve">, </w:t>
      </w:r>
      <w:r w:rsidRPr="00134872">
        <w:t>geometric mean ratio</w:t>
      </w:r>
      <w:r w:rsidR="0029516D" w:rsidRPr="00134872">
        <w:t>, and percentage of subjects 2 to &lt;</w:t>
      </w:r>
      <w:r w:rsidRPr="00134872">
        <w:t xml:space="preserve"> </w:t>
      </w:r>
      <w:r w:rsidR="0029516D" w:rsidRPr="00134872">
        <w:t xml:space="preserve">9 </w:t>
      </w:r>
      <w:r w:rsidRPr="00134872">
        <w:t>y</w:t>
      </w:r>
      <w:r w:rsidR="0029516D" w:rsidRPr="00134872">
        <w:t xml:space="preserve">ears of </w:t>
      </w:r>
      <w:r w:rsidRPr="00134872">
        <w:t>a</w:t>
      </w:r>
      <w:r w:rsidR="0029516D" w:rsidRPr="00134872">
        <w:t xml:space="preserve">ge with </w:t>
      </w:r>
      <w:r w:rsidRPr="00134872">
        <w:t>haemagglutination inhibition titre</w:t>
      </w:r>
      <w:r w:rsidR="0029516D" w:rsidRPr="00134872">
        <w:t xml:space="preserve"> ≥</w:t>
      </w:r>
      <w:r w:rsidRPr="00134872">
        <w:t xml:space="preserve"> </w:t>
      </w:r>
      <w:r w:rsidR="0029516D" w:rsidRPr="00134872">
        <w:t xml:space="preserve">1:40 and </w:t>
      </w:r>
      <w:r w:rsidRPr="00134872">
        <w:t>s</w:t>
      </w:r>
      <w:r w:rsidR="0029516D" w:rsidRPr="00134872">
        <w:t xml:space="preserve">eroconversion, with 95% </w:t>
      </w:r>
      <w:r w:rsidRPr="00134872">
        <w:t>confidence intervals</w:t>
      </w:r>
      <w:r w:rsidR="0029516D" w:rsidRPr="00134872">
        <w:t>, 21</w:t>
      </w:r>
      <w:r w:rsidR="007C0C7D" w:rsidRPr="00134872">
        <w:t> </w:t>
      </w:r>
      <w:r w:rsidR="0029516D" w:rsidRPr="00134872">
        <w:t>days after last vaccination (Day 22 or Day 50)</w:t>
      </w:r>
      <w:r w:rsidRPr="00134872">
        <w:t xml:space="preserve"> (</w:t>
      </w:r>
      <w:r w:rsidR="004C42DD" w:rsidRPr="00134872">
        <w:t xml:space="preserve">immunogenicity </w:t>
      </w:r>
      <w:r w:rsidRPr="00134872">
        <w:t>full analysis set</w:t>
      </w:r>
      <w:bookmarkEnd w:id="47"/>
      <w:r w:rsidR="004C42DD" w:rsidRPr="00134872">
        <w:t xml:space="preserve">, </w:t>
      </w:r>
      <w:r w:rsidRPr="00134872">
        <w:t>haemagglutination inhibition)</w:t>
      </w:r>
    </w:p>
    <w:p w14:paraId="78D89DE3" w14:textId="16EAA476" w:rsidR="0029516D" w:rsidRPr="00D011F5" w:rsidRDefault="00D011F5" w:rsidP="00134872">
      <w:r>
        <w:rPr>
          <w:noProof/>
          <w:shd w:val="clear" w:color="auto" w:fill="E6E6E6"/>
          <w:lang w:val="en-GB" w:eastAsia="en-GB"/>
        </w:rPr>
        <w:drawing>
          <wp:inline distT="0" distB="0" distL="0" distR="0" wp14:anchorId="507A5EE5" wp14:editId="74B82D12">
            <wp:extent cx="5355771" cy="4110355"/>
            <wp:effectExtent l="0" t="0" r="0" b="4445"/>
            <wp:docPr id="21" name="Picture 21" descr="Table 3: Study V130_12 Post-vaccination geometric mean titre, geometric mean ratio, and percentage of subjects 2 to &lt; 9 years of age with haemagglutination inhibition titre ≥ 1:40 and seroconversion, with 95% confidence intervals, 21 days after last vaccination (Day 22 or Day 50) (immunogenicity full analysis set, haemagglutination in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3: Study V130_12 Post-vaccination geometric mean titre, geometric mean ratio, and percentage of subjects 2 to &lt; 9 years of age with haemagglutination inhibition titre ≥ 1:40 and seroconversion, with 95% confidence intervals, 21 days after last vaccination (Day 22 or Day 50) (immunogenicity full analysis set, haemagglutination inhibition)"/>
                    <pic:cNvPicPr/>
                  </pic:nvPicPr>
                  <pic:blipFill>
                    <a:blip r:embed="rId18"/>
                    <a:stretch>
                      <a:fillRect/>
                    </a:stretch>
                  </pic:blipFill>
                  <pic:spPr>
                    <a:xfrm>
                      <a:off x="0" y="0"/>
                      <a:ext cx="5357126" cy="4111395"/>
                    </a:xfrm>
                    <a:prstGeom prst="rect">
                      <a:avLst/>
                    </a:prstGeom>
                  </pic:spPr>
                </pic:pic>
              </a:graphicData>
            </a:graphic>
          </wp:inline>
        </w:drawing>
      </w:r>
    </w:p>
    <w:p w14:paraId="6BEC17AD" w14:textId="7221831B" w:rsidR="00BE515D" w:rsidRDefault="00BB487C" w:rsidP="004C4076">
      <w:pPr>
        <w:pStyle w:val="TableDescription"/>
      </w:pPr>
      <w:r w:rsidRPr="00134872">
        <w:t xml:space="preserve">Abbreviations: </w:t>
      </w:r>
      <w:r w:rsidR="00BC24B5" w:rsidRPr="00134872">
        <w:t>CI =</w:t>
      </w:r>
      <w:r w:rsidR="00E10AC6" w:rsidRPr="00134872">
        <w:t xml:space="preserve"> confidence interval; </w:t>
      </w:r>
      <w:r w:rsidR="00BC24B5" w:rsidRPr="00134872">
        <w:t>GMR =</w:t>
      </w:r>
      <w:r w:rsidR="00E10AC6" w:rsidRPr="00134872">
        <w:t xml:space="preserve"> geometric mean ratio; </w:t>
      </w:r>
      <w:r w:rsidR="00BC24B5" w:rsidRPr="00134872">
        <w:t>GMT =</w:t>
      </w:r>
      <w:r w:rsidR="00E10AC6" w:rsidRPr="00134872">
        <w:t xml:space="preserve"> geometric mean titre; </w:t>
      </w:r>
      <w:r w:rsidR="00BC24B5" w:rsidRPr="00134872">
        <w:t>HI =</w:t>
      </w:r>
      <w:r w:rsidR="00E10AC6" w:rsidRPr="00134872">
        <w:t xml:space="preserve"> haemagglutination inhibition; N = population size; </w:t>
      </w:r>
      <w:proofErr w:type="spellStart"/>
      <w:r w:rsidR="00BC24B5" w:rsidRPr="00134872">
        <w:t>QIVc</w:t>
      </w:r>
      <w:proofErr w:type="spellEnd"/>
      <w:r w:rsidR="00BC24B5" w:rsidRPr="00134872">
        <w:t xml:space="preserve"> =</w:t>
      </w:r>
      <w:r w:rsidR="00E10AC6" w:rsidRPr="00134872">
        <w:t xml:space="preserve"> Flucelvax Quad.</w:t>
      </w:r>
    </w:p>
    <w:p w14:paraId="292DFEAF" w14:textId="28C04A5E" w:rsidR="0029516D" w:rsidRPr="00134872" w:rsidRDefault="00F178B8" w:rsidP="004C4076">
      <w:pPr>
        <w:pStyle w:val="TableTitle"/>
        <w:pageBreakBefor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4</w:t>
      </w:r>
      <w:r w:rsidR="007C1059">
        <w:rPr>
          <w:noProof/>
        </w:rPr>
        <w:fldChar w:fldCharType="end"/>
      </w:r>
      <w:r w:rsidR="0029516D" w:rsidRPr="00134872">
        <w:t xml:space="preserve">: </w:t>
      </w:r>
      <w:r w:rsidRPr="00134872">
        <w:t xml:space="preserve">Study V130_12 </w:t>
      </w:r>
      <w:proofErr w:type="gramStart"/>
      <w:r w:rsidR="0029516D" w:rsidRPr="00134872">
        <w:t>Post</w:t>
      </w:r>
      <w:r w:rsidRPr="00134872">
        <w:t>-</w:t>
      </w:r>
      <w:r w:rsidR="0029516D" w:rsidRPr="00134872">
        <w:t>vaccination</w:t>
      </w:r>
      <w:proofErr w:type="gramEnd"/>
      <w:r w:rsidR="0029516D" w:rsidRPr="00134872">
        <w:t xml:space="preserve"> </w:t>
      </w:r>
      <w:r w:rsidRPr="00134872">
        <w:t>geometric mean titre</w:t>
      </w:r>
      <w:r w:rsidR="0029516D" w:rsidRPr="00134872">
        <w:t xml:space="preserve">, </w:t>
      </w:r>
      <w:r w:rsidRPr="00134872">
        <w:t>geometric mean ratio</w:t>
      </w:r>
      <w:r w:rsidR="0029516D" w:rsidRPr="00134872">
        <w:t>, and percentage of subjects 2 to &lt;</w:t>
      </w:r>
      <w:r w:rsidR="00723E9D" w:rsidRPr="00134872">
        <w:t xml:space="preserve"> </w:t>
      </w:r>
      <w:r w:rsidR="0029516D" w:rsidRPr="00134872">
        <w:t xml:space="preserve">9 years of age with seroconversion, with 95% </w:t>
      </w:r>
      <w:r w:rsidRPr="00134872">
        <w:t>confidence intervals</w:t>
      </w:r>
      <w:r w:rsidR="0029516D" w:rsidRPr="00134872">
        <w:t xml:space="preserve">, 21 </w:t>
      </w:r>
      <w:r w:rsidRPr="00134872">
        <w:t xml:space="preserve">days after last vaccination </w:t>
      </w:r>
      <w:r w:rsidR="0029516D" w:rsidRPr="00134872">
        <w:t xml:space="preserve">(Day 22 or Day 50) </w:t>
      </w:r>
      <w:r w:rsidRPr="00134872">
        <w:t>(</w:t>
      </w:r>
      <w:r w:rsidR="004C42DD" w:rsidRPr="00134872">
        <w:t xml:space="preserve">immunogenicity </w:t>
      </w:r>
      <w:r w:rsidRPr="00134872">
        <w:t>full analysis set</w:t>
      </w:r>
      <w:r w:rsidR="004C42DD" w:rsidRPr="00134872">
        <w:t>,</w:t>
      </w:r>
      <w:r w:rsidR="0029516D" w:rsidRPr="00134872">
        <w:t xml:space="preserve"> </w:t>
      </w:r>
      <w:proofErr w:type="spellStart"/>
      <w:r w:rsidR="00565954" w:rsidRPr="00134872">
        <w:t>microneutralisation</w:t>
      </w:r>
      <w:proofErr w:type="spellEnd"/>
      <w:r w:rsidRPr="00134872">
        <w:t>)</w:t>
      </w:r>
    </w:p>
    <w:p w14:paraId="649044BB" w14:textId="7264E8D2" w:rsidR="0029516D" w:rsidRPr="00D011F5" w:rsidRDefault="00D011F5" w:rsidP="00134872">
      <w:r>
        <w:rPr>
          <w:noProof/>
          <w:shd w:val="clear" w:color="auto" w:fill="E6E6E6"/>
          <w:lang w:val="en-GB" w:eastAsia="en-GB"/>
        </w:rPr>
        <w:drawing>
          <wp:inline distT="0" distB="0" distL="0" distR="0" wp14:anchorId="12413170" wp14:editId="31C013B3">
            <wp:extent cx="5372100" cy="3070860"/>
            <wp:effectExtent l="0" t="0" r="0" b="0"/>
            <wp:docPr id="24" name="Picture 24" descr="Table 4: Study V130_12 Post-vaccination geometric mean titre, geometric mean ratio, and percentage of subjects 2 to &lt; 9 years of age with seroconversion, with 95% confidence intervals, 21 days after last vaccination (Day 22 or Day 50) (immunogenicity full analysis set, microneutr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4: Study V130_12 Post-vaccination geometric mean titre, geometric mean ratio, and percentage of subjects 2 to &lt; 9 years of age with seroconversion, with 95% confidence intervals, 21 days after last vaccination (Day 22 or Day 50) (immunogenicity full analysis set, microneutralisation)"/>
                    <pic:cNvPicPr/>
                  </pic:nvPicPr>
                  <pic:blipFill>
                    <a:blip r:embed="rId19"/>
                    <a:stretch>
                      <a:fillRect/>
                    </a:stretch>
                  </pic:blipFill>
                  <pic:spPr>
                    <a:xfrm>
                      <a:off x="0" y="0"/>
                      <a:ext cx="5372822" cy="3071273"/>
                    </a:xfrm>
                    <a:prstGeom prst="rect">
                      <a:avLst/>
                    </a:prstGeom>
                  </pic:spPr>
                </pic:pic>
              </a:graphicData>
            </a:graphic>
          </wp:inline>
        </w:drawing>
      </w:r>
    </w:p>
    <w:p w14:paraId="4078DD07" w14:textId="0FAB9D2C" w:rsidR="00BC24B5" w:rsidRPr="00134872" w:rsidRDefault="00BB487C" w:rsidP="00134872">
      <w:pPr>
        <w:pStyle w:val="TableDescription"/>
      </w:pPr>
      <w:r w:rsidRPr="00134872">
        <w:t xml:space="preserve">Abbreviations: </w:t>
      </w:r>
      <w:r w:rsidR="00E10AC6" w:rsidRPr="00134872">
        <w:t xml:space="preserve">CI = confidence interval; GMR = geometric mean ratio; </w:t>
      </w:r>
      <w:r w:rsidR="00BC24B5" w:rsidRPr="00134872">
        <w:t>GMT =</w:t>
      </w:r>
      <w:r w:rsidR="00E10AC6" w:rsidRPr="00134872">
        <w:t xml:space="preserve"> geometric mean titre; </w:t>
      </w:r>
      <w:r w:rsidR="00BC24B5" w:rsidRPr="00134872">
        <w:t xml:space="preserve">MN = </w:t>
      </w:r>
      <w:proofErr w:type="spellStart"/>
      <w:r w:rsidR="00565954" w:rsidRPr="00134872">
        <w:t>microneutralisation</w:t>
      </w:r>
      <w:proofErr w:type="spellEnd"/>
      <w:r w:rsidR="00E10AC6" w:rsidRPr="00134872">
        <w:t xml:space="preserve">; </w:t>
      </w:r>
      <w:r w:rsidR="00BC24B5" w:rsidRPr="00134872">
        <w:t>N =</w:t>
      </w:r>
      <w:r w:rsidR="00E10AC6" w:rsidRPr="00134872">
        <w:t xml:space="preserve"> population size; </w:t>
      </w:r>
      <w:proofErr w:type="spellStart"/>
      <w:r w:rsidR="00BC24B5" w:rsidRPr="00134872">
        <w:t>QIVc</w:t>
      </w:r>
      <w:proofErr w:type="spellEnd"/>
      <w:r w:rsidR="00BC24B5" w:rsidRPr="00134872">
        <w:t xml:space="preserve"> =</w:t>
      </w:r>
      <w:r w:rsidR="00E10AC6" w:rsidRPr="00134872">
        <w:t xml:space="preserve"> Flucelvax Quad.</w:t>
      </w:r>
    </w:p>
    <w:p w14:paraId="0DA9ACE1" w14:textId="25153146" w:rsidR="0029516D" w:rsidRPr="00505BA7" w:rsidRDefault="0029516D" w:rsidP="00505BA7">
      <w:r w:rsidRPr="00505BA7">
        <w:t xml:space="preserve">Based on the HI assay, those that received </w:t>
      </w:r>
      <w:r w:rsidR="00D5036B">
        <w:t>Flucelvax Quad</w:t>
      </w:r>
      <w:r w:rsidRPr="00505BA7">
        <w:t xml:space="preserve"> showed increased GMT and %</w:t>
      </w:r>
      <w:r w:rsidR="00913EF3">
        <w:t> </w:t>
      </w:r>
      <w:r w:rsidRPr="00505BA7">
        <w:t>HI titres ≥</w:t>
      </w:r>
      <w:r w:rsidR="00913EF3">
        <w:t xml:space="preserve"> </w:t>
      </w:r>
      <w:r w:rsidRPr="00505BA7">
        <w:t xml:space="preserve">1:40 between the </w:t>
      </w:r>
      <w:r w:rsidR="009D2250" w:rsidRPr="00505BA7">
        <w:t>Baseline</w:t>
      </w:r>
      <w:r w:rsidRPr="00505BA7">
        <w:t xml:space="preserve"> (Day 1) and 3</w:t>
      </w:r>
      <w:r w:rsidR="00913EF3">
        <w:t xml:space="preserve"> </w:t>
      </w:r>
      <w:r w:rsidRPr="00505BA7">
        <w:t>weeks post the last dose (Day 22 for those vaccinated previously, and Day 50 for vaccine naïve subjects), whereas the comparator (Menveo</w:t>
      </w:r>
      <w:r w:rsidR="00FE2C7E">
        <w:t>,</w:t>
      </w:r>
      <w:bookmarkStart w:id="48" w:name="_Ref103260729"/>
      <w:r w:rsidR="00FE2C7E">
        <w:rPr>
          <w:rStyle w:val="FootnoteReference"/>
        </w:rPr>
        <w:footnoteReference w:id="20"/>
      </w:r>
      <w:bookmarkEnd w:id="48"/>
      <w:r w:rsidR="00FE2C7E" w:rsidRPr="00FE2C7E">
        <w:t xml:space="preserve"> </w:t>
      </w:r>
      <w:r w:rsidR="00FE2C7E">
        <w:t>m</w:t>
      </w:r>
      <w:r w:rsidR="00FE2C7E" w:rsidRPr="00505BA7">
        <w:t>eningococcal ACWY vaccine</w:t>
      </w:r>
      <w:r w:rsidRPr="00505BA7">
        <w:t>) group showed no noticeable change in these parameters.</w:t>
      </w:r>
      <w:r w:rsidR="009D2250">
        <w:t xml:space="preserve"> </w:t>
      </w:r>
      <w:r w:rsidRPr="00505BA7">
        <w:t xml:space="preserve">In addition, the </w:t>
      </w:r>
      <w:r w:rsidR="00D5036B">
        <w:t>Flucelvax Quad</w:t>
      </w:r>
      <w:r w:rsidRPr="00505BA7">
        <w:t xml:space="preserve"> group also showed higher GMR and seroconversion rate than the comparator group.</w:t>
      </w:r>
      <w:r w:rsidR="009D2250">
        <w:t xml:space="preserve"> </w:t>
      </w:r>
      <w:r w:rsidRPr="00505BA7">
        <w:t xml:space="preserve">These increases in the </w:t>
      </w:r>
      <w:r w:rsidR="00D5036B">
        <w:t>Flucelvax Quad</w:t>
      </w:r>
      <w:r w:rsidRPr="00505BA7">
        <w:t xml:space="preserve"> group were consistent for all four strains in both seasons, </w:t>
      </w:r>
      <w:proofErr w:type="gramStart"/>
      <w:r w:rsidRPr="00505BA7">
        <w:t>with the exception of</w:t>
      </w:r>
      <w:proofErr w:type="gramEnd"/>
      <w:r w:rsidRPr="00505BA7">
        <w:t xml:space="preserve"> A/H3N2 %</w:t>
      </w:r>
      <w:r w:rsidR="00913EF3">
        <w:t> </w:t>
      </w:r>
      <w:r w:rsidRPr="00505BA7">
        <w:t>HI titre ≥</w:t>
      </w:r>
      <w:r w:rsidR="00913EF3">
        <w:t xml:space="preserve"> </w:t>
      </w:r>
      <w:r w:rsidRPr="00505BA7">
        <w:t xml:space="preserve">1:40 in Season 2 (Day 1 % HI titre </w:t>
      </w:r>
      <w:r w:rsidR="00913EF3">
        <w:t>≥</w:t>
      </w:r>
      <w:r w:rsidRPr="00505BA7">
        <w:t xml:space="preserve"> 1:40 was more than 90% for both </w:t>
      </w:r>
      <w:r w:rsidR="00D5036B">
        <w:t>Flucelvax Quad</w:t>
      </w:r>
      <w:r w:rsidRPr="00505BA7">
        <w:t xml:space="preserve"> and comparator groups; Day 22/50 value 90.0% for </w:t>
      </w:r>
      <w:r w:rsidR="00D5036B">
        <w:t>Flucelvax Quad</w:t>
      </w:r>
      <w:r w:rsidRPr="00505BA7">
        <w:t xml:space="preserve"> </w:t>
      </w:r>
      <w:r w:rsidR="00913EF3">
        <w:t>versu</w:t>
      </w:r>
      <w:r w:rsidRPr="00505BA7">
        <w:t>s 92.4% for comparator).</w:t>
      </w:r>
      <w:r w:rsidR="009D2250">
        <w:t xml:space="preserve"> </w:t>
      </w:r>
      <w:r w:rsidRPr="00505BA7">
        <w:t xml:space="preserve">It was also noted that the </w:t>
      </w:r>
      <w:r w:rsidR="00D5036B">
        <w:t>Flucelvax Quad</w:t>
      </w:r>
      <w:r w:rsidRPr="00505BA7">
        <w:t xml:space="preserve"> group’s seroconversion rate for A/H3N2 strain in Season 2 was also particularly low, but still higher than the comparator group (19.0% </w:t>
      </w:r>
      <w:r w:rsidR="00913EF3">
        <w:t>versus</w:t>
      </w:r>
      <w:r w:rsidRPr="00505BA7">
        <w:t xml:space="preserve"> 1.9%).</w:t>
      </w:r>
    </w:p>
    <w:p w14:paraId="4159D947" w14:textId="476229E9" w:rsidR="0029516D" w:rsidRPr="00505BA7" w:rsidRDefault="0029516D" w:rsidP="00505BA7">
      <w:r w:rsidRPr="00505BA7">
        <w:t>The study further characterised the immune response in a subset of subjects 2 to &lt;</w:t>
      </w:r>
      <w:r w:rsidR="00913EF3">
        <w:t xml:space="preserve"> </w:t>
      </w:r>
      <w:r w:rsidRPr="00505BA7">
        <w:t>9</w:t>
      </w:r>
      <w:r w:rsidR="007C0C7D">
        <w:t> </w:t>
      </w:r>
      <w:r w:rsidRPr="00505BA7">
        <w:t xml:space="preserve">years of age using </w:t>
      </w:r>
      <w:proofErr w:type="spellStart"/>
      <w:r w:rsidR="00565954" w:rsidRPr="00565954">
        <w:t>microneutrali</w:t>
      </w:r>
      <w:r w:rsidR="00565954">
        <w:t>s</w:t>
      </w:r>
      <w:r w:rsidR="00565954" w:rsidRPr="00565954">
        <w:t>ation</w:t>
      </w:r>
      <w:proofErr w:type="spellEnd"/>
      <w:r w:rsidRPr="00505BA7">
        <w:t xml:space="preserve"> assay.</w:t>
      </w:r>
      <w:r w:rsidR="009D2250">
        <w:t xml:space="preserve"> </w:t>
      </w:r>
      <w:r w:rsidRPr="00505BA7">
        <w:t>This assay was used to measure neutralising antibody titres against each of the 4 strains of virus in the vaccines in Season 2 and 3 in all available serum samples from subjects enrolled in the immunogenicity subset.</w:t>
      </w:r>
      <w:r w:rsidR="009D2250">
        <w:t xml:space="preserve"> </w:t>
      </w:r>
      <w:r w:rsidRPr="00505BA7">
        <w:t xml:space="preserve">The </w:t>
      </w:r>
      <w:proofErr w:type="spellStart"/>
      <w:r w:rsidR="00565954" w:rsidRPr="00565954">
        <w:t>microneutrali</w:t>
      </w:r>
      <w:r w:rsidR="00565954">
        <w:t>s</w:t>
      </w:r>
      <w:r w:rsidR="00565954" w:rsidRPr="00565954">
        <w:t>ation</w:t>
      </w:r>
      <w:proofErr w:type="spellEnd"/>
      <w:r w:rsidRPr="00505BA7">
        <w:t xml:space="preserve"> assay results are also presented as descriptive statistics. Based on the </w:t>
      </w:r>
      <w:proofErr w:type="spellStart"/>
      <w:r w:rsidR="00565954" w:rsidRPr="00565954">
        <w:t>microneutrali</w:t>
      </w:r>
      <w:r w:rsidR="00565954">
        <w:t>s</w:t>
      </w:r>
      <w:r w:rsidR="00565954" w:rsidRPr="00565954">
        <w:t>ation</w:t>
      </w:r>
      <w:proofErr w:type="spellEnd"/>
      <w:r w:rsidRPr="00505BA7">
        <w:t xml:space="preserve"> assay, the change in GMT between Day 1 and Day 22/50 was greater in the </w:t>
      </w:r>
      <w:r w:rsidR="00D5036B">
        <w:t>Flucelvax Quad</w:t>
      </w:r>
      <w:r w:rsidRPr="00505BA7">
        <w:t xml:space="preserve"> group.</w:t>
      </w:r>
      <w:r w:rsidR="009D2250">
        <w:t xml:space="preserve"> </w:t>
      </w:r>
      <w:r w:rsidRPr="00505BA7">
        <w:t>This was also the case for other parameters such as GMR and percentage of subjects with at least 4</w:t>
      </w:r>
      <w:r w:rsidR="00337DC9">
        <w:t>-</w:t>
      </w:r>
      <w:r w:rsidRPr="00505BA7">
        <w:t xml:space="preserve">fold rise in the </w:t>
      </w:r>
      <w:proofErr w:type="spellStart"/>
      <w:r w:rsidR="00565954" w:rsidRPr="00565954">
        <w:t>microneutrali</w:t>
      </w:r>
      <w:r w:rsidR="00565954">
        <w:t>s</w:t>
      </w:r>
      <w:r w:rsidR="00565954" w:rsidRPr="00565954">
        <w:t>ation</w:t>
      </w:r>
      <w:proofErr w:type="spellEnd"/>
      <w:r w:rsidRPr="00505BA7">
        <w:t xml:space="preserve"> titre between Day</w:t>
      </w:r>
      <w:r w:rsidR="00337DC9">
        <w:t> </w:t>
      </w:r>
      <w:r w:rsidRPr="00505BA7">
        <w:t>1 and Day 22/50.</w:t>
      </w:r>
    </w:p>
    <w:p w14:paraId="2EF152B5" w14:textId="77777777" w:rsidR="0029516D" w:rsidRPr="00505BA7" w:rsidRDefault="0029516D" w:rsidP="00505BA7">
      <w:pPr>
        <w:pStyle w:val="Heading4"/>
      </w:pPr>
      <w:r w:rsidRPr="00505BA7">
        <w:lastRenderedPageBreak/>
        <w:t>Efficacy</w:t>
      </w:r>
    </w:p>
    <w:p w14:paraId="7AFEC264" w14:textId="6E34C98B" w:rsidR="0029516D" w:rsidRPr="00E47073" w:rsidRDefault="0029516D" w:rsidP="00505BA7">
      <w:pPr>
        <w:pStyle w:val="Heading5"/>
      </w:pPr>
      <w:r w:rsidRPr="00E47073">
        <w:t xml:space="preserve">Dose </w:t>
      </w:r>
      <w:r w:rsidR="00913EF3">
        <w:t>s</w:t>
      </w:r>
      <w:r w:rsidRPr="00E47073">
        <w:t>election</w:t>
      </w:r>
    </w:p>
    <w:p w14:paraId="1A7471F6" w14:textId="34C439CE" w:rsidR="0029516D" w:rsidRPr="00505BA7" w:rsidRDefault="0029516D" w:rsidP="00505BA7">
      <w:r w:rsidRPr="00505BA7">
        <w:t>There was no dose selection investigation performed in Study V130_12.</w:t>
      </w:r>
      <w:r w:rsidR="009D2250">
        <w:t xml:space="preserve"> </w:t>
      </w:r>
      <w:r w:rsidRPr="00505BA7">
        <w:t>Subjects received either one or two doses (≥</w:t>
      </w:r>
      <w:r w:rsidR="00913EF3">
        <w:t xml:space="preserve"> </w:t>
      </w:r>
      <w:r w:rsidRPr="00505BA7">
        <w:t>4 weeks apart) of 0.5</w:t>
      </w:r>
      <w:r w:rsidR="00913EF3">
        <w:t xml:space="preserve"> </w:t>
      </w:r>
      <w:r w:rsidRPr="00505BA7">
        <w:t>mL of the study vaccine based on their previous influenza vaccine status.</w:t>
      </w:r>
      <w:r w:rsidR="009D2250">
        <w:t xml:space="preserve"> </w:t>
      </w:r>
      <w:r w:rsidRPr="00505BA7">
        <w:t xml:space="preserve">This is in accordance with </w:t>
      </w:r>
      <w:r w:rsidRPr="003D5BAB">
        <w:t>the US Advisory Committee on Immunization Practices paediatric influenza vaccine dosing recommendations</w:t>
      </w:r>
      <w:r w:rsidR="009D2250" w:rsidRPr="003D5BAB">
        <w:t xml:space="preserve"> </w:t>
      </w:r>
      <w:r w:rsidRPr="003D5BAB">
        <w:t>and consistent with international guidelines.</w:t>
      </w:r>
      <w:r w:rsidRPr="003D5BAB">
        <w:rPr>
          <w:vertAlign w:val="superscript"/>
        </w:rPr>
        <w:footnoteReference w:id="21"/>
      </w:r>
      <w:r w:rsidR="009D2250" w:rsidRPr="003D5BAB">
        <w:t xml:space="preserve"> </w:t>
      </w:r>
      <w:r w:rsidRPr="003D5BAB">
        <w:t>Such dosing regimen is</w:t>
      </w:r>
      <w:r w:rsidRPr="00505BA7">
        <w:t xml:space="preserve"> also consistent with other influenza vaccine products approved for children in this age group.</w:t>
      </w:r>
    </w:p>
    <w:p w14:paraId="677E8A10" w14:textId="5F38272A" w:rsidR="0029516D" w:rsidRPr="00913EF3" w:rsidRDefault="0029516D" w:rsidP="00913EF3">
      <w:r w:rsidRPr="00913EF3">
        <w:t>Study V130_12</w:t>
      </w:r>
      <w:r w:rsidR="00913EF3" w:rsidRPr="00913EF3">
        <w:t xml:space="preserve"> is a</w:t>
      </w:r>
      <w:r w:rsidRPr="00913EF3">
        <w:t xml:space="preserve"> Phase III/IV, </w:t>
      </w:r>
      <w:r w:rsidR="00913EF3" w:rsidRPr="00913EF3">
        <w:t>stratified, randomi</w:t>
      </w:r>
      <w:r w:rsidR="00913EF3">
        <w:t>s</w:t>
      </w:r>
      <w:r w:rsidR="00913EF3" w:rsidRPr="00913EF3">
        <w:t xml:space="preserve">ed, observer blind, multicentre clinical study to evaluate the efficacy, </w:t>
      </w:r>
      <w:proofErr w:type="gramStart"/>
      <w:r w:rsidR="00913EF3" w:rsidRPr="00913EF3">
        <w:t>safety</w:t>
      </w:r>
      <w:proofErr w:type="gramEnd"/>
      <w:r w:rsidR="00913EF3" w:rsidRPr="00913EF3">
        <w:t xml:space="preserve"> and immunogenicity of a cell</w:t>
      </w:r>
      <w:r w:rsidR="008406BB">
        <w:t>-</w:t>
      </w:r>
      <w:r w:rsidR="00913EF3" w:rsidRPr="00913EF3">
        <w:t>based quadrivalent subunit influenza virus vaccine compared to non-influenza comparator vaccine in subjects ≥</w:t>
      </w:r>
      <w:r w:rsidR="00337DC9">
        <w:t> </w:t>
      </w:r>
      <w:r w:rsidR="00913EF3" w:rsidRPr="00913EF3">
        <w:t>2 years to &lt;</w:t>
      </w:r>
      <w:r w:rsidR="00913EF3">
        <w:t xml:space="preserve"> </w:t>
      </w:r>
      <w:r w:rsidR="00913EF3" w:rsidRPr="00913EF3">
        <w:t>18 years of age</w:t>
      </w:r>
      <w:r w:rsidR="00913EF3">
        <w:t>.</w:t>
      </w:r>
    </w:p>
    <w:p w14:paraId="7C8383AB" w14:textId="41B07542" w:rsidR="0029516D" w:rsidRPr="00505BA7" w:rsidRDefault="0029516D" w:rsidP="00913EF3">
      <w:pPr>
        <w:pStyle w:val="Heading5"/>
      </w:pPr>
      <w:r w:rsidRPr="00505BA7">
        <w:t xml:space="preserve">Study </w:t>
      </w:r>
      <w:r w:rsidR="00913EF3">
        <w:t>p</w:t>
      </w:r>
      <w:r w:rsidRPr="00505BA7">
        <w:t>articipants</w:t>
      </w:r>
    </w:p>
    <w:p w14:paraId="66925217" w14:textId="77777777" w:rsidR="00913EF3" w:rsidRDefault="0029516D" w:rsidP="00913EF3">
      <w:pPr>
        <w:pStyle w:val="Heading6"/>
      </w:pPr>
      <w:r w:rsidRPr="00505BA7">
        <w:t>Planned</w:t>
      </w:r>
    </w:p>
    <w:p w14:paraId="5C5F2903" w14:textId="19DBE498" w:rsidR="0029516D" w:rsidRPr="00505BA7" w:rsidRDefault="0029516D" w:rsidP="00505BA7">
      <w:r w:rsidRPr="00505BA7">
        <w:t>Approximately 7692 healthy male and female subjects between 2 and &lt;</w:t>
      </w:r>
      <w:r w:rsidR="00913EF3">
        <w:t xml:space="preserve"> </w:t>
      </w:r>
      <w:r w:rsidRPr="00505BA7">
        <w:t>18 years of age were planned to be enrolled, randomi</w:t>
      </w:r>
      <w:r w:rsidR="00913EF3">
        <w:t>s</w:t>
      </w:r>
      <w:r w:rsidRPr="00505BA7">
        <w:t xml:space="preserve">ed 1:1 between </w:t>
      </w:r>
      <w:r w:rsidR="00D5036B">
        <w:t>Flucelvax Quad</w:t>
      </w:r>
      <w:r w:rsidRPr="00505BA7">
        <w:t xml:space="preserve"> and the comparator group (receiving </w:t>
      </w:r>
      <w:r w:rsidR="001A7E96">
        <w:t xml:space="preserve">Menveo, </w:t>
      </w:r>
      <w:r w:rsidRPr="00505BA7">
        <w:t xml:space="preserve">a </w:t>
      </w:r>
      <w:r w:rsidR="001A7E96">
        <w:t>licensed (</w:t>
      </w:r>
      <w:r w:rsidRPr="00505BA7">
        <w:t>non-influenza</w:t>
      </w:r>
      <w:r w:rsidR="001A7E96">
        <w:t>)</w:t>
      </w:r>
      <w:r w:rsidRPr="00505BA7">
        <w:t xml:space="preserve"> </w:t>
      </w:r>
      <w:r w:rsidR="001A7E96">
        <w:t>meningitis vaccine</w:t>
      </w:r>
      <w:r w:rsidRPr="003D5BAB">
        <w:t>)</w:t>
      </w:r>
      <w:r w:rsidR="00FE2C7E" w:rsidRPr="00FE2C7E">
        <w:rPr>
          <w:color w:val="2B579A"/>
          <w:shd w:val="clear" w:color="auto" w:fill="E6E6E6"/>
          <w:vertAlign w:val="superscript"/>
        </w:rPr>
        <w:fldChar w:fldCharType="begin"/>
      </w:r>
      <w:r w:rsidR="00FE2C7E" w:rsidRPr="00FE2C7E">
        <w:rPr>
          <w:vertAlign w:val="superscript"/>
        </w:rPr>
        <w:instrText xml:space="preserve"> NOTEREF _Ref103260729 \h </w:instrText>
      </w:r>
      <w:r w:rsidR="00FE2C7E">
        <w:rPr>
          <w:vertAlign w:val="superscript"/>
        </w:rPr>
        <w:instrText xml:space="preserve"> \* MERGEFORMAT </w:instrText>
      </w:r>
      <w:r w:rsidR="00FE2C7E" w:rsidRPr="00FE2C7E">
        <w:rPr>
          <w:color w:val="2B579A"/>
          <w:shd w:val="clear" w:color="auto" w:fill="E6E6E6"/>
          <w:vertAlign w:val="superscript"/>
        </w:rPr>
      </w:r>
      <w:r w:rsidR="00FE2C7E" w:rsidRPr="00FE2C7E">
        <w:rPr>
          <w:color w:val="2B579A"/>
          <w:shd w:val="clear" w:color="auto" w:fill="E6E6E6"/>
          <w:vertAlign w:val="superscript"/>
        </w:rPr>
        <w:fldChar w:fldCharType="separate"/>
      </w:r>
      <w:r w:rsidR="0028296F">
        <w:rPr>
          <w:vertAlign w:val="superscript"/>
        </w:rPr>
        <w:t>19</w:t>
      </w:r>
      <w:r w:rsidR="00FE2C7E" w:rsidRPr="00FE2C7E">
        <w:rPr>
          <w:color w:val="2B579A"/>
          <w:shd w:val="clear" w:color="auto" w:fill="E6E6E6"/>
          <w:vertAlign w:val="superscript"/>
        </w:rPr>
        <w:fldChar w:fldCharType="end"/>
      </w:r>
      <w:r w:rsidRPr="003D5BAB">
        <w:t>, over</w:t>
      </w:r>
      <w:r w:rsidRPr="00505BA7">
        <w:t xml:space="preserve"> a minimum of 3 influenza seasons. A subset of subjects was required to provide a blood sample and immunogenicity assessments were to be conducted. The subset was to comprise a total of maximum 444</w:t>
      </w:r>
      <w:r w:rsidR="00913EF3">
        <w:t> </w:t>
      </w:r>
      <w:r w:rsidRPr="00505BA7">
        <w:t>subjects per season in the 2 to &lt;</w:t>
      </w:r>
      <w:r w:rsidR="00913EF3">
        <w:t xml:space="preserve"> </w:t>
      </w:r>
      <w:r w:rsidRPr="00505BA7">
        <w:t>9 years of age cohort for the second and for the third season.</w:t>
      </w:r>
    </w:p>
    <w:p w14:paraId="0E1DB1AD" w14:textId="77777777" w:rsidR="00913EF3" w:rsidRDefault="0029516D" w:rsidP="00913EF3">
      <w:pPr>
        <w:pStyle w:val="Heading6"/>
      </w:pPr>
      <w:r w:rsidRPr="00505BA7">
        <w:t>Analysed</w:t>
      </w:r>
    </w:p>
    <w:p w14:paraId="49B53586" w14:textId="51A252F0" w:rsidR="0029516D" w:rsidRPr="00505BA7" w:rsidRDefault="0029516D" w:rsidP="00505BA7">
      <w:r w:rsidRPr="00505BA7">
        <w:t>A total of 4514 subjects 2 to &lt;</w:t>
      </w:r>
      <w:r w:rsidR="00913EF3">
        <w:t xml:space="preserve"> </w:t>
      </w:r>
      <w:r w:rsidRPr="00505BA7">
        <w:t>18 years of age were enrolled and randomi</w:t>
      </w:r>
      <w:r w:rsidR="00913EF3">
        <w:t>s</w:t>
      </w:r>
      <w:r w:rsidRPr="00505BA7">
        <w:t xml:space="preserve">ed into the study to receive </w:t>
      </w:r>
      <w:r w:rsidR="00D5036B">
        <w:t>Flucelvax Quad</w:t>
      </w:r>
      <w:r w:rsidRPr="00505BA7">
        <w:t xml:space="preserve"> or comparator vaccine. Of these, 4513 subjects were exposed to study treatments (2258 received </w:t>
      </w:r>
      <w:r w:rsidR="00D5036B">
        <w:t>Flucelvax Quad</w:t>
      </w:r>
      <w:r w:rsidRPr="00505BA7">
        <w:t xml:space="preserve"> and 2255 received comparator). In total, 721 subjects 2 to &lt;</w:t>
      </w:r>
      <w:r w:rsidR="00913EF3">
        <w:t xml:space="preserve"> </w:t>
      </w:r>
      <w:r w:rsidRPr="00505BA7">
        <w:t xml:space="preserve">9 years of age were included in the immunogenicity analyses (364 received </w:t>
      </w:r>
      <w:r w:rsidR="00D5036B">
        <w:t>Flucelvax Quad</w:t>
      </w:r>
      <w:r w:rsidRPr="00505BA7">
        <w:t xml:space="preserve"> and 357 received comparator</w:t>
      </w:r>
      <w:r w:rsidR="000039F9">
        <w:t>)</w:t>
      </w:r>
      <w:r w:rsidR="00913EF3">
        <w:t>.</w:t>
      </w:r>
    </w:p>
    <w:p w14:paraId="47D342ED" w14:textId="51487008" w:rsidR="0029516D" w:rsidRPr="00505BA7" w:rsidRDefault="0029516D" w:rsidP="00913EF3">
      <w:pPr>
        <w:pStyle w:val="Heading6"/>
      </w:pPr>
      <w:r w:rsidRPr="00505BA7">
        <w:t xml:space="preserve">Inclusion </w:t>
      </w:r>
      <w:r w:rsidR="00913EF3">
        <w:t>c</w:t>
      </w:r>
      <w:r w:rsidRPr="00505BA7">
        <w:t>riteria</w:t>
      </w:r>
    </w:p>
    <w:p w14:paraId="0EBB517F" w14:textId="62FED445" w:rsidR="0029516D" w:rsidRPr="00505BA7" w:rsidRDefault="0029516D" w:rsidP="00505BA7">
      <w:r w:rsidRPr="00505BA7">
        <w:t>Healthy male and female subjects between 2 to &lt;</w:t>
      </w:r>
      <w:r w:rsidR="00913EF3">
        <w:t xml:space="preserve"> </w:t>
      </w:r>
      <w:r w:rsidRPr="00505BA7">
        <w:t>18 years of age on the day of the first study vaccination.</w:t>
      </w:r>
    </w:p>
    <w:p w14:paraId="43322EFB" w14:textId="710EA381" w:rsidR="0029516D" w:rsidRPr="00505BA7" w:rsidRDefault="0029516D" w:rsidP="00913EF3">
      <w:pPr>
        <w:pStyle w:val="Heading6"/>
      </w:pPr>
      <w:r w:rsidRPr="00505BA7">
        <w:t xml:space="preserve">Exclusion </w:t>
      </w:r>
      <w:r w:rsidR="00913EF3">
        <w:t>c</w:t>
      </w:r>
      <w:r w:rsidRPr="00505BA7">
        <w:t>riteria</w:t>
      </w:r>
    </w:p>
    <w:p w14:paraId="774135B6" w14:textId="77165D26" w:rsidR="0029516D" w:rsidRPr="00505BA7" w:rsidRDefault="0029516D" w:rsidP="00505BA7">
      <w:proofErr w:type="gramStart"/>
      <w:r w:rsidRPr="00505BA7">
        <w:t>In order to</w:t>
      </w:r>
      <w:proofErr w:type="gramEnd"/>
      <w:r w:rsidRPr="00505BA7">
        <w:t xml:space="preserve"> participate in this study, all subjects must meet </w:t>
      </w:r>
      <w:r w:rsidR="00913EF3" w:rsidRPr="00505BA7">
        <w:t xml:space="preserve">none </w:t>
      </w:r>
      <w:r w:rsidRPr="00505BA7">
        <w:t>of the exclusion criteria described</w:t>
      </w:r>
      <w:r w:rsidR="00913EF3">
        <w:t xml:space="preserve"> below</w:t>
      </w:r>
      <w:r w:rsidRPr="00505BA7">
        <w:t>.</w:t>
      </w:r>
    </w:p>
    <w:p w14:paraId="1BB681DA" w14:textId="2626F9D8" w:rsidR="0029516D" w:rsidRPr="00505BA7" w:rsidRDefault="0029516D" w:rsidP="00505BA7">
      <w:pPr>
        <w:pStyle w:val="ListBullet"/>
      </w:pPr>
      <w:r w:rsidRPr="00505BA7">
        <w:t>Clinical signs of fever and/or an oral temperature of ≥</w:t>
      </w:r>
      <w:r w:rsidR="00913EF3">
        <w:t xml:space="preserve"> </w:t>
      </w:r>
      <w:r w:rsidRPr="00505BA7">
        <w:t>38.0°C within 3 days prior to vaccination</w:t>
      </w:r>
      <w:r w:rsidR="00913EF3">
        <w:t>.</w:t>
      </w:r>
    </w:p>
    <w:p w14:paraId="43A0500D" w14:textId="31F404FE" w:rsidR="0029516D" w:rsidRPr="00505BA7" w:rsidRDefault="0029516D" w:rsidP="00505BA7">
      <w:pPr>
        <w:pStyle w:val="ListBullet"/>
      </w:pPr>
      <w:r w:rsidRPr="00505BA7">
        <w:t>Received influenza vaccination or had documented influenza disease in the last 6</w:t>
      </w:r>
      <w:r w:rsidR="00913EF3">
        <w:t> </w:t>
      </w:r>
      <w:r w:rsidRPr="00505BA7">
        <w:t>months</w:t>
      </w:r>
      <w:r w:rsidR="00913EF3">
        <w:t>.</w:t>
      </w:r>
    </w:p>
    <w:p w14:paraId="782BE3FA" w14:textId="1B0B2DBF" w:rsidR="0029516D" w:rsidRPr="00505BA7" w:rsidRDefault="0029516D" w:rsidP="00505BA7">
      <w:pPr>
        <w:pStyle w:val="ListBullet"/>
      </w:pPr>
      <w:r w:rsidRPr="00505BA7">
        <w:t xml:space="preserve">Received prior </w:t>
      </w:r>
      <w:r w:rsidR="001A7E96">
        <w:t>m</w:t>
      </w:r>
      <w:r w:rsidRPr="00505BA7">
        <w:t>eningococcal ACWY vaccination that conflicted with national recommendations or local practices for the timing of the primary or the booster vaccination</w:t>
      </w:r>
      <w:r w:rsidR="00337DC9">
        <w:t>.</w:t>
      </w:r>
    </w:p>
    <w:p w14:paraId="46D5E52E" w14:textId="66D19077" w:rsidR="0029516D" w:rsidRPr="00505BA7" w:rsidRDefault="0029516D" w:rsidP="00505BA7">
      <w:pPr>
        <w:pStyle w:val="ListBullet"/>
      </w:pPr>
      <w:r w:rsidRPr="00505BA7">
        <w:t>A known history of any anaphylaxis, serious vaccine reactions or hypersensitivity to any of the vaccine components</w:t>
      </w:r>
      <w:r w:rsidR="00913EF3">
        <w:t>.</w:t>
      </w:r>
    </w:p>
    <w:p w14:paraId="16C5FD31" w14:textId="4A62D5D5" w:rsidR="0029516D" w:rsidRPr="00505BA7" w:rsidRDefault="0029516D" w:rsidP="00505BA7">
      <w:pPr>
        <w:pStyle w:val="ListBullet"/>
      </w:pPr>
      <w:r w:rsidRPr="00505BA7">
        <w:lastRenderedPageBreak/>
        <w:t>Medical conditions or treatments contraindicating intramuscular vaccination.</w:t>
      </w:r>
    </w:p>
    <w:p w14:paraId="448EEE5B" w14:textId="4CB21908" w:rsidR="0029516D" w:rsidRPr="00505BA7" w:rsidRDefault="0029516D" w:rsidP="00505BA7">
      <w:pPr>
        <w:pStyle w:val="ListBullet"/>
      </w:pPr>
      <w:r w:rsidRPr="00505BA7">
        <w:t>Any clinical condition that, in the opinion of the investigator, may have interfered with the results of the study or pose additional risk to the subject due to participation in the study.</w:t>
      </w:r>
    </w:p>
    <w:p w14:paraId="3A5B03AF" w14:textId="77777777" w:rsidR="0029516D" w:rsidRPr="00505BA7" w:rsidRDefault="0029516D" w:rsidP="00913EF3">
      <w:pPr>
        <w:pStyle w:val="Heading6"/>
      </w:pPr>
      <w:r w:rsidRPr="00505BA7">
        <w:t>Treatments</w:t>
      </w:r>
    </w:p>
    <w:p w14:paraId="50A91642" w14:textId="2B7E61E6" w:rsidR="0029516D" w:rsidRPr="00505BA7" w:rsidRDefault="3DA4130C" w:rsidP="00B64CCE">
      <w:r w:rsidRPr="00505BA7">
        <w:t xml:space="preserve">The two treatments consist of </w:t>
      </w:r>
      <w:r w:rsidR="008435C6">
        <w:t xml:space="preserve">an </w:t>
      </w:r>
      <w:r w:rsidR="00B278D6">
        <w:t>influenza vaccine (</w:t>
      </w:r>
      <w:r w:rsidR="222658CB">
        <w:t>Flucelvax Quad</w:t>
      </w:r>
      <w:r w:rsidR="00B278D6">
        <w:t>)</w:t>
      </w:r>
      <w:r w:rsidRPr="00505BA7">
        <w:t xml:space="preserve"> and a non-influenza vaccine (</w:t>
      </w:r>
      <w:r w:rsidR="001A7E96">
        <w:t>m</w:t>
      </w:r>
      <w:r w:rsidRPr="00505BA7">
        <w:t xml:space="preserve">eningococcal ACWY vaccine, Menveo). The placebo for subjects in </w:t>
      </w:r>
      <w:r w:rsidR="3C90DFAF">
        <w:t>the non</w:t>
      </w:r>
      <w:r w:rsidR="00337DC9">
        <w:noBreakHyphen/>
      </w:r>
      <w:r w:rsidR="08F1638A">
        <w:t>influenza comparator</w:t>
      </w:r>
      <w:r w:rsidRPr="00505BA7">
        <w:t xml:space="preserve"> group, who were not previously vaccinated and received a second vaccination for blinding purposes, was a 0.9% saline for injection, clear, colourless liquid. The dose administered was 0.5 </w:t>
      </w:r>
      <w:proofErr w:type="spellStart"/>
      <w:r w:rsidRPr="00505BA7">
        <w:t>m</w:t>
      </w:r>
      <w:r w:rsidR="00B278D6">
        <w:t>L</w:t>
      </w:r>
      <w:r w:rsidRPr="00505BA7">
        <w:t>.</w:t>
      </w:r>
      <w:proofErr w:type="spellEnd"/>
      <w:r w:rsidRPr="00505BA7">
        <w:t xml:space="preserve"> Vaccination was performed intramuscularly, preferably in the deltoid muscle of the non</w:t>
      </w:r>
      <w:r w:rsidR="00913EF3">
        <w:noBreakHyphen/>
      </w:r>
      <w:r w:rsidRPr="00505BA7">
        <w:t>dominant arm.</w:t>
      </w:r>
    </w:p>
    <w:p w14:paraId="01C7B8F9" w14:textId="5F2B48C4" w:rsidR="0029516D" w:rsidRPr="00505BA7" w:rsidRDefault="0029516D" w:rsidP="00505BA7">
      <w:r w:rsidRPr="00505BA7">
        <w:t xml:space="preserve">The active substance consisted of 15 </w:t>
      </w:r>
      <w:proofErr w:type="spellStart"/>
      <w:r w:rsidRPr="00505BA7">
        <w:t>μg</w:t>
      </w:r>
      <w:proofErr w:type="spellEnd"/>
      <w:r w:rsidRPr="00505BA7">
        <w:t xml:space="preserve"> of </w:t>
      </w:r>
      <w:r w:rsidR="00D219D9">
        <w:t>h</w:t>
      </w:r>
      <w:r w:rsidR="00D219D9" w:rsidRPr="0083135E">
        <w:t>aemagglutinin</w:t>
      </w:r>
      <w:r w:rsidRPr="00505BA7">
        <w:t xml:space="preserve"> of each of the four viral strains recommended by the WHO and CHMP for the 2017 season in the Southern Hemisphere, and seasons 2017/2018 and 2018/2019 in the Northern Hemisphere.</w:t>
      </w:r>
    </w:p>
    <w:p w14:paraId="660FD783" w14:textId="1A937EF1" w:rsidR="0029516D" w:rsidRPr="00505BA7" w:rsidRDefault="0029516D" w:rsidP="00913EF3">
      <w:pPr>
        <w:pStyle w:val="Heading6"/>
      </w:pPr>
      <w:r w:rsidRPr="00505BA7">
        <w:t>Objectives</w:t>
      </w:r>
    </w:p>
    <w:p w14:paraId="08CB9922" w14:textId="22E0B9B9" w:rsidR="0029516D" w:rsidRPr="00913EF3" w:rsidRDefault="0029516D" w:rsidP="00913EF3">
      <w:pPr>
        <w:pStyle w:val="Heading7"/>
        <w:rPr>
          <w:sz w:val="22"/>
          <w:szCs w:val="28"/>
        </w:rPr>
      </w:pPr>
      <w:r w:rsidRPr="00913EF3">
        <w:rPr>
          <w:sz w:val="22"/>
          <w:szCs w:val="28"/>
        </w:rPr>
        <w:t xml:space="preserve">Primary </w:t>
      </w:r>
      <w:r w:rsidR="00913EF3" w:rsidRPr="00913EF3">
        <w:rPr>
          <w:sz w:val="22"/>
          <w:szCs w:val="28"/>
        </w:rPr>
        <w:t>efficacy objective</w:t>
      </w:r>
    </w:p>
    <w:p w14:paraId="05BE5DFC" w14:textId="305FEACF" w:rsidR="0029516D" w:rsidRPr="00505BA7" w:rsidRDefault="0029516D" w:rsidP="00505BA7">
      <w:r w:rsidRPr="00505BA7">
        <w:t xml:space="preserve">To demonstrate </w:t>
      </w:r>
      <w:r w:rsidRPr="00393EE5">
        <w:t xml:space="preserve">the absolute </w:t>
      </w:r>
      <w:r w:rsidR="00393EE5">
        <w:t>vaccine efficacy (</w:t>
      </w:r>
      <w:r w:rsidR="00393EE5" w:rsidRPr="00393EE5">
        <w:t>VE</w:t>
      </w:r>
      <w:r w:rsidR="00393EE5">
        <w:t>)</w:t>
      </w:r>
      <w:r w:rsidRPr="00393EE5">
        <w:t xml:space="preserve"> of</w:t>
      </w:r>
      <w:r w:rsidRPr="00505BA7">
        <w:t xml:space="preserve"> </w:t>
      </w:r>
      <w:r w:rsidR="00D5036B">
        <w:t>Flucelvax Quad</w:t>
      </w:r>
      <w:r w:rsidRPr="00505BA7">
        <w:t xml:space="preserve"> versus a non</w:t>
      </w:r>
      <w:r w:rsidR="00913EF3">
        <w:noBreakHyphen/>
      </w:r>
      <w:r w:rsidRPr="00505BA7">
        <w:t xml:space="preserve">influenza comparator determined by the first occurrence of </w:t>
      </w:r>
      <w:r w:rsidR="00393EE5" w:rsidRPr="00393EE5">
        <w:t>reverse transcription polymerase chain reaction (</w:t>
      </w:r>
      <w:r w:rsidRPr="00393EE5">
        <w:t>RT-PCR</w:t>
      </w:r>
      <w:proofErr w:type="gramStart"/>
      <w:r w:rsidR="00393EE5" w:rsidRPr="00393EE5">
        <w:t>)</w:t>
      </w:r>
      <w:proofErr w:type="gramEnd"/>
      <w:r w:rsidRPr="00505BA7">
        <w:t xml:space="preserve"> or culture</w:t>
      </w:r>
      <w:r w:rsidR="00913EF3">
        <w:t xml:space="preserve"> </w:t>
      </w:r>
      <w:r w:rsidRPr="00505BA7">
        <w:t>confirmed influenza, due to any influenza Type A and B strain in subjects 2 to &lt;</w:t>
      </w:r>
      <w:r w:rsidR="00913EF3">
        <w:t xml:space="preserve"> </w:t>
      </w:r>
      <w:r w:rsidRPr="00505BA7">
        <w:t>18 years of age. The success criterion used for this primary objective was as follows: The efficac</w:t>
      </w:r>
      <w:r w:rsidRPr="00393EE5">
        <w:t xml:space="preserve">y of the </w:t>
      </w:r>
      <w:r w:rsidR="00D5036B" w:rsidRPr="00393EE5">
        <w:t>Flucelvax Quad</w:t>
      </w:r>
      <w:r w:rsidRPr="00393EE5">
        <w:t xml:space="preserve"> was demonstrated if the lower limit of the 2</w:t>
      </w:r>
      <w:r w:rsidR="007A051E">
        <w:t>-</w:t>
      </w:r>
      <w:r w:rsidRPr="00393EE5">
        <w:t>sided 95% confidence interval (CI) for VE was above 20%.</w:t>
      </w:r>
    </w:p>
    <w:p w14:paraId="73283B99" w14:textId="6CD60619" w:rsidR="0029516D" w:rsidRPr="00505BA7" w:rsidRDefault="0029516D" w:rsidP="00505BA7">
      <w:r w:rsidRPr="00505BA7">
        <w:t>The co-primary efficacy objective was to be assessed on condition that the primary efficacy objective was successfully demonstrated</w:t>
      </w:r>
      <w:r w:rsidR="00913EF3">
        <w:t>.</w:t>
      </w:r>
    </w:p>
    <w:p w14:paraId="45658730" w14:textId="755C2228" w:rsidR="00913EF3" w:rsidRPr="00913EF3" w:rsidRDefault="0029516D" w:rsidP="00913EF3">
      <w:pPr>
        <w:pStyle w:val="Heading7"/>
        <w:rPr>
          <w:sz w:val="22"/>
          <w:szCs w:val="28"/>
        </w:rPr>
      </w:pPr>
      <w:r w:rsidRPr="00913EF3">
        <w:rPr>
          <w:sz w:val="22"/>
          <w:szCs w:val="28"/>
        </w:rPr>
        <w:t>Co-</w:t>
      </w:r>
      <w:r w:rsidR="00913EF3" w:rsidRPr="00913EF3">
        <w:rPr>
          <w:sz w:val="22"/>
          <w:szCs w:val="28"/>
        </w:rPr>
        <w:t>primary efficacy objective</w:t>
      </w:r>
    </w:p>
    <w:p w14:paraId="69835F7B" w14:textId="1D8C6D9D" w:rsidR="0029516D" w:rsidRPr="00505BA7" w:rsidRDefault="00913EF3" w:rsidP="00505BA7">
      <w:r>
        <w:t>T</w:t>
      </w:r>
      <w:r w:rsidR="0029516D" w:rsidRPr="00505BA7">
        <w:t xml:space="preserve">o demonstrate the </w:t>
      </w:r>
      <w:r w:rsidR="00393EE5" w:rsidRPr="00393EE5">
        <w:t>absolute VE</w:t>
      </w:r>
      <w:r w:rsidR="0029516D" w:rsidRPr="00505BA7">
        <w:t xml:space="preserve"> of </w:t>
      </w:r>
      <w:r w:rsidR="00D5036B">
        <w:t>Flucelvax Quad</w:t>
      </w:r>
      <w:r w:rsidR="0029516D" w:rsidRPr="00505BA7">
        <w:t xml:space="preserve"> versus a non-influenza comparator determined by the first occurrence of RT-PCR or cultur</w:t>
      </w:r>
      <w:r>
        <w:t>e</w:t>
      </w:r>
      <w:r w:rsidR="0029516D" w:rsidRPr="00505BA7">
        <w:t xml:space="preserve"> confirmed influenza, due to any influenza Type A and B strain in subjects 3 to &lt;</w:t>
      </w:r>
      <w:r>
        <w:t xml:space="preserve"> </w:t>
      </w:r>
      <w:r w:rsidR="0029516D" w:rsidRPr="00505BA7">
        <w:t xml:space="preserve">18 years of age. The success criterion used for this co-primary objective was as follows: The efficacy of the </w:t>
      </w:r>
      <w:r w:rsidR="00D5036B">
        <w:t>Flucelvax Quad</w:t>
      </w:r>
      <w:r w:rsidR="0029516D" w:rsidRPr="00505BA7">
        <w:t xml:space="preserve"> was demonstrated if the </w:t>
      </w:r>
      <w:r w:rsidRPr="00505BA7">
        <w:t>lower limit</w:t>
      </w:r>
      <w:r w:rsidR="0029516D" w:rsidRPr="00505BA7">
        <w:t xml:space="preserve"> of the 2-sided 95% CI for VE was above 30%.</w:t>
      </w:r>
    </w:p>
    <w:p w14:paraId="6FF2D81C" w14:textId="067E3253" w:rsidR="0029516D" w:rsidRPr="00913EF3" w:rsidRDefault="0029516D" w:rsidP="00913EF3">
      <w:pPr>
        <w:pStyle w:val="Heading7"/>
        <w:rPr>
          <w:sz w:val="22"/>
          <w:szCs w:val="28"/>
        </w:rPr>
      </w:pPr>
      <w:r w:rsidRPr="00913EF3">
        <w:rPr>
          <w:sz w:val="22"/>
          <w:szCs w:val="28"/>
        </w:rPr>
        <w:t xml:space="preserve">Secondary </w:t>
      </w:r>
      <w:r w:rsidR="00913EF3" w:rsidRPr="00913EF3">
        <w:rPr>
          <w:sz w:val="22"/>
          <w:szCs w:val="28"/>
        </w:rPr>
        <w:t>efficacy objectives</w:t>
      </w:r>
    </w:p>
    <w:p w14:paraId="52598FA0" w14:textId="29DC87D1" w:rsidR="0029516D" w:rsidRPr="00505BA7" w:rsidRDefault="0029516D" w:rsidP="00505BA7">
      <w:r w:rsidRPr="00505BA7">
        <w:t>The following objective was evaluated in the age cohorts: 2 to &lt;</w:t>
      </w:r>
      <w:r w:rsidR="00913EF3">
        <w:t xml:space="preserve"> </w:t>
      </w:r>
      <w:r w:rsidRPr="00505BA7">
        <w:t>9 years of age, 4 to &lt;</w:t>
      </w:r>
      <w:r w:rsidR="00913EF3">
        <w:t> </w:t>
      </w:r>
      <w:r w:rsidRPr="00505BA7">
        <w:t>18</w:t>
      </w:r>
      <w:r w:rsidR="00913EF3">
        <w:t> </w:t>
      </w:r>
      <w:r w:rsidRPr="00505BA7">
        <w:t>years of age, and 9 to &lt;</w:t>
      </w:r>
      <w:r w:rsidR="00913EF3">
        <w:t xml:space="preserve"> </w:t>
      </w:r>
      <w:r w:rsidRPr="00505BA7">
        <w:t>18 years of age:</w:t>
      </w:r>
    </w:p>
    <w:p w14:paraId="50E7C4DE" w14:textId="2B0C7202" w:rsidR="0029516D" w:rsidRPr="00505BA7" w:rsidRDefault="00913EF3" w:rsidP="00505BA7">
      <w:pPr>
        <w:pStyle w:val="ListBullet"/>
      </w:pPr>
      <w:r>
        <w:t>T</w:t>
      </w:r>
      <w:r w:rsidR="0029516D" w:rsidRPr="00505BA7">
        <w:t xml:space="preserve">o demonstrate </w:t>
      </w:r>
      <w:r w:rsidR="00393EE5" w:rsidRPr="00393EE5">
        <w:t>absolute VE</w:t>
      </w:r>
      <w:r w:rsidR="0029516D" w:rsidRPr="00505BA7">
        <w:t xml:space="preserve"> of </w:t>
      </w:r>
      <w:r w:rsidR="00D5036B">
        <w:t>Flucelvax Quad</w:t>
      </w:r>
      <w:r w:rsidR="0029516D" w:rsidRPr="00505BA7">
        <w:t xml:space="preserve"> versus a non-influenza comparator determined by the first occurrence of RT-PCR or culture</w:t>
      </w:r>
      <w:r>
        <w:t xml:space="preserve"> </w:t>
      </w:r>
      <w:r w:rsidR="0029516D" w:rsidRPr="00505BA7">
        <w:t>confirmed influenza due to any influenza Type A and B strain.</w:t>
      </w:r>
    </w:p>
    <w:p w14:paraId="66784705" w14:textId="1841464A" w:rsidR="0029516D" w:rsidRPr="00505BA7" w:rsidRDefault="00913EF3" w:rsidP="00505BA7">
      <w:pPr>
        <w:pStyle w:val="ListBullet"/>
      </w:pPr>
      <w:r>
        <w:t>T</w:t>
      </w:r>
      <w:r w:rsidR="0029516D" w:rsidRPr="00505BA7">
        <w:t xml:space="preserve">o demonstrate </w:t>
      </w:r>
      <w:r w:rsidR="00393EE5" w:rsidRPr="00393EE5">
        <w:t>absolute VE</w:t>
      </w:r>
      <w:r w:rsidR="0029516D" w:rsidRPr="00505BA7">
        <w:t xml:space="preserve"> of </w:t>
      </w:r>
      <w:r w:rsidR="00D5036B">
        <w:t>Flucelvax Quad</w:t>
      </w:r>
      <w:r w:rsidR="0029516D" w:rsidRPr="00505BA7">
        <w:t xml:space="preserve"> versus a non-influenza comparator determined by the first occurrence of RT-PCR</w:t>
      </w:r>
      <w:r>
        <w:t xml:space="preserve"> </w:t>
      </w:r>
      <w:r w:rsidR="0029516D" w:rsidRPr="00505BA7">
        <w:t>confirmed influenza due to any influenza Type A and B strain.</w:t>
      </w:r>
    </w:p>
    <w:p w14:paraId="2F498ADF" w14:textId="7194A87C" w:rsidR="0029516D" w:rsidRPr="00505BA7" w:rsidRDefault="00913EF3" w:rsidP="00505BA7">
      <w:pPr>
        <w:pStyle w:val="ListBullet"/>
      </w:pPr>
      <w:r>
        <w:t>T</w:t>
      </w:r>
      <w:r w:rsidR="0029516D" w:rsidRPr="00505BA7">
        <w:t xml:space="preserve">o demonstrate </w:t>
      </w:r>
      <w:r w:rsidR="00393EE5" w:rsidRPr="00393EE5">
        <w:t>absolute VE</w:t>
      </w:r>
      <w:r w:rsidR="0029516D" w:rsidRPr="00505BA7">
        <w:t xml:space="preserve"> of </w:t>
      </w:r>
      <w:r w:rsidR="00D5036B">
        <w:t>Flucelvax Quad</w:t>
      </w:r>
      <w:r w:rsidR="0029516D" w:rsidRPr="00505BA7">
        <w:t xml:space="preserve"> versus a non-influenza comparator determined by the first occurrence of culture</w:t>
      </w:r>
      <w:r>
        <w:t xml:space="preserve"> </w:t>
      </w:r>
      <w:r w:rsidR="0029516D" w:rsidRPr="00505BA7">
        <w:t>confirmed influenza due to any influenza Type A and B strain.</w:t>
      </w:r>
    </w:p>
    <w:p w14:paraId="336150BF" w14:textId="6C75E619" w:rsidR="0029516D" w:rsidRPr="00505BA7" w:rsidRDefault="00913EF3" w:rsidP="00505BA7">
      <w:pPr>
        <w:pStyle w:val="ListBullet"/>
      </w:pPr>
      <w:r>
        <w:t>T</w:t>
      </w:r>
      <w:r w:rsidR="0029516D" w:rsidRPr="00505BA7">
        <w:t xml:space="preserve">o demonstrate </w:t>
      </w:r>
      <w:r w:rsidR="00393EE5" w:rsidRPr="00393EE5">
        <w:t>absolute VE</w:t>
      </w:r>
      <w:r w:rsidR="0029516D" w:rsidRPr="00505BA7">
        <w:t xml:space="preserve"> of </w:t>
      </w:r>
      <w:r w:rsidR="00D5036B">
        <w:t>Flucelvax Quad</w:t>
      </w:r>
      <w:r w:rsidR="0029516D" w:rsidRPr="00505BA7">
        <w:t xml:space="preserve"> versus a non-influenza comparator determined by the first occurrence of culture-confirmed influenza caused by influenza strains antigenically matched to the strains selected for the seasonal vaccine.</w:t>
      </w:r>
    </w:p>
    <w:p w14:paraId="37639105" w14:textId="646B01C1" w:rsidR="0029516D" w:rsidRPr="00913EF3" w:rsidRDefault="0029516D" w:rsidP="00913EF3">
      <w:pPr>
        <w:pStyle w:val="Heading7"/>
        <w:rPr>
          <w:sz w:val="22"/>
          <w:szCs w:val="28"/>
        </w:rPr>
      </w:pPr>
      <w:r w:rsidRPr="00913EF3">
        <w:rPr>
          <w:sz w:val="22"/>
          <w:szCs w:val="28"/>
        </w:rPr>
        <w:lastRenderedPageBreak/>
        <w:t xml:space="preserve">Secondary </w:t>
      </w:r>
      <w:r w:rsidR="00913EF3" w:rsidRPr="00913EF3">
        <w:rPr>
          <w:sz w:val="22"/>
          <w:szCs w:val="28"/>
        </w:rPr>
        <w:t>immunogenicity objective</w:t>
      </w:r>
    </w:p>
    <w:p w14:paraId="01BF3A4C" w14:textId="0A873C59" w:rsidR="0029516D" w:rsidRPr="00505BA7" w:rsidRDefault="0029516D" w:rsidP="00505BA7">
      <w:r w:rsidRPr="00505BA7">
        <w:t>To characteri</w:t>
      </w:r>
      <w:r w:rsidR="00913EF3">
        <w:t>s</w:t>
      </w:r>
      <w:r w:rsidRPr="00505BA7">
        <w:t xml:space="preserve">e the immunogenicity of </w:t>
      </w:r>
      <w:r w:rsidR="00D5036B">
        <w:t>Flucelvax Quad</w:t>
      </w:r>
      <w:r w:rsidRPr="00505BA7">
        <w:t xml:space="preserve"> by HI assay 3 weeks after the last vaccination in a subset of subjects in the age cohort 2 to &lt;</w:t>
      </w:r>
      <w:r w:rsidR="00913EF3">
        <w:t xml:space="preserve"> </w:t>
      </w:r>
      <w:r w:rsidRPr="00505BA7">
        <w:t>9 years of age.</w:t>
      </w:r>
    </w:p>
    <w:p w14:paraId="202C220B" w14:textId="16102F7B" w:rsidR="0029516D" w:rsidRPr="00505BA7" w:rsidRDefault="0029516D" w:rsidP="00913EF3">
      <w:pPr>
        <w:pStyle w:val="Heading6"/>
      </w:pPr>
      <w:r w:rsidRPr="00505BA7">
        <w:t>Outcomes</w:t>
      </w:r>
      <w:r w:rsidR="0013258F">
        <w:t xml:space="preserve"> and </w:t>
      </w:r>
      <w:r w:rsidRPr="00505BA7">
        <w:t>endpoints</w:t>
      </w:r>
    </w:p>
    <w:p w14:paraId="4A65426D" w14:textId="78319442" w:rsidR="0029516D" w:rsidRPr="00505BA7" w:rsidRDefault="0029516D" w:rsidP="00505BA7">
      <w:pPr>
        <w:pStyle w:val="Heading7"/>
        <w:rPr>
          <w:sz w:val="22"/>
          <w:szCs w:val="28"/>
        </w:rPr>
      </w:pPr>
      <w:r w:rsidRPr="00505BA7">
        <w:rPr>
          <w:sz w:val="22"/>
          <w:szCs w:val="28"/>
        </w:rPr>
        <w:t xml:space="preserve">Primary </w:t>
      </w:r>
      <w:r w:rsidR="0013258F" w:rsidRPr="00505BA7">
        <w:rPr>
          <w:sz w:val="22"/>
          <w:szCs w:val="28"/>
        </w:rPr>
        <w:t>efficacy endpoints</w:t>
      </w:r>
    </w:p>
    <w:p w14:paraId="29B23E45" w14:textId="54BC0283" w:rsidR="0029516D" w:rsidRPr="00505BA7" w:rsidRDefault="0029516D" w:rsidP="00505BA7">
      <w:r w:rsidRPr="00505BA7">
        <w:t>The primary and co-primary efficacy endpoints were defined as the time from the last study vaccination to the onset of the first occurrence of either RT-PCR or culture</w:t>
      </w:r>
      <w:r w:rsidR="0013258F">
        <w:t xml:space="preserve"> </w:t>
      </w:r>
      <w:r w:rsidRPr="00505BA7">
        <w:t>confirmed influenza (time</w:t>
      </w:r>
      <w:r w:rsidR="0013258F">
        <w:t xml:space="preserve"> </w:t>
      </w:r>
      <w:r w:rsidRPr="00505BA7">
        <w:t>to</w:t>
      </w:r>
      <w:r w:rsidR="0013258F">
        <w:t xml:space="preserve"> </w:t>
      </w:r>
      <w:r w:rsidRPr="00505BA7">
        <w:t>event analyses) due to any influenza Type A or B strain regardless of antigenic match to the strains selected for the seasonal vaccine, that occurred more than 14 days after the last vaccination until the end of the influenza season. An</w:t>
      </w:r>
      <w:r w:rsidR="0013258F">
        <w:t xml:space="preserve"> i</w:t>
      </w:r>
      <w:r w:rsidR="0013258F" w:rsidRPr="0013258F">
        <w:t>nfluenza</w:t>
      </w:r>
      <w:r w:rsidR="0013258F">
        <w:t xml:space="preserve"> </w:t>
      </w:r>
      <w:r w:rsidR="0013258F" w:rsidRPr="0013258F">
        <w:t>like illness</w:t>
      </w:r>
      <w:r w:rsidRPr="00505BA7">
        <w:t xml:space="preserve"> case was defined as body temperature of ≥</w:t>
      </w:r>
      <w:r w:rsidR="0013258F">
        <w:t xml:space="preserve"> </w:t>
      </w:r>
      <w:r w:rsidRPr="00505BA7">
        <w:t>37.8°C (</w:t>
      </w:r>
      <w:r w:rsidR="0013258F">
        <w:t xml:space="preserve">that is, </w:t>
      </w:r>
      <w:r w:rsidRPr="00505BA7">
        <w:t>fever) along with any of the following symptoms: cough, sore throat, nasal congestion, or rhinorrhoea. An influenza case was defined as RT-PCR confirmed or culture</w:t>
      </w:r>
      <w:r w:rsidR="0013258F">
        <w:t xml:space="preserve"> </w:t>
      </w:r>
      <w:r w:rsidRPr="00505BA7">
        <w:t xml:space="preserve">confirmed influenza in a subject who met the mentioned criteria for </w:t>
      </w:r>
      <w:r w:rsidR="0013258F">
        <w:t>i</w:t>
      </w:r>
      <w:r w:rsidR="0013258F" w:rsidRPr="0013258F">
        <w:t>nfluenza</w:t>
      </w:r>
      <w:r w:rsidR="0013258F">
        <w:t xml:space="preserve"> </w:t>
      </w:r>
      <w:r w:rsidR="0013258F" w:rsidRPr="0013258F">
        <w:t>like illness</w:t>
      </w:r>
      <w:r w:rsidRPr="00505BA7">
        <w:t>.</w:t>
      </w:r>
    </w:p>
    <w:p w14:paraId="360B9B68" w14:textId="3B0391C7" w:rsidR="0029516D" w:rsidRPr="00505BA7" w:rsidRDefault="0029516D" w:rsidP="00505BA7">
      <w:pPr>
        <w:pStyle w:val="Heading7"/>
        <w:rPr>
          <w:sz w:val="22"/>
          <w:szCs w:val="28"/>
        </w:rPr>
      </w:pPr>
      <w:r w:rsidRPr="00505BA7">
        <w:rPr>
          <w:sz w:val="22"/>
          <w:szCs w:val="28"/>
        </w:rPr>
        <w:t xml:space="preserve">Secondary </w:t>
      </w:r>
      <w:r w:rsidR="0013258F" w:rsidRPr="00505BA7">
        <w:rPr>
          <w:sz w:val="22"/>
          <w:szCs w:val="28"/>
        </w:rPr>
        <w:t>efficacy endpoints</w:t>
      </w:r>
    </w:p>
    <w:p w14:paraId="7655C36A" w14:textId="7E2DA289" w:rsidR="0029516D" w:rsidRPr="00505BA7" w:rsidRDefault="0029516D" w:rsidP="00505BA7">
      <w:pPr>
        <w:pStyle w:val="ListBullet"/>
      </w:pPr>
      <w:r w:rsidRPr="00505BA7">
        <w:t>For secondary objective 1</w:t>
      </w:r>
      <w:r w:rsidR="0013258F">
        <w:t>,</w:t>
      </w:r>
      <w:r w:rsidRPr="00505BA7">
        <w:t xml:space="preserve"> the time from the last study vaccination to the onset of the first occurrence of either RT-PCR or culture</w:t>
      </w:r>
      <w:r w:rsidR="0013258F">
        <w:t xml:space="preserve"> </w:t>
      </w:r>
      <w:r w:rsidRPr="00505BA7">
        <w:t>confirmed influenza due to any influenza Type A or B strain regardless of antigenic match to the strains selected for the seasonal vaccine, that occurred more than 14 days after the last vaccination until the end of the influenza season.</w:t>
      </w:r>
    </w:p>
    <w:p w14:paraId="5336A328" w14:textId="10120835" w:rsidR="0029516D" w:rsidRPr="00505BA7" w:rsidRDefault="0029516D" w:rsidP="00505BA7">
      <w:pPr>
        <w:pStyle w:val="ListBullet"/>
      </w:pPr>
      <w:r w:rsidRPr="00505BA7">
        <w:t>For secondary objective 2</w:t>
      </w:r>
      <w:r w:rsidR="0013258F">
        <w:t>,</w:t>
      </w:r>
      <w:r w:rsidRPr="00505BA7">
        <w:t xml:space="preserve"> the time from the last study vaccination to the onset of the first occurrence of RT-PCR confirmed influenza due to any influenza Type A or B strain regardless of antigenic match to the strains selected for the seasonal vaccine, that occurred more than 14 days after the last vaccination until the end of the influenza season.</w:t>
      </w:r>
    </w:p>
    <w:p w14:paraId="721E13DD" w14:textId="59462AB7" w:rsidR="0029516D" w:rsidRPr="00505BA7" w:rsidRDefault="0029516D" w:rsidP="00505BA7">
      <w:pPr>
        <w:pStyle w:val="ListBullet"/>
      </w:pPr>
      <w:r w:rsidRPr="00505BA7">
        <w:t>For secondary objective 3</w:t>
      </w:r>
      <w:r w:rsidR="0013258F">
        <w:t>,</w:t>
      </w:r>
      <w:r w:rsidRPr="00505BA7">
        <w:t xml:space="preserve"> the time from the last study vaccination to the onset of the first occurrence of culture</w:t>
      </w:r>
      <w:r w:rsidR="0013258F">
        <w:t xml:space="preserve"> </w:t>
      </w:r>
      <w:r w:rsidRPr="00505BA7">
        <w:t>confirmed influenza due to any influenza Type A or B strain regardless of antigenic match to the strains selected for the seasonal vaccine, that occurred more than 14 days after the last vaccination until the end of the influenza season.</w:t>
      </w:r>
    </w:p>
    <w:p w14:paraId="06ECF96E" w14:textId="71B0BEA9" w:rsidR="0029516D" w:rsidRPr="00505BA7" w:rsidRDefault="0029516D" w:rsidP="00505BA7">
      <w:pPr>
        <w:pStyle w:val="ListBullet"/>
      </w:pPr>
      <w:r w:rsidRPr="00505BA7">
        <w:t>For secondary objective 4</w:t>
      </w:r>
      <w:r w:rsidR="0013258F">
        <w:t xml:space="preserve">, </w:t>
      </w:r>
      <w:r w:rsidRPr="00505BA7">
        <w:t>the time from the last study vaccination to the onset of the first occurrence of culture</w:t>
      </w:r>
      <w:r w:rsidR="0013258F">
        <w:t xml:space="preserve"> </w:t>
      </w:r>
      <w:r w:rsidRPr="00505BA7">
        <w:t>confirmed influenza due to influenza Type A or B strain antigenically matched to the strains selected for the seasonal vaccine, that occurred more than 14 days after the last vaccination until the end of the influenza season.</w:t>
      </w:r>
    </w:p>
    <w:p w14:paraId="4C29930E" w14:textId="281CEEF9" w:rsidR="0029516D" w:rsidRDefault="0029516D" w:rsidP="00505BA7">
      <w:pPr>
        <w:pStyle w:val="Heading6"/>
      </w:pPr>
      <w:r w:rsidRPr="008C528B">
        <w:t xml:space="preserve">Statistical </w:t>
      </w:r>
      <w:r w:rsidR="0013258F" w:rsidRPr="008C528B">
        <w:t>analysis plan</w:t>
      </w:r>
    </w:p>
    <w:p w14:paraId="71FB4C5C" w14:textId="2BE805E0" w:rsidR="0029516D" w:rsidRPr="00505BA7" w:rsidRDefault="0029516D" w:rsidP="00505BA7">
      <w:pPr>
        <w:pStyle w:val="Heading7"/>
        <w:rPr>
          <w:sz w:val="22"/>
          <w:szCs w:val="28"/>
        </w:rPr>
      </w:pPr>
      <w:r w:rsidRPr="00505BA7">
        <w:rPr>
          <w:sz w:val="22"/>
          <w:szCs w:val="28"/>
        </w:rPr>
        <w:t xml:space="preserve">Analysis </w:t>
      </w:r>
      <w:r w:rsidR="0013258F" w:rsidRPr="00505BA7">
        <w:rPr>
          <w:sz w:val="22"/>
          <w:szCs w:val="28"/>
        </w:rPr>
        <w:t>of efficacy</w:t>
      </w:r>
    </w:p>
    <w:p w14:paraId="50AD622D" w14:textId="2A7E6D5A" w:rsidR="0029516D" w:rsidRPr="00505BA7" w:rsidRDefault="0029516D" w:rsidP="00505BA7">
      <w:r w:rsidRPr="00505BA7">
        <w:t>Co-primary</w:t>
      </w:r>
      <w:r w:rsidR="0013258F">
        <w:t xml:space="preserve"> and </w:t>
      </w:r>
      <w:r w:rsidR="0013258F" w:rsidRPr="00505BA7">
        <w:t>primary</w:t>
      </w:r>
      <w:r w:rsidRPr="00505BA7">
        <w:t xml:space="preserve"> VE analyses were based on the </w:t>
      </w:r>
      <w:r w:rsidR="0013258F" w:rsidRPr="00505BA7">
        <w:t>efficacy</w:t>
      </w:r>
      <w:r w:rsidRPr="00505BA7">
        <w:t xml:space="preserve"> FAS and repeated on the </w:t>
      </w:r>
      <w:r w:rsidR="0013258F" w:rsidRPr="00505BA7">
        <w:t>efficacy</w:t>
      </w:r>
      <w:r w:rsidRPr="00505BA7">
        <w:t xml:space="preserve"> </w:t>
      </w:r>
      <w:r w:rsidR="00393EE5" w:rsidRPr="00393EE5">
        <w:t>per-protocol</w:t>
      </w:r>
      <w:r w:rsidR="00337DC9">
        <w:t>;</w:t>
      </w:r>
      <w:r w:rsidR="000F6E68">
        <w:rPr>
          <w:rStyle w:val="FootnoteReference"/>
        </w:rPr>
        <w:footnoteReference w:id="22"/>
      </w:r>
      <w:r w:rsidR="00393EE5" w:rsidRPr="00393EE5">
        <w:t xml:space="preserve"> set</w:t>
      </w:r>
      <w:r w:rsidRPr="00505BA7">
        <w:t>.</w:t>
      </w:r>
    </w:p>
    <w:p w14:paraId="269C42D3" w14:textId="35D06A58" w:rsidR="0029516D" w:rsidRPr="00505BA7" w:rsidRDefault="0029516D" w:rsidP="00505BA7">
      <w:r w:rsidRPr="00505BA7">
        <w:t xml:space="preserve">The primary measure of efficacy was the estimate of </w:t>
      </w:r>
      <w:r w:rsidR="00393EE5" w:rsidRPr="00393EE5">
        <w:t>absolute VE</w:t>
      </w:r>
      <w:r w:rsidRPr="00505BA7">
        <w:t xml:space="preserve"> of </w:t>
      </w:r>
      <w:r w:rsidR="00D5036B">
        <w:t>Flucelvax Quad</w:t>
      </w:r>
      <w:r w:rsidRPr="00505BA7">
        <w:t xml:space="preserve"> relative to the non-influenza comparator vaccine for preventing first</w:t>
      </w:r>
      <w:r w:rsidR="0013258F">
        <w:t xml:space="preserve"> </w:t>
      </w:r>
      <w:r w:rsidRPr="00505BA7">
        <w:t>occurrence influenza</w:t>
      </w:r>
      <w:r w:rsidR="0013258F">
        <w:t xml:space="preserve"> </w:t>
      </w:r>
      <w:r w:rsidRPr="00505BA7">
        <w:t>confirmed disease by either RT-PCR</w:t>
      </w:r>
      <w:r w:rsidR="0013258F">
        <w:t xml:space="preserve"> </w:t>
      </w:r>
      <w:r w:rsidRPr="00505BA7">
        <w:t>confirmed or culture</w:t>
      </w:r>
      <w:r w:rsidR="0013258F">
        <w:t xml:space="preserve"> </w:t>
      </w:r>
      <w:r w:rsidRPr="00505BA7">
        <w:t xml:space="preserve">confirmed influenza strains contained in </w:t>
      </w:r>
      <w:r w:rsidR="00D5036B">
        <w:t>Flucelvax Quad</w:t>
      </w:r>
      <w:r w:rsidRPr="00505BA7">
        <w:t xml:space="preserve"> and the non-influenza comparator, regardless of antigenic match.</w:t>
      </w:r>
    </w:p>
    <w:p w14:paraId="53BC5066" w14:textId="4CBE7856" w:rsidR="0029516D" w:rsidRPr="00505BA7" w:rsidRDefault="0029516D" w:rsidP="00505BA7">
      <w:r w:rsidRPr="00505BA7">
        <w:lastRenderedPageBreak/>
        <w:t>A time</w:t>
      </w:r>
      <w:r w:rsidR="00683E09">
        <w:t xml:space="preserve"> </w:t>
      </w:r>
      <w:r w:rsidRPr="00505BA7">
        <w:t>to</w:t>
      </w:r>
      <w:r w:rsidR="00683E09">
        <w:t xml:space="preserve"> </w:t>
      </w:r>
      <w:r w:rsidRPr="00505BA7">
        <w:t xml:space="preserve">event methodology based on a proportional hazard model was used for all efficacy analyses. </w:t>
      </w:r>
      <w:r w:rsidR="00D53578">
        <w:t>A</w:t>
      </w:r>
      <w:r w:rsidR="00393EE5" w:rsidRPr="00393EE5">
        <w:t>bsolute VE</w:t>
      </w:r>
      <w:r w:rsidRPr="00505BA7">
        <w:t xml:space="preserve"> against first or only confirmed influenza cases was determined using a standard formula: </w:t>
      </w:r>
      <w:r w:rsidR="00393EE5" w:rsidRPr="00393EE5">
        <w:t>absolute VE</w:t>
      </w:r>
      <w:r w:rsidRPr="00505BA7">
        <w:t xml:space="preserve"> = 1 </w:t>
      </w:r>
      <w:r w:rsidR="00FF2809">
        <w:t>-</w:t>
      </w:r>
      <w:r w:rsidRPr="00505BA7">
        <w:t xml:space="preserve"> </w:t>
      </w:r>
      <w:r w:rsidR="00393EE5" w:rsidRPr="00393EE5">
        <w:t>hazard ratio (</w:t>
      </w:r>
      <w:r w:rsidRPr="00393EE5">
        <w:t>HR</w:t>
      </w:r>
      <w:r w:rsidR="00393EE5" w:rsidRPr="00393EE5">
        <w:t>)</w:t>
      </w:r>
      <w:r w:rsidRPr="00505BA7">
        <w:t xml:space="preserve"> where HR is the hazard ratio for influenza confirmed (either RT-PCR</w:t>
      </w:r>
      <w:r w:rsidR="00683E09">
        <w:t xml:space="preserve"> </w:t>
      </w:r>
      <w:r w:rsidRPr="00505BA7">
        <w:t xml:space="preserve">confirmed or culture-confirmed) </w:t>
      </w:r>
      <w:r w:rsidR="0013258F">
        <w:t>i</w:t>
      </w:r>
      <w:r w:rsidR="0013258F" w:rsidRPr="0013258F">
        <w:t>nfluenza</w:t>
      </w:r>
      <w:r w:rsidR="0013258F">
        <w:t xml:space="preserve"> </w:t>
      </w:r>
      <w:r w:rsidR="0013258F" w:rsidRPr="0013258F">
        <w:t>like illness</w:t>
      </w:r>
      <w:r w:rsidRPr="00505BA7">
        <w:t xml:space="preserve"> in the </w:t>
      </w:r>
      <w:r w:rsidR="00D5036B">
        <w:t>Flucelvax Quad</w:t>
      </w:r>
      <w:r w:rsidRPr="00505BA7">
        <w:t xml:space="preserve"> group versus the non-influenza comparator group. The HR was estimated by a proportional hazards regression model for which the following </w:t>
      </w:r>
      <w:r w:rsidRPr="00393EE5">
        <w:t xml:space="preserve">null </w:t>
      </w:r>
      <w:r w:rsidR="00D53578">
        <w:t>hypothesis</w:t>
      </w:r>
      <w:r w:rsidRPr="00393EE5">
        <w:t xml:space="preserve"> and alternative hypothes</w:t>
      </w:r>
      <w:r w:rsidR="00D53578">
        <w:t>is</w:t>
      </w:r>
      <w:r w:rsidRPr="00505BA7">
        <w:t xml:space="preserve"> were tested:</w:t>
      </w:r>
    </w:p>
    <w:p w14:paraId="182D438E" w14:textId="61618164" w:rsidR="0029516D" w:rsidRPr="00505BA7" w:rsidRDefault="00D53578">
      <w:r>
        <w:t>Null hypothesis</w:t>
      </w:r>
      <w:r w:rsidR="0029516D" w:rsidRPr="00505BA7">
        <w:t xml:space="preserve">: 1 </w:t>
      </w:r>
      <w:r w:rsidR="00683E09">
        <w:t>-</w:t>
      </w:r>
      <w:r w:rsidR="0029516D" w:rsidRPr="00505BA7">
        <w:t xml:space="preserve"> HR ≤ 0.2</w:t>
      </w:r>
      <w:r>
        <w:t>;</w:t>
      </w:r>
      <w:r w:rsidR="0029516D" w:rsidRPr="00505BA7">
        <w:t xml:space="preserve"> versus </w:t>
      </w:r>
      <w:r>
        <w:t>alternative hypothesis</w:t>
      </w:r>
      <w:r w:rsidR="0029516D" w:rsidRPr="00505BA7">
        <w:t xml:space="preserve">: 1 </w:t>
      </w:r>
      <w:r w:rsidR="00683E09">
        <w:t>-</w:t>
      </w:r>
      <w:r w:rsidR="0029516D" w:rsidRPr="00505BA7">
        <w:t xml:space="preserve"> HR &gt;</w:t>
      </w:r>
      <w:r w:rsidR="00683E09">
        <w:t xml:space="preserve"> </w:t>
      </w:r>
      <w:r w:rsidR="0029516D" w:rsidRPr="00505BA7">
        <w:t>0.2</w:t>
      </w:r>
      <w:r w:rsidR="00683E09">
        <w:t xml:space="preserve"> </w:t>
      </w:r>
      <w:r w:rsidR="0029516D" w:rsidRPr="00505BA7">
        <w:t xml:space="preserve">where HR is a hazard ratio of </w:t>
      </w:r>
      <w:r w:rsidR="00D5036B">
        <w:t>Flucelvax Quad</w:t>
      </w:r>
      <w:r w:rsidR="0029516D" w:rsidRPr="00505BA7">
        <w:t xml:space="preserve"> versus non-influenza comparator. The primary objective was achieved if the </w:t>
      </w:r>
      <w:r w:rsidR="00913EF3" w:rsidRPr="00505BA7">
        <w:t>lower limit</w:t>
      </w:r>
      <w:r w:rsidR="0029516D" w:rsidRPr="00505BA7">
        <w:t xml:space="preserve"> of the 2</w:t>
      </w:r>
      <w:r w:rsidR="00337DC9">
        <w:t>-</w:t>
      </w:r>
      <w:r w:rsidR="0029516D" w:rsidRPr="00505BA7">
        <w:t>sided CI of the VE estimate, with at least 95% coverage in a multiple sequential hypothesis testing, exceeded 0.2 in subjects 2 to &lt;</w:t>
      </w:r>
      <w:r>
        <w:t> </w:t>
      </w:r>
      <w:r w:rsidR="0029516D" w:rsidRPr="00505BA7">
        <w:t>18</w:t>
      </w:r>
      <w:r>
        <w:t> </w:t>
      </w:r>
      <w:r w:rsidR="0029516D" w:rsidRPr="00505BA7">
        <w:t>years of age.</w:t>
      </w:r>
    </w:p>
    <w:p w14:paraId="1B855BF4" w14:textId="48FE306D" w:rsidR="0029516D" w:rsidRPr="00505BA7" w:rsidRDefault="0029516D" w:rsidP="00505BA7">
      <w:r w:rsidRPr="00505BA7">
        <w:t xml:space="preserve">The co-primary objective was achieved if the </w:t>
      </w:r>
      <w:r w:rsidR="00913EF3" w:rsidRPr="00505BA7">
        <w:t>lower limit</w:t>
      </w:r>
      <w:r w:rsidRPr="00505BA7">
        <w:t xml:space="preserve"> of the 2</w:t>
      </w:r>
      <w:r w:rsidR="00337DC9">
        <w:t>-</w:t>
      </w:r>
      <w:r w:rsidRPr="00505BA7">
        <w:t>sided CI of the VE estimate, with at least 95% coverage in a multiple sequential hypothesis testing, exceeded 0.3 in subjects 3 to &lt;</w:t>
      </w:r>
      <w:r w:rsidR="00683E09">
        <w:t xml:space="preserve"> </w:t>
      </w:r>
      <w:r w:rsidRPr="00505BA7">
        <w:t>18 years of age.</w:t>
      </w:r>
    </w:p>
    <w:p w14:paraId="66257069" w14:textId="702CAA1D" w:rsidR="0029516D" w:rsidRPr="00505BA7" w:rsidRDefault="0029516D" w:rsidP="00505BA7">
      <w:r w:rsidRPr="00505BA7">
        <w:t xml:space="preserve">The model used to estimate </w:t>
      </w:r>
      <w:r w:rsidR="00393EE5" w:rsidRPr="00393EE5">
        <w:t>absolute VE</w:t>
      </w:r>
      <w:r w:rsidRPr="00505BA7">
        <w:t xml:space="preserve"> for the secondary efficacy objectives was </w:t>
      </w:r>
      <w:proofErr w:type="gramStart"/>
      <w:r w:rsidRPr="00505BA7">
        <w:t>similar to</w:t>
      </w:r>
      <w:proofErr w:type="gramEnd"/>
      <w:r w:rsidRPr="00505BA7">
        <w:t xml:space="preserve"> the model used for the primary efficacy objectives.</w:t>
      </w:r>
    </w:p>
    <w:p w14:paraId="45566501" w14:textId="12CCC0EE" w:rsidR="0029516D" w:rsidRPr="00505BA7" w:rsidRDefault="0029516D" w:rsidP="00683E09">
      <w:pPr>
        <w:pStyle w:val="Heading6"/>
      </w:pPr>
      <w:r w:rsidRPr="00505BA7">
        <w:t>Results</w:t>
      </w:r>
    </w:p>
    <w:p w14:paraId="1E6DB0AE" w14:textId="6DF262C6" w:rsidR="0029516D" w:rsidRPr="00683E09" w:rsidRDefault="0029516D" w:rsidP="00683E09">
      <w:pPr>
        <w:pStyle w:val="Heading7"/>
        <w:rPr>
          <w:sz w:val="22"/>
          <w:szCs w:val="28"/>
        </w:rPr>
      </w:pPr>
      <w:r w:rsidRPr="00683E09">
        <w:rPr>
          <w:sz w:val="22"/>
          <w:szCs w:val="28"/>
        </w:rPr>
        <w:t>Participant flow</w:t>
      </w:r>
    </w:p>
    <w:p w14:paraId="711FCA77" w14:textId="412B4513" w:rsidR="0029516D" w:rsidRDefault="0029516D" w:rsidP="00505BA7">
      <w:r w:rsidRPr="00505BA7">
        <w:t xml:space="preserve">A total of 4514 subjects were enrolled in Study V130_12. The population used for the efficacy analysis was the </w:t>
      </w:r>
      <w:r w:rsidR="00683E09" w:rsidRPr="00505BA7">
        <w:t xml:space="preserve">efficacy </w:t>
      </w:r>
      <w:r w:rsidRPr="00505BA7">
        <w:t>FAS which included all enrolled subjects that were randomi</w:t>
      </w:r>
      <w:r w:rsidR="00BB487C">
        <w:t>s</w:t>
      </w:r>
      <w:r w:rsidRPr="00505BA7">
        <w:t xml:space="preserve">ed, received at least one study </w:t>
      </w:r>
      <w:r w:rsidR="00337DC9" w:rsidRPr="00505BA7">
        <w:t>vaccination,</w:t>
      </w:r>
      <w:r w:rsidRPr="00505BA7">
        <w:t xml:space="preserve"> and provided efficacy data. Five enrolled subjects were </w:t>
      </w:r>
      <w:r w:rsidRPr="00393EE5">
        <w:t xml:space="preserve">excluded from the </w:t>
      </w:r>
      <w:r w:rsidR="00683E09" w:rsidRPr="00393EE5">
        <w:t>efficacy</w:t>
      </w:r>
      <w:r w:rsidRPr="00393EE5">
        <w:t xml:space="preserve">, FAS population. Efficacy </w:t>
      </w:r>
      <w:r w:rsidR="00337DC9" w:rsidRPr="00393EE5">
        <w:t>analyses</w:t>
      </w:r>
      <w:r w:rsidRPr="00393EE5">
        <w:t xml:space="preserve"> were repeated with the </w:t>
      </w:r>
      <w:r w:rsidR="00683E09" w:rsidRPr="00393EE5">
        <w:t>efficacy per-protocol set</w:t>
      </w:r>
      <w:r w:rsidRPr="00393EE5">
        <w:t xml:space="preserve"> which</w:t>
      </w:r>
      <w:r w:rsidRPr="00505BA7">
        <w:t xml:space="preserve"> included all FAS subjects that correctly received the vaccines, had no protocol deviations leading to exclusion and were not excluded due to other reasons defined prior to unblinding or analysis. In total, 9 (0.4%) subjects in the </w:t>
      </w:r>
      <w:r w:rsidR="00D5036B">
        <w:t>Flucelvax Quad</w:t>
      </w:r>
      <w:r w:rsidRPr="00505BA7">
        <w:t xml:space="preserve"> group and 9 (0.4%) subjects in the comparator group were withdrawn from the study.</w:t>
      </w:r>
    </w:p>
    <w:p w14:paraId="12DD8735" w14:textId="0EA6841F" w:rsidR="00F178B8" w:rsidRPr="00134872" w:rsidRDefault="00F178B8" w:rsidP="00134872">
      <w:pPr>
        <w:pStyle w:val="FigureTitle"/>
      </w:pPr>
      <w:r w:rsidRPr="00134872">
        <w:lastRenderedPageBreak/>
        <w:t xml:space="preserve">Figure </w:t>
      </w:r>
      <w:r w:rsidR="007C1059">
        <w:fldChar w:fldCharType="begin"/>
      </w:r>
      <w:r w:rsidR="007C1059">
        <w:instrText xml:space="preserve"> SEQ Figure \* ARABIC </w:instrText>
      </w:r>
      <w:r w:rsidR="007C1059">
        <w:fldChar w:fldCharType="separate"/>
      </w:r>
      <w:r w:rsidR="0028296F">
        <w:rPr>
          <w:noProof/>
        </w:rPr>
        <w:t>1</w:t>
      </w:r>
      <w:r w:rsidR="007C1059">
        <w:rPr>
          <w:noProof/>
        </w:rPr>
        <w:fldChar w:fldCharType="end"/>
      </w:r>
      <w:r w:rsidRPr="00134872">
        <w:t>: Study V130_12</w:t>
      </w:r>
      <w:r w:rsidR="00683E09" w:rsidRPr="00134872">
        <w:t xml:space="preserve"> Study participants</w:t>
      </w:r>
    </w:p>
    <w:p w14:paraId="6BA72D77" w14:textId="146E9137" w:rsidR="0029516D" w:rsidRDefault="00D011F5" w:rsidP="00134872">
      <w:r>
        <w:rPr>
          <w:noProof/>
          <w:shd w:val="clear" w:color="auto" w:fill="E6E6E6"/>
          <w:lang w:val="en-GB" w:eastAsia="en-GB"/>
        </w:rPr>
        <w:drawing>
          <wp:inline distT="0" distB="0" distL="0" distR="0" wp14:anchorId="742BE72B" wp14:editId="0FD29256">
            <wp:extent cx="5355771" cy="5818505"/>
            <wp:effectExtent l="0" t="0" r="0" b="0"/>
            <wp:docPr id="25" name="Picture 25" descr="Figure 1: Study V130_12 Study participants&#10;&#10;A total of 4514 subjects were enrolled in Study V130_12.&#10;One subject was not exposed, 2258 subjects were exposed to Flucelvax Quad, 2255 subjects were exposed to the comparator.&#10;&#10;For the Flucelvax Quad group, one subject was excluded prior to the start of the influenza surveillance period. 2257 subjects were included in the efficacy full analysis set. 8 subjects withdrew from the study and 38 subjects were excluded from the per-protocol set, 2219 subjects were included in the efficacy per-protocol set.&#10;&#10;For the comparator group, 3 subjects were excluded prior to the start of the influenza surveillance period. 2252 subjects were included in the efficacy full analysis set. 5 subjects withdrew from the study and 43 subjects were excluded from the per-protocol set, 2209 subjects were included in the efficacy per-protocol set.&#10;&#10;The population used for the efficacy analysis was the efficacy full analysis set which included all enrolled subjects that were randomised, received at least one study vaccination, and provided efficacy data.&#10;&#10;Efficacy analysis were repeated with the efficacy per protocol set which included all full analysis set subjects that correctly received the vaccines, had no protocol deviations leading to exclusion and were not excluded due to other reasons defined prior to unblinding 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 Study V130_12 Study participants&#10;&#10;A total of 4514 subjects were enrolled in Study V130_12.&#10;One subject was not exposed, 2258 subjects were exposed to Flucelvax Quad, 2255 subjects were exposed to the comparator.&#10;&#10;For the Flucelvax Quad group, one subject was excluded prior to the start of the influenza surveillance period. 2257 subjects were included in the efficacy full analysis set. 8 subjects withdrew from the study and 38 subjects were excluded from the per-protocol set, 2219 subjects were included in the efficacy per-protocol set.&#10;&#10;For the comparator group, 3 subjects were excluded prior to the start of the influenza surveillance period. 2252 subjects were included in the efficacy full analysis set. 5 subjects withdrew from the study and 43 subjects were excluded from the per-protocol set, 2209 subjects were included in the efficacy per-protocol set.&#10;&#10;The population used for the efficacy analysis was the efficacy full analysis set which included all enrolled subjects that were randomised, received at least one study vaccination, and provided efficacy data.&#10;&#10;Efficacy analysis were repeated with the efficacy per protocol set which included all full analysis set subjects that correctly received the vaccines, had no protocol deviations leading to exclusion and were not excluded due to other reasons defined prior to unblinding or analys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6857" cy="5819685"/>
                    </a:xfrm>
                    <a:prstGeom prst="rect">
                      <a:avLst/>
                    </a:prstGeom>
                    <a:noFill/>
                    <a:ln>
                      <a:noFill/>
                    </a:ln>
                  </pic:spPr>
                </pic:pic>
              </a:graphicData>
            </a:graphic>
          </wp:inline>
        </w:drawing>
      </w:r>
    </w:p>
    <w:p w14:paraId="0F3C29CF" w14:textId="6D336930" w:rsidR="003D69DD" w:rsidRPr="00134872" w:rsidRDefault="00BB487C" w:rsidP="00134872">
      <w:pPr>
        <w:pStyle w:val="FigureDescription"/>
      </w:pPr>
      <w:r w:rsidRPr="00134872">
        <w:t xml:space="preserve">Abbreviation: </w:t>
      </w:r>
      <w:proofErr w:type="spellStart"/>
      <w:r w:rsidR="003D69DD" w:rsidRPr="00134872">
        <w:t>QIVc</w:t>
      </w:r>
      <w:proofErr w:type="spellEnd"/>
      <w:r w:rsidR="003D69DD" w:rsidRPr="00134872">
        <w:t xml:space="preserve"> = </w:t>
      </w:r>
      <w:r w:rsidR="00E10AC6" w:rsidRPr="00134872">
        <w:t>Flucelvax Quad.</w:t>
      </w:r>
    </w:p>
    <w:p w14:paraId="50B309FA" w14:textId="5E15AC33" w:rsidR="00CC2874" w:rsidRPr="00134872" w:rsidRDefault="00CC2874" w:rsidP="00134872">
      <w:pPr>
        <w:pStyle w:val="FigureDescription"/>
      </w:pPr>
      <w:r w:rsidRPr="00134872">
        <w:t>* There was one subject included twice in this category (dosage error at Visit 1, vaccine was not administrated at Visit 2). The total of the subcategories is 44. This subject was counted once in the overall total of subjects excluded from the per-protocol set (n = 43).</w:t>
      </w:r>
    </w:p>
    <w:p w14:paraId="0C4DC263" w14:textId="77777777" w:rsidR="0029516D" w:rsidRPr="003D69DD" w:rsidRDefault="0029516D" w:rsidP="003D69DD">
      <w:pPr>
        <w:pStyle w:val="Heading7"/>
        <w:rPr>
          <w:sz w:val="22"/>
          <w:szCs w:val="28"/>
        </w:rPr>
      </w:pPr>
      <w:r w:rsidRPr="003D69DD">
        <w:rPr>
          <w:sz w:val="22"/>
          <w:szCs w:val="28"/>
        </w:rPr>
        <w:t>Baseline data</w:t>
      </w:r>
    </w:p>
    <w:p w14:paraId="1E271174" w14:textId="5244CA7F" w:rsidR="0029516D" w:rsidRPr="00505BA7" w:rsidRDefault="0029516D" w:rsidP="00505BA7">
      <w:r w:rsidRPr="00505BA7">
        <w:t>Overall</w:t>
      </w:r>
      <w:r w:rsidR="003D69DD">
        <w:t>,</w:t>
      </w:r>
      <w:r w:rsidRPr="00505BA7">
        <w:t xml:space="preserve"> 2395 subjects (53.1%) were enrolled in Southern Hemisphere countries and </w:t>
      </w:r>
      <w:r w:rsidRPr="00883DC7">
        <w:t>2119</w:t>
      </w:r>
      <w:r w:rsidR="003D69DD">
        <w:t> </w:t>
      </w:r>
      <w:r w:rsidRPr="00505BA7">
        <w:t xml:space="preserve">(46.9%) in Northern Hemisphere countries. </w:t>
      </w:r>
      <w:proofErr w:type="gramStart"/>
      <w:r w:rsidRPr="00505BA7">
        <w:t>The majority of</w:t>
      </w:r>
      <w:proofErr w:type="gramEnd"/>
      <w:r w:rsidRPr="00505BA7">
        <w:t xml:space="preserve"> subjects were enrolled in Season 1 (n</w:t>
      </w:r>
      <w:r w:rsidR="003D69DD">
        <w:t xml:space="preserve"> </w:t>
      </w:r>
      <w:r w:rsidRPr="00505BA7">
        <w:t>=</w:t>
      </w:r>
      <w:r w:rsidR="003D69DD">
        <w:t xml:space="preserve"> </w:t>
      </w:r>
      <w:r w:rsidRPr="00505BA7">
        <w:t>2395; 53.1%) with most subjects from the Philippines (n</w:t>
      </w:r>
      <w:r w:rsidR="003D69DD">
        <w:t xml:space="preserve"> </w:t>
      </w:r>
      <w:r w:rsidRPr="00505BA7">
        <w:t>=</w:t>
      </w:r>
      <w:r w:rsidR="003D69DD">
        <w:t xml:space="preserve"> </w:t>
      </w:r>
      <w:r w:rsidRPr="00505BA7">
        <w:t xml:space="preserve">1800). In Season 2, 919 subjects (20.4%) were enrolled in Estonia and Finland and 1200 (26.6%) in Season 3. Both in Season 2 and 3 </w:t>
      </w:r>
      <w:proofErr w:type="gramStart"/>
      <w:r w:rsidRPr="00505BA7">
        <w:t>the majority of</w:t>
      </w:r>
      <w:proofErr w:type="gramEnd"/>
      <w:r w:rsidRPr="00505BA7">
        <w:t xml:space="preserve"> subjects were enrolled in Estonia (Season</w:t>
      </w:r>
      <w:r w:rsidR="003D69DD">
        <w:t> </w:t>
      </w:r>
      <w:r w:rsidRPr="00505BA7">
        <w:t>2: n</w:t>
      </w:r>
      <w:r w:rsidR="003D69DD">
        <w:t xml:space="preserve"> </w:t>
      </w:r>
      <w:r w:rsidRPr="00505BA7">
        <w:t>=</w:t>
      </w:r>
      <w:r w:rsidR="003D69DD">
        <w:t xml:space="preserve"> </w:t>
      </w:r>
      <w:r w:rsidRPr="00505BA7">
        <w:t>600; Season 3: n</w:t>
      </w:r>
      <w:r w:rsidR="003D69DD">
        <w:t xml:space="preserve"> </w:t>
      </w:r>
      <w:r w:rsidRPr="00505BA7">
        <w:t>=</w:t>
      </w:r>
      <w:r w:rsidR="003D69DD">
        <w:t xml:space="preserve"> </w:t>
      </w:r>
      <w:r w:rsidRPr="00505BA7">
        <w:t>598).</w:t>
      </w:r>
    </w:p>
    <w:p w14:paraId="5BD55F8A" w14:textId="1609216F" w:rsidR="0029516D" w:rsidRPr="00505BA7" w:rsidRDefault="0029516D" w:rsidP="00505BA7">
      <w:r w:rsidRPr="00505BA7">
        <w:t>The population was well balanced between the sexes (48.5% female and 51.5% male). All subjects were between 2 and 18 years of age in agreement with the intended study population. The overall mean (</w:t>
      </w:r>
      <w:r w:rsidR="003D69DD">
        <w:t>standard deviation</w:t>
      </w:r>
      <w:r w:rsidRPr="00505BA7">
        <w:t xml:space="preserve">) age was 8.8 (4.1) years. Approximately </w:t>
      </w:r>
      <w:r w:rsidRPr="00505BA7">
        <w:lastRenderedPageBreak/>
        <w:t>half of the study population (50.7%) was between 2 to &lt;</w:t>
      </w:r>
      <w:r w:rsidR="003D69DD">
        <w:t xml:space="preserve"> </w:t>
      </w:r>
      <w:r w:rsidRPr="00505BA7">
        <w:t>9 years of age. The youngest age category (between 2 to &lt;</w:t>
      </w:r>
      <w:r w:rsidR="003D69DD">
        <w:t xml:space="preserve"> </w:t>
      </w:r>
      <w:r w:rsidRPr="00505BA7">
        <w:t>4 years of age) comprised 9.6% of the study population.</w:t>
      </w:r>
    </w:p>
    <w:p w14:paraId="23BF0727" w14:textId="36A76252" w:rsidR="0029516D" w:rsidRPr="00505BA7" w:rsidRDefault="0029516D" w:rsidP="00505BA7">
      <w:r w:rsidRPr="00505BA7">
        <w:t>Overall, the majority (65.9%) of subjects (n</w:t>
      </w:r>
      <w:r w:rsidR="003D69DD">
        <w:t xml:space="preserve"> </w:t>
      </w:r>
      <w:r w:rsidRPr="00505BA7">
        <w:t>=</w:t>
      </w:r>
      <w:r w:rsidR="003D69DD">
        <w:t xml:space="preserve"> </w:t>
      </w:r>
      <w:r w:rsidRPr="00505BA7">
        <w:t>4514) were previously vaccinated against influenza. Of the subjects 2 to &lt;</w:t>
      </w:r>
      <w:r w:rsidR="003D69DD">
        <w:t xml:space="preserve"> </w:t>
      </w:r>
      <w:r w:rsidRPr="00505BA7">
        <w:t>9 years of age (n</w:t>
      </w:r>
      <w:r w:rsidR="003D69DD">
        <w:t xml:space="preserve"> </w:t>
      </w:r>
      <w:r w:rsidRPr="00505BA7">
        <w:t>=</w:t>
      </w:r>
      <w:r w:rsidR="003D69DD">
        <w:t xml:space="preserve"> </w:t>
      </w:r>
      <w:r w:rsidRPr="00505BA7">
        <w:t xml:space="preserve">2289), 32.8% were previously vaccinated against influenza. </w:t>
      </w:r>
      <w:proofErr w:type="gramStart"/>
      <w:r w:rsidRPr="00505BA7">
        <w:t>All of</w:t>
      </w:r>
      <w:proofErr w:type="gramEnd"/>
      <w:r w:rsidRPr="00505BA7">
        <w:t xml:space="preserve"> the subjects 9 to &lt;</w:t>
      </w:r>
      <w:r w:rsidR="003D69DD">
        <w:t xml:space="preserve"> </w:t>
      </w:r>
      <w:r w:rsidRPr="00505BA7">
        <w:t>18 years of age (100%) were categori</w:t>
      </w:r>
      <w:r w:rsidR="00BB487C">
        <w:t>s</w:t>
      </w:r>
      <w:r w:rsidRPr="00505BA7">
        <w:t>ed as previously vaccinated against influenza as age (9 to &lt;</w:t>
      </w:r>
      <w:r w:rsidR="003D69DD">
        <w:t xml:space="preserve"> </w:t>
      </w:r>
      <w:r w:rsidRPr="00505BA7">
        <w:t xml:space="preserve">18 years of age) was used as stratify these subjects to receive </w:t>
      </w:r>
      <w:r w:rsidR="003D69DD">
        <w:t>one</w:t>
      </w:r>
      <w:r w:rsidRPr="00505BA7">
        <w:t xml:space="preserve"> dose of study vaccine. There was no notable difference in the distribution of demographic and baseline characteristics (age, sex, race, ethnic origin or country of enrolment) between the 2 vaccine groups in </w:t>
      </w:r>
      <w:proofErr w:type="gramStart"/>
      <w:r w:rsidRPr="00505BA7">
        <w:t xml:space="preserve">the </w:t>
      </w:r>
      <w:r w:rsidR="003D69DD" w:rsidRPr="00505BA7">
        <w:t>all</w:t>
      </w:r>
      <w:proofErr w:type="gramEnd"/>
      <w:r w:rsidR="003D69DD" w:rsidRPr="00505BA7">
        <w:t xml:space="preserve"> enrolled set, nor was any difference </w:t>
      </w:r>
      <w:r w:rsidRPr="00505BA7">
        <w:t>between the 2 to &lt;</w:t>
      </w:r>
      <w:r w:rsidR="003D69DD">
        <w:t xml:space="preserve"> </w:t>
      </w:r>
      <w:r w:rsidRPr="00505BA7">
        <w:t>18 (n</w:t>
      </w:r>
      <w:r w:rsidR="003D69DD">
        <w:t xml:space="preserve"> </w:t>
      </w:r>
      <w:r w:rsidRPr="00505BA7">
        <w:t>=</w:t>
      </w:r>
      <w:r w:rsidR="003D69DD">
        <w:t xml:space="preserve"> </w:t>
      </w:r>
      <w:r w:rsidRPr="00505BA7">
        <w:t>4514) and 3 to &lt;</w:t>
      </w:r>
      <w:r w:rsidR="003D69DD">
        <w:t xml:space="preserve"> </w:t>
      </w:r>
      <w:r w:rsidRPr="00505BA7">
        <w:t>18 years of age (n</w:t>
      </w:r>
      <w:r w:rsidR="003D69DD">
        <w:t> </w:t>
      </w:r>
      <w:r w:rsidRPr="00505BA7">
        <w:t>=</w:t>
      </w:r>
      <w:r w:rsidR="003D69DD">
        <w:t> </w:t>
      </w:r>
      <w:r w:rsidRPr="00505BA7">
        <w:t>4414) cohorts.</w:t>
      </w:r>
    </w:p>
    <w:p w14:paraId="72822AB9" w14:textId="65A73635" w:rsidR="0029516D" w:rsidRPr="00505BA7" w:rsidRDefault="0029516D" w:rsidP="00505BA7">
      <w:r w:rsidRPr="00505BA7">
        <w:t>In terms of pre-existing medical disorders, at least one disorder in medical history was reported for 1065 (23.6%) subjects.</w:t>
      </w:r>
      <w:r w:rsidR="009D2250">
        <w:t xml:space="preserve"> </w:t>
      </w:r>
      <w:r w:rsidRPr="00505BA7">
        <w:t xml:space="preserve">Overall, the percentages of subjects with medical disorders were similar in the 2 vaccine groups (23.4% versus 23.8% in the </w:t>
      </w:r>
      <w:r w:rsidR="00D5036B">
        <w:t>Flucelvax Quad</w:t>
      </w:r>
      <w:r w:rsidRPr="00505BA7">
        <w:t xml:space="preserve"> and comparator groups, respectively), with some differences between treatment groups under the </w:t>
      </w:r>
      <w:r w:rsidR="003D69DD" w:rsidRPr="00393EE5">
        <w:t xml:space="preserve">System Organ Class </w:t>
      </w:r>
      <w:r w:rsidRPr="00393EE5">
        <w:t>(SOC)</w:t>
      </w:r>
      <w:r w:rsidRPr="00505BA7">
        <w:t xml:space="preserve"> ‘infections and infestations’ (205 </w:t>
      </w:r>
      <w:r w:rsidR="009D2250">
        <w:t>(</w:t>
      </w:r>
      <w:r w:rsidRPr="00505BA7">
        <w:t>9.1%</w:t>
      </w:r>
      <w:r w:rsidR="009D2250">
        <w:t>)</w:t>
      </w:r>
      <w:r w:rsidRPr="00505BA7">
        <w:t xml:space="preserve"> versus 229</w:t>
      </w:r>
      <w:r w:rsidR="003D69DD">
        <w:t> </w:t>
      </w:r>
      <w:r w:rsidR="009D2250">
        <w:t>(</w:t>
      </w:r>
      <w:r w:rsidRPr="00505BA7">
        <w:t>10.2%</w:t>
      </w:r>
      <w:r w:rsidR="009D2250">
        <w:t>)</w:t>
      </w:r>
      <w:r w:rsidRPr="00505BA7">
        <w:t xml:space="preserve"> disorders in the </w:t>
      </w:r>
      <w:r w:rsidR="00D5036B">
        <w:t>Flucelvax Quad</w:t>
      </w:r>
      <w:r w:rsidRPr="00505BA7">
        <w:t xml:space="preserve"> and comparator groups, respectively).</w:t>
      </w:r>
      <w:r w:rsidR="009D2250">
        <w:t xml:space="preserve"> </w:t>
      </w:r>
      <w:r w:rsidRPr="00505BA7">
        <w:t xml:space="preserve">This difference in the SOC was largely driven by a difference between treatment groups for upper respiratory tract infections (23 </w:t>
      </w:r>
      <w:r w:rsidR="009D2250">
        <w:t>(</w:t>
      </w:r>
      <w:r w:rsidRPr="00505BA7">
        <w:t>1.0%</w:t>
      </w:r>
      <w:r w:rsidR="009D2250">
        <w:t>)</w:t>
      </w:r>
      <w:r w:rsidRPr="00505BA7">
        <w:t xml:space="preserve"> in </w:t>
      </w:r>
      <w:r w:rsidR="00D5036B">
        <w:t>Flucelvax Quad</w:t>
      </w:r>
      <w:r w:rsidRPr="00505BA7">
        <w:t xml:space="preserve"> group versus 39 </w:t>
      </w:r>
      <w:r w:rsidR="009D2250">
        <w:t>(</w:t>
      </w:r>
      <w:r w:rsidRPr="00505BA7">
        <w:t>1.7%</w:t>
      </w:r>
      <w:r w:rsidR="009D2250">
        <w:t>)</w:t>
      </w:r>
      <w:r w:rsidRPr="00505BA7">
        <w:t xml:space="preserve"> in comparator group).</w:t>
      </w:r>
    </w:p>
    <w:p w14:paraId="06ADE6F5" w14:textId="62E89908" w:rsidR="0029516D" w:rsidRPr="00505BA7" w:rsidRDefault="0029516D" w:rsidP="00505BA7">
      <w:r w:rsidRPr="00505BA7">
        <w:t>The most frequently (≥</w:t>
      </w:r>
      <w:r w:rsidR="003D69DD">
        <w:t xml:space="preserve"> </w:t>
      </w:r>
      <w:r w:rsidRPr="00505BA7">
        <w:t xml:space="preserve">5% overall) reported events were grouped under the SOC of ‘infections and infestations’ (434 </w:t>
      </w:r>
      <w:r w:rsidR="009D2250">
        <w:t>(</w:t>
      </w:r>
      <w:r w:rsidRPr="00505BA7">
        <w:t>9.6%</w:t>
      </w:r>
      <w:r w:rsidR="009D2250">
        <w:t>)</w:t>
      </w:r>
      <w:r w:rsidRPr="00505BA7">
        <w:t xml:space="preserve">), ‘respiratory, </w:t>
      </w:r>
      <w:r w:rsidR="00565954" w:rsidRPr="00505BA7">
        <w:t>thoracic,</w:t>
      </w:r>
      <w:r w:rsidRPr="00505BA7">
        <w:t xml:space="preserve"> and mediastinal disorders’ (326 </w:t>
      </w:r>
      <w:r w:rsidR="009D2250">
        <w:t>(</w:t>
      </w:r>
      <w:r w:rsidRPr="00505BA7">
        <w:t>7.2%</w:t>
      </w:r>
      <w:r w:rsidR="009D2250">
        <w:t>)</w:t>
      </w:r>
      <w:r w:rsidRPr="00505BA7">
        <w:t>), and ‘</w:t>
      </w:r>
      <w:r w:rsidRPr="00393EE5">
        <w:t xml:space="preserve">skin and subcutaneous tissue disorders (243 </w:t>
      </w:r>
      <w:r w:rsidR="009D2250" w:rsidRPr="00393EE5">
        <w:t>(</w:t>
      </w:r>
      <w:r w:rsidRPr="00393EE5">
        <w:t>5.4%</w:t>
      </w:r>
      <w:r w:rsidR="009D2250" w:rsidRPr="00393EE5">
        <w:t>)</w:t>
      </w:r>
      <w:r w:rsidRPr="00393EE5">
        <w:t xml:space="preserve">). The most common </w:t>
      </w:r>
      <w:r w:rsidR="003D69DD" w:rsidRPr="00393EE5">
        <w:t>Preferred Terms</w:t>
      </w:r>
      <w:r w:rsidRPr="00393EE5">
        <w:t xml:space="preserve"> within</w:t>
      </w:r>
      <w:r w:rsidRPr="00505BA7">
        <w:t xml:space="preserve"> these groups were asthma (192 </w:t>
      </w:r>
      <w:r w:rsidR="009D2250">
        <w:t>(</w:t>
      </w:r>
      <w:r w:rsidRPr="00505BA7">
        <w:t>4.3%</w:t>
      </w:r>
      <w:r w:rsidR="009D2250">
        <w:t>)</w:t>
      </w:r>
      <w:r w:rsidRPr="00505BA7">
        <w:t xml:space="preserve">), atopic dermatitis (117 </w:t>
      </w:r>
      <w:r w:rsidR="009D2250">
        <w:t>(</w:t>
      </w:r>
      <w:r w:rsidRPr="00505BA7">
        <w:t>2.6%</w:t>
      </w:r>
      <w:r w:rsidR="009D2250">
        <w:t>)</w:t>
      </w:r>
      <w:r w:rsidRPr="00505BA7">
        <w:t xml:space="preserve">), and upper respiratory tract infection (62 </w:t>
      </w:r>
      <w:r w:rsidR="009D2250">
        <w:t>(</w:t>
      </w:r>
      <w:r w:rsidRPr="00505BA7">
        <w:t>1.4%</w:t>
      </w:r>
      <w:r w:rsidR="009D2250">
        <w:t>)</w:t>
      </w:r>
      <w:r w:rsidRPr="00505BA7">
        <w:t>).</w:t>
      </w:r>
    </w:p>
    <w:p w14:paraId="58820045" w14:textId="77777777" w:rsidR="0029516D" w:rsidRDefault="0029516D" w:rsidP="00505BA7">
      <w:pPr>
        <w:pStyle w:val="Heading5"/>
      </w:pPr>
      <w:r w:rsidRPr="002B5925">
        <w:t>Efficacy results</w:t>
      </w:r>
    </w:p>
    <w:p w14:paraId="0E514AE9" w14:textId="77777777" w:rsidR="0029516D" w:rsidRDefault="0029516D" w:rsidP="00505BA7">
      <w:pPr>
        <w:pStyle w:val="Heading6"/>
      </w:pPr>
      <w:r w:rsidRPr="002B5925">
        <w:t>Primary and co-primary objectives</w:t>
      </w:r>
    </w:p>
    <w:p w14:paraId="5FB37913" w14:textId="7E03F230" w:rsidR="0029516D" w:rsidRPr="00505BA7" w:rsidRDefault="0029516D" w:rsidP="00505BA7">
      <w:r w:rsidRPr="00505BA7">
        <w:t xml:space="preserve">In the FAS </w:t>
      </w:r>
      <w:r w:rsidR="003D69DD" w:rsidRPr="00505BA7">
        <w:t>efficacy</w:t>
      </w:r>
      <w:r w:rsidRPr="00505BA7">
        <w:t>, for 539 of the 4509 subjects 2 to &lt; 18 years of age RT-PCR or culture</w:t>
      </w:r>
      <w:r w:rsidR="003D69DD">
        <w:t xml:space="preserve"> </w:t>
      </w:r>
      <w:r w:rsidRPr="00505BA7">
        <w:t xml:space="preserve">confirmed influenza caused by any Type A or Type B strain were observed, </w:t>
      </w:r>
      <w:r w:rsidR="003D69DD">
        <w:t>that is</w:t>
      </w:r>
      <w:r w:rsidRPr="00505BA7">
        <w:t>, in 175</w:t>
      </w:r>
      <w:r w:rsidR="003D69DD">
        <w:t> </w:t>
      </w:r>
      <w:r w:rsidRPr="00505BA7">
        <w:t xml:space="preserve">subjects in the </w:t>
      </w:r>
      <w:r w:rsidR="00D5036B">
        <w:t>Flucelvax Quad</w:t>
      </w:r>
      <w:r w:rsidRPr="00505BA7">
        <w:t xml:space="preserve"> group (7.8%) and 364 subjects in the comparator group (16.2%). The primary efficacy objective was successfully demonstrated; therefore, the co-primary efficacy objective was assessed.</w:t>
      </w:r>
    </w:p>
    <w:p w14:paraId="6872608A" w14:textId="55E34DC9" w:rsidR="00CC2874" w:rsidRDefault="0029516D" w:rsidP="004C4076">
      <w:r w:rsidRPr="00505BA7">
        <w:t xml:space="preserve">The analysis shows that </w:t>
      </w:r>
      <w:r w:rsidR="00D5036B">
        <w:t>Flucelvax Quad</w:t>
      </w:r>
      <w:r w:rsidRPr="00505BA7">
        <w:t xml:space="preserve"> prevented RT-PCR or culture confirmed influenza caused by any Type A or B strain in subjects 2 to &lt; 18 years of age (primary efficacy endpoint) and 3 to &lt; 18 years of age (co-primary endpoint). The VE of </w:t>
      </w:r>
      <w:r w:rsidR="00D5036B">
        <w:t>Flucelvax Quad</w:t>
      </w:r>
      <w:r w:rsidRPr="00505BA7">
        <w:t xml:space="preserve"> in children 2 to &lt; 18 years of age was 54.6% (95% CI: 45.7</w:t>
      </w:r>
      <w:r w:rsidR="003D69DD">
        <w:t>,</w:t>
      </w:r>
      <w:r w:rsidRPr="00505BA7">
        <w:t xml:space="preserve"> 62.1). The success criterion was met as the </w:t>
      </w:r>
      <w:r w:rsidR="00913EF3" w:rsidRPr="00505BA7">
        <w:t>lower limit</w:t>
      </w:r>
      <w:r w:rsidRPr="00505BA7">
        <w:t xml:space="preserve"> of the 2-sided 95% CI was above 20%. The VE of </w:t>
      </w:r>
      <w:r w:rsidR="00D5036B">
        <w:t>Flucelvax Quad</w:t>
      </w:r>
      <w:r w:rsidRPr="00505BA7">
        <w:t xml:space="preserve"> in children 3 to &lt; 18 years of age was 54.0% (95% CI: 44.8</w:t>
      </w:r>
      <w:r w:rsidR="003D69DD">
        <w:t>,</w:t>
      </w:r>
      <w:r w:rsidRPr="00505BA7">
        <w:t xml:space="preserve"> 61.7). The success criterion was met as the </w:t>
      </w:r>
      <w:r w:rsidR="00913EF3" w:rsidRPr="00505BA7">
        <w:t>lower limit</w:t>
      </w:r>
      <w:r w:rsidRPr="00505BA7">
        <w:t xml:space="preserve"> of 95% CI for VE is above 30%.</w:t>
      </w:r>
    </w:p>
    <w:p w14:paraId="33A1267E" w14:textId="56DCA9FC" w:rsidR="0029516D" w:rsidRPr="00134872" w:rsidRDefault="003D69DD" w:rsidP="004C4076">
      <w:pPr>
        <w:pStyle w:val="TableTitle"/>
        <w:pageBreakBefor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5</w:t>
      </w:r>
      <w:r w:rsidR="007C1059">
        <w:rPr>
          <w:noProof/>
        </w:rPr>
        <w:fldChar w:fldCharType="end"/>
      </w:r>
      <w:r w:rsidR="0029516D" w:rsidRPr="00134872">
        <w:t xml:space="preserve">: </w:t>
      </w:r>
      <w:r w:rsidR="00F178B8" w:rsidRPr="00134872">
        <w:t xml:space="preserve">Study V130_12 </w:t>
      </w:r>
      <w:r w:rsidR="0029516D" w:rsidRPr="00134872">
        <w:t>Number of subjects with first</w:t>
      </w:r>
      <w:r w:rsidRPr="00134872">
        <w:t xml:space="preserve"> </w:t>
      </w:r>
      <w:r w:rsidR="0029516D" w:rsidRPr="00134872">
        <w:t xml:space="preserve">occurrence </w:t>
      </w:r>
      <w:r w:rsidRPr="00134872">
        <w:t xml:space="preserve">reverse transcription polymerase chain reaction </w:t>
      </w:r>
      <w:r w:rsidR="0029516D" w:rsidRPr="00134872">
        <w:t>confirmed or culture</w:t>
      </w:r>
      <w:r w:rsidRPr="00134872">
        <w:t xml:space="preserve"> </w:t>
      </w:r>
      <w:r w:rsidR="0029516D" w:rsidRPr="00134872">
        <w:t xml:space="preserve">confirmed influenza and absolute vaccine efficacy (95% </w:t>
      </w:r>
      <w:r w:rsidRPr="00134872">
        <w:t>confidence interval</w:t>
      </w:r>
      <w:r w:rsidR="0029516D" w:rsidRPr="00134872">
        <w:t xml:space="preserve">), </w:t>
      </w:r>
      <w:proofErr w:type="gramStart"/>
      <w:r w:rsidR="00471335" w:rsidRPr="00134872">
        <w:t>o</w:t>
      </w:r>
      <w:r w:rsidR="0029516D" w:rsidRPr="00134872">
        <w:t>verall</w:t>
      </w:r>
      <w:proofErr w:type="gramEnd"/>
      <w:r w:rsidR="0029516D" w:rsidRPr="00134872">
        <w:t xml:space="preserve"> in subjects 2 to &lt;</w:t>
      </w:r>
      <w:r w:rsidR="003B3E22" w:rsidRPr="00134872">
        <w:t> </w:t>
      </w:r>
      <w:r w:rsidR="0029516D" w:rsidRPr="00134872">
        <w:t>18</w:t>
      </w:r>
      <w:r w:rsidR="003B3E22" w:rsidRPr="00134872">
        <w:t> </w:t>
      </w:r>
      <w:r w:rsidRPr="00134872">
        <w:t xml:space="preserve">years of age </w:t>
      </w:r>
      <w:r w:rsidR="0029516D" w:rsidRPr="00134872">
        <w:t>and 3 to &lt;</w:t>
      </w:r>
      <w:r w:rsidRPr="00134872">
        <w:t xml:space="preserve"> </w:t>
      </w:r>
      <w:r w:rsidR="0029516D" w:rsidRPr="00134872">
        <w:t xml:space="preserve">18 years of age </w:t>
      </w:r>
      <w:r w:rsidRPr="00134872">
        <w:t>(</w:t>
      </w:r>
      <w:r w:rsidR="004C42DD" w:rsidRPr="00134872">
        <w:t xml:space="preserve">efficacy </w:t>
      </w:r>
      <w:r w:rsidR="00F178B8" w:rsidRPr="00134872">
        <w:t>full analysis set</w:t>
      </w:r>
      <w:r w:rsidRPr="00134872">
        <w:t>)</w:t>
      </w:r>
    </w:p>
    <w:p w14:paraId="06BD6354" w14:textId="290077F3" w:rsidR="0029516D" w:rsidRDefault="00CA5508" w:rsidP="00134872">
      <w:r>
        <w:rPr>
          <w:noProof/>
          <w:shd w:val="clear" w:color="auto" w:fill="E6E6E6"/>
          <w:lang w:val="en-GB" w:eastAsia="en-GB"/>
        </w:rPr>
        <w:drawing>
          <wp:inline distT="0" distB="0" distL="0" distR="0" wp14:anchorId="2BF2E033" wp14:editId="2A74D63F">
            <wp:extent cx="5262879" cy="1524000"/>
            <wp:effectExtent l="0" t="0" r="0" b="0"/>
            <wp:docPr id="54" name="Picture 54" descr="Table 5: Study V130_12 Number of subjects with first occurrence reverse transcription polymerase chain reaction confirmed or culture confirmed influenza and absolute vaccine efficacy (95% confidence interval), overall in subjects 2 to &lt; 18 years of age and 3 to &lt; 18 years of age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5: Study V130_12 Number of subjects with first occurrence reverse transcription polymerase chain reaction confirmed or culture confirmed influenza and absolute vaccine efficacy (95% confidence interval), overall in subjects 2 to &lt; 18 years of age and 3 to &lt; 18 years of age (efficacy full analysis s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616" cy="1531163"/>
                    </a:xfrm>
                    <a:prstGeom prst="rect">
                      <a:avLst/>
                    </a:prstGeom>
                    <a:noFill/>
                    <a:ln>
                      <a:noFill/>
                    </a:ln>
                  </pic:spPr>
                </pic:pic>
              </a:graphicData>
            </a:graphic>
          </wp:inline>
        </w:drawing>
      </w:r>
    </w:p>
    <w:p w14:paraId="12909E9A" w14:textId="7106EEC1" w:rsidR="00BC24B5" w:rsidRPr="00134872" w:rsidRDefault="00BB487C" w:rsidP="00134872">
      <w:pPr>
        <w:pStyle w:val="TableDescription"/>
      </w:pPr>
      <w:r w:rsidRPr="00134872">
        <w:t xml:space="preserve">Abbreviations: </w:t>
      </w:r>
      <w:proofErr w:type="spellStart"/>
      <w:r w:rsidR="00471335" w:rsidRPr="00134872">
        <w:t>aVE</w:t>
      </w:r>
      <w:proofErr w:type="spellEnd"/>
      <w:r w:rsidR="00471335" w:rsidRPr="00134872">
        <w:t xml:space="preserve"> = absolute vaccine efficacy; </w:t>
      </w:r>
      <w:r w:rsidR="00E10AC6" w:rsidRPr="00134872">
        <w:t xml:space="preserve">CI = confidence interval; N = population size; </w:t>
      </w:r>
      <w:r w:rsidR="00BC24B5" w:rsidRPr="00134872">
        <w:t>n =</w:t>
      </w:r>
      <w:r w:rsidR="00E10AC6" w:rsidRPr="00134872">
        <w:t xml:space="preserve"> sample size; </w:t>
      </w:r>
      <w:proofErr w:type="spellStart"/>
      <w:r w:rsidR="00BC24B5" w:rsidRPr="00134872">
        <w:t>QIVc</w:t>
      </w:r>
      <w:proofErr w:type="spellEnd"/>
      <w:r w:rsidR="00BC24B5" w:rsidRPr="00134872">
        <w:t xml:space="preserve"> =</w:t>
      </w:r>
      <w:r w:rsidR="00E10AC6" w:rsidRPr="00134872">
        <w:t xml:space="preserve"> Flucelvax Quad; </w:t>
      </w:r>
      <w:r w:rsidR="00BC24B5" w:rsidRPr="00134872">
        <w:t xml:space="preserve">RT-PCR = </w:t>
      </w:r>
      <w:r w:rsidR="00E10AC6" w:rsidRPr="00134872">
        <w:t>reverse transcription polymerase chain reaction.</w:t>
      </w:r>
    </w:p>
    <w:p w14:paraId="2D473679" w14:textId="589F1E76" w:rsidR="00CA5508" w:rsidRPr="00134872" w:rsidRDefault="00CA5508" w:rsidP="00134872">
      <w:pPr>
        <w:pStyle w:val="TableDescription"/>
      </w:pPr>
      <w:r w:rsidRPr="00134872">
        <w:t xml:space="preserve">a. </w:t>
      </w:r>
      <w:r w:rsidR="00F90660" w:rsidRPr="00134872">
        <w:t xml:space="preserve">Full </w:t>
      </w:r>
      <w:r w:rsidR="00471335" w:rsidRPr="00134872">
        <w:t>analysis set efficacy 1 (</w:t>
      </w:r>
      <w:r w:rsidRPr="00134872">
        <w:t>FAS-Eff</w:t>
      </w:r>
      <w:r w:rsidR="00471335" w:rsidRPr="00134872">
        <w:t>1)</w:t>
      </w:r>
      <w:r w:rsidRPr="00134872">
        <w:t xml:space="preserve"> included all subjects 2 to &lt; 18 years of age who received at least one dose of study vaccine and were evaluated for </w:t>
      </w:r>
      <w:r w:rsidR="00F90660" w:rsidRPr="00134872">
        <w:t>efficacy</w:t>
      </w:r>
      <w:r w:rsidRPr="00134872">
        <w:t xml:space="preserve"> from 14 days after the last vaccination </w:t>
      </w:r>
      <w:r w:rsidR="00F90660" w:rsidRPr="00134872">
        <w:t>(</w:t>
      </w:r>
      <w:r w:rsidRPr="00134872">
        <w:t>primary objective).</w:t>
      </w:r>
    </w:p>
    <w:p w14:paraId="4B60214E" w14:textId="2C22A027" w:rsidR="00CA5508" w:rsidRPr="00134872" w:rsidRDefault="00CA5508" w:rsidP="00134872">
      <w:pPr>
        <w:pStyle w:val="TableDescription"/>
      </w:pPr>
      <w:r w:rsidRPr="00134872">
        <w:t xml:space="preserve">b. </w:t>
      </w:r>
      <w:r w:rsidR="00471335" w:rsidRPr="00134872">
        <w:t>Full analysis set efficacy 2 (</w:t>
      </w:r>
      <w:r w:rsidRPr="00134872">
        <w:t>FAS-Eff2</w:t>
      </w:r>
      <w:r w:rsidR="00471335" w:rsidRPr="00134872">
        <w:t>)</w:t>
      </w:r>
      <w:r w:rsidRPr="00134872">
        <w:t xml:space="preserve"> included all subjects 3 to &lt;</w:t>
      </w:r>
      <w:r w:rsidR="00F90660" w:rsidRPr="00134872">
        <w:t xml:space="preserve"> </w:t>
      </w:r>
      <w:r w:rsidRPr="00134872">
        <w:t xml:space="preserve">18 years of age who received at least one dose of study vaccine and were </w:t>
      </w:r>
      <w:r w:rsidR="00F90660" w:rsidRPr="00134872">
        <w:t>evaluated</w:t>
      </w:r>
      <w:r w:rsidRPr="00134872">
        <w:t xml:space="preserve"> for efficacy from 14 days after the last vaccination (co</w:t>
      </w:r>
      <w:r w:rsidR="007C0C7D" w:rsidRPr="00134872">
        <w:noBreakHyphen/>
      </w:r>
      <w:r w:rsidR="00F90660" w:rsidRPr="00134872">
        <w:t>primary</w:t>
      </w:r>
      <w:r w:rsidRPr="00134872">
        <w:t xml:space="preserve"> objective).</w:t>
      </w:r>
    </w:p>
    <w:p w14:paraId="58AD31E4" w14:textId="3A90485E" w:rsidR="00CA5508" w:rsidRPr="00134872" w:rsidRDefault="00CA5508" w:rsidP="00134872">
      <w:pPr>
        <w:pStyle w:val="TableDescription"/>
      </w:pPr>
      <w:r w:rsidRPr="00134872">
        <w:t xml:space="preserve">c. Adjusted </w:t>
      </w:r>
      <w:proofErr w:type="spellStart"/>
      <w:r w:rsidRPr="00134872">
        <w:t>aVE</w:t>
      </w:r>
      <w:proofErr w:type="spellEnd"/>
      <w:r w:rsidRPr="00134872">
        <w:t xml:space="preserve"> is pres</w:t>
      </w:r>
      <w:r w:rsidR="00F90660" w:rsidRPr="00134872">
        <w:t>en</w:t>
      </w:r>
      <w:r w:rsidRPr="00134872">
        <w:t>ted.</w:t>
      </w:r>
    </w:p>
    <w:p w14:paraId="2A983CCC" w14:textId="31172AFF" w:rsidR="0029516D" w:rsidRPr="00505BA7" w:rsidRDefault="0029516D" w:rsidP="003D69DD">
      <w:pPr>
        <w:pStyle w:val="Heading6"/>
      </w:pPr>
      <w:r w:rsidRPr="00505BA7">
        <w:t xml:space="preserve">Secondary </w:t>
      </w:r>
      <w:r w:rsidR="003B3E22">
        <w:t>o</w:t>
      </w:r>
      <w:r w:rsidRPr="00505BA7">
        <w:t>bjectives</w:t>
      </w:r>
    </w:p>
    <w:p w14:paraId="2D612930" w14:textId="4E59EAFC" w:rsidR="0029516D" w:rsidRPr="00505BA7" w:rsidRDefault="0029516D" w:rsidP="00505BA7">
      <w:r w:rsidRPr="00505BA7">
        <w:t xml:space="preserve">These were intended to demonstrate the absolute </w:t>
      </w:r>
      <w:r w:rsidR="00393EE5">
        <w:t>VE</w:t>
      </w:r>
      <w:r w:rsidRPr="00505BA7">
        <w:t xml:space="preserve"> of </w:t>
      </w:r>
      <w:r w:rsidR="00D5036B">
        <w:t>Flucelvax Quad</w:t>
      </w:r>
      <w:r w:rsidRPr="00505BA7">
        <w:t xml:space="preserve"> versus a non-influenza comparator determined by the first occurrence of either RT-PCR</w:t>
      </w:r>
      <w:r w:rsidR="003D69DD">
        <w:t xml:space="preserve"> </w:t>
      </w:r>
      <w:r w:rsidRPr="00505BA7">
        <w:t>and/or culture</w:t>
      </w:r>
      <w:r w:rsidR="003D69DD">
        <w:t xml:space="preserve"> </w:t>
      </w:r>
      <w:r w:rsidRPr="00505BA7">
        <w:t>confirmed influenza due to any Type A and B strain, and culture</w:t>
      </w:r>
      <w:r w:rsidR="003D69DD">
        <w:t xml:space="preserve"> </w:t>
      </w:r>
      <w:r w:rsidRPr="00505BA7">
        <w:t>confirmed antigenically matched to the vaccine strains. These endpoints were evaluated in different age cohorts of 2</w:t>
      </w:r>
      <w:r w:rsidR="007C0C7D">
        <w:t> </w:t>
      </w:r>
      <w:r w:rsidRPr="00505BA7">
        <w:t>to &lt;</w:t>
      </w:r>
      <w:r w:rsidR="003D69DD">
        <w:t xml:space="preserve"> </w:t>
      </w:r>
      <w:r w:rsidRPr="00505BA7">
        <w:t>4, 4 to &lt; 18, 2 to &lt; 9, and 9 to &lt; 18 years of age.</w:t>
      </w:r>
    </w:p>
    <w:p w14:paraId="0375F06E" w14:textId="61C5EE5F" w:rsidR="0029516D" w:rsidRPr="003D69DD" w:rsidRDefault="0029516D" w:rsidP="003D69DD">
      <w:pPr>
        <w:pStyle w:val="Heading7"/>
        <w:rPr>
          <w:sz w:val="22"/>
          <w:szCs w:val="28"/>
        </w:rPr>
      </w:pPr>
      <w:r w:rsidRPr="003D69DD">
        <w:rPr>
          <w:sz w:val="22"/>
          <w:szCs w:val="28"/>
        </w:rPr>
        <w:t>Subjects 2 to &lt;</w:t>
      </w:r>
      <w:r w:rsidR="003D69DD">
        <w:rPr>
          <w:sz w:val="22"/>
          <w:szCs w:val="28"/>
        </w:rPr>
        <w:t xml:space="preserve"> </w:t>
      </w:r>
      <w:r w:rsidRPr="003D69DD">
        <w:rPr>
          <w:sz w:val="22"/>
          <w:szCs w:val="28"/>
        </w:rPr>
        <w:t>4 years of age</w:t>
      </w:r>
    </w:p>
    <w:p w14:paraId="5E956534" w14:textId="46CDD735" w:rsidR="0029516D" w:rsidRPr="00505BA7" w:rsidRDefault="0029516D" w:rsidP="00505BA7">
      <w:r w:rsidRPr="00505BA7">
        <w:t>In subjects 2 to &lt;</w:t>
      </w:r>
      <w:r w:rsidR="003D69DD">
        <w:t xml:space="preserve"> </w:t>
      </w:r>
      <w:r w:rsidRPr="00505BA7">
        <w:t xml:space="preserve">4 years of age, the overall VE of </w:t>
      </w:r>
      <w:r w:rsidR="00D5036B">
        <w:t>Flucelvax Quad</w:t>
      </w:r>
      <w:r w:rsidRPr="00505BA7">
        <w:t xml:space="preserve"> against RT-PCR or culture confirmed influenza was 62.66% (95% CI: 38.06</w:t>
      </w:r>
      <w:r w:rsidR="003D69DD">
        <w:t>,</w:t>
      </w:r>
      <w:r w:rsidRPr="00505BA7">
        <w:t xml:space="preserve"> 77.49).</w:t>
      </w:r>
    </w:p>
    <w:p w14:paraId="24587367" w14:textId="3C3FAA01" w:rsidR="0029516D" w:rsidRPr="003D69DD" w:rsidRDefault="0029516D" w:rsidP="003D69DD">
      <w:pPr>
        <w:pStyle w:val="Heading7"/>
        <w:rPr>
          <w:sz w:val="22"/>
          <w:szCs w:val="28"/>
        </w:rPr>
      </w:pPr>
      <w:r w:rsidRPr="003D69DD">
        <w:rPr>
          <w:sz w:val="22"/>
          <w:szCs w:val="28"/>
        </w:rPr>
        <w:t>Subjects 4 to &lt;</w:t>
      </w:r>
      <w:r w:rsidR="003D69DD">
        <w:rPr>
          <w:sz w:val="22"/>
          <w:szCs w:val="28"/>
        </w:rPr>
        <w:t xml:space="preserve"> </w:t>
      </w:r>
      <w:r w:rsidRPr="003D69DD">
        <w:rPr>
          <w:sz w:val="22"/>
          <w:szCs w:val="28"/>
        </w:rPr>
        <w:t>18 years of age</w:t>
      </w:r>
    </w:p>
    <w:p w14:paraId="70500564" w14:textId="002F835F" w:rsidR="0029516D" w:rsidRPr="00505BA7" w:rsidRDefault="0029516D" w:rsidP="00505BA7">
      <w:r w:rsidRPr="00505BA7">
        <w:t>In subjects 4 to &lt;</w:t>
      </w:r>
      <w:r w:rsidR="003D69DD">
        <w:t xml:space="preserve"> </w:t>
      </w:r>
      <w:r w:rsidRPr="00505BA7">
        <w:t xml:space="preserve">18 years of age, the overall VE of </w:t>
      </w:r>
      <w:r w:rsidR="00D5036B">
        <w:t>Flucelvax Quad</w:t>
      </w:r>
      <w:r w:rsidRPr="00505BA7">
        <w:t xml:space="preserve"> against any RT-PCR or culture- confirmed influenza was 53.33% (95% CI: 43.38</w:t>
      </w:r>
      <w:r w:rsidR="003D69DD">
        <w:t>,</w:t>
      </w:r>
      <w:r w:rsidRPr="00505BA7">
        <w:t xml:space="preserve"> 61.54).</w:t>
      </w:r>
    </w:p>
    <w:p w14:paraId="48EBB867" w14:textId="39CF789A" w:rsidR="0029516D" w:rsidRPr="003D69DD" w:rsidRDefault="0029516D" w:rsidP="003D69DD">
      <w:pPr>
        <w:pStyle w:val="Heading7"/>
        <w:rPr>
          <w:sz w:val="22"/>
          <w:szCs w:val="28"/>
        </w:rPr>
      </w:pPr>
      <w:r w:rsidRPr="003D69DD">
        <w:rPr>
          <w:sz w:val="22"/>
          <w:szCs w:val="28"/>
        </w:rPr>
        <w:t>Subjects 2 to &lt;</w:t>
      </w:r>
      <w:r w:rsidR="003D69DD">
        <w:rPr>
          <w:sz w:val="22"/>
          <w:szCs w:val="28"/>
        </w:rPr>
        <w:t xml:space="preserve"> </w:t>
      </w:r>
      <w:r w:rsidRPr="003D69DD">
        <w:rPr>
          <w:sz w:val="22"/>
          <w:szCs w:val="28"/>
        </w:rPr>
        <w:t>9 years of age</w:t>
      </w:r>
    </w:p>
    <w:p w14:paraId="160E10A0" w14:textId="245F3269" w:rsidR="0029516D" w:rsidRPr="00505BA7" w:rsidRDefault="0029516D" w:rsidP="00505BA7">
      <w:r w:rsidRPr="00505BA7">
        <w:t>In subjects 2 to &lt;</w:t>
      </w:r>
      <w:r w:rsidR="003D69DD">
        <w:t xml:space="preserve"> </w:t>
      </w:r>
      <w:r w:rsidRPr="00505BA7">
        <w:t xml:space="preserve">9 years of age, the overall VE of </w:t>
      </w:r>
      <w:r w:rsidR="00D5036B">
        <w:t>Flucelvax Quad</w:t>
      </w:r>
      <w:r w:rsidRPr="00505BA7">
        <w:t xml:space="preserve"> against any RT-PCR or culture</w:t>
      </w:r>
      <w:r w:rsidR="003D69DD">
        <w:t xml:space="preserve"> </w:t>
      </w:r>
      <w:r w:rsidRPr="00505BA7">
        <w:t>confirmed influenza was 50.51% (95% CI: 38.43</w:t>
      </w:r>
      <w:r w:rsidR="003D69DD">
        <w:t>,</w:t>
      </w:r>
      <w:r w:rsidRPr="00505BA7">
        <w:t xml:space="preserve"> 60.22).</w:t>
      </w:r>
    </w:p>
    <w:p w14:paraId="34A08F5C" w14:textId="731DB21E" w:rsidR="0029516D" w:rsidRPr="003D69DD" w:rsidRDefault="0029516D" w:rsidP="003D69DD">
      <w:pPr>
        <w:pStyle w:val="Heading7"/>
        <w:rPr>
          <w:sz w:val="22"/>
          <w:szCs w:val="28"/>
        </w:rPr>
      </w:pPr>
      <w:r w:rsidRPr="003D69DD">
        <w:rPr>
          <w:sz w:val="22"/>
          <w:szCs w:val="28"/>
        </w:rPr>
        <w:t>Subjects 9 to &lt;</w:t>
      </w:r>
      <w:r w:rsidR="003D69DD">
        <w:rPr>
          <w:sz w:val="22"/>
          <w:szCs w:val="28"/>
        </w:rPr>
        <w:t xml:space="preserve"> </w:t>
      </w:r>
      <w:r w:rsidRPr="003D69DD">
        <w:rPr>
          <w:sz w:val="22"/>
          <w:szCs w:val="28"/>
        </w:rPr>
        <w:t>18 years of age</w:t>
      </w:r>
    </w:p>
    <w:p w14:paraId="71CEAC4A" w14:textId="65EA3BDB" w:rsidR="00BE515D" w:rsidRDefault="0029516D" w:rsidP="004C4076">
      <w:r w:rsidRPr="00505BA7">
        <w:t>In subjects 9 to &lt;</w:t>
      </w:r>
      <w:r w:rsidR="003D69DD">
        <w:t xml:space="preserve"> </w:t>
      </w:r>
      <w:r w:rsidRPr="00505BA7">
        <w:t xml:space="preserve">18 years of age, the overall VE of </w:t>
      </w:r>
      <w:r w:rsidR="00D5036B">
        <w:t>Flucelvax Quad</w:t>
      </w:r>
      <w:r w:rsidRPr="00505BA7">
        <w:t xml:space="preserve"> against any RT-PCR or culture</w:t>
      </w:r>
      <w:r w:rsidR="003D69DD">
        <w:t xml:space="preserve"> </w:t>
      </w:r>
      <w:r w:rsidRPr="00505BA7">
        <w:t>confirmed influenza was 61.85% (95% CI: 47.37</w:t>
      </w:r>
      <w:r w:rsidR="003D69DD">
        <w:t>,</w:t>
      </w:r>
      <w:r w:rsidRPr="00505BA7">
        <w:t xml:space="preserve"> 72.34).</w:t>
      </w:r>
    </w:p>
    <w:p w14:paraId="73A7E4DF" w14:textId="17122EF7" w:rsidR="0029516D" w:rsidRPr="00134872" w:rsidRDefault="003D69DD" w:rsidP="004C4076">
      <w:pPr>
        <w:pStyle w:val="TableTitle"/>
        <w:pageBreakBefor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6</w:t>
      </w:r>
      <w:r w:rsidR="007C1059">
        <w:rPr>
          <w:noProof/>
        </w:rPr>
        <w:fldChar w:fldCharType="end"/>
      </w:r>
      <w:r w:rsidR="0029516D" w:rsidRPr="00134872">
        <w:t xml:space="preserve">: </w:t>
      </w:r>
      <w:r w:rsidR="00F178B8" w:rsidRPr="00134872">
        <w:t xml:space="preserve">Study V130_12 </w:t>
      </w:r>
      <w:r w:rsidR="0029516D" w:rsidRPr="00134872">
        <w:t>Number of subjects with first</w:t>
      </w:r>
      <w:r w:rsidRPr="00134872">
        <w:t xml:space="preserve"> </w:t>
      </w:r>
      <w:r w:rsidR="0029516D" w:rsidRPr="00134872">
        <w:t xml:space="preserve">occurrence </w:t>
      </w:r>
      <w:r w:rsidRPr="00134872">
        <w:t xml:space="preserve">reverse transcription polymerase chain reaction </w:t>
      </w:r>
      <w:r w:rsidR="0029516D" w:rsidRPr="00134872">
        <w:t xml:space="preserve">confirmed or culture confirmed influenza and </w:t>
      </w:r>
      <w:r w:rsidR="00856C11" w:rsidRPr="00134872">
        <w:t>absolute vaccine efficacy</w:t>
      </w:r>
      <w:r w:rsidR="0029516D" w:rsidRPr="00134872">
        <w:t xml:space="preserve"> (95% </w:t>
      </w:r>
      <w:r w:rsidRPr="00134872">
        <w:t>confidence interval</w:t>
      </w:r>
      <w:r w:rsidR="0029516D" w:rsidRPr="00134872">
        <w:t>), overall and by strain, in subjects 2 to &lt;</w:t>
      </w:r>
      <w:r w:rsidR="00856C11" w:rsidRPr="00134872">
        <w:t xml:space="preserve"> </w:t>
      </w:r>
      <w:r w:rsidR="0029516D" w:rsidRPr="00134872">
        <w:t>4 years of age and 4 to &lt;18 years of age</w:t>
      </w:r>
      <w:r w:rsidR="00856C11" w:rsidRPr="00134872">
        <w:t xml:space="preserve"> (</w:t>
      </w:r>
      <w:r w:rsidR="004C42DD" w:rsidRPr="00134872">
        <w:t xml:space="preserve">efficacy </w:t>
      </w:r>
      <w:r w:rsidR="00F178B8" w:rsidRPr="00134872">
        <w:t>full analysis set</w:t>
      </w:r>
      <w:r w:rsidR="00856C11" w:rsidRPr="00134872">
        <w:t>)</w:t>
      </w:r>
    </w:p>
    <w:p w14:paraId="6783D7D5" w14:textId="47FBE1B7" w:rsidR="00FA5EF0" w:rsidRPr="00505BA7" w:rsidRDefault="00FA5EF0" w:rsidP="00134872">
      <w:r>
        <w:rPr>
          <w:noProof/>
          <w:shd w:val="clear" w:color="auto" w:fill="E6E6E6"/>
          <w:lang w:val="en-GB" w:eastAsia="en-GB"/>
        </w:rPr>
        <w:drawing>
          <wp:inline distT="0" distB="0" distL="0" distR="0" wp14:anchorId="250F136E" wp14:editId="75D732DD">
            <wp:extent cx="5040085" cy="7603092"/>
            <wp:effectExtent l="0" t="0" r="8255" b="0"/>
            <wp:docPr id="55" name="Picture 55" descr="Table 6: Study V130_12 Number of subjects with first occurrence reverse transcription polymerase chain reaction confirmed or culture confirmed influenza and absolute vaccine efficacy (95% confidence interval), overall and by strain, in subjects 2 to &lt; 4 years of age and 4 to &lt;18 years of age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6: Study V130_12 Number of subjects with first occurrence reverse transcription polymerase chain reaction confirmed or culture confirmed influenza and absolute vaccine efficacy (95% confidence interval), overall and by strain, in subjects 2 to &lt; 4 years of age and 4 to &lt;18 years of age (efficacy full analysis s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7251" cy="7734584"/>
                    </a:xfrm>
                    <a:prstGeom prst="rect">
                      <a:avLst/>
                    </a:prstGeom>
                    <a:noFill/>
                    <a:ln>
                      <a:noFill/>
                    </a:ln>
                  </pic:spPr>
                </pic:pic>
              </a:graphicData>
            </a:graphic>
          </wp:inline>
        </w:drawing>
      </w:r>
    </w:p>
    <w:p w14:paraId="052E4D4B" w14:textId="1D7D520A" w:rsidR="00E10AC6" w:rsidRPr="00134872" w:rsidRDefault="00BB487C" w:rsidP="00134872">
      <w:pPr>
        <w:pStyle w:val="TableDescription"/>
      </w:pPr>
      <w:r w:rsidRPr="00134872">
        <w:t xml:space="preserve">Abbreviations: </w:t>
      </w:r>
      <w:proofErr w:type="spellStart"/>
      <w:r w:rsidR="00E10AC6" w:rsidRPr="00134872">
        <w:t>aVE</w:t>
      </w:r>
      <w:proofErr w:type="spellEnd"/>
      <w:r w:rsidR="00E10AC6" w:rsidRPr="00134872">
        <w:t xml:space="preserve"> = absolute vaccine efficacy; CI = confidence interval; N = population size; n = sample size; </w:t>
      </w:r>
      <w:proofErr w:type="spellStart"/>
      <w:r w:rsidR="00E10AC6" w:rsidRPr="00134872">
        <w:t>QIVc</w:t>
      </w:r>
      <w:proofErr w:type="spellEnd"/>
      <w:r w:rsidR="00E10AC6" w:rsidRPr="00134872">
        <w:t xml:space="preserve"> = Flucelvax Quad; RT-PCR = reverse transcription polymerase chain reaction.</w:t>
      </w:r>
    </w:p>
    <w:p w14:paraId="041B5F5D" w14:textId="66073BE3" w:rsidR="00BE515D" w:rsidRDefault="00FA5EF0" w:rsidP="00134872">
      <w:pPr>
        <w:pStyle w:val="TableDescription"/>
      </w:pPr>
      <w:r w:rsidRPr="00134872">
        <w:t xml:space="preserve">a. Adjusted </w:t>
      </w:r>
      <w:proofErr w:type="spellStart"/>
      <w:r w:rsidRPr="00134872">
        <w:t>aVE</w:t>
      </w:r>
      <w:proofErr w:type="spellEnd"/>
      <w:r w:rsidRPr="00134872">
        <w:t xml:space="preserve"> is presented.</w:t>
      </w:r>
    </w:p>
    <w:p w14:paraId="0F0ABAC9" w14:textId="43049F9C" w:rsidR="0029516D" w:rsidRPr="00134872" w:rsidRDefault="00856C11" w:rsidP="00134872">
      <w:pPr>
        <w:pStyle w:val="TableTitl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7</w:t>
      </w:r>
      <w:r w:rsidR="007C1059">
        <w:rPr>
          <w:noProof/>
        </w:rPr>
        <w:fldChar w:fldCharType="end"/>
      </w:r>
      <w:r w:rsidR="0029516D" w:rsidRPr="00134872">
        <w:t xml:space="preserve">: </w:t>
      </w:r>
      <w:r w:rsidR="00F178B8" w:rsidRPr="00134872">
        <w:t xml:space="preserve">Study V130_12 </w:t>
      </w:r>
      <w:r w:rsidR="0029516D" w:rsidRPr="00134872">
        <w:t>Number of subjects with first</w:t>
      </w:r>
      <w:r w:rsidRPr="00134872">
        <w:t xml:space="preserve"> </w:t>
      </w:r>
      <w:r w:rsidR="0029516D" w:rsidRPr="00134872">
        <w:t xml:space="preserve">occurrence </w:t>
      </w:r>
      <w:r w:rsidR="003D69DD" w:rsidRPr="00134872">
        <w:t xml:space="preserve">reverse transcription polymerase chain reaction </w:t>
      </w:r>
      <w:r w:rsidR="0029516D" w:rsidRPr="00134872">
        <w:t>confirmed or culture</w:t>
      </w:r>
      <w:r w:rsidRPr="00134872">
        <w:t xml:space="preserve"> </w:t>
      </w:r>
      <w:r w:rsidR="0029516D" w:rsidRPr="00134872">
        <w:t xml:space="preserve">confirmed influenza and absolute vaccine efficacy (95% </w:t>
      </w:r>
      <w:r w:rsidR="003D69DD" w:rsidRPr="00134872">
        <w:t>confidence interval</w:t>
      </w:r>
      <w:r w:rsidR="0029516D" w:rsidRPr="00134872">
        <w:t xml:space="preserve">), </w:t>
      </w:r>
      <w:r w:rsidRPr="00134872">
        <w:t>overall and by strain</w:t>
      </w:r>
      <w:r w:rsidR="0029516D" w:rsidRPr="00134872">
        <w:t>, in subjects 2 to &lt;</w:t>
      </w:r>
      <w:r w:rsidRPr="00134872">
        <w:t xml:space="preserve"> </w:t>
      </w:r>
      <w:r w:rsidR="0029516D" w:rsidRPr="00134872">
        <w:t xml:space="preserve">9 </w:t>
      </w:r>
      <w:r w:rsidRPr="00134872">
        <w:t xml:space="preserve">years of age </w:t>
      </w:r>
      <w:r w:rsidR="0029516D" w:rsidRPr="00134872">
        <w:t>and 9 to &lt;</w:t>
      </w:r>
      <w:r w:rsidRPr="00134872">
        <w:t xml:space="preserve"> </w:t>
      </w:r>
      <w:r w:rsidR="0029516D" w:rsidRPr="00134872">
        <w:t>18 years of age</w:t>
      </w:r>
      <w:r w:rsidRPr="00134872">
        <w:t xml:space="preserve"> (</w:t>
      </w:r>
      <w:r w:rsidR="004C42DD" w:rsidRPr="00134872">
        <w:t xml:space="preserve">efficacy </w:t>
      </w:r>
      <w:r w:rsidR="00F178B8" w:rsidRPr="00134872">
        <w:t>full analysis set</w:t>
      </w:r>
      <w:r w:rsidRPr="00134872">
        <w:t>)</w:t>
      </w:r>
    </w:p>
    <w:p w14:paraId="77561256" w14:textId="3DEE7558" w:rsidR="0029516D" w:rsidRDefault="00FA5EF0" w:rsidP="00134872">
      <w:r>
        <w:rPr>
          <w:noProof/>
          <w:shd w:val="clear" w:color="auto" w:fill="E6E6E6"/>
          <w:lang w:val="en-GB" w:eastAsia="en-GB"/>
        </w:rPr>
        <w:drawing>
          <wp:inline distT="0" distB="0" distL="0" distR="0" wp14:anchorId="217186A7" wp14:editId="08DB727F">
            <wp:extent cx="4963885" cy="7590390"/>
            <wp:effectExtent l="0" t="0" r="8255" b="0"/>
            <wp:docPr id="56" name="Picture 56" descr="Table 7: Study V130_12 Number of subjects with first occurrence reverse transcription polymerase chain reaction confirmed or culture confirmed influenza and absolute vaccine efficacy (95% confidence interval), overall and by strain, in subjects 2 to &lt; 9 years of age and 9 to &lt; 18 years of age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 7: Study V130_12 Number of subjects with first occurrence reverse transcription polymerase chain reaction confirmed or culture confirmed influenza and absolute vaccine efficacy (95% confidence interval), overall and by strain, in subjects 2 to &lt; 9 years of age and 9 to &lt; 18 years of age (efficacy full analysis s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386" cy="7699724"/>
                    </a:xfrm>
                    <a:prstGeom prst="rect">
                      <a:avLst/>
                    </a:prstGeom>
                    <a:noFill/>
                    <a:ln>
                      <a:noFill/>
                    </a:ln>
                  </pic:spPr>
                </pic:pic>
              </a:graphicData>
            </a:graphic>
          </wp:inline>
        </w:drawing>
      </w:r>
    </w:p>
    <w:p w14:paraId="2AF316C9" w14:textId="6727FC6B" w:rsidR="00E10AC6" w:rsidRPr="00134872" w:rsidRDefault="00BB487C" w:rsidP="00134872">
      <w:pPr>
        <w:pStyle w:val="TableDescription"/>
      </w:pPr>
      <w:r w:rsidRPr="00134872">
        <w:t xml:space="preserve">Abbreviations: </w:t>
      </w:r>
      <w:proofErr w:type="spellStart"/>
      <w:r w:rsidR="00E10AC6" w:rsidRPr="00134872">
        <w:t>aVE</w:t>
      </w:r>
      <w:proofErr w:type="spellEnd"/>
      <w:r w:rsidR="00E10AC6" w:rsidRPr="00134872">
        <w:t xml:space="preserve"> = absolute vaccine efficacy; CI = confidence interval; N = population size; n = sample size; </w:t>
      </w:r>
      <w:proofErr w:type="spellStart"/>
      <w:r w:rsidR="00E10AC6" w:rsidRPr="00134872">
        <w:t>QIVc</w:t>
      </w:r>
      <w:proofErr w:type="spellEnd"/>
      <w:r w:rsidR="00E10AC6" w:rsidRPr="00134872">
        <w:t xml:space="preserve"> = Flucelvax Quad; RT-PCR = reverse transcription polymerase chain reaction.</w:t>
      </w:r>
    </w:p>
    <w:p w14:paraId="343F80E6" w14:textId="3E9172EB" w:rsidR="00BE515D" w:rsidRDefault="00FA5EF0" w:rsidP="00134872">
      <w:pPr>
        <w:pStyle w:val="TableDescription"/>
      </w:pPr>
      <w:r w:rsidRPr="00134872">
        <w:t xml:space="preserve">a. Adjusted </w:t>
      </w:r>
      <w:proofErr w:type="spellStart"/>
      <w:r w:rsidRPr="00134872">
        <w:t>aVE</w:t>
      </w:r>
      <w:proofErr w:type="spellEnd"/>
      <w:r w:rsidRPr="00134872">
        <w:t xml:space="preserve"> is presented.</w:t>
      </w:r>
    </w:p>
    <w:p w14:paraId="3C0A73D0" w14:textId="0CF950D7" w:rsidR="0029516D" w:rsidRPr="00134872" w:rsidRDefault="00856C11" w:rsidP="00134872">
      <w:pPr>
        <w:pStyle w:val="TableTitl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8</w:t>
      </w:r>
      <w:r w:rsidR="007C1059">
        <w:rPr>
          <w:noProof/>
        </w:rPr>
        <w:fldChar w:fldCharType="end"/>
      </w:r>
      <w:r w:rsidR="0029516D" w:rsidRPr="00134872">
        <w:t xml:space="preserve">: </w:t>
      </w:r>
      <w:r w:rsidR="00F178B8" w:rsidRPr="00134872">
        <w:t xml:space="preserve">Study V130_12 </w:t>
      </w:r>
      <w:r w:rsidR="0029516D" w:rsidRPr="00134872">
        <w:t>Number of subjects with first</w:t>
      </w:r>
      <w:r w:rsidRPr="00134872">
        <w:t xml:space="preserve"> </w:t>
      </w:r>
      <w:r w:rsidR="0029516D" w:rsidRPr="00134872">
        <w:t xml:space="preserve">occurrence </w:t>
      </w:r>
      <w:r w:rsidR="003D69DD" w:rsidRPr="00134872">
        <w:t xml:space="preserve">reverse transcription polymerase chain reaction </w:t>
      </w:r>
      <w:r w:rsidR="0029516D" w:rsidRPr="00134872">
        <w:t>confirmed or culture</w:t>
      </w:r>
      <w:r w:rsidR="00BE515D" w:rsidRPr="00134872">
        <w:t xml:space="preserve"> </w:t>
      </w:r>
      <w:r w:rsidR="0029516D" w:rsidRPr="00134872">
        <w:t xml:space="preserve">confirmed influenza and absolute vaccine efficacy (95% </w:t>
      </w:r>
      <w:r w:rsidR="003D69DD" w:rsidRPr="00134872">
        <w:t>confidence interval</w:t>
      </w:r>
      <w:r w:rsidR="0029516D" w:rsidRPr="00134872">
        <w:t xml:space="preserve">), </w:t>
      </w:r>
      <w:r w:rsidRPr="00134872">
        <w:t>overall and by strain</w:t>
      </w:r>
      <w:r w:rsidR="0029516D" w:rsidRPr="00134872">
        <w:t>, in subjects 2 to &lt;</w:t>
      </w:r>
      <w:r w:rsidRPr="00134872">
        <w:t xml:space="preserve"> </w:t>
      </w:r>
      <w:r w:rsidR="0029516D" w:rsidRPr="00134872">
        <w:t xml:space="preserve">18 </w:t>
      </w:r>
      <w:r w:rsidRPr="00134872">
        <w:t xml:space="preserve">years of age </w:t>
      </w:r>
      <w:r w:rsidR="0029516D" w:rsidRPr="00134872">
        <w:t>and 3 to &lt;</w:t>
      </w:r>
      <w:r w:rsidRPr="00134872">
        <w:t xml:space="preserve"> </w:t>
      </w:r>
      <w:r w:rsidR="0029516D" w:rsidRPr="00134872">
        <w:t xml:space="preserve">18 years of age </w:t>
      </w:r>
      <w:r w:rsidRPr="00134872">
        <w:t>(</w:t>
      </w:r>
      <w:r w:rsidR="004C42DD" w:rsidRPr="00134872">
        <w:t xml:space="preserve">efficacy </w:t>
      </w:r>
      <w:r w:rsidR="00F178B8" w:rsidRPr="00134872">
        <w:t>full analysis set</w:t>
      </w:r>
      <w:r w:rsidRPr="00134872">
        <w:t>)</w:t>
      </w:r>
    </w:p>
    <w:p w14:paraId="4D2F1036" w14:textId="799DE953" w:rsidR="0029516D" w:rsidRDefault="00BE515D" w:rsidP="00BE515D">
      <w:r>
        <w:rPr>
          <w:noProof/>
          <w:color w:val="2B579A"/>
          <w:shd w:val="clear" w:color="auto" w:fill="E6E6E6"/>
          <w:lang w:val="en-GB" w:eastAsia="en-GB"/>
        </w:rPr>
        <w:drawing>
          <wp:inline distT="0" distB="0" distL="0" distR="0" wp14:anchorId="40B6FC49" wp14:editId="2BA45B30">
            <wp:extent cx="4767943" cy="8158480"/>
            <wp:effectExtent l="0" t="0" r="0" b="0"/>
            <wp:docPr id="27" name="Picture 27" descr="Table 8: Study V130_12 Number of subjects with first occurrence reverse transcription polymerase chain reaction confirmed or culture confirmed influenza and absolute vaccine efficacy (95% confidence interval), overall and by strain, in subjects 2 to &lt; 18 years of age and 3 to &lt; 18 years of age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8: Study V130_12 Number of subjects with first occurrence reverse transcription polymerase chain reaction confirmed or culture confirmed influenza and absolute vaccine efficacy (95% confidence interval), overall and by strain, in subjects 2 to &lt; 18 years of age and 3 to &lt; 18 years of age (efficacy full analysis s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5338" cy="8205356"/>
                    </a:xfrm>
                    <a:prstGeom prst="rect">
                      <a:avLst/>
                    </a:prstGeom>
                    <a:noFill/>
                    <a:ln>
                      <a:noFill/>
                    </a:ln>
                  </pic:spPr>
                </pic:pic>
              </a:graphicData>
            </a:graphic>
          </wp:inline>
        </w:drawing>
      </w:r>
    </w:p>
    <w:p w14:paraId="20FA19B1" w14:textId="47A2B6C5" w:rsidR="00E10AC6" w:rsidRPr="00134872" w:rsidRDefault="00BB487C" w:rsidP="00134872">
      <w:pPr>
        <w:pStyle w:val="TableDescription"/>
      </w:pPr>
      <w:r w:rsidRPr="00134872">
        <w:lastRenderedPageBreak/>
        <w:t xml:space="preserve">Abbreviations: </w:t>
      </w:r>
      <w:proofErr w:type="spellStart"/>
      <w:r w:rsidR="00E10AC6" w:rsidRPr="00134872">
        <w:t>aVE</w:t>
      </w:r>
      <w:proofErr w:type="spellEnd"/>
      <w:r w:rsidR="00E10AC6" w:rsidRPr="00134872">
        <w:t xml:space="preserve"> = absolute vaccine efficacy; N = population size; CI = confidence interval; n = sample size; </w:t>
      </w:r>
      <w:proofErr w:type="spellStart"/>
      <w:r w:rsidR="00E10AC6" w:rsidRPr="00134872">
        <w:t>QIVc</w:t>
      </w:r>
      <w:proofErr w:type="spellEnd"/>
      <w:r w:rsidR="00E10AC6" w:rsidRPr="00134872">
        <w:t xml:space="preserve"> = Flucelvax Quad; RT-PCR = reverse transcription polymerase chain reaction.</w:t>
      </w:r>
    </w:p>
    <w:p w14:paraId="401E1E4B" w14:textId="77777777" w:rsidR="00BE515D" w:rsidRPr="00134872" w:rsidRDefault="00BE515D" w:rsidP="00134872">
      <w:pPr>
        <w:pStyle w:val="TableDescription"/>
      </w:pPr>
      <w:r w:rsidRPr="00134872">
        <w:t>a. Full analysis set efficacy 1 (FAS-Eff1) included all subjects 2 to &lt; 18 years of age who received at least one dose of study vaccine and were evaluated for efficacy from 14 days after the last vaccination (primary objective).</w:t>
      </w:r>
    </w:p>
    <w:p w14:paraId="5E7D0C12" w14:textId="7CF0A195" w:rsidR="00BE515D" w:rsidRPr="00134872" w:rsidRDefault="00BE515D" w:rsidP="00134872">
      <w:pPr>
        <w:pStyle w:val="TableDescription"/>
      </w:pPr>
      <w:r w:rsidRPr="00134872">
        <w:t>b. Full analysis set efficacy 2 (FAS-Eff2) included all subjects 3 to &lt; 18 years of age who received at least one dose of study vaccine and were evaluated for efficacy from 14 days after the last vaccination (co</w:t>
      </w:r>
      <w:r w:rsidR="007C0C7D" w:rsidRPr="00134872">
        <w:noBreakHyphen/>
      </w:r>
      <w:r w:rsidRPr="00134872">
        <w:t>primary objective).</w:t>
      </w:r>
    </w:p>
    <w:p w14:paraId="19327779" w14:textId="353D3B48" w:rsidR="00BE515D" w:rsidRPr="00134872" w:rsidRDefault="00BE515D" w:rsidP="00134872">
      <w:pPr>
        <w:pStyle w:val="TableDescription"/>
      </w:pPr>
      <w:r w:rsidRPr="00134872">
        <w:t xml:space="preserve">c. Adjusted </w:t>
      </w:r>
      <w:proofErr w:type="spellStart"/>
      <w:r w:rsidRPr="00134872">
        <w:t>aVE</w:t>
      </w:r>
      <w:proofErr w:type="spellEnd"/>
      <w:r w:rsidRPr="00134872">
        <w:t xml:space="preserve"> is presented.</w:t>
      </w:r>
    </w:p>
    <w:p w14:paraId="218DC8E0" w14:textId="77777777" w:rsidR="0029516D" w:rsidRPr="004133DC" w:rsidRDefault="0029516D" w:rsidP="00856C11">
      <w:pPr>
        <w:pStyle w:val="Heading6"/>
      </w:pPr>
      <w:r w:rsidRPr="004133DC">
        <w:t>Results for other efficacy outcomes</w:t>
      </w:r>
    </w:p>
    <w:p w14:paraId="57600A5F" w14:textId="77777777" w:rsidR="0029516D" w:rsidRPr="00856C11" w:rsidRDefault="0029516D" w:rsidP="00856C11">
      <w:pPr>
        <w:pStyle w:val="Heading7"/>
        <w:rPr>
          <w:sz w:val="22"/>
          <w:szCs w:val="28"/>
        </w:rPr>
      </w:pPr>
      <w:r w:rsidRPr="00856C11">
        <w:rPr>
          <w:sz w:val="22"/>
          <w:szCs w:val="28"/>
        </w:rPr>
        <w:t>Vaccine efficacy by season</w:t>
      </w:r>
    </w:p>
    <w:p w14:paraId="1A7AC5EA" w14:textId="4A051764" w:rsidR="0029516D" w:rsidRPr="00505BA7" w:rsidRDefault="0029516D" w:rsidP="00505BA7">
      <w:r w:rsidRPr="00505BA7">
        <w:t xml:space="preserve">In Season 1, </w:t>
      </w:r>
      <w:r w:rsidR="00D5036B">
        <w:t>Flucelvax Quad</w:t>
      </w:r>
      <w:r w:rsidRPr="00505BA7">
        <w:t xml:space="preserve"> showed efficacy against any RT-PCR or culture</w:t>
      </w:r>
      <w:r w:rsidR="00856C11">
        <w:t xml:space="preserve"> </w:t>
      </w:r>
      <w:r w:rsidRPr="00505BA7">
        <w:t xml:space="preserve">confirmed strains (56.58% </w:t>
      </w:r>
      <w:r w:rsidR="009D2250">
        <w:t>(</w:t>
      </w:r>
      <w:r w:rsidRPr="00505BA7">
        <w:t>95% CI: 44.18</w:t>
      </w:r>
      <w:r w:rsidR="003D69DD">
        <w:t>,</w:t>
      </w:r>
      <w:r w:rsidRPr="00505BA7">
        <w:t xml:space="preserve"> 66.22</w:t>
      </w:r>
      <w:r w:rsidR="009D2250">
        <w:t>)</w:t>
      </w:r>
      <w:r w:rsidRPr="00505BA7">
        <w:t>).</w:t>
      </w:r>
      <w:r w:rsidR="009D2250">
        <w:t xml:space="preserve"> </w:t>
      </w:r>
      <w:r w:rsidRPr="00505BA7">
        <w:t xml:space="preserve">The efficacy in the </w:t>
      </w:r>
      <w:r w:rsidR="00D5036B">
        <w:t>Flucelvax Quad</w:t>
      </w:r>
      <w:r w:rsidRPr="00505BA7">
        <w:t xml:space="preserve"> group was 44.16% (19.93, 61.05) in Season 2, and 59.49% (41.03, 72.18) in Season 3.</w:t>
      </w:r>
    </w:p>
    <w:p w14:paraId="73076EF5" w14:textId="66F4BBAF" w:rsidR="0029516D" w:rsidRPr="00134872" w:rsidRDefault="00856C11" w:rsidP="00134872">
      <w:pPr>
        <w:pStyle w:val="TableTitle"/>
      </w:pPr>
      <w:bookmarkStart w:id="49" w:name="_Toc70111557"/>
      <w:r w:rsidRPr="00134872">
        <w:t xml:space="preserve">Table </w:t>
      </w:r>
      <w:r w:rsidR="007C1059">
        <w:fldChar w:fldCharType="begin"/>
      </w:r>
      <w:r w:rsidR="007C1059">
        <w:instrText xml:space="preserve"> SEQ Table \* ARABIC </w:instrText>
      </w:r>
      <w:r w:rsidR="007C1059">
        <w:fldChar w:fldCharType="separate"/>
      </w:r>
      <w:r w:rsidR="0028296F">
        <w:rPr>
          <w:noProof/>
        </w:rPr>
        <w:t>9</w:t>
      </w:r>
      <w:r w:rsidR="007C1059">
        <w:rPr>
          <w:noProof/>
        </w:rPr>
        <w:fldChar w:fldCharType="end"/>
      </w:r>
      <w:r w:rsidR="0029516D" w:rsidRPr="00134872">
        <w:t xml:space="preserve">: </w:t>
      </w:r>
      <w:r w:rsidR="00F178B8" w:rsidRPr="00134872">
        <w:t xml:space="preserve">Study V130_12 </w:t>
      </w:r>
      <w:r w:rsidR="0029516D" w:rsidRPr="00134872">
        <w:t>Number of subjects with first</w:t>
      </w:r>
      <w:r w:rsidRPr="00134872">
        <w:t xml:space="preserve"> </w:t>
      </w:r>
      <w:r w:rsidR="0029516D" w:rsidRPr="00134872">
        <w:t xml:space="preserve">occurrence </w:t>
      </w:r>
      <w:r w:rsidR="003D69DD" w:rsidRPr="00134872">
        <w:t xml:space="preserve">reverse transcription polymerase chain reaction </w:t>
      </w:r>
      <w:r w:rsidR="0029516D" w:rsidRPr="00134872">
        <w:t xml:space="preserve">confirmed or culture confirmed influenza </w:t>
      </w:r>
      <w:r w:rsidRPr="00134872">
        <w:t xml:space="preserve">and absolute vaccine efficacy </w:t>
      </w:r>
      <w:r w:rsidR="0029516D" w:rsidRPr="00134872">
        <w:t xml:space="preserve">(95% </w:t>
      </w:r>
      <w:r w:rsidRPr="00134872">
        <w:t>confidence interval</w:t>
      </w:r>
      <w:r w:rsidR="0029516D" w:rsidRPr="00134872">
        <w:t>), in subjects 2 to &lt;</w:t>
      </w:r>
      <w:r w:rsidR="007C0C7D" w:rsidRPr="00134872">
        <w:t> </w:t>
      </w:r>
      <w:r w:rsidR="0029516D" w:rsidRPr="00134872">
        <w:t>18</w:t>
      </w:r>
      <w:r w:rsidR="007C0C7D" w:rsidRPr="00134872">
        <w:t> </w:t>
      </w:r>
      <w:r w:rsidR="0029516D" w:rsidRPr="00134872">
        <w:t xml:space="preserve">years of age by </w:t>
      </w:r>
      <w:r w:rsidRPr="00134872">
        <w:t>S</w:t>
      </w:r>
      <w:r w:rsidR="0029516D" w:rsidRPr="00134872">
        <w:t>easons 1, 2, and 3</w:t>
      </w:r>
      <w:r w:rsidRPr="00134872">
        <w:t xml:space="preserve"> (</w:t>
      </w:r>
      <w:r w:rsidR="004C42DD" w:rsidRPr="00134872">
        <w:t xml:space="preserve">efficacy </w:t>
      </w:r>
      <w:r w:rsidR="00F178B8" w:rsidRPr="00134872">
        <w:t>full analysis set</w:t>
      </w:r>
      <w:bookmarkEnd w:id="49"/>
      <w:r w:rsidRPr="00134872">
        <w:t>)</w:t>
      </w:r>
    </w:p>
    <w:p w14:paraId="2D1E84B9" w14:textId="06D66808" w:rsidR="00FA5EF0" w:rsidRPr="00505BA7" w:rsidRDefault="00FA5EF0" w:rsidP="00134872">
      <w:r>
        <w:rPr>
          <w:noProof/>
          <w:shd w:val="clear" w:color="auto" w:fill="E6E6E6"/>
          <w:lang w:val="en-GB" w:eastAsia="en-GB"/>
        </w:rPr>
        <w:drawing>
          <wp:inline distT="0" distB="0" distL="0" distR="0" wp14:anchorId="6A619E92" wp14:editId="181862E2">
            <wp:extent cx="5273675" cy="5426529"/>
            <wp:effectExtent l="0" t="0" r="3175" b="3175"/>
            <wp:docPr id="3" name="Picture 3" descr="Table 9: Study V130_12 Number of subjects with first occurrence reverse transcription polymerase chain reaction confirmed or culture confirmed influenza and absolute vaccine efficacy (95% confidence interval), in subjects 2 to &lt; 18 years of age by Seasons 1, 2, and 3 (efficac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9: Study V130_12 Number of subjects with first occurrence reverse transcription polymerase chain reaction confirmed or culture confirmed influenza and absolute vaccine efficacy (95% confidence interval), in subjects 2 to &lt; 18 years of age by Seasons 1, 2, and 3 (efficacy full analysis s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012" cy="5437166"/>
                    </a:xfrm>
                    <a:prstGeom prst="rect">
                      <a:avLst/>
                    </a:prstGeom>
                    <a:noFill/>
                    <a:ln>
                      <a:noFill/>
                    </a:ln>
                  </pic:spPr>
                </pic:pic>
              </a:graphicData>
            </a:graphic>
          </wp:inline>
        </w:drawing>
      </w:r>
    </w:p>
    <w:p w14:paraId="4D4B5CB9" w14:textId="6BF6593F" w:rsidR="00E10AC6" w:rsidRPr="00134872" w:rsidRDefault="00BB487C" w:rsidP="00134872">
      <w:pPr>
        <w:pStyle w:val="TableDescription"/>
      </w:pPr>
      <w:r w:rsidRPr="00134872">
        <w:lastRenderedPageBreak/>
        <w:t xml:space="preserve">Abbreviations: </w:t>
      </w:r>
      <w:proofErr w:type="spellStart"/>
      <w:r w:rsidR="00E10AC6" w:rsidRPr="00134872">
        <w:t>aVE</w:t>
      </w:r>
      <w:proofErr w:type="spellEnd"/>
      <w:r w:rsidR="00E10AC6" w:rsidRPr="00134872">
        <w:t xml:space="preserve"> = absolute vaccine efficacy; CI = confidence interval; N = population size; n = sample size; NH = Northern Hemisphere; </w:t>
      </w:r>
      <w:proofErr w:type="spellStart"/>
      <w:r w:rsidR="00E10AC6" w:rsidRPr="00134872">
        <w:t>QIVc</w:t>
      </w:r>
      <w:proofErr w:type="spellEnd"/>
      <w:r w:rsidR="00E10AC6" w:rsidRPr="00134872">
        <w:t xml:space="preserve"> = Flucelvax Quad; RT-PCR = reverse transcription polymerase chain</w:t>
      </w:r>
      <w:r w:rsidR="00CB3C15" w:rsidRPr="00134872">
        <w:t xml:space="preserve"> r</w:t>
      </w:r>
      <w:r w:rsidR="00E10AC6" w:rsidRPr="00134872">
        <w:t>eaction</w:t>
      </w:r>
      <w:r w:rsidR="00CB3C15" w:rsidRPr="00134872">
        <w:t xml:space="preserve">; </w:t>
      </w:r>
      <w:r w:rsidR="00E10AC6" w:rsidRPr="00134872">
        <w:t>SH =</w:t>
      </w:r>
      <w:r w:rsidR="00CB3C15" w:rsidRPr="00134872">
        <w:t xml:space="preserve"> </w:t>
      </w:r>
      <w:r w:rsidR="00565954" w:rsidRPr="00134872">
        <w:t>Southern</w:t>
      </w:r>
      <w:r w:rsidR="00CB3C15" w:rsidRPr="00134872">
        <w:t xml:space="preserve"> Hemisphere.</w:t>
      </w:r>
    </w:p>
    <w:p w14:paraId="39BBDA36" w14:textId="5D82D01B" w:rsidR="0029516D" w:rsidRPr="00134872" w:rsidRDefault="00BE515D" w:rsidP="00134872">
      <w:pPr>
        <w:pStyle w:val="TableDescription"/>
      </w:pPr>
      <w:r w:rsidRPr="00134872">
        <w:t xml:space="preserve">a. Adjusted </w:t>
      </w:r>
      <w:proofErr w:type="spellStart"/>
      <w:r w:rsidRPr="00134872">
        <w:t>aVE</w:t>
      </w:r>
      <w:proofErr w:type="spellEnd"/>
      <w:r w:rsidRPr="00134872">
        <w:t xml:space="preserve"> is presented.</w:t>
      </w:r>
    </w:p>
    <w:p w14:paraId="76AF0BC7" w14:textId="0862CF39" w:rsidR="0029516D" w:rsidRPr="00505BA7" w:rsidRDefault="0029516D" w:rsidP="00505BA7">
      <w:r w:rsidRPr="00505BA7">
        <w:t xml:space="preserve">The </w:t>
      </w:r>
      <w:r w:rsidR="00393EE5" w:rsidRPr="00393EE5">
        <w:t>absolute VE</w:t>
      </w:r>
      <w:r w:rsidRPr="00505BA7">
        <w:t xml:space="preserve"> (RT-PCR or </w:t>
      </w:r>
      <w:r w:rsidR="00856C11" w:rsidRPr="00505BA7">
        <w:t>culture confirmed, any strain</w:t>
      </w:r>
      <w:r w:rsidRPr="00505BA7">
        <w:t xml:space="preserve">) was also analysed in two other age cohorts (different from the 2 to &lt; 18 </w:t>
      </w:r>
      <w:r w:rsidR="003B3E22">
        <w:t xml:space="preserve">years, </w:t>
      </w:r>
      <w:r w:rsidRPr="00505BA7">
        <w:t xml:space="preserve">or 3 to &lt; 18 </w:t>
      </w:r>
      <w:r w:rsidR="003B3E22">
        <w:t xml:space="preserve">years </w:t>
      </w:r>
      <w:r w:rsidRPr="00505BA7">
        <w:t xml:space="preserve">for the primary and coprimary efficacy endpoints). The </w:t>
      </w:r>
      <w:r w:rsidR="00393EE5" w:rsidRPr="00393EE5">
        <w:t>absolute VE</w:t>
      </w:r>
      <w:r w:rsidRPr="00505BA7">
        <w:t xml:space="preserve"> observed were similar between in the two cases.</w:t>
      </w:r>
    </w:p>
    <w:p w14:paraId="3463BA0B" w14:textId="2A71D46F" w:rsidR="0029516D" w:rsidRPr="00505BA7" w:rsidRDefault="0029516D" w:rsidP="00505BA7">
      <w:r w:rsidRPr="00505BA7">
        <w:t xml:space="preserve">In addition, it is mentioned that the efficacy of </w:t>
      </w:r>
      <w:r w:rsidR="00D5036B">
        <w:t>Flucelvax Quad</w:t>
      </w:r>
      <w:r w:rsidRPr="00505BA7">
        <w:t xml:space="preserve"> in </w:t>
      </w:r>
      <w:r w:rsidR="009D2250">
        <w:t>‘</w:t>
      </w:r>
      <w:r w:rsidRPr="00505BA7">
        <w:t>previously vaccinated</w:t>
      </w:r>
      <w:r w:rsidR="009D2250">
        <w:t>’</w:t>
      </w:r>
      <w:r w:rsidRPr="00505BA7">
        <w:t xml:space="preserve"> and </w:t>
      </w:r>
      <w:r w:rsidR="009D2250">
        <w:t>‘</w:t>
      </w:r>
      <w:r w:rsidRPr="00505BA7">
        <w:t>not previously vaccinated</w:t>
      </w:r>
      <w:r w:rsidR="009D2250">
        <w:t>’</w:t>
      </w:r>
      <w:r w:rsidRPr="00505BA7">
        <w:t xml:space="preserve"> including children was comparable and that there was no difference in strain</w:t>
      </w:r>
      <w:r w:rsidR="00856C11">
        <w:t xml:space="preserve"> </w:t>
      </w:r>
      <w:r w:rsidRPr="00505BA7">
        <w:t>specific efficacy against the different influenza strains between these two groups of influenza vaccinated subjects. This point is considered important, since the youngest children are mostly influenza</w:t>
      </w:r>
      <w:r w:rsidR="00856C11">
        <w:t xml:space="preserve"> </w:t>
      </w:r>
      <w:r w:rsidR="00565954" w:rsidRPr="00505BA7">
        <w:t>naïve,</w:t>
      </w:r>
      <w:r w:rsidRPr="00505BA7">
        <w:t xml:space="preserve"> and it is a potential concern that they do not respond to influenza vaccines as well as older children.</w:t>
      </w:r>
    </w:p>
    <w:p w14:paraId="70E50F6F" w14:textId="741E0F0C" w:rsidR="0029516D" w:rsidRPr="00505BA7" w:rsidRDefault="0029516D" w:rsidP="00505BA7">
      <w:r w:rsidRPr="00505BA7">
        <w:t>Regarding to the vaccination status, in subjects 2 to &lt;</w:t>
      </w:r>
      <w:r w:rsidR="00856C11">
        <w:t xml:space="preserve"> </w:t>
      </w:r>
      <w:r w:rsidRPr="00505BA7">
        <w:t xml:space="preserve">18 years of age, the VE of </w:t>
      </w:r>
      <w:r w:rsidR="00D5036B">
        <w:t>Flucelvax Quad</w:t>
      </w:r>
      <w:r w:rsidRPr="00505BA7">
        <w:t xml:space="preserve"> compared with comparator vaccine for any RT-PCR or culture</w:t>
      </w:r>
      <w:r w:rsidR="00856C11">
        <w:t xml:space="preserve"> </w:t>
      </w:r>
      <w:r w:rsidRPr="00505BA7">
        <w:t xml:space="preserve">confirmed strain tended to be higher in subjects </w:t>
      </w:r>
      <w:r w:rsidR="009D2250">
        <w:t>‘</w:t>
      </w:r>
      <w:r w:rsidRPr="00505BA7">
        <w:t>previously vaccinated</w:t>
      </w:r>
      <w:r w:rsidR="009D2250">
        <w:t>’</w:t>
      </w:r>
      <w:r w:rsidRPr="00505BA7">
        <w:t xml:space="preserve"> against influenza 58.67 (47.45, 67.50) as compared to </w:t>
      </w:r>
      <w:r w:rsidR="009D2250">
        <w:t>‘</w:t>
      </w:r>
      <w:r w:rsidRPr="00505BA7">
        <w:t>not previously vaccinated</w:t>
      </w:r>
      <w:r w:rsidR="009D2250">
        <w:t>’</w:t>
      </w:r>
      <w:r w:rsidRPr="00505BA7">
        <w:t xml:space="preserve"> subjects 48.39 (32.13</w:t>
      </w:r>
      <w:r w:rsidR="00856C11">
        <w:t>,</w:t>
      </w:r>
      <w:r w:rsidRPr="00505BA7">
        <w:t xml:space="preserve"> 60.75</w:t>
      </w:r>
      <w:r w:rsidR="009D2250">
        <w:t>)</w:t>
      </w:r>
      <w:r w:rsidRPr="00505BA7">
        <w:t>. Overall, there were 314 RT-PCR or culture</w:t>
      </w:r>
      <w:r w:rsidR="00856C11">
        <w:t xml:space="preserve"> </w:t>
      </w:r>
      <w:r w:rsidRPr="00505BA7">
        <w:t xml:space="preserve">confirmed (178 Type A and 136 Type B) cases in </w:t>
      </w:r>
      <w:r w:rsidR="009D2250">
        <w:t>‘</w:t>
      </w:r>
      <w:r w:rsidRPr="00505BA7">
        <w:t>previously vaccinated</w:t>
      </w:r>
      <w:r w:rsidR="009D2250">
        <w:t>’</w:t>
      </w:r>
      <w:r w:rsidRPr="00505BA7">
        <w:t xml:space="preserve"> compared to225 (132 Type A and 95 Type B) in </w:t>
      </w:r>
      <w:r w:rsidR="009D2250">
        <w:t>‘</w:t>
      </w:r>
      <w:r w:rsidRPr="00505BA7">
        <w:t>not previously vaccinated</w:t>
      </w:r>
      <w:r w:rsidR="009D2250">
        <w:t>’</w:t>
      </w:r>
      <w:r w:rsidRPr="00505BA7">
        <w:t xml:space="preserve"> subjects. There was no difference between </w:t>
      </w:r>
      <w:r w:rsidR="009D2250">
        <w:t>‘</w:t>
      </w:r>
      <w:r w:rsidRPr="00505BA7">
        <w:t>previously vaccinated</w:t>
      </w:r>
      <w:r w:rsidR="009D2250">
        <w:t>’</w:t>
      </w:r>
      <w:r w:rsidRPr="00505BA7">
        <w:t xml:space="preserve"> and </w:t>
      </w:r>
      <w:r w:rsidR="009D2250">
        <w:t>‘</w:t>
      </w:r>
      <w:r w:rsidRPr="00505BA7">
        <w:t>not previously vaccinated</w:t>
      </w:r>
      <w:r w:rsidR="009D2250">
        <w:t>’</w:t>
      </w:r>
      <w:r w:rsidRPr="00505BA7">
        <w:t xml:space="preserve"> subjects in strain specific VE.</w:t>
      </w:r>
    </w:p>
    <w:p w14:paraId="1E8E148E" w14:textId="077EEE8B" w:rsidR="0029516D" w:rsidRPr="00505BA7" w:rsidRDefault="0029516D" w:rsidP="00505BA7">
      <w:r w:rsidRPr="00505BA7">
        <w:t>The analysis showed that VE was similar for White subjects 54.74 (41.54, 64.96) and for Asian subjects 53.70 (40.24,</w:t>
      </w:r>
      <w:r w:rsidR="00856C11">
        <w:t xml:space="preserve"> </w:t>
      </w:r>
      <w:r w:rsidRPr="00505BA7">
        <w:t xml:space="preserve">64.13). There were too few subjects amongst the other racial groups to estimate </w:t>
      </w:r>
      <w:r w:rsidR="00393EE5">
        <w:t>VE</w:t>
      </w:r>
      <w:r w:rsidRPr="00505BA7">
        <w:t>. As expected, the VE was also similar for male subjects 54.70 (42.04,</w:t>
      </w:r>
      <w:r w:rsidR="00856C11">
        <w:t xml:space="preserve"> </w:t>
      </w:r>
      <w:r w:rsidRPr="00505BA7">
        <w:t>64.59) and female subjects 54.47 (40.64,</w:t>
      </w:r>
      <w:r w:rsidR="00856C11">
        <w:t xml:space="preserve"> </w:t>
      </w:r>
      <w:r w:rsidRPr="00505BA7">
        <w:t>65.08).</w:t>
      </w:r>
    </w:p>
    <w:p w14:paraId="4BB74F8C" w14:textId="5C6002DE" w:rsidR="0029516D" w:rsidRPr="00505BA7" w:rsidRDefault="0029516D" w:rsidP="00505BA7">
      <w:r w:rsidRPr="00505BA7">
        <w:t xml:space="preserve">The exploratory evaluation of </w:t>
      </w:r>
      <w:r w:rsidR="00D5036B">
        <w:t>Flucelvax Quad</w:t>
      </w:r>
      <w:r w:rsidRPr="00505BA7">
        <w:t xml:space="preserve"> efficacy to prevent the 2 pre-specified complications of influenza, </w:t>
      </w:r>
      <w:r w:rsidR="00856C11" w:rsidRPr="00505BA7">
        <w:t>pneumonia,</w:t>
      </w:r>
      <w:r w:rsidRPr="00505BA7">
        <w:t xml:space="preserve"> and otitis media, was inconclusive </w:t>
      </w:r>
      <w:r w:rsidR="009D2250">
        <w:t>(</w:t>
      </w:r>
      <w:r w:rsidR="00913EF3" w:rsidRPr="00505BA7">
        <w:t>lower limit</w:t>
      </w:r>
      <w:r w:rsidRPr="00505BA7">
        <w:t xml:space="preserve"> of the 2</w:t>
      </w:r>
      <w:r w:rsidR="007A051E">
        <w:t>-</w:t>
      </w:r>
      <w:r w:rsidRPr="00505BA7">
        <w:t>sided 95% CI encompassing zero</w:t>
      </w:r>
      <w:r w:rsidR="009D2250">
        <w:t>)</w:t>
      </w:r>
      <w:r w:rsidRPr="00505BA7">
        <w:t xml:space="preserve">. Number of subjects with first occurrence pneumonia and otitis were derived from </w:t>
      </w:r>
      <w:r w:rsidR="00393EE5">
        <w:t>adverse event (</w:t>
      </w:r>
      <w:r w:rsidRPr="00505BA7">
        <w:t>AE</w:t>
      </w:r>
      <w:r w:rsidR="00393EE5">
        <w:t>)</w:t>
      </w:r>
      <w:r w:rsidRPr="00505BA7">
        <w:t xml:space="preserve"> forms and reported as medically attended AE reported within 30 days after </w:t>
      </w:r>
      <w:r w:rsidR="0013258F">
        <w:t>i</w:t>
      </w:r>
      <w:r w:rsidR="0013258F" w:rsidRPr="0013258F">
        <w:t>nfluenza</w:t>
      </w:r>
      <w:r w:rsidR="0013258F">
        <w:t xml:space="preserve"> </w:t>
      </w:r>
      <w:r w:rsidR="0013258F" w:rsidRPr="0013258F">
        <w:t>like illness</w:t>
      </w:r>
      <w:r w:rsidRPr="00505BA7">
        <w:t xml:space="preserve"> onset. The VE of </w:t>
      </w:r>
      <w:r w:rsidR="00D5036B">
        <w:t>Flucelvax Quad</w:t>
      </w:r>
      <w:r w:rsidRPr="00505BA7">
        <w:t xml:space="preserve"> relative to non-influenza comparator to prevent all-cause pneumonia and all-cause otitis media was not statistically significant.</w:t>
      </w:r>
    </w:p>
    <w:p w14:paraId="52737E08" w14:textId="07F3D566" w:rsidR="0029516D" w:rsidRPr="00505BA7" w:rsidRDefault="0029516D" w:rsidP="00505BA7">
      <w:r w:rsidRPr="00505BA7">
        <w:t>The analysis showed that VE varied across countries and was highest in Australia (VE:</w:t>
      </w:r>
      <w:r w:rsidR="003B3E22">
        <w:t> </w:t>
      </w:r>
      <w:r w:rsidRPr="00505BA7">
        <w:t xml:space="preserve">93.70% </w:t>
      </w:r>
      <w:r w:rsidR="009D2250">
        <w:t>(</w:t>
      </w:r>
      <w:r w:rsidRPr="00505BA7">
        <w:t>95% CI: 52.28</w:t>
      </w:r>
      <w:r w:rsidR="003D69DD">
        <w:t>,</w:t>
      </w:r>
      <w:r w:rsidRPr="00505BA7">
        <w:t xml:space="preserve"> 99.17</w:t>
      </w:r>
      <w:r w:rsidR="009D2250">
        <w:t>)</w:t>
      </w:r>
      <w:r w:rsidRPr="00505BA7">
        <w:t xml:space="preserve">). In 5 out of the 7 countries, for which the assessment could be made, </w:t>
      </w:r>
      <w:r w:rsidR="00D5036B">
        <w:t>Flucelvax Quad</w:t>
      </w:r>
      <w:r w:rsidRPr="00505BA7">
        <w:t xml:space="preserve"> showed a statistically significant decrease in RT-PCR or culture</w:t>
      </w:r>
      <w:r w:rsidR="00856C11">
        <w:t xml:space="preserve"> </w:t>
      </w:r>
      <w:r w:rsidRPr="00505BA7">
        <w:t>confirmed influenza in subjects 2 to &lt;</w:t>
      </w:r>
      <w:r w:rsidR="00856C11">
        <w:t xml:space="preserve"> </w:t>
      </w:r>
      <w:r w:rsidRPr="00505BA7">
        <w:t xml:space="preserve">18 years of age, in 2 countries the VE was not statistically significant, Thailand (VE: 23.85% </w:t>
      </w:r>
      <w:r w:rsidR="009D2250">
        <w:t>(</w:t>
      </w:r>
      <w:r w:rsidRPr="00505BA7">
        <w:t>95% CI: -53.10</w:t>
      </w:r>
      <w:r w:rsidR="003D69DD">
        <w:t>,</w:t>
      </w:r>
      <w:r w:rsidRPr="00505BA7">
        <w:t xml:space="preserve"> 62.13</w:t>
      </w:r>
      <w:r w:rsidR="009D2250">
        <w:t>)</w:t>
      </w:r>
      <w:r w:rsidRPr="00505BA7">
        <w:t xml:space="preserve">) and Finland (VE: 38.30% </w:t>
      </w:r>
      <w:r w:rsidR="009D2250">
        <w:t>(</w:t>
      </w:r>
      <w:r w:rsidRPr="00505BA7">
        <w:t>95% CI: -2.78</w:t>
      </w:r>
      <w:r w:rsidR="003D69DD">
        <w:t>,</w:t>
      </w:r>
      <w:r w:rsidRPr="00505BA7">
        <w:t xml:space="preserve"> 62.96</w:t>
      </w:r>
      <w:r w:rsidR="009D2250">
        <w:t>)</w:t>
      </w:r>
      <w:r w:rsidRPr="00505BA7">
        <w:t>). Overall, for every country the VE against Type A was higher than against Type B. The VE against Type A was driven by the VE against Type</w:t>
      </w:r>
      <w:r w:rsidR="003B3E22">
        <w:t> </w:t>
      </w:r>
      <w:r w:rsidRPr="00505BA7">
        <w:t>A/H1N1 strains.</w:t>
      </w:r>
    </w:p>
    <w:p w14:paraId="33B6E062" w14:textId="77777777" w:rsidR="0029516D" w:rsidRPr="00505BA7" w:rsidRDefault="0029516D" w:rsidP="00505BA7">
      <w:pPr>
        <w:pStyle w:val="Heading4"/>
      </w:pPr>
      <w:r w:rsidRPr="00505BA7">
        <w:t>Safety</w:t>
      </w:r>
    </w:p>
    <w:p w14:paraId="09CAE386" w14:textId="50F9EFCA" w:rsidR="0029516D" w:rsidRPr="00505BA7" w:rsidRDefault="3DA4130C" w:rsidP="00505BA7">
      <w:r>
        <w:t>At the time of this submission, the approved indication for Flucelvax Quad was established for children aged 9 years and older, adolescents and adults.</w:t>
      </w:r>
      <w:r w:rsidR="003B3E22" w:rsidRPr="008435C6">
        <w:rPr>
          <w:vertAlign w:val="superscript"/>
        </w:rPr>
        <w:fldChar w:fldCharType="begin"/>
      </w:r>
      <w:r w:rsidR="003B3E22" w:rsidRPr="008435C6">
        <w:rPr>
          <w:vertAlign w:val="superscript"/>
        </w:rPr>
        <w:instrText xml:space="preserve"> NOTEREF _Ref119489524 \h </w:instrText>
      </w:r>
      <w:r w:rsidR="003B3E22">
        <w:rPr>
          <w:vertAlign w:val="superscript"/>
        </w:rPr>
        <w:instrText xml:space="preserve"> \* MERGEFORMAT </w:instrText>
      </w:r>
      <w:r w:rsidR="003B3E22" w:rsidRPr="008435C6">
        <w:rPr>
          <w:vertAlign w:val="superscript"/>
        </w:rPr>
      </w:r>
      <w:r w:rsidR="003B3E22" w:rsidRPr="008435C6">
        <w:rPr>
          <w:vertAlign w:val="superscript"/>
        </w:rPr>
        <w:fldChar w:fldCharType="separate"/>
      </w:r>
      <w:r w:rsidR="0028296F">
        <w:rPr>
          <w:vertAlign w:val="superscript"/>
        </w:rPr>
        <w:t>15</w:t>
      </w:r>
      <w:r w:rsidR="003B3E22" w:rsidRPr="008435C6">
        <w:rPr>
          <w:vertAlign w:val="superscript"/>
        </w:rPr>
        <w:fldChar w:fldCharType="end"/>
      </w:r>
      <w:r>
        <w:t xml:space="preserve"> To support this application, the description of the safety of Flucelvax Quad compared to a non-influenza comparator (Menveo) in children of 2 to &lt;</w:t>
      </w:r>
      <w:r w:rsidR="229C3F05">
        <w:t> </w:t>
      </w:r>
      <w:r>
        <w:t>18</w:t>
      </w:r>
      <w:r w:rsidR="229C3F05">
        <w:t> </w:t>
      </w:r>
      <w:r>
        <w:t xml:space="preserve">years of age is analysed in the clinical </w:t>
      </w:r>
      <w:r w:rsidR="229C3F05">
        <w:t>S</w:t>
      </w:r>
      <w:r>
        <w:t>tudy V130_12 as a secondary objective.</w:t>
      </w:r>
    </w:p>
    <w:p w14:paraId="47874FF0" w14:textId="03B0B7C9" w:rsidR="0029516D" w:rsidRPr="00505BA7" w:rsidRDefault="0029516D" w:rsidP="00505BA7">
      <w:r w:rsidRPr="00505BA7">
        <w:lastRenderedPageBreak/>
        <w:t>The safety dataset for children comprises data derived from 4514 subjects 2 to &lt;</w:t>
      </w:r>
      <w:r w:rsidR="00FE7E30">
        <w:t xml:space="preserve"> </w:t>
      </w:r>
      <w:r w:rsidRPr="00505BA7">
        <w:t xml:space="preserve">18 years of age enrolled in </w:t>
      </w:r>
      <w:r w:rsidR="00FE7E30">
        <w:t xml:space="preserve">Study </w:t>
      </w:r>
      <w:r w:rsidRPr="00505BA7">
        <w:t xml:space="preserve">V130_12. From these, 2258 subjects received </w:t>
      </w:r>
      <w:r w:rsidR="00D5036B">
        <w:t>Flucelvax Quad</w:t>
      </w:r>
      <w:r w:rsidRPr="00505BA7">
        <w:t>. Approximately half of them (57.07%) were children between 2 to &lt;</w:t>
      </w:r>
      <w:r w:rsidR="00FE7E30">
        <w:t xml:space="preserve"> </w:t>
      </w:r>
      <w:r w:rsidRPr="00505BA7">
        <w:t>9 years of age.</w:t>
      </w:r>
    </w:p>
    <w:p w14:paraId="2D12963C" w14:textId="4B0EED83" w:rsidR="0029516D" w:rsidRPr="00505BA7" w:rsidRDefault="3DA4130C" w:rsidP="00505BA7">
      <w:r>
        <w:t>In the proportion of subjects 2 to &lt;</w:t>
      </w:r>
      <w:r w:rsidR="229C3F05">
        <w:t xml:space="preserve"> </w:t>
      </w:r>
      <w:r>
        <w:t>9 years of age, 32.8% of them had previously been immunised against influenza and received one dose of the study vaccine. The rest of them, 763</w:t>
      </w:r>
      <w:r w:rsidR="007C0C7D">
        <w:t> </w:t>
      </w:r>
      <w:r>
        <w:t>subjects, had not been previously vaccinated against influenza vaccine and received two doses of the study vaccine separated by approximately 28 days.</w:t>
      </w:r>
    </w:p>
    <w:p w14:paraId="3D1A52CA" w14:textId="0205E636" w:rsidR="0029516D" w:rsidRPr="00505BA7" w:rsidRDefault="0029516D" w:rsidP="00505BA7">
      <w:proofErr w:type="gramStart"/>
      <w:r w:rsidRPr="00505BA7">
        <w:t>All of</w:t>
      </w:r>
      <w:proofErr w:type="gramEnd"/>
      <w:r w:rsidRPr="00505BA7">
        <w:t xml:space="preserve"> the subjects 9 to &lt;</w:t>
      </w:r>
      <w:r w:rsidR="00FE7E30">
        <w:t xml:space="preserve"> </w:t>
      </w:r>
      <w:r w:rsidRPr="00505BA7">
        <w:t>18 years of age (100%) were categori</w:t>
      </w:r>
      <w:r w:rsidR="00FE7E30">
        <w:t>s</w:t>
      </w:r>
      <w:r w:rsidRPr="00505BA7">
        <w:t xml:space="preserve">ed as previously vaccinated against influenza and received </w:t>
      </w:r>
      <w:r w:rsidR="00FE7E30">
        <w:t>one</w:t>
      </w:r>
      <w:r w:rsidRPr="00505BA7">
        <w:t xml:space="preserve"> dose of the study vaccine or the comparator.</w:t>
      </w:r>
    </w:p>
    <w:p w14:paraId="35E6E4CD" w14:textId="77777777" w:rsidR="0029516D" w:rsidRPr="00F80AEE" w:rsidRDefault="0029516D" w:rsidP="00505BA7">
      <w:pPr>
        <w:pStyle w:val="Heading5"/>
      </w:pPr>
      <w:r w:rsidRPr="00F80AEE">
        <w:t>Adverse events</w:t>
      </w:r>
    </w:p>
    <w:p w14:paraId="75E46902" w14:textId="101942F6" w:rsidR="0029516D" w:rsidRPr="00572A65" w:rsidRDefault="0029516D" w:rsidP="00505BA7">
      <w:pPr>
        <w:pStyle w:val="Heading6"/>
      </w:pPr>
      <w:r w:rsidRPr="00572A65">
        <w:t xml:space="preserve">Solicited </w:t>
      </w:r>
      <w:r w:rsidR="00FE7E30" w:rsidRPr="00572A65">
        <w:t>adverse events</w:t>
      </w:r>
    </w:p>
    <w:p w14:paraId="569D5814" w14:textId="304E5E6E" w:rsidR="0029516D" w:rsidRPr="00505BA7" w:rsidRDefault="0029516D" w:rsidP="00505BA7">
      <w:r w:rsidRPr="00505BA7">
        <w:t xml:space="preserve">Solicited local and systemic </w:t>
      </w:r>
      <w:r w:rsidR="003B3E22">
        <w:t>adverse events (AEs)</w:t>
      </w:r>
      <w:r w:rsidR="003B3E22" w:rsidRPr="00505BA7">
        <w:t xml:space="preserve"> </w:t>
      </w:r>
      <w:r w:rsidRPr="00505BA7">
        <w:t>in subjects 2 to &lt;</w:t>
      </w:r>
      <w:r w:rsidR="00FE7E30">
        <w:t xml:space="preserve"> </w:t>
      </w:r>
      <w:r w:rsidRPr="00505BA7">
        <w:t>18 years of age were recorded at 30</w:t>
      </w:r>
      <w:r w:rsidR="00FE7E30">
        <w:t> </w:t>
      </w:r>
      <w:r w:rsidRPr="00505BA7">
        <w:t>minutes following vaccination and from 6 hours through Day 7 after vaccination. The use of analgesics/antipyretic for prophylaxis or treatment of fever (define</w:t>
      </w:r>
      <w:r w:rsidR="003B3E22">
        <w:t>d</w:t>
      </w:r>
      <w:r w:rsidRPr="00505BA7">
        <w:t xml:space="preserve"> as body temperature ≥</w:t>
      </w:r>
      <w:r w:rsidR="00FE7E30">
        <w:t xml:space="preserve"> </w:t>
      </w:r>
      <w:r w:rsidRPr="00505BA7">
        <w:t>38</w:t>
      </w:r>
      <w:r w:rsidRPr="003B3E22">
        <w:t>º</w:t>
      </w:r>
      <w:r w:rsidRPr="00505BA7">
        <w:t>C, preferably measured orally) was evaluated.</w:t>
      </w:r>
    </w:p>
    <w:p w14:paraId="6D48D5E6" w14:textId="6EB09B78" w:rsidR="0029516D" w:rsidRPr="00505BA7" w:rsidRDefault="0029516D" w:rsidP="00505BA7">
      <w:r w:rsidRPr="00505BA7">
        <w:t>The rates of solicited AEs reported within 30 minutes after any vaccination were low in subjects 2 to &lt;</w:t>
      </w:r>
      <w:r w:rsidR="00FE7E30">
        <w:t xml:space="preserve"> </w:t>
      </w:r>
      <w:r w:rsidRPr="00505BA7">
        <w:t xml:space="preserve">18 years of age, being reported as slightly higher in the </w:t>
      </w:r>
      <w:r w:rsidR="00D5036B">
        <w:t>Flucelvax Quad</w:t>
      </w:r>
      <w:r w:rsidRPr="00505BA7">
        <w:t xml:space="preserve"> group (9.5%) compared to the comparator group (7.3%).</w:t>
      </w:r>
    </w:p>
    <w:p w14:paraId="1E42C235" w14:textId="5551A9C5" w:rsidR="0029516D" w:rsidRPr="00505BA7" w:rsidRDefault="0029516D" w:rsidP="00505BA7">
      <w:r w:rsidRPr="00505BA7">
        <w:t xml:space="preserve">The percentage of subjects with any solicited AE reported from Day 1 through Day 7 after vaccination was 51.4% in the </w:t>
      </w:r>
      <w:r w:rsidR="00D5036B">
        <w:t>Flucelvax Quad</w:t>
      </w:r>
      <w:r w:rsidRPr="00505BA7">
        <w:t xml:space="preserve"> and 48.6% in the comparator group. The rates of local and systemic solicited AEs were similar in each vaccine group.</w:t>
      </w:r>
    </w:p>
    <w:p w14:paraId="0221233B" w14:textId="518C7426" w:rsidR="0029516D" w:rsidRPr="00134872" w:rsidRDefault="00FE7E30" w:rsidP="00134872">
      <w:pPr>
        <w:pStyle w:val="TableTitle"/>
      </w:pPr>
      <w:r w:rsidRPr="00134872">
        <w:t xml:space="preserve">Table </w:t>
      </w:r>
      <w:r w:rsidR="007C1059">
        <w:fldChar w:fldCharType="begin"/>
      </w:r>
      <w:r w:rsidR="007C1059">
        <w:instrText xml:space="preserve"> SEQ Table \* ARABIC </w:instrText>
      </w:r>
      <w:r w:rsidR="007C1059">
        <w:fldChar w:fldCharType="separate"/>
      </w:r>
      <w:r w:rsidR="0028296F">
        <w:rPr>
          <w:noProof/>
        </w:rPr>
        <w:t>10</w:t>
      </w:r>
      <w:r w:rsidR="007C1059">
        <w:rPr>
          <w:noProof/>
        </w:rPr>
        <w:fldChar w:fldCharType="end"/>
      </w:r>
      <w:r w:rsidR="0029516D" w:rsidRPr="00134872">
        <w:t xml:space="preserve">: </w:t>
      </w:r>
      <w:r w:rsidR="00F178B8" w:rsidRPr="00134872">
        <w:t xml:space="preserve">Study V130_12 </w:t>
      </w:r>
      <w:r w:rsidR="0029516D" w:rsidRPr="00134872">
        <w:t xml:space="preserve">Number (%) of subjects 2 to &lt; 18 </w:t>
      </w:r>
      <w:r w:rsidRPr="00134872">
        <w:t xml:space="preserve">years of age </w:t>
      </w:r>
      <w:r w:rsidR="0029516D" w:rsidRPr="00134872">
        <w:t xml:space="preserve">with at least one solicited adverse event 30 minutes postvaccination and/or </w:t>
      </w:r>
      <w:r w:rsidRPr="00134872">
        <w:t>D</w:t>
      </w:r>
      <w:r w:rsidR="0029516D" w:rsidRPr="00134872">
        <w:t>ay 1 (6</w:t>
      </w:r>
      <w:r w:rsidR="007C0C7D" w:rsidRPr="00134872">
        <w:t> </w:t>
      </w:r>
      <w:r w:rsidR="0029516D" w:rsidRPr="00134872">
        <w:t xml:space="preserve">hours) through 7 days after any vaccination </w:t>
      </w:r>
      <w:r w:rsidRPr="00134872">
        <w:t>(</w:t>
      </w:r>
      <w:r w:rsidR="0029516D" w:rsidRPr="00134872">
        <w:t>solicited safety set</w:t>
      </w:r>
      <w:r w:rsidRPr="00134872">
        <w:t>)</w:t>
      </w:r>
    </w:p>
    <w:p w14:paraId="4C5135D8" w14:textId="02E16333" w:rsidR="0029516D" w:rsidRDefault="00892570" w:rsidP="00134872">
      <w:r>
        <w:rPr>
          <w:noProof/>
          <w:shd w:val="clear" w:color="auto" w:fill="E6E6E6"/>
          <w:lang w:val="en-GB" w:eastAsia="en-GB"/>
        </w:rPr>
        <w:drawing>
          <wp:inline distT="0" distB="0" distL="0" distR="0" wp14:anchorId="3AF050CD" wp14:editId="3ABD0D71">
            <wp:extent cx="4369430" cy="2267952"/>
            <wp:effectExtent l="0" t="0" r="0" b="0"/>
            <wp:docPr id="26" name="Picture 26" descr="Table 10: Study V130_12 Number (%) of subjects 2 to &lt; 18 years of age with at least one solicited adverse event 30 minutes postvaccination and/or Day 1 (6 hours) through 7 days after any vaccination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10: Study V130_12 Number (%) of subjects 2 to &lt; 18 years of age with at least one solicited adverse event 30 minutes postvaccination and/or Day 1 (6 hours) through 7 days after any vaccination (solicited safety set)"/>
                    <pic:cNvPicPr/>
                  </pic:nvPicPr>
                  <pic:blipFill>
                    <a:blip r:embed="rId26"/>
                    <a:stretch>
                      <a:fillRect/>
                    </a:stretch>
                  </pic:blipFill>
                  <pic:spPr>
                    <a:xfrm>
                      <a:off x="0" y="0"/>
                      <a:ext cx="4395098" cy="2281275"/>
                    </a:xfrm>
                    <a:prstGeom prst="rect">
                      <a:avLst/>
                    </a:prstGeom>
                  </pic:spPr>
                </pic:pic>
              </a:graphicData>
            </a:graphic>
          </wp:inline>
        </w:drawing>
      </w:r>
    </w:p>
    <w:p w14:paraId="06FFFECF" w14:textId="4E0DA0EB" w:rsidR="00E10AC6" w:rsidRPr="00134872" w:rsidRDefault="00BB487C" w:rsidP="00134872">
      <w:pPr>
        <w:pStyle w:val="TableDescription"/>
      </w:pPr>
      <w:r w:rsidRPr="00134872">
        <w:t xml:space="preserve">Abbreviations: </w:t>
      </w:r>
      <w:r w:rsidR="00E10AC6" w:rsidRPr="00134872">
        <w:t>N = population size</w:t>
      </w:r>
      <w:r w:rsidR="00CB3C15" w:rsidRPr="00134872">
        <w:t xml:space="preserve">; </w:t>
      </w:r>
      <w:r w:rsidR="00E10AC6" w:rsidRPr="00134872">
        <w:t>n = sample size</w:t>
      </w:r>
      <w:r w:rsidR="00CB3C15" w:rsidRPr="00134872">
        <w:t xml:space="preserve">; </w:t>
      </w:r>
      <w:proofErr w:type="spellStart"/>
      <w:r w:rsidR="00E10AC6" w:rsidRPr="00134872">
        <w:t>QIVc</w:t>
      </w:r>
      <w:proofErr w:type="spellEnd"/>
      <w:r w:rsidR="00E10AC6" w:rsidRPr="00134872">
        <w:t xml:space="preserve"> = Flucelvax Quad</w:t>
      </w:r>
      <w:r w:rsidR="00CB3C15" w:rsidRPr="00134872">
        <w:t>.</w:t>
      </w:r>
    </w:p>
    <w:p w14:paraId="4FDFF931" w14:textId="4D31F2E4" w:rsidR="00892570" w:rsidRPr="00134872" w:rsidRDefault="00892570" w:rsidP="00134872">
      <w:pPr>
        <w:pStyle w:val="TableDescription"/>
      </w:pPr>
      <w:r w:rsidRPr="00134872">
        <w:t>* Solicited safety population. Three subjects did not return their diary card, so they were excluded from the exposed population of 2258.</w:t>
      </w:r>
    </w:p>
    <w:p w14:paraId="628B8E23" w14:textId="67C2DF75" w:rsidR="0029516D" w:rsidRPr="00572A65" w:rsidRDefault="0029516D" w:rsidP="00505BA7">
      <w:pPr>
        <w:pStyle w:val="Heading6"/>
      </w:pPr>
      <w:r w:rsidRPr="00572A65">
        <w:t xml:space="preserve">Solicited </w:t>
      </w:r>
      <w:r w:rsidR="00FE7E30" w:rsidRPr="00572A65">
        <w:t>local adverse events</w:t>
      </w:r>
    </w:p>
    <w:p w14:paraId="1ED8D06C" w14:textId="77707AE0" w:rsidR="0029516D" w:rsidRPr="00505BA7" w:rsidRDefault="0029516D" w:rsidP="00505BA7">
      <w:r w:rsidRPr="00505BA7">
        <w:t xml:space="preserve">The percentage of subjects with any solicited local AE reported from Day 1 (6 hours) through Day 7 after vaccination was 36.8% in the </w:t>
      </w:r>
      <w:r w:rsidR="00D5036B">
        <w:t>Flucelvax Quad</w:t>
      </w:r>
      <w:r w:rsidRPr="00505BA7">
        <w:t xml:space="preserve"> group and 33.6% in the comparator group (see </w:t>
      </w:r>
      <w:r w:rsidR="000F6E68">
        <w:rPr>
          <w:color w:val="2B579A"/>
          <w:shd w:val="clear" w:color="auto" w:fill="E6E6E6"/>
        </w:rPr>
        <w:fldChar w:fldCharType="begin"/>
      </w:r>
      <w:r w:rsidR="000F6E68">
        <w:instrText xml:space="preserve"> REF _Ref103254878 \h </w:instrText>
      </w:r>
      <w:r w:rsidR="000F6E68">
        <w:rPr>
          <w:color w:val="2B579A"/>
          <w:shd w:val="clear" w:color="auto" w:fill="E6E6E6"/>
        </w:rPr>
      </w:r>
      <w:r w:rsidR="000F6E68">
        <w:rPr>
          <w:color w:val="2B579A"/>
          <w:shd w:val="clear" w:color="auto" w:fill="E6E6E6"/>
        </w:rPr>
        <w:fldChar w:fldCharType="separate"/>
      </w:r>
      <w:r w:rsidR="0028296F" w:rsidRPr="00134872">
        <w:t xml:space="preserve">Table </w:t>
      </w:r>
      <w:r w:rsidR="0028296F">
        <w:rPr>
          <w:noProof/>
        </w:rPr>
        <w:t>11</w:t>
      </w:r>
      <w:r w:rsidR="000F6E68">
        <w:rPr>
          <w:color w:val="2B579A"/>
          <w:shd w:val="clear" w:color="auto" w:fill="E6E6E6"/>
        </w:rPr>
        <w:fldChar w:fldCharType="end"/>
      </w:r>
      <w:r w:rsidR="000F6E68">
        <w:t xml:space="preserve"> below</w:t>
      </w:r>
      <w:r w:rsidRPr="00505BA7">
        <w:t xml:space="preserve">). No notable differences in the rate of solicited local AEs were observed between the </w:t>
      </w:r>
      <w:r w:rsidR="00D5036B">
        <w:t>Flucelvax Quad</w:t>
      </w:r>
      <w:r w:rsidRPr="00505BA7">
        <w:t xml:space="preserve"> and the comparator, except for a slightly higher rate of pain in the </w:t>
      </w:r>
      <w:r w:rsidR="00D5036B">
        <w:t>Flucelvax Quad</w:t>
      </w:r>
      <w:r w:rsidRPr="00505BA7">
        <w:t xml:space="preserve"> (23.8% in </w:t>
      </w:r>
      <w:r w:rsidR="00FE7E30" w:rsidRPr="00FE7E30">
        <w:t xml:space="preserve">Flucelvax Quad </w:t>
      </w:r>
      <w:r w:rsidRPr="00505BA7">
        <w:t>group v</w:t>
      </w:r>
      <w:r w:rsidR="00913EF3">
        <w:t>ersu</w:t>
      </w:r>
      <w:r w:rsidRPr="00505BA7">
        <w:t xml:space="preserve">s 19.0% in comparator group), but a slightly lower rate of induration and erythema observed in the </w:t>
      </w:r>
      <w:r w:rsidR="00D5036B">
        <w:t>Flucelvax Quad</w:t>
      </w:r>
      <w:r w:rsidRPr="00505BA7">
        <w:t xml:space="preserve"> group </w:t>
      </w:r>
      <w:r w:rsidR="00913EF3" w:rsidRPr="00505BA7">
        <w:t>v</w:t>
      </w:r>
      <w:r w:rsidR="00913EF3">
        <w:t>ersu</w:t>
      </w:r>
      <w:r w:rsidR="00913EF3" w:rsidRPr="00505BA7">
        <w:t>s</w:t>
      </w:r>
      <w:r w:rsidRPr="00505BA7">
        <w:t xml:space="preserve"> the comparator. The </w:t>
      </w:r>
      <w:proofErr w:type="gramStart"/>
      <w:r w:rsidRPr="00505BA7">
        <w:t xml:space="preserve">most commonly </w:t>
      </w:r>
      <w:r w:rsidRPr="00505BA7">
        <w:lastRenderedPageBreak/>
        <w:t>reported</w:t>
      </w:r>
      <w:proofErr w:type="gramEnd"/>
      <w:r w:rsidRPr="00505BA7">
        <w:t xml:space="preserve"> solicited local AEs were tenderness, pain and erythema; the majority were mild to moderate in severity (the proportion of subjects with severe local AEs in </w:t>
      </w:r>
      <w:r w:rsidR="00FE7E30" w:rsidRPr="00FE7E30">
        <w:t xml:space="preserve">Flucelvax Quad </w:t>
      </w:r>
      <w:r w:rsidRPr="00505BA7">
        <w:t>groups was ≤</w:t>
      </w:r>
      <w:r w:rsidR="00FE7E30">
        <w:t xml:space="preserve"> </w:t>
      </w:r>
      <w:r w:rsidRPr="00505BA7">
        <w:t>1%).</w:t>
      </w:r>
    </w:p>
    <w:p w14:paraId="7EC094CD" w14:textId="1D6E264F" w:rsidR="0029516D" w:rsidRPr="00134872" w:rsidRDefault="00FE7E30" w:rsidP="00134872">
      <w:pPr>
        <w:pStyle w:val="TableTitle"/>
      </w:pPr>
      <w:bookmarkStart w:id="50" w:name="_Ref103254878"/>
      <w:r w:rsidRPr="00134872">
        <w:t xml:space="preserve">Table </w:t>
      </w:r>
      <w:r w:rsidR="007C1059">
        <w:fldChar w:fldCharType="begin"/>
      </w:r>
      <w:r w:rsidR="007C1059">
        <w:instrText xml:space="preserve"> SEQ Table \* ARABIC </w:instrText>
      </w:r>
      <w:r w:rsidR="007C1059">
        <w:fldChar w:fldCharType="separate"/>
      </w:r>
      <w:r w:rsidR="0028296F">
        <w:rPr>
          <w:noProof/>
        </w:rPr>
        <w:t>11</w:t>
      </w:r>
      <w:r w:rsidR="007C1059">
        <w:rPr>
          <w:noProof/>
        </w:rPr>
        <w:fldChar w:fldCharType="end"/>
      </w:r>
      <w:bookmarkEnd w:id="50"/>
      <w:r w:rsidR="0029516D" w:rsidRPr="00134872">
        <w:t xml:space="preserve">: </w:t>
      </w:r>
      <w:r w:rsidR="00F178B8" w:rsidRPr="00134872">
        <w:t xml:space="preserve">Study V130_12 </w:t>
      </w:r>
      <w:r w:rsidR="0029516D" w:rsidRPr="00134872">
        <w:t xml:space="preserve">Number (%) of subjects 2 to &lt; 18 </w:t>
      </w:r>
      <w:r w:rsidRPr="00134872">
        <w:t xml:space="preserve">years of age with </w:t>
      </w:r>
      <w:r w:rsidR="0029516D" w:rsidRPr="00134872">
        <w:t>solicited local adverse event from 6 hours through 7 days after any vaccination</w:t>
      </w:r>
      <w:r w:rsidRPr="00134872">
        <w:t xml:space="preserve"> (</w:t>
      </w:r>
      <w:r w:rsidR="0029516D" w:rsidRPr="00134872">
        <w:t>solicited safety set</w:t>
      </w:r>
      <w:r w:rsidRPr="00134872">
        <w:t>)</w:t>
      </w:r>
    </w:p>
    <w:p w14:paraId="128F301A" w14:textId="58A28BAA" w:rsidR="0029516D" w:rsidRDefault="00892570" w:rsidP="00134872">
      <w:r>
        <w:rPr>
          <w:noProof/>
          <w:shd w:val="clear" w:color="auto" w:fill="E6E6E6"/>
          <w:lang w:val="en-GB" w:eastAsia="en-GB"/>
        </w:rPr>
        <w:drawing>
          <wp:inline distT="0" distB="0" distL="0" distR="0" wp14:anchorId="16C1C0FC" wp14:editId="303EABF5">
            <wp:extent cx="5219700" cy="3329297"/>
            <wp:effectExtent l="0" t="0" r="0" b="5080"/>
            <wp:docPr id="62" name="Picture 62" descr="Table 11: Study V130_12 Number (%) of subjects 2 to &lt; 18 years of age with solicited local adverse event from 6 hours through 7 days after any vaccination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 11: Study V130_12 Number (%) of subjects 2 to &lt; 18 years of age with solicited local adverse event from 6 hours through 7 days after any vaccination (solicited safety s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0195" cy="3342369"/>
                    </a:xfrm>
                    <a:prstGeom prst="rect">
                      <a:avLst/>
                    </a:prstGeom>
                    <a:noFill/>
                    <a:ln>
                      <a:noFill/>
                    </a:ln>
                  </pic:spPr>
                </pic:pic>
              </a:graphicData>
            </a:graphic>
          </wp:inline>
        </w:drawing>
      </w:r>
    </w:p>
    <w:p w14:paraId="30C17744" w14:textId="5637128A" w:rsidR="00E10AC6" w:rsidRPr="00134872" w:rsidRDefault="00BB487C" w:rsidP="00134872">
      <w:pPr>
        <w:pStyle w:val="TableDescription"/>
      </w:pPr>
      <w:r w:rsidRPr="00134872">
        <w:t xml:space="preserve">Abbreviations: </w:t>
      </w:r>
      <w:r w:rsidR="00E10AC6" w:rsidRPr="00134872">
        <w:t>N = population size</w:t>
      </w:r>
      <w:r w:rsidR="00CB3C15" w:rsidRPr="00134872">
        <w:t xml:space="preserve">; </w:t>
      </w:r>
      <w:r w:rsidR="00E10AC6" w:rsidRPr="00134872">
        <w:t>n = sample size</w:t>
      </w:r>
      <w:r w:rsidR="00CB3C15" w:rsidRPr="00134872">
        <w:t xml:space="preserve">; </w:t>
      </w:r>
      <w:proofErr w:type="spellStart"/>
      <w:r w:rsidR="00E10AC6" w:rsidRPr="00134872">
        <w:t>QIVc</w:t>
      </w:r>
      <w:proofErr w:type="spellEnd"/>
      <w:r w:rsidR="00E10AC6" w:rsidRPr="00134872">
        <w:t xml:space="preserve"> = Flucelvax Quad</w:t>
      </w:r>
      <w:r w:rsidR="00CB3C15" w:rsidRPr="00134872">
        <w:t>.</w:t>
      </w:r>
    </w:p>
    <w:p w14:paraId="3F4E8CC3" w14:textId="5A6DB3D7" w:rsidR="00892570" w:rsidRPr="00134872" w:rsidRDefault="00892570" w:rsidP="00134872">
      <w:pPr>
        <w:pStyle w:val="TableDescription"/>
      </w:pPr>
      <w:r w:rsidRPr="00134872">
        <w:t>a. For induration, ecchymosis, and erythema, &gt; 50 mm is severe for subjects 2 to &lt; 6 years of age, and &gt; 100 mm is severe for subjects ≥ 6 years of age.</w:t>
      </w:r>
    </w:p>
    <w:p w14:paraId="77F311FF" w14:textId="39FC386F" w:rsidR="00892570" w:rsidRPr="00134872" w:rsidRDefault="00892570" w:rsidP="00134872">
      <w:pPr>
        <w:pStyle w:val="TableDescription"/>
      </w:pPr>
      <w:r w:rsidRPr="00134872">
        <w:t>b. Tenderness was collected on subject diary card for subjects 2 to &lt; 6 years of age, whereas pain was collected on the subject diary card for subjects ≥ 6 years of age.</w:t>
      </w:r>
    </w:p>
    <w:p w14:paraId="1A351549" w14:textId="3B62FE7B" w:rsidR="0029516D" w:rsidRPr="002430FD" w:rsidRDefault="0029516D" w:rsidP="00505BA7">
      <w:pPr>
        <w:pStyle w:val="Heading6"/>
      </w:pPr>
      <w:r w:rsidRPr="002430FD">
        <w:t xml:space="preserve">Solicited </w:t>
      </w:r>
      <w:r w:rsidR="00FE7E30" w:rsidRPr="002430FD">
        <w:t>systemic adverse events</w:t>
      </w:r>
    </w:p>
    <w:p w14:paraId="017E6212" w14:textId="5233FEF0" w:rsidR="0029516D" w:rsidRPr="00505BA7" w:rsidRDefault="0029516D" w:rsidP="00505BA7">
      <w:r w:rsidRPr="00505BA7">
        <w:t>The percentage of subjects 2 to &lt;</w:t>
      </w:r>
      <w:r w:rsidR="00FE7E30">
        <w:t xml:space="preserve"> </w:t>
      </w:r>
      <w:r w:rsidRPr="00505BA7">
        <w:t xml:space="preserve">18 years of age with any solicited systemic AE reported from Day 1 (6 hours) through Day 7 after vaccination was 31.4% in the </w:t>
      </w:r>
      <w:r w:rsidR="00D5036B">
        <w:t>Flucelvax Quad</w:t>
      </w:r>
      <w:r w:rsidRPr="00505BA7">
        <w:t xml:space="preserve"> group and 30.5% in the comparator group. No notable differences in the rate of solicited systemic AEs were observed between the </w:t>
      </w:r>
      <w:r w:rsidR="00D5036B">
        <w:t>Flucelvax Quad</w:t>
      </w:r>
      <w:r w:rsidRPr="00505BA7">
        <w:t xml:space="preserve"> and the comparator. The </w:t>
      </w:r>
      <w:proofErr w:type="gramStart"/>
      <w:r w:rsidRPr="00505BA7">
        <w:t>most commonly reported</w:t>
      </w:r>
      <w:proofErr w:type="gramEnd"/>
      <w:r w:rsidRPr="00505BA7">
        <w:t xml:space="preserve"> solicited systemic AEs were headache, feeling fatigue or tiredness; the majority were mild to moderate in severity (the proportion of subjects with severe systemic AEs in </w:t>
      </w:r>
      <w:r w:rsidR="00D5036B">
        <w:t>Flucelvax Quad</w:t>
      </w:r>
      <w:r w:rsidRPr="00505BA7">
        <w:t xml:space="preserve"> groups was ≤</w:t>
      </w:r>
      <w:r w:rsidR="00FE7E30">
        <w:t xml:space="preserve"> </w:t>
      </w:r>
      <w:r w:rsidRPr="00505BA7">
        <w:t>1%).</w:t>
      </w:r>
    </w:p>
    <w:p w14:paraId="68850A21" w14:textId="59E9105B" w:rsidR="0029516D" w:rsidRPr="00505BA7" w:rsidRDefault="0029516D" w:rsidP="00505BA7">
      <w:r w:rsidRPr="00505BA7">
        <w:t xml:space="preserve">The proportion of subjects reporting solicited systemic AEs after any vaccination was lower in the previously vaccinated subjects, compared to the group that had received two doses of </w:t>
      </w:r>
      <w:r w:rsidR="00D5036B">
        <w:t>Flucelvax Quad</w:t>
      </w:r>
      <w:r w:rsidRPr="00505BA7">
        <w:t xml:space="preserve">. Additionally, in this group, the solicited systemic AEs were reported as slightly lower after the second dose than after the first dose of </w:t>
      </w:r>
      <w:r w:rsidR="00D5036B">
        <w:t>Flucelvax Quad</w:t>
      </w:r>
      <w:r w:rsidRPr="00505BA7">
        <w:t>.</w:t>
      </w:r>
    </w:p>
    <w:p w14:paraId="52E279AB" w14:textId="2FC81C46" w:rsidR="0029516D" w:rsidRPr="00505BA7" w:rsidRDefault="0029516D" w:rsidP="00505BA7">
      <w:r w:rsidRPr="00505BA7">
        <w:t>Fever (≥</w:t>
      </w:r>
      <w:r w:rsidR="00FE7E30">
        <w:t xml:space="preserve"> </w:t>
      </w:r>
      <w:r w:rsidRPr="00505BA7">
        <w:t xml:space="preserve">38ºC) was reported by 5.3% and 4.5% in </w:t>
      </w:r>
      <w:r w:rsidR="00D5036B">
        <w:t>Flucelvax Quad</w:t>
      </w:r>
      <w:r w:rsidRPr="00505BA7">
        <w:t xml:space="preserve"> and comparator group, respectively. The proportion of subjects using analgesics/antipyretics after any vaccination for prevention or treatment of pain/fever was similar for the </w:t>
      </w:r>
      <w:r w:rsidR="00D5036B">
        <w:t>Flucelvax Quad</w:t>
      </w:r>
      <w:r w:rsidRPr="00505BA7">
        <w:t xml:space="preserve"> (6.0% and 6.2%, respectively) and for the comparator groups (5.0% and 4.8% respectively).</w:t>
      </w:r>
    </w:p>
    <w:p w14:paraId="556266B8" w14:textId="3E5C56B9" w:rsidR="0029516D" w:rsidRPr="00134872" w:rsidRDefault="00FE7E30" w:rsidP="00134872">
      <w:pPr>
        <w:pStyle w:val="TableTitle"/>
      </w:pPr>
      <w:r w:rsidRPr="00134872">
        <w:lastRenderedPageBreak/>
        <w:t xml:space="preserve">Table </w:t>
      </w:r>
      <w:r w:rsidR="007C1059">
        <w:fldChar w:fldCharType="begin"/>
      </w:r>
      <w:r w:rsidR="007C1059">
        <w:instrText xml:space="preserve"> SEQ Table \* ARABIC </w:instrText>
      </w:r>
      <w:r w:rsidR="007C1059">
        <w:fldChar w:fldCharType="separate"/>
      </w:r>
      <w:r w:rsidR="0028296F">
        <w:rPr>
          <w:noProof/>
        </w:rPr>
        <w:t>12</w:t>
      </w:r>
      <w:r w:rsidR="007C1059">
        <w:rPr>
          <w:noProof/>
        </w:rPr>
        <w:fldChar w:fldCharType="end"/>
      </w:r>
      <w:r w:rsidR="0029516D" w:rsidRPr="00134872">
        <w:t xml:space="preserve">: </w:t>
      </w:r>
      <w:r w:rsidR="00F178B8" w:rsidRPr="00134872">
        <w:t xml:space="preserve">Study V130_12 </w:t>
      </w:r>
      <w:r w:rsidR="0029516D" w:rsidRPr="00134872">
        <w:t xml:space="preserve">Number (%) of subjects 2 to &lt; 18 </w:t>
      </w:r>
      <w:r w:rsidRPr="00134872">
        <w:t xml:space="preserve">years of age with solicited systemic adverse events from 6 hours through 7 days after any vaccination (solicited safety </w:t>
      </w:r>
      <w:r w:rsidR="0029516D" w:rsidRPr="00134872">
        <w:t>set</w:t>
      </w:r>
      <w:r w:rsidRPr="00134872">
        <w:t>)</w:t>
      </w:r>
    </w:p>
    <w:p w14:paraId="3B0B7344" w14:textId="68445AAA" w:rsidR="0029516D" w:rsidRPr="00892570" w:rsidRDefault="00892570" w:rsidP="00134872">
      <w:r>
        <w:rPr>
          <w:noProof/>
          <w:shd w:val="clear" w:color="auto" w:fill="E6E6E6"/>
          <w:lang w:val="en-GB" w:eastAsia="en-GB"/>
        </w:rPr>
        <w:drawing>
          <wp:inline distT="0" distB="0" distL="0" distR="0" wp14:anchorId="3651C190" wp14:editId="622FFC24">
            <wp:extent cx="5334000" cy="8218715"/>
            <wp:effectExtent l="0" t="0" r="0" b="0"/>
            <wp:docPr id="65" name="Picture 65" descr="Table 12: Study V130_12 Number (%) of subjects 2 to &lt; 18 years of age with solicited systemic adverse events from 6 hours through 7 days after any vaccination (solici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 12: Study V130_12 Number (%) of subjects 2 to &lt; 18 years of age with solicited systemic adverse events from 6 hours through 7 days after any vaccination (solicited safety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1306" cy="8229972"/>
                    </a:xfrm>
                    <a:prstGeom prst="rect">
                      <a:avLst/>
                    </a:prstGeom>
                    <a:noFill/>
                    <a:ln>
                      <a:noFill/>
                    </a:ln>
                  </pic:spPr>
                </pic:pic>
              </a:graphicData>
            </a:graphic>
          </wp:inline>
        </w:drawing>
      </w:r>
    </w:p>
    <w:p w14:paraId="01D42B47" w14:textId="37395768" w:rsidR="00E10AC6" w:rsidRPr="00134872" w:rsidRDefault="00BB487C" w:rsidP="00134872">
      <w:pPr>
        <w:pStyle w:val="TableDescription"/>
      </w:pPr>
      <w:r w:rsidRPr="00134872">
        <w:lastRenderedPageBreak/>
        <w:t xml:space="preserve">Abbreviations: </w:t>
      </w:r>
      <w:r w:rsidR="00E10AC6" w:rsidRPr="00134872">
        <w:t>N = population size</w:t>
      </w:r>
      <w:r w:rsidR="00CB3C15" w:rsidRPr="00134872">
        <w:t xml:space="preserve">; </w:t>
      </w:r>
      <w:r w:rsidR="00E10AC6" w:rsidRPr="00134872">
        <w:t>n = sample size</w:t>
      </w:r>
      <w:r w:rsidR="00CB3C15" w:rsidRPr="00134872">
        <w:t xml:space="preserve">; </w:t>
      </w:r>
      <w:proofErr w:type="spellStart"/>
      <w:r w:rsidR="00E10AC6" w:rsidRPr="00134872">
        <w:t>QIVc</w:t>
      </w:r>
      <w:proofErr w:type="spellEnd"/>
      <w:r w:rsidR="00E10AC6" w:rsidRPr="00134872">
        <w:t xml:space="preserve"> = Flucelvax Quad</w:t>
      </w:r>
      <w:r w:rsidR="00CB3C15" w:rsidRPr="00134872">
        <w:t>.</w:t>
      </w:r>
    </w:p>
    <w:p w14:paraId="4151CA0D" w14:textId="4FA1DBE6" w:rsidR="0029516D" w:rsidRPr="00134872" w:rsidRDefault="0029516D" w:rsidP="00134872">
      <w:pPr>
        <w:pStyle w:val="TableDescription"/>
      </w:pPr>
      <w:r w:rsidRPr="00134872">
        <w:t>a</w:t>
      </w:r>
      <w:r w:rsidR="00892570" w:rsidRPr="00134872">
        <w:t>.</w:t>
      </w:r>
      <w:r w:rsidRPr="00134872">
        <w:t xml:space="preserve"> Loss of appetite, nausea (feeling the need to vomit), muscle aches all over the body, aching in several joints, headache, and feeling fatigue or tiredness were collected on the subject diary card for subjects </w:t>
      </w:r>
      <w:r w:rsidR="00892570" w:rsidRPr="00134872">
        <w:t>≥</w:t>
      </w:r>
      <w:r w:rsidR="00892570" w:rsidRPr="00134872">
        <w:rPr>
          <w:rFonts w:hint="eastAsia"/>
        </w:rPr>
        <w:t> </w:t>
      </w:r>
      <w:r w:rsidRPr="00134872">
        <w:t>6</w:t>
      </w:r>
      <w:r w:rsidR="00892570" w:rsidRPr="00134872">
        <w:t> </w:t>
      </w:r>
      <w:r w:rsidRPr="00134872">
        <w:t>years of age only.</w:t>
      </w:r>
    </w:p>
    <w:p w14:paraId="79C12019" w14:textId="52394766" w:rsidR="0029516D" w:rsidRPr="00134872" w:rsidRDefault="0029516D" w:rsidP="00134872">
      <w:pPr>
        <w:pStyle w:val="TableDescription"/>
      </w:pPr>
      <w:r w:rsidRPr="00134872">
        <w:t>b</w:t>
      </w:r>
      <w:r w:rsidR="00892570" w:rsidRPr="00134872">
        <w:t>.</w:t>
      </w:r>
      <w:r w:rsidRPr="00134872">
        <w:t xml:space="preserve"> Shivering was collected on the subject diary card for subjects 2 to &lt;</w:t>
      </w:r>
      <w:r w:rsidR="00892570" w:rsidRPr="00134872">
        <w:t xml:space="preserve"> </w:t>
      </w:r>
      <w:r w:rsidRPr="00134872">
        <w:t xml:space="preserve">6 years of age, whereas chills was collected on the subject diary card for subjects </w:t>
      </w:r>
      <w:r w:rsidR="00892570" w:rsidRPr="00134872">
        <w:t>≥</w:t>
      </w:r>
      <w:r w:rsidR="00892570" w:rsidRPr="00134872">
        <w:rPr>
          <w:rFonts w:hint="eastAsia"/>
        </w:rPr>
        <w:t> </w:t>
      </w:r>
      <w:r w:rsidRPr="00134872">
        <w:t>6 years of age.</w:t>
      </w:r>
    </w:p>
    <w:p w14:paraId="00F954F3" w14:textId="7A75014C" w:rsidR="0029516D" w:rsidRPr="00134872" w:rsidRDefault="0029516D" w:rsidP="00134872">
      <w:pPr>
        <w:pStyle w:val="TableDescription"/>
      </w:pPr>
      <w:r w:rsidRPr="00134872">
        <w:t>c</w:t>
      </w:r>
      <w:r w:rsidR="00892570" w:rsidRPr="00134872">
        <w:t>.</w:t>
      </w:r>
      <w:r w:rsidRPr="00134872">
        <w:t xml:space="preserve"> Change in eating habits, sleepiness, and irritability were collected on the subject diary card for subjects 2 to &lt;</w:t>
      </w:r>
      <w:r w:rsidR="00892570" w:rsidRPr="00134872">
        <w:t> </w:t>
      </w:r>
      <w:r w:rsidRPr="00134872">
        <w:t>6 years of age only.</w:t>
      </w:r>
    </w:p>
    <w:p w14:paraId="783C971C" w14:textId="3C1860F3" w:rsidR="0029516D" w:rsidRPr="00B94D4D" w:rsidRDefault="0029516D" w:rsidP="00505BA7">
      <w:pPr>
        <w:pStyle w:val="Heading6"/>
      </w:pPr>
      <w:r w:rsidRPr="00B94D4D">
        <w:t xml:space="preserve">Unsolicited </w:t>
      </w:r>
      <w:r w:rsidR="00FE7E30" w:rsidRPr="00B94D4D">
        <w:t>adverse events</w:t>
      </w:r>
    </w:p>
    <w:p w14:paraId="477E0D27" w14:textId="403E6152" w:rsidR="0029516D" w:rsidRPr="00505BA7" w:rsidRDefault="0029516D" w:rsidP="00505BA7">
      <w:r w:rsidRPr="00505BA7">
        <w:t xml:space="preserve">Unsolicited </w:t>
      </w:r>
      <w:r w:rsidR="00393EE5">
        <w:t>AE</w:t>
      </w:r>
      <w:r w:rsidR="00FE7E30" w:rsidRPr="00505BA7">
        <w:t xml:space="preserve">s were </w:t>
      </w:r>
      <w:r w:rsidRPr="00505BA7">
        <w:t xml:space="preserve">reported spontaneously through Day 22 or </w:t>
      </w:r>
      <w:r w:rsidR="00F808F2">
        <w:t xml:space="preserve">Day </w:t>
      </w:r>
      <w:r w:rsidRPr="00505BA7">
        <w:t xml:space="preserve">50 depending on whether they received </w:t>
      </w:r>
      <w:r w:rsidR="00FE7E30">
        <w:t>one</w:t>
      </w:r>
      <w:r w:rsidRPr="00505BA7">
        <w:t xml:space="preserve"> or </w:t>
      </w:r>
      <w:r w:rsidR="00FE7E30">
        <w:t>two</w:t>
      </w:r>
      <w:r w:rsidRPr="00505BA7">
        <w:t xml:space="preserve"> vaccinations.</w:t>
      </w:r>
    </w:p>
    <w:p w14:paraId="49CB5979" w14:textId="408BDE56" w:rsidR="0029516D" w:rsidRPr="00505BA7" w:rsidRDefault="0029516D" w:rsidP="00505BA7">
      <w:r w:rsidRPr="00505BA7">
        <w:t>The rates of unsolicited AEs in subjects 2 to &lt;</w:t>
      </w:r>
      <w:r w:rsidR="00FE7E30">
        <w:t xml:space="preserve"> </w:t>
      </w:r>
      <w:r w:rsidRPr="00505BA7">
        <w:t xml:space="preserve">18 years of age during the treatment period was similar in the </w:t>
      </w:r>
      <w:r w:rsidR="00D5036B">
        <w:t>Flucelvax Quad</w:t>
      </w:r>
      <w:r w:rsidRPr="00505BA7">
        <w:t xml:space="preserve"> group and the comparator group. Only 4.3% and 3.9% </w:t>
      </w:r>
      <w:proofErr w:type="gramStart"/>
      <w:r w:rsidRPr="00505BA7">
        <w:t>were considered to be</w:t>
      </w:r>
      <w:proofErr w:type="gramEnd"/>
      <w:r w:rsidRPr="00505BA7">
        <w:t xml:space="preserve"> at least possibly related to the study vaccine and comparator vaccine by the investigator.</w:t>
      </w:r>
    </w:p>
    <w:p w14:paraId="19345BAA" w14:textId="1A3F5169" w:rsidR="0029516D" w:rsidRPr="00505BA7" w:rsidRDefault="0029516D" w:rsidP="00505BA7">
      <w:r w:rsidRPr="00505BA7">
        <w:t xml:space="preserve">The number (%) of subjects 2 to &lt; 18 years of age who reported unsolicited AEs that </w:t>
      </w:r>
      <w:proofErr w:type="gramStart"/>
      <w:r w:rsidRPr="00505BA7">
        <w:t>were considered to be</w:t>
      </w:r>
      <w:proofErr w:type="gramEnd"/>
      <w:r w:rsidRPr="00505BA7">
        <w:t xml:space="preserve"> at least possibly related to the study vaccination, observed in &gt;</w:t>
      </w:r>
      <w:r w:rsidR="00FE7E30">
        <w:t xml:space="preserve"> </w:t>
      </w:r>
      <w:r w:rsidRPr="00505BA7">
        <w:t xml:space="preserve">1% in </w:t>
      </w:r>
      <w:r w:rsidR="00D5036B">
        <w:t>Flucelvax Quad</w:t>
      </w:r>
      <w:r w:rsidRPr="00505BA7">
        <w:t xml:space="preserve"> group, were Influenza like illness (1.1%). Other unsolicited AEs considered as related to the study vaccine were reported as less than 0.7% (</w:t>
      </w:r>
      <w:r w:rsidR="00FE7E30">
        <w:t>u</w:t>
      </w:r>
      <w:r w:rsidRPr="00505BA7">
        <w:t>pper respiratory tract infection, rhinitis, rhinorrhoea, cough and nasopharyngitis).</w:t>
      </w:r>
    </w:p>
    <w:p w14:paraId="08AD4108" w14:textId="25F3A9C2" w:rsidR="0029516D" w:rsidRPr="00134872" w:rsidRDefault="00FE7E30" w:rsidP="00134872">
      <w:pPr>
        <w:pStyle w:val="TableTitle"/>
      </w:pPr>
      <w:r w:rsidRPr="00134872">
        <w:t xml:space="preserve">Table </w:t>
      </w:r>
      <w:r w:rsidR="007C1059">
        <w:fldChar w:fldCharType="begin"/>
      </w:r>
      <w:r w:rsidR="007C1059">
        <w:instrText xml:space="preserve"> SEQ Table \* ARABIC </w:instrText>
      </w:r>
      <w:r w:rsidR="007C1059">
        <w:fldChar w:fldCharType="separate"/>
      </w:r>
      <w:r w:rsidR="0028296F">
        <w:rPr>
          <w:noProof/>
        </w:rPr>
        <w:t>13</w:t>
      </w:r>
      <w:r w:rsidR="007C1059">
        <w:rPr>
          <w:noProof/>
        </w:rPr>
        <w:fldChar w:fldCharType="end"/>
      </w:r>
      <w:r w:rsidR="0029516D" w:rsidRPr="00134872">
        <w:t xml:space="preserve">: </w:t>
      </w:r>
      <w:r w:rsidR="00F178B8" w:rsidRPr="00134872">
        <w:t xml:space="preserve">Study V130_12 </w:t>
      </w:r>
      <w:r w:rsidR="0029516D" w:rsidRPr="00134872">
        <w:t>Overall summary of reportable treatment</w:t>
      </w:r>
      <w:r w:rsidRPr="00134872">
        <w:t xml:space="preserve"> </w:t>
      </w:r>
      <w:r w:rsidR="0029516D" w:rsidRPr="00134872">
        <w:t xml:space="preserve">emergent unsolicited adverse events in subjects 2 to &lt; 18 </w:t>
      </w:r>
      <w:r w:rsidRPr="00134872">
        <w:t>years of age -a</w:t>
      </w:r>
      <w:r w:rsidR="0029516D" w:rsidRPr="00134872">
        <w:t xml:space="preserve">s treated </w:t>
      </w:r>
      <w:r w:rsidRPr="00134872">
        <w:t>(o</w:t>
      </w:r>
      <w:r w:rsidR="0029516D" w:rsidRPr="00134872">
        <w:t>verall safety set</w:t>
      </w:r>
      <w:r w:rsidRPr="00134872">
        <w:t>)</w:t>
      </w:r>
    </w:p>
    <w:p w14:paraId="39AF9CFD" w14:textId="6B3B2FEB" w:rsidR="0029516D" w:rsidRDefault="00CA5508" w:rsidP="00134872">
      <w:r>
        <w:rPr>
          <w:noProof/>
          <w:shd w:val="clear" w:color="auto" w:fill="E6E6E6"/>
          <w:lang w:val="en-GB" w:eastAsia="en-GB"/>
        </w:rPr>
        <w:drawing>
          <wp:inline distT="0" distB="0" distL="0" distR="0" wp14:anchorId="06149D51" wp14:editId="72873065">
            <wp:extent cx="5257813" cy="2695074"/>
            <wp:effectExtent l="0" t="0" r="0" b="0"/>
            <wp:docPr id="61" name="Picture 61" descr="Table 13: Study V130_12 Overall summary of reportable treatment emergent unsolicited adverse events in subjects 2 to &lt; 18 years of age -as treated (overal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13: Study V130_12 Overall summary of reportable treatment emergent unsolicited adverse events in subjects 2 to &lt; 18 years of age -as treated (overall safety s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402" cy="2699989"/>
                    </a:xfrm>
                    <a:prstGeom prst="rect">
                      <a:avLst/>
                    </a:prstGeom>
                    <a:noFill/>
                    <a:ln>
                      <a:noFill/>
                    </a:ln>
                  </pic:spPr>
                </pic:pic>
              </a:graphicData>
            </a:graphic>
          </wp:inline>
        </w:drawing>
      </w:r>
    </w:p>
    <w:p w14:paraId="100A5B2D" w14:textId="466A107C" w:rsidR="00E10AC6" w:rsidRPr="00134872" w:rsidRDefault="00BB487C" w:rsidP="00134872">
      <w:pPr>
        <w:pStyle w:val="TableDescription"/>
      </w:pPr>
      <w:r w:rsidRPr="00134872">
        <w:t xml:space="preserve">Abbreviations: </w:t>
      </w:r>
      <w:r w:rsidR="00E10AC6" w:rsidRPr="00134872">
        <w:t>AE</w:t>
      </w:r>
      <w:r w:rsidR="00CB3C15" w:rsidRPr="00134872">
        <w:t xml:space="preserve"> = adverse event; </w:t>
      </w:r>
      <w:r w:rsidR="00E10AC6" w:rsidRPr="00134872">
        <w:t>N = population size</w:t>
      </w:r>
      <w:r w:rsidR="00CB3C15" w:rsidRPr="00134872">
        <w:t xml:space="preserve">; </w:t>
      </w:r>
      <w:r w:rsidR="00E10AC6" w:rsidRPr="00134872">
        <w:t>n = sample size</w:t>
      </w:r>
      <w:r w:rsidR="00CB3C15" w:rsidRPr="00134872">
        <w:t xml:space="preserve">; </w:t>
      </w:r>
      <w:r w:rsidR="00E10AC6" w:rsidRPr="00134872">
        <w:t xml:space="preserve">NOCD = </w:t>
      </w:r>
      <w:r w:rsidR="00CB3C15" w:rsidRPr="00134872">
        <w:t xml:space="preserve">new onset of chronic diseases; </w:t>
      </w:r>
      <w:proofErr w:type="spellStart"/>
      <w:r w:rsidR="00E10AC6" w:rsidRPr="00134872">
        <w:t>QIVc</w:t>
      </w:r>
      <w:proofErr w:type="spellEnd"/>
      <w:r w:rsidR="00E10AC6" w:rsidRPr="00134872">
        <w:t xml:space="preserve"> = Flucelvax Quad</w:t>
      </w:r>
      <w:r w:rsidR="00CB3C15" w:rsidRPr="00134872">
        <w:t xml:space="preserve">; </w:t>
      </w:r>
      <w:r w:rsidR="00E10AC6" w:rsidRPr="00134872">
        <w:t>SAE</w:t>
      </w:r>
      <w:r w:rsidR="00CB3C15" w:rsidRPr="00134872">
        <w:t xml:space="preserve"> = serious adverse event.</w:t>
      </w:r>
    </w:p>
    <w:p w14:paraId="5C2A393E" w14:textId="5E91E12F" w:rsidR="00CA5508" w:rsidRPr="00134872" w:rsidRDefault="00CA5508" w:rsidP="00134872">
      <w:pPr>
        <w:pStyle w:val="TableDescription"/>
      </w:pPr>
      <w:r w:rsidRPr="00134872">
        <w:t>a. Day 22 for all ‘previous vaccinated’ subjects (receiving a single vaccine dose) and Day 50 for all ‘not previously vaccinated’ subjects (receiving 2 doses).</w:t>
      </w:r>
    </w:p>
    <w:p w14:paraId="3861B5C3" w14:textId="0B5FFA50" w:rsidR="00CA5508" w:rsidRPr="00134872" w:rsidRDefault="00CA5508" w:rsidP="00134872">
      <w:pPr>
        <w:pStyle w:val="TableDescription"/>
      </w:pPr>
      <w:r w:rsidRPr="00134872">
        <w:t>b. Medically attended AEs were collected through the first 30 days after the first occurrence of influenza like illness.</w:t>
      </w:r>
    </w:p>
    <w:p w14:paraId="212655D4" w14:textId="2EDBB979" w:rsidR="0029516D" w:rsidRPr="00D20C81" w:rsidRDefault="0029516D" w:rsidP="00505BA7">
      <w:pPr>
        <w:pStyle w:val="Heading5"/>
      </w:pPr>
      <w:r w:rsidRPr="00D20C81">
        <w:t>Serious adverse event</w:t>
      </w:r>
      <w:r w:rsidR="00F808F2">
        <w:t>s</w:t>
      </w:r>
      <w:r w:rsidR="00FE7E30">
        <w:t xml:space="preserve">, </w:t>
      </w:r>
      <w:proofErr w:type="gramStart"/>
      <w:r w:rsidRPr="00D20C81">
        <w:t>deaths</w:t>
      </w:r>
      <w:proofErr w:type="gramEnd"/>
      <w:r w:rsidR="00FE7E30">
        <w:t xml:space="preserve"> and </w:t>
      </w:r>
      <w:r w:rsidRPr="00D20C81">
        <w:t>other significant events</w:t>
      </w:r>
    </w:p>
    <w:p w14:paraId="56B7572B" w14:textId="2276F6BC" w:rsidR="0029516D" w:rsidRPr="00505BA7" w:rsidRDefault="00FE7E30" w:rsidP="00505BA7">
      <w:r w:rsidRPr="00393EE5">
        <w:t>Serious adverse events (</w:t>
      </w:r>
      <w:r w:rsidR="0029516D" w:rsidRPr="00393EE5">
        <w:t>SAEs</w:t>
      </w:r>
      <w:r w:rsidRPr="00393EE5">
        <w:t>)</w:t>
      </w:r>
      <w:r w:rsidR="0029516D" w:rsidRPr="00393EE5">
        <w:t>,</w:t>
      </w:r>
      <w:r w:rsidR="0029516D" w:rsidRPr="00505BA7">
        <w:t xml:space="preserve"> deaths and other significant events (new onset of chronic disease, events leading to withdrawal and medically</w:t>
      </w:r>
      <w:r>
        <w:t xml:space="preserve"> </w:t>
      </w:r>
      <w:r w:rsidR="0029516D" w:rsidRPr="00505BA7">
        <w:t>attended AEs within 30 days after the onset) were collected for up 6 months after the last vaccination.</w:t>
      </w:r>
    </w:p>
    <w:p w14:paraId="5297EC74" w14:textId="740297D9" w:rsidR="0029516D" w:rsidRPr="00505BA7" w:rsidRDefault="0029516D" w:rsidP="00505BA7">
      <w:r w:rsidRPr="00505BA7">
        <w:lastRenderedPageBreak/>
        <w:t xml:space="preserve">In total, 25 (1.1%) subjects in the </w:t>
      </w:r>
      <w:r w:rsidR="00D5036B">
        <w:t>Flucelvax Quad</w:t>
      </w:r>
      <w:r w:rsidRPr="00505BA7">
        <w:t xml:space="preserve"> group and 30 (1.3%) subjects in the comparator group reported SAEs after any vaccination with onset from Day 1 through end of study. No SAEs were assessed as related to vaccination.</w:t>
      </w:r>
    </w:p>
    <w:p w14:paraId="29570432" w14:textId="0764CFD1" w:rsidR="0029516D" w:rsidRPr="00505BA7" w:rsidRDefault="0029516D" w:rsidP="00505BA7">
      <w:r w:rsidRPr="00505BA7">
        <w:t>One death occurred in a subject who had received the comparator vaccine.</w:t>
      </w:r>
    </w:p>
    <w:p w14:paraId="0A48B4C7" w14:textId="41853C86" w:rsidR="0029516D" w:rsidRPr="00505BA7" w:rsidRDefault="0029516D" w:rsidP="00505BA7">
      <w:r w:rsidRPr="00505BA7">
        <w:t>No AEs leading to withdrawal from the study were reported.</w:t>
      </w:r>
    </w:p>
    <w:p w14:paraId="224BFC21" w14:textId="17BFBB8D" w:rsidR="0029516D" w:rsidRPr="00505BA7" w:rsidRDefault="0029516D" w:rsidP="00505BA7">
      <w:r w:rsidRPr="00505BA7">
        <w:t>The proportion of subjects who reported medically</w:t>
      </w:r>
      <w:r w:rsidR="007D768E">
        <w:t xml:space="preserve"> </w:t>
      </w:r>
      <w:r w:rsidRPr="00505BA7">
        <w:t xml:space="preserve">attended unsolicited AEs and reported AE leading to </w:t>
      </w:r>
      <w:r w:rsidR="00393EE5" w:rsidRPr="00393EE5">
        <w:t>new onset of chronic disease</w:t>
      </w:r>
      <w:r w:rsidRPr="00505BA7">
        <w:t xml:space="preserve"> was similar for both vaccine groups. None of the AEs leading to new onset of chronic disease </w:t>
      </w:r>
      <w:proofErr w:type="gramStart"/>
      <w:r w:rsidRPr="00505BA7">
        <w:t>was considered to be</w:t>
      </w:r>
      <w:proofErr w:type="gramEnd"/>
      <w:r w:rsidRPr="00505BA7">
        <w:t xml:space="preserve"> related to the study vaccine.</w:t>
      </w:r>
    </w:p>
    <w:p w14:paraId="58143C8D" w14:textId="77777777" w:rsidR="0029516D" w:rsidRDefault="0029516D" w:rsidP="00505BA7">
      <w:pPr>
        <w:pStyle w:val="Heading5"/>
      </w:pPr>
      <w:r w:rsidRPr="00A91FEC">
        <w:t>Safety in special populations</w:t>
      </w:r>
    </w:p>
    <w:p w14:paraId="1B63E0C4" w14:textId="343734BD" w:rsidR="0029516D" w:rsidRPr="00A91FEC" w:rsidRDefault="0029516D" w:rsidP="00505BA7">
      <w:pPr>
        <w:pStyle w:val="Heading6"/>
      </w:pPr>
      <w:r w:rsidRPr="00A91FEC">
        <w:t xml:space="preserve">By </w:t>
      </w:r>
      <w:r w:rsidR="007D768E">
        <w:t>a</w:t>
      </w:r>
      <w:r w:rsidRPr="00A91FEC">
        <w:t>ge</w:t>
      </w:r>
    </w:p>
    <w:p w14:paraId="61B27620" w14:textId="21B4F78C" w:rsidR="0029516D" w:rsidRPr="00505BA7" w:rsidRDefault="0029516D" w:rsidP="00505BA7">
      <w:r w:rsidRPr="00505BA7">
        <w:t>In the analysis by age subgroups, solicited AEs data were analysed stratified in subjects 2</w:t>
      </w:r>
      <w:r w:rsidR="007D768E">
        <w:t> </w:t>
      </w:r>
      <w:r w:rsidRPr="00505BA7">
        <w:t>to &lt; 6, 6 to &lt; 9, and 9 to &lt; 18 years of age. Unsolicited AEs were analysed by age groups of 2 to &lt; 9 and 9 to &lt; 18 years of age.</w:t>
      </w:r>
    </w:p>
    <w:p w14:paraId="166A88F0" w14:textId="45B2480C" w:rsidR="0029516D" w:rsidRPr="007D768E" w:rsidRDefault="0029516D" w:rsidP="007D768E">
      <w:pPr>
        <w:pStyle w:val="Heading7"/>
        <w:rPr>
          <w:sz w:val="22"/>
          <w:szCs w:val="28"/>
        </w:rPr>
      </w:pPr>
      <w:r w:rsidRPr="007D768E">
        <w:rPr>
          <w:sz w:val="22"/>
          <w:szCs w:val="28"/>
        </w:rPr>
        <w:t xml:space="preserve">Solicited </w:t>
      </w:r>
      <w:r w:rsidR="007D768E">
        <w:rPr>
          <w:sz w:val="22"/>
          <w:szCs w:val="28"/>
        </w:rPr>
        <w:t>adverse events</w:t>
      </w:r>
    </w:p>
    <w:p w14:paraId="10141477" w14:textId="706659F8" w:rsidR="0029516D" w:rsidRPr="00505BA7" w:rsidRDefault="0029516D" w:rsidP="00505BA7">
      <w:r w:rsidRPr="00505BA7">
        <w:t xml:space="preserve">In the analysis by age subgroups, the proportion of subjects with any solicited local AEs within 30 minutes after any vaccination were low for the </w:t>
      </w:r>
      <w:r w:rsidR="00D5036B">
        <w:t>Flucelvax Quad</w:t>
      </w:r>
      <w:r w:rsidRPr="00505BA7">
        <w:t xml:space="preserve"> (0.4%</w:t>
      </w:r>
      <w:r w:rsidR="007D768E">
        <w:t xml:space="preserve"> to </w:t>
      </w:r>
      <w:r w:rsidRPr="00505BA7">
        <w:t xml:space="preserve">1.4%) and the comparator group (0.7% </w:t>
      </w:r>
      <w:r w:rsidR="007D768E">
        <w:t xml:space="preserve">to </w:t>
      </w:r>
      <w:r w:rsidRPr="00505BA7">
        <w:t xml:space="preserve">1.4%) in all age subgroups. The </w:t>
      </w:r>
      <w:proofErr w:type="gramStart"/>
      <w:r w:rsidRPr="00505BA7">
        <w:t>most commonly reported</w:t>
      </w:r>
      <w:proofErr w:type="gramEnd"/>
      <w:r w:rsidRPr="00505BA7">
        <w:t xml:space="preserve"> local solicited AEs after 7</w:t>
      </w:r>
      <w:r w:rsidR="00337DC9">
        <w:t xml:space="preserve"> </w:t>
      </w:r>
      <w:r w:rsidRPr="00505BA7">
        <w:t>day</w:t>
      </w:r>
      <w:r w:rsidR="00337DC9">
        <w:t>s</w:t>
      </w:r>
      <w:r w:rsidRPr="00505BA7">
        <w:t xml:space="preserve"> following any vaccination for both vaccine groups were tenderness (in the 2 to &lt;</w:t>
      </w:r>
      <w:r w:rsidR="007D768E">
        <w:t xml:space="preserve"> </w:t>
      </w:r>
      <w:r w:rsidRPr="00505BA7">
        <w:t>6 years aged group), pain (in the 6 to &lt;</w:t>
      </w:r>
      <w:r w:rsidR="007D768E">
        <w:t xml:space="preserve"> </w:t>
      </w:r>
      <w:r w:rsidRPr="00505BA7">
        <w:t>9 years aged group and in 9 to &lt;</w:t>
      </w:r>
      <w:r w:rsidR="007D768E">
        <w:t xml:space="preserve"> </w:t>
      </w:r>
      <w:r w:rsidRPr="00505BA7">
        <w:t>18 years aged group) and erythema in all age groups. Additionally, the older children (9 to &lt;</w:t>
      </w:r>
      <w:r w:rsidR="007D768E">
        <w:t xml:space="preserve"> </w:t>
      </w:r>
      <w:r w:rsidRPr="00505BA7">
        <w:t>18 years of age) reported overall a slightly lower percentage of solicited AEs compared to the younger children (including pain).</w:t>
      </w:r>
    </w:p>
    <w:p w14:paraId="6D61D253" w14:textId="6F46DBC7" w:rsidR="0029516D" w:rsidRPr="00505BA7" w:rsidRDefault="0029516D" w:rsidP="00505BA7">
      <w:r w:rsidRPr="00505BA7">
        <w:t>In both vaccine groups, the proportion of subjects (in 2 to &lt;</w:t>
      </w:r>
      <w:r w:rsidR="007D768E">
        <w:t xml:space="preserve"> </w:t>
      </w:r>
      <w:r w:rsidRPr="00505BA7">
        <w:t>6, and in 6 to &lt;</w:t>
      </w:r>
      <w:r w:rsidR="007D768E">
        <w:t xml:space="preserve"> </w:t>
      </w:r>
      <w:r w:rsidRPr="00505BA7">
        <w:t xml:space="preserve">9 years of age group) who had not been previously vaccinated with influenza vaccine reported lower solicited local AEs after the second vaccination than after the first vaccination with </w:t>
      </w:r>
      <w:r w:rsidR="00D5036B">
        <w:t>Flucelvax Quad</w:t>
      </w:r>
      <w:r w:rsidRPr="00505BA7">
        <w:t>.</w:t>
      </w:r>
    </w:p>
    <w:p w14:paraId="5CCEA3BA" w14:textId="06D4FB07" w:rsidR="0029516D" w:rsidRPr="00505BA7" w:rsidRDefault="0029516D" w:rsidP="00505BA7">
      <w:r w:rsidRPr="00505BA7">
        <w:t xml:space="preserve">Regarding the solicited systemic AEs, the proportion of subjects with any solicited systemic AEs within 30 minutes after any vaccination were low. No notable differences for the </w:t>
      </w:r>
      <w:r w:rsidR="00D5036B">
        <w:t>Flucelvax Quad</w:t>
      </w:r>
      <w:r w:rsidRPr="00505BA7">
        <w:t xml:space="preserve"> and the comparator group were observed in all age subgroups. The </w:t>
      </w:r>
      <w:proofErr w:type="gramStart"/>
      <w:r w:rsidRPr="00505BA7">
        <w:t>most commonly reported</w:t>
      </w:r>
      <w:proofErr w:type="gramEnd"/>
      <w:r w:rsidRPr="00505BA7">
        <w:t xml:space="preserve"> systemic solicited AEs 7 days after any vaccination were sleepiness and irritability in the 2 to &lt;</w:t>
      </w:r>
      <w:r w:rsidR="007D768E">
        <w:t xml:space="preserve"> </w:t>
      </w:r>
      <w:r w:rsidRPr="00505BA7">
        <w:t>6 age group; in the other age groups the most commonly reported systemic solicited AEs were headache and feeling fatigue or tiredness. In all age group, the incidence of these solicited AE</w:t>
      </w:r>
      <w:r w:rsidR="007D768E">
        <w:t>s</w:t>
      </w:r>
      <w:r w:rsidRPr="00505BA7">
        <w:t xml:space="preserve"> </w:t>
      </w:r>
      <w:r w:rsidR="00565954" w:rsidRPr="00505BA7">
        <w:t>was</w:t>
      </w:r>
      <w:r w:rsidRPr="00505BA7">
        <w:t xml:space="preserve"> &lt;</w:t>
      </w:r>
      <w:r w:rsidR="007D768E">
        <w:t xml:space="preserve"> </w:t>
      </w:r>
      <w:r w:rsidRPr="00505BA7">
        <w:t xml:space="preserve">1% in the </w:t>
      </w:r>
      <w:r w:rsidR="00FE7E30">
        <w:t>Flucelvax Quad</w:t>
      </w:r>
      <w:r w:rsidR="00FE7E30" w:rsidRPr="00505BA7">
        <w:t xml:space="preserve"> </w:t>
      </w:r>
      <w:r w:rsidRPr="00505BA7">
        <w:t>and the comparator group.</w:t>
      </w:r>
    </w:p>
    <w:p w14:paraId="7E6BEDDC" w14:textId="33AF02E0" w:rsidR="0029516D" w:rsidRPr="00505BA7" w:rsidRDefault="0029516D" w:rsidP="00505BA7">
      <w:r w:rsidRPr="00505BA7">
        <w:t>Additionally, the older children (9 to &lt;</w:t>
      </w:r>
      <w:r w:rsidR="007D768E">
        <w:t xml:space="preserve"> </w:t>
      </w:r>
      <w:r w:rsidRPr="00505BA7">
        <w:t>18 age group) reported slightly lower rates of fever (≥</w:t>
      </w:r>
      <w:r w:rsidR="007D768E">
        <w:t xml:space="preserve"> </w:t>
      </w:r>
      <w:r w:rsidRPr="00505BA7">
        <w:t>38ºC) compared to the younger children (2.8%, 6.4% and 8.8% in 9 to &lt;</w:t>
      </w:r>
      <w:r w:rsidR="007D768E">
        <w:t xml:space="preserve"> </w:t>
      </w:r>
      <w:r w:rsidRPr="00505BA7">
        <w:t>18, 6 to &lt;</w:t>
      </w:r>
      <w:r w:rsidR="007D768E">
        <w:t xml:space="preserve"> </w:t>
      </w:r>
      <w:r w:rsidRPr="00505BA7">
        <w:t>9 and 2 to &lt;</w:t>
      </w:r>
      <w:r w:rsidR="007D768E">
        <w:t xml:space="preserve"> </w:t>
      </w:r>
      <w:r w:rsidRPr="00505BA7">
        <w:t>6 age group, respectively).</w:t>
      </w:r>
    </w:p>
    <w:p w14:paraId="0D910238" w14:textId="0EF1C44E" w:rsidR="0029516D" w:rsidRPr="00505BA7" w:rsidRDefault="0029516D" w:rsidP="00505BA7">
      <w:r w:rsidRPr="00505BA7">
        <w:t>Additionally, the older children (9 to &lt;</w:t>
      </w:r>
      <w:r w:rsidR="007D768E">
        <w:t xml:space="preserve"> </w:t>
      </w:r>
      <w:r w:rsidRPr="00505BA7">
        <w:t>18 years of age) reported overall a slightly lower percentage of solicited AEs compared to the younger children.</w:t>
      </w:r>
    </w:p>
    <w:p w14:paraId="0F0EC409" w14:textId="265ACB38" w:rsidR="0029516D" w:rsidRPr="00505BA7" w:rsidRDefault="1DA955B7" w:rsidP="00505BA7">
      <w:r>
        <w:t>The most common (≥</w:t>
      </w:r>
      <w:r w:rsidR="0DB50CCE">
        <w:t xml:space="preserve"> </w:t>
      </w:r>
      <w:r>
        <w:t xml:space="preserve">10%) local and systemic adverse reactions after any vaccination </w:t>
      </w:r>
      <w:r w:rsidRPr="00DA3172">
        <w:t>with Flucelvax Quad in children 6 to less than 9 years of age were pain at the injection site (</w:t>
      </w:r>
      <w:r w:rsidR="00B13864" w:rsidRPr="00DA3172">
        <w:t>27.9%</w:t>
      </w:r>
      <w:r w:rsidRPr="00DA3172">
        <w:t>), injection site erythema (</w:t>
      </w:r>
      <w:r w:rsidR="00B13864" w:rsidRPr="00DA3172">
        <w:t>22.4%</w:t>
      </w:r>
      <w:r w:rsidRPr="00DA3172">
        <w:t>), injection site induration (</w:t>
      </w:r>
      <w:r w:rsidR="00B13864" w:rsidRPr="00DA3172">
        <w:t>16.3%</w:t>
      </w:r>
      <w:r w:rsidRPr="00DA3172">
        <w:t>), fatigue (</w:t>
      </w:r>
      <w:r w:rsidR="00B13864" w:rsidRPr="00DA3172">
        <w:t>13.8%</w:t>
      </w:r>
      <w:r w:rsidRPr="00DA3172">
        <w:t>), headache (</w:t>
      </w:r>
      <w:r w:rsidR="00B13864" w:rsidRPr="00DA3172">
        <w:t>13.8%</w:t>
      </w:r>
      <w:r w:rsidRPr="00DA3172">
        <w:t>)</w:t>
      </w:r>
      <w:r w:rsidR="00C72283" w:rsidRPr="00DA3172">
        <w:t xml:space="preserve">, </w:t>
      </w:r>
      <w:r w:rsidRPr="00DA3172">
        <w:t>injection site ecchymosis (</w:t>
      </w:r>
      <w:r w:rsidR="00B13864" w:rsidRPr="00DA3172">
        <w:t>10.9%</w:t>
      </w:r>
      <w:r w:rsidRPr="00DA3172">
        <w:t>)</w:t>
      </w:r>
      <w:r w:rsidR="00C72283" w:rsidRPr="00DA3172">
        <w:t xml:space="preserve"> and loss of appetite (</w:t>
      </w:r>
      <w:r w:rsidR="00B13864" w:rsidRPr="00DA3172">
        <w:t>10.6%</w:t>
      </w:r>
      <w:r w:rsidR="00C72283" w:rsidRPr="00DA3172">
        <w:t>)</w:t>
      </w:r>
      <w:r w:rsidRPr="00DA3172">
        <w:t>.</w:t>
      </w:r>
    </w:p>
    <w:p w14:paraId="44834EC2" w14:textId="20A7FB7B" w:rsidR="0029516D" w:rsidRPr="00505BA7" w:rsidRDefault="3DA4130C" w:rsidP="00D1518B">
      <w:r>
        <w:t>The most common (≥</w:t>
      </w:r>
      <w:r w:rsidR="317257E8">
        <w:t xml:space="preserve"> </w:t>
      </w:r>
      <w:r>
        <w:t xml:space="preserve">10%) local and systemic adverse reactions after any vaccination in children </w:t>
      </w:r>
      <w:r w:rsidR="0063707B">
        <w:t>2</w:t>
      </w:r>
      <w:r>
        <w:t xml:space="preserve"> to less than 6 years of age were tenderness at the injection site (</w:t>
      </w:r>
      <w:r w:rsidR="00DA7D9C">
        <w:t>28.7</w:t>
      </w:r>
      <w:r w:rsidR="0063707B">
        <w:t>%</w:t>
      </w:r>
      <w:r>
        <w:t xml:space="preserve">), </w:t>
      </w:r>
      <w:r>
        <w:lastRenderedPageBreak/>
        <w:t>injection site erythema (</w:t>
      </w:r>
      <w:r w:rsidR="0063707B">
        <w:t>20</w:t>
      </w:r>
      <w:r w:rsidR="00DA7D9C">
        <w:t>.2</w:t>
      </w:r>
      <w:r w:rsidR="0063707B">
        <w:t>%</w:t>
      </w:r>
      <w:r>
        <w:t>), sleepiness (</w:t>
      </w:r>
      <w:r w:rsidR="00DA7D9C">
        <w:t>14.9</w:t>
      </w:r>
      <w:r w:rsidR="0063707B">
        <w:t>%</w:t>
      </w:r>
      <w:r>
        <w:t>), irritability (</w:t>
      </w:r>
      <w:r w:rsidR="00DA7D9C">
        <w:t>13.8</w:t>
      </w:r>
      <w:r w:rsidR="0063707B">
        <w:t>%</w:t>
      </w:r>
      <w:r>
        <w:t>)</w:t>
      </w:r>
      <w:r w:rsidR="006604F4">
        <w:t>,</w:t>
      </w:r>
      <w:r w:rsidR="00692035">
        <w:t xml:space="preserve"> and</w:t>
      </w:r>
      <w:r w:rsidR="006604F4">
        <w:t xml:space="preserve"> </w:t>
      </w:r>
      <w:r>
        <w:t>injection site induration (</w:t>
      </w:r>
      <w:r w:rsidR="00DA7D9C">
        <w:t>13.5</w:t>
      </w:r>
      <w:r w:rsidR="0063707B">
        <w:t>%</w:t>
      </w:r>
      <w:r w:rsidR="00D1518B">
        <w:t>)</w:t>
      </w:r>
      <w:r w:rsidR="00DA7D9C">
        <w:t>.</w:t>
      </w:r>
    </w:p>
    <w:p w14:paraId="7C7138DF" w14:textId="113407C4" w:rsidR="0029516D" w:rsidRPr="007D768E" w:rsidRDefault="0029516D" w:rsidP="007D768E">
      <w:pPr>
        <w:pStyle w:val="Heading7"/>
        <w:rPr>
          <w:sz w:val="22"/>
          <w:szCs w:val="28"/>
        </w:rPr>
      </w:pPr>
      <w:r w:rsidRPr="007D768E">
        <w:rPr>
          <w:sz w:val="22"/>
          <w:szCs w:val="28"/>
        </w:rPr>
        <w:t xml:space="preserve">Unsolicited </w:t>
      </w:r>
      <w:r w:rsidR="007D768E" w:rsidRPr="007D768E">
        <w:rPr>
          <w:sz w:val="22"/>
          <w:szCs w:val="28"/>
        </w:rPr>
        <w:t>adverse events</w:t>
      </w:r>
    </w:p>
    <w:p w14:paraId="1E9FBF65" w14:textId="3716B7F6" w:rsidR="0029516D" w:rsidRPr="00505BA7" w:rsidRDefault="0029516D" w:rsidP="00505BA7">
      <w:r w:rsidRPr="00505BA7">
        <w:t xml:space="preserve">The proportion of subjects with any unsolicited AEs and any possibly related unsolicited AEs was lower in older subjects (18.1% and 2.6%) compared to the younger subjects (37.7% and 5.9%) in the </w:t>
      </w:r>
      <w:r w:rsidR="00D5036B">
        <w:t>Flucelvax Quad</w:t>
      </w:r>
      <w:r w:rsidRPr="00505BA7">
        <w:t xml:space="preserve"> group.</w:t>
      </w:r>
    </w:p>
    <w:p w14:paraId="717E4D3F" w14:textId="07AD14B0" w:rsidR="0029516D" w:rsidRPr="00A91FEC" w:rsidRDefault="0029516D" w:rsidP="00505BA7">
      <w:pPr>
        <w:pStyle w:val="Heading6"/>
      </w:pPr>
      <w:r w:rsidRPr="00A91FEC">
        <w:t>By gender</w:t>
      </w:r>
    </w:p>
    <w:p w14:paraId="156655A3" w14:textId="141AA121" w:rsidR="0029516D" w:rsidRPr="00505BA7" w:rsidRDefault="0029516D" w:rsidP="00505BA7">
      <w:r w:rsidRPr="00505BA7">
        <w:t>No notable differences in frequency of subjects 2 to &lt;</w:t>
      </w:r>
      <w:r w:rsidR="007D768E">
        <w:t xml:space="preserve"> </w:t>
      </w:r>
      <w:r w:rsidRPr="00505BA7">
        <w:t>18 years of age reporting any local or systemic solicited AEs and unsolicited AEs were found between genders.</w:t>
      </w:r>
    </w:p>
    <w:p w14:paraId="11F0097C" w14:textId="15FF6713" w:rsidR="0029516D" w:rsidRPr="00002887" w:rsidRDefault="0029516D" w:rsidP="00505BA7">
      <w:pPr>
        <w:pStyle w:val="Heading6"/>
      </w:pPr>
      <w:r w:rsidRPr="00002887">
        <w:t>By vaccination status</w:t>
      </w:r>
    </w:p>
    <w:p w14:paraId="40A8A786" w14:textId="4D26BEBA" w:rsidR="0029516D" w:rsidRPr="00505BA7" w:rsidRDefault="0029516D" w:rsidP="00505BA7">
      <w:r w:rsidRPr="00505BA7">
        <w:t xml:space="preserve">In subgroup 2 to 6 years of age and 6 to 9 years of age the vaccine scheme was defined for influenza vaccination status. The previously vaccinated subjects received </w:t>
      </w:r>
      <w:r w:rsidR="007D768E">
        <w:t>one</w:t>
      </w:r>
      <w:r w:rsidRPr="00505BA7">
        <w:t xml:space="preserve"> dose and the non-previously vaccinated received 2 doses of </w:t>
      </w:r>
      <w:r w:rsidR="00D5036B">
        <w:t>Flucelvax Quad</w:t>
      </w:r>
      <w:r w:rsidRPr="00505BA7">
        <w:t>.</w:t>
      </w:r>
    </w:p>
    <w:p w14:paraId="212F927A" w14:textId="67675235" w:rsidR="0029516D" w:rsidRPr="00505BA7" w:rsidRDefault="0029516D" w:rsidP="00505BA7">
      <w:proofErr w:type="gramStart"/>
      <w:r w:rsidRPr="00505BA7">
        <w:t>All of</w:t>
      </w:r>
      <w:proofErr w:type="gramEnd"/>
      <w:r w:rsidRPr="00505BA7">
        <w:t xml:space="preserve"> the subject 9 to &lt;</w:t>
      </w:r>
      <w:r w:rsidR="007D768E">
        <w:t xml:space="preserve"> </w:t>
      </w:r>
      <w:r w:rsidRPr="00505BA7">
        <w:t>18 years of age (100%) were categori</w:t>
      </w:r>
      <w:r w:rsidR="00BB487C">
        <w:t>s</w:t>
      </w:r>
      <w:r w:rsidRPr="00505BA7">
        <w:t xml:space="preserve">ed as previously vaccinated against influenza and received </w:t>
      </w:r>
      <w:r w:rsidR="007D768E">
        <w:t>one</w:t>
      </w:r>
      <w:r w:rsidRPr="00505BA7">
        <w:t xml:space="preserve"> dose of the study vaccine or the comparator. With respect to solicited local and systemic AEs, the proportion of subjects with solicited AEs after any vaccination was lower in the </w:t>
      </w:r>
      <w:r w:rsidR="009D2250">
        <w:t>‘</w:t>
      </w:r>
      <w:r w:rsidRPr="00505BA7">
        <w:t>previously vaccinated</w:t>
      </w:r>
      <w:r w:rsidR="009D2250">
        <w:t>’</w:t>
      </w:r>
      <w:r w:rsidRPr="00505BA7">
        <w:t xml:space="preserve"> group than in the </w:t>
      </w:r>
      <w:r w:rsidR="009D2250">
        <w:t>‘</w:t>
      </w:r>
      <w:r w:rsidRPr="00505BA7">
        <w:t>not previously vaccinated</w:t>
      </w:r>
      <w:r w:rsidR="009D2250">
        <w:t>’</w:t>
      </w:r>
      <w:r w:rsidRPr="00505BA7">
        <w:t xml:space="preserve"> group. In both vaccine groups, the proportion of </w:t>
      </w:r>
      <w:r w:rsidR="009D2250">
        <w:t>‘</w:t>
      </w:r>
      <w:r w:rsidRPr="00505BA7">
        <w:t>not previously vaccinated</w:t>
      </w:r>
      <w:r w:rsidR="009D2250">
        <w:t>’</w:t>
      </w:r>
      <w:r w:rsidRPr="00505BA7">
        <w:t xml:space="preserve"> with any solicited AEs was lower after the second vaccination than after the first vaccination.</w:t>
      </w:r>
    </w:p>
    <w:p w14:paraId="39132125" w14:textId="4C19AC61" w:rsidR="0029516D" w:rsidRPr="00505BA7" w:rsidRDefault="0029516D" w:rsidP="00505BA7">
      <w:r w:rsidRPr="00505BA7">
        <w:t xml:space="preserve">Regarding the </w:t>
      </w:r>
      <w:r w:rsidR="00A0334A">
        <w:t>u</w:t>
      </w:r>
      <w:r w:rsidRPr="00505BA7">
        <w:t xml:space="preserve">nsolicited AEs, a lower proportion of subjects reporting unsolicited AEs was found in the </w:t>
      </w:r>
      <w:r w:rsidR="009D2250">
        <w:t>‘</w:t>
      </w:r>
      <w:r w:rsidRPr="00505BA7">
        <w:t>previously vaccinated</w:t>
      </w:r>
      <w:r w:rsidR="009D2250">
        <w:t>’</w:t>
      </w:r>
      <w:r w:rsidRPr="00505BA7">
        <w:t xml:space="preserve"> subjects than in the </w:t>
      </w:r>
      <w:r w:rsidR="009D2250">
        <w:t>‘</w:t>
      </w:r>
      <w:r w:rsidRPr="00505BA7">
        <w:t>not previously vaccinated</w:t>
      </w:r>
      <w:r w:rsidR="009D2250">
        <w:t>’</w:t>
      </w:r>
      <w:r w:rsidRPr="00505BA7">
        <w:t xml:space="preserve"> group.</w:t>
      </w:r>
    </w:p>
    <w:p w14:paraId="2DEB6594" w14:textId="77777777" w:rsidR="0029516D" w:rsidRPr="006403AA" w:rsidRDefault="0029516D" w:rsidP="00505BA7">
      <w:pPr>
        <w:pStyle w:val="Heading4"/>
      </w:pPr>
      <w:bookmarkStart w:id="51" w:name="_Toc241374326"/>
      <w:bookmarkStart w:id="52" w:name="_Ref272333048"/>
      <w:bookmarkStart w:id="53" w:name="_Toc272414679"/>
      <w:bookmarkStart w:id="54" w:name="_Toc290888543"/>
      <w:bookmarkStart w:id="55" w:name="_Toc416353758"/>
      <w:bookmarkStart w:id="56" w:name="_Toc421005301"/>
      <w:bookmarkStart w:id="57" w:name="_Toc432079182"/>
      <w:bookmarkStart w:id="58" w:name="_Toc432080755"/>
      <w:bookmarkStart w:id="59" w:name="_Toc78964103"/>
      <w:r w:rsidRPr="006403AA">
        <w:t>Post-marketing experience</w:t>
      </w:r>
      <w:bookmarkEnd w:id="51"/>
      <w:bookmarkEnd w:id="52"/>
      <w:bookmarkEnd w:id="53"/>
      <w:bookmarkEnd w:id="54"/>
      <w:bookmarkEnd w:id="55"/>
      <w:bookmarkEnd w:id="56"/>
      <w:bookmarkEnd w:id="57"/>
      <w:bookmarkEnd w:id="58"/>
      <w:bookmarkEnd w:id="59"/>
    </w:p>
    <w:p w14:paraId="3AA4B023" w14:textId="6D1055C9" w:rsidR="0029516D" w:rsidRPr="00505BA7" w:rsidRDefault="00D5036B" w:rsidP="00505BA7">
      <w:r>
        <w:t>Flucelvax Quad</w:t>
      </w:r>
      <w:r w:rsidR="0029516D" w:rsidRPr="00505BA7">
        <w:t xml:space="preserve"> was approved in the US</w:t>
      </w:r>
      <w:r w:rsidR="00A0334A">
        <w:t>A</w:t>
      </w:r>
      <w:r w:rsidR="0029516D" w:rsidRPr="00505BA7">
        <w:t xml:space="preserve"> for prevention of influenza in persons 4 years of age and older on 23 May 2016.</w:t>
      </w:r>
      <w:r w:rsidR="009D2250">
        <w:t xml:space="preserve"> </w:t>
      </w:r>
      <w:r w:rsidR="0029516D" w:rsidRPr="00505BA7">
        <w:t xml:space="preserve">However, for other jurisdictions such as Europe and Canada, </w:t>
      </w:r>
      <w:r>
        <w:t>Flucelvax Quad</w:t>
      </w:r>
      <w:r w:rsidR="0029516D" w:rsidRPr="00505BA7">
        <w:t xml:space="preserve"> was not approved for children &lt;</w:t>
      </w:r>
      <w:r w:rsidR="007D768E">
        <w:t xml:space="preserve"> </w:t>
      </w:r>
      <w:r w:rsidR="0029516D" w:rsidRPr="00505BA7">
        <w:t xml:space="preserve">2 years of age at the time this </w:t>
      </w:r>
      <w:r w:rsidR="00A0334A">
        <w:t>submission to extend the current indications</w:t>
      </w:r>
      <w:r w:rsidR="0029516D" w:rsidRPr="00505BA7">
        <w:t xml:space="preserve"> was made to the TGA.</w:t>
      </w:r>
    </w:p>
    <w:p w14:paraId="5B061298" w14:textId="56C748A5" w:rsidR="0029516D" w:rsidRPr="00505BA7" w:rsidRDefault="0029516D" w:rsidP="00505BA7">
      <w:r w:rsidRPr="00505BA7">
        <w:t xml:space="preserve">The most recent </w:t>
      </w:r>
      <w:r w:rsidR="00D5036B">
        <w:t>Flucelvax Quad</w:t>
      </w:r>
      <w:r w:rsidRPr="00505BA7">
        <w:t xml:space="preserve"> </w:t>
      </w:r>
      <w:r w:rsidR="00393EE5" w:rsidRPr="00393EE5">
        <w:t>periodic safety update report (PSUR)</w:t>
      </w:r>
      <w:r w:rsidR="000F6E68">
        <w:rPr>
          <w:rStyle w:val="FootnoteReference"/>
        </w:rPr>
        <w:footnoteReference w:id="23"/>
      </w:r>
      <w:r w:rsidR="00393EE5" w:rsidRPr="00505BA7">
        <w:t xml:space="preserve"> </w:t>
      </w:r>
      <w:r w:rsidRPr="00505BA7">
        <w:t>at the time of the application, dated 18 May 2020 (covers the period 16 March 2019 to 15 March 2020), reported no new safety concern in the post-market setting.</w:t>
      </w:r>
      <w:r w:rsidR="009D2250">
        <w:t xml:space="preserve"> </w:t>
      </w:r>
      <w:r w:rsidRPr="00505BA7">
        <w:t xml:space="preserve">Adverse events were reported from post-marketing surveillance. They included: allergic or immediate hypersensitivity reactions, including anaphylactic shock; generalised skin reactions including pruritus, urticaria or nonspecific rash; extensive swelling of injected limb and paraesthesia. These events are continuously monitored per </w:t>
      </w:r>
      <w:r w:rsidR="00D5036B">
        <w:t>Flucelvax Quad</w:t>
      </w:r>
      <w:r w:rsidRPr="00505BA7">
        <w:t xml:space="preserve"> routine pharmacovigilance activities.</w:t>
      </w:r>
    </w:p>
    <w:p w14:paraId="63EEE856" w14:textId="77777777" w:rsidR="008E7846" w:rsidRDefault="00386150" w:rsidP="007B6132">
      <w:pPr>
        <w:pStyle w:val="Heading3"/>
        <w:rPr>
          <w:lang w:eastAsia="en-AU"/>
        </w:rPr>
      </w:pPr>
      <w:bookmarkStart w:id="60" w:name="_Toc119662225"/>
      <w:r>
        <w:rPr>
          <w:lang w:eastAsia="en-AU"/>
        </w:rPr>
        <w:t>Risk m</w:t>
      </w:r>
      <w:r w:rsidR="008E7846">
        <w:rPr>
          <w:lang w:eastAsia="en-AU"/>
        </w:rPr>
        <w:t xml:space="preserve">anagement </w:t>
      </w:r>
      <w:r>
        <w:rPr>
          <w:lang w:eastAsia="en-AU"/>
        </w:rPr>
        <w:t>p</w:t>
      </w:r>
      <w:r w:rsidR="008E7846">
        <w:rPr>
          <w:lang w:eastAsia="en-AU"/>
        </w:rPr>
        <w:t>lan</w:t>
      </w:r>
      <w:bookmarkEnd w:id="44"/>
      <w:bookmarkEnd w:id="60"/>
    </w:p>
    <w:p w14:paraId="3637D929" w14:textId="41D4C573" w:rsidR="0029516D" w:rsidRDefault="3DA4130C" w:rsidP="0029516D">
      <w:r w:rsidRPr="0029516D">
        <w:t xml:space="preserve">The most recently </w:t>
      </w:r>
      <w:r w:rsidRPr="00393EE5">
        <w:t>evaluated EU-</w:t>
      </w:r>
      <w:r w:rsidR="421AE014" w:rsidRPr="00393EE5">
        <w:t>risk management plan (</w:t>
      </w:r>
      <w:r w:rsidRPr="00393EE5">
        <w:t>RMP</w:t>
      </w:r>
      <w:r w:rsidR="421AE014">
        <w:t>)</w:t>
      </w:r>
      <w:r w:rsidRPr="0029516D">
        <w:t xml:space="preserve"> was version 2.0 (approved 20 December 2018; </w:t>
      </w:r>
      <w:r w:rsidR="421AE014">
        <w:t>d</w:t>
      </w:r>
      <w:r w:rsidR="421AE014" w:rsidRPr="00393EE5">
        <w:t>ata lock point (</w:t>
      </w:r>
      <w:r w:rsidRPr="00393EE5">
        <w:t>DLP</w:t>
      </w:r>
      <w:r w:rsidR="421AE014" w:rsidRPr="00393EE5">
        <w:t>)</w:t>
      </w:r>
      <w:r w:rsidRPr="00393EE5">
        <w:t xml:space="preserve"> 30 May 2017) and </w:t>
      </w:r>
      <w:r w:rsidR="421AE014" w:rsidRPr="00393EE5">
        <w:t>Australia specific annex (</w:t>
      </w:r>
      <w:r w:rsidRPr="00393EE5">
        <w:t>ASA</w:t>
      </w:r>
      <w:r w:rsidR="421AE014" w:rsidRPr="00393EE5">
        <w:t>)</w:t>
      </w:r>
      <w:r w:rsidRPr="00393EE5">
        <w:t xml:space="preserve"> version 1.1 (dated 7 April 2020). In support of th</w:t>
      </w:r>
      <w:r w:rsidRPr="0029516D">
        <w:t>e extended indications, the sponsor has submitted</w:t>
      </w:r>
      <w:r w:rsidR="00876543">
        <w:t xml:space="preserve"> draft</w:t>
      </w:r>
      <w:r w:rsidRPr="0029516D">
        <w:t xml:space="preserve"> EU-RMP version 2.1 (dated 2 June 2020; DLP 30 January 2020) and </w:t>
      </w:r>
      <w:r w:rsidRPr="0029516D">
        <w:lastRenderedPageBreak/>
        <w:t>ASA version 3.0 (dated 12 October 2020). The sponsor has not provided an updated EU</w:t>
      </w:r>
      <w:r w:rsidR="00CC2874">
        <w:noBreakHyphen/>
      </w:r>
      <w:r w:rsidRPr="0029516D">
        <w:t xml:space="preserve">RMP or ASA at </w:t>
      </w:r>
      <w:r w:rsidR="317257E8">
        <w:t>the second round of evaluation</w:t>
      </w:r>
      <w:r w:rsidRPr="0029516D">
        <w:t>.</w:t>
      </w:r>
    </w:p>
    <w:p w14:paraId="2E7038E6" w14:textId="440BFCAE" w:rsidR="00D05A9B" w:rsidRDefault="00D05A9B" w:rsidP="00D05A9B">
      <w:r>
        <w:t xml:space="preserve">The summary of safety concerns and their associated risk monitoring and mitigation strategies are summarised in </w:t>
      </w:r>
      <w:r>
        <w:rPr>
          <w:color w:val="2B579A"/>
          <w:shd w:val="clear" w:color="auto" w:fill="E6E6E6"/>
        </w:rPr>
        <w:fldChar w:fldCharType="begin"/>
      </w:r>
      <w:r>
        <w:instrText xml:space="preserve"> REF _Ref103170949 \h </w:instrText>
      </w:r>
      <w:r>
        <w:rPr>
          <w:color w:val="2B579A"/>
          <w:shd w:val="clear" w:color="auto" w:fill="E6E6E6"/>
        </w:rPr>
      </w:r>
      <w:r>
        <w:rPr>
          <w:color w:val="2B579A"/>
          <w:shd w:val="clear" w:color="auto" w:fill="E6E6E6"/>
        </w:rPr>
        <w:fldChar w:fldCharType="separate"/>
      </w:r>
      <w:r w:rsidR="0028296F">
        <w:t xml:space="preserve">Table </w:t>
      </w:r>
      <w:r w:rsidR="0028296F">
        <w:rPr>
          <w:noProof/>
        </w:rPr>
        <w:t>14</w:t>
      </w:r>
      <w:r>
        <w:rPr>
          <w:color w:val="2B579A"/>
          <w:shd w:val="clear" w:color="auto" w:fill="E6E6E6"/>
        </w:rPr>
        <w:fldChar w:fldCharType="end"/>
      </w:r>
      <w:r>
        <w:t xml:space="preserve">. Further information regarding the TGA’s risk management approach can be found in </w:t>
      </w:r>
      <w:hyperlink r:id="rId30" w:history="1">
        <w:r w:rsidRPr="0023444E">
          <w:rPr>
            <w:rStyle w:val="Hyperlink"/>
          </w:rPr>
          <w:t>risk management plans for medicines and biologicals</w:t>
        </w:r>
      </w:hyperlink>
      <w:r>
        <w:t xml:space="preserve"> and </w:t>
      </w:r>
      <w:hyperlink r:id="rId31" w:history="1">
        <w:r w:rsidRPr="0023444E">
          <w:rPr>
            <w:rStyle w:val="Hyperlink"/>
          </w:rPr>
          <w:t>the TGA's risk management approach</w:t>
        </w:r>
      </w:hyperlink>
      <w:r>
        <w:t>.</w:t>
      </w:r>
    </w:p>
    <w:p w14:paraId="71F2B8B9" w14:textId="65153C35" w:rsidR="00744121" w:rsidRPr="00BE515D" w:rsidRDefault="3DA4130C" w:rsidP="00BE515D">
      <w:pPr>
        <w:pStyle w:val="TableTitle"/>
      </w:pPr>
      <w:bookmarkStart w:id="61" w:name="_Ref103170949"/>
      <w:r>
        <w:t xml:space="preserve">Table </w:t>
      </w:r>
      <w:r w:rsidR="0029516D" w:rsidRPr="35E2D724">
        <w:rPr>
          <w:noProof/>
          <w:color w:val="2B579A"/>
          <w:shd w:val="clear" w:color="auto" w:fill="E6E6E6"/>
        </w:rPr>
        <w:fldChar w:fldCharType="begin"/>
      </w:r>
      <w:r w:rsidR="0029516D" w:rsidRPr="35E2D724">
        <w:rPr>
          <w:noProof/>
        </w:rPr>
        <w:instrText xml:space="preserve"> SEQ Table \* ARABIC </w:instrText>
      </w:r>
      <w:r w:rsidR="0029516D" w:rsidRPr="35E2D724">
        <w:rPr>
          <w:noProof/>
          <w:color w:val="2B579A"/>
          <w:shd w:val="clear" w:color="auto" w:fill="E6E6E6"/>
        </w:rPr>
        <w:fldChar w:fldCharType="separate"/>
      </w:r>
      <w:r w:rsidR="0028296F">
        <w:rPr>
          <w:noProof/>
        </w:rPr>
        <w:t>14</w:t>
      </w:r>
      <w:r w:rsidR="0029516D" w:rsidRPr="35E2D724">
        <w:rPr>
          <w:noProof/>
          <w:color w:val="2B579A"/>
          <w:shd w:val="clear" w:color="auto" w:fill="E6E6E6"/>
        </w:rPr>
        <w:fldChar w:fldCharType="end"/>
      </w:r>
      <w:bookmarkEnd w:id="61"/>
      <w:r>
        <w:t>: S</w:t>
      </w:r>
      <w:r w:rsidR="614E18E4">
        <w:t>ummary of safety concerns</w:t>
      </w:r>
    </w:p>
    <w:tbl>
      <w:tblPr>
        <w:tblStyle w:val="TableTGAblue"/>
        <w:tblW w:w="8500" w:type="dxa"/>
        <w:tblLayout w:type="fixed"/>
        <w:tblLook w:val="04A0" w:firstRow="1" w:lastRow="0" w:firstColumn="1" w:lastColumn="0" w:noHBand="0" w:noVBand="1"/>
      </w:tblPr>
      <w:tblGrid>
        <w:gridCol w:w="2405"/>
        <w:gridCol w:w="1559"/>
        <w:gridCol w:w="993"/>
        <w:gridCol w:w="1275"/>
        <w:gridCol w:w="993"/>
        <w:gridCol w:w="1275"/>
      </w:tblGrid>
      <w:tr w:rsidR="0029516D" w:rsidRPr="00562016" w14:paraId="2456CB23" w14:textId="77777777" w:rsidTr="0029516D">
        <w:trPr>
          <w:cnfStyle w:val="100000000000" w:firstRow="1" w:lastRow="0" w:firstColumn="0" w:lastColumn="0" w:oddVBand="0" w:evenVBand="0" w:oddHBand="0" w:evenHBand="0" w:firstRowFirstColumn="0" w:firstRowLastColumn="0" w:lastRowFirstColumn="0" w:lastRowLastColumn="0"/>
          <w:trHeight w:val="131"/>
        </w:trPr>
        <w:tc>
          <w:tcPr>
            <w:tcW w:w="3964" w:type="dxa"/>
            <w:gridSpan w:val="2"/>
            <w:vMerge w:val="restart"/>
            <w:tcBorders>
              <w:top w:val="single" w:sz="4" w:space="0" w:color="auto"/>
              <w:left w:val="single" w:sz="4" w:space="0" w:color="auto"/>
              <w:bottom w:val="single" w:sz="4" w:space="0" w:color="auto"/>
              <w:right w:val="single" w:sz="4" w:space="0" w:color="auto"/>
            </w:tcBorders>
          </w:tcPr>
          <w:p w14:paraId="7304494C" w14:textId="77777777" w:rsidR="0029516D" w:rsidRPr="0029516D" w:rsidRDefault="0029516D" w:rsidP="0029516D">
            <w:pPr>
              <w:pStyle w:val="Tabletext"/>
              <w:ind w:left="0" w:right="0"/>
            </w:pPr>
            <w:r w:rsidRPr="0029516D">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067CDD34" w14:textId="77777777" w:rsidR="0029516D" w:rsidRPr="0029516D" w:rsidRDefault="0029516D" w:rsidP="0029516D">
            <w:pPr>
              <w:pStyle w:val="Tabletext"/>
              <w:ind w:left="0" w:right="0"/>
            </w:pPr>
            <w:r w:rsidRPr="0029516D">
              <w:t>Pharmacovigilance</w:t>
            </w:r>
          </w:p>
        </w:tc>
        <w:tc>
          <w:tcPr>
            <w:tcW w:w="2268" w:type="dxa"/>
            <w:gridSpan w:val="2"/>
            <w:tcBorders>
              <w:top w:val="single" w:sz="4" w:space="0" w:color="auto"/>
              <w:left w:val="single" w:sz="4" w:space="0" w:color="auto"/>
              <w:bottom w:val="single" w:sz="4" w:space="0" w:color="auto"/>
              <w:right w:val="single" w:sz="4" w:space="0" w:color="auto"/>
            </w:tcBorders>
          </w:tcPr>
          <w:p w14:paraId="7F3EB947" w14:textId="088CD0BA" w:rsidR="0029516D" w:rsidRPr="0029516D" w:rsidRDefault="0029516D" w:rsidP="0029516D">
            <w:pPr>
              <w:pStyle w:val="Tabletext"/>
              <w:ind w:left="0" w:right="0"/>
            </w:pPr>
            <w:r w:rsidRPr="0029516D">
              <w:t xml:space="preserve">Risk </w:t>
            </w:r>
            <w:r>
              <w:t>m</w:t>
            </w:r>
            <w:r w:rsidRPr="0029516D">
              <w:t>inimisation</w:t>
            </w:r>
          </w:p>
        </w:tc>
      </w:tr>
      <w:tr w:rsidR="0029516D" w:rsidRPr="00562016" w14:paraId="57E61263" w14:textId="77777777" w:rsidTr="0029516D">
        <w:trPr>
          <w:trHeight w:val="150"/>
        </w:trPr>
        <w:tc>
          <w:tcPr>
            <w:tcW w:w="3964" w:type="dxa"/>
            <w:gridSpan w:val="2"/>
            <w:vMerge/>
            <w:tcBorders>
              <w:top w:val="single" w:sz="4" w:space="0" w:color="auto"/>
              <w:left w:val="single" w:sz="4" w:space="0" w:color="auto"/>
              <w:bottom w:val="single" w:sz="4" w:space="0" w:color="auto"/>
              <w:right w:val="single" w:sz="4" w:space="0" w:color="auto"/>
            </w:tcBorders>
            <w:shd w:val="clear" w:color="auto" w:fill="006DA7"/>
          </w:tcPr>
          <w:p w14:paraId="30BBB863" w14:textId="77777777" w:rsidR="0029516D" w:rsidRPr="0029516D" w:rsidRDefault="0029516D" w:rsidP="0029516D">
            <w:pPr>
              <w:pStyle w:val="Tabletext"/>
              <w:ind w:left="0" w:right="0"/>
              <w:rPr>
                <w:b/>
                <w:color w:val="FFFFFF" w:themeColor="background1"/>
              </w:rPr>
            </w:pP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2C9D6A0F" w14:textId="77777777" w:rsidR="0029516D" w:rsidRPr="0029516D" w:rsidRDefault="0029516D" w:rsidP="0029516D">
            <w:pPr>
              <w:pStyle w:val="Tabletext"/>
              <w:ind w:left="0" w:right="0"/>
              <w:rPr>
                <w:b/>
                <w:color w:val="FFFFFF" w:themeColor="background1"/>
              </w:rPr>
            </w:pPr>
            <w:r w:rsidRPr="0029516D">
              <w:rPr>
                <w:b/>
                <w:color w:val="FFFFFF" w:themeColor="background1"/>
              </w:rPr>
              <w:t>Routine</w:t>
            </w:r>
          </w:p>
        </w:tc>
        <w:tc>
          <w:tcPr>
            <w:tcW w:w="1275" w:type="dxa"/>
            <w:tcBorders>
              <w:top w:val="single" w:sz="4" w:space="0" w:color="auto"/>
              <w:left w:val="single" w:sz="4" w:space="0" w:color="auto"/>
              <w:bottom w:val="single" w:sz="4" w:space="0" w:color="auto"/>
              <w:right w:val="single" w:sz="4" w:space="0" w:color="auto"/>
            </w:tcBorders>
            <w:shd w:val="clear" w:color="auto" w:fill="006DA7"/>
          </w:tcPr>
          <w:p w14:paraId="2DFA8EDA" w14:textId="77777777" w:rsidR="0029516D" w:rsidRPr="0029516D" w:rsidRDefault="0029516D" w:rsidP="0029516D">
            <w:pPr>
              <w:pStyle w:val="Tabletext"/>
              <w:ind w:left="0" w:right="0"/>
              <w:rPr>
                <w:b/>
                <w:color w:val="FFFFFF" w:themeColor="background1"/>
              </w:rPr>
            </w:pPr>
            <w:r w:rsidRPr="0029516D">
              <w:rPr>
                <w:b/>
                <w:color w:val="FFFFFF" w:themeColor="background1"/>
              </w:rPr>
              <w:t>Additional</w:t>
            </w:r>
          </w:p>
        </w:tc>
        <w:tc>
          <w:tcPr>
            <w:tcW w:w="993" w:type="dxa"/>
            <w:tcBorders>
              <w:top w:val="single" w:sz="4" w:space="0" w:color="auto"/>
              <w:left w:val="single" w:sz="4" w:space="0" w:color="auto"/>
              <w:bottom w:val="single" w:sz="4" w:space="0" w:color="auto"/>
              <w:right w:val="single" w:sz="4" w:space="0" w:color="auto"/>
            </w:tcBorders>
            <w:shd w:val="clear" w:color="auto" w:fill="006DA7"/>
          </w:tcPr>
          <w:p w14:paraId="00470D07" w14:textId="77777777" w:rsidR="0029516D" w:rsidRPr="0029516D" w:rsidRDefault="0029516D" w:rsidP="0029516D">
            <w:pPr>
              <w:pStyle w:val="Tabletext"/>
              <w:ind w:left="0" w:right="0"/>
              <w:rPr>
                <w:b/>
                <w:color w:val="FFFFFF" w:themeColor="background1"/>
              </w:rPr>
            </w:pPr>
            <w:r w:rsidRPr="0029516D">
              <w:rPr>
                <w:b/>
                <w:color w:val="FFFFFF" w:themeColor="background1"/>
              </w:rPr>
              <w:t>Routine</w:t>
            </w:r>
          </w:p>
        </w:tc>
        <w:tc>
          <w:tcPr>
            <w:tcW w:w="1275" w:type="dxa"/>
            <w:tcBorders>
              <w:top w:val="single" w:sz="4" w:space="0" w:color="auto"/>
              <w:left w:val="single" w:sz="4" w:space="0" w:color="auto"/>
              <w:bottom w:val="single" w:sz="4" w:space="0" w:color="auto"/>
              <w:right w:val="single" w:sz="4" w:space="0" w:color="auto"/>
            </w:tcBorders>
            <w:shd w:val="clear" w:color="auto" w:fill="006DA7"/>
          </w:tcPr>
          <w:p w14:paraId="40CB7220" w14:textId="77777777" w:rsidR="0029516D" w:rsidRPr="0029516D" w:rsidRDefault="0029516D" w:rsidP="0029516D">
            <w:pPr>
              <w:pStyle w:val="Tabletext"/>
              <w:ind w:left="0" w:right="0"/>
              <w:rPr>
                <w:b/>
                <w:color w:val="FFFFFF" w:themeColor="background1"/>
              </w:rPr>
            </w:pPr>
            <w:r w:rsidRPr="0029516D">
              <w:rPr>
                <w:b/>
                <w:color w:val="FFFFFF" w:themeColor="background1"/>
              </w:rPr>
              <w:t>Additional</w:t>
            </w:r>
          </w:p>
        </w:tc>
      </w:tr>
      <w:tr w:rsidR="0029516D" w:rsidRPr="00562016" w14:paraId="1808A0D4" w14:textId="77777777" w:rsidTr="0029516D">
        <w:trPr>
          <w:trHeight w:val="137"/>
        </w:trPr>
        <w:tc>
          <w:tcPr>
            <w:tcW w:w="2405" w:type="dxa"/>
            <w:tcBorders>
              <w:top w:val="single" w:sz="4" w:space="0" w:color="auto"/>
            </w:tcBorders>
          </w:tcPr>
          <w:p w14:paraId="305C433F" w14:textId="77777777" w:rsidR="0029516D" w:rsidRPr="0029516D" w:rsidRDefault="0029516D" w:rsidP="0029516D">
            <w:pPr>
              <w:pStyle w:val="Tabletext"/>
              <w:ind w:left="0" w:right="0"/>
            </w:pPr>
            <w:r w:rsidRPr="0029516D">
              <w:t>Important identified risks</w:t>
            </w:r>
          </w:p>
        </w:tc>
        <w:tc>
          <w:tcPr>
            <w:tcW w:w="1559" w:type="dxa"/>
            <w:tcBorders>
              <w:top w:val="single" w:sz="4" w:space="0" w:color="auto"/>
            </w:tcBorders>
          </w:tcPr>
          <w:p w14:paraId="5E8C9536" w14:textId="77777777" w:rsidR="0029516D" w:rsidRPr="0029516D" w:rsidRDefault="0029516D" w:rsidP="0029516D">
            <w:pPr>
              <w:pStyle w:val="Tabletext"/>
              <w:ind w:left="0" w:right="0"/>
            </w:pPr>
            <w:r w:rsidRPr="0029516D">
              <w:t>Nil</w:t>
            </w:r>
          </w:p>
        </w:tc>
        <w:tc>
          <w:tcPr>
            <w:tcW w:w="993" w:type="dxa"/>
            <w:tcBorders>
              <w:top w:val="single" w:sz="4" w:space="0" w:color="auto"/>
            </w:tcBorders>
          </w:tcPr>
          <w:p w14:paraId="524523D7" w14:textId="77777777" w:rsidR="0029516D" w:rsidRPr="0029516D" w:rsidRDefault="0029516D" w:rsidP="0029516D">
            <w:pPr>
              <w:pStyle w:val="Tabletext"/>
              <w:ind w:left="0" w:right="0"/>
            </w:pPr>
          </w:p>
        </w:tc>
        <w:tc>
          <w:tcPr>
            <w:tcW w:w="1275" w:type="dxa"/>
            <w:tcBorders>
              <w:top w:val="single" w:sz="4" w:space="0" w:color="auto"/>
            </w:tcBorders>
          </w:tcPr>
          <w:p w14:paraId="417CC62C" w14:textId="77777777" w:rsidR="0029516D" w:rsidRPr="0029516D" w:rsidRDefault="0029516D" w:rsidP="0029516D">
            <w:pPr>
              <w:pStyle w:val="Tabletext"/>
              <w:ind w:left="0" w:right="0"/>
            </w:pPr>
          </w:p>
        </w:tc>
        <w:tc>
          <w:tcPr>
            <w:tcW w:w="993" w:type="dxa"/>
            <w:tcBorders>
              <w:top w:val="single" w:sz="4" w:space="0" w:color="auto"/>
            </w:tcBorders>
          </w:tcPr>
          <w:p w14:paraId="6ACB625E" w14:textId="77777777" w:rsidR="0029516D" w:rsidRPr="0029516D" w:rsidRDefault="0029516D" w:rsidP="0029516D">
            <w:pPr>
              <w:pStyle w:val="Tabletext"/>
              <w:ind w:left="0" w:right="0"/>
            </w:pPr>
          </w:p>
        </w:tc>
        <w:tc>
          <w:tcPr>
            <w:tcW w:w="1275" w:type="dxa"/>
            <w:tcBorders>
              <w:top w:val="single" w:sz="4" w:space="0" w:color="auto"/>
            </w:tcBorders>
          </w:tcPr>
          <w:p w14:paraId="1789AEEE" w14:textId="77777777" w:rsidR="0029516D" w:rsidRPr="0029516D" w:rsidRDefault="0029516D" w:rsidP="0029516D">
            <w:pPr>
              <w:pStyle w:val="Tabletext"/>
              <w:ind w:left="0" w:right="0"/>
            </w:pPr>
          </w:p>
        </w:tc>
      </w:tr>
      <w:tr w:rsidR="0029516D" w:rsidRPr="00562016" w14:paraId="4ED38EDE" w14:textId="77777777" w:rsidTr="0029516D">
        <w:trPr>
          <w:trHeight w:val="159"/>
        </w:trPr>
        <w:tc>
          <w:tcPr>
            <w:tcW w:w="2405" w:type="dxa"/>
          </w:tcPr>
          <w:p w14:paraId="1E0E999E" w14:textId="77777777" w:rsidR="0029516D" w:rsidRPr="0029516D" w:rsidRDefault="0029516D" w:rsidP="0029516D">
            <w:pPr>
              <w:pStyle w:val="Tabletext"/>
              <w:ind w:left="0" w:right="0"/>
            </w:pPr>
            <w:r w:rsidRPr="0029516D">
              <w:t>Important potential risks</w:t>
            </w:r>
          </w:p>
        </w:tc>
        <w:tc>
          <w:tcPr>
            <w:tcW w:w="1559" w:type="dxa"/>
          </w:tcPr>
          <w:p w14:paraId="31280982" w14:textId="77777777" w:rsidR="0029516D" w:rsidRPr="0029516D" w:rsidRDefault="0029516D" w:rsidP="0029516D">
            <w:pPr>
              <w:pStyle w:val="Tabletext"/>
              <w:ind w:left="0" w:right="0"/>
            </w:pPr>
            <w:r w:rsidRPr="0029516D">
              <w:t>Nil</w:t>
            </w:r>
          </w:p>
        </w:tc>
        <w:tc>
          <w:tcPr>
            <w:tcW w:w="993" w:type="dxa"/>
          </w:tcPr>
          <w:p w14:paraId="68018229" w14:textId="77777777" w:rsidR="0029516D" w:rsidRPr="0029516D" w:rsidRDefault="0029516D" w:rsidP="0029516D">
            <w:pPr>
              <w:pStyle w:val="Tabletext"/>
              <w:ind w:left="0" w:right="0"/>
            </w:pPr>
          </w:p>
        </w:tc>
        <w:tc>
          <w:tcPr>
            <w:tcW w:w="1275" w:type="dxa"/>
          </w:tcPr>
          <w:p w14:paraId="1CEB591B" w14:textId="77777777" w:rsidR="0029516D" w:rsidRPr="0029516D" w:rsidRDefault="0029516D" w:rsidP="0029516D">
            <w:pPr>
              <w:pStyle w:val="Tabletext"/>
              <w:ind w:left="0" w:right="0"/>
            </w:pPr>
          </w:p>
        </w:tc>
        <w:tc>
          <w:tcPr>
            <w:tcW w:w="993" w:type="dxa"/>
          </w:tcPr>
          <w:p w14:paraId="0BC61E1A" w14:textId="77777777" w:rsidR="0029516D" w:rsidRPr="0029516D" w:rsidRDefault="0029516D" w:rsidP="0029516D">
            <w:pPr>
              <w:pStyle w:val="Tabletext"/>
              <w:ind w:left="0" w:right="0"/>
            </w:pPr>
          </w:p>
        </w:tc>
        <w:tc>
          <w:tcPr>
            <w:tcW w:w="1275" w:type="dxa"/>
          </w:tcPr>
          <w:p w14:paraId="4A7D9540" w14:textId="77777777" w:rsidR="0029516D" w:rsidRPr="0029516D" w:rsidRDefault="0029516D" w:rsidP="0029516D">
            <w:pPr>
              <w:pStyle w:val="Tabletext"/>
              <w:ind w:left="0" w:right="0"/>
            </w:pPr>
          </w:p>
        </w:tc>
      </w:tr>
      <w:tr w:rsidR="0029516D" w:rsidRPr="00562016" w14:paraId="3A411678" w14:textId="77777777" w:rsidTr="0029516D">
        <w:trPr>
          <w:trHeight w:val="178"/>
        </w:trPr>
        <w:tc>
          <w:tcPr>
            <w:tcW w:w="2405" w:type="dxa"/>
            <w:vMerge w:val="restart"/>
          </w:tcPr>
          <w:p w14:paraId="251CB397" w14:textId="77777777" w:rsidR="0029516D" w:rsidRPr="0029516D" w:rsidRDefault="0029516D" w:rsidP="0029516D">
            <w:pPr>
              <w:pStyle w:val="Tabletext"/>
              <w:ind w:left="0" w:right="0"/>
            </w:pPr>
            <w:r w:rsidRPr="0029516D">
              <w:t>Missing information</w:t>
            </w:r>
          </w:p>
        </w:tc>
        <w:tc>
          <w:tcPr>
            <w:tcW w:w="1559" w:type="dxa"/>
          </w:tcPr>
          <w:p w14:paraId="592272A2" w14:textId="77777777" w:rsidR="0029516D" w:rsidRPr="0029516D" w:rsidRDefault="0029516D" w:rsidP="0029516D">
            <w:pPr>
              <w:pStyle w:val="Tabletext"/>
              <w:ind w:left="0" w:right="0"/>
            </w:pPr>
            <w:r w:rsidRPr="0029516D">
              <w:t>Safety in immunocompromised patients</w:t>
            </w:r>
          </w:p>
        </w:tc>
        <w:tc>
          <w:tcPr>
            <w:tcW w:w="993" w:type="dxa"/>
          </w:tcPr>
          <w:p w14:paraId="19949555" w14:textId="77777777" w:rsidR="0029516D" w:rsidRPr="0029516D" w:rsidRDefault="0029516D" w:rsidP="0029516D">
            <w:pPr>
              <w:pStyle w:val="Tabletext"/>
              <w:ind w:left="0" w:right="0"/>
            </w:pPr>
            <w:r w:rsidRPr="0029516D">
              <w:rPr>
                <w:rFonts w:ascii="Wingdings" w:eastAsia="Wingdings" w:hAnsi="Wingdings" w:cs="Wingdings"/>
              </w:rPr>
              <w:t></w:t>
            </w:r>
          </w:p>
        </w:tc>
        <w:tc>
          <w:tcPr>
            <w:tcW w:w="1275" w:type="dxa"/>
          </w:tcPr>
          <w:p w14:paraId="7431A79B" w14:textId="77777777" w:rsidR="0029516D" w:rsidRPr="0029516D" w:rsidRDefault="0029516D" w:rsidP="0029516D">
            <w:pPr>
              <w:pStyle w:val="Tabletext"/>
              <w:ind w:left="0" w:right="0"/>
            </w:pPr>
            <w:r w:rsidRPr="0029516D">
              <w:t>–</w:t>
            </w:r>
          </w:p>
        </w:tc>
        <w:tc>
          <w:tcPr>
            <w:tcW w:w="993" w:type="dxa"/>
          </w:tcPr>
          <w:p w14:paraId="2FF7DB52" w14:textId="77777777" w:rsidR="0029516D" w:rsidRPr="0029516D" w:rsidRDefault="0029516D" w:rsidP="0029516D">
            <w:pPr>
              <w:pStyle w:val="Tabletext"/>
              <w:ind w:left="0" w:right="0"/>
            </w:pPr>
            <w:r w:rsidRPr="0029516D">
              <w:rPr>
                <w:rFonts w:ascii="Wingdings" w:eastAsia="Wingdings" w:hAnsi="Wingdings" w:cs="Wingdings"/>
              </w:rPr>
              <w:t></w:t>
            </w:r>
          </w:p>
        </w:tc>
        <w:tc>
          <w:tcPr>
            <w:tcW w:w="1275" w:type="dxa"/>
          </w:tcPr>
          <w:p w14:paraId="52A5B5ED" w14:textId="77777777" w:rsidR="0029516D" w:rsidRPr="0029516D" w:rsidRDefault="0029516D" w:rsidP="0029516D">
            <w:pPr>
              <w:pStyle w:val="Tabletext"/>
              <w:ind w:left="0" w:right="0"/>
            </w:pPr>
            <w:r w:rsidRPr="0029516D">
              <w:t>–</w:t>
            </w:r>
          </w:p>
        </w:tc>
      </w:tr>
      <w:tr w:rsidR="0029516D" w:rsidRPr="00562016" w14:paraId="7FE872C7" w14:textId="77777777" w:rsidTr="0029516D">
        <w:trPr>
          <w:trHeight w:val="103"/>
        </w:trPr>
        <w:tc>
          <w:tcPr>
            <w:tcW w:w="2405" w:type="dxa"/>
            <w:vMerge/>
          </w:tcPr>
          <w:p w14:paraId="6E07DD78" w14:textId="77777777" w:rsidR="0029516D" w:rsidRPr="0029516D" w:rsidRDefault="0029516D" w:rsidP="0029516D">
            <w:pPr>
              <w:pStyle w:val="Tabletext"/>
              <w:ind w:left="0" w:right="0"/>
            </w:pPr>
          </w:p>
        </w:tc>
        <w:tc>
          <w:tcPr>
            <w:tcW w:w="1559" w:type="dxa"/>
          </w:tcPr>
          <w:p w14:paraId="3EC849AB" w14:textId="77777777" w:rsidR="0029516D" w:rsidRPr="0029516D" w:rsidRDefault="0029516D" w:rsidP="0029516D">
            <w:pPr>
              <w:pStyle w:val="Tabletext"/>
              <w:ind w:left="0" w:right="0"/>
            </w:pPr>
            <w:r w:rsidRPr="0029516D">
              <w:t>Safety in subjects with underlying diseases</w:t>
            </w:r>
          </w:p>
        </w:tc>
        <w:tc>
          <w:tcPr>
            <w:tcW w:w="993" w:type="dxa"/>
          </w:tcPr>
          <w:p w14:paraId="24BEEF61" w14:textId="77777777" w:rsidR="0029516D" w:rsidRPr="0029516D" w:rsidRDefault="0029516D" w:rsidP="0029516D">
            <w:pPr>
              <w:pStyle w:val="Tabletext"/>
              <w:ind w:left="0" w:right="0"/>
            </w:pPr>
            <w:r w:rsidRPr="0029516D">
              <w:rPr>
                <w:rFonts w:ascii="Wingdings" w:eastAsia="Wingdings" w:hAnsi="Wingdings" w:cs="Wingdings"/>
              </w:rPr>
              <w:t></w:t>
            </w:r>
          </w:p>
        </w:tc>
        <w:tc>
          <w:tcPr>
            <w:tcW w:w="1275" w:type="dxa"/>
          </w:tcPr>
          <w:p w14:paraId="4BF20FF0" w14:textId="77777777" w:rsidR="0029516D" w:rsidRPr="0029516D" w:rsidRDefault="0029516D" w:rsidP="0029516D">
            <w:pPr>
              <w:pStyle w:val="Tabletext"/>
              <w:ind w:left="0" w:right="0"/>
            </w:pPr>
            <w:r w:rsidRPr="0029516D">
              <w:t>–</w:t>
            </w:r>
          </w:p>
        </w:tc>
        <w:tc>
          <w:tcPr>
            <w:tcW w:w="993" w:type="dxa"/>
          </w:tcPr>
          <w:p w14:paraId="205A50C4" w14:textId="77777777" w:rsidR="0029516D" w:rsidRPr="0029516D" w:rsidRDefault="0029516D" w:rsidP="0029516D">
            <w:pPr>
              <w:pStyle w:val="Tabletext"/>
              <w:ind w:left="0" w:right="0"/>
            </w:pPr>
            <w:r w:rsidRPr="0029516D">
              <w:rPr>
                <w:rFonts w:ascii="Wingdings" w:eastAsia="Wingdings" w:hAnsi="Wingdings" w:cs="Wingdings"/>
              </w:rPr>
              <w:t></w:t>
            </w:r>
          </w:p>
        </w:tc>
        <w:tc>
          <w:tcPr>
            <w:tcW w:w="1275" w:type="dxa"/>
          </w:tcPr>
          <w:p w14:paraId="43D93C3B" w14:textId="77777777" w:rsidR="0029516D" w:rsidRPr="0029516D" w:rsidRDefault="0029516D" w:rsidP="0029516D">
            <w:pPr>
              <w:pStyle w:val="Tabletext"/>
              <w:ind w:left="0" w:right="0"/>
            </w:pPr>
            <w:r w:rsidRPr="0029516D">
              <w:t>–</w:t>
            </w:r>
          </w:p>
        </w:tc>
      </w:tr>
      <w:tr w:rsidR="0029516D" w:rsidRPr="00562016" w14:paraId="7A7DA321" w14:textId="77777777" w:rsidTr="0029516D">
        <w:trPr>
          <w:trHeight w:val="140"/>
        </w:trPr>
        <w:tc>
          <w:tcPr>
            <w:tcW w:w="2405" w:type="dxa"/>
            <w:vMerge/>
          </w:tcPr>
          <w:p w14:paraId="13884A36" w14:textId="77777777" w:rsidR="0029516D" w:rsidRPr="0029516D" w:rsidRDefault="0029516D" w:rsidP="0029516D">
            <w:pPr>
              <w:pStyle w:val="Tabletext"/>
              <w:ind w:left="0" w:right="0"/>
            </w:pPr>
          </w:p>
        </w:tc>
        <w:tc>
          <w:tcPr>
            <w:tcW w:w="1559" w:type="dxa"/>
          </w:tcPr>
          <w:p w14:paraId="6E93AE4A" w14:textId="77777777" w:rsidR="0029516D" w:rsidRPr="0029516D" w:rsidRDefault="0029516D" w:rsidP="0029516D">
            <w:pPr>
              <w:pStyle w:val="Tabletext"/>
              <w:ind w:left="0" w:right="0"/>
            </w:pPr>
            <w:r w:rsidRPr="0029516D">
              <w:t>Use in pregnant and breastfeeding women</w:t>
            </w:r>
          </w:p>
        </w:tc>
        <w:tc>
          <w:tcPr>
            <w:tcW w:w="993" w:type="dxa"/>
          </w:tcPr>
          <w:p w14:paraId="32924153" w14:textId="624EDB32" w:rsidR="0029516D" w:rsidRPr="0029516D" w:rsidRDefault="0029516D" w:rsidP="0029516D">
            <w:pPr>
              <w:pStyle w:val="Tabletext"/>
              <w:ind w:left="0" w:right="0"/>
            </w:pPr>
            <w:r w:rsidRPr="0029516D">
              <w:rPr>
                <w:rFonts w:ascii="Wingdings" w:eastAsia="Wingdings" w:hAnsi="Wingdings" w:cs="Wingdings"/>
              </w:rPr>
              <w:t></w:t>
            </w:r>
            <w:r w:rsidRPr="0029516D">
              <w:t>†</w:t>
            </w:r>
          </w:p>
        </w:tc>
        <w:tc>
          <w:tcPr>
            <w:tcW w:w="1275" w:type="dxa"/>
          </w:tcPr>
          <w:p w14:paraId="2FE0CB1F" w14:textId="77777777" w:rsidR="0029516D" w:rsidRPr="0029516D" w:rsidRDefault="0029516D" w:rsidP="0029516D">
            <w:pPr>
              <w:pStyle w:val="Tabletext"/>
              <w:ind w:left="0" w:right="0"/>
            </w:pPr>
            <w:r w:rsidRPr="0029516D">
              <w:rPr>
                <w:rFonts w:ascii="Wingdings" w:eastAsia="Wingdings" w:hAnsi="Wingdings" w:cs="Wingdings"/>
              </w:rPr>
              <w:t></w:t>
            </w:r>
            <w:r w:rsidRPr="0029516D">
              <w:t>*</w:t>
            </w:r>
          </w:p>
        </w:tc>
        <w:tc>
          <w:tcPr>
            <w:tcW w:w="993" w:type="dxa"/>
          </w:tcPr>
          <w:p w14:paraId="5DDD200E" w14:textId="77777777" w:rsidR="0029516D" w:rsidRPr="0029516D" w:rsidRDefault="0029516D" w:rsidP="0029516D">
            <w:pPr>
              <w:pStyle w:val="Tabletext"/>
              <w:ind w:left="0" w:right="0"/>
            </w:pPr>
            <w:r w:rsidRPr="0029516D">
              <w:rPr>
                <w:rFonts w:ascii="Wingdings" w:eastAsia="Wingdings" w:hAnsi="Wingdings" w:cs="Wingdings"/>
              </w:rPr>
              <w:t></w:t>
            </w:r>
          </w:p>
        </w:tc>
        <w:tc>
          <w:tcPr>
            <w:tcW w:w="1275" w:type="dxa"/>
          </w:tcPr>
          <w:p w14:paraId="072390FB" w14:textId="77777777" w:rsidR="0029516D" w:rsidRPr="0029516D" w:rsidRDefault="0029516D" w:rsidP="0029516D">
            <w:pPr>
              <w:pStyle w:val="Tabletext"/>
              <w:ind w:left="0" w:right="0"/>
            </w:pPr>
            <w:r w:rsidRPr="0029516D">
              <w:t>–</w:t>
            </w:r>
          </w:p>
        </w:tc>
      </w:tr>
    </w:tbl>
    <w:p w14:paraId="40E820CD" w14:textId="326BA03E" w:rsidR="0029516D" w:rsidRPr="00BE515D" w:rsidRDefault="3DA4130C" w:rsidP="00BE515D">
      <w:pPr>
        <w:pStyle w:val="TableDescription"/>
      </w:pPr>
      <w:r>
        <w:t>* Pregnancy registry (</w:t>
      </w:r>
      <w:r w:rsidR="00876543">
        <w:t>multinational</w:t>
      </w:r>
      <w:r>
        <w:t>; no Australian patients)</w:t>
      </w:r>
    </w:p>
    <w:p w14:paraId="24499D77" w14:textId="239FDB22" w:rsidR="0029516D" w:rsidRPr="00BE515D" w:rsidRDefault="0001279E" w:rsidP="00BE515D">
      <w:pPr>
        <w:pStyle w:val="TableDescription"/>
      </w:pPr>
      <w:r w:rsidRPr="0001279E">
        <w:t>† Specific follow-up forms for adverse events</w:t>
      </w:r>
    </w:p>
    <w:p w14:paraId="372AA4BD" w14:textId="77777777" w:rsidR="0029516D" w:rsidRPr="0029516D" w:rsidRDefault="0029516D" w:rsidP="0029516D">
      <w:pPr>
        <w:pStyle w:val="ListBullet"/>
      </w:pPr>
      <w:r w:rsidRPr="0029516D">
        <w:t>The summary of safety concerns is acceptable.</w:t>
      </w:r>
    </w:p>
    <w:p w14:paraId="79FEBD93" w14:textId="439AC7B6" w:rsidR="0029516D" w:rsidRPr="0029516D" w:rsidRDefault="3DA4130C" w:rsidP="0029516D">
      <w:pPr>
        <w:pStyle w:val="ListBullet"/>
      </w:pPr>
      <w:r>
        <w:t xml:space="preserve">Routine and additional pharmacovigilance activities (pregnancy registry) will be undertaken. </w:t>
      </w:r>
      <w:r w:rsidR="0001279E" w:rsidRPr="0001279E">
        <w:t>A follow-up questionnaire is in place for use in pregnant women, as part of enhanced routine pharmacovigilance.</w:t>
      </w:r>
      <w:r w:rsidR="009F5A92">
        <w:t xml:space="preserve"> </w:t>
      </w:r>
      <w:r>
        <w:t xml:space="preserve">This is acceptable. The sponsor has previously provided a commitment relating to undertaking enhanced passive surveillance, if the </w:t>
      </w:r>
      <w:r w:rsidR="421AE014">
        <w:t>Australia vaccine safety system (</w:t>
      </w:r>
      <w:proofErr w:type="spellStart"/>
      <w:r w:rsidRPr="00C44A49">
        <w:t>AusVaxSafety</w:t>
      </w:r>
      <w:proofErr w:type="spellEnd"/>
      <w:r w:rsidR="421AE014">
        <w:t>)</w:t>
      </w:r>
      <w:r w:rsidR="00C44A49">
        <w:rPr>
          <w:rStyle w:val="FootnoteReference"/>
        </w:rPr>
        <w:footnoteReference w:id="24"/>
      </w:r>
      <w:r>
        <w:t xml:space="preserve"> program does not provide this service in any </w:t>
      </w:r>
      <w:proofErr w:type="gramStart"/>
      <w:r>
        <w:t>particular influenza</w:t>
      </w:r>
      <w:proofErr w:type="gramEnd"/>
      <w:r>
        <w:t xml:space="preserve"> season. A condition of registration is recommended to the Delegate to facilitate TGA request for an enhanced safety surveillance study in Australia if required.</w:t>
      </w:r>
    </w:p>
    <w:p w14:paraId="6893827C" w14:textId="4B1B92F7" w:rsidR="0029516D" w:rsidRPr="0029516D" w:rsidRDefault="0029516D" w:rsidP="0029516D">
      <w:pPr>
        <w:pStyle w:val="ListBullet"/>
      </w:pPr>
      <w:r w:rsidRPr="0029516D">
        <w:t>Routine risk minimisation will be undertaken and is acceptable.</w:t>
      </w:r>
    </w:p>
    <w:p w14:paraId="72B79AEC" w14:textId="77777777" w:rsidR="008E7846" w:rsidRDefault="00AA0ED0" w:rsidP="008E7846">
      <w:pPr>
        <w:pStyle w:val="Heading3"/>
      </w:pPr>
      <w:bookmarkStart w:id="62" w:name="_Toc247691531"/>
      <w:bookmarkStart w:id="63" w:name="_Toc314842515"/>
      <w:bookmarkStart w:id="64" w:name="_Toc119662226"/>
      <w:bookmarkStart w:id="65" w:name="_Toc196046505"/>
      <w:bookmarkStart w:id="66" w:name="_Toc196046949"/>
      <w:r>
        <w:lastRenderedPageBreak/>
        <w:t>Risk-benefit a</w:t>
      </w:r>
      <w:r w:rsidR="008E7846">
        <w:t>nalysis</w:t>
      </w:r>
      <w:bookmarkEnd w:id="62"/>
      <w:bookmarkEnd w:id="63"/>
      <w:bookmarkEnd w:id="64"/>
    </w:p>
    <w:p w14:paraId="08BF4D8B" w14:textId="77777777" w:rsidR="00D23139" w:rsidRDefault="007D53B6" w:rsidP="00D23139">
      <w:pPr>
        <w:pStyle w:val="Heading4"/>
      </w:pPr>
      <w:r>
        <w:t>Delegate’s considerations</w:t>
      </w:r>
    </w:p>
    <w:p w14:paraId="6FBB7C9A" w14:textId="1D17CFD4" w:rsidR="0029516D" w:rsidRPr="001F57C0" w:rsidRDefault="007D768E" w:rsidP="00505BA7">
      <w:pPr>
        <w:pStyle w:val="Heading5"/>
      </w:pPr>
      <w:r w:rsidRPr="001F57C0">
        <w:t>Efficacy</w:t>
      </w:r>
    </w:p>
    <w:p w14:paraId="06A80780" w14:textId="7EC940C6" w:rsidR="0029516D" w:rsidRPr="00505BA7" w:rsidRDefault="009D2250" w:rsidP="00505BA7">
      <w:r w:rsidRPr="003D5BAB">
        <w:t>Flucelvax Quad</w:t>
      </w:r>
      <w:r w:rsidR="0029516D" w:rsidRPr="003D5BAB">
        <w:t xml:space="preserve"> is a quadrivalent surface antigen, inactivated, influenza vaccine, prepared in MDCK cell cultures</w:t>
      </w:r>
      <w:r w:rsidR="0029516D" w:rsidRPr="00505BA7">
        <w:t xml:space="preserve"> (</w:t>
      </w:r>
      <w:r w:rsidR="007D768E">
        <w:t>that is,</w:t>
      </w:r>
      <w:r w:rsidR="0029516D" w:rsidRPr="00505BA7">
        <w:t xml:space="preserve"> cell</w:t>
      </w:r>
      <w:r w:rsidR="008406BB">
        <w:t>-</w:t>
      </w:r>
      <w:r w:rsidR="0029516D" w:rsidRPr="00505BA7">
        <w:t>based). The efficacy</w:t>
      </w:r>
      <w:r w:rsidR="00A0334A">
        <w:t>, i</w:t>
      </w:r>
      <w:r w:rsidR="0029516D" w:rsidRPr="00505BA7">
        <w:t xml:space="preserve">mmunogenicity and safety for this submission are supported by </w:t>
      </w:r>
      <w:r w:rsidR="007D768E" w:rsidRPr="00505BA7">
        <w:t>clinical</w:t>
      </w:r>
      <w:r w:rsidR="0029516D" w:rsidRPr="00505BA7">
        <w:t xml:space="preserve"> Study V130_12 </w:t>
      </w:r>
      <w:r w:rsidR="0029516D" w:rsidRPr="00393EE5">
        <w:t>(</w:t>
      </w:r>
      <w:r w:rsidR="00FE2C7E">
        <w:t xml:space="preserve">also known as Study </w:t>
      </w:r>
      <w:r w:rsidR="0029516D" w:rsidRPr="00393EE5">
        <w:t>NCT03165617),</w:t>
      </w:r>
      <w:r w:rsidR="0029516D" w:rsidRPr="00505BA7">
        <w:t xml:space="preserve"> a Phase </w:t>
      </w:r>
      <w:r w:rsidR="007D768E">
        <w:t>III</w:t>
      </w:r>
      <w:r w:rsidR="0029516D" w:rsidRPr="00505BA7">
        <w:t>/</w:t>
      </w:r>
      <w:r w:rsidR="007D768E">
        <w:t>IV</w:t>
      </w:r>
      <w:r w:rsidR="0029516D" w:rsidRPr="00505BA7">
        <w:t xml:space="preserve"> in children 2 to &lt; 18 years of age.</w:t>
      </w:r>
    </w:p>
    <w:p w14:paraId="77346E2C" w14:textId="77777777" w:rsidR="0029516D" w:rsidRPr="00505BA7" w:rsidRDefault="0029516D" w:rsidP="00505BA7">
      <w:r w:rsidRPr="00505BA7">
        <w:t>No dedicated studies for the assessment of the pharmacokinetics of the product were performed. This is considered acceptable due to the nature of the product under evaluation.</w:t>
      </w:r>
    </w:p>
    <w:p w14:paraId="3173826D" w14:textId="0723D870" w:rsidR="0029516D" w:rsidRPr="00505BA7" w:rsidRDefault="0029516D" w:rsidP="00505BA7">
      <w:r w:rsidRPr="00505BA7">
        <w:t xml:space="preserve">The pharmacodynamic profile of vaccines is defined by their immunogenicity profile, as detailed in the CHMP guideline. In Study V130_12, immunogenicity endpoints were assessed by the </w:t>
      </w:r>
      <w:r w:rsidR="008435C6">
        <w:t>haemagglutination inhibition (</w:t>
      </w:r>
      <w:r w:rsidRPr="00505BA7">
        <w:t>HI</w:t>
      </w:r>
      <w:r w:rsidR="008435C6">
        <w:t>)</w:t>
      </w:r>
      <w:r w:rsidRPr="00505BA7">
        <w:t xml:space="preserve"> and </w:t>
      </w:r>
      <w:proofErr w:type="spellStart"/>
      <w:r w:rsidR="00565954" w:rsidRPr="00565954">
        <w:t>microneutrali</w:t>
      </w:r>
      <w:r w:rsidR="00565954">
        <w:t>s</w:t>
      </w:r>
      <w:r w:rsidR="00565954" w:rsidRPr="00565954">
        <w:t>ation</w:t>
      </w:r>
      <w:proofErr w:type="spellEnd"/>
      <w:r w:rsidRPr="00505BA7">
        <w:t xml:space="preserve"> assay for all strains. The HI assay used for immunogenicity evaluation of influenza vaccines is considered adequate for the </w:t>
      </w:r>
      <w:r w:rsidR="007D768E">
        <w:t xml:space="preserve">Study </w:t>
      </w:r>
      <w:r w:rsidRPr="00505BA7">
        <w:t>V130_12, because it is in line with the Guideline on Influenza Vaccines.</w:t>
      </w:r>
      <w:r w:rsidR="0032752D" w:rsidRPr="0032752D">
        <w:rPr>
          <w:color w:val="2B579A"/>
          <w:shd w:val="clear" w:color="auto" w:fill="E6E6E6"/>
          <w:vertAlign w:val="superscript"/>
        </w:rPr>
        <w:fldChar w:fldCharType="begin"/>
      </w:r>
      <w:r w:rsidR="0032752D" w:rsidRPr="0032752D">
        <w:rPr>
          <w:vertAlign w:val="superscript"/>
        </w:rPr>
        <w:instrText xml:space="preserve"> NOTEREF _Ref103260894 \h </w:instrText>
      </w:r>
      <w:r w:rsidR="0032752D">
        <w:rPr>
          <w:vertAlign w:val="superscript"/>
        </w:rPr>
        <w:instrText xml:space="preserve"> \* MERGEFORMAT </w:instrText>
      </w:r>
      <w:r w:rsidR="0032752D" w:rsidRPr="0032752D">
        <w:rPr>
          <w:color w:val="2B579A"/>
          <w:shd w:val="clear" w:color="auto" w:fill="E6E6E6"/>
          <w:vertAlign w:val="superscript"/>
        </w:rPr>
      </w:r>
      <w:r w:rsidR="0032752D" w:rsidRPr="0032752D">
        <w:rPr>
          <w:color w:val="2B579A"/>
          <w:shd w:val="clear" w:color="auto" w:fill="E6E6E6"/>
          <w:vertAlign w:val="superscript"/>
        </w:rPr>
        <w:fldChar w:fldCharType="separate"/>
      </w:r>
      <w:r w:rsidR="0028296F">
        <w:rPr>
          <w:vertAlign w:val="superscript"/>
        </w:rPr>
        <w:t>18</w:t>
      </w:r>
      <w:r w:rsidR="0032752D" w:rsidRPr="0032752D">
        <w:rPr>
          <w:color w:val="2B579A"/>
          <w:shd w:val="clear" w:color="auto" w:fill="E6E6E6"/>
          <w:vertAlign w:val="superscript"/>
        </w:rPr>
        <w:fldChar w:fldCharType="end"/>
      </w:r>
      <w:r w:rsidRPr="00505BA7">
        <w:t xml:space="preserve"> In light of the technical challenges with the HI assay, particularly with the A/H3N2 strain used in the vaccine in Season 2 (</w:t>
      </w:r>
      <w:r w:rsidR="00A0334A">
        <w:t xml:space="preserve">influenza </w:t>
      </w:r>
      <w:r w:rsidRPr="00505BA7">
        <w:t>A/Singapore/GP2050/2015), quantification of neutrali</w:t>
      </w:r>
      <w:r w:rsidR="00A0334A">
        <w:t>s</w:t>
      </w:r>
      <w:r w:rsidRPr="00505BA7">
        <w:t xml:space="preserve">ing antibody titres using the </w:t>
      </w:r>
      <w:proofErr w:type="spellStart"/>
      <w:r w:rsidR="00565954" w:rsidRPr="00565954">
        <w:t>microneutrali</w:t>
      </w:r>
      <w:r w:rsidR="00565954">
        <w:t>s</w:t>
      </w:r>
      <w:r w:rsidR="00565954" w:rsidRPr="00565954">
        <w:t>ation</w:t>
      </w:r>
      <w:proofErr w:type="spellEnd"/>
      <w:r w:rsidRPr="00505BA7">
        <w:t xml:space="preserve"> assay against Type A/H3N2 has been used as an alternative. This is considered acceptable.</w:t>
      </w:r>
    </w:p>
    <w:p w14:paraId="375F4D90" w14:textId="0BA783A7" w:rsidR="0029516D" w:rsidRPr="00505BA7" w:rsidRDefault="0029516D" w:rsidP="00505BA7">
      <w:r w:rsidRPr="00505BA7">
        <w:t xml:space="preserve">It should be mentioned that HI and </w:t>
      </w:r>
      <w:proofErr w:type="spellStart"/>
      <w:r w:rsidR="00565954" w:rsidRPr="00565954">
        <w:t>microneutrali</w:t>
      </w:r>
      <w:r w:rsidR="00565954">
        <w:t>s</w:t>
      </w:r>
      <w:r w:rsidR="00565954" w:rsidRPr="00565954">
        <w:t>ation</w:t>
      </w:r>
      <w:proofErr w:type="spellEnd"/>
      <w:r w:rsidRPr="00505BA7">
        <w:t xml:space="preserve"> titres are not a true surrogate marker in the sense that there is not a globally accepted cut-off titre that defines clinical protection. Nonetheless, it has been widely shown that higher titres tend to correlate with better protection. Although the immunogenicity data is descriptive and without predetermined criteria for success, the </w:t>
      </w:r>
      <w:r w:rsidR="00D5036B">
        <w:t>Flucelvax Quad</w:t>
      </w:r>
      <w:r w:rsidRPr="00505BA7">
        <w:t xml:space="preserve"> group showed notable increases in the HI parameters. Regardless, the HI assay supports the vaccine's ability to develop immune response.</w:t>
      </w:r>
      <w:r w:rsidR="009D2250">
        <w:t xml:space="preserve"> </w:t>
      </w:r>
      <w:r w:rsidRPr="00505BA7">
        <w:t xml:space="preserve">This is further supported by the </w:t>
      </w:r>
      <w:proofErr w:type="spellStart"/>
      <w:r w:rsidR="00565954" w:rsidRPr="00565954">
        <w:t>microneutrali</w:t>
      </w:r>
      <w:r w:rsidR="00565954">
        <w:t>s</w:t>
      </w:r>
      <w:r w:rsidR="00565954" w:rsidRPr="00565954">
        <w:t>ation</w:t>
      </w:r>
      <w:proofErr w:type="spellEnd"/>
      <w:r w:rsidRPr="00505BA7">
        <w:t xml:space="preserve"> assay result.</w:t>
      </w:r>
      <w:r w:rsidR="009D2250">
        <w:t xml:space="preserve"> </w:t>
      </w:r>
      <w:r w:rsidRPr="00505BA7">
        <w:t xml:space="preserve">Thus, it can be considered that the vaccine induces an adequate immune response in children </w:t>
      </w:r>
      <w:r w:rsidR="00A0334A">
        <w:t xml:space="preserve">aged </w:t>
      </w:r>
      <w:r w:rsidRPr="00505BA7">
        <w:t>2 to &lt;</w:t>
      </w:r>
      <w:r w:rsidR="007D768E">
        <w:t xml:space="preserve"> </w:t>
      </w:r>
      <w:r w:rsidRPr="00505BA7">
        <w:t xml:space="preserve">9 years independently on the serostatus at </w:t>
      </w:r>
      <w:r w:rsidR="009D2250" w:rsidRPr="00505BA7">
        <w:t>Baseline</w:t>
      </w:r>
      <w:r w:rsidRPr="00505BA7">
        <w:t>. As such, these results remain as supportive data for the overall clinical efficacy.</w:t>
      </w:r>
    </w:p>
    <w:p w14:paraId="5E2F6F78" w14:textId="0D7A9032" w:rsidR="0029516D" w:rsidRPr="00505BA7" w:rsidRDefault="0029516D" w:rsidP="00505BA7">
      <w:r w:rsidRPr="00505BA7">
        <w:t>Within this application, no dose</w:t>
      </w:r>
      <w:r w:rsidR="007D768E">
        <w:t xml:space="preserve"> </w:t>
      </w:r>
      <w:r w:rsidRPr="00505BA7">
        <w:t xml:space="preserve">finding studies were conducted since the vaccine composition and dosing are based on the Guideline on Influenza </w:t>
      </w:r>
      <w:r w:rsidR="0032752D">
        <w:t>V</w:t>
      </w:r>
      <w:r w:rsidRPr="00505BA7">
        <w:t>accines</w:t>
      </w:r>
      <w:r w:rsidR="0032752D">
        <w:t>;</w:t>
      </w:r>
      <w:r w:rsidR="0032752D" w:rsidRPr="0032752D">
        <w:rPr>
          <w:color w:val="2B579A"/>
          <w:shd w:val="clear" w:color="auto" w:fill="E6E6E6"/>
          <w:vertAlign w:val="superscript"/>
        </w:rPr>
        <w:fldChar w:fldCharType="begin"/>
      </w:r>
      <w:r w:rsidR="0032752D" w:rsidRPr="0032752D">
        <w:rPr>
          <w:vertAlign w:val="superscript"/>
        </w:rPr>
        <w:instrText xml:space="preserve"> NOTEREF _Ref103260894 \h </w:instrText>
      </w:r>
      <w:r w:rsidR="0032752D">
        <w:rPr>
          <w:vertAlign w:val="superscript"/>
        </w:rPr>
        <w:instrText xml:space="preserve"> \* MERGEFORMAT </w:instrText>
      </w:r>
      <w:r w:rsidR="0032752D" w:rsidRPr="0032752D">
        <w:rPr>
          <w:color w:val="2B579A"/>
          <w:shd w:val="clear" w:color="auto" w:fill="E6E6E6"/>
          <w:vertAlign w:val="superscript"/>
        </w:rPr>
      </w:r>
      <w:r w:rsidR="0032752D" w:rsidRPr="0032752D">
        <w:rPr>
          <w:color w:val="2B579A"/>
          <w:shd w:val="clear" w:color="auto" w:fill="E6E6E6"/>
          <w:vertAlign w:val="superscript"/>
        </w:rPr>
        <w:fldChar w:fldCharType="separate"/>
      </w:r>
      <w:r w:rsidR="0028296F">
        <w:rPr>
          <w:vertAlign w:val="superscript"/>
        </w:rPr>
        <w:t>18</w:t>
      </w:r>
      <w:r w:rsidR="0032752D" w:rsidRPr="0032752D">
        <w:rPr>
          <w:color w:val="2B579A"/>
          <w:shd w:val="clear" w:color="auto" w:fill="E6E6E6"/>
          <w:vertAlign w:val="superscript"/>
        </w:rPr>
        <w:fldChar w:fldCharType="end"/>
      </w:r>
      <w:r w:rsidRPr="00505BA7">
        <w:t xml:space="preserve"> and is also consistent with other influenza vaccine products approved for children in this age group. This is considered acceptable.</w:t>
      </w:r>
    </w:p>
    <w:p w14:paraId="5CD4267C" w14:textId="30E7744F" w:rsidR="0029516D" w:rsidRPr="00505BA7" w:rsidRDefault="0029516D" w:rsidP="00505BA7">
      <w:r w:rsidRPr="00505BA7">
        <w:t xml:space="preserve">In general, the design of the </w:t>
      </w:r>
      <w:r w:rsidR="00A0334A">
        <w:t>P</w:t>
      </w:r>
      <w:r w:rsidRPr="00505BA7">
        <w:t xml:space="preserve">hase III/IV study conducted to evaluate clinical efficacy, </w:t>
      </w:r>
      <w:proofErr w:type="gramStart"/>
      <w:r w:rsidRPr="00505BA7">
        <w:t>safety</w:t>
      </w:r>
      <w:proofErr w:type="gramEnd"/>
      <w:r w:rsidRPr="00505BA7">
        <w:t xml:space="preserve"> and immunogenicity of the </w:t>
      </w:r>
      <w:r w:rsidR="00D5036B">
        <w:t>Flucelvax Quad</w:t>
      </w:r>
      <w:r w:rsidRPr="00505BA7">
        <w:t xml:space="preserve"> in children 2 to &lt; 18 years of age (</w:t>
      </w:r>
      <w:r w:rsidR="007D768E">
        <w:t>Study </w:t>
      </w:r>
      <w:r w:rsidRPr="00505BA7">
        <w:t>V130_12) is considered adequate. The study was carried out as observer blind. Although the optimal design would have been a double</w:t>
      </w:r>
      <w:r w:rsidR="007D768E">
        <w:t xml:space="preserve"> </w:t>
      </w:r>
      <w:r w:rsidRPr="00505BA7">
        <w:t>blinded trial, it is considered that the observer blind strategy used here is sufficient as it is very unlikely that this design would have affected the study outcomes.</w:t>
      </w:r>
    </w:p>
    <w:p w14:paraId="51D53F5C" w14:textId="7F44766A" w:rsidR="0029516D" w:rsidRPr="00505BA7" w:rsidRDefault="0029516D" w:rsidP="00505BA7">
      <w:r w:rsidRPr="00505BA7">
        <w:t>The sample size, as the stratification by age, inclusion</w:t>
      </w:r>
      <w:r w:rsidR="007D768E">
        <w:t xml:space="preserve">, </w:t>
      </w:r>
      <w:r w:rsidRPr="00505BA7">
        <w:t>exclusion criteria and statistical methods are considered satisfactory.</w:t>
      </w:r>
    </w:p>
    <w:p w14:paraId="7CEC7DDE" w14:textId="77777777" w:rsidR="0029516D" w:rsidRPr="00505BA7" w:rsidRDefault="0029516D" w:rsidP="00505BA7">
      <w:r w:rsidRPr="00505BA7">
        <w:t>There was no notable difference in the distribution of demographic and baseline characteristics between the 2 vaccine groups. The percentages and reason for discontinuation were similar in the two treatment groups.</w:t>
      </w:r>
    </w:p>
    <w:p w14:paraId="17A59880" w14:textId="480259F7" w:rsidR="0029516D" w:rsidRPr="00505BA7" w:rsidRDefault="0029516D" w:rsidP="00505BA7">
      <w:r w:rsidRPr="00505BA7">
        <w:t xml:space="preserve">The predefined success criteria for the 2 co-primary efficacy objectives were met, demonstrating that </w:t>
      </w:r>
      <w:r w:rsidR="00D5036B">
        <w:t>Flucelvax Quad</w:t>
      </w:r>
      <w:r w:rsidRPr="00505BA7">
        <w:t xml:space="preserve"> was efficacious in preventing influenza in children 2 to &lt;</w:t>
      </w:r>
      <w:r w:rsidR="007D768E">
        <w:t> </w:t>
      </w:r>
      <w:r w:rsidRPr="00505BA7">
        <w:t xml:space="preserve">18 years and children 3 to &lt; 18 years of age. The observed VE in subjects 2 to &lt; 18 years </w:t>
      </w:r>
      <w:r w:rsidRPr="00505BA7">
        <w:lastRenderedPageBreak/>
        <w:t>of age (primary endpoint) was 54.63%, and the lower bound of the 95% CI was greater than 20% (95% CI: 45.67</w:t>
      </w:r>
      <w:r w:rsidR="003D69DD">
        <w:t>,</w:t>
      </w:r>
      <w:r w:rsidRPr="00505BA7">
        <w:t xml:space="preserve"> 62.12). The observed VE in subjects 3 to &lt; 18 years of age (co</w:t>
      </w:r>
      <w:r w:rsidR="007D768E">
        <w:noBreakHyphen/>
      </w:r>
      <w:r w:rsidRPr="00505BA7">
        <w:t>primary endpoint) was 54.03%, and the lower bound of the 95% CI was greater than 30%. All secondary endpoints were consistent with the primary study endpoint.</w:t>
      </w:r>
    </w:p>
    <w:p w14:paraId="46D81AE0" w14:textId="49AC8FE2" w:rsidR="0029516D" w:rsidRPr="00505BA7" w:rsidRDefault="0029516D" w:rsidP="00505BA7">
      <w:r w:rsidRPr="00505BA7">
        <w:t xml:space="preserve">An </w:t>
      </w:r>
      <w:r w:rsidR="00393EE5" w:rsidRPr="00393EE5">
        <w:t>absolute VE</w:t>
      </w:r>
      <w:r w:rsidRPr="00505BA7">
        <w:t xml:space="preserve"> analyses was performed by stratifying according to the following subgroups: by age, by vaccination status, by race, by sex, by country or region, and by season/year treated. </w:t>
      </w:r>
      <w:r w:rsidR="00565954" w:rsidRPr="00505BA7">
        <w:t>These sample sizes</w:t>
      </w:r>
      <w:r w:rsidRPr="00505BA7">
        <w:t xml:space="preserve"> were not powered to evaluate efficacy and immunogenicity. These analyses supported the superior </w:t>
      </w:r>
      <w:r w:rsidR="00393EE5" w:rsidRPr="00393EE5">
        <w:t>absolute VE</w:t>
      </w:r>
      <w:r w:rsidRPr="00505BA7">
        <w:t xml:space="preserve"> of the vaccine </w:t>
      </w:r>
      <w:r w:rsidR="00913EF3" w:rsidRPr="00505BA7">
        <w:t>v</w:t>
      </w:r>
      <w:r w:rsidR="00913EF3">
        <w:t>ersu</w:t>
      </w:r>
      <w:r w:rsidR="00913EF3" w:rsidRPr="00505BA7">
        <w:t>s</w:t>
      </w:r>
      <w:r w:rsidRPr="00505BA7">
        <w:t xml:space="preserve"> the comparator. The study results indicate a consistent performance of </w:t>
      </w:r>
      <w:r w:rsidR="00D5036B">
        <w:t>Flucelvax Quad</w:t>
      </w:r>
      <w:r w:rsidRPr="00505BA7">
        <w:t xml:space="preserve"> vaccine in children </w:t>
      </w:r>
      <w:r w:rsidR="00A0334A">
        <w:t xml:space="preserve">from </w:t>
      </w:r>
      <w:r w:rsidRPr="00505BA7">
        <w:t>2</w:t>
      </w:r>
      <w:r w:rsidR="007D768E">
        <w:t> </w:t>
      </w:r>
      <w:r w:rsidRPr="00505BA7">
        <w:t>through 18 years of age.</w:t>
      </w:r>
    </w:p>
    <w:p w14:paraId="6B8BDBF0" w14:textId="0D283811" w:rsidR="0029516D" w:rsidRPr="005B5D3D" w:rsidRDefault="007D768E" w:rsidP="00505BA7">
      <w:pPr>
        <w:pStyle w:val="Heading5"/>
      </w:pPr>
      <w:r>
        <w:t>S</w:t>
      </w:r>
      <w:r w:rsidR="0029516D" w:rsidRPr="005B5D3D">
        <w:t>afety</w:t>
      </w:r>
    </w:p>
    <w:p w14:paraId="6F817AD9" w14:textId="705DD87E" w:rsidR="0029516D" w:rsidRPr="00505BA7" w:rsidRDefault="3DA4130C" w:rsidP="00505BA7">
      <w:r>
        <w:t>At the time of submission, the approved indication for Flucelvax Quad was established for children aged 9 years and older, adolescents and adults.</w:t>
      </w:r>
      <w:r w:rsidR="00A0334A" w:rsidRPr="008435C6">
        <w:rPr>
          <w:vertAlign w:val="superscript"/>
        </w:rPr>
        <w:fldChar w:fldCharType="begin"/>
      </w:r>
      <w:r w:rsidR="00A0334A" w:rsidRPr="008435C6">
        <w:rPr>
          <w:vertAlign w:val="superscript"/>
        </w:rPr>
        <w:instrText xml:space="preserve"> NOTEREF _Ref119489524 \h </w:instrText>
      </w:r>
      <w:r w:rsidR="00A0334A">
        <w:rPr>
          <w:vertAlign w:val="superscript"/>
        </w:rPr>
        <w:instrText xml:space="preserve"> \* MERGEFORMAT </w:instrText>
      </w:r>
      <w:r w:rsidR="00A0334A" w:rsidRPr="008435C6">
        <w:rPr>
          <w:vertAlign w:val="superscript"/>
        </w:rPr>
      </w:r>
      <w:r w:rsidR="00A0334A" w:rsidRPr="008435C6">
        <w:rPr>
          <w:vertAlign w:val="superscript"/>
        </w:rPr>
        <w:fldChar w:fldCharType="separate"/>
      </w:r>
      <w:r w:rsidR="0028296F">
        <w:rPr>
          <w:vertAlign w:val="superscript"/>
        </w:rPr>
        <w:t>15</w:t>
      </w:r>
      <w:r w:rsidR="00A0334A" w:rsidRPr="008435C6">
        <w:rPr>
          <w:vertAlign w:val="superscript"/>
        </w:rPr>
        <w:fldChar w:fldCharType="end"/>
      </w:r>
      <w:r>
        <w:t xml:space="preserve"> An additional </w:t>
      </w:r>
      <w:r w:rsidR="00A0334A">
        <w:t xml:space="preserve">Phase III/IV </w:t>
      </w:r>
      <w:r>
        <w:t>clinical study (</w:t>
      </w:r>
      <w:r w:rsidR="317257E8">
        <w:t xml:space="preserve">Study </w:t>
      </w:r>
      <w:r>
        <w:t>V130_12) has been provided to support the current application</w:t>
      </w:r>
      <w:r w:rsidR="317257E8">
        <w:t xml:space="preserve"> and </w:t>
      </w:r>
      <w:r>
        <w:t>indication for Flucelvax Quad for the prevention of influenza in adults and children from 2</w:t>
      </w:r>
      <w:r w:rsidR="007C0C7D">
        <w:t> </w:t>
      </w:r>
      <w:r>
        <w:t xml:space="preserve">years of age onwards. The safety database in </w:t>
      </w:r>
      <w:r w:rsidR="317257E8">
        <w:t xml:space="preserve">Study </w:t>
      </w:r>
      <w:r>
        <w:t>V130_12 was of 4514 subjects 2 to &lt;</w:t>
      </w:r>
      <w:r w:rsidR="007C0C7D">
        <w:t> </w:t>
      </w:r>
      <w:r>
        <w:t>18</w:t>
      </w:r>
      <w:r w:rsidR="007C0C7D">
        <w:t> </w:t>
      </w:r>
      <w:r>
        <w:t>years of age. From these, 2258</w:t>
      </w:r>
      <w:r w:rsidR="317257E8">
        <w:t> </w:t>
      </w:r>
      <w:r>
        <w:t xml:space="preserve">subjects received </w:t>
      </w:r>
      <w:r w:rsidR="222658CB">
        <w:t>Flucelvax Quad</w:t>
      </w:r>
      <w:r>
        <w:t>.</w:t>
      </w:r>
    </w:p>
    <w:p w14:paraId="5552CFFD" w14:textId="08DD3C12" w:rsidR="0029516D" w:rsidRPr="00505BA7" w:rsidRDefault="0029516D" w:rsidP="00505BA7">
      <w:r w:rsidRPr="00505BA7">
        <w:t>The rates of reported solicited local and systemic AEs during the treatment period (recorded at 30 minutes following vaccination and from 6 hours through Day 7 after vaccination) were comparable between the 2 vaccine groups in subjects 2 to &lt;</w:t>
      </w:r>
      <w:r w:rsidR="007D768E">
        <w:t xml:space="preserve"> </w:t>
      </w:r>
      <w:r w:rsidRPr="00505BA7">
        <w:t>18 years of age.</w:t>
      </w:r>
    </w:p>
    <w:p w14:paraId="6502122C" w14:textId="2A563337" w:rsidR="0029516D" w:rsidRPr="00505BA7" w:rsidRDefault="0029516D" w:rsidP="00505BA7">
      <w:r w:rsidRPr="00505BA7">
        <w:t>The rates of solicited AEs reported within 30 minutes after any vaccination were low in subjects 2 to &lt;</w:t>
      </w:r>
      <w:r w:rsidR="007D768E">
        <w:t xml:space="preserve"> </w:t>
      </w:r>
      <w:r w:rsidRPr="00505BA7">
        <w:t xml:space="preserve">18 years of age, being reported as slightly higher in the </w:t>
      </w:r>
      <w:r w:rsidR="00D5036B">
        <w:t>Flucelvax Quad</w:t>
      </w:r>
      <w:r w:rsidRPr="00505BA7">
        <w:t xml:space="preserve"> group (9.5%) compared to the comparator group (7.3%). The percentage of subjects with any solicited AE reported from Day 1 through Day 7 after vaccination was 51.4% in the </w:t>
      </w:r>
      <w:r w:rsidR="00D5036B">
        <w:t>Flucelvax Quad</w:t>
      </w:r>
      <w:r w:rsidRPr="00505BA7">
        <w:t xml:space="preserve"> and 48.6% in the comparator group. The </w:t>
      </w:r>
      <w:proofErr w:type="gramStart"/>
      <w:r w:rsidRPr="00505BA7">
        <w:t>most commonly reported</w:t>
      </w:r>
      <w:proofErr w:type="gramEnd"/>
      <w:r w:rsidRPr="00505BA7">
        <w:t xml:space="preserve"> solicited local AEs were erythema, pain and tenderness; the majority were mild to moderate in severity.</w:t>
      </w:r>
    </w:p>
    <w:p w14:paraId="1B800617" w14:textId="47F7930E" w:rsidR="0029516D" w:rsidRPr="00505BA7" w:rsidRDefault="0029516D" w:rsidP="00505BA7">
      <w:r w:rsidRPr="00505BA7">
        <w:t xml:space="preserve">Regarding the solicited systemic AEs, similar rates were reported in each vaccine group (31.4% in the </w:t>
      </w:r>
      <w:r w:rsidR="00D5036B">
        <w:t>Flucelvax Quad</w:t>
      </w:r>
      <w:r w:rsidRPr="00505BA7">
        <w:t xml:space="preserve"> group and 30.5% in the comparator group) as no notable differences were observed between the </w:t>
      </w:r>
      <w:r w:rsidR="00D5036B">
        <w:t>Flucelvax Quad</w:t>
      </w:r>
      <w:r w:rsidRPr="00505BA7">
        <w:t xml:space="preserve"> and the comparator. The </w:t>
      </w:r>
      <w:proofErr w:type="gramStart"/>
      <w:r w:rsidRPr="00505BA7">
        <w:t>most commonly reported</w:t>
      </w:r>
      <w:proofErr w:type="gramEnd"/>
      <w:r w:rsidRPr="00505BA7">
        <w:t xml:space="preserve"> solicited systemic AEs were headache, feeling fatigue or tiredness and the majority were mild to moderate in severity. Fever (≥</w:t>
      </w:r>
      <w:r w:rsidR="007D768E">
        <w:t xml:space="preserve"> </w:t>
      </w:r>
      <w:r w:rsidRPr="00505BA7">
        <w:t>38</w:t>
      </w:r>
      <w:r w:rsidR="00FE7E30" w:rsidRPr="00505BA7">
        <w:t>ºC</w:t>
      </w:r>
      <w:r w:rsidRPr="00505BA7">
        <w:t xml:space="preserve">) was reported by 5.3% and 4.5% in </w:t>
      </w:r>
      <w:r w:rsidR="00D5036B">
        <w:t>Flucelvax Quad</w:t>
      </w:r>
      <w:r w:rsidRPr="00505BA7">
        <w:t xml:space="preserve"> and comparator group, respectively.</w:t>
      </w:r>
    </w:p>
    <w:p w14:paraId="19766D9C" w14:textId="7FD16443" w:rsidR="0029516D" w:rsidRPr="00505BA7" w:rsidRDefault="0029516D" w:rsidP="00505BA7">
      <w:r w:rsidRPr="00505BA7">
        <w:t>The rates of unsolicited AEs were comparable between the 2 vaccine groups in the subjects of 2 to &lt;</w:t>
      </w:r>
      <w:r w:rsidR="007D768E">
        <w:t xml:space="preserve"> </w:t>
      </w:r>
      <w:r w:rsidRPr="00505BA7">
        <w:t xml:space="preserve">18 years of age; 4.3% and 3.9 % </w:t>
      </w:r>
      <w:proofErr w:type="gramStart"/>
      <w:r w:rsidRPr="00505BA7">
        <w:t>were considered to be</w:t>
      </w:r>
      <w:proofErr w:type="gramEnd"/>
      <w:r w:rsidRPr="00505BA7">
        <w:t xml:space="preserve"> at least possibly related to the study vaccine and to the comparator vaccine by the investigator.</w:t>
      </w:r>
    </w:p>
    <w:p w14:paraId="6F57B78F" w14:textId="64FF6135" w:rsidR="0029516D" w:rsidRPr="00505BA7" w:rsidRDefault="0029516D" w:rsidP="00505BA7">
      <w:r w:rsidRPr="00505BA7">
        <w:t>In the subgroup analysis by age, the proportion of subjects with any solicited local and systemic AEs within the 30 minutes after any vaccination were low and comparable in both vaccine groups in all age subgroups. The solicited AEs (local and systemic) rates from 6 hours through Day 7 after any vaccination, stratified by the different age subgroups (2 to &lt;</w:t>
      </w:r>
      <w:r w:rsidR="007D768E">
        <w:t> </w:t>
      </w:r>
      <w:r w:rsidRPr="00505BA7">
        <w:t>6, 6 to &lt;</w:t>
      </w:r>
      <w:r w:rsidR="007D768E">
        <w:t> </w:t>
      </w:r>
      <w:r w:rsidRPr="00505BA7">
        <w:t>9 and 9 to &lt;</w:t>
      </w:r>
      <w:r w:rsidR="007D768E">
        <w:t> </w:t>
      </w:r>
      <w:r w:rsidRPr="00505BA7">
        <w:t xml:space="preserve">18), overall had no notable differences. </w:t>
      </w:r>
      <w:proofErr w:type="gramStart"/>
      <w:r w:rsidRPr="00505BA7">
        <w:t>The majority of</w:t>
      </w:r>
      <w:proofErr w:type="gramEnd"/>
      <w:r w:rsidRPr="00505BA7">
        <w:t xml:space="preserve"> the reported solicited local and systemic AEs in any age group were mild to moderate in severity.</w:t>
      </w:r>
    </w:p>
    <w:p w14:paraId="1329EA81" w14:textId="189014EA" w:rsidR="0029516D" w:rsidRPr="00505BA7" w:rsidRDefault="0029516D" w:rsidP="00505BA7">
      <w:r w:rsidRPr="00505BA7">
        <w:t xml:space="preserve">The proportion of subjects with any unsolicited AEs and any possibly related unsolicited AEs was lower in the older subjects (18.1% and 2.6%) compared to the younger subjects (37.7% and 5.9%) in the </w:t>
      </w:r>
      <w:r w:rsidR="00D5036B">
        <w:t>Flucelvax Quad</w:t>
      </w:r>
      <w:r w:rsidRPr="00505BA7">
        <w:t xml:space="preserve"> group.</w:t>
      </w:r>
    </w:p>
    <w:p w14:paraId="4A160C96" w14:textId="508B5D36" w:rsidR="0029516D" w:rsidRPr="00505BA7" w:rsidRDefault="0029516D" w:rsidP="00505BA7">
      <w:r w:rsidRPr="00505BA7">
        <w:t xml:space="preserve">By gender, no notable differences in the frequency of solicited or unsolicited AEs were observed. The proportion of subjects with unsolicited AEs was similar in Asian and White subjects. When considering the vaccination status, the proportion of subjects with any solicited and unsolicited AEs after any vaccination was lower in the </w:t>
      </w:r>
      <w:r w:rsidR="009D2250">
        <w:t>‘</w:t>
      </w:r>
      <w:r w:rsidRPr="00505BA7">
        <w:t>previously vaccinated</w:t>
      </w:r>
      <w:r w:rsidR="009D2250">
        <w:t>’</w:t>
      </w:r>
      <w:r w:rsidRPr="00505BA7">
        <w:t xml:space="preserve"> </w:t>
      </w:r>
      <w:r w:rsidRPr="00505BA7">
        <w:lastRenderedPageBreak/>
        <w:t xml:space="preserve">group than in the </w:t>
      </w:r>
      <w:r w:rsidR="009D2250">
        <w:t>‘</w:t>
      </w:r>
      <w:r w:rsidRPr="00505BA7">
        <w:t>not previously vaccinated</w:t>
      </w:r>
      <w:r w:rsidR="009D2250">
        <w:t>’</w:t>
      </w:r>
      <w:r w:rsidRPr="00505BA7">
        <w:t xml:space="preserve"> group, in both subgroups 2 to 6 years of age and 6 to 9 years of age.</w:t>
      </w:r>
    </w:p>
    <w:p w14:paraId="4AEDB966" w14:textId="148BDFF1" w:rsidR="0029516D" w:rsidRPr="00505BA7" w:rsidRDefault="0029516D" w:rsidP="00505BA7">
      <w:r w:rsidRPr="00505BA7">
        <w:t xml:space="preserve">No SAEs (1.1% and 1.3% in </w:t>
      </w:r>
      <w:r w:rsidR="00D5036B">
        <w:t>Flucelvax Quad</w:t>
      </w:r>
      <w:r w:rsidRPr="00505BA7">
        <w:t xml:space="preserve"> and comparator group, respectively) and deaths (one in comparator group) reported were assessed as related to the vaccination with the study vaccine. No AEs leading to withdrawal from the study were reported after the vaccination with </w:t>
      </w:r>
      <w:r w:rsidR="00D5036B">
        <w:t>Flucelvax Quad</w:t>
      </w:r>
      <w:r w:rsidRPr="00505BA7">
        <w:t>.</w:t>
      </w:r>
    </w:p>
    <w:p w14:paraId="1CEE4EE8" w14:textId="59C2EACF" w:rsidR="0029516D" w:rsidRPr="00505BA7" w:rsidRDefault="0029516D" w:rsidP="00505BA7">
      <w:r w:rsidRPr="00505BA7">
        <w:t>The post-marketing data has shown no new safety signals.</w:t>
      </w:r>
      <w:r w:rsidR="009D2250">
        <w:t xml:space="preserve"> </w:t>
      </w:r>
      <w:r w:rsidRPr="00505BA7">
        <w:t>However, it should be noted that the data on children &lt;</w:t>
      </w:r>
      <w:r w:rsidR="007D768E">
        <w:t xml:space="preserve"> </w:t>
      </w:r>
      <w:r w:rsidRPr="00505BA7">
        <w:t>9 years of age would be currently limited (particularly for those 2</w:t>
      </w:r>
      <w:r w:rsidR="007C0C7D">
        <w:t> </w:t>
      </w:r>
      <w:r w:rsidRPr="00505BA7">
        <w:t>to &lt;</w:t>
      </w:r>
      <w:r w:rsidR="007D768E">
        <w:t> </w:t>
      </w:r>
      <w:r w:rsidRPr="00505BA7">
        <w:t>4 years of age) due to the product becoming available in this population only recently.</w:t>
      </w:r>
    </w:p>
    <w:p w14:paraId="7D55CD61" w14:textId="77777777" w:rsidR="0029516D" w:rsidRPr="00505BA7" w:rsidRDefault="0029516D" w:rsidP="00505BA7">
      <w:r w:rsidRPr="00505BA7">
        <w:t xml:space="preserve">There are no data in certain subgroups, </w:t>
      </w:r>
      <w:proofErr w:type="gramStart"/>
      <w:r w:rsidRPr="00505BA7">
        <w:t>in particular the</w:t>
      </w:r>
      <w:proofErr w:type="gramEnd"/>
      <w:r w:rsidRPr="00505BA7">
        <w:t xml:space="preserve"> following, but these are adequately reflected in the PI:</w:t>
      </w:r>
    </w:p>
    <w:p w14:paraId="5FB4FDCB" w14:textId="0724493D" w:rsidR="0029516D" w:rsidRDefault="0029516D" w:rsidP="00505BA7">
      <w:pPr>
        <w:pStyle w:val="ListBullet"/>
      </w:pPr>
      <w:r w:rsidRPr="001E7005">
        <w:t>subjects with underlying</w:t>
      </w:r>
      <w:r>
        <w:t xml:space="preserve"> diseases (such as </w:t>
      </w:r>
      <w:r w:rsidRPr="001E7005">
        <w:t xml:space="preserve">immunocompromised) which are representative </w:t>
      </w:r>
      <w:r>
        <w:t>of the risk groups for</w:t>
      </w:r>
      <w:r w:rsidRPr="001E7005">
        <w:t xml:space="preserve"> influenza vaccine</w:t>
      </w:r>
      <w:r>
        <w:t xml:space="preserve">. However, </w:t>
      </w:r>
      <w:r w:rsidRPr="001E7005">
        <w:t>it is noted that immune response of immunosuppress</w:t>
      </w:r>
      <w:r>
        <w:t>ed subjects may not be optimal.</w:t>
      </w:r>
    </w:p>
    <w:p w14:paraId="3D7942D1" w14:textId="0B91B434" w:rsidR="0029516D" w:rsidRDefault="0029516D" w:rsidP="00505BA7">
      <w:pPr>
        <w:pStyle w:val="ListBullet"/>
      </w:pPr>
      <w:r w:rsidRPr="001E7005">
        <w:t>Concomitant administration with other vaccines was not assessed, particularly those recommended in the childhood immuni</w:t>
      </w:r>
      <w:r w:rsidR="007D768E">
        <w:t>s</w:t>
      </w:r>
      <w:r w:rsidRPr="001E7005">
        <w:t>ation programs.</w:t>
      </w:r>
    </w:p>
    <w:p w14:paraId="7D5423AD" w14:textId="77777777" w:rsidR="00D23139" w:rsidRDefault="00D23139" w:rsidP="00D23139">
      <w:pPr>
        <w:pStyle w:val="Heading4"/>
      </w:pPr>
      <w:r w:rsidRPr="00D23139">
        <w:t>Proposed action</w:t>
      </w:r>
    </w:p>
    <w:p w14:paraId="17DE7A15" w14:textId="77777777" w:rsidR="0029516D" w:rsidRPr="00505BA7" w:rsidRDefault="0029516D" w:rsidP="00505BA7">
      <w:r w:rsidRPr="00505BA7">
        <w:t>It is considered that all aspects dealing with clinical pharmacology have been well addressed.</w:t>
      </w:r>
    </w:p>
    <w:p w14:paraId="4CFE3093" w14:textId="21BBC51B" w:rsidR="0029516D" w:rsidRPr="00505BA7" w:rsidRDefault="0029516D" w:rsidP="00505BA7">
      <w:r w:rsidRPr="00505BA7">
        <w:t xml:space="preserve">There was a robust and substantial immune response across the 2 seasons in subjects who received </w:t>
      </w:r>
      <w:r w:rsidR="00D5036B">
        <w:t>Flucelvax Quad</w:t>
      </w:r>
      <w:r w:rsidR="00337DC9">
        <w:t>,</w:t>
      </w:r>
      <w:r w:rsidRPr="00505BA7">
        <w:t xml:space="preserve"> even with seasonal differences in vaccine strains and baseline GMTs.</w:t>
      </w:r>
    </w:p>
    <w:p w14:paraId="4E9A530A" w14:textId="05415EE7" w:rsidR="0029516D" w:rsidRPr="00505BA7" w:rsidRDefault="0029516D" w:rsidP="00505BA7">
      <w:r w:rsidRPr="00505BA7">
        <w:t xml:space="preserve">The primary and co-primary efficacy endpoints, </w:t>
      </w:r>
      <w:r w:rsidR="00393EE5" w:rsidRPr="00393EE5">
        <w:t>absolute VE</w:t>
      </w:r>
      <w:r w:rsidRPr="00505BA7">
        <w:t xml:space="preserve"> relative to comparator against any influenza Type A or B strain were achieved. The analysis showed that </w:t>
      </w:r>
      <w:r w:rsidR="00D5036B">
        <w:t>Flucelvax Quad</w:t>
      </w:r>
      <w:r w:rsidRPr="00505BA7">
        <w:t xml:space="preserve"> prevented RT-PCR or culture</w:t>
      </w:r>
      <w:r w:rsidR="007D768E">
        <w:t xml:space="preserve"> </w:t>
      </w:r>
      <w:r w:rsidRPr="00505BA7">
        <w:t>confirmed influenza caused by any Type A or B strain in subjects 2 to &lt; 18 years of age (primary efficacy endpoint) and 3 to &lt; 18 years of age (co</w:t>
      </w:r>
      <w:r w:rsidR="007D768E">
        <w:noBreakHyphen/>
      </w:r>
      <w:r w:rsidRPr="00505BA7">
        <w:t>primary endpoint). All secondary endpoints were consistent with the primary study endpoint. The secondary efficacy objectives that were efficacy against RT-PCR or culture</w:t>
      </w:r>
      <w:r w:rsidR="007D768E">
        <w:t xml:space="preserve"> </w:t>
      </w:r>
      <w:r w:rsidRPr="00505BA7">
        <w:t>confirmed influenza in the overall study population 2 to &lt; 18 years of age either due to any influenza type A or B strain or due to influenza type A or B antigenically matched strains were also met. The VE was also analysed in several age cohorts, with similar results to those obtained in the overall study.</w:t>
      </w:r>
    </w:p>
    <w:p w14:paraId="11708618" w14:textId="53258490" w:rsidR="0029516D" w:rsidRPr="00505BA7" w:rsidRDefault="0029516D" w:rsidP="00505BA7">
      <w:r w:rsidRPr="00505BA7">
        <w:t xml:space="preserve">The </w:t>
      </w:r>
      <w:r w:rsidR="00D5036B">
        <w:t>Flucelvax Quad</w:t>
      </w:r>
      <w:r w:rsidRPr="00505BA7">
        <w:t xml:space="preserve"> safety profile is in general comparable to that of the non-influenza comparator vaccine. No new safety signal has been observed in the submitted clinical database. It can be concluded that </w:t>
      </w:r>
      <w:r w:rsidR="00D5036B">
        <w:t>Flucelvax Quad</w:t>
      </w:r>
      <w:r w:rsidRPr="00505BA7">
        <w:t xml:space="preserve"> vaccine in subjects 2 to &lt;</w:t>
      </w:r>
      <w:r w:rsidR="007D768E">
        <w:t xml:space="preserve"> </w:t>
      </w:r>
      <w:r w:rsidRPr="00505BA7">
        <w:t xml:space="preserve">9 years of age does not have any clinically relevant safety issue. Therefore, the safety profile of </w:t>
      </w:r>
      <w:r w:rsidR="005174BA" w:rsidRPr="005174BA">
        <w:t xml:space="preserve">Flucelvax Quad </w:t>
      </w:r>
      <w:proofErr w:type="gramStart"/>
      <w:r w:rsidRPr="00505BA7">
        <w:t>is considered to be</w:t>
      </w:r>
      <w:proofErr w:type="gramEnd"/>
      <w:r w:rsidRPr="00505BA7">
        <w:t xml:space="preserve"> adequate to support the indication for prophylaxis of influenza in subjects of 2 years of age and older.</w:t>
      </w:r>
    </w:p>
    <w:p w14:paraId="24D509EE" w14:textId="6C8B0A54" w:rsidR="0029516D" w:rsidRPr="00505BA7" w:rsidRDefault="0029516D" w:rsidP="00505BA7">
      <w:r w:rsidRPr="00505BA7">
        <w:t xml:space="preserve">Overall, based on the review of data on safety and efficacy, the Delegate considers that the benefit-risk balance of </w:t>
      </w:r>
      <w:r w:rsidR="009D2250" w:rsidRPr="00505BA7">
        <w:t>Flucelvax Quad</w:t>
      </w:r>
      <w:r w:rsidRPr="00505BA7">
        <w:t xml:space="preserve"> is favourable in the following indication:</w:t>
      </w:r>
    </w:p>
    <w:p w14:paraId="1BEAC6AE" w14:textId="3D9063F2" w:rsidR="0029516D" w:rsidRPr="00505BA7" w:rsidRDefault="0029516D" w:rsidP="00505BA7">
      <w:pPr>
        <w:ind w:left="720"/>
        <w:rPr>
          <w:i/>
          <w:iCs/>
        </w:rPr>
      </w:pPr>
      <w:r w:rsidRPr="00505BA7">
        <w:rPr>
          <w:i/>
          <w:iCs/>
        </w:rPr>
        <w:t xml:space="preserve">For the prevention of influenza caused by </w:t>
      </w:r>
      <w:r w:rsidR="007D768E" w:rsidRPr="00505BA7">
        <w:rPr>
          <w:i/>
          <w:iCs/>
        </w:rPr>
        <w:t>influenza virus</w:t>
      </w:r>
      <w:r w:rsidRPr="00505BA7">
        <w:rPr>
          <w:i/>
          <w:iCs/>
        </w:rPr>
        <w:t>, Types A and B contained in the vaccine. The vaccine is indicated for use in adults and children 2 years of age and older.</w:t>
      </w:r>
    </w:p>
    <w:p w14:paraId="08614D48" w14:textId="740799DB" w:rsidR="0029516D" w:rsidRPr="00505BA7" w:rsidRDefault="0029516D" w:rsidP="00505BA7">
      <w:pPr>
        <w:ind w:left="720"/>
        <w:rPr>
          <w:i/>
          <w:iCs/>
        </w:rPr>
      </w:pPr>
      <w:r w:rsidRPr="00505BA7">
        <w:rPr>
          <w:i/>
          <w:iCs/>
        </w:rPr>
        <w:t>For full details regarding recommendations for influenza vaccination, please refer to the relevant national immunisation guidelines.</w:t>
      </w:r>
    </w:p>
    <w:p w14:paraId="0C820CD1" w14:textId="5F39E474" w:rsidR="008E7846" w:rsidRDefault="008E7846" w:rsidP="007D53B6">
      <w:pPr>
        <w:pStyle w:val="Heading4"/>
      </w:pPr>
      <w:r>
        <w:lastRenderedPageBreak/>
        <w:t xml:space="preserve">Advisory Committee </w:t>
      </w:r>
      <w:r w:rsidR="007D53B6">
        <w:t>c</w:t>
      </w:r>
      <w:r>
        <w:t>onsiderations</w:t>
      </w:r>
    </w:p>
    <w:p w14:paraId="63ED23FD" w14:textId="5B474572" w:rsidR="00644012" w:rsidRDefault="00644012" w:rsidP="00744121">
      <w:pPr>
        <w:rPr>
          <w:bCs/>
        </w:rPr>
      </w:pPr>
      <w:bookmarkStart w:id="67" w:name="_Toc247691532"/>
      <w:bookmarkStart w:id="68" w:name="_Toc314842516"/>
      <w:bookmarkEnd w:id="34"/>
      <w:bookmarkEnd w:id="65"/>
      <w:bookmarkEnd w:id="66"/>
      <w:r w:rsidRPr="00456765">
        <w:rPr>
          <w:bCs/>
        </w:rPr>
        <w:t xml:space="preserve">The </w:t>
      </w:r>
      <w:hyperlink r:id="rId32"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4F3F1684" w14:textId="77777777" w:rsidR="00744121" w:rsidRDefault="00744121" w:rsidP="00744121">
      <w:pPr>
        <w:pStyle w:val="Heading5"/>
      </w:pPr>
      <w:r>
        <w:t>Specific advice to the Delegate</w:t>
      </w:r>
    </w:p>
    <w:p w14:paraId="2CDE8792" w14:textId="1419CA0B" w:rsidR="00723FD6" w:rsidRPr="00723FD6" w:rsidRDefault="00723FD6" w:rsidP="00723FD6">
      <w:pPr>
        <w:rPr>
          <w:b/>
          <w:bCs/>
          <w:i/>
          <w:iCs/>
        </w:rPr>
      </w:pPr>
      <w:r w:rsidRPr="00723FD6">
        <w:rPr>
          <w:b/>
          <w:bCs/>
          <w:i/>
          <w:iCs/>
        </w:rPr>
        <w:t xml:space="preserve">1. Please comment on the benefit-risk balance of </w:t>
      </w:r>
      <w:r w:rsidR="009D2250" w:rsidRPr="00723FD6">
        <w:rPr>
          <w:b/>
          <w:bCs/>
          <w:i/>
          <w:iCs/>
        </w:rPr>
        <w:t>Flucelvax Quad</w:t>
      </w:r>
      <w:r w:rsidRPr="00723FD6">
        <w:rPr>
          <w:b/>
          <w:bCs/>
          <w:i/>
          <w:iCs/>
        </w:rPr>
        <w:t xml:space="preserve"> in the following indication:</w:t>
      </w:r>
    </w:p>
    <w:p w14:paraId="36443171" w14:textId="7217782C" w:rsidR="00723FD6" w:rsidRPr="00723FD6" w:rsidRDefault="00723FD6" w:rsidP="00723FD6">
      <w:pPr>
        <w:ind w:left="720"/>
        <w:rPr>
          <w:b/>
          <w:bCs/>
          <w:i/>
          <w:iCs/>
        </w:rPr>
      </w:pPr>
      <w:r w:rsidRPr="00723FD6">
        <w:rPr>
          <w:b/>
          <w:bCs/>
          <w:i/>
          <w:iCs/>
        </w:rPr>
        <w:t xml:space="preserve">For the prevention of influenza caused by </w:t>
      </w:r>
      <w:r w:rsidR="00AA5979" w:rsidRPr="00723FD6">
        <w:rPr>
          <w:b/>
          <w:bCs/>
          <w:i/>
          <w:iCs/>
        </w:rPr>
        <w:t>influenza virus</w:t>
      </w:r>
      <w:r w:rsidRPr="00723FD6">
        <w:rPr>
          <w:b/>
          <w:bCs/>
          <w:i/>
          <w:iCs/>
        </w:rPr>
        <w:t>, Types A and B contained in the vaccine. The vaccine is indicated for use in adults and children 2 years of age and older.</w:t>
      </w:r>
    </w:p>
    <w:p w14:paraId="622BEBB9" w14:textId="5D7DF19E" w:rsidR="00723FD6" w:rsidRPr="00723FD6" w:rsidRDefault="00723FD6" w:rsidP="00723FD6">
      <w:pPr>
        <w:ind w:left="720"/>
        <w:rPr>
          <w:b/>
          <w:bCs/>
          <w:i/>
          <w:iCs/>
        </w:rPr>
      </w:pPr>
      <w:r w:rsidRPr="00723FD6">
        <w:rPr>
          <w:b/>
          <w:bCs/>
          <w:i/>
          <w:iCs/>
        </w:rPr>
        <w:t>For full details regarding recommendations for influenza vaccination, please refer to the relevant national immunisation guidelines.</w:t>
      </w:r>
    </w:p>
    <w:p w14:paraId="54501EDE" w14:textId="14AB3152" w:rsidR="00723FD6" w:rsidRPr="00723FD6" w:rsidRDefault="00723FD6" w:rsidP="00723FD6">
      <w:r w:rsidRPr="00723FD6">
        <w:t>The ACV advised that Flucelvax Quad has an overall positive benefit-risk profile for the proposed indication, reflecting:</w:t>
      </w:r>
    </w:p>
    <w:p w14:paraId="20BD0D1B" w14:textId="5ABEAF1C" w:rsidR="00723FD6" w:rsidRPr="00723FD6" w:rsidRDefault="00723FD6" w:rsidP="00723FD6">
      <w:pPr>
        <w:pStyle w:val="ListBullet"/>
      </w:pPr>
      <w:r w:rsidRPr="00723FD6">
        <w:t>consistent good efficacy results over 3 seasons, based on randomised clinical trial against a non-influenza comparator vaccine</w:t>
      </w:r>
    </w:p>
    <w:p w14:paraId="0FAC9236" w14:textId="6050BE8E" w:rsidR="00723FD6" w:rsidRPr="00723FD6" w:rsidRDefault="00723FD6" w:rsidP="00723FD6">
      <w:pPr>
        <w:pStyle w:val="ListBullet"/>
      </w:pPr>
      <w:r w:rsidRPr="00723FD6">
        <w:t>acceptable safety profile, including that high fever was rare and similar between the two vaccines</w:t>
      </w:r>
    </w:p>
    <w:p w14:paraId="5938D2BF" w14:textId="17C77ACC" w:rsidR="00723FD6" w:rsidRPr="00723FD6" w:rsidRDefault="00723FD6" w:rsidP="00723FD6">
      <w:pPr>
        <w:pStyle w:val="ListBullet"/>
      </w:pPr>
      <w:r w:rsidRPr="00723FD6">
        <w:t>capacity for safety and effectiveness monitoring in Australia.</w:t>
      </w:r>
    </w:p>
    <w:p w14:paraId="045E78AA" w14:textId="77777777" w:rsidR="00744121" w:rsidRDefault="00744121" w:rsidP="00744121">
      <w:pPr>
        <w:pStyle w:val="Heading5"/>
      </w:pPr>
      <w:r>
        <w:t>Conclusion</w:t>
      </w:r>
    </w:p>
    <w:p w14:paraId="5645F082" w14:textId="53F9F89D" w:rsidR="00723FD6" w:rsidRPr="00723FD6" w:rsidRDefault="00723FD6" w:rsidP="00723FD6">
      <w:r w:rsidRPr="00723FD6">
        <w:t>The ACV considered this product to have an overall positive benefit-risk profile for the indication:</w:t>
      </w:r>
    </w:p>
    <w:p w14:paraId="542893FA" w14:textId="47ED2899" w:rsidR="00723FD6" w:rsidRPr="00723FD6" w:rsidRDefault="00723FD6" w:rsidP="00723FD6">
      <w:pPr>
        <w:ind w:left="720"/>
        <w:rPr>
          <w:i/>
          <w:iCs/>
        </w:rPr>
      </w:pPr>
      <w:r w:rsidRPr="00723FD6">
        <w:rPr>
          <w:i/>
          <w:iCs/>
        </w:rPr>
        <w:t xml:space="preserve">For the prevention of influenza caused by </w:t>
      </w:r>
      <w:r w:rsidR="00AA5979" w:rsidRPr="00723FD6">
        <w:rPr>
          <w:i/>
          <w:iCs/>
        </w:rPr>
        <w:t>influenza virus</w:t>
      </w:r>
      <w:r w:rsidRPr="00723FD6">
        <w:rPr>
          <w:i/>
          <w:iCs/>
        </w:rPr>
        <w:t>, Types A and B contained in the vaccine. The vaccine is indicated for use in adults and children 2 years of age and older.</w:t>
      </w:r>
    </w:p>
    <w:p w14:paraId="4FCE6914" w14:textId="37C39400" w:rsidR="00723FD6" w:rsidRPr="00723FD6" w:rsidRDefault="00723FD6" w:rsidP="00723FD6">
      <w:pPr>
        <w:ind w:left="720"/>
        <w:rPr>
          <w:i/>
          <w:iCs/>
        </w:rPr>
      </w:pPr>
      <w:r w:rsidRPr="00723FD6">
        <w:rPr>
          <w:i/>
          <w:iCs/>
        </w:rPr>
        <w:t>For full details regarding recommendations for influenza vaccination, please refer to the relevant national immunisation guidelines.</w:t>
      </w:r>
    </w:p>
    <w:p w14:paraId="78C29C56" w14:textId="049301AC" w:rsidR="008E7846" w:rsidRPr="002E238E" w:rsidRDefault="008E7846" w:rsidP="008E7846">
      <w:pPr>
        <w:pStyle w:val="Heading3"/>
      </w:pPr>
      <w:bookmarkStart w:id="69" w:name="_Toc119662227"/>
      <w:r>
        <w:t>Outcome</w:t>
      </w:r>
      <w:bookmarkEnd w:id="67"/>
      <w:bookmarkEnd w:id="68"/>
      <w:bookmarkEnd w:id="69"/>
    </w:p>
    <w:p w14:paraId="5CF47571" w14:textId="051ED54F" w:rsidR="00744121" w:rsidRDefault="00744121" w:rsidP="00744121">
      <w:bookmarkStart w:id="70" w:name="_Toc247691533"/>
      <w:bookmarkStart w:id="71" w:name="_Toc314842517"/>
      <w:r>
        <w:t xml:space="preserve">Based on a review of quality, </w:t>
      </w:r>
      <w:proofErr w:type="gramStart"/>
      <w:r>
        <w:t>safety</w:t>
      </w:r>
      <w:proofErr w:type="gramEnd"/>
      <w:r>
        <w:t xml:space="preserve"> and efficacy, the TGA approved the registration of </w:t>
      </w:r>
      <w:r w:rsidR="00691BC4" w:rsidRPr="00691BC4">
        <w:t xml:space="preserve">Flucelvax Quad </w:t>
      </w:r>
      <w:r w:rsidRPr="00250271">
        <w:t>(</w:t>
      </w:r>
      <w:r w:rsidR="00691BC4" w:rsidRPr="00691BC4">
        <w:t>quadrivalent influenza vaccine</w:t>
      </w:r>
      <w:r w:rsidRPr="00250271">
        <w:t xml:space="preserve">) </w:t>
      </w:r>
      <w:r w:rsidR="00D12C94" w:rsidRPr="00D12C94">
        <w:t>60 µg (15 µg x 4) haemagglutinin/0.5</w:t>
      </w:r>
      <w:r w:rsidR="003A0FE1">
        <w:t> </w:t>
      </w:r>
      <w:r w:rsidR="00D12C94" w:rsidRPr="00D12C94">
        <w:t>mL</w:t>
      </w:r>
      <w:r w:rsidRPr="00250271">
        <w:t>,</w:t>
      </w:r>
      <w:r w:rsidR="00881B4B">
        <w:t xml:space="preserve"> </w:t>
      </w:r>
      <w:r w:rsidR="00881B4B" w:rsidRPr="00881B4B">
        <w:t>suspension</w:t>
      </w:r>
      <w:r w:rsidR="00881B4B">
        <w:t xml:space="preserve"> for i</w:t>
      </w:r>
      <w:r w:rsidR="00881B4B" w:rsidRPr="00881B4B">
        <w:t>njection</w:t>
      </w:r>
      <w:r>
        <w:t xml:space="preserve">, </w:t>
      </w:r>
      <w:r w:rsidR="00AA5979">
        <w:t>p</w:t>
      </w:r>
      <w:r w:rsidR="00881B4B" w:rsidRPr="00881B4B">
        <w:t>re-filled syringe (needle free) and pre-filled syringe (with attached needle)</w:t>
      </w:r>
      <w:r>
        <w:t>, for the following extension of indications:</w:t>
      </w:r>
    </w:p>
    <w:p w14:paraId="4DF9B4A1" w14:textId="74B6419F" w:rsidR="00881B4B" w:rsidRPr="00691BC4" w:rsidRDefault="00881B4B" w:rsidP="00881B4B">
      <w:pPr>
        <w:ind w:left="720"/>
        <w:rPr>
          <w:i/>
          <w:iCs/>
        </w:rPr>
      </w:pPr>
      <w:r w:rsidRPr="00691BC4">
        <w:rPr>
          <w:i/>
          <w:iCs/>
        </w:rPr>
        <w:t xml:space="preserve">For the prevention of influenza caused by </w:t>
      </w:r>
      <w:r w:rsidR="00AA5979" w:rsidRPr="00691BC4">
        <w:rPr>
          <w:i/>
          <w:iCs/>
        </w:rPr>
        <w:t>influenza virus</w:t>
      </w:r>
      <w:r w:rsidRPr="00691BC4">
        <w:rPr>
          <w:i/>
          <w:iCs/>
        </w:rPr>
        <w:t>, Types A and B contained in the vaccine. The vaccine is indicated for use in adults and children 2 years of age and older.</w:t>
      </w:r>
    </w:p>
    <w:p w14:paraId="294A66F7" w14:textId="7F9350C3" w:rsidR="007D53B6" w:rsidRDefault="00881B4B" w:rsidP="00881B4B">
      <w:pPr>
        <w:ind w:left="720"/>
      </w:pPr>
      <w:r w:rsidRPr="00691BC4">
        <w:rPr>
          <w:i/>
          <w:iCs/>
        </w:rPr>
        <w:t>For full details regarding recommendations for influenza vaccination, please refer to the relevant national immunisation guidelines.</w:t>
      </w:r>
    </w:p>
    <w:p w14:paraId="44F05BBA" w14:textId="77777777" w:rsidR="007D53B6" w:rsidRDefault="007D53B6" w:rsidP="007D53B6">
      <w:r>
        <w:t xml:space="preserve">As such, the full indications </w:t>
      </w:r>
      <w:proofErr w:type="gramStart"/>
      <w:r>
        <w:t>at this time</w:t>
      </w:r>
      <w:proofErr w:type="gramEnd"/>
      <w:r>
        <w:t xml:space="preserve"> were:</w:t>
      </w:r>
    </w:p>
    <w:p w14:paraId="589FC874" w14:textId="1F482210" w:rsidR="00881B4B" w:rsidRPr="00691BC4" w:rsidRDefault="00881B4B" w:rsidP="00881B4B">
      <w:pPr>
        <w:ind w:left="720"/>
        <w:rPr>
          <w:i/>
          <w:iCs/>
        </w:rPr>
      </w:pPr>
      <w:r w:rsidRPr="00691BC4">
        <w:rPr>
          <w:i/>
          <w:iCs/>
        </w:rPr>
        <w:t xml:space="preserve">For the prevention of influenza caused by </w:t>
      </w:r>
      <w:r w:rsidR="00AA5979" w:rsidRPr="00691BC4">
        <w:rPr>
          <w:i/>
          <w:iCs/>
        </w:rPr>
        <w:t>influenza virus</w:t>
      </w:r>
      <w:r w:rsidRPr="00691BC4">
        <w:rPr>
          <w:i/>
          <w:iCs/>
        </w:rPr>
        <w:t>, Types A and B contained in the vaccine. The vaccine is indicated for use in adults and children 2 years of age and older.</w:t>
      </w:r>
    </w:p>
    <w:p w14:paraId="39ED1DDF" w14:textId="3A1F56E9" w:rsidR="00881B4B" w:rsidRPr="00D23139" w:rsidRDefault="00881B4B" w:rsidP="00881B4B">
      <w:pPr>
        <w:ind w:left="720"/>
      </w:pPr>
      <w:r w:rsidRPr="00691BC4">
        <w:rPr>
          <w:i/>
          <w:iCs/>
        </w:rPr>
        <w:t>For full details regarding recommendations for influenza vaccination, please refer to the relevant national immunisation guidelines.</w:t>
      </w:r>
    </w:p>
    <w:p w14:paraId="7D5B34C7" w14:textId="77777777" w:rsidR="00D23139" w:rsidRPr="00D23139" w:rsidRDefault="00D23139" w:rsidP="00D23139">
      <w:pPr>
        <w:pStyle w:val="Heading4"/>
      </w:pPr>
      <w:r w:rsidRPr="00D23139">
        <w:lastRenderedPageBreak/>
        <w:t>Specific conditions of registration applying to these goods</w:t>
      </w:r>
    </w:p>
    <w:p w14:paraId="66BB4547" w14:textId="7E1FA67F" w:rsidR="00881B4B" w:rsidRPr="00881B4B" w:rsidRDefault="00881B4B" w:rsidP="00881B4B">
      <w:pPr>
        <w:pStyle w:val="ListBullet"/>
      </w:pPr>
      <w:r w:rsidRPr="00881B4B">
        <w:t>The Flucelvax Quad EU-</w:t>
      </w:r>
      <w:r w:rsidR="00AA5979" w:rsidRPr="00881B4B">
        <w:t xml:space="preserve">risk management plan </w:t>
      </w:r>
      <w:r w:rsidRPr="00881B4B">
        <w:t>(RMP) (version 2.1, dated 2</w:t>
      </w:r>
      <w:r w:rsidR="003A0FE1">
        <w:t> </w:t>
      </w:r>
      <w:r w:rsidRPr="00881B4B">
        <w:t>June</w:t>
      </w:r>
      <w:r w:rsidR="003A0FE1">
        <w:t> </w:t>
      </w:r>
      <w:r w:rsidRPr="00881B4B">
        <w:t xml:space="preserve">2020, data lock point 30 January 2020), with Australian </w:t>
      </w:r>
      <w:r w:rsidR="00AA5979" w:rsidRPr="00881B4B">
        <w:t xml:space="preserve">specific annex </w:t>
      </w:r>
      <w:r w:rsidRPr="00881B4B">
        <w:t>(version 3.0, dated 12</w:t>
      </w:r>
      <w:r w:rsidR="003A0FE1">
        <w:t> </w:t>
      </w:r>
      <w:r w:rsidRPr="00881B4B">
        <w:t xml:space="preserve">October 2020), included with </w:t>
      </w:r>
      <w:r w:rsidR="00AA5979" w:rsidRPr="00881B4B">
        <w:t xml:space="preserve">Submission </w:t>
      </w:r>
      <w:r w:rsidRPr="00881B4B">
        <w:t>PM-2020-05368-1-2, and any subsequent revisions, as agreed with the TGA will be implemented in Australia.</w:t>
      </w:r>
    </w:p>
    <w:p w14:paraId="395DAEB4" w14:textId="77777777" w:rsidR="00881B4B" w:rsidRPr="00881B4B" w:rsidRDefault="00881B4B" w:rsidP="00881B4B">
      <w:pPr>
        <w:pStyle w:val="ListBullet"/>
        <w:numPr>
          <w:ilvl w:val="0"/>
          <w:numId w:val="0"/>
        </w:numPr>
        <w:ind w:left="360"/>
      </w:pPr>
      <w:r w:rsidRPr="00881B4B">
        <w:t xml:space="preserve">An obligatory component of risk management plans is routine pharmacovigilance. Routine pharmacovigilance includes the </w:t>
      </w:r>
      <w:r w:rsidRPr="00393EE5">
        <w:t>submission of periodic safety update reports (PSURs).</w:t>
      </w:r>
    </w:p>
    <w:p w14:paraId="5A0402A2" w14:textId="3B6111A1" w:rsidR="00881B4B" w:rsidRPr="00393EE5" w:rsidRDefault="00881B4B" w:rsidP="00881B4B">
      <w:pPr>
        <w:pStyle w:val="ListBullet"/>
        <w:numPr>
          <w:ilvl w:val="0"/>
          <w:numId w:val="0"/>
        </w:numPr>
        <w:ind w:left="360"/>
      </w:pPr>
      <w:r w:rsidRPr="00881B4B">
        <w:t xml:space="preserve">Reports are to be provided in line with the current published list of EU reference dates and frequency of submission of PSURs until the period covered by such reports is not less than three years from the </w:t>
      </w:r>
      <w:r w:rsidRPr="00393EE5">
        <w:t xml:space="preserve">date of </w:t>
      </w:r>
      <w:r w:rsidR="00AA5979" w:rsidRPr="00393EE5">
        <w:t>the</w:t>
      </w:r>
      <w:r w:rsidRPr="00393EE5">
        <w:t xml:space="preserve"> approval letter.</w:t>
      </w:r>
    </w:p>
    <w:p w14:paraId="66E5F97C" w14:textId="604E33BE" w:rsidR="00881B4B" w:rsidRPr="00881B4B" w:rsidRDefault="00881B4B" w:rsidP="00881B4B">
      <w:pPr>
        <w:pStyle w:val="ListBullet"/>
        <w:numPr>
          <w:ilvl w:val="0"/>
          <w:numId w:val="0"/>
        </w:numPr>
        <w:ind w:left="360"/>
      </w:pPr>
      <w:r w:rsidRPr="00393EE5">
        <w:t xml:space="preserve">The reports are to at least meet the requirements for PSURs as described in the European Medicines Agency’s Guideline on </w:t>
      </w:r>
      <w:r w:rsidR="00AA5979" w:rsidRPr="00393EE5">
        <w:t xml:space="preserve">Good Pharmacovigilance Practices </w:t>
      </w:r>
      <w:r w:rsidRPr="00393EE5">
        <w:t>(GVP)</w:t>
      </w:r>
      <w:r w:rsidRPr="00881B4B">
        <w:t xml:space="preserve"> Module VII periodic safety update report (Rev 1), Part VII.B Structures and processes.</w:t>
      </w:r>
    </w:p>
    <w:p w14:paraId="1FA0F4D2" w14:textId="77777777" w:rsidR="00881B4B" w:rsidRPr="00881B4B" w:rsidRDefault="00881B4B" w:rsidP="00881B4B">
      <w:pPr>
        <w:pStyle w:val="ListBullet"/>
        <w:numPr>
          <w:ilvl w:val="0"/>
          <w:numId w:val="0"/>
        </w:numPr>
        <w:ind w:left="360"/>
      </w:pPr>
      <w:r w:rsidRPr="00881B4B">
        <w:t>Note that submission of a PSUR does not constitute an application to vary the registration.</w:t>
      </w:r>
    </w:p>
    <w:p w14:paraId="2A29BF54" w14:textId="038CE0E3" w:rsidR="00881B4B" w:rsidRPr="00881B4B" w:rsidRDefault="00881B4B" w:rsidP="00881B4B">
      <w:pPr>
        <w:pStyle w:val="ListBullet"/>
      </w:pPr>
      <w:r w:rsidRPr="00881B4B">
        <w:t>The sponsor must conduct an enhanced safety surveillance study in Australia, if requested by TGA. A protocol for the proposed study will be required to be submitted with the annual strain update variation, if there is inadequate post-market safety data to demonstrate that the reactogenicity of that season’s vaccine has been adequately characterised and the vaccine is not supplied on the National Immunisation Program in that season.</w:t>
      </w:r>
    </w:p>
    <w:p w14:paraId="5E49AD36" w14:textId="1101495A" w:rsidR="00881B4B" w:rsidRPr="00881B4B" w:rsidRDefault="00881B4B" w:rsidP="00881B4B">
      <w:pPr>
        <w:pStyle w:val="ListBullet"/>
      </w:pPr>
      <w:r w:rsidRPr="00881B4B">
        <w:t>For all injectable products the Product Information must be included with the product as a package insert.</w:t>
      </w:r>
    </w:p>
    <w:p w14:paraId="05080809" w14:textId="249A2A68" w:rsidR="008E7846" w:rsidRDefault="00A80B5B" w:rsidP="00D23139">
      <w:pPr>
        <w:pStyle w:val="Heading2"/>
      </w:pPr>
      <w:bookmarkStart w:id="72" w:name="_Toc119662228"/>
      <w:r>
        <w:t xml:space="preserve">Attachment 1. </w:t>
      </w:r>
      <w:r w:rsidR="008E7846">
        <w:t xml:space="preserve">Product </w:t>
      </w:r>
      <w:r w:rsidR="00AA0ED0">
        <w:t>I</w:t>
      </w:r>
      <w:r w:rsidR="008E7846">
        <w:t>nformation</w:t>
      </w:r>
      <w:bookmarkEnd w:id="70"/>
      <w:bookmarkEnd w:id="71"/>
      <w:bookmarkEnd w:id="72"/>
    </w:p>
    <w:p w14:paraId="56CF96A6" w14:textId="612A4232" w:rsidR="00D05A9B" w:rsidRDefault="00D05A9B" w:rsidP="00D05A9B">
      <w:r w:rsidRPr="002B3624">
        <w:t xml:space="preserve">The </w:t>
      </w:r>
      <w:r>
        <w:t>PI</w:t>
      </w:r>
      <w:r w:rsidRPr="002B3624">
        <w:t xml:space="preserve"> for </w:t>
      </w:r>
      <w:r w:rsidRPr="00691BC4">
        <w:t xml:space="preserve">Flucelvax Quad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t xml:space="preserve"> </w:t>
      </w:r>
      <w:r w:rsidRPr="00940A89">
        <w:t xml:space="preserve">For the most recent </w:t>
      </w:r>
      <w:r>
        <w:t>PI,</w:t>
      </w:r>
      <w:r w:rsidRPr="00940A89">
        <w:t xml:space="preserve"> ple</w:t>
      </w:r>
      <w:r>
        <w:t xml:space="preserve">ase refer to the TGA </w:t>
      </w:r>
      <w:hyperlink r:id="rId33" w:history="1">
        <w:r w:rsidRPr="008A698E">
          <w:rPr>
            <w:rStyle w:val="Hyperlink"/>
          </w:rPr>
          <w:t>PI/CMI search facility</w:t>
        </w:r>
        <w:r w:rsidRPr="00EB36D6">
          <w:rPr>
            <w:rStyle w:val="Hyperlink"/>
            <w:color w:val="auto"/>
            <w:u w:val="none"/>
          </w:rPr>
          <w:t>.</w:t>
        </w:r>
      </w:hyperlink>
    </w:p>
    <w:p w14:paraId="7C90E558" w14:textId="36E149CE" w:rsidR="00744121" w:rsidRDefault="008E7846" w:rsidP="00744121">
      <w:pPr>
        <w:rPr>
          <w:lang w:eastAsia="ja-JP"/>
        </w:rPr>
      </w:pPr>
      <w:r w:rsidRPr="00C80137">
        <w:rPr>
          <w:b/>
        </w:rPr>
        <w:br w:type="page"/>
      </w:r>
    </w:p>
    <w:p w14:paraId="5DBB496B" w14:textId="77777777"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6C98D40" w14:textId="77777777" w:rsidTr="00A05FA4">
        <w:trPr>
          <w:trHeight w:hRule="exact" w:val="704"/>
        </w:trPr>
        <w:tc>
          <w:tcPr>
            <w:tcW w:w="9175" w:type="dxa"/>
          </w:tcPr>
          <w:p w14:paraId="74FC86BA" w14:textId="77777777" w:rsidR="001C32CD" w:rsidRPr="00487162" w:rsidRDefault="001C32CD" w:rsidP="00A05FA4">
            <w:pPr>
              <w:pStyle w:val="TGASignoff"/>
            </w:pPr>
            <w:r w:rsidRPr="00487162">
              <w:lastRenderedPageBreak/>
              <w:t>Therapeutic Goods Administration</w:t>
            </w:r>
          </w:p>
        </w:tc>
      </w:tr>
      <w:tr w:rsidR="001C32CD" w:rsidRPr="004C239D" w14:paraId="5045D3C3" w14:textId="77777777" w:rsidTr="00A05FA4">
        <w:trPr>
          <w:trHeight w:val="1221"/>
        </w:trPr>
        <w:tc>
          <w:tcPr>
            <w:tcW w:w="9175" w:type="dxa"/>
            <w:tcMar>
              <w:top w:w="28" w:type="dxa"/>
            </w:tcMar>
          </w:tcPr>
          <w:p w14:paraId="4D3C9782" w14:textId="77777777" w:rsidR="001C32CD" w:rsidRPr="00487162" w:rsidRDefault="001C32CD" w:rsidP="00A05FA4">
            <w:pPr>
              <w:pStyle w:val="Address"/>
            </w:pPr>
            <w:r w:rsidRPr="00487162">
              <w:t>PO Box 100 Woden ACT 2606 Australia</w:t>
            </w:r>
          </w:p>
          <w:p w14:paraId="288D261A" w14:textId="2D3A6483" w:rsidR="001C32CD" w:rsidRPr="00487162" w:rsidRDefault="001C32CD" w:rsidP="00A05FA4">
            <w:pPr>
              <w:pStyle w:val="Address"/>
            </w:pPr>
            <w:r w:rsidRPr="00487162">
              <w:t xml:space="preserve">Email: </w:t>
            </w:r>
            <w:hyperlink r:id="rId38"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9FB7F0C" w14:textId="342EC218" w:rsidR="001C32CD" w:rsidRPr="004C239D" w:rsidRDefault="007C1059"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14:paraId="21D9C8F7" w14:textId="77777777"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39A49" w14:textId="77777777" w:rsidR="001539F2" w:rsidRDefault="001539F2" w:rsidP="00C40A36">
      <w:pPr>
        <w:spacing w:after="0"/>
      </w:pPr>
      <w:r>
        <w:separator/>
      </w:r>
    </w:p>
  </w:endnote>
  <w:endnote w:type="continuationSeparator" w:id="0">
    <w:p w14:paraId="42D58C0F" w14:textId="77777777" w:rsidR="001539F2" w:rsidRDefault="001539F2" w:rsidP="00C40A36">
      <w:pPr>
        <w:spacing w:after="0"/>
      </w:pPr>
      <w:r>
        <w:continuationSeparator/>
      </w:r>
    </w:p>
  </w:endnote>
  <w:endnote w:type="continuationNotice" w:id="1">
    <w:p w14:paraId="41B8BBEB" w14:textId="77777777" w:rsidR="001539F2" w:rsidRDefault="001539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539F2" w:rsidRPr="00487162" w14:paraId="2125DBB6" w14:textId="77777777" w:rsidTr="00DB750B">
      <w:trPr>
        <w:trHeight w:val="269"/>
      </w:trPr>
      <w:tc>
        <w:tcPr>
          <w:tcW w:w="7371" w:type="dxa"/>
          <w:tcMar>
            <w:top w:w="142" w:type="dxa"/>
            <w:bottom w:w="0" w:type="dxa"/>
          </w:tcMar>
        </w:tcPr>
        <w:p w14:paraId="0873F001" w14:textId="14033E5B" w:rsidR="001539F2" w:rsidRPr="00487162" w:rsidRDefault="001539F2" w:rsidP="00460036">
          <w:pPr>
            <w:pStyle w:val="Footer"/>
          </w:pPr>
          <w:proofErr w:type="spellStart"/>
          <w:r w:rsidRPr="00487162">
            <w:t>AusPA</w:t>
          </w:r>
          <w:r>
            <w:t>R</w:t>
          </w:r>
          <w:proofErr w:type="spellEnd"/>
          <w:r>
            <w:t xml:space="preserve"> - </w:t>
          </w:r>
          <w:r w:rsidRPr="00691BC4">
            <w:t xml:space="preserve">Flucelvax Quad </w:t>
          </w:r>
          <w:r>
            <w:t>-</w:t>
          </w:r>
          <w:r w:rsidRPr="00460036">
            <w:t xml:space="preserve"> </w:t>
          </w:r>
          <w:r w:rsidRPr="00691BC4">
            <w:t xml:space="preserve">quadrivalent influenza vaccine </w:t>
          </w:r>
          <w:r>
            <w:t xml:space="preserve">- </w:t>
          </w:r>
          <w:r w:rsidRPr="00691BC4">
            <w:t xml:space="preserve">Seqirus Pty Ltd </w:t>
          </w:r>
          <w:r>
            <w:t xml:space="preserve">- </w:t>
          </w:r>
          <w:r w:rsidRPr="00691BC4">
            <w:t>PM-2020-05368-1-2</w:t>
          </w:r>
          <w:r>
            <w:br/>
          </w:r>
          <w:r w:rsidR="004E10BE">
            <w:t>Final 1</w:t>
          </w:r>
          <w:r w:rsidR="00B63A64">
            <w:t>8</w:t>
          </w:r>
          <w:r w:rsidR="004E10BE">
            <w:t xml:space="preserve"> November</w:t>
          </w:r>
          <w:r>
            <w:t xml:space="preserve"> 2022</w:t>
          </w:r>
        </w:p>
      </w:tc>
      <w:tc>
        <w:tcPr>
          <w:tcW w:w="1490" w:type="dxa"/>
          <w:tcMar>
            <w:top w:w="142" w:type="dxa"/>
            <w:bottom w:w="0" w:type="dxa"/>
          </w:tcMar>
        </w:tcPr>
        <w:p w14:paraId="62CB0258" w14:textId="62A83E49" w:rsidR="001539F2" w:rsidRPr="00487162" w:rsidRDefault="001539F2" w:rsidP="00DB750B">
          <w:pPr>
            <w:pStyle w:val="Footer"/>
            <w:jc w:val="right"/>
          </w:pPr>
          <w:r w:rsidRPr="00487162">
            <w:t xml:space="preserve">Page </w:t>
          </w:r>
          <w:r>
            <w:rPr>
              <w:color w:val="2B579A"/>
              <w:shd w:val="clear" w:color="auto" w:fill="E6E6E6"/>
            </w:rPr>
            <w:fldChar w:fldCharType="begin"/>
          </w:r>
          <w:r>
            <w:instrText xml:space="preserve"> PAGE  \* Arabic </w:instrText>
          </w:r>
          <w:r>
            <w:rPr>
              <w:color w:val="2B579A"/>
              <w:shd w:val="clear" w:color="auto" w:fill="E6E6E6"/>
            </w:rPr>
            <w:fldChar w:fldCharType="separate"/>
          </w:r>
          <w:r w:rsidR="006A5FB7">
            <w:rPr>
              <w:noProof/>
            </w:rPr>
            <w:t>39</w:t>
          </w:r>
          <w:r>
            <w:rPr>
              <w:color w:val="2B579A"/>
              <w:shd w:val="clear" w:color="auto" w:fill="E6E6E6"/>
            </w:rPr>
            <w:fldChar w:fldCharType="end"/>
          </w:r>
          <w:r w:rsidRPr="00487162">
            <w:t xml:space="preserve"> of </w:t>
          </w:r>
          <w:r>
            <w:rPr>
              <w:noProof/>
              <w:color w:val="2B579A"/>
              <w:shd w:val="clear" w:color="auto" w:fill="E6E6E6"/>
            </w:rPr>
            <w:fldChar w:fldCharType="begin"/>
          </w:r>
          <w:r>
            <w:rPr>
              <w:noProof/>
            </w:rPr>
            <w:instrText xml:space="preserve"> NUMPAGES  \* Arabic </w:instrText>
          </w:r>
          <w:r>
            <w:rPr>
              <w:noProof/>
              <w:color w:val="2B579A"/>
              <w:shd w:val="clear" w:color="auto" w:fill="E6E6E6"/>
            </w:rPr>
            <w:fldChar w:fldCharType="separate"/>
          </w:r>
          <w:r w:rsidR="006A5FB7">
            <w:rPr>
              <w:noProof/>
            </w:rPr>
            <w:t>40</w:t>
          </w:r>
          <w:r>
            <w:rPr>
              <w:noProof/>
              <w:color w:val="2B579A"/>
              <w:shd w:val="clear" w:color="auto" w:fill="E6E6E6"/>
            </w:rPr>
            <w:fldChar w:fldCharType="end"/>
          </w:r>
        </w:p>
      </w:tc>
    </w:tr>
  </w:tbl>
  <w:p w14:paraId="446AA49E" w14:textId="77777777" w:rsidR="001539F2" w:rsidRDefault="001539F2"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539F2" w:rsidRPr="00487162" w14:paraId="6992C3C3" w14:textId="77777777" w:rsidTr="00E45619">
      <w:trPr>
        <w:trHeight w:val="269"/>
      </w:trPr>
      <w:tc>
        <w:tcPr>
          <w:tcW w:w="4519" w:type="dxa"/>
          <w:tcBorders>
            <w:top w:val="single" w:sz="4" w:space="0" w:color="auto"/>
          </w:tcBorders>
          <w:tcMar>
            <w:top w:w="142" w:type="dxa"/>
            <w:bottom w:w="0" w:type="dxa"/>
          </w:tcMar>
        </w:tcPr>
        <w:p w14:paraId="0B8A52EB" w14:textId="77777777" w:rsidR="001539F2" w:rsidRPr="00487162" w:rsidRDefault="001539F2" w:rsidP="00FE1DEE">
          <w:pPr>
            <w:pStyle w:val="Footer"/>
          </w:pPr>
          <w:r w:rsidRPr="00487162">
            <w:t>Document title, Part #, Section # - Section title</w:t>
          </w:r>
        </w:p>
        <w:p w14:paraId="549BAE54" w14:textId="77777777" w:rsidR="001539F2" w:rsidRPr="00487162" w:rsidRDefault="001539F2" w:rsidP="00FE1DEE">
          <w:pPr>
            <w:pStyle w:val="Footer"/>
          </w:pPr>
          <w:r w:rsidRPr="00487162">
            <w:t>V1.0 October 2010</w:t>
          </w:r>
        </w:p>
      </w:tc>
      <w:tc>
        <w:tcPr>
          <w:tcW w:w="4342" w:type="dxa"/>
          <w:tcBorders>
            <w:top w:val="single" w:sz="4" w:space="0" w:color="auto"/>
          </w:tcBorders>
          <w:tcMar>
            <w:top w:w="142" w:type="dxa"/>
            <w:bottom w:w="0" w:type="dxa"/>
          </w:tcMar>
        </w:tcPr>
        <w:p w14:paraId="737BA5C1" w14:textId="77777777" w:rsidR="001539F2" w:rsidRPr="00487162" w:rsidRDefault="001539F2"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noProof/>
              <w:color w:val="2B579A"/>
              <w:shd w:val="clear" w:color="auto" w:fill="E6E6E6"/>
            </w:rPr>
            <w:fldChar w:fldCharType="end"/>
          </w:r>
          <w:r w:rsidRPr="00487162">
            <w:t xml:space="preserve"> of </w:t>
          </w:r>
          <w:r>
            <w:rPr>
              <w:noProof/>
              <w:color w:val="2B579A"/>
              <w:shd w:val="clear" w:color="auto" w:fill="E6E6E6"/>
            </w:rPr>
            <w:fldChar w:fldCharType="begin"/>
          </w:r>
          <w:r>
            <w:rPr>
              <w:noProof/>
            </w:rPr>
            <w:instrText xml:space="preserve"> NUMPAGES  </w:instrText>
          </w:r>
          <w:r>
            <w:rPr>
              <w:noProof/>
              <w:color w:val="2B579A"/>
              <w:shd w:val="clear" w:color="auto" w:fill="E6E6E6"/>
            </w:rPr>
            <w:fldChar w:fldCharType="separate"/>
          </w:r>
          <w:r>
            <w:rPr>
              <w:noProof/>
            </w:rPr>
            <w:t>21</w:t>
          </w:r>
          <w:r>
            <w:rPr>
              <w:noProof/>
              <w:color w:val="2B579A"/>
              <w:shd w:val="clear" w:color="auto" w:fill="E6E6E6"/>
            </w:rPr>
            <w:fldChar w:fldCharType="end"/>
          </w:r>
        </w:p>
      </w:tc>
    </w:tr>
  </w:tbl>
  <w:p w14:paraId="3E6D0A59" w14:textId="77777777" w:rsidR="001539F2" w:rsidRDefault="001539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CDC8" w14:textId="77777777" w:rsidR="001539F2" w:rsidRPr="001C32CD" w:rsidRDefault="001539F2"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539F2" w14:paraId="7117EF76" w14:textId="77777777" w:rsidTr="0010601F">
      <w:trPr>
        <w:trHeight w:val="108"/>
      </w:trPr>
      <w:tc>
        <w:tcPr>
          <w:tcW w:w="8875" w:type="dxa"/>
          <w:gridSpan w:val="2"/>
          <w:tcBorders>
            <w:bottom w:val="single" w:sz="4" w:space="0" w:color="auto"/>
          </w:tcBorders>
          <w:tcMar>
            <w:right w:w="284" w:type="dxa"/>
          </w:tcMar>
        </w:tcPr>
        <w:p w14:paraId="5FF657E7" w14:textId="77777777" w:rsidR="001539F2" w:rsidRDefault="001539F2" w:rsidP="006E08B3">
          <w:pPr>
            <w:pStyle w:val="Heading3"/>
          </w:pPr>
          <w:r>
            <w:t>Copyright</w:t>
          </w:r>
        </w:p>
        <w:p w14:paraId="08971FA6" w14:textId="77777777" w:rsidR="001539F2" w:rsidRDefault="001539F2" w:rsidP="006E08B3">
          <w:r>
            <w:rPr>
              <w:rFonts w:cs="Arial"/>
            </w:rPr>
            <w:t>©</w:t>
          </w:r>
          <w:r>
            <w:t xml:space="preserve"> Commonwealth of Australia [add year]</w:t>
          </w:r>
        </w:p>
        <w:p w14:paraId="28A5D7E8" w14:textId="77777777" w:rsidR="001539F2" w:rsidRDefault="001539F2" w:rsidP="006E08B3"/>
        <w:p w14:paraId="7D58A663" w14:textId="77777777" w:rsidR="001539F2" w:rsidRDefault="001539F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CF40C44" w14:textId="77777777" w:rsidR="001539F2" w:rsidRDefault="001539F2" w:rsidP="006E08B3"/>
        <w:p w14:paraId="4987608C" w14:textId="77777777" w:rsidR="001539F2" w:rsidRDefault="001539F2" w:rsidP="006E08B3">
          <w:pPr>
            <w:pStyle w:val="Heading3"/>
          </w:pPr>
          <w:r>
            <w:t>Confidentiality</w:t>
          </w:r>
        </w:p>
        <w:p w14:paraId="698FBE83" w14:textId="77777777" w:rsidR="001539F2" w:rsidRDefault="001539F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A8C97C2" w14:textId="77777777" w:rsidR="001539F2" w:rsidRDefault="001539F2" w:rsidP="006E08B3"/>
        <w:p w14:paraId="0EA6C419" w14:textId="77777777" w:rsidR="001539F2" w:rsidRDefault="001539F2" w:rsidP="006E08B3">
          <w:r>
            <w:t>For submission made by individuals, all personal details, other than your name, will be removed from your submission before it is published on the TGA’s Internet site.</w:t>
          </w:r>
        </w:p>
        <w:p w14:paraId="2EBDA5A9" w14:textId="77777777" w:rsidR="001539F2" w:rsidRDefault="001539F2" w:rsidP="006E08B3"/>
        <w:p w14:paraId="3C890F2C" w14:textId="77777777" w:rsidR="001539F2" w:rsidRDefault="001539F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539F2" w14:paraId="0AFE7A5C" w14:textId="77777777" w:rsidTr="0010601F">
      <w:trPr>
        <w:trHeight w:val="417"/>
      </w:trPr>
      <w:tc>
        <w:tcPr>
          <w:tcW w:w="4519" w:type="dxa"/>
          <w:tcBorders>
            <w:top w:val="single" w:sz="4" w:space="0" w:color="auto"/>
          </w:tcBorders>
          <w:tcMar>
            <w:top w:w="142" w:type="dxa"/>
            <w:bottom w:w="0" w:type="dxa"/>
          </w:tcMar>
        </w:tcPr>
        <w:p w14:paraId="3E4A71F6" w14:textId="77777777" w:rsidR="001539F2" w:rsidRDefault="001539F2" w:rsidP="006E08B3">
          <w:r>
            <w:t>Document title, Part #, Section # - Section title</w:t>
          </w:r>
        </w:p>
        <w:p w14:paraId="4902BA04" w14:textId="77777777" w:rsidR="001539F2" w:rsidRDefault="001539F2" w:rsidP="006E08B3">
          <w:r>
            <w:t>V1.0 October 2010</w:t>
          </w:r>
        </w:p>
      </w:tc>
      <w:tc>
        <w:tcPr>
          <w:tcW w:w="4356" w:type="dxa"/>
          <w:tcBorders>
            <w:top w:val="single" w:sz="4" w:space="0" w:color="auto"/>
          </w:tcBorders>
          <w:tcMar>
            <w:top w:w="142" w:type="dxa"/>
            <w:bottom w:w="0" w:type="dxa"/>
          </w:tcMar>
        </w:tcPr>
        <w:p w14:paraId="08A70885" w14:textId="77777777" w:rsidR="001539F2" w:rsidRDefault="001539F2"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r>
            <w:t xml:space="preserve"> of </w:t>
          </w:r>
          <w:r>
            <w:rPr>
              <w:noProof/>
              <w:color w:val="2B579A"/>
              <w:shd w:val="clear" w:color="auto" w:fill="E6E6E6"/>
            </w:rPr>
            <w:fldChar w:fldCharType="begin"/>
          </w:r>
          <w:r>
            <w:rPr>
              <w:noProof/>
            </w:rPr>
            <w:instrText xml:space="preserve"> NUMPAGES  \* Arabic </w:instrText>
          </w:r>
          <w:r>
            <w:rPr>
              <w:noProof/>
              <w:color w:val="2B579A"/>
              <w:shd w:val="clear" w:color="auto" w:fill="E6E6E6"/>
            </w:rPr>
            <w:fldChar w:fldCharType="separate"/>
          </w:r>
          <w:r>
            <w:rPr>
              <w:noProof/>
            </w:rPr>
            <w:t>21</w:t>
          </w:r>
          <w:r>
            <w:rPr>
              <w:noProof/>
              <w:color w:val="2B579A"/>
              <w:shd w:val="clear" w:color="auto" w:fill="E6E6E6"/>
            </w:rPr>
            <w:fldChar w:fldCharType="end"/>
          </w:r>
          <w:r>
            <w:t xml:space="preserve">  </w:t>
          </w:r>
        </w:p>
      </w:tc>
    </w:tr>
  </w:tbl>
  <w:p w14:paraId="5FA8DD0F" w14:textId="77777777" w:rsidR="001539F2" w:rsidRDefault="001539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A7EE" w14:textId="77777777" w:rsidR="001539F2" w:rsidRDefault="001539F2" w:rsidP="00C40A36">
      <w:pPr>
        <w:spacing w:after="0"/>
      </w:pPr>
      <w:r>
        <w:separator/>
      </w:r>
    </w:p>
  </w:footnote>
  <w:footnote w:type="continuationSeparator" w:id="0">
    <w:p w14:paraId="15FFE4C3" w14:textId="77777777" w:rsidR="001539F2" w:rsidRDefault="001539F2" w:rsidP="00C40A36">
      <w:pPr>
        <w:spacing w:after="0"/>
      </w:pPr>
      <w:r>
        <w:continuationSeparator/>
      </w:r>
    </w:p>
  </w:footnote>
  <w:footnote w:type="continuationNotice" w:id="1">
    <w:p w14:paraId="01A7BD6F" w14:textId="77777777" w:rsidR="001539F2" w:rsidRDefault="001539F2">
      <w:pPr>
        <w:spacing w:before="0" w:after="0" w:line="240" w:lineRule="auto"/>
      </w:pPr>
    </w:p>
  </w:footnote>
  <w:footnote w:id="2">
    <w:p w14:paraId="3AF4A109" w14:textId="77777777" w:rsidR="001539F2" w:rsidRDefault="001539F2">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4C35E199" w14:textId="293DD3C1" w:rsidR="001539F2" w:rsidRDefault="001539F2" w:rsidP="00A25FD0">
      <w:pPr>
        <w:pStyle w:val="FootnoteText"/>
      </w:pPr>
      <w:r>
        <w:rPr>
          <w:rStyle w:val="FootnoteReference"/>
        </w:rPr>
        <w:footnoteRef/>
      </w:r>
      <w:r>
        <w:t xml:space="preserve"> World Health Organization (WHO),</w:t>
      </w:r>
      <w:r w:rsidRPr="00AB11C2">
        <w:t xml:space="preserve"> Influenza (Seasonal)</w:t>
      </w:r>
      <w:r>
        <w:t xml:space="preserve">, last updated </w:t>
      </w:r>
      <w:r w:rsidRPr="00AB11C2">
        <w:t>6 November 2018</w:t>
      </w:r>
      <w:r>
        <w:t xml:space="preserve">. Available at: </w:t>
      </w:r>
      <w:hyperlink r:id="rId1" w:history="1">
        <w:r w:rsidRPr="00B8494C">
          <w:rPr>
            <w:rStyle w:val="Hyperlink"/>
          </w:rPr>
          <w:t>https://www.who.int/en/news-room/fact-sheets/detail/influenza-(seasonal)</w:t>
        </w:r>
      </w:hyperlink>
      <w:r>
        <w:t>.</w:t>
      </w:r>
    </w:p>
  </w:footnote>
  <w:footnote w:id="4">
    <w:p w14:paraId="4A1C8253" w14:textId="43F163D0" w:rsidR="001539F2" w:rsidRDefault="001539F2" w:rsidP="00A25FD0">
      <w:pPr>
        <w:pStyle w:val="FootnoteText"/>
      </w:pPr>
      <w:r>
        <w:rPr>
          <w:rStyle w:val="FootnoteReference"/>
        </w:rPr>
        <w:footnoteRef/>
      </w:r>
      <w:r>
        <w:t xml:space="preserve"> World Health Organization (WHO)</w:t>
      </w:r>
      <w:r w:rsidRPr="00AB11C2">
        <w:t xml:space="preserve"> </w:t>
      </w:r>
      <w:r>
        <w:t xml:space="preserve">Regional office for Europe, </w:t>
      </w:r>
      <w:r w:rsidRPr="00AB11C2">
        <w:t>How Pandemic Influenza Emerges</w:t>
      </w:r>
      <w:r>
        <w:t xml:space="preserve">, 2022. Available at: </w:t>
      </w:r>
      <w:hyperlink r:id="rId2" w:history="1">
        <w:r w:rsidRPr="00B8494C">
          <w:rPr>
            <w:rStyle w:val="Hyperlink"/>
          </w:rPr>
          <w:t>https://www.euro.who.int/en/health-topics/communicable-diseases/influenza/pandemic-influenza/how-pandemic-influenza-emerges</w:t>
        </w:r>
      </w:hyperlink>
      <w:r w:rsidR="00AF18E5">
        <w:t>.</w:t>
      </w:r>
    </w:p>
  </w:footnote>
  <w:footnote w:id="5">
    <w:p w14:paraId="4AF2AA03" w14:textId="15E118B2" w:rsidR="00C44A49" w:rsidRDefault="00C44A49">
      <w:pPr>
        <w:pStyle w:val="FootnoteText"/>
      </w:pPr>
      <w:r>
        <w:rPr>
          <w:rStyle w:val="FootnoteReference"/>
        </w:rPr>
        <w:footnoteRef/>
      </w:r>
      <w:r>
        <w:t xml:space="preserve"> </w:t>
      </w:r>
      <w:r w:rsidRPr="00C44A49">
        <w:t>The Australian Influenza Vaccine Committee (AIVC) provides advice to the TGA on the composition of the seasonal influenza vaccine to be supplied each year in Australia.</w:t>
      </w:r>
      <w:r>
        <w:t xml:space="preserve"> For further details, please refer to:</w:t>
      </w:r>
      <w:r w:rsidRPr="00C44A49">
        <w:t xml:space="preserve"> </w:t>
      </w:r>
      <w:hyperlink r:id="rId3" w:history="1">
        <w:r w:rsidRPr="009B5592">
          <w:rPr>
            <w:rStyle w:val="Hyperlink"/>
          </w:rPr>
          <w:t>https://www.tga.gov.au/about-tga/advisory-bodies-and-committees/australian-influenza-vaccine-committee-aivc</w:t>
        </w:r>
      </w:hyperlink>
      <w:r>
        <w:t>.</w:t>
      </w:r>
    </w:p>
  </w:footnote>
  <w:footnote w:id="6">
    <w:p w14:paraId="42C07887" w14:textId="366A6C68" w:rsidR="001539F2" w:rsidRDefault="001539F2" w:rsidP="00A25FD0">
      <w:pPr>
        <w:pStyle w:val="FootnoteText"/>
      </w:pPr>
      <w:r>
        <w:rPr>
          <w:rStyle w:val="FootnoteReference"/>
        </w:rPr>
        <w:footnoteRef/>
      </w:r>
      <w:r>
        <w:t xml:space="preserve"> </w:t>
      </w:r>
      <w:r w:rsidRPr="00306348">
        <w:t>Australian Institute of Health and Welfare</w:t>
      </w:r>
      <w:r>
        <w:t xml:space="preserve"> (AIHW) </w:t>
      </w:r>
      <w:r w:rsidRPr="00306348">
        <w:t>Influenza in Australia</w:t>
      </w:r>
      <w:r>
        <w:t xml:space="preserve">, 2018. Available at: </w:t>
      </w:r>
      <w:hyperlink r:id="rId4" w:history="1">
        <w:r w:rsidRPr="00B8494C">
          <w:rPr>
            <w:rStyle w:val="Hyperlink"/>
          </w:rPr>
          <w:t>https://www.aihw.gov.au/getmedia/2623df7f-794f-4712-94e4-65442323784e/aihw-phe-236_Influenza.pdf.aspx</w:t>
        </w:r>
      </w:hyperlink>
      <w:r w:rsidR="00AF18E5">
        <w:t>.</w:t>
      </w:r>
    </w:p>
  </w:footnote>
  <w:footnote w:id="7">
    <w:p w14:paraId="13F47BB0" w14:textId="6C80B524" w:rsidR="00C44A49" w:rsidRDefault="00C44A49">
      <w:pPr>
        <w:pStyle w:val="FootnoteText"/>
      </w:pPr>
      <w:r>
        <w:rPr>
          <w:rStyle w:val="FootnoteReference"/>
        </w:rPr>
        <w:footnoteRef/>
      </w:r>
      <w:r>
        <w:t xml:space="preserve"> </w:t>
      </w:r>
      <w:r w:rsidRPr="00C44A49">
        <w:t>The National Immunisation Program</w:t>
      </w:r>
      <w:r>
        <w:t xml:space="preserve"> (NIP)</w:t>
      </w:r>
      <w:r w:rsidRPr="00C44A49">
        <w:t xml:space="preserve"> provides free vaccines to eligible people to help reduce diseases that can be prevented by vaccination</w:t>
      </w:r>
      <w:r>
        <w:t>.</w:t>
      </w:r>
      <w:r w:rsidRPr="00C44A49">
        <w:t xml:space="preserve"> For further details, please refer to:</w:t>
      </w:r>
      <w:r>
        <w:t xml:space="preserve"> </w:t>
      </w:r>
      <w:hyperlink r:id="rId5" w:history="1">
        <w:r w:rsidRPr="009B5592">
          <w:rPr>
            <w:rStyle w:val="Hyperlink"/>
          </w:rPr>
          <w:t>https://www.health.gov.au/initiatives-and-programs/national-immunisation-program</w:t>
        </w:r>
      </w:hyperlink>
      <w:r>
        <w:t>.</w:t>
      </w:r>
    </w:p>
  </w:footnote>
  <w:footnote w:id="8">
    <w:p w14:paraId="1AC247BC" w14:textId="4A8358E2" w:rsidR="001539F2" w:rsidRDefault="001539F2" w:rsidP="00A25FD0">
      <w:pPr>
        <w:pStyle w:val="FootnoteText"/>
      </w:pPr>
      <w:r>
        <w:rPr>
          <w:rStyle w:val="FootnoteReference"/>
        </w:rPr>
        <w:footnoteRef/>
      </w:r>
      <w:r>
        <w:t xml:space="preserve"> Australian Government Department of Health, </w:t>
      </w:r>
      <w:r w:rsidRPr="00AA2190">
        <w:t>National Immunisation Program Schedule</w:t>
      </w:r>
      <w:r>
        <w:t xml:space="preserve">, last updated </w:t>
      </w:r>
      <w:r w:rsidRPr="00AA2190">
        <w:t>14</w:t>
      </w:r>
      <w:r w:rsidR="00F97DD8">
        <w:t> </w:t>
      </w:r>
      <w:r w:rsidRPr="00AA2190">
        <w:t>January 2022</w:t>
      </w:r>
      <w:r>
        <w:t xml:space="preserve">. Available at: </w:t>
      </w:r>
      <w:hyperlink r:id="rId6" w:anchor="flu-influenza-vaccines" w:history="1">
        <w:r w:rsidRPr="00B8494C">
          <w:rPr>
            <w:rStyle w:val="Hyperlink"/>
          </w:rPr>
          <w:t>https://www.health.gov.au/health-topics/immunisation/immunisation-throughout-life/national-immunisation-program-schedule#flu-influenza-vaccines</w:t>
        </w:r>
      </w:hyperlink>
      <w:r w:rsidR="00AF18E5">
        <w:t>.</w:t>
      </w:r>
    </w:p>
  </w:footnote>
  <w:footnote w:id="9">
    <w:p w14:paraId="4114D710" w14:textId="03D7F1B9" w:rsidR="001539F2" w:rsidRDefault="001539F2">
      <w:pPr>
        <w:pStyle w:val="FootnoteText"/>
      </w:pPr>
      <w:r>
        <w:rPr>
          <w:rStyle w:val="FootnoteReference"/>
        </w:rPr>
        <w:footnoteRef/>
      </w:r>
      <w:r>
        <w:t xml:space="preserve"> </w:t>
      </w:r>
      <w:r w:rsidRPr="00077E4A">
        <w:t xml:space="preserve">Fluarix Tetra </w:t>
      </w:r>
      <w:r>
        <w:t xml:space="preserve">was first registered on the ARTG on </w:t>
      </w:r>
      <w:r w:rsidRPr="00077E4A">
        <w:t>28</w:t>
      </w:r>
      <w:r>
        <w:t xml:space="preserve"> August </w:t>
      </w:r>
      <w:r w:rsidRPr="00077E4A">
        <w:t xml:space="preserve">2013 </w:t>
      </w:r>
      <w:r>
        <w:t>(ARTG number: 200674).</w:t>
      </w:r>
    </w:p>
  </w:footnote>
  <w:footnote w:id="10">
    <w:p w14:paraId="227CDC17" w14:textId="5A7F86D1" w:rsidR="001539F2" w:rsidRDefault="001539F2">
      <w:pPr>
        <w:pStyle w:val="FootnoteText"/>
      </w:pPr>
      <w:r>
        <w:rPr>
          <w:rStyle w:val="FootnoteReference"/>
        </w:rPr>
        <w:footnoteRef/>
      </w:r>
      <w:r>
        <w:t xml:space="preserve"> </w:t>
      </w:r>
      <w:r w:rsidRPr="00077E4A">
        <w:t>Afluria Quad</w:t>
      </w:r>
      <w:r>
        <w:t xml:space="preserve"> </w:t>
      </w:r>
      <w:r w:rsidRPr="00FE2C7E">
        <w:t xml:space="preserve">was first registered on the ARTG on </w:t>
      </w:r>
      <w:r>
        <w:t>22 July 2016</w:t>
      </w:r>
      <w:r w:rsidRPr="00FE2C7E">
        <w:t xml:space="preserve"> (ARTG number: </w:t>
      </w:r>
      <w:r w:rsidRPr="00077E4A">
        <w:t>262428</w:t>
      </w:r>
      <w:r>
        <w:t>).</w:t>
      </w:r>
    </w:p>
  </w:footnote>
  <w:footnote w:id="11">
    <w:p w14:paraId="0FCBA3E6" w14:textId="2A89E878" w:rsidR="001539F2" w:rsidRDefault="001539F2">
      <w:pPr>
        <w:pStyle w:val="FootnoteText"/>
      </w:pPr>
      <w:r>
        <w:rPr>
          <w:rStyle w:val="FootnoteReference"/>
        </w:rPr>
        <w:footnoteRef/>
      </w:r>
      <w:r>
        <w:t xml:space="preserve"> </w:t>
      </w:r>
      <w:proofErr w:type="spellStart"/>
      <w:r w:rsidRPr="00077E4A">
        <w:t>Fluad</w:t>
      </w:r>
      <w:proofErr w:type="spellEnd"/>
      <w:r w:rsidRPr="00077E4A">
        <w:t xml:space="preserve"> Quad</w:t>
      </w:r>
      <w:r>
        <w:t xml:space="preserve"> </w:t>
      </w:r>
      <w:r w:rsidRPr="00FE2C7E">
        <w:t xml:space="preserve">was first registered on the ARTG on </w:t>
      </w:r>
      <w:r w:rsidRPr="00077E4A">
        <w:t>1</w:t>
      </w:r>
      <w:r>
        <w:t xml:space="preserve"> October </w:t>
      </w:r>
      <w:r w:rsidRPr="00077E4A">
        <w:t>2019</w:t>
      </w:r>
      <w:r>
        <w:t xml:space="preserve"> </w:t>
      </w:r>
      <w:r w:rsidRPr="00FE2C7E">
        <w:t xml:space="preserve">(ARTG number: </w:t>
      </w:r>
      <w:r w:rsidRPr="00077E4A">
        <w:t>316323</w:t>
      </w:r>
      <w:r>
        <w:t xml:space="preserve"> and 313724).</w:t>
      </w:r>
    </w:p>
  </w:footnote>
  <w:footnote w:id="12">
    <w:p w14:paraId="6B7D90B6" w14:textId="5282E3D7" w:rsidR="001539F2" w:rsidRDefault="001539F2">
      <w:pPr>
        <w:pStyle w:val="FootnoteText"/>
      </w:pPr>
      <w:r>
        <w:rPr>
          <w:rStyle w:val="FootnoteReference"/>
        </w:rPr>
        <w:footnoteRef/>
      </w:r>
      <w:r>
        <w:t xml:space="preserve"> </w:t>
      </w:r>
      <w:proofErr w:type="spellStart"/>
      <w:r w:rsidRPr="00C02769">
        <w:t>Influvac</w:t>
      </w:r>
      <w:proofErr w:type="spellEnd"/>
      <w:r w:rsidRPr="00C02769">
        <w:t xml:space="preserve"> Tetra</w:t>
      </w:r>
      <w:r>
        <w:t xml:space="preserve"> </w:t>
      </w:r>
      <w:r w:rsidRPr="00FE2C7E">
        <w:t xml:space="preserve">was first registered on the ARTG on </w:t>
      </w:r>
      <w:r w:rsidRPr="00C02769">
        <w:t>2</w:t>
      </w:r>
      <w:r>
        <w:t xml:space="preserve"> November </w:t>
      </w:r>
      <w:r w:rsidRPr="00C02769">
        <w:t>2017</w:t>
      </w:r>
      <w:r>
        <w:t xml:space="preserve"> </w:t>
      </w:r>
      <w:r w:rsidRPr="00FE2C7E">
        <w:t xml:space="preserve">(ARTG number: </w:t>
      </w:r>
      <w:r w:rsidRPr="00C02769">
        <w:t>281035</w:t>
      </w:r>
      <w:r>
        <w:t xml:space="preserve">, </w:t>
      </w:r>
      <w:r w:rsidRPr="00C02769">
        <w:t xml:space="preserve">292237 </w:t>
      </w:r>
      <w:r>
        <w:t xml:space="preserve">and </w:t>
      </w:r>
      <w:r w:rsidRPr="00C02769">
        <w:t>292238</w:t>
      </w:r>
      <w:r>
        <w:t>).</w:t>
      </w:r>
    </w:p>
  </w:footnote>
  <w:footnote w:id="13">
    <w:p w14:paraId="54BF2196" w14:textId="3CF010C4" w:rsidR="001539F2" w:rsidRDefault="001539F2">
      <w:pPr>
        <w:pStyle w:val="FootnoteText"/>
      </w:pPr>
      <w:r>
        <w:rPr>
          <w:rStyle w:val="FootnoteReference"/>
        </w:rPr>
        <w:footnoteRef/>
      </w:r>
      <w:r>
        <w:t xml:space="preserve"> </w:t>
      </w:r>
      <w:proofErr w:type="spellStart"/>
      <w:r w:rsidRPr="00C02769">
        <w:t>FluQuadri</w:t>
      </w:r>
      <w:proofErr w:type="spellEnd"/>
      <w:r>
        <w:t xml:space="preserve"> </w:t>
      </w:r>
      <w:r w:rsidRPr="00FE2C7E">
        <w:t xml:space="preserve">was first registered on the ARTG on </w:t>
      </w:r>
      <w:r w:rsidRPr="00C02769">
        <w:t>2</w:t>
      </w:r>
      <w:r>
        <w:t xml:space="preserve"> December </w:t>
      </w:r>
      <w:r w:rsidRPr="00C02769">
        <w:t>2014</w:t>
      </w:r>
      <w:r>
        <w:t xml:space="preserve"> </w:t>
      </w:r>
      <w:r w:rsidRPr="00FE2C7E">
        <w:t xml:space="preserve">(ARTG number: </w:t>
      </w:r>
      <w:r w:rsidRPr="00C02769">
        <w:t>213963</w:t>
      </w:r>
      <w:r>
        <w:t>).</w:t>
      </w:r>
    </w:p>
  </w:footnote>
  <w:footnote w:id="14">
    <w:p w14:paraId="2A553865" w14:textId="777FCAC3" w:rsidR="001539F2" w:rsidRDefault="001539F2">
      <w:pPr>
        <w:pStyle w:val="FootnoteText"/>
      </w:pPr>
      <w:r>
        <w:rPr>
          <w:rStyle w:val="FootnoteReference"/>
        </w:rPr>
        <w:footnoteRef/>
      </w:r>
      <w:r>
        <w:t xml:space="preserve"> </w:t>
      </w:r>
      <w:proofErr w:type="spellStart"/>
      <w:r w:rsidRPr="00C02769">
        <w:t>Vaxigrip</w:t>
      </w:r>
      <w:proofErr w:type="spellEnd"/>
      <w:r w:rsidRPr="00C02769">
        <w:t xml:space="preserve"> Tetra</w:t>
      </w:r>
      <w:r>
        <w:t xml:space="preserve"> </w:t>
      </w:r>
      <w:r w:rsidRPr="00FE2C7E">
        <w:t xml:space="preserve">was first registered on the ARTG on </w:t>
      </w:r>
      <w:r w:rsidRPr="00C02769">
        <w:t>20</w:t>
      </w:r>
      <w:r>
        <w:t xml:space="preserve"> May </w:t>
      </w:r>
      <w:r w:rsidRPr="00C02769">
        <w:t>2019</w:t>
      </w:r>
      <w:r>
        <w:t xml:space="preserve"> </w:t>
      </w:r>
      <w:r w:rsidRPr="00FE2C7E">
        <w:t xml:space="preserve">(ARTG number: </w:t>
      </w:r>
      <w:r w:rsidRPr="00C02769">
        <w:t>299922</w:t>
      </w:r>
      <w:r>
        <w:t xml:space="preserve"> and </w:t>
      </w:r>
      <w:r w:rsidRPr="00C02769">
        <w:t>315082</w:t>
      </w:r>
      <w:r>
        <w:t>).</w:t>
      </w:r>
    </w:p>
  </w:footnote>
  <w:footnote w:id="15">
    <w:p w14:paraId="2A46BCAF" w14:textId="1F4A270F" w:rsidR="001539F2" w:rsidRDefault="001539F2" w:rsidP="00A25FD0">
      <w:pPr>
        <w:pStyle w:val="FootnoteText"/>
      </w:pPr>
      <w:r>
        <w:rPr>
          <w:rStyle w:val="FootnoteReference"/>
        </w:rPr>
        <w:footnoteRef/>
      </w:r>
      <w:r>
        <w:t xml:space="preserve"> </w:t>
      </w:r>
      <w:r w:rsidRPr="008568A6">
        <w:t>Hegde</w:t>
      </w:r>
      <w:r>
        <w:t>,</w:t>
      </w:r>
      <w:r w:rsidRPr="008568A6">
        <w:t xml:space="preserve"> N</w:t>
      </w:r>
      <w:r>
        <w:t>.</w:t>
      </w:r>
      <w:r w:rsidRPr="008568A6">
        <w:t xml:space="preserve">R. Cell Culture-Based Influenza Vaccines: </w:t>
      </w:r>
      <w:r>
        <w:t>A</w:t>
      </w:r>
      <w:r w:rsidRPr="008568A6">
        <w:t xml:space="preserve"> Necessary </w:t>
      </w:r>
      <w:r>
        <w:t>a</w:t>
      </w:r>
      <w:r w:rsidRPr="008568A6">
        <w:t xml:space="preserve">nd Indispensable Investment </w:t>
      </w:r>
      <w:r>
        <w:t>f</w:t>
      </w:r>
      <w:r w:rsidRPr="008568A6">
        <w:t xml:space="preserve">or </w:t>
      </w:r>
      <w:r>
        <w:t>t</w:t>
      </w:r>
      <w:r w:rsidRPr="008568A6">
        <w:t>he Future</w:t>
      </w:r>
      <w:r>
        <w:t>,</w:t>
      </w:r>
      <w:r w:rsidRPr="008568A6">
        <w:t xml:space="preserve"> </w:t>
      </w:r>
      <w:r w:rsidRPr="00AA2190">
        <w:rPr>
          <w:i/>
          <w:iCs/>
        </w:rPr>
        <w:t xml:space="preserve">Hum </w:t>
      </w:r>
      <w:proofErr w:type="spellStart"/>
      <w:r w:rsidRPr="00AA2190">
        <w:rPr>
          <w:i/>
          <w:iCs/>
        </w:rPr>
        <w:t>Vaccin</w:t>
      </w:r>
      <w:proofErr w:type="spellEnd"/>
      <w:r w:rsidRPr="00AA2190">
        <w:rPr>
          <w:i/>
          <w:iCs/>
        </w:rPr>
        <w:t xml:space="preserve"> </w:t>
      </w:r>
      <w:proofErr w:type="spellStart"/>
      <w:r w:rsidRPr="00AA2190">
        <w:rPr>
          <w:i/>
          <w:iCs/>
        </w:rPr>
        <w:t>Immunother</w:t>
      </w:r>
      <w:proofErr w:type="spellEnd"/>
      <w:r>
        <w:t>,</w:t>
      </w:r>
      <w:r w:rsidRPr="008568A6">
        <w:t xml:space="preserve"> 2015;</w:t>
      </w:r>
      <w:r>
        <w:t xml:space="preserve"> </w:t>
      </w:r>
      <w:r w:rsidRPr="008568A6">
        <w:t>11(5):</w:t>
      </w:r>
      <w:r>
        <w:t xml:space="preserve"> </w:t>
      </w:r>
      <w:r w:rsidRPr="008568A6">
        <w:t>1223-</w:t>
      </w:r>
      <w:r>
        <w:t>12</w:t>
      </w:r>
      <w:r w:rsidRPr="008568A6">
        <w:t>34.</w:t>
      </w:r>
    </w:p>
  </w:footnote>
  <w:footnote w:id="16">
    <w:p w14:paraId="00583647" w14:textId="54D38737" w:rsidR="0069140C" w:rsidRPr="00C314C7" w:rsidRDefault="0069140C">
      <w:pPr>
        <w:pStyle w:val="FootnoteText"/>
        <w:rPr>
          <w:lang w:val="en-GB"/>
        </w:rPr>
      </w:pPr>
      <w:r>
        <w:rPr>
          <w:rStyle w:val="FootnoteReference"/>
        </w:rPr>
        <w:footnoteRef/>
      </w:r>
      <w:r>
        <w:t xml:space="preserve"> </w:t>
      </w:r>
      <w:proofErr w:type="spellStart"/>
      <w:r>
        <w:t>AusPAR</w:t>
      </w:r>
      <w:proofErr w:type="spellEnd"/>
      <w:r>
        <w:t xml:space="preserve"> for Flucelvax Quad (influenza virus haemagglutinin)</w:t>
      </w:r>
      <w:r w:rsidR="00C314C7" w:rsidRPr="00C314C7">
        <w:t xml:space="preserve"> Seqirus Pty Limited</w:t>
      </w:r>
      <w:r w:rsidR="00C314C7">
        <w:t>,</w:t>
      </w:r>
      <w:r>
        <w:t xml:space="preserve"> </w:t>
      </w:r>
      <w:r w:rsidR="00C314C7">
        <w:t>n</w:t>
      </w:r>
      <w:r w:rsidR="00C314C7" w:rsidRPr="00C314C7">
        <w:t>ew biological entity</w:t>
      </w:r>
      <w:r w:rsidR="00C314C7">
        <w:t xml:space="preserve">, published on </w:t>
      </w:r>
      <w:r w:rsidR="00C314C7" w:rsidRPr="00C314C7">
        <w:t>24 December 2020</w:t>
      </w:r>
      <w:r>
        <w:t xml:space="preserve">. Available at: </w:t>
      </w:r>
      <w:hyperlink r:id="rId7" w:history="1">
        <w:r w:rsidRPr="00835C6F">
          <w:rPr>
            <w:rStyle w:val="Hyperlink"/>
          </w:rPr>
          <w:t>https://www.tga.gov.au/resources/auspar/auspar-influenza-virus-haemagglutinin-1</w:t>
        </w:r>
      </w:hyperlink>
      <w:r w:rsidR="00C314C7">
        <w:t>.</w:t>
      </w:r>
    </w:p>
  </w:footnote>
  <w:footnote w:id="17">
    <w:p w14:paraId="3E6E8E6B" w14:textId="7865EE50" w:rsidR="001539F2" w:rsidRDefault="001539F2" w:rsidP="00173ABB">
      <w:pPr>
        <w:pStyle w:val="FootnoteText"/>
      </w:pPr>
      <w:r>
        <w:rPr>
          <w:rStyle w:val="FootnoteReference"/>
        </w:rPr>
        <w:footnoteRef/>
      </w:r>
      <w:r>
        <w:t xml:space="preserve"> The </w:t>
      </w:r>
      <w:r w:rsidRPr="00AA2190">
        <w:t xml:space="preserve">Medicines and Healthcare products Regulatory Agency </w:t>
      </w:r>
      <w:r>
        <w:t xml:space="preserve">(MHRA) have granted </w:t>
      </w:r>
      <w:r w:rsidRPr="005174BA">
        <w:t xml:space="preserve">Flucelvax Quad </w:t>
      </w:r>
      <w:r>
        <w:t>(</w:t>
      </w:r>
      <w:proofErr w:type="spellStart"/>
      <w:r>
        <w:t>QIVc</w:t>
      </w:r>
      <w:proofErr w:type="spellEnd"/>
      <w:r>
        <w:t xml:space="preserve">) a license for Great Britain with approval backdated to 1 January 2021 to match the date of </w:t>
      </w:r>
      <w:r w:rsidR="0069140C">
        <w:t>the United Kingdom’s exit from the European Union</w:t>
      </w:r>
      <w:r>
        <w:t>. The license is aligned with the European Union registration, including effective approval dates up to 1 January 2021.</w:t>
      </w:r>
    </w:p>
  </w:footnote>
  <w:footnote w:id="18">
    <w:p w14:paraId="3561EF7A" w14:textId="5BD4C430" w:rsidR="001539F2" w:rsidRDefault="001539F2">
      <w:pPr>
        <w:pStyle w:val="FootnoteText"/>
      </w:pPr>
      <w:r>
        <w:rPr>
          <w:rStyle w:val="FootnoteReference"/>
        </w:rPr>
        <w:footnoteRef/>
      </w:r>
      <w:r>
        <w:t xml:space="preserve"> </w:t>
      </w:r>
      <w:r w:rsidRPr="001E6F3C">
        <w:t>European Medicines Evaluation Agency (EMEA), Committee for Medicinal Products for Human Use (CHMP), Guideline on Clinical Evaluation of New Vaccines, EMEA/CHMP/VWP/164653/2005, 18 October 2006.</w:t>
      </w:r>
    </w:p>
  </w:footnote>
  <w:footnote w:id="19">
    <w:p w14:paraId="0B955BCA" w14:textId="34A8A803" w:rsidR="001539F2" w:rsidRDefault="001539F2">
      <w:pPr>
        <w:pStyle w:val="FootnoteText"/>
      </w:pPr>
      <w:r>
        <w:rPr>
          <w:rStyle w:val="FootnoteReference"/>
        </w:rPr>
        <w:footnoteRef/>
      </w:r>
      <w:r>
        <w:t xml:space="preserve"> </w:t>
      </w:r>
      <w:r w:rsidRPr="00F178B8">
        <w:t>European Medicines Agency (EMA), Committee for Medicinal Products for Human Use (CHMP), Guideline on Influenza Vaccines - Non-clinical and Clinical Module, EMA/CHMP/VWP/457259/2014, 21 July 2016.</w:t>
      </w:r>
    </w:p>
  </w:footnote>
  <w:footnote w:id="20">
    <w:p w14:paraId="538E7E21" w14:textId="1CBB47EF" w:rsidR="001539F2" w:rsidRDefault="001539F2">
      <w:pPr>
        <w:pStyle w:val="FootnoteText"/>
      </w:pPr>
      <w:r>
        <w:rPr>
          <w:rStyle w:val="FootnoteReference"/>
        </w:rPr>
        <w:footnoteRef/>
      </w:r>
      <w:r>
        <w:t xml:space="preserve"> </w:t>
      </w:r>
      <w:r w:rsidRPr="00FE2C7E">
        <w:t>Menveo</w:t>
      </w:r>
      <w:r>
        <w:t xml:space="preserve"> </w:t>
      </w:r>
      <w:r w:rsidRPr="00FE2C7E">
        <w:t>was first registered on the ARTG on 6</w:t>
      </w:r>
      <w:r>
        <w:t xml:space="preserve"> August </w:t>
      </w:r>
      <w:r w:rsidRPr="00FE2C7E">
        <w:t>2010</w:t>
      </w:r>
      <w:r>
        <w:t xml:space="preserve"> (</w:t>
      </w:r>
      <w:r w:rsidRPr="00FE2C7E">
        <w:t>ARTG number: 158477).</w:t>
      </w:r>
    </w:p>
  </w:footnote>
  <w:footnote w:id="21">
    <w:p w14:paraId="0C770A6A" w14:textId="611CC60A" w:rsidR="001539F2" w:rsidRPr="003738FB" w:rsidRDefault="001539F2" w:rsidP="005174BA">
      <w:pPr>
        <w:pStyle w:val="FootnoteText"/>
        <w:rPr>
          <w:rFonts w:asciiTheme="minorHAnsi" w:hAnsiTheme="minorHAnsi"/>
        </w:rPr>
      </w:pPr>
      <w:r w:rsidRPr="003738FB">
        <w:rPr>
          <w:rStyle w:val="FootnoteReference"/>
          <w:rFonts w:asciiTheme="minorHAnsi" w:hAnsiTheme="minorHAnsi"/>
        </w:rPr>
        <w:footnoteRef/>
      </w:r>
      <w:r w:rsidRPr="00BC2989">
        <w:rPr>
          <w:rFonts w:asciiTheme="minorHAnsi" w:hAnsiTheme="minorHAnsi"/>
          <w:color w:val="2B579A"/>
          <w:shd w:val="clear" w:color="auto" w:fill="E6E6E6"/>
          <w:lang w:val="nl-NL"/>
        </w:rPr>
        <w:t xml:space="preserve"> </w:t>
      </w:r>
      <w:r w:rsidRPr="00BC2989">
        <w:rPr>
          <w:rFonts w:asciiTheme="minorHAnsi" w:hAnsiTheme="minorHAnsi" w:cs="Segoe UI"/>
          <w:color w:val="212121"/>
          <w:shd w:val="clear" w:color="auto" w:fill="FFFFFF"/>
          <w:lang w:val="nl-NL"/>
        </w:rPr>
        <w:t xml:space="preserve">Grohskopf, L.A. et al. </w:t>
      </w:r>
      <w:r w:rsidRPr="003738FB">
        <w:rPr>
          <w:rFonts w:asciiTheme="minorHAnsi" w:hAnsiTheme="minorHAnsi" w:cs="Segoe UI"/>
          <w:color w:val="212121"/>
          <w:shd w:val="clear" w:color="auto" w:fill="FFFFFF"/>
        </w:rPr>
        <w:t>Prevention and Control of Influenza with Vaccines: Recommendations of the Advisory Committee on Immunization Practices, United States, 2015-16 Influenza Season</w:t>
      </w:r>
      <w:r>
        <w:rPr>
          <w:rFonts w:asciiTheme="minorHAnsi" w:hAnsiTheme="minorHAnsi" w:cs="Segoe UI"/>
          <w:color w:val="212121"/>
          <w:shd w:val="clear" w:color="auto" w:fill="FFFFFF"/>
        </w:rPr>
        <w:t>,</w:t>
      </w:r>
      <w:r w:rsidRPr="003738FB">
        <w:rPr>
          <w:rFonts w:asciiTheme="minorHAnsi" w:hAnsiTheme="minorHAnsi" w:cs="Segoe UI"/>
          <w:color w:val="212121"/>
          <w:shd w:val="clear" w:color="auto" w:fill="FFFFFF"/>
        </w:rPr>
        <w:t xml:space="preserve"> </w:t>
      </w:r>
      <w:r w:rsidRPr="005174BA">
        <w:rPr>
          <w:rFonts w:asciiTheme="minorHAnsi" w:hAnsiTheme="minorHAnsi" w:cs="Segoe UI"/>
          <w:i/>
          <w:iCs/>
          <w:color w:val="212121"/>
          <w:shd w:val="clear" w:color="auto" w:fill="FFFFFF"/>
        </w:rPr>
        <w:t xml:space="preserve">MMWR </w:t>
      </w:r>
      <w:proofErr w:type="spellStart"/>
      <w:r w:rsidRPr="005174BA">
        <w:rPr>
          <w:rFonts w:asciiTheme="minorHAnsi" w:hAnsiTheme="minorHAnsi" w:cs="Segoe UI"/>
          <w:i/>
          <w:iCs/>
          <w:color w:val="212121"/>
          <w:shd w:val="clear" w:color="auto" w:fill="FFFFFF"/>
        </w:rPr>
        <w:t>Morb</w:t>
      </w:r>
      <w:proofErr w:type="spellEnd"/>
      <w:r w:rsidRPr="005174BA">
        <w:rPr>
          <w:rFonts w:asciiTheme="minorHAnsi" w:hAnsiTheme="minorHAnsi" w:cs="Segoe UI"/>
          <w:i/>
          <w:iCs/>
          <w:color w:val="212121"/>
          <w:shd w:val="clear" w:color="auto" w:fill="FFFFFF"/>
        </w:rPr>
        <w:t xml:space="preserve"> Mortal </w:t>
      </w:r>
      <w:proofErr w:type="spellStart"/>
      <w:r w:rsidRPr="005174BA">
        <w:rPr>
          <w:rFonts w:asciiTheme="minorHAnsi" w:hAnsiTheme="minorHAnsi" w:cs="Segoe UI"/>
          <w:i/>
          <w:iCs/>
          <w:color w:val="212121"/>
          <w:shd w:val="clear" w:color="auto" w:fill="FFFFFF"/>
        </w:rPr>
        <w:t>Wkly</w:t>
      </w:r>
      <w:proofErr w:type="spellEnd"/>
      <w:r w:rsidRPr="005174BA">
        <w:rPr>
          <w:rFonts w:asciiTheme="minorHAnsi" w:hAnsiTheme="minorHAnsi" w:cs="Segoe UI"/>
          <w:i/>
          <w:iCs/>
          <w:color w:val="212121"/>
          <w:shd w:val="clear" w:color="auto" w:fill="FFFFFF"/>
        </w:rPr>
        <w:t xml:space="preserve"> Rep</w:t>
      </w:r>
      <w:r>
        <w:rPr>
          <w:rFonts w:asciiTheme="minorHAnsi" w:hAnsiTheme="minorHAnsi" w:cs="Segoe UI"/>
          <w:color w:val="212121"/>
          <w:shd w:val="clear" w:color="auto" w:fill="FFFFFF"/>
        </w:rPr>
        <w:t xml:space="preserve">, </w:t>
      </w:r>
      <w:r w:rsidRPr="003738FB">
        <w:rPr>
          <w:rFonts w:asciiTheme="minorHAnsi" w:hAnsiTheme="minorHAnsi" w:cs="Segoe UI"/>
          <w:color w:val="212121"/>
          <w:shd w:val="clear" w:color="auto" w:fill="FFFFFF"/>
        </w:rPr>
        <w:t>2015;</w:t>
      </w:r>
      <w:r>
        <w:rPr>
          <w:rFonts w:asciiTheme="minorHAnsi" w:hAnsiTheme="minorHAnsi" w:cs="Segoe UI"/>
          <w:color w:val="212121"/>
          <w:shd w:val="clear" w:color="auto" w:fill="FFFFFF"/>
        </w:rPr>
        <w:t xml:space="preserve"> </w:t>
      </w:r>
      <w:r w:rsidRPr="003738FB">
        <w:rPr>
          <w:rFonts w:asciiTheme="minorHAnsi" w:hAnsiTheme="minorHAnsi" w:cs="Segoe UI"/>
          <w:color w:val="212121"/>
          <w:shd w:val="clear" w:color="auto" w:fill="FFFFFF"/>
        </w:rPr>
        <w:t>64(30):</w:t>
      </w:r>
      <w:r>
        <w:rPr>
          <w:rFonts w:asciiTheme="minorHAnsi" w:hAnsiTheme="minorHAnsi" w:cs="Segoe UI"/>
          <w:color w:val="212121"/>
          <w:shd w:val="clear" w:color="auto" w:fill="FFFFFF"/>
        </w:rPr>
        <w:t xml:space="preserve"> </w:t>
      </w:r>
      <w:r w:rsidRPr="003738FB">
        <w:rPr>
          <w:rFonts w:asciiTheme="minorHAnsi" w:hAnsiTheme="minorHAnsi" w:cs="Segoe UI"/>
          <w:color w:val="212121"/>
          <w:shd w:val="clear" w:color="auto" w:fill="FFFFFF"/>
        </w:rPr>
        <w:t>818-</w:t>
      </w:r>
      <w:r>
        <w:rPr>
          <w:rFonts w:asciiTheme="minorHAnsi" w:hAnsiTheme="minorHAnsi" w:cs="Segoe UI"/>
          <w:color w:val="212121"/>
          <w:shd w:val="clear" w:color="auto" w:fill="FFFFFF"/>
        </w:rPr>
        <w:t>8</w:t>
      </w:r>
      <w:r w:rsidRPr="003738FB">
        <w:rPr>
          <w:rFonts w:asciiTheme="minorHAnsi" w:hAnsiTheme="minorHAnsi" w:cs="Segoe UI"/>
          <w:color w:val="212121"/>
          <w:shd w:val="clear" w:color="auto" w:fill="FFFFFF"/>
        </w:rPr>
        <w:t>25.</w:t>
      </w:r>
    </w:p>
  </w:footnote>
  <w:footnote w:id="22">
    <w:p w14:paraId="32B4647E" w14:textId="5EE89DF1" w:rsidR="001539F2" w:rsidRDefault="001539F2">
      <w:pPr>
        <w:pStyle w:val="FootnoteText"/>
      </w:pPr>
      <w:r>
        <w:rPr>
          <w:rStyle w:val="FootnoteReference"/>
        </w:rPr>
        <w:footnoteRef/>
      </w:r>
      <w:r>
        <w:t xml:space="preserve"> </w:t>
      </w:r>
      <w:r w:rsidRPr="000F6E68">
        <w:t xml:space="preserve">The </w:t>
      </w:r>
      <w:r w:rsidRPr="000F6E68">
        <w:rPr>
          <w:b/>
          <w:bCs/>
        </w:rPr>
        <w:t>per-protocol (PP)</w:t>
      </w:r>
      <w:r w:rsidRPr="000F6E68">
        <w:t xml:space="preserve"> analysis is restricted to the participants who strictly adhered to the protocol. Also known as ‘on-treatment’ analysis.</w:t>
      </w:r>
    </w:p>
  </w:footnote>
  <w:footnote w:id="23">
    <w:p w14:paraId="363ACA64" w14:textId="3EA279E1" w:rsidR="001539F2" w:rsidRDefault="001539F2">
      <w:pPr>
        <w:pStyle w:val="FootnoteText"/>
      </w:pPr>
      <w:r>
        <w:rPr>
          <w:rStyle w:val="FootnoteReference"/>
        </w:rPr>
        <w:footnoteRef/>
      </w:r>
      <w:r>
        <w:t xml:space="preserve"> </w:t>
      </w:r>
      <w:r w:rsidRPr="000F6E68">
        <w:t xml:space="preserve">A </w:t>
      </w:r>
      <w:r w:rsidRPr="000F6E68">
        <w:rPr>
          <w:b/>
          <w:bCs/>
        </w:rPr>
        <w:t>periodic safety update report (PSUR)</w:t>
      </w:r>
      <w:r w:rsidRPr="000F6E68">
        <w:t xml:space="preserve"> is a systematic review of the global safety data of an approved medicine that becomes available during a defined </w:t>
      </w:r>
      <w:proofErr w:type="gramStart"/>
      <w:r w:rsidRPr="000F6E68">
        <w:t>time period</w:t>
      </w:r>
      <w:proofErr w:type="gramEnd"/>
      <w:r w:rsidRPr="000F6E68">
        <w:t>. PSURs are also referred to as periodic benefit–risk evaluation reports (PBRERs).</w:t>
      </w:r>
    </w:p>
  </w:footnote>
  <w:footnote w:id="24">
    <w:p w14:paraId="3186408D" w14:textId="1D9BF482" w:rsidR="00C44A49" w:rsidRDefault="00C44A49" w:rsidP="00C44A49">
      <w:pPr>
        <w:pStyle w:val="FootnoteText"/>
      </w:pPr>
      <w:r>
        <w:rPr>
          <w:rStyle w:val="FootnoteReference"/>
        </w:rPr>
        <w:footnoteRef/>
      </w:r>
      <w:r>
        <w:t xml:space="preserve"> T</w:t>
      </w:r>
      <w:r w:rsidRPr="00C44A49">
        <w:t>he Australia vaccine safety system (</w:t>
      </w:r>
      <w:proofErr w:type="spellStart"/>
      <w:r w:rsidRPr="00C44A49">
        <w:t>AusVaxSafety</w:t>
      </w:r>
      <w:proofErr w:type="spellEnd"/>
      <w:r w:rsidRPr="00C44A49">
        <w:t xml:space="preserve">) </w:t>
      </w:r>
      <w:r>
        <w:t xml:space="preserve">is a multi-component system, including active surveillance, clinical assessment network, hospital surveillance, and safety investigation using linked data. For further details, please refer to: </w:t>
      </w:r>
      <w:hyperlink r:id="rId8" w:history="1">
        <w:r w:rsidRPr="009B5592">
          <w:rPr>
            <w:rStyle w:val="Hyperlink"/>
          </w:rPr>
          <w:t>https://ausvaxsafety.org.au/about-us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4666" w14:textId="77777777" w:rsidR="001539F2" w:rsidRDefault="001539F2"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B754" w14:textId="77777777" w:rsidR="001539F2" w:rsidRDefault="001539F2">
    <w:pPr>
      <w:rPr>
        <w:noProof/>
        <w:lang w:eastAsia="en-AU"/>
      </w:rPr>
    </w:pPr>
    <w:r w:rsidRPr="00347824">
      <w:rPr>
        <w:noProof/>
        <w:color w:val="2B579A"/>
        <w:shd w:val="clear" w:color="auto" w:fill="E6E6E6"/>
        <w:lang w:val="en-GB" w:eastAsia="en-GB"/>
      </w:rPr>
      <w:drawing>
        <wp:anchor distT="0" distB="0" distL="114300" distR="114300" simplePos="0" relativeHeight="251658240" behindDoc="1" locked="0" layoutInCell="1" allowOverlap="1" wp14:anchorId="55062C90" wp14:editId="68E882F3">
          <wp:simplePos x="0" y="0"/>
          <wp:positionH relativeFrom="column">
            <wp:posOffset>-1089660</wp:posOffset>
          </wp:positionH>
          <wp:positionV relativeFrom="paragraph">
            <wp:posOffset>-585470</wp:posOffset>
          </wp:positionV>
          <wp:extent cx="7572375"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DBDD267" w14:textId="77777777" w:rsidR="001539F2" w:rsidRDefault="001539F2"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5502" w14:textId="77777777" w:rsidR="001539F2" w:rsidRDefault="00153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D811" w14:textId="77777777" w:rsidR="001539F2" w:rsidRDefault="001539F2">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6622" w14:textId="77777777" w:rsidR="001539F2" w:rsidRDefault="001539F2">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D4D2" w14:textId="77777777" w:rsidR="001539F2" w:rsidRDefault="001539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C482" w14:textId="77777777" w:rsidR="001539F2" w:rsidRDefault="001539F2"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2DB1" w14:textId="77777777" w:rsidR="001539F2" w:rsidRDefault="001539F2" w:rsidP="006E08B3">
    <w:r>
      <w:t>Therapeutic Goods Administration</w:t>
    </w:r>
  </w:p>
  <w:p w14:paraId="6C759DF0" w14:textId="77777777" w:rsidR="001539F2" w:rsidRDefault="001539F2"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9578BC9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1E607C2"/>
    <w:multiLevelType w:val="hybridMultilevel"/>
    <w:tmpl w:val="B2EED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DD1288"/>
    <w:multiLevelType w:val="hybridMultilevel"/>
    <w:tmpl w:val="449E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20B4805"/>
    <w:multiLevelType w:val="hybridMultilevel"/>
    <w:tmpl w:val="FDDC81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E20C8C"/>
    <w:multiLevelType w:val="hybridMultilevel"/>
    <w:tmpl w:val="33EAE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6"/>
  </w:num>
  <w:num w:numId="29">
    <w:abstractNumId w:val="9"/>
  </w:num>
  <w:num w:numId="30">
    <w:abstractNumId w:val="13"/>
  </w:num>
  <w:num w:numId="31">
    <w:abstractNumId w:val="5"/>
  </w:num>
  <w:num w:numId="32">
    <w:abstractNumId w:val="15"/>
  </w:num>
  <w:num w:numId="33">
    <w:abstractNumId w:val="11"/>
  </w:num>
  <w:num w:numId="34">
    <w:abstractNumId w:val="4"/>
  </w:num>
  <w:num w:numId="35">
    <w:abstractNumId w:val="6"/>
  </w:num>
  <w:num w:numId="36">
    <w:abstractNumId w:val="1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yNjQ0szQ1sDQyMTdT0lEKTi0uzszPAykwqgUA91ecHSwAAAA="/>
  </w:docVars>
  <w:rsids>
    <w:rsidRoot w:val="00691BC4"/>
    <w:rsid w:val="00002031"/>
    <w:rsid w:val="0000398A"/>
    <w:rsid w:val="000039F9"/>
    <w:rsid w:val="00004232"/>
    <w:rsid w:val="00004734"/>
    <w:rsid w:val="0000657C"/>
    <w:rsid w:val="00006B22"/>
    <w:rsid w:val="00006FAB"/>
    <w:rsid w:val="00011CF3"/>
    <w:rsid w:val="00011E40"/>
    <w:rsid w:val="0001276A"/>
    <w:rsid w:val="0001279E"/>
    <w:rsid w:val="0001332E"/>
    <w:rsid w:val="00023B46"/>
    <w:rsid w:val="000246AE"/>
    <w:rsid w:val="00025350"/>
    <w:rsid w:val="00025C67"/>
    <w:rsid w:val="00032A1A"/>
    <w:rsid w:val="00044772"/>
    <w:rsid w:val="0004541C"/>
    <w:rsid w:val="0005559E"/>
    <w:rsid w:val="00057C00"/>
    <w:rsid w:val="000602AC"/>
    <w:rsid w:val="000604D6"/>
    <w:rsid w:val="000734D8"/>
    <w:rsid w:val="00075672"/>
    <w:rsid w:val="00075CB1"/>
    <w:rsid w:val="00077775"/>
    <w:rsid w:val="00077E4A"/>
    <w:rsid w:val="000822A1"/>
    <w:rsid w:val="00087D47"/>
    <w:rsid w:val="00090471"/>
    <w:rsid w:val="000965AE"/>
    <w:rsid w:val="00096AA7"/>
    <w:rsid w:val="000A3AED"/>
    <w:rsid w:val="000A4B17"/>
    <w:rsid w:val="000B1303"/>
    <w:rsid w:val="000B3532"/>
    <w:rsid w:val="000B3A75"/>
    <w:rsid w:val="000B3ED7"/>
    <w:rsid w:val="000C00C2"/>
    <w:rsid w:val="000C205B"/>
    <w:rsid w:val="000C2FFA"/>
    <w:rsid w:val="000C690F"/>
    <w:rsid w:val="000C7AF0"/>
    <w:rsid w:val="000D1295"/>
    <w:rsid w:val="000D391B"/>
    <w:rsid w:val="000D3D6D"/>
    <w:rsid w:val="000D4FC7"/>
    <w:rsid w:val="000E01BE"/>
    <w:rsid w:val="000E6196"/>
    <w:rsid w:val="000E6930"/>
    <w:rsid w:val="000E7964"/>
    <w:rsid w:val="000F4869"/>
    <w:rsid w:val="000F5B42"/>
    <w:rsid w:val="000F6E68"/>
    <w:rsid w:val="000F6E6F"/>
    <w:rsid w:val="00100902"/>
    <w:rsid w:val="0010601F"/>
    <w:rsid w:val="0010723C"/>
    <w:rsid w:val="0010788A"/>
    <w:rsid w:val="00107A31"/>
    <w:rsid w:val="00110792"/>
    <w:rsid w:val="00110EA5"/>
    <w:rsid w:val="001117CF"/>
    <w:rsid w:val="00112F56"/>
    <w:rsid w:val="00122C2E"/>
    <w:rsid w:val="00124ACD"/>
    <w:rsid w:val="00125318"/>
    <w:rsid w:val="00125BA5"/>
    <w:rsid w:val="0012646B"/>
    <w:rsid w:val="001305A2"/>
    <w:rsid w:val="0013258F"/>
    <w:rsid w:val="00133238"/>
    <w:rsid w:val="00133A1B"/>
    <w:rsid w:val="00134872"/>
    <w:rsid w:val="0014197B"/>
    <w:rsid w:val="00141A8D"/>
    <w:rsid w:val="001447CD"/>
    <w:rsid w:val="00147631"/>
    <w:rsid w:val="001508A0"/>
    <w:rsid w:val="001516B1"/>
    <w:rsid w:val="001539F2"/>
    <w:rsid w:val="001542EF"/>
    <w:rsid w:val="00154EBB"/>
    <w:rsid w:val="00156316"/>
    <w:rsid w:val="0016078F"/>
    <w:rsid w:val="00161181"/>
    <w:rsid w:val="00162D14"/>
    <w:rsid w:val="00163780"/>
    <w:rsid w:val="00165389"/>
    <w:rsid w:val="00173ABB"/>
    <w:rsid w:val="001763F7"/>
    <w:rsid w:val="0017693F"/>
    <w:rsid w:val="0018110E"/>
    <w:rsid w:val="00181684"/>
    <w:rsid w:val="00182F70"/>
    <w:rsid w:val="001843C6"/>
    <w:rsid w:val="001850E0"/>
    <w:rsid w:val="001878A3"/>
    <w:rsid w:val="00191B9F"/>
    <w:rsid w:val="001A03AF"/>
    <w:rsid w:val="001A2158"/>
    <w:rsid w:val="001A525F"/>
    <w:rsid w:val="001A7E96"/>
    <w:rsid w:val="001B023C"/>
    <w:rsid w:val="001B09F9"/>
    <w:rsid w:val="001B510A"/>
    <w:rsid w:val="001B5C90"/>
    <w:rsid w:val="001B6448"/>
    <w:rsid w:val="001B7CC5"/>
    <w:rsid w:val="001C2303"/>
    <w:rsid w:val="001C2C79"/>
    <w:rsid w:val="001C32CD"/>
    <w:rsid w:val="001C52D2"/>
    <w:rsid w:val="001C57DE"/>
    <w:rsid w:val="001D2984"/>
    <w:rsid w:val="001E07CF"/>
    <w:rsid w:val="001E3158"/>
    <w:rsid w:val="001E59F1"/>
    <w:rsid w:val="001E6F3C"/>
    <w:rsid w:val="001F2CEE"/>
    <w:rsid w:val="001F49EB"/>
    <w:rsid w:val="001F5685"/>
    <w:rsid w:val="001F6CBA"/>
    <w:rsid w:val="001F7536"/>
    <w:rsid w:val="00201D4E"/>
    <w:rsid w:val="00202ADE"/>
    <w:rsid w:val="00203499"/>
    <w:rsid w:val="002076C9"/>
    <w:rsid w:val="002076FD"/>
    <w:rsid w:val="0021123B"/>
    <w:rsid w:val="00213899"/>
    <w:rsid w:val="00220B8A"/>
    <w:rsid w:val="002257F3"/>
    <w:rsid w:val="002262D2"/>
    <w:rsid w:val="00227DB7"/>
    <w:rsid w:val="00233456"/>
    <w:rsid w:val="002339A5"/>
    <w:rsid w:val="00233C05"/>
    <w:rsid w:val="00246A86"/>
    <w:rsid w:val="00250271"/>
    <w:rsid w:val="002576AD"/>
    <w:rsid w:val="00257848"/>
    <w:rsid w:val="002578E8"/>
    <w:rsid w:val="002605EB"/>
    <w:rsid w:val="00260A3E"/>
    <w:rsid w:val="00260EA9"/>
    <w:rsid w:val="00263E3B"/>
    <w:rsid w:val="00265392"/>
    <w:rsid w:val="00265FC1"/>
    <w:rsid w:val="0026783D"/>
    <w:rsid w:val="0027084A"/>
    <w:rsid w:val="002775FD"/>
    <w:rsid w:val="00280220"/>
    <w:rsid w:val="00280265"/>
    <w:rsid w:val="002804D3"/>
    <w:rsid w:val="0028296F"/>
    <w:rsid w:val="00286434"/>
    <w:rsid w:val="00286C59"/>
    <w:rsid w:val="00291957"/>
    <w:rsid w:val="00291CA5"/>
    <w:rsid w:val="00291FEC"/>
    <w:rsid w:val="00293AC9"/>
    <w:rsid w:val="002942D1"/>
    <w:rsid w:val="0029501A"/>
    <w:rsid w:val="0029516D"/>
    <w:rsid w:val="002A3721"/>
    <w:rsid w:val="002A66C5"/>
    <w:rsid w:val="002A6C60"/>
    <w:rsid w:val="002A78CD"/>
    <w:rsid w:val="002B1638"/>
    <w:rsid w:val="002B3624"/>
    <w:rsid w:val="002D0730"/>
    <w:rsid w:val="002D0952"/>
    <w:rsid w:val="002D0C28"/>
    <w:rsid w:val="002D1470"/>
    <w:rsid w:val="002E40B3"/>
    <w:rsid w:val="002E4C9A"/>
    <w:rsid w:val="002F11F8"/>
    <w:rsid w:val="002F3623"/>
    <w:rsid w:val="002F3F56"/>
    <w:rsid w:val="002F44B5"/>
    <w:rsid w:val="002F5122"/>
    <w:rsid w:val="00300A62"/>
    <w:rsid w:val="00303494"/>
    <w:rsid w:val="00311AC0"/>
    <w:rsid w:val="003130AB"/>
    <w:rsid w:val="003176FC"/>
    <w:rsid w:val="00317FE5"/>
    <w:rsid w:val="00321369"/>
    <w:rsid w:val="00324E45"/>
    <w:rsid w:val="0032583B"/>
    <w:rsid w:val="0032752D"/>
    <w:rsid w:val="00327883"/>
    <w:rsid w:val="00335504"/>
    <w:rsid w:val="00335579"/>
    <w:rsid w:val="00337DC9"/>
    <w:rsid w:val="00340C18"/>
    <w:rsid w:val="00340E74"/>
    <w:rsid w:val="003442FD"/>
    <w:rsid w:val="00347824"/>
    <w:rsid w:val="00347EFF"/>
    <w:rsid w:val="00350567"/>
    <w:rsid w:val="003521E8"/>
    <w:rsid w:val="00364261"/>
    <w:rsid w:val="003648D0"/>
    <w:rsid w:val="0036741D"/>
    <w:rsid w:val="00370CE3"/>
    <w:rsid w:val="003728F3"/>
    <w:rsid w:val="00373158"/>
    <w:rsid w:val="003735BC"/>
    <w:rsid w:val="0037496E"/>
    <w:rsid w:val="00383221"/>
    <w:rsid w:val="0038328D"/>
    <w:rsid w:val="00385979"/>
    <w:rsid w:val="00386150"/>
    <w:rsid w:val="003874CE"/>
    <w:rsid w:val="0038CAB5"/>
    <w:rsid w:val="00390900"/>
    <w:rsid w:val="00393875"/>
    <w:rsid w:val="00393EE5"/>
    <w:rsid w:val="003A019F"/>
    <w:rsid w:val="003A0FE1"/>
    <w:rsid w:val="003A1417"/>
    <w:rsid w:val="003A304C"/>
    <w:rsid w:val="003A7F6C"/>
    <w:rsid w:val="003B3E22"/>
    <w:rsid w:val="003B4D60"/>
    <w:rsid w:val="003B6C9E"/>
    <w:rsid w:val="003B7A7F"/>
    <w:rsid w:val="003B7E39"/>
    <w:rsid w:val="003C414F"/>
    <w:rsid w:val="003C58DC"/>
    <w:rsid w:val="003D1E62"/>
    <w:rsid w:val="003D251E"/>
    <w:rsid w:val="003D5BAB"/>
    <w:rsid w:val="003D69DD"/>
    <w:rsid w:val="003E0B99"/>
    <w:rsid w:val="003E2486"/>
    <w:rsid w:val="003E3208"/>
    <w:rsid w:val="003E5074"/>
    <w:rsid w:val="003F0B04"/>
    <w:rsid w:val="003F50F5"/>
    <w:rsid w:val="003F683B"/>
    <w:rsid w:val="0040134E"/>
    <w:rsid w:val="00404829"/>
    <w:rsid w:val="00405746"/>
    <w:rsid w:val="004132A7"/>
    <w:rsid w:val="00415CB4"/>
    <w:rsid w:val="004334C7"/>
    <w:rsid w:val="00440A2D"/>
    <w:rsid w:val="00441C3F"/>
    <w:rsid w:val="00444D1A"/>
    <w:rsid w:val="00445C6B"/>
    <w:rsid w:val="0045186A"/>
    <w:rsid w:val="00452F2A"/>
    <w:rsid w:val="004564A7"/>
    <w:rsid w:val="00456765"/>
    <w:rsid w:val="00460036"/>
    <w:rsid w:val="004617BF"/>
    <w:rsid w:val="00463658"/>
    <w:rsid w:val="004637A0"/>
    <w:rsid w:val="00465BE0"/>
    <w:rsid w:val="00470531"/>
    <w:rsid w:val="00470F36"/>
    <w:rsid w:val="00471252"/>
    <w:rsid w:val="00471335"/>
    <w:rsid w:val="00472180"/>
    <w:rsid w:val="004722CC"/>
    <w:rsid w:val="00476A4D"/>
    <w:rsid w:val="004810BA"/>
    <w:rsid w:val="004853F3"/>
    <w:rsid w:val="00490483"/>
    <w:rsid w:val="00491352"/>
    <w:rsid w:val="004936E4"/>
    <w:rsid w:val="00494E60"/>
    <w:rsid w:val="00497487"/>
    <w:rsid w:val="004A2771"/>
    <w:rsid w:val="004A3823"/>
    <w:rsid w:val="004A55E3"/>
    <w:rsid w:val="004A6189"/>
    <w:rsid w:val="004A7390"/>
    <w:rsid w:val="004B08F1"/>
    <w:rsid w:val="004B0C51"/>
    <w:rsid w:val="004B4CAC"/>
    <w:rsid w:val="004B7B76"/>
    <w:rsid w:val="004C1898"/>
    <w:rsid w:val="004C239D"/>
    <w:rsid w:val="004C2DCA"/>
    <w:rsid w:val="004C4076"/>
    <w:rsid w:val="004C42DD"/>
    <w:rsid w:val="004C4FBE"/>
    <w:rsid w:val="004C61D2"/>
    <w:rsid w:val="004D2991"/>
    <w:rsid w:val="004D37E8"/>
    <w:rsid w:val="004D6A81"/>
    <w:rsid w:val="004E0887"/>
    <w:rsid w:val="004E10BE"/>
    <w:rsid w:val="004E4EC3"/>
    <w:rsid w:val="004F0402"/>
    <w:rsid w:val="004F0C4A"/>
    <w:rsid w:val="004F0F38"/>
    <w:rsid w:val="004F47D6"/>
    <w:rsid w:val="00500337"/>
    <w:rsid w:val="00501921"/>
    <w:rsid w:val="0050295C"/>
    <w:rsid w:val="005042A1"/>
    <w:rsid w:val="00505BA7"/>
    <w:rsid w:val="005174BA"/>
    <w:rsid w:val="0052318D"/>
    <w:rsid w:val="005252B2"/>
    <w:rsid w:val="00526873"/>
    <w:rsid w:val="00530354"/>
    <w:rsid w:val="0053625B"/>
    <w:rsid w:val="005434C6"/>
    <w:rsid w:val="00543B39"/>
    <w:rsid w:val="00546154"/>
    <w:rsid w:val="00550096"/>
    <w:rsid w:val="00552DE9"/>
    <w:rsid w:val="00555280"/>
    <w:rsid w:val="00557FF9"/>
    <w:rsid w:val="00562327"/>
    <w:rsid w:val="00565954"/>
    <w:rsid w:val="005711D5"/>
    <w:rsid w:val="00576378"/>
    <w:rsid w:val="00577130"/>
    <w:rsid w:val="00577945"/>
    <w:rsid w:val="00577E38"/>
    <w:rsid w:val="00580AB6"/>
    <w:rsid w:val="00585322"/>
    <w:rsid w:val="005857C6"/>
    <w:rsid w:val="005877EC"/>
    <w:rsid w:val="00592F6E"/>
    <w:rsid w:val="00593AD1"/>
    <w:rsid w:val="005A0693"/>
    <w:rsid w:val="005A68B6"/>
    <w:rsid w:val="005B078E"/>
    <w:rsid w:val="005B4D14"/>
    <w:rsid w:val="005C034D"/>
    <w:rsid w:val="005C5570"/>
    <w:rsid w:val="005C5B66"/>
    <w:rsid w:val="005C74FB"/>
    <w:rsid w:val="005C79A4"/>
    <w:rsid w:val="005D5442"/>
    <w:rsid w:val="005D643B"/>
    <w:rsid w:val="005E0185"/>
    <w:rsid w:val="005F14DE"/>
    <w:rsid w:val="00600B64"/>
    <w:rsid w:val="00603AE9"/>
    <w:rsid w:val="00603F32"/>
    <w:rsid w:val="00605AD4"/>
    <w:rsid w:val="00611A42"/>
    <w:rsid w:val="006136D7"/>
    <w:rsid w:val="00625A6E"/>
    <w:rsid w:val="00632398"/>
    <w:rsid w:val="00636347"/>
    <w:rsid w:val="0063707B"/>
    <w:rsid w:val="00640FC3"/>
    <w:rsid w:val="00642020"/>
    <w:rsid w:val="006430EE"/>
    <w:rsid w:val="00644012"/>
    <w:rsid w:val="0065337B"/>
    <w:rsid w:val="0065419D"/>
    <w:rsid w:val="00656206"/>
    <w:rsid w:val="00656885"/>
    <w:rsid w:val="006603BC"/>
    <w:rsid w:val="006604D8"/>
    <w:rsid w:val="006604F4"/>
    <w:rsid w:val="00663A66"/>
    <w:rsid w:val="00664876"/>
    <w:rsid w:val="00664A5B"/>
    <w:rsid w:val="006655EC"/>
    <w:rsid w:val="00666B6C"/>
    <w:rsid w:val="0066735C"/>
    <w:rsid w:val="0067439C"/>
    <w:rsid w:val="006763D2"/>
    <w:rsid w:val="00677ED5"/>
    <w:rsid w:val="00680C08"/>
    <w:rsid w:val="006832C9"/>
    <w:rsid w:val="00683E09"/>
    <w:rsid w:val="00686954"/>
    <w:rsid w:val="0069140C"/>
    <w:rsid w:val="006916A0"/>
    <w:rsid w:val="00691BC4"/>
    <w:rsid w:val="00692035"/>
    <w:rsid w:val="006931B1"/>
    <w:rsid w:val="00693332"/>
    <w:rsid w:val="0069484A"/>
    <w:rsid w:val="0069630A"/>
    <w:rsid w:val="006A15C0"/>
    <w:rsid w:val="006A58A8"/>
    <w:rsid w:val="006A5FB7"/>
    <w:rsid w:val="006B6879"/>
    <w:rsid w:val="006B7208"/>
    <w:rsid w:val="006C3E2A"/>
    <w:rsid w:val="006C642F"/>
    <w:rsid w:val="006D03E5"/>
    <w:rsid w:val="006D5D3E"/>
    <w:rsid w:val="006E08B3"/>
    <w:rsid w:val="006F1701"/>
    <w:rsid w:val="006F17AC"/>
    <w:rsid w:val="006F25B8"/>
    <w:rsid w:val="006F452D"/>
    <w:rsid w:val="006F572E"/>
    <w:rsid w:val="007009DC"/>
    <w:rsid w:val="00701C3C"/>
    <w:rsid w:val="007042DA"/>
    <w:rsid w:val="007046D6"/>
    <w:rsid w:val="00705553"/>
    <w:rsid w:val="00705DB0"/>
    <w:rsid w:val="00722B57"/>
    <w:rsid w:val="00723E9D"/>
    <w:rsid w:val="00723FD6"/>
    <w:rsid w:val="00730292"/>
    <w:rsid w:val="00730F8A"/>
    <w:rsid w:val="0073317D"/>
    <w:rsid w:val="00735A8C"/>
    <w:rsid w:val="00736741"/>
    <w:rsid w:val="007401E9"/>
    <w:rsid w:val="0074253D"/>
    <w:rsid w:val="0074255E"/>
    <w:rsid w:val="00744121"/>
    <w:rsid w:val="0074429B"/>
    <w:rsid w:val="00746EE8"/>
    <w:rsid w:val="00750B3E"/>
    <w:rsid w:val="00755729"/>
    <w:rsid w:val="007615BC"/>
    <w:rsid w:val="00762F05"/>
    <w:rsid w:val="0076340D"/>
    <w:rsid w:val="00764FAD"/>
    <w:rsid w:val="007652FF"/>
    <w:rsid w:val="00766FD1"/>
    <w:rsid w:val="00770CAC"/>
    <w:rsid w:val="00770EF1"/>
    <w:rsid w:val="00773EF7"/>
    <w:rsid w:val="00774E1D"/>
    <w:rsid w:val="007765D8"/>
    <w:rsid w:val="0077675A"/>
    <w:rsid w:val="00780355"/>
    <w:rsid w:val="00780A4B"/>
    <w:rsid w:val="007819FD"/>
    <w:rsid w:val="00785717"/>
    <w:rsid w:val="00785721"/>
    <w:rsid w:val="00790128"/>
    <w:rsid w:val="00793A59"/>
    <w:rsid w:val="007A051E"/>
    <w:rsid w:val="007A46F5"/>
    <w:rsid w:val="007A6505"/>
    <w:rsid w:val="007B51D8"/>
    <w:rsid w:val="007B6132"/>
    <w:rsid w:val="007B6E9F"/>
    <w:rsid w:val="007C0C7D"/>
    <w:rsid w:val="007C1059"/>
    <w:rsid w:val="007C10B0"/>
    <w:rsid w:val="007C1216"/>
    <w:rsid w:val="007C1AF7"/>
    <w:rsid w:val="007C4D1C"/>
    <w:rsid w:val="007C6B9B"/>
    <w:rsid w:val="007CFA93"/>
    <w:rsid w:val="007D29BA"/>
    <w:rsid w:val="007D53B6"/>
    <w:rsid w:val="007D768E"/>
    <w:rsid w:val="007D7ED4"/>
    <w:rsid w:val="007E1AC8"/>
    <w:rsid w:val="007F02F5"/>
    <w:rsid w:val="007F0709"/>
    <w:rsid w:val="007F37B6"/>
    <w:rsid w:val="007F382E"/>
    <w:rsid w:val="00805D27"/>
    <w:rsid w:val="00806DCB"/>
    <w:rsid w:val="008158E1"/>
    <w:rsid w:val="00821776"/>
    <w:rsid w:val="00821872"/>
    <w:rsid w:val="0082229F"/>
    <w:rsid w:val="0083135E"/>
    <w:rsid w:val="008321F5"/>
    <w:rsid w:val="00832369"/>
    <w:rsid w:val="00833B8B"/>
    <w:rsid w:val="0083453D"/>
    <w:rsid w:val="00834660"/>
    <w:rsid w:val="00836BC2"/>
    <w:rsid w:val="00836C08"/>
    <w:rsid w:val="00836F53"/>
    <w:rsid w:val="00837328"/>
    <w:rsid w:val="0083741A"/>
    <w:rsid w:val="008406BB"/>
    <w:rsid w:val="008420CE"/>
    <w:rsid w:val="008435C6"/>
    <w:rsid w:val="0084429F"/>
    <w:rsid w:val="00850AB6"/>
    <w:rsid w:val="00850FCC"/>
    <w:rsid w:val="0085156D"/>
    <w:rsid w:val="00852B28"/>
    <w:rsid w:val="0085641B"/>
    <w:rsid w:val="00856C11"/>
    <w:rsid w:val="00857136"/>
    <w:rsid w:val="0086071B"/>
    <w:rsid w:val="0086523E"/>
    <w:rsid w:val="00866255"/>
    <w:rsid w:val="00867D49"/>
    <w:rsid w:val="008756F2"/>
    <w:rsid w:val="00875A6B"/>
    <w:rsid w:val="00876543"/>
    <w:rsid w:val="00881B4B"/>
    <w:rsid w:val="00883DC7"/>
    <w:rsid w:val="008850C4"/>
    <w:rsid w:val="00885B11"/>
    <w:rsid w:val="00886D15"/>
    <w:rsid w:val="00887DD8"/>
    <w:rsid w:val="00891BA9"/>
    <w:rsid w:val="00892570"/>
    <w:rsid w:val="00892E7E"/>
    <w:rsid w:val="00893489"/>
    <w:rsid w:val="00896018"/>
    <w:rsid w:val="008960DD"/>
    <w:rsid w:val="0089635C"/>
    <w:rsid w:val="00897571"/>
    <w:rsid w:val="008977DD"/>
    <w:rsid w:val="008A2B9D"/>
    <w:rsid w:val="008A3D9F"/>
    <w:rsid w:val="008A5125"/>
    <w:rsid w:val="008A5E0B"/>
    <w:rsid w:val="008A6D59"/>
    <w:rsid w:val="008A74C2"/>
    <w:rsid w:val="008B2243"/>
    <w:rsid w:val="008B3B1A"/>
    <w:rsid w:val="008B4B03"/>
    <w:rsid w:val="008B546C"/>
    <w:rsid w:val="008B596F"/>
    <w:rsid w:val="008B6B41"/>
    <w:rsid w:val="008C159F"/>
    <w:rsid w:val="008C1623"/>
    <w:rsid w:val="008C1850"/>
    <w:rsid w:val="008C51A9"/>
    <w:rsid w:val="008C7688"/>
    <w:rsid w:val="008E7846"/>
    <w:rsid w:val="008F02E5"/>
    <w:rsid w:val="008F1CCC"/>
    <w:rsid w:val="008F2967"/>
    <w:rsid w:val="008F5A0F"/>
    <w:rsid w:val="008F5B20"/>
    <w:rsid w:val="008F6943"/>
    <w:rsid w:val="00902A21"/>
    <w:rsid w:val="00913BFD"/>
    <w:rsid w:val="00913EF3"/>
    <w:rsid w:val="0091523F"/>
    <w:rsid w:val="00917638"/>
    <w:rsid w:val="00920330"/>
    <w:rsid w:val="009219D7"/>
    <w:rsid w:val="00922D53"/>
    <w:rsid w:val="00923B70"/>
    <w:rsid w:val="00924482"/>
    <w:rsid w:val="00930237"/>
    <w:rsid w:val="0093252F"/>
    <w:rsid w:val="00934D5B"/>
    <w:rsid w:val="00937C17"/>
    <w:rsid w:val="00940A89"/>
    <w:rsid w:val="00941F77"/>
    <w:rsid w:val="00943D00"/>
    <w:rsid w:val="009449BC"/>
    <w:rsid w:val="00946EA5"/>
    <w:rsid w:val="009575B5"/>
    <w:rsid w:val="00960520"/>
    <w:rsid w:val="00963C08"/>
    <w:rsid w:val="009713EF"/>
    <w:rsid w:val="009752A5"/>
    <w:rsid w:val="009762F4"/>
    <w:rsid w:val="009769D4"/>
    <w:rsid w:val="0098341B"/>
    <w:rsid w:val="0098585A"/>
    <w:rsid w:val="00996DBB"/>
    <w:rsid w:val="009A4CED"/>
    <w:rsid w:val="009A690D"/>
    <w:rsid w:val="009B1D12"/>
    <w:rsid w:val="009B416B"/>
    <w:rsid w:val="009B58F4"/>
    <w:rsid w:val="009C361B"/>
    <w:rsid w:val="009C4BD5"/>
    <w:rsid w:val="009C5B63"/>
    <w:rsid w:val="009C7D6C"/>
    <w:rsid w:val="009D2250"/>
    <w:rsid w:val="009D3B2E"/>
    <w:rsid w:val="009D447B"/>
    <w:rsid w:val="009D7B77"/>
    <w:rsid w:val="009E0BB0"/>
    <w:rsid w:val="009E3FBB"/>
    <w:rsid w:val="009E5715"/>
    <w:rsid w:val="009F38AD"/>
    <w:rsid w:val="009F461D"/>
    <w:rsid w:val="009F5A92"/>
    <w:rsid w:val="009F7353"/>
    <w:rsid w:val="00A0334A"/>
    <w:rsid w:val="00A04F85"/>
    <w:rsid w:val="00A05DAF"/>
    <w:rsid w:val="00A05FA4"/>
    <w:rsid w:val="00A102E4"/>
    <w:rsid w:val="00A1219C"/>
    <w:rsid w:val="00A12C42"/>
    <w:rsid w:val="00A14DF7"/>
    <w:rsid w:val="00A20B2B"/>
    <w:rsid w:val="00A21523"/>
    <w:rsid w:val="00A22D57"/>
    <w:rsid w:val="00A25FD0"/>
    <w:rsid w:val="00A3246D"/>
    <w:rsid w:val="00A36FA7"/>
    <w:rsid w:val="00A44DDB"/>
    <w:rsid w:val="00A45B69"/>
    <w:rsid w:val="00A475B7"/>
    <w:rsid w:val="00A47AF7"/>
    <w:rsid w:val="00A47C3E"/>
    <w:rsid w:val="00A50226"/>
    <w:rsid w:val="00A512E1"/>
    <w:rsid w:val="00A60BAD"/>
    <w:rsid w:val="00A6178E"/>
    <w:rsid w:val="00A66132"/>
    <w:rsid w:val="00A77F87"/>
    <w:rsid w:val="00A80B5B"/>
    <w:rsid w:val="00A84E36"/>
    <w:rsid w:val="00A900F2"/>
    <w:rsid w:val="00A93A92"/>
    <w:rsid w:val="00A94124"/>
    <w:rsid w:val="00A94787"/>
    <w:rsid w:val="00A964D1"/>
    <w:rsid w:val="00A9749B"/>
    <w:rsid w:val="00A97BF8"/>
    <w:rsid w:val="00AA0ED0"/>
    <w:rsid w:val="00AA2190"/>
    <w:rsid w:val="00AA227D"/>
    <w:rsid w:val="00AA5979"/>
    <w:rsid w:val="00AA5F37"/>
    <w:rsid w:val="00AA6514"/>
    <w:rsid w:val="00AB11C2"/>
    <w:rsid w:val="00AC219E"/>
    <w:rsid w:val="00AC2B40"/>
    <w:rsid w:val="00AC2BB2"/>
    <w:rsid w:val="00AC2C3C"/>
    <w:rsid w:val="00AC512D"/>
    <w:rsid w:val="00AD0083"/>
    <w:rsid w:val="00AD3935"/>
    <w:rsid w:val="00AD56E0"/>
    <w:rsid w:val="00AD5AB4"/>
    <w:rsid w:val="00AE3FA1"/>
    <w:rsid w:val="00AE65EB"/>
    <w:rsid w:val="00AE67A7"/>
    <w:rsid w:val="00AE7805"/>
    <w:rsid w:val="00AF18E5"/>
    <w:rsid w:val="00AF1D94"/>
    <w:rsid w:val="00AF60C5"/>
    <w:rsid w:val="00AF6AB8"/>
    <w:rsid w:val="00B009C6"/>
    <w:rsid w:val="00B01548"/>
    <w:rsid w:val="00B130C5"/>
    <w:rsid w:val="00B136CA"/>
    <w:rsid w:val="00B13864"/>
    <w:rsid w:val="00B13EBD"/>
    <w:rsid w:val="00B1620F"/>
    <w:rsid w:val="00B21D29"/>
    <w:rsid w:val="00B22202"/>
    <w:rsid w:val="00B23A97"/>
    <w:rsid w:val="00B25034"/>
    <w:rsid w:val="00B278D6"/>
    <w:rsid w:val="00B3239F"/>
    <w:rsid w:val="00B33588"/>
    <w:rsid w:val="00B33863"/>
    <w:rsid w:val="00B37D17"/>
    <w:rsid w:val="00B4175E"/>
    <w:rsid w:val="00B41C85"/>
    <w:rsid w:val="00B452CE"/>
    <w:rsid w:val="00B4668C"/>
    <w:rsid w:val="00B54C25"/>
    <w:rsid w:val="00B55EDD"/>
    <w:rsid w:val="00B60837"/>
    <w:rsid w:val="00B636F6"/>
    <w:rsid w:val="00B63A64"/>
    <w:rsid w:val="00B64CCE"/>
    <w:rsid w:val="00B72892"/>
    <w:rsid w:val="00B76B91"/>
    <w:rsid w:val="00B77EB1"/>
    <w:rsid w:val="00B811C6"/>
    <w:rsid w:val="00B84FD2"/>
    <w:rsid w:val="00B855B0"/>
    <w:rsid w:val="00B92C7F"/>
    <w:rsid w:val="00B92E08"/>
    <w:rsid w:val="00BA6A98"/>
    <w:rsid w:val="00BA6D19"/>
    <w:rsid w:val="00BA6FBA"/>
    <w:rsid w:val="00BB4219"/>
    <w:rsid w:val="00BB4845"/>
    <w:rsid w:val="00BB487C"/>
    <w:rsid w:val="00BB603C"/>
    <w:rsid w:val="00BC24B5"/>
    <w:rsid w:val="00BC2989"/>
    <w:rsid w:val="00BC2D05"/>
    <w:rsid w:val="00BC42E0"/>
    <w:rsid w:val="00BC574D"/>
    <w:rsid w:val="00BC622A"/>
    <w:rsid w:val="00BD1F85"/>
    <w:rsid w:val="00BD2DF2"/>
    <w:rsid w:val="00BD35B4"/>
    <w:rsid w:val="00BD4F53"/>
    <w:rsid w:val="00BD5F05"/>
    <w:rsid w:val="00BE0A78"/>
    <w:rsid w:val="00BE3327"/>
    <w:rsid w:val="00BE515D"/>
    <w:rsid w:val="00BE5330"/>
    <w:rsid w:val="00BE79F0"/>
    <w:rsid w:val="00BF046D"/>
    <w:rsid w:val="00BF1190"/>
    <w:rsid w:val="00BF1453"/>
    <w:rsid w:val="00BF1A89"/>
    <w:rsid w:val="00BF3774"/>
    <w:rsid w:val="00BF5D04"/>
    <w:rsid w:val="00C009AA"/>
    <w:rsid w:val="00C00A82"/>
    <w:rsid w:val="00C025E3"/>
    <w:rsid w:val="00C02769"/>
    <w:rsid w:val="00C10E4D"/>
    <w:rsid w:val="00C1164D"/>
    <w:rsid w:val="00C127E2"/>
    <w:rsid w:val="00C16394"/>
    <w:rsid w:val="00C16861"/>
    <w:rsid w:val="00C16EFE"/>
    <w:rsid w:val="00C27C47"/>
    <w:rsid w:val="00C314C7"/>
    <w:rsid w:val="00C346AB"/>
    <w:rsid w:val="00C34A14"/>
    <w:rsid w:val="00C404A6"/>
    <w:rsid w:val="00C40A36"/>
    <w:rsid w:val="00C44419"/>
    <w:rsid w:val="00C44A49"/>
    <w:rsid w:val="00C45271"/>
    <w:rsid w:val="00C45E7B"/>
    <w:rsid w:val="00C46577"/>
    <w:rsid w:val="00C46BF4"/>
    <w:rsid w:val="00C471B1"/>
    <w:rsid w:val="00C525A2"/>
    <w:rsid w:val="00C52E24"/>
    <w:rsid w:val="00C534A0"/>
    <w:rsid w:val="00C560D3"/>
    <w:rsid w:val="00C56C59"/>
    <w:rsid w:val="00C61CF9"/>
    <w:rsid w:val="00C6316B"/>
    <w:rsid w:val="00C634A9"/>
    <w:rsid w:val="00C64586"/>
    <w:rsid w:val="00C70A36"/>
    <w:rsid w:val="00C70D53"/>
    <w:rsid w:val="00C72283"/>
    <w:rsid w:val="00C73D0B"/>
    <w:rsid w:val="00C74F5C"/>
    <w:rsid w:val="00C75526"/>
    <w:rsid w:val="00C772FF"/>
    <w:rsid w:val="00C80137"/>
    <w:rsid w:val="00C801AF"/>
    <w:rsid w:val="00C80256"/>
    <w:rsid w:val="00C86EE3"/>
    <w:rsid w:val="00C94CD4"/>
    <w:rsid w:val="00C9625F"/>
    <w:rsid w:val="00C9747E"/>
    <w:rsid w:val="00CA5508"/>
    <w:rsid w:val="00CB19B6"/>
    <w:rsid w:val="00CB262A"/>
    <w:rsid w:val="00CB3C15"/>
    <w:rsid w:val="00CB3F0E"/>
    <w:rsid w:val="00CB5393"/>
    <w:rsid w:val="00CB6A7E"/>
    <w:rsid w:val="00CB6BC0"/>
    <w:rsid w:val="00CC1B7C"/>
    <w:rsid w:val="00CC2874"/>
    <w:rsid w:val="00CC727F"/>
    <w:rsid w:val="00CE3EC8"/>
    <w:rsid w:val="00CE6D42"/>
    <w:rsid w:val="00CE7A60"/>
    <w:rsid w:val="00CF15C3"/>
    <w:rsid w:val="00CF2B6F"/>
    <w:rsid w:val="00CF2F3E"/>
    <w:rsid w:val="00CF497A"/>
    <w:rsid w:val="00CF54D5"/>
    <w:rsid w:val="00CF58B6"/>
    <w:rsid w:val="00CF5DA9"/>
    <w:rsid w:val="00CF5DAD"/>
    <w:rsid w:val="00CF7F9B"/>
    <w:rsid w:val="00D0062D"/>
    <w:rsid w:val="00D011F5"/>
    <w:rsid w:val="00D017ED"/>
    <w:rsid w:val="00D0355E"/>
    <w:rsid w:val="00D040D3"/>
    <w:rsid w:val="00D04C65"/>
    <w:rsid w:val="00D05A9B"/>
    <w:rsid w:val="00D110AB"/>
    <w:rsid w:val="00D1223C"/>
    <w:rsid w:val="00D12C94"/>
    <w:rsid w:val="00D1518B"/>
    <w:rsid w:val="00D153D8"/>
    <w:rsid w:val="00D201D2"/>
    <w:rsid w:val="00D219D9"/>
    <w:rsid w:val="00D224FE"/>
    <w:rsid w:val="00D23139"/>
    <w:rsid w:val="00D25247"/>
    <w:rsid w:val="00D3425C"/>
    <w:rsid w:val="00D36BBC"/>
    <w:rsid w:val="00D425BB"/>
    <w:rsid w:val="00D42C21"/>
    <w:rsid w:val="00D43B84"/>
    <w:rsid w:val="00D453FA"/>
    <w:rsid w:val="00D46EEE"/>
    <w:rsid w:val="00D5036B"/>
    <w:rsid w:val="00D53578"/>
    <w:rsid w:val="00D572FF"/>
    <w:rsid w:val="00D63D1C"/>
    <w:rsid w:val="00D6493E"/>
    <w:rsid w:val="00D650F5"/>
    <w:rsid w:val="00D7195D"/>
    <w:rsid w:val="00D7301E"/>
    <w:rsid w:val="00D80D3C"/>
    <w:rsid w:val="00D83AE1"/>
    <w:rsid w:val="00D840E5"/>
    <w:rsid w:val="00D855D4"/>
    <w:rsid w:val="00D902C9"/>
    <w:rsid w:val="00D93466"/>
    <w:rsid w:val="00D93EE4"/>
    <w:rsid w:val="00DA1124"/>
    <w:rsid w:val="00DA1862"/>
    <w:rsid w:val="00DA3172"/>
    <w:rsid w:val="00DA5337"/>
    <w:rsid w:val="00DA64CB"/>
    <w:rsid w:val="00DA7D9C"/>
    <w:rsid w:val="00DB0291"/>
    <w:rsid w:val="00DB06B8"/>
    <w:rsid w:val="00DB6124"/>
    <w:rsid w:val="00DB750B"/>
    <w:rsid w:val="00DB75B7"/>
    <w:rsid w:val="00DC0A2F"/>
    <w:rsid w:val="00DC1948"/>
    <w:rsid w:val="00DC213B"/>
    <w:rsid w:val="00DC2A5B"/>
    <w:rsid w:val="00DC6E02"/>
    <w:rsid w:val="00DD28CD"/>
    <w:rsid w:val="00DD48FA"/>
    <w:rsid w:val="00DE02AE"/>
    <w:rsid w:val="00DE2A6F"/>
    <w:rsid w:val="00DE312F"/>
    <w:rsid w:val="00DE39D1"/>
    <w:rsid w:val="00DF1D7F"/>
    <w:rsid w:val="00DF4BE4"/>
    <w:rsid w:val="00DF53B6"/>
    <w:rsid w:val="00E01E32"/>
    <w:rsid w:val="00E02382"/>
    <w:rsid w:val="00E02FB4"/>
    <w:rsid w:val="00E07199"/>
    <w:rsid w:val="00E10AC6"/>
    <w:rsid w:val="00E115BE"/>
    <w:rsid w:val="00E13FC7"/>
    <w:rsid w:val="00E15519"/>
    <w:rsid w:val="00E20571"/>
    <w:rsid w:val="00E235F7"/>
    <w:rsid w:val="00E23659"/>
    <w:rsid w:val="00E239D4"/>
    <w:rsid w:val="00E26130"/>
    <w:rsid w:val="00E26BF2"/>
    <w:rsid w:val="00E33D42"/>
    <w:rsid w:val="00E40B22"/>
    <w:rsid w:val="00E4270C"/>
    <w:rsid w:val="00E44ED1"/>
    <w:rsid w:val="00E45619"/>
    <w:rsid w:val="00E4588F"/>
    <w:rsid w:val="00E46DA3"/>
    <w:rsid w:val="00E509D2"/>
    <w:rsid w:val="00E51248"/>
    <w:rsid w:val="00E51BB1"/>
    <w:rsid w:val="00E539BB"/>
    <w:rsid w:val="00E55CB0"/>
    <w:rsid w:val="00E562CB"/>
    <w:rsid w:val="00E624A5"/>
    <w:rsid w:val="00E64BA4"/>
    <w:rsid w:val="00E7344E"/>
    <w:rsid w:val="00E82665"/>
    <w:rsid w:val="00E90909"/>
    <w:rsid w:val="00E93AA4"/>
    <w:rsid w:val="00E97189"/>
    <w:rsid w:val="00EA5A0D"/>
    <w:rsid w:val="00EA6DDA"/>
    <w:rsid w:val="00EB0798"/>
    <w:rsid w:val="00EB1EBC"/>
    <w:rsid w:val="00EB383C"/>
    <w:rsid w:val="00EB40AD"/>
    <w:rsid w:val="00EB586E"/>
    <w:rsid w:val="00EB5FC8"/>
    <w:rsid w:val="00EC463D"/>
    <w:rsid w:val="00EC71B0"/>
    <w:rsid w:val="00EC7A85"/>
    <w:rsid w:val="00ED00C9"/>
    <w:rsid w:val="00ED1914"/>
    <w:rsid w:val="00ED2922"/>
    <w:rsid w:val="00ED3CAD"/>
    <w:rsid w:val="00ED5A41"/>
    <w:rsid w:val="00ED5C21"/>
    <w:rsid w:val="00ED62EA"/>
    <w:rsid w:val="00EE104C"/>
    <w:rsid w:val="00EE1DE8"/>
    <w:rsid w:val="00EE27C2"/>
    <w:rsid w:val="00EE5885"/>
    <w:rsid w:val="00EF2493"/>
    <w:rsid w:val="00EF4BAD"/>
    <w:rsid w:val="00EF59DC"/>
    <w:rsid w:val="00EF75F1"/>
    <w:rsid w:val="00F0109A"/>
    <w:rsid w:val="00F033EC"/>
    <w:rsid w:val="00F04F68"/>
    <w:rsid w:val="00F11BDA"/>
    <w:rsid w:val="00F12670"/>
    <w:rsid w:val="00F12E41"/>
    <w:rsid w:val="00F1335F"/>
    <w:rsid w:val="00F14B27"/>
    <w:rsid w:val="00F178B8"/>
    <w:rsid w:val="00F20C68"/>
    <w:rsid w:val="00F3148D"/>
    <w:rsid w:val="00F325C5"/>
    <w:rsid w:val="00F32FE0"/>
    <w:rsid w:val="00F35298"/>
    <w:rsid w:val="00F47333"/>
    <w:rsid w:val="00F4755B"/>
    <w:rsid w:val="00F47E37"/>
    <w:rsid w:val="00F507CC"/>
    <w:rsid w:val="00F53C07"/>
    <w:rsid w:val="00F54B65"/>
    <w:rsid w:val="00F60751"/>
    <w:rsid w:val="00F63DBF"/>
    <w:rsid w:val="00F640B6"/>
    <w:rsid w:val="00F66DF2"/>
    <w:rsid w:val="00F70A59"/>
    <w:rsid w:val="00F718E7"/>
    <w:rsid w:val="00F747FB"/>
    <w:rsid w:val="00F77D6E"/>
    <w:rsid w:val="00F808F2"/>
    <w:rsid w:val="00F80E40"/>
    <w:rsid w:val="00F82634"/>
    <w:rsid w:val="00F848D9"/>
    <w:rsid w:val="00F90660"/>
    <w:rsid w:val="00F95561"/>
    <w:rsid w:val="00F97DD8"/>
    <w:rsid w:val="00FA5069"/>
    <w:rsid w:val="00FA5B82"/>
    <w:rsid w:val="00FA5EF0"/>
    <w:rsid w:val="00FA639E"/>
    <w:rsid w:val="00FB369D"/>
    <w:rsid w:val="00FB7B98"/>
    <w:rsid w:val="00FC1FCA"/>
    <w:rsid w:val="00FC25E4"/>
    <w:rsid w:val="00FC4EF7"/>
    <w:rsid w:val="00FD0824"/>
    <w:rsid w:val="00FD119B"/>
    <w:rsid w:val="00FD1EDC"/>
    <w:rsid w:val="00FD2B88"/>
    <w:rsid w:val="00FD40D5"/>
    <w:rsid w:val="00FD5E87"/>
    <w:rsid w:val="00FE1DEE"/>
    <w:rsid w:val="00FE2C7E"/>
    <w:rsid w:val="00FE7E30"/>
    <w:rsid w:val="00FF13C4"/>
    <w:rsid w:val="00FF2126"/>
    <w:rsid w:val="00FF2809"/>
    <w:rsid w:val="00FF5755"/>
    <w:rsid w:val="00FF69BE"/>
    <w:rsid w:val="00FF7B93"/>
    <w:rsid w:val="03EDDB80"/>
    <w:rsid w:val="065A88EC"/>
    <w:rsid w:val="0689EEE6"/>
    <w:rsid w:val="08F1638A"/>
    <w:rsid w:val="0C59CF38"/>
    <w:rsid w:val="0DB50CCE"/>
    <w:rsid w:val="0ED33A1F"/>
    <w:rsid w:val="10194C59"/>
    <w:rsid w:val="143637BE"/>
    <w:rsid w:val="16C523A7"/>
    <w:rsid w:val="1AAA56E5"/>
    <w:rsid w:val="1DA955B7"/>
    <w:rsid w:val="1E346AC7"/>
    <w:rsid w:val="1EED4E65"/>
    <w:rsid w:val="2225C408"/>
    <w:rsid w:val="222658CB"/>
    <w:rsid w:val="229C3F05"/>
    <w:rsid w:val="2AA3C67D"/>
    <w:rsid w:val="2E190820"/>
    <w:rsid w:val="317257E8"/>
    <w:rsid w:val="32576D14"/>
    <w:rsid w:val="35E2D724"/>
    <w:rsid w:val="3A6C7215"/>
    <w:rsid w:val="3B5A2A55"/>
    <w:rsid w:val="3C90DFAF"/>
    <w:rsid w:val="3CB3A723"/>
    <w:rsid w:val="3DA4130C"/>
    <w:rsid w:val="3F1047AD"/>
    <w:rsid w:val="3F13479D"/>
    <w:rsid w:val="41DDC93E"/>
    <w:rsid w:val="421AE014"/>
    <w:rsid w:val="422F25B4"/>
    <w:rsid w:val="42316FB0"/>
    <w:rsid w:val="42882499"/>
    <w:rsid w:val="43A65558"/>
    <w:rsid w:val="46DD2BD1"/>
    <w:rsid w:val="4739474C"/>
    <w:rsid w:val="478C3530"/>
    <w:rsid w:val="4C616231"/>
    <w:rsid w:val="4C72CEDE"/>
    <w:rsid w:val="4FB55183"/>
    <w:rsid w:val="4FBD3E0E"/>
    <w:rsid w:val="4FDCCAF2"/>
    <w:rsid w:val="58C13DE5"/>
    <w:rsid w:val="5E7768FA"/>
    <w:rsid w:val="5F4A1705"/>
    <w:rsid w:val="60BF3840"/>
    <w:rsid w:val="614E18E4"/>
    <w:rsid w:val="647D80D8"/>
    <w:rsid w:val="648FE140"/>
    <w:rsid w:val="6BB34B9D"/>
    <w:rsid w:val="6E6126BA"/>
    <w:rsid w:val="6E996AC6"/>
    <w:rsid w:val="6F87DB7C"/>
    <w:rsid w:val="70790326"/>
    <w:rsid w:val="70FA44C8"/>
    <w:rsid w:val="712ABC28"/>
    <w:rsid w:val="73DDB65C"/>
    <w:rsid w:val="742EB3C4"/>
    <w:rsid w:val="756D3DC6"/>
    <w:rsid w:val="75B6FB61"/>
    <w:rsid w:val="75D34E1C"/>
    <w:rsid w:val="786F3732"/>
    <w:rsid w:val="7DC35F1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A9A6C12"/>
  <w15:docId w15:val="{3B5AAC10-2CC0-4812-840B-DF2FAD11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rsid w:val="0029516D"/>
    <w:pPr>
      <w:adjustRightInd w:val="0"/>
      <w:snapToGrid w:val="0"/>
      <w:spacing w:before="180" w:after="180"/>
      <w:ind w:left="720"/>
      <w:contextualSpacing/>
    </w:pPr>
    <w:rPr>
      <w:rFonts w:eastAsia="MS Mincho"/>
      <w:szCs w:val="20"/>
      <w:lang w:eastAsia="ja-JP"/>
    </w:rPr>
  </w:style>
  <w:style w:type="paragraph" w:customStyle="1" w:styleId="Bulletlist">
    <w:name w:val="Bullet list"/>
    <w:basedOn w:val="Normal"/>
    <w:link w:val="BulletlistChar"/>
    <w:qFormat/>
    <w:rsid w:val="0029516D"/>
    <w:pPr>
      <w:numPr>
        <w:numId w:val="37"/>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29516D"/>
    <w:rPr>
      <w:rFonts w:ascii="Cambria" w:eastAsia="Times New Roman" w:hAnsi="Cambria" w:cs="Times New Roman"/>
      <w:snapToGrid w:val="0"/>
      <w:kern w:val="2"/>
      <w:sz w:val="23"/>
    </w:rPr>
  </w:style>
  <w:style w:type="paragraph" w:customStyle="1" w:styleId="Standard">
    <w:name w:val="Standard"/>
    <w:basedOn w:val="Normal"/>
    <w:link w:val="StandardChar"/>
    <w:qFormat/>
    <w:rsid w:val="0029516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9516D"/>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29516D"/>
    <w:rPr>
      <w:rFonts w:ascii="Cambria" w:eastAsia="Cambria" w:hAnsi="Cambria" w:cs="Times New Roman"/>
      <w:snapToGrid/>
      <w:kern w:val="16"/>
      <w:sz w:val="19"/>
      <w:szCs w:val="24"/>
    </w:rPr>
  </w:style>
  <w:style w:type="paragraph" w:customStyle="1" w:styleId="Default">
    <w:name w:val="Default"/>
    <w:rsid w:val="00723FD6"/>
    <w:pPr>
      <w:autoSpaceDE w:val="0"/>
      <w:autoSpaceDN w:val="0"/>
      <w:adjustRightInd w:val="0"/>
      <w:spacing w:after="0" w:line="240" w:lineRule="auto"/>
    </w:pPr>
    <w:rPr>
      <w:rFonts w:ascii="Cambria" w:hAnsi="Cambria" w:cs="Cambria"/>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C44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08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tga.gov.au"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icmi-search-facility" TargetMode="External"/><Relationship Id="rId25" Type="http://schemas.openxmlformats.org/officeDocument/2006/relationships/image" Target="media/image9.png"/><Relationship Id="rId33" Type="http://schemas.openxmlformats.org/officeDocument/2006/relationships/hyperlink" Target="https://www.tga.gov.au/picmi-search-facility"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tga.gov.au/committee/advisory-committee-vaccines-acv" TargetMode="External"/><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tga.gov.au/tgas-risk-management-approach"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tga.gov.au/publication/risk-management-plans-medicines-and-biologicals" TargetMode="External"/><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ausvaxsafety.org.au/about-us" TargetMode="External"/><Relationship Id="rId3" Type="http://schemas.openxmlformats.org/officeDocument/2006/relationships/hyperlink" Target="https://www.tga.gov.au/about-tga/advisory-bodies-and-committees/australian-influenza-vaccine-committee-aivc" TargetMode="External"/><Relationship Id="rId7" Type="http://schemas.openxmlformats.org/officeDocument/2006/relationships/hyperlink" Target="https://www.tga.gov.au/resources/auspar/auspar-influenza-virus-haemagglutinin-1" TargetMode="External"/><Relationship Id="rId2" Type="http://schemas.openxmlformats.org/officeDocument/2006/relationships/hyperlink" Target="https://www.euro.who.int/en/health-topics/communicable-diseases/influenza/pandemic-influenza/how-pandemic-influenza-emerges" TargetMode="External"/><Relationship Id="rId1" Type="http://schemas.openxmlformats.org/officeDocument/2006/relationships/hyperlink" Target="https://www.who.int/en/news-room/fact-sheets/detail/influenza-(seasonal)" TargetMode="External"/><Relationship Id="rId6" Type="http://schemas.openxmlformats.org/officeDocument/2006/relationships/hyperlink" Target="https://www.health.gov.au/health-topics/immunisation/immunisation-throughout-life/national-immunisation-program-schedule" TargetMode="External"/><Relationship Id="rId5" Type="http://schemas.openxmlformats.org/officeDocument/2006/relationships/hyperlink" Target="https://www.health.gov.au/initiatives-and-programs/national-immunisation-program" TargetMode="External"/><Relationship Id="rId4" Type="http://schemas.openxmlformats.org/officeDocument/2006/relationships/hyperlink" Target="https://www.aihw.gov.au/getmedia/2623df7f-794f-4712-94e4-65442323784e/aihw-phe-236_Influenza.pdf.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EFDC1B426F204CAB7609398A7EA482" ma:contentTypeVersion="232" ma:contentTypeDescription="Create a new document." ma:contentTypeScope="" ma:versionID="caee5eebe64193e85896d06d79807a5b">
  <xsd:schema xmlns:xsd="http://www.w3.org/2001/XMLSchema" xmlns:xs="http://www.w3.org/2001/XMLSchema" xmlns:p="http://schemas.microsoft.com/office/2006/metadata/properties" xmlns:ns2="ff67dc1b-6a38-470f-bd7f-f47a04a0f011" xmlns:ns3="d30f8f32-45ee-4c7b-80a5-a1b45d09787e" targetNamespace="http://schemas.microsoft.com/office/2006/metadata/properties" ma:root="true" ma:fieldsID="ed37fb324e4174225ec0183efe1aa33e" ns2:_="" ns3:_="">
    <xsd:import namespace="ff67dc1b-6a38-470f-bd7f-f47a04a0f011"/>
    <xsd:import namespace="d30f8f32-45ee-4c7b-80a5-a1b45d0978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67dc1b-6a38-470f-bd7f-f47a04a0f01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_Flow_SignoffStatus" ma:index="8" nillable="true" ma:displayName="Sign-off status" ma:internalName="_x0024_Resources_x003a_core_x002c_Signoff_Status_x003b_" ma:readOnly="fals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0f8f32-45ee-4c7b-80a5-a1b45d09787e"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f67dc1b-6a38-470f-bd7f-f47a04a0f011" xsi:nil="true"/>
    <_dlc_DocId xmlns="d30f8f32-45ee-4c7b-80a5-a1b45d09787e">5CZJAC6Z6P3W-1108160708-10959</_dlc_DocId>
    <_dlc_DocIdUrl xmlns="d30f8f32-45ee-4c7b-80a5-a1b45d09787e">
      <Url>https://cslpromise.sharepoint.com/sites/SQ_QIVc/_layouts/15/DocIdRedir.aspx?ID=5CZJAC6Z6P3W-1108160708-10959</Url>
      <Description>5CZJAC6Z6P3W-1108160708-10959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9DE1A9-8A4B-4081-B0A2-8D54EC89A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67dc1b-6a38-470f-bd7f-f47a04a0f011"/>
    <ds:schemaRef ds:uri="d30f8f32-45ee-4c7b-80a5-a1b45d097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ACDF9-8698-4591-BF1A-4861A3369281}">
  <ds:schemaRefs>
    <ds:schemaRef ds:uri="http://schemas.openxmlformats.org/officeDocument/2006/bibliography"/>
  </ds:schemaRefs>
</ds:datastoreItem>
</file>

<file path=customXml/itemProps3.xml><?xml version="1.0" encoding="utf-8"?>
<ds:datastoreItem xmlns:ds="http://schemas.openxmlformats.org/officeDocument/2006/customXml" ds:itemID="{290C1B03-1CA9-434E-81FA-C8316531E4D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30f8f32-45ee-4c7b-80a5-a1b45d09787e"/>
    <ds:schemaRef ds:uri="http://purl.org/dc/elements/1.1/"/>
    <ds:schemaRef ds:uri="ff67dc1b-6a38-470f-bd7f-f47a04a0f011"/>
    <ds:schemaRef ds:uri="http://www.w3.org/XML/1998/namespace"/>
    <ds:schemaRef ds:uri="http://purl.org/dc/dcmitype/"/>
  </ds:schemaRefs>
</ds:datastoreItem>
</file>

<file path=customXml/itemProps4.xml><?xml version="1.0" encoding="utf-8"?>
<ds:datastoreItem xmlns:ds="http://schemas.openxmlformats.org/officeDocument/2006/customXml" ds:itemID="{1DCD5636-7732-4D7C-BF49-B336B35E4385}">
  <ds:schemaRefs>
    <ds:schemaRef ds:uri="http://schemas.microsoft.com/sharepoint/v3/contenttype/forms"/>
  </ds:schemaRefs>
</ds:datastoreItem>
</file>

<file path=customXml/itemProps5.xml><?xml version="1.0" encoding="utf-8"?>
<ds:datastoreItem xmlns:ds="http://schemas.openxmlformats.org/officeDocument/2006/customXml" ds:itemID="{86470E59-85F9-435F-A5E1-7582629DED9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40</Pages>
  <Words>12100</Words>
  <Characters>68974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Flucelvax Quad</dc:title>
  <dc:subject>prescription medicine regulation</dc:subject>
  <dc:creator>Therapeutic Goods Administration</dc:creator>
  <cp:keywords/>
  <cp:lastModifiedBy>PITKIN, Brendan</cp:lastModifiedBy>
  <cp:revision>39</cp:revision>
  <cp:lastPrinted>2019-08-14T04:30:00Z</cp:lastPrinted>
  <dcterms:created xsi:type="dcterms:W3CDTF">2022-11-15T23:21:00Z</dcterms:created>
  <dcterms:modified xsi:type="dcterms:W3CDTF">2022-12-05T00:47:00Z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0x01010081EFDC1B426F204CAB7609398A7EA482</vt:lpwstr>
  </property>
  <property fmtid="{D5CDD505-2E9C-101B-9397-08002B2CF9AE}" pid="3" name="_dlc_DocIdItemGuid">
    <vt:lpwstr>08202732-0e89-4987-bd59-8c602de7a2bc</vt:lpwstr>
  </property>
</Properties>
</file>