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C4761" w14:textId="6B62E278" w:rsidR="00375DF3" w:rsidRPr="00071855" w:rsidRDefault="00375DF3" w:rsidP="006018AE">
      <w:pPr>
        <w:tabs>
          <w:tab w:val="left" w:pos="284"/>
        </w:tabs>
        <w:spacing w:after="480" w:line="240" w:lineRule="auto"/>
        <w:rPr>
          <w:rFonts w:ascii="Arial" w:hAnsi="Arial" w:cs="Arial"/>
        </w:rPr>
      </w:pPr>
      <w:r w:rsidRPr="00071855">
        <w:rPr>
          <w:rFonts w:ascii="Arial" w:hAnsi="Arial" w:cs="Arial"/>
          <w:noProof/>
          <w:lang w:eastAsia="en-AU"/>
        </w:rPr>
        <mc:AlternateContent>
          <mc:Choice Requires="wps">
            <w:drawing>
              <wp:inline distT="0" distB="0" distL="0" distR="0" wp14:anchorId="4CD9C58C" wp14:editId="597C762E">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3833F" w14:textId="77777777" w:rsidR="00BE64CC" w:rsidRPr="00BE2A26" w:rsidRDefault="00BE64CC"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4CD9C58C"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2EB3833F" w14:textId="77777777" w:rsidR="00BE64CC" w:rsidRPr="00BE2A26" w:rsidRDefault="00BE64CC"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071855">
        <w:rPr>
          <w:rFonts w:ascii="Arial" w:hAnsi="Arial" w:cs="Arial"/>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071855">
          <w:rPr>
            <w:rStyle w:val="Hyperlink"/>
            <w:rFonts w:ascii="Arial" w:hAnsi="Arial" w:cs="Arial"/>
          </w:rPr>
          <w:t>www.tga.gov.au/reporting-problems</w:t>
        </w:r>
      </w:hyperlink>
      <w:r w:rsidRPr="00071855">
        <w:rPr>
          <w:rFonts w:ascii="Arial" w:hAnsi="Arial" w:cs="Arial"/>
        </w:rPr>
        <w:t>.</w:t>
      </w:r>
      <w:r w:rsidR="001E3868">
        <w:rPr>
          <w:rFonts w:ascii="Arial" w:hAnsi="Arial" w:cs="Arial"/>
        </w:rPr>
        <w:t xml:space="preserve"> </w:t>
      </w:r>
    </w:p>
    <w:p w14:paraId="1B3B4502" w14:textId="2A960C9D" w:rsidR="00622066" w:rsidRPr="0013564B" w:rsidRDefault="00C327ED" w:rsidP="006E595D">
      <w:pPr>
        <w:pStyle w:val="Heading1"/>
        <w:numPr>
          <w:ilvl w:val="0"/>
          <w:numId w:val="0"/>
        </w:numPr>
        <w:spacing w:after="240"/>
        <w:jc w:val="center"/>
        <w:rPr>
          <w:rFonts w:ascii="Arial" w:eastAsia="SimSun" w:hAnsi="Arial" w:cs="Arial"/>
        </w:rPr>
      </w:pPr>
      <w:r w:rsidRPr="0013564B">
        <w:rPr>
          <w:rFonts w:ascii="Arial" w:eastAsia="SimSun" w:hAnsi="Arial" w:cs="Arial"/>
        </w:rPr>
        <w:t>Australian PRODUCT INFORMATION</w:t>
      </w:r>
      <w:r w:rsidR="003332D9" w:rsidRPr="0013564B">
        <w:rPr>
          <w:rFonts w:ascii="Arial" w:eastAsia="SimSun" w:hAnsi="Arial" w:cs="Arial"/>
        </w:rPr>
        <w:fldChar w:fldCharType="begin"/>
      </w:r>
      <w:r w:rsidR="003332D9" w:rsidRPr="0013564B">
        <w:rPr>
          <w:rFonts w:ascii="Arial" w:eastAsia="SimSun" w:hAnsi="Arial" w:cs="Arial"/>
        </w:rPr>
        <w:instrText xml:space="preserve"> DOCVARIABLE VAULT_ND_55880362-e5a8-4b1c-b4a3-2d9918106a51 \* MERGEFORMAT </w:instrText>
      </w:r>
      <w:r w:rsidR="003332D9" w:rsidRPr="0013564B">
        <w:rPr>
          <w:rFonts w:ascii="Arial" w:eastAsia="SimSun" w:hAnsi="Arial" w:cs="Arial"/>
        </w:rPr>
        <w:fldChar w:fldCharType="separate"/>
      </w:r>
      <w:r w:rsidR="003332D9" w:rsidRPr="0013564B">
        <w:rPr>
          <w:rFonts w:ascii="Arial" w:eastAsia="SimSun" w:hAnsi="Arial" w:cs="Arial"/>
        </w:rPr>
        <w:t xml:space="preserve"> </w:t>
      </w:r>
      <w:r w:rsidR="003332D9" w:rsidRPr="0013564B">
        <w:rPr>
          <w:rFonts w:ascii="Arial" w:eastAsia="SimSun" w:hAnsi="Arial" w:cs="Arial"/>
        </w:rPr>
        <w:fldChar w:fldCharType="end"/>
      </w:r>
    </w:p>
    <w:p w14:paraId="4BD31F70" w14:textId="268D211F" w:rsidR="006018AE" w:rsidRPr="00071855" w:rsidRDefault="00E864BD" w:rsidP="00622066">
      <w:pPr>
        <w:pStyle w:val="Heading1"/>
        <w:numPr>
          <w:ilvl w:val="0"/>
          <w:numId w:val="0"/>
        </w:numPr>
        <w:spacing w:before="240" w:after="240"/>
        <w:jc w:val="center"/>
        <w:rPr>
          <w:rFonts w:ascii="Arial" w:eastAsia="SimSun" w:hAnsi="Arial" w:cs="Arial"/>
        </w:rPr>
      </w:pPr>
      <w:r>
        <w:rPr>
          <w:rFonts w:ascii="Arial" w:eastAsia="SimSun" w:hAnsi="Arial" w:cs="Arial"/>
        </w:rPr>
        <w:t>Apretude</w:t>
      </w:r>
      <w:r w:rsidR="00AF238D" w:rsidRPr="00071855">
        <w:rPr>
          <w:rFonts w:ascii="Arial" w:eastAsia="SimSun" w:hAnsi="Arial" w:cs="Arial"/>
        </w:rPr>
        <w:t xml:space="preserve"> </w:t>
      </w:r>
      <w:r w:rsidR="006018AE" w:rsidRPr="00071855">
        <w:rPr>
          <w:rFonts w:ascii="Arial" w:eastAsia="SimSun" w:hAnsi="Arial" w:cs="Arial"/>
        </w:rPr>
        <w:t>(</w:t>
      </w:r>
      <w:r w:rsidR="00CE7817">
        <w:rPr>
          <w:rFonts w:ascii="Arial" w:eastAsia="SimSun" w:hAnsi="Arial" w:cs="Arial"/>
          <w:caps w:val="0"/>
        </w:rPr>
        <w:t>cabotegravir</w:t>
      </w:r>
      <w:r w:rsidR="006018AE" w:rsidRPr="00071855">
        <w:rPr>
          <w:rFonts w:ascii="Arial" w:eastAsia="SimSun" w:hAnsi="Arial" w:cs="Arial"/>
        </w:rPr>
        <w:t>)</w:t>
      </w:r>
      <w:r w:rsidR="00A64655" w:rsidRPr="00071855">
        <w:rPr>
          <w:rFonts w:ascii="Arial" w:eastAsia="SimSun" w:hAnsi="Arial" w:cs="Arial"/>
        </w:rPr>
        <w:t xml:space="preserve"> </w:t>
      </w:r>
      <w:r w:rsidR="00732E70">
        <w:rPr>
          <w:rFonts w:ascii="Arial" w:eastAsia="SimSun" w:hAnsi="Arial" w:cs="Arial"/>
          <w:caps w:val="0"/>
        </w:rPr>
        <w:t xml:space="preserve">film-coated tablets and </w:t>
      </w:r>
      <w:r w:rsidR="00E50E0C">
        <w:rPr>
          <w:rFonts w:ascii="Arial" w:eastAsia="SimSun" w:hAnsi="Arial" w:cs="Arial"/>
          <w:caps w:val="0"/>
        </w:rPr>
        <w:t>prolonged-release suspension for injection</w:t>
      </w:r>
      <w:r w:rsidR="003332D9">
        <w:rPr>
          <w:rFonts w:ascii="Arial" w:eastAsia="SimSun" w:hAnsi="Arial" w:cs="Arial"/>
          <w:caps w:val="0"/>
        </w:rPr>
        <w:fldChar w:fldCharType="begin"/>
      </w:r>
      <w:r w:rsidR="003332D9">
        <w:rPr>
          <w:rFonts w:ascii="Arial" w:eastAsia="SimSun" w:hAnsi="Arial" w:cs="Arial"/>
          <w:caps w:val="0"/>
        </w:rPr>
        <w:instrText xml:space="preserve"> DOCVARIABLE vault_nd_b62edc8c-ae8f-47b7-a896-3550aee67c4e \* MERGEFORMAT </w:instrText>
      </w:r>
      <w:r w:rsidR="003332D9">
        <w:rPr>
          <w:rFonts w:ascii="Arial" w:eastAsia="SimSun" w:hAnsi="Arial" w:cs="Arial"/>
          <w:caps w:val="0"/>
        </w:rPr>
        <w:fldChar w:fldCharType="separate"/>
      </w:r>
      <w:r w:rsidR="003332D9">
        <w:rPr>
          <w:rFonts w:ascii="Arial" w:eastAsia="SimSun" w:hAnsi="Arial" w:cs="Arial"/>
          <w:caps w:val="0"/>
        </w:rPr>
        <w:t xml:space="preserve"> </w:t>
      </w:r>
      <w:r w:rsidR="003332D9">
        <w:rPr>
          <w:rFonts w:ascii="Arial" w:eastAsia="SimSun" w:hAnsi="Arial" w:cs="Arial"/>
          <w:caps w:val="0"/>
        </w:rPr>
        <w:fldChar w:fldCharType="end"/>
      </w:r>
    </w:p>
    <w:p w14:paraId="7D69F0FD" w14:textId="5EE1DFD6" w:rsidR="001A3992" w:rsidRPr="0013564B" w:rsidRDefault="001A3992" w:rsidP="001A3992">
      <w:pPr>
        <w:pStyle w:val="Heading1"/>
        <w:spacing w:before="0" w:after="120"/>
        <w:rPr>
          <w:rFonts w:ascii="Arial" w:hAnsi="Arial" w:cs="Arial"/>
        </w:rPr>
      </w:pPr>
      <w:r w:rsidRPr="0013564B">
        <w:rPr>
          <w:rFonts w:ascii="Arial" w:hAnsi="Arial" w:cs="Arial"/>
        </w:rPr>
        <w:t>Name of the medicine</w:t>
      </w:r>
      <w:r w:rsidR="003332D9" w:rsidRPr="0013564B">
        <w:rPr>
          <w:rFonts w:ascii="Arial" w:hAnsi="Arial" w:cs="Arial"/>
        </w:rPr>
        <w:fldChar w:fldCharType="begin"/>
      </w:r>
      <w:r w:rsidR="003332D9" w:rsidRPr="0013564B">
        <w:rPr>
          <w:rFonts w:ascii="Arial" w:hAnsi="Arial" w:cs="Arial"/>
        </w:rPr>
        <w:instrText xml:space="preserve"> DOCVARIABLE VAULT_ND_0fa1357d-406c-4729-94a0-7be5b26e5894 \* MERGEFORMAT </w:instrText>
      </w:r>
      <w:r w:rsidR="003332D9" w:rsidRPr="0013564B">
        <w:rPr>
          <w:rFonts w:ascii="Arial" w:hAnsi="Arial" w:cs="Arial"/>
        </w:rPr>
        <w:fldChar w:fldCharType="separate"/>
      </w:r>
      <w:r w:rsidR="003332D9" w:rsidRPr="0013564B">
        <w:rPr>
          <w:rFonts w:ascii="Arial" w:hAnsi="Arial" w:cs="Arial"/>
        </w:rPr>
        <w:t xml:space="preserve"> </w:t>
      </w:r>
      <w:r w:rsidR="003332D9" w:rsidRPr="0013564B">
        <w:rPr>
          <w:rFonts w:ascii="Arial" w:hAnsi="Arial" w:cs="Arial"/>
        </w:rPr>
        <w:fldChar w:fldCharType="end"/>
      </w:r>
    </w:p>
    <w:p w14:paraId="00605196" w14:textId="6F6005F8" w:rsidR="00BC5D45" w:rsidRDefault="00950FCF" w:rsidP="00E22A97">
      <w:pPr>
        <w:rPr>
          <w:rFonts w:ascii="Arial" w:hAnsi="Arial" w:cs="Arial"/>
        </w:rPr>
      </w:pPr>
      <w:r>
        <w:rPr>
          <w:rFonts w:ascii="Arial" w:hAnsi="Arial" w:cs="Arial"/>
        </w:rPr>
        <w:t xml:space="preserve">Film-coated tablets: </w:t>
      </w:r>
      <w:r w:rsidR="00E22A97" w:rsidRPr="00852DAE">
        <w:rPr>
          <w:rFonts w:ascii="Arial" w:hAnsi="Arial" w:cs="Arial"/>
        </w:rPr>
        <w:t xml:space="preserve">Cabotegravir (as cabotegravir sodium) </w:t>
      </w:r>
    </w:p>
    <w:p w14:paraId="5BBBB554" w14:textId="2FCBFA29" w:rsidR="00E22A97" w:rsidRPr="00852DAE" w:rsidRDefault="004E01D6" w:rsidP="00E22A97">
      <w:pPr>
        <w:rPr>
          <w:rFonts w:ascii="Arial" w:hAnsi="Arial" w:cs="Arial"/>
        </w:rPr>
      </w:pPr>
      <w:r w:rsidRPr="004E01D6">
        <w:rPr>
          <w:rFonts w:ascii="Arial" w:hAnsi="Arial" w:cs="Arial"/>
        </w:rPr>
        <w:t xml:space="preserve">Prolonged-release suspension for injection: </w:t>
      </w:r>
      <w:r w:rsidR="00ED3C76" w:rsidRPr="00852DAE">
        <w:rPr>
          <w:rFonts w:ascii="Arial" w:hAnsi="Arial" w:cs="Arial"/>
        </w:rPr>
        <w:t>Cabotegravir</w:t>
      </w:r>
    </w:p>
    <w:p w14:paraId="473CB837" w14:textId="56263884" w:rsidR="001A3992" w:rsidRPr="0013564B" w:rsidRDefault="001A3992" w:rsidP="001A3992">
      <w:pPr>
        <w:pStyle w:val="Heading1"/>
        <w:spacing w:before="0" w:after="120"/>
        <w:rPr>
          <w:rFonts w:ascii="Arial" w:hAnsi="Arial" w:cs="Arial"/>
        </w:rPr>
      </w:pPr>
      <w:r w:rsidRPr="0013564B">
        <w:rPr>
          <w:rFonts w:ascii="Arial" w:hAnsi="Arial" w:cs="Arial"/>
        </w:rPr>
        <w:t>Qualitative and quantitative composition</w:t>
      </w:r>
      <w:r w:rsidR="003332D9" w:rsidRPr="0013564B">
        <w:rPr>
          <w:rFonts w:ascii="Arial" w:hAnsi="Arial" w:cs="Arial"/>
        </w:rPr>
        <w:fldChar w:fldCharType="begin"/>
      </w:r>
      <w:r w:rsidR="003332D9" w:rsidRPr="0013564B">
        <w:rPr>
          <w:rFonts w:ascii="Arial" w:hAnsi="Arial" w:cs="Arial"/>
        </w:rPr>
        <w:instrText xml:space="preserve"> DOCVARIABLE VAULT_ND_8b9ad6ce-a488-4088-ae14-930be2e62f52 \* MERGEFORMAT </w:instrText>
      </w:r>
      <w:r w:rsidR="003332D9" w:rsidRPr="0013564B">
        <w:rPr>
          <w:rFonts w:ascii="Arial" w:hAnsi="Arial" w:cs="Arial"/>
        </w:rPr>
        <w:fldChar w:fldCharType="separate"/>
      </w:r>
      <w:r w:rsidR="003332D9" w:rsidRPr="0013564B">
        <w:rPr>
          <w:rFonts w:ascii="Arial" w:hAnsi="Arial" w:cs="Arial"/>
        </w:rPr>
        <w:t xml:space="preserve"> </w:t>
      </w:r>
      <w:r w:rsidR="003332D9" w:rsidRPr="0013564B">
        <w:rPr>
          <w:rFonts w:ascii="Arial" w:hAnsi="Arial" w:cs="Arial"/>
        </w:rPr>
        <w:fldChar w:fldCharType="end"/>
      </w:r>
    </w:p>
    <w:p w14:paraId="75970A8F" w14:textId="38C9F2FE" w:rsidR="00244AE8" w:rsidRPr="00D01AFF" w:rsidRDefault="00244AE8" w:rsidP="00C14D34">
      <w:pPr>
        <w:rPr>
          <w:rFonts w:ascii="Arial" w:hAnsi="Arial" w:cs="Arial"/>
        </w:rPr>
      </w:pPr>
      <w:r w:rsidRPr="00650814">
        <w:rPr>
          <w:rFonts w:ascii="Arial" w:hAnsi="Arial" w:cs="Arial"/>
        </w:rPr>
        <w:t>Cabotegravir is a white</w:t>
      </w:r>
      <w:r>
        <w:rPr>
          <w:rFonts w:ascii="Arial" w:hAnsi="Arial" w:cs="Arial"/>
        </w:rPr>
        <w:t xml:space="preserve"> to almost white solid.</w:t>
      </w:r>
    </w:p>
    <w:p w14:paraId="72AF58E2" w14:textId="2A93725C" w:rsidR="00C14D34" w:rsidRDefault="00C14D34" w:rsidP="00C14D34">
      <w:pPr>
        <w:rPr>
          <w:rFonts w:ascii="Arial" w:eastAsia="SimSun" w:hAnsi="Arial" w:cs="Arial"/>
          <w:u w:val="single"/>
        </w:rPr>
      </w:pPr>
      <w:r w:rsidRPr="002B0936">
        <w:rPr>
          <w:rFonts w:ascii="Arial" w:eastAsia="SimSun" w:hAnsi="Arial" w:cs="Arial"/>
          <w:u w:val="single"/>
        </w:rPr>
        <w:t>Film-coated tablets</w:t>
      </w:r>
    </w:p>
    <w:p w14:paraId="345CEAFC" w14:textId="5927845F" w:rsidR="005B0B87" w:rsidRPr="00650814" w:rsidRDefault="00244AE8" w:rsidP="004021AC">
      <w:pPr>
        <w:rPr>
          <w:rFonts w:ascii="Arial" w:hAnsi="Arial" w:cs="Arial"/>
        </w:rPr>
      </w:pPr>
      <w:r>
        <w:rPr>
          <w:rFonts w:ascii="Arial" w:eastAsia="SimSun" w:hAnsi="Arial" w:cs="Arial"/>
        </w:rPr>
        <w:t>APRETUDE</w:t>
      </w:r>
      <w:r w:rsidR="00E06648" w:rsidRPr="00650814">
        <w:rPr>
          <w:rFonts w:ascii="Arial" w:eastAsia="SimSun" w:hAnsi="Arial" w:cs="Arial"/>
        </w:rPr>
        <w:t xml:space="preserve"> tablet c</w:t>
      </w:r>
      <w:r w:rsidR="005B0B87" w:rsidRPr="00650814">
        <w:rPr>
          <w:rFonts w:ascii="Arial" w:hAnsi="Arial" w:cs="Arial"/>
        </w:rPr>
        <w:t>ontains 30 mg cabotegravir (as cabotegravir sodium).</w:t>
      </w:r>
    </w:p>
    <w:p w14:paraId="3549F9F0" w14:textId="34DFFCC3" w:rsidR="00C14D34" w:rsidRPr="00C14D34" w:rsidRDefault="00C14D34" w:rsidP="004021AC">
      <w:pPr>
        <w:rPr>
          <w:rFonts w:ascii="Arial" w:eastAsia="SimSun" w:hAnsi="Arial" w:cs="Arial"/>
          <w:u w:val="single"/>
        </w:rPr>
      </w:pPr>
      <w:r>
        <w:rPr>
          <w:rFonts w:ascii="Arial" w:eastAsia="SimSun" w:hAnsi="Arial" w:cs="Arial"/>
          <w:u w:val="single"/>
        </w:rPr>
        <w:t>P</w:t>
      </w:r>
      <w:r w:rsidRPr="002B0936">
        <w:rPr>
          <w:rFonts w:ascii="Arial" w:eastAsia="SimSun" w:hAnsi="Arial" w:cs="Arial"/>
          <w:u w:val="single"/>
        </w:rPr>
        <w:t>rolonged-release suspension for injection</w:t>
      </w:r>
    </w:p>
    <w:p w14:paraId="1C7DA2C4" w14:textId="01A30B5F" w:rsidR="00766BBF" w:rsidRPr="007726A7" w:rsidRDefault="00244AE8" w:rsidP="006E595D">
      <w:pPr>
        <w:rPr>
          <w:rFonts w:ascii="Arial" w:hAnsi="Arial" w:cs="Arial"/>
        </w:rPr>
      </w:pPr>
      <w:r>
        <w:rPr>
          <w:rFonts w:ascii="Arial" w:eastAsia="SimSun" w:hAnsi="Arial" w:cs="Arial"/>
        </w:rPr>
        <w:t>APRETUDE</w:t>
      </w:r>
      <w:r w:rsidR="00700210" w:rsidRPr="00650814">
        <w:rPr>
          <w:rFonts w:ascii="Arial" w:eastAsia="SimSun" w:hAnsi="Arial" w:cs="Arial"/>
        </w:rPr>
        <w:t xml:space="preserve"> </w:t>
      </w:r>
      <w:r w:rsidR="003B40BF" w:rsidRPr="00650814">
        <w:rPr>
          <w:rFonts w:ascii="Arial" w:eastAsia="SimSun" w:hAnsi="Arial" w:cs="Arial"/>
        </w:rPr>
        <w:t>injection</w:t>
      </w:r>
      <w:r w:rsidR="00700210" w:rsidRPr="00650814">
        <w:rPr>
          <w:rFonts w:ascii="Arial" w:eastAsia="SimSun" w:hAnsi="Arial" w:cs="Arial"/>
        </w:rPr>
        <w:t xml:space="preserve"> contains </w:t>
      </w:r>
      <w:r w:rsidR="00D8718F" w:rsidRPr="00D8718F">
        <w:rPr>
          <w:rFonts w:ascii="Arial" w:hAnsi="Arial" w:cs="Arial"/>
        </w:rPr>
        <w:t>600 mg cabotegravir (as cabotegravir free acid)</w:t>
      </w:r>
      <w:r w:rsidR="00650814" w:rsidRPr="00650814">
        <w:rPr>
          <w:rFonts w:ascii="Arial" w:hAnsi="Arial" w:cs="Arial"/>
        </w:rPr>
        <w:t xml:space="preserve"> in 3 mL vial</w:t>
      </w:r>
      <w:r w:rsidR="00D8718F" w:rsidRPr="00D8718F">
        <w:rPr>
          <w:rFonts w:ascii="Arial" w:hAnsi="Arial" w:cs="Arial"/>
        </w:rPr>
        <w:t>.</w:t>
      </w:r>
    </w:p>
    <w:p w14:paraId="1FE92443" w14:textId="4D7FE8E4" w:rsidR="00E42B91" w:rsidRDefault="00E42B91" w:rsidP="005B2812">
      <w:pPr>
        <w:rPr>
          <w:rFonts w:ascii="Arial" w:hAnsi="Arial" w:cs="Arial"/>
          <w:b/>
          <w:lang w:val="en"/>
        </w:rPr>
      </w:pPr>
      <w:r w:rsidRPr="00E42B91">
        <w:rPr>
          <w:rFonts w:ascii="Arial" w:hAnsi="Arial" w:cs="Arial"/>
          <w:b/>
          <w:lang w:val="en"/>
        </w:rPr>
        <w:t>List of excipients with known effect</w:t>
      </w:r>
    </w:p>
    <w:p w14:paraId="3F164FD1" w14:textId="0E283663" w:rsidR="007726A7" w:rsidRDefault="00244AE8" w:rsidP="005B2812">
      <w:pPr>
        <w:rPr>
          <w:rFonts w:ascii="Arial" w:hAnsi="Arial" w:cs="Arial"/>
          <w:lang w:val="en"/>
        </w:rPr>
      </w:pPr>
      <w:r>
        <w:rPr>
          <w:rFonts w:ascii="Arial" w:hAnsi="Arial" w:cs="Arial"/>
          <w:lang w:val="en"/>
        </w:rPr>
        <w:t>APRETUDE</w:t>
      </w:r>
      <w:r w:rsidR="00DF30B1">
        <w:rPr>
          <w:rFonts w:ascii="Arial" w:hAnsi="Arial" w:cs="Arial"/>
          <w:lang w:val="en"/>
        </w:rPr>
        <w:t xml:space="preserve"> tablets contain lactose monohydrate. </w:t>
      </w:r>
    </w:p>
    <w:p w14:paraId="705B4494" w14:textId="3D0C5C3A" w:rsidR="00213C93" w:rsidRPr="00DF30B1" w:rsidRDefault="00213C93" w:rsidP="005B2812">
      <w:pPr>
        <w:rPr>
          <w:rFonts w:ascii="Arial" w:hAnsi="Arial" w:cs="Arial"/>
          <w:lang w:val="en"/>
        </w:rPr>
      </w:pPr>
      <w:r w:rsidRPr="00213C93">
        <w:rPr>
          <w:rFonts w:ascii="Arial" w:hAnsi="Arial" w:cs="Arial"/>
          <w:lang w:val="en"/>
        </w:rPr>
        <w:t>APRETUDE injection: None</w:t>
      </w:r>
    </w:p>
    <w:p w14:paraId="4E20E3F3" w14:textId="77777777" w:rsidR="005B2812" w:rsidRPr="00071855" w:rsidRDefault="005B2812" w:rsidP="005B2812">
      <w:pPr>
        <w:rPr>
          <w:rFonts w:ascii="Arial" w:hAnsi="Arial" w:cs="Arial"/>
        </w:rPr>
      </w:pPr>
      <w:r w:rsidRPr="00071855">
        <w:rPr>
          <w:rFonts w:ascii="Arial" w:hAnsi="Arial" w:cs="Arial"/>
          <w:lang w:val="en"/>
        </w:rPr>
        <w:t>For the full list of excipients, see Section 6.</w:t>
      </w:r>
      <w:r w:rsidR="00071973">
        <w:rPr>
          <w:rFonts w:ascii="Arial" w:hAnsi="Arial" w:cs="Arial"/>
          <w:lang w:val="en"/>
        </w:rPr>
        <w:t xml:space="preserve">1 </w:t>
      </w:r>
      <w:r w:rsidR="00FC1C5C">
        <w:rPr>
          <w:rFonts w:ascii="Arial" w:hAnsi="Arial" w:cs="Arial"/>
          <w:lang w:val="en"/>
        </w:rPr>
        <w:t>LIST OF EXCIPIENTS</w:t>
      </w:r>
      <w:r w:rsidR="00071973">
        <w:rPr>
          <w:rFonts w:ascii="Arial" w:hAnsi="Arial" w:cs="Arial"/>
          <w:lang w:val="en"/>
        </w:rPr>
        <w:t>.</w:t>
      </w:r>
    </w:p>
    <w:p w14:paraId="5ED5B14D" w14:textId="247E4B97" w:rsidR="001A3992" w:rsidRPr="0013564B" w:rsidRDefault="001A3992" w:rsidP="001A3992">
      <w:pPr>
        <w:pStyle w:val="Heading1"/>
        <w:spacing w:before="0" w:after="120"/>
        <w:rPr>
          <w:rFonts w:ascii="Arial" w:hAnsi="Arial" w:cs="Arial"/>
        </w:rPr>
      </w:pPr>
      <w:r w:rsidRPr="0013564B">
        <w:rPr>
          <w:rFonts w:ascii="Arial" w:hAnsi="Arial" w:cs="Arial"/>
        </w:rPr>
        <w:t>Pharmaceutical form</w:t>
      </w:r>
      <w:r w:rsidR="003332D9" w:rsidRPr="0013564B">
        <w:rPr>
          <w:rFonts w:ascii="Arial" w:hAnsi="Arial" w:cs="Arial"/>
        </w:rPr>
        <w:fldChar w:fldCharType="begin"/>
      </w:r>
      <w:r w:rsidR="003332D9" w:rsidRPr="0013564B">
        <w:rPr>
          <w:rFonts w:ascii="Arial" w:hAnsi="Arial" w:cs="Arial"/>
        </w:rPr>
        <w:instrText xml:space="preserve"> DOCVARIABLE VAULT_ND_fc412fe7-602b-485b-aaaf-170565984241 \* MERGEFORMAT </w:instrText>
      </w:r>
      <w:r w:rsidR="003332D9" w:rsidRPr="0013564B">
        <w:rPr>
          <w:rFonts w:ascii="Arial" w:hAnsi="Arial" w:cs="Arial"/>
        </w:rPr>
        <w:fldChar w:fldCharType="separate"/>
      </w:r>
      <w:r w:rsidR="003332D9" w:rsidRPr="0013564B">
        <w:rPr>
          <w:rFonts w:ascii="Arial" w:hAnsi="Arial" w:cs="Arial"/>
        </w:rPr>
        <w:t xml:space="preserve"> </w:t>
      </w:r>
      <w:r w:rsidR="003332D9" w:rsidRPr="0013564B">
        <w:rPr>
          <w:rFonts w:ascii="Arial" w:hAnsi="Arial" w:cs="Arial"/>
        </w:rPr>
        <w:fldChar w:fldCharType="end"/>
      </w:r>
    </w:p>
    <w:p w14:paraId="2DD9FB09" w14:textId="6ECDDE35" w:rsidR="00C602FD" w:rsidRDefault="00C602FD" w:rsidP="00C602FD">
      <w:pPr>
        <w:rPr>
          <w:rFonts w:ascii="Arial" w:eastAsia="SimSun" w:hAnsi="Arial" w:cs="Arial"/>
          <w:u w:val="single"/>
        </w:rPr>
      </w:pPr>
      <w:r w:rsidRPr="002B0936">
        <w:rPr>
          <w:rFonts w:ascii="Arial" w:eastAsia="SimSun" w:hAnsi="Arial" w:cs="Arial"/>
          <w:u w:val="single"/>
        </w:rPr>
        <w:t>Film-coated tablets</w:t>
      </w:r>
    </w:p>
    <w:p w14:paraId="6AD27D1E" w14:textId="560C0F11" w:rsidR="00C602FD" w:rsidRPr="00641F77" w:rsidRDefault="00244AE8" w:rsidP="00C602FD">
      <w:pPr>
        <w:rPr>
          <w:rFonts w:ascii="Arial" w:hAnsi="Arial" w:cs="Arial"/>
          <w:lang w:val="en"/>
        </w:rPr>
      </w:pPr>
      <w:r>
        <w:rPr>
          <w:rFonts w:ascii="Arial" w:hAnsi="Arial" w:cs="Arial"/>
          <w:lang w:val="en"/>
        </w:rPr>
        <w:t>APRETUDE</w:t>
      </w:r>
      <w:r w:rsidR="00D01AFF">
        <w:rPr>
          <w:rFonts w:ascii="Arial" w:hAnsi="Arial" w:cs="Arial"/>
          <w:lang w:val="en"/>
        </w:rPr>
        <w:t xml:space="preserve"> </w:t>
      </w:r>
      <w:r w:rsidR="007A6A77" w:rsidRPr="00983079">
        <w:rPr>
          <w:rFonts w:ascii="Arial" w:hAnsi="Arial" w:cs="Arial"/>
          <w:lang w:val="en"/>
        </w:rPr>
        <w:t>tablets are white, oval, film-coated, tablets</w:t>
      </w:r>
      <w:r w:rsidR="00641F77">
        <w:rPr>
          <w:rFonts w:ascii="Arial" w:hAnsi="Arial" w:cs="Arial"/>
          <w:lang w:val="en"/>
        </w:rPr>
        <w:t xml:space="preserve">. </w:t>
      </w:r>
    </w:p>
    <w:p w14:paraId="69FFE74A" w14:textId="608C96A2" w:rsidR="00C602FD" w:rsidRDefault="00C602FD" w:rsidP="00C602FD">
      <w:pPr>
        <w:rPr>
          <w:rFonts w:ascii="Arial" w:eastAsia="SimSun" w:hAnsi="Arial" w:cs="Arial"/>
          <w:u w:val="single"/>
        </w:rPr>
      </w:pPr>
      <w:r>
        <w:rPr>
          <w:rFonts w:ascii="Arial" w:eastAsia="SimSun" w:hAnsi="Arial" w:cs="Arial"/>
          <w:u w:val="single"/>
        </w:rPr>
        <w:t>P</w:t>
      </w:r>
      <w:r w:rsidRPr="002B0936">
        <w:rPr>
          <w:rFonts w:ascii="Arial" w:eastAsia="SimSun" w:hAnsi="Arial" w:cs="Arial"/>
          <w:u w:val="single"/>
        </w:rPr>
        <w:t>rolonged-release suspension for injection</w:t>
      </w:r>
    </w:p>
    <w:p w14:paraId="46B006C1" w14:textId="0432C848" w:rsidR="00C602FD" w:rsidRPr="00DF30B1" w:rsidRDefault="00244AE8" w:rsidP="00C602FD">
      <w:pPr>
        <w:rPr>
          <w:rFonts w:ascii="Arial" w:hAnsi="Arial" w:cs="Arial"/>
          <w:i/>
          <w:color w:val="FF0000"/>
        </w:rPr>
      </w:pPr>
      <w:r>
        <w:rPr>
          <w:rFonts w:ascii="Arial" w:eastAsia="SimSun" w:hAnsi="Arial" w:cs="Arial"/>
        </w:rPr>
        <w:t>APRETUDE</w:t>
      </w:r>
      <w:r w:rsidR="00C45C4A" w:rsidRPr="00C45C4A">
        <w:rPr>
          <w:rFonts w:ascii="Arial" w:eastAsia="SimSun" w:hAnsi="Arial" w:cs="Arial"/>
        </w:rPr>
        <w:t xml:space="preserve"> injection is a white to light pink suspension. </w:t>
      </w:r>
    </w:p>
    <w:p w14:paraId="5A236DC0" w14:textId="4447E2C9" w:rsidR="001A3992" w:rsidRPr="0013564B" w:rsidRDefault="001A3992" w:rsidP="00FE539D">
      <w:pPr>
        <w:pStyle w:val="Heading1"/>
        <w:spacing w:before="0" w:after="120"/>
        <w:rPr>
          <w:rFonts w:ascii="Arial" w:hAnsi="Arial" w:cs="Arial"/>
        </w:rPr>
      </w:pPr>
      <w:r w:rsidRPr="0013564B">
        <w:rPr>
          <w:rFonts w:ascii="Arial" w:hAnsi="Arial" w:cs="Arial"/>
        </w:rPr>
        <w:lastRenderedPageBreak/>
        <w:t>Clinical particulars</w:t>
      </w:r>
      <w:r w:rsidR="003332D9" w:rsidRPr="0013564B">
        <w:rPr>
          <w:rFonts w:ascii="Arial" w:hAnsi="Arial" w:cs="Arial"/>
        </w:rPr>
        <w:fldChar w:fldCharType="begin"/>
      </w:r>
      <w:r w:rsidR="003332D9" w:rsidRPr="0013564B">
        <w:rPr>
          <w:rFonts w:ascii="Arial" w:hAnsi="Arial" w:cs="Arial"/>
        </w:rPr>
        <w:instrText xml:space="preserve"> DOCVARIABLE VAULT_ND_5d01ab34-7d79-47ac-9c20-f0b01da3f779 \* MERGEFORMAT </w:instrText>
      </w:r>
      <w:r w:rsidR="003332D9" w:rsidRPr="0013564B">
        <w:rPr>
          <w:rFonts w:ascii="Arial" w:hAnsi="Arial" w:cs="Arial"/>
        </w:rPr>
        <w:fldChar w:fldCharType="separate"/>
      </w:r>
      <w:r w:rsidR="003332D9" w:rsidRPr="0013564B">
        <w:rPr>
          <w:rFonts w:ascii="Arial" w:hAnsi="Arial" w:cs="Arial"/>
        </w:rPr>
        <w:t xml:space="preserve"> </w:t>
      </w:r>
      <w:r w:rsidR="003332D9" w:rsidRPr="0013564B">
        <w:rPr>
          <w:rFonts w:ascii="Arial" w:hAnsi="Arial" w:cs="Arial"/>
        </w:rPr>
        <w:fldChar w:fldCharType="end"/>
      </w:r>
    </w:p>
    <w:p w14:paraId="1C3648A0" w14:textId="2EF7019E" w:rsidR="001A3992" w:rsidRPr="00071855" w:rsidRDefault="00071855" w:rsidP="00FE539D">
      <w:pPr>
        <w:pStyle w:val="Heading2"/>
        <w:keepNext/>
        <w:keepLines/>
        <w:spacing w:before="0" w:after="120"/>
        <w:rPr>
          <w:rFonts w:ascii="Arial" w:hAnsi="Arial" w:cs="Arial"/>
          <w:smallCaps w:val="0"/>
        </w:rPr>
      </w:pPr>
      <w:r w:rsidRPr="00071855">
        <w:rPr>
          <w:rFonts w:ascii="Arial" w:hAnsi="Arial" w:cs="Arial"/>
          <w:smallCaps w:val="0"/>
        </w:rPr>
        <w:t xml:space="preserve">THERAPEUTIC INDICATIONS </w:t>
      </w:r>
      <w:r w:rsidR="003332D9">
        <w:rPr>
          <w:rFonts w:ascii="Arial" w:hAnsi="Arial" w:cs="Arial"/>
          <w:smallCaps w:val="0"/>
        </w:rPr>
        <w:fldChar w:fldCharType="begin"/>
      </w:r>
      <w:r w:rsidR="003332D9">
        <w:rPr>
          <w:rFonts w:ascii="Arial" w:hAnsi="Arial" w:cs="Arial"/>
          <w:smallCaps w:val="0"/>
        </w:rPr>
        <w:instrText xml:space="preserve"> DOCVARIABLE VAULT_ND_54116ed5-1788-414f-9929-1aa78f43b7db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0F73638E" w14:textId="6C3FDC88" w:rsidR="00FF656D" w:rsidRDefault="00FF656D" w:rsidP="00FF656D">
      <w:pPr>
        <w:keepNext/>
        <w:keepLines/>
        <w:tabs>
          <w:tab w:val="left" w:pos="567"/>
        </w:tabs>
        <w:spacing w:after="0"/>
        <w:jc w:val="both"/>
        <w:rPr>
          <w:rFonts w:ascii="Arial" w:hAnsi="Arial" w:cs="Arial"/>
          <w:lang w:val="en"/>
        </w:rPr>
      </w:pPr>
      <w:r w:rsidRPr="00FF656D">
        <w:rPr>
          <w:rFonts w:ascii="Arial" w:hAnsi="Arial" w:cs="Arial"/>
          <w:lang w:val="en"/>
        </w:rPr>
        <w:t>APRETUDE is indicated in at-risk adults and adolescents</w:t>
      </w:r>
      <w:r>
        <w:rPr>
          <w:rFonts w:ascii="Arial" w:hAnsi="Arial" w:cs="Arial"/>
          <w:lang w:val="en"/>
        </w:rPr>
        <w:t xml:space="preserve"> </w:t>
      </w:r>
      <w:r w:rsidR="002F30BF" w:rsidRPr="002F30BF">
        <w:rPr>
          <w:rFonts w:ascii="Arial" w:hAnsi="Arial" w:cs="Arial"/>
          <w:lang w:val="en"/>
        </w:rPr>
        <w:t xml:space="preserve">(at least 12 years of age) </w:t>
      </w:r>
      <w:r w:rsidR="002F30BF">
        <w:rPr>
          <w:rFonts w:ascii="Arial" w:hAnsi="Arial" w:cs="Arial"/>
          <w:lang w:val="en"/>
        </w:rPr>
        <w:t xml:space="preserve">and </w:t>
      </w:r>
      <w:r w:rsidRPr="00FF656D">
        <w:rPr>
          <w:rFonts w:ascii="Arial" w:hAnsi="Arial" w:cs="Arial"/>
          <w:lang w:val="en"/>
        </w:rPr>
        <w:t>weighing at least 35 kg for pre-exposure prophylaxis (</w:t>
      </w:r>
      <w:proofErr w:type="spellStart"/>
      <w:r w:rsidRPr="00FF656D">
        <w:rPr>
          <w:rFonts w:ascii="Arial" w:hAnsi="Arial" w:cs="Arial"/>
          <w:lang w:val="en"/>
        </w:rPr>
        <w:t>PrEP</w:t>
      </w:r>
      <w:proofErr w:type="spellEnd"/>
      <w:r w:rsidRPr="00FF656D">
        <w:rPr>
          <w:rFonts w:ascii="Arial" w:hAnsi="Arial" w:cs="Arial"/>
          <w:lang w:val="en"/>
        </w:rPr>
        <w:t>)</w:t>
      </w:r>
      <w:r>
        <w:rPr>
          <w:rFonts w:ascii="Arial" w:hAnsi="Arial" w:cs="Arial"/>
          <w:lang w:val="en"/>
        </w:rPr>
        <w:t xml:space="preserve"> </w:t>
      </w:r>
      <w:r w:rsidRPr="00FF656D">
        <w:rPr>
          <w:rFonts w:ascii="Arial" w:hAnsi="Arial" w:cs="Arial"/>
          <w:lang w:val="en"/>
        </w:rPr>
        <w:t>to reduce the risk of sexually acquired HIV-1 infection.</w:t>
      </w:r>
    </w:p>
    <w:p w14:paraId="3F3B54D2" w14:textId="77777777" w:rsidR="00F3365A" w:rsidRPr="00FF656D" w:rsidRDefault="00F3365A" w:rsidP="00FF656D">
      <w:pPr>
        <w:keepNext/>
        <w:keepLines/>
        <w:tabs>
          <w:tab w:val="left" w:pos="567"/>
        </w:tabs>
        <w:spacing w:after="0"/>
        <w:jc w:val="both"/>
        <w:rPr>
          <w:rFonts w:ascii="Arial" w:hAnsi="Arial" w:cs="Arial"/>
          <w:lang w:val="en"/>
        </w:rPr>
      </w:pPr>
    </w:p>
    <w:p w14:paraId="53F15ED5" w14:textId="77777777" w:rsidR="00F3365A" w:rsidRDefault="00FF656D" w:rsidP="00FF656D">
      <w:pPr>
        <w:keepNext/>
        <w:keepLines/>
        <w:tabs>
          <w:tab w:val="left" w:pos="567"/>
        </w:tabs>
        <w:spacing w:after="0"/>
        <w:jc w:val="both"/>
        <w:rPr>
          <w:rFonts w:ascii="Arial" w:hAnsi="Arial" w:cs="Arial"/>
          <w:lang w:val="en"/>
        </w:rPr>
      </w:pPr>
      <w:r w:rsidRPr="00FF656D">
        <w:rPr>
          <w:rFonts w:ascii="Arial" w:hAnsi="Arial" w:cs="Arial"/>
          <w:lang w:val="en"/>
        </w:rPr>
        <w:t>APRETUDE tablets may be used as an oral lead-in to assess</w:t>
      </w:r>
      <w:r w:rsidR="00F3365A">
        <w:rPr>
          <w:rFonts w:ascii="Arial" w:hAnsi="Arial" w:cs="Arial"/>
          <w:lang w:val="en"/>
        </w:rPr>
        <w:t xml:space="preserve"> </w:t>
      </w:r>
      <w:r w:rsidRPr="00FF656D">
        <w:rPr>
          <w:rFonts w:ascii="Arial" w:hAnsi="Arial" w:cs="Arial"/>
          <w:lang w:val="en"/>
        </w:rPr>
        <w:t>tolerability of cabotegravir prior to administration of</w:t>
      </w:r>
      <w:r w:rsidR="00F3365A">
        <w:rPr>
          <w:rFonts w:ascii="Arial" w:hAnsi="Arial" w:cs="Arial"/>
          <w:lang w:val="en"/>
        </w:rPr>
        <w:t xml:space="preserve"> </w:t>
      </w:r>
      <w:r w:rsidRPr="00FF656D">
        <w:rPr>
          <w:rFonts w:ascii="Arial" w:hAnsi="Arial" w:cs="Arial"/>
          <w:lang w:val="en"/>
        </w:rPr>
        <w:t xml:space="preserve">cabotegravir injections or as short-term oral </w:t>
      </w:r>
      <w:proofErr w:type="spellStart"/>
      <w:r w:rsidRPr="00FF656D">
        <w:rPr>
          <w:rFonts w:ascii="Arial" w:hAnsi="Arial" w:cs="Arial"/>
          <w:lang w:val="en"/>
        </w:rPr>
        <w:t>PrEP</w:t>
      </w:r>
      <w:proofErr w:type="spellEnd"/>
      <w:r w:rsidRPr="00FF656D">
        <w:rPr>
          <w:rFonts w:ascii="Arial" w:hAnsi="Arial" w:cs="Arial"/>
          <w:lang w:val="en"/>
        </w:rPr>
        <w:t xml:space="preserve"> in</w:t>
      </w:r>
      <w:r w:rsidR="00F3365A">
        <w:rPr>
          <w:rFonts w:ascii="Arial" w:hAnsi="Arial" w:cs="Arial"/>
          <w:lang w:val="en"/>
        </w:rPr>
        <w:t xml:space="preserve"> </w:t>
      </w:r>
      <w:r w:rsidRPr="00FF656D">
        <w:rPr>
          <w:rFonts w:ascii="Arial" w:hAnsi="Arial" w:cs="Arial"/>
          <w:lang w:val="en"/>
        </w:rPr>
        <w:t>individuals who will miss planned dosing with cabotegravir</w:t>
      </w:r>
      <w:r w:rsidR="00F3365A">
        <w:rPr>
          <w:rFonts w:ascii="Arial" w:hAnsi="Arial" w:cs="Arial"/>
          <w:lang w:val="en"/>
        </w:rPr>
        <w:t xml:space="preserve"> </w:t>
      </w:r>
      <w:r w:rsidRPr="00FF656D">
        <w:rPr>
          <w:rFonts w:ascii="Arial" w:hAnsi="Arial" w:cs="Arial"/>
          <w:lang w:val="en"/>
        </w:rPr>
        <w:t>injections.</w:t>
      </w:r>
    </w:p>
    <w:p w14:paraId="5CE7105C" w14:textId="77777777" w:rsidR="00F3365A" w:rsidRDefault="00F3365A" w:rsidP="00FF656D">
      <w:pPr>
        <w:keepNext/>
        <w:keepLines/>
        <w:tabs>
          <w:tab w:val="left" w:pos="567"/>
        </w:tabs>
        <w:spacing w:after="0"/>
        <w:jc w:val="both"/>
        <w:rPr>
          <w:rFonts w:ascii="Arial" w:hAnsi="Arial" w:cs="Arial"/>
          <w:lang w:val="en"/>
        </w:rPr>
      </w:pPr>
    </w:p>
    <w:p w14:paraId="6F032364" w14:textId="6346C2A0" w:rsidR="00FF656D" w:rsidRPr="007A45D0" w:rsidRDefault="00FF656D" w:rsidP="00FF656D">
      <w:pPr>
        <w:keepNext/>
        <w:keepLines/>
        <w:tabs>
          <w:tab w:val="left" w:pos="567"/>
        </w:tabs>
        <w:spacing w:after="0"/>
        <w:jc w:val="both"/>
        <w:rPr>
          <w:rFonts w:ascii="Arial" w:hAnsi="Arial" w:cs="Arial"/>
          <w:lang w:val="en"/>
        </w:rPr>
      </w:pPr>
      <w:r w:rsidRPr="00FF656D">
        <w:rPr>
          <w:rFonts w:ascii="Arial" w:hAnsi="Arial" w:cs="Arial"/>
          <w:lang w:val="en"/>
        </w:rPr>
        <w:t xml:space="preserve">Individuals must have a </w:t>
      </w:r>
      <w:r w:rsidR="004C1AD5">
        <w:rPr>
          <w:rFonts w:ascii="Arial" w:hAnsi="Arial" w:cs="Arial"/>
          <w:lang w:val="en"/>
        </w:rPr>
        <w:t xml:space="preserve">documented </w:t>
      </w:r>
      <w:r w:rsidRPr="00FF656D">
        <w:rPr>
          <w:rFonts w:ascii="Arial" w:hAnsi="Arial" w:cs="Arial"/>
          <w:lang w:val="en"/>
        </w:rPr>
        <w:t>negative HIV-1 test prior to</w:t>
      </w:r>
      <w:r w:rsidR="00F3365A">
        <w:rPr>
          <w:rFonts w:ascii="Arial" w:hAnsi="Arial" w:cs="Arial"/>
          <w:lang w:val="en"/>
        </w:rPr>
        <w:t xml:space="preserve"> </w:t>
      </w:r>
      <w:r w:rsidRPr="00FF656D">
        <w:rPr>
          <w:rFonts w:ascii="Arial" w:hAnsi="Arial" w:cs="Arial"/>
          <w:lang w:val="en"/>
        </w:rPr>
        <w:t xml:space="preserve">initiating APRETUDE for HIV-1 </w:t>
      </w:r>
      <w:proofErr w:type="spellStart"/>
      <w:r w:rsidRPr="00FF656D">
        <w:rPr>
          <w:rFonts w:ascii="Arial" w:hAnsi="Arial" w:cs="Arial"/>
          <w:lang w:val="en"/>
        </w:rPr>
        <w:t>PrEP.</w:t>
      </w:r>
      <w:proofErr w:type="spellEnd"/>
    </w:p>
    <w:p w14:paraId="698CEED9" w14:textId="7301A591" w:rsidR="00071855" w:rsidRPr="006E595D" w:rsidRDefault="00071855" w:rsidP="00FE539D">
      <w:pPr>
        <w:keepNext/>
        <w:keepLines/>
        <w:rPr>
          <w:rFonts w:ascii="Arial" w:hAnsi="Arial" w:cs="Arial"/>
          <w:i/>
          <w:color w:val="FF0000"/>
        </w:rPr>
      </w:pPr>
    </w:p>
    <w:p w14:paraId="5EB3FB08" w14:textId="6973AF58"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DOSE AND METHOD OF ADMINISTRATION</w:t>
      </w:r>
      <w:r w:rsidR="003332D9">
        <w:rPr>
          <w:rFonts w:ascii="Arial" w:hAnsi="Arial" w:cs="Arial"/>
          <w:smallCaps w:val="0"/>
        </w:rPr>
        <w:fldChar w:fldCharType="begin"/>
      </w:r>
      <w:r w:rsidR="003332D9">
        <w:rPr>
          <w:rFonts w:ascii="Arial" w:hAnsi="Arial" w:cs="Arial"/>
          <w:smallCaps w:val="0"/>
        </w:rPr>
        <w:instrText xml:space="preserve"> DOCVARIABLE VAULT_ND_e8ec7266-d1b2-4361-9421-78f3b4a96097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0DDA7DDE" w14:textId="4F029AAC" w:rsidR="00ED49A9" w:rsidRPr="00ED49A9" w:rsidRDefault="00ED49A9" w:rsidP="00ED49A9">
      <w:pPr>
        <w:rPr>
          <w:rFonts w:ascii="Arial" w:hAnsi="Arial" w:cs="Arial"/>
          <w:lang w:val="en"/>
        </w:rPr>
      </w:pPr>
      <w:r w:rsidRPr="00ED49A9">
        <w:rPr>
          <w:rFonts w:ascii="Arial" w:hAnsi="Arial" w:cs="Arial"/>
          <w:lang w:val="en"/>
        </w:rPr>
        <w:t xml:space="preserve">Individuals must have had a documented negative HIV-1 test, in accordance with applicable guidelines, prior to initiating </w:t>
      </w:r>
      <w:r w:rsidR="00244AE8">
        <w:rPr>
          <w:rFonts w:ascii="Arial" w:hAnsi="Arial" w:cs="Arial"/>
          <w:lang w:val="en"/>
        </w:rPr>
        <w:t>APRETUDE</w:t>
      </w:r>
      <w:r w:rsidRPr="00ED49A9">
        <w:rPr>
          <w:rFonts w:ascii="Arial" w:hAnsi="Arial" w:cs="Arial"/>
          <w:lang w:val="en"/>
        </w:rPr>
        <w:t>.</w:t>
      </w:r>
    </w:p>
    <w:p w14:paraId="39B259F1" w14:textId="051771D0" w:rsidR="00071855" w:rsidRDefault="00ED49A9" w:rsidP="001541FF">
      <w:pPr>
        <w:spacing w:before="240"/>
        <w:rPr>
          <w:rFonts w:ascii="Arial" w:hAnsi="Arial" w:cs="Arial"/>
          <w:lang w:val="en"/>
        </w:rPr>
      </w:pPr>
      <w:r w:rsidRPr="00ED49A9">
        <w:rPr>
          <w:rFonts w:ascii="Arial" w:hAnsi="Arial" w:cs="Arial"/>
          <w:lang w:val="en"/>
        </w:rPr>
        <w:t xml:space="preserve">Prior to starting </w:t>
      </w:r>
      <w:r w:rsidR="00B56D95">
        <w:rPr>
          <w:rFonts w:ascii="Arial" w:hAnsi="Arial" w:cs="Arial"/>
          <w:lang w:val="en"/>
        </w:rPr>
        <w:t>APRETUDE</w:t>
      </w:r>
      <w:r w:rsidR="009D48CB">
        <w:rPr>
          <w:rFonts w:ascii="Arial" w:hAnsi="Arial" w:cs="Arial"/>
        </w:rPr>
        <w:t xml:space="preserve">, </w:t>
      </w:r>
      <w:r w:rsidR="005519A7" w:rsidRPr="001541FF">
        <w:rPr>
          <w:rFonts w:ascii="Arial" w:hAnsi="Arial" w:cs="Arial"/>
        </w:rPr>
        <w:t>healthcare professionals should carefully select individuals who agree to the required injection dosing schedule and counsel individuals about the importance of adherence to scheduled dosing visits to help reduce the risk of acquiring HIV-1 infection</w:t>
      </w:r>
      <w:r w:rsidR="00F239FA">
        <w:rPr>
          <w:rFonts w:ascii="Arial" w:hAnsi="Arial" w:cs="Arial"/>
        </w:rPr>
        <w:t xml:space="preserve"> (see </w:t>
      </w:r>
      <w:r w:rsidR="00F239FA">
        <w:rPr>
          <w:rFonts w:ascii="Arial" w:hAnsi="Arial" w:cs="Arial"/>
          <w:lang w:val="en"/>
        </w:rPr>
        <w:t>4.4 SPECIAL WARNINGS AND PRECAUTIONS FOR USE)</w:t>
      </w:r>
      <w:r w:rsidRPr="00ED49A9">
        <w:rPr>
          <w:rFonts w:ascii="Arial" w:hAnsi="Arial" w:cs="Arial"/>
          <w:lang w:val="en"/>
        </w:rPr>
        <w:t>.</w:t>
      </w:r>
    </w:p>
    <w:p w14:paraId="297B7D19" w14:textId="77777777" w:rsidR="009243A6" w:rsidRPr="009243A6" w:rsidRDefault="009243A6" w:rsidP="009243A6">
      <w:pPr>
        <w:rPr>
          <w:rFonts w:ascii="Arial" w:hAnsi="Arial" w:cs="Arial"/>
          <w:b/>
          <w:bCs/>
          <w:lang w:val="en-GB"/>
        </w:rPr>
      </w:pPr>
      <w:r w:rsidRPr="009243A6">
        <w:rPr>
          <w:rFonts w:ascii="Arial" w:hAnsi="Arial" w:cs="Arial"/>
          <w:b/>
          <w:bCs/>
          <w:lang w:val="en-GB"/>
        </w:rPr>
        <w:t>Adults, adolescents weighing at least 35 kg</w:t>
      </w:r>
      <w:r w:rsidRPr="009243A6">
        <w:rPr>
          <w:rFonts w:ascii="Arial" w:hAnsi="Arial" w:cs="Arial"/>
          <w:b/>
          <w:bCs/>
          <w:lang w:val="en-GB"/>
        </w:rPr>
        <w:fldChar w:fldCharType="begin"/>
      </w:r>
      <w:r w:rsidRPr="009243A6">
        <w:rPr>
          <w:rFonts w:ascii="Arial" w:hAnsi="Arial" w:cs="Arial"/>
          <w:b/>
          <w:bCs/>
          <w:lang w:val="en-GB"/>
        </w:rPr>
        <w:instrText xml:space="preserve"> DOCVARIABLE vault_nd_ddc14eea-3537-4875-80f1-c44b3dfdee65 \* MERGEFORMAT </w:instrText>
      </w:r>
      <w:r w:rsidRPr="009243A6">
        <w:rPr>
          <w:rFonts w:ascii="Arial" w:hAnsi="Arial" w:cs="Arial"/>
          <w:b/>
          <w:bCs/>
          <w:lang w:val="en-GB"/>
        </w:rPr>
        <w:fldChar w:fldCharType="separate"/>
      </w:r>
      <w:r w:rsidRPr="009243A6">
        <w:rPr>
          <w:rFonts w:ascii="Arial" w:hAnsi="Arial" w:cs="Arial"/>
          <w:b/>
          <w:bCs/>
          <w:lang w:val="en-GB"/>
        </w:rPr>
        <w:t xml:space="preserve"> </w:t>
      </w:r>
      <w:r w:rsidRPr="009243A6">
        <w:rPr>
          <w:rFonts w:ascii="Arial" w:hAnsi="Arial" w:cs="Arial"/>
          <w:lang w:val="en"/>
        </w:rPr>
        <w:fldChar w:fldCharType="end"/>
      </w:r>
    </w:p>
    <w:p w14:paraId="675608C8" w14:textId="58ED4D2F" w:rsidR="009243A6" w:rsidRPr="009243A6" w:rsidRDefault="009243A6" w:rsidP="009243A6">
      <w:pPr>
        <w:rPr>
          <w:rFonts w:ascii="Arial" w:hAnsi="Arial" w:cs="Arial"/>
          <w:lang w:val="en-GB"/>
        </w:rPr>
      </w:pPr>
      <w:bookmarkStart w:id="0" w:name="_Hlk67996602"/>
      <w:bookmarkStart w:id="1" w:name="_Hlk62055598"/>
      <w:r w:rsidRPr="009243A6">
        <w:rPr>
          <w:rFonts w:ascii="Arial" w:hAnsi="Arial" w:cs="Arial"/>
          <w:bCs/>
          <w:lang w:val="en-GB"/>
        </w:rPr>
        <w:t xml:space="preserve">Following discussion with the individual, the physician may proceed directly to </w:t>
      </w:r>
      <w:r w:rsidR="00B56D95">
        <w:rPr>
          <w:rFonts w:ascii="Arial" w:hAnsi="Arial" w:cs="Arial"/>
          <w:lang w:val="en"/>
        </w:rPr>
        <w:t>APRETUDE</w:t>
      </w:r>
      <w:r w:rsidRPr="009243A6">
        <w:rPr>
          <w:rFonts w:ascii="Arial" w:hAnsi="Arial" w:cs="Arial"/>
          <w:bCs/>
          <w:lang w:val="en-GB"/>
        </w:rPr>
        <w:t xml:space="preserve"> injection, (see Table 2 for dosing recommendations). </w:t>
      </w:r>
      <w:r w:rsidRPr="009243A6">
        <w:rPr>
          <w:rFonts w:ascii="Arial" w:hAnsi="Arial" w:cs="Arial"/>
          <w:lang w:val="en-GB"/>
        </w:rPr>
        <w:t xml:space="preserve"> </w:t>
      </w:r>
    </w:p>
    <w:p w14:paraId="6A9BE01C" w14:textId="2F9EAD04" w:rsidR="009243A6" w:rsidRPr="009243A6" w:rsidRDefault="009243A6" w:rsidP="009243A6">
      <w:pPr>
        <w:rPr>
          <w:rFonts w:ascii="Arial" w:hAnsi="Arial" w:cs="Arial"/>
          <w:b/>
          <w:bCs/>
          <w:i/>
          <w:lang w:val="en-GB"/>
        </w:rPr>
      </w:pPr>
      <w:r w:rsidRPr="009243A6">
        <w:rPr>
          <w:rFonts w:ascii="Arial" w:hAnsi="Arial" w:cs="Arial"/>
          <w:bCs/>
          <w:lang w:val="en-GB"/>
        </w:rPr>
        <w:t xml:space="preserve">Alternatively, </w:t>
      </w:r>
      <w:r w:rsidR="00C04C75">
        <w:rPr>
          <w:rFonts w:ascii="Arial" w:hAnsi="Arial" w:cs="Arial"/>
          <w:lang w:val="en"/>
        </w:rPr>
        <w:t>APRETUDE</w:t>
      </w:r>
      <w:r w:rsidRPr="009243A6">
        <w:rPr>
          <w:rFonts w:ascii="Arial" w:hAnsi="Arial" w:cs="Arial"/>
          <w:bCs/>
          <w:lang w:val="en-GB"/>
        </w:rPr>
        <w:t xml:space="preserve"> tablets may be used as an oral lead in prior to the initiation of </w:t>
      </w:r>
      <w:r w:rsidR="00C04C75">
        <w:rPr>
          <w:rFonts w:ascii="Arial" w:hAnsi="Arial" w:cs="Arial"/>
          <w:lang w:val="en"/>
        </w:rPr>
        <w:t>APRETUDE</w:t>
      </w:r>
      <w:r w:rsidRPr="009243A6">
        <w:rPr>
          <w:rFonts w:ascii="Arial" w:hAnsi="Arial" w:cs="Arial"/>
          <w:bCs/>
          <w:lang w:val="en-GB"/>
        </w:rPr>
        <w:t xml:space="preserve"> injection to assess tolerability to cabotegravir (see Table 1).</w:t>
      </w:r>
    </w:p>
    <w:p w14:paraId="78F17659" w14:textId="77777777" w:rsidR="009243A6" w:rsidRPr="009243A6" w:rsidRDefault="009243A6" w:rsidP="009243A6">
      <w:pPr>
        <w:rPr>
          <w:rFonts w:ascii="Arial" w:eastAsia="SimSun" w:hAnsi="Arial" w:cs="Arial"/>
          <w:b/>
          <w:bCs/>
          <w:i/>
          <w:iCs/>
        </w:rPr>
      </w:pPr>
      <w:r w:rsidRPr="009243A6">
        <w:rPr>
          <w:rFonts w:ascii="Arial" w:eastAsia="SimSun" w:hAnsi="Arial" w:cs="Arial"/>
          <w:b/>
          <w:bCs/>
          <w:i/>
          <w:iCs/>
        </w:rPr>
        <w:t>Oral lead-in (Film-coated Tablets)</w:t>
      </w:r>
    </w:p>
    <w:p w14:paraId="62562EEA" w14:textId="6B2C8B47" w:rsidR="009243A6" w:rsidRPr="009243A6" w:rsidRDefault="009243A6" w:rsidP="009243A6">
      <w:pPr>
        <w:rPr>
          <w:rFonts w:ascii="Arial" w:hAnsi="Arial" w:cs="Arial"/>
          <w:lang w:val="en-GB"/>
        </w:rPr>
      </w:pPr>
      <w:r w:rsidRPr="009243A6">
        <w:rPr>
          <w:rFonts w:ascii="Arial" w:hAnsi="Arial" w:cs="Arial"/>
          <w:bCs/>
          <w:lang w:val="en-GB"/>
        </w:rPr>
        <w:t xml:space="preserve">When used for oral lead-in, </w:t>
      </w:r>
      <w:r w:rsidR="00244AE8">
        <w:rPr>
          <w:rFonts w:ascii="Arial" w:hAnsi="Arial" w:cs="Arial"/>
          <w:bCs/>
          <w:lang w:val="en-GB"/>
        </w:rPr>
        <w:t xml:space="preserve">APRETUDE tablets </w:t>
      </w:r>
      <w:r w:rsidRPr="009243A6">
        <w:rPr>
          <w:rFonts w:ascii="Arial" w:hAnsi="Arial" w:cs="Arial"/>
          <w:bCs/>
          <w:lang w:val="en-GB"/>
        </w:rPr>
        <w:t xml:space="preserve">are recommended for approximately one month (at least 28 days) prior to the initiation of </w:t>
      </w:r>
      <w:r w:rsidR="00244AE8">
        <w:rPr>
          <w:rFonts w:ascii="Arial" w:hAnsi="Arial" w:cs="Arial"/>
          <w:bCs/>
          <w:lang w:val="en-GB"/>
        </w:rPr>
        <w:t xml:space="preserve">APRETUDE injection </w:t>
      </w:r>
      <w:r w:rsidRPr="009243A6">
        <w:rPr>
          <w:rFonts w:ascii="Arial" w:hAnsi="Arial" w:cs="Arial"/>
          <w:bCs/>
          <w:lang w:val="en-GB"/>
        </w:rPr>
        <w:t>to assess tolerability to cabotegravir.</w:t>
      </w:r>
    </w:p>
    <w:bookmarkEnd w:id="0"/>
    <w:p w14:paraId="1F52A725" w14:textId="77777777" w:rsidR="009243A6" w:rsidRPr="009243A6" w:rsidRDefault="009243A6" w:rsidP="00FE539D">
      <w:pPr>
        <w:keepNext/>
        <w:keepLines/>
        <w:rPr>
          <w:rFonts w:ascii="Arial" w:hAnsi="Arial" w:cs="Arial"/>
          <w:b/>
          <w:bCs/>
          <w:lang w:val="en-GB"/>
        </w:rPr>
      </w:pPr>
      <w:r w:rsidRPr="009243A6">
        <w:rPr>
          <w:rFonts w:ascii="Arial" w:hAnsi="Arial" w:cs="Arial"/>
          <w:b/>
          <w:bCs/>
          <w:lang w:val="en-GB"/>
        </w:rPr>
        <w:lastRenderedPageBreak/>
        <w:t>Table 1</w:t>
      </w:r>
      <w:r w:rsidRPr="009243A6">
        <w:rPr>
          <w:rFonts w:ascii="Arial" w:hAnsi="Arial" w:cs="Arial"/>
          <w:lang w:val="en-GB"/>
        </w:rPr>
        <w:tab/>
        <w:t xml:space="preserve"> </w:t>
      </w:r>
      <w:r w:rsidRPr="009243A6">
        <w:rPr>
          <w:rFonts w:ascii="Arial" w:hAnsi="Arial" w:cs="Arial"/>
          <w:b/>
          <w:bCs/>
          <w:lang w:val="en-GB"/>
        </w:rPr>
        <w:t xml:space="preserve">Oral Lead-in Dosing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111"/>
      </w:tblGrid>
      <w:tr w:rsidR="009243A6" w:rsidRPr="009243A6" w14:paraId="545938DF" w14:textId="77777777" w:rsidTr="00A00329">
        <w:tc>
          <w:tcPr>
            <w:tcW w:w="1525" w:type="dxa"/>
            <w:shd w:val="clear" w:color="auto" w:fill="auto"/>
          </w:tcPr>
          <w:p w14:paraId="40E2EBA4" w14:textId="77777777" w:rsidR="009243A6" w:rsidRPr="009243A6" w:rsidRDefault="009243A6" w:rsidP="00FE539D">
            <w:pPr>
              <w:keepNext/>
              <w:keepLines/>
              <w:rPr>
                <w:rFonts w:ascii="Arial" w:hAnsi="Arial" w:cs="Arial"/>
                <w:b/>
                <w:iCs/>
                <w:lang w:val="en-GB"/>
              </w:rPr>
            </w:pPr>
          </w:p>
        </w:tc>
        <w:tc>
          <w:tcPr>
            <w:tcW w:w="7111" w:type="dxa"/>
            <w:shd w:val="clear" w:color="auto" w:fill="auto"/>
          </w:tcPr>
          <w:p w14:paraId="5C76CB11" w14:textId="77777777" w:rsidR="009243A6" w:rsidRPr="009243A6" w:rsidRDefault="009243A6" w:rsidP="00FE539D">
            <w:pPr>
              <w:keepNext/>
              <w:keepLines/>
              <w:rPr>
                <w:rFonts w:ascii="Arial" w:hAnsi="Arial" w:cs="Arial"/>
                <w:b/>
                <w:iCs/>
                <w:lang w:val="en-GB"/>
              </w:rPr>
            </w:pPr>
            <w:r w:rsidRPr="009243A6">
              <w:rPr>
                <w:rFonts w:ascii="Arial" w:hAnsi="Arial" w:cs="Arial"/>
                <w:b/>
                <w:bCs/>
                <w:lang w:val="en-GB"/>
              </w:rPr>
              <w:t xml:space="preserve">ORAL LEAD-IN </w:t>
            </w:r>
          </w:p>
        </w:tc>
      </w:tr>
      <w:tr w:rsidR="009243A6" w:rsidRPr="009243A6" w14:paraId="3A04D37D" w14:textId="77777777" w:rsidTr="00A00329">
        <w:tc>
          <w:tcPr>
            <w:tcW w:w="1525" w:type="dxa"/>
            <w:shd w:val="clear" w:color="auto" w:fill="auto"/>
          </w:tcPr>
          <w:p w14:paraId="7DE799DA" w14:textId="77777777" w:rsidR="009243A6" w:rsidRPr="009243A6" w:rsidRDefault="009243A6" w:rsidP="00FE539D">
            <w:pPr>
              <w:keepNext/>
              <w:keepLines/>
              <w:rPr>
                <w:rFonts w:ascii="Arial" w:hAnsi="Arial" w:cs="Arial"/>
                <w:b/>
                <w:bCs/>
                <w:lang w:val="en-GB"/>
              </w:rPr>
            </w:pPr>
            <w:r w:rsidRPr="009243A6">
              <w:rPr>
                <w:rFonts w:ascii="Arial" w:hAnsi="Arial" w:cs="Arial"/>
                <w:b/>
                <w:bCs/>
                <w:lang w:val="en-GB"/>
              </w:rPr>
              <w:t>Drug</w:t>
            </w:r>
          </w:p>
        </w:tc>
        <w:tc>
          <w:tcPr>
            <w:tcW w:w="7111" w:type="dxa"/>
            <w:shd w:val="clear" w:color="auto" w:fill="auto"/>
          </w:tcPr>
          <w:p w14:paraId="39062E0A" w14:textId="77777777" w:rsidR="009243A6" w:rsidRPr="009243A6" w:rsidRDefault="009243A6" w:rsidP="00FE539D">
            <w:pPr>
              <w:keepNext/>
              <w:keepLines/>
              <w:rPr>
                <w:rFonts w:ascii="Arial" w:hAnsi="Arial" w:cs="Arial"/>
                <w:b/>
                <w:bCs/>
                <w:lang w:val="en-GB"/>
              </w:rPr>
            </w:pPr>
            <w:r w:rsidRPr="009243A6">
              <w:rPr>
                <w:rFonts w:ascii="Arial" w:hAnsi="Arial" w:cs="Arial"/>
                <w:b/>
                <w:bCs/>
                <w:lang w:val="en-GB"/>
              </w:rPr>
              <w:t>For 1 month (at least 28 days), followed by the Initiation Injection</w:t>
            </w:r>
          </w:p>
          <w:p w14:paraId="3D211A90" w14:textId="77777777" w:rsidR="009243A6" w:rsidRPr="009243A6" w:rsidRDefault="009243A6" w:rsidP="00FE539D">
            <w:pPr>
              <w:keepNext/>
              <w:keepLines/>
              <w:rPr>
                <w:rFonts w:ascii="Arial" w:hAnsi="Arial" w:cs="Arial"/>
                <w:b/>
                <w:bCs/>
                <w:lang w:val="en-GB"/>
              </w:rPr>
            </w:pPr>
          </w:p>
        </w:tc>
      </w:tr>
      <w:tr w:rsidR="009243A6" w:rsidRPr="009243A6" w14:paraId="2E282219" w14:textId="77777777" w:rsidTr="00A00329">
        <w:tc>
          <w:tcPr>
            <w:tcW w:w="1525" w:type="dxa"/>
            <w:shd w:val="clear" w:color="auto" w:fill="auto"/>
          </w:tcPr>
          <w:p w14:paraId="66323FB2" w14:textId="77777777" w:rsidR="009243A6" w:rsidRPr="009243A6" w:rsidRDefault="009243A6" w:rsidP="00FE539D">
            <w:pPr>
              <w:keepNext/>
              <w:keepLines/>
              <w:rPr>
                <w:rFonts w:ascii="Arial" w:hAnsi="Arial" w:cs="Arial"/>
                <w:b/>
                <w:iCs/>
                <w:lang w:val="en-GB"/>
              </w:rPr>
            </w:pPr>
            <w:r w:rsidRPr="009243A6">
              <w:rPr>
                <w:rFonts w:ascii="Arial" w:hAnsi="Arial" w:cs="Arial"/>
                <w:lang w:val="en-GB"/>
              </w:rPr>
              <w:t>Cabotegravir</w:t>
            </w:r>
          </w:p>
        </w:tc>
        <w:tc>
          <w:tcPr>
            <w:tcW w:w="7111" w:type="dxa"/>
            <w:shd w:val="clear" w:color="auto" w:fill="auto"/>
          </w:tcPr>
          <w:p w14:paraId="30C26EF9" w14:textId="77777777" w:rsidR="009243A6" w:rsidRPr="009243A6" w:rsidRDefault="009243A6" w:rsidP="00FE539D">
            <w:pPr>
              <w:keepNext/>
              <w:keepLines/>
              <w:rPr>
                <w:rFonts w:ascii="Arial" w:hAnsi="Arial" w:cs="Arial"/>
                <w:b/>
                <w:iCs/>
                <w:lang w:val="en-GB"/>
              </w:rPr>
            </w:pPr>
            <w:r w:rsidRPr="009243A6">
              <w:rPr>
                <w:rFonts w:ascii="Arial" w:hAnsi="Arial" w:cs="Arial"/>
                <w:lang w:val="en-GB"/>
              </w:rPr>
              <w:t>30 mg once daily</w:t>
            </w:r>
          </w:p>
        </w:tc>
      </w:tr>
    </w:tbl>
    <w:p w14:paraId="54B0D22D" w14:textId="77777777" w:rsidR="009243A6" w:rsidRPr="009243A6" w:rsidRDefault="009243A6" w:rsidP="009243A6">
      <w:pPr>
        <w:rPr>
          <w:rFonts w:ascii="Arial" w:hAnsi="Arial" w:cs="Arial"/>
          <w:lang w:val="en-GB"/>
        </w:rPr>
      </w:pPr>
    </w:p>
    <w:p w14:paraId="60AD80B9" w14:textId="77777777" w:rsidR="00632F19" w:rsidRPr="00582B2F" w:rsidRDefault="00632F19" w:rsidP="00DD7FCC">
      <w:pPr>
        <w:keepNext/>
        <w:keepLines/>
        <w:rPr>
          <w:rFonts w:ascii="Arial" w:eastAsia="SimSun" w:hAnsi="Arial" w:cs="Arial"/>
          <w:b/>
          <w:bCs/>
          <w:i/>
          <w:iCs/>
        </w:rPr>
      </w:pPr>
      <w:r w:rsidRPr="00582B2F">
        <w:rPr>
          <w:rFonts w:ascii="Arial" w:eastAsia="SimSun" w:hAnsi="Arial" w:cs="Arial"/>
          <w:b/>
          <w:bCs/>
          <w:i/>
          <w:iCs/>
        </w:rPr>
        <w:t xml:space="preserve">Prolonged-release suspension for injection </w:t>
      </w:r>
    </w:p>
    <w:p w14:paraId="13FCC1F4" w14:textId="532F827B" w:rsidR="009243A6" w:rsidRPr="00244AE8" w:rsidRDefault="009243A6" w:rsidP="00DD7FCC">
      <w:pPr>
        <w:keepNext/>
        <w:keepLines/>
        <w:rPr>
          <w:rFonts w:ascii="Arial" w:hAnsi="Arial" w:cs="Arial"/>
          <w:iCs/>
          <w:u w:val="single"/>
          <w:lang w:val="en-GB"/>
        </w:rPr>
      </w:pPr>
      <w:r w:rsidRPr="00244AE8">
        <w:rPr>
          <w:rFonts w:ascii="Arial" w:hAnsi="Arial" w:cs="Arial"/>
          <w:iCs/>
          <w:u w:val="single"/>
          <w:lang w:val="en-GB"/>
        </w:rPr>
        <w:t>Initiation Injections</w:t>
      </w:r>
    </w:p>
    <w:p w14:paraId="62A97199" w14:textId="0AA7603B" w:rsidR="009243A6" w:rsidRPr="009243A6" w:rsidRDefault="009243A6" w:rsidP="00DD7FCC">
      <w:pPr>
        <w:keepNext/>
        <w:keepLines/>
        <w:rPr>
          <w:rFonts w:ascii="Arial" w:hAnsi="Arial" w:cs="Arial"/>
          <w:lang w:val="en-GB"/>
        </w:rPr>
      </w:pPr>
      <w:r w:rsidRPr="009243A6">
        <w:rPr>
          <w:rFonts w:ascii="Arial" w:hAnsi="Arial" w:cs="Arial"/>
          <w:lang w:val="en-GB"/>
        </w:rPr>
        <w:t xml:space="preserve">The recommended initial </w:t>
      </w:r>
      <w:r w:rsidR="00C04C75">
        <w:rPr>
          <w:rFonts w:ascii="Arial" w:hAnsi="Arial" w:cs="Arial"/>
          <w:lang w:val="en"/>
        </w:rPr>
        <w:t>APRETUDE</w:t>
      </w:r>
      <w:r w:rsidRPr="009243A6">
        <w:rPr>
          <w:rFonts w:ascii="Arial" w:hAnsi="Arial" w:cs="Arial"/>
          <w:lang w:val="en-GB"/>
        </w:rPr>
        <w:t xml:space="preserve"> injection dose is a single 3 mL (600 mg) intramuscular injection.</w:t>
      </w:r>
      <w:r w:rsidRPr="009243A6">
        <w:rPr>
          <w:rFonts w:ascii="Arial" w:hAnsi="Arial" w:cs="Arial"/>
          <w:b/>
          <w:bCs/>
          <w:lang w:val="en-GB"/>
        </w:rPr>
        <w:t xml:space="preserve"> </w:t>
      </w:r>
      <w:r w:rsidRPr="009243A6">
        <w:rPr>
          <w:rFonts w:ascii="Arial" w:hAnsi="Arial" w:cs="Arial"/>
          <w:lang w:val="en-GB"/>
        </w:rPr>
        <w:t xml:space="preserve">If oral lead-in has been used, the first injection should be planned for the last day of oral lead-in or within 3 days thereafter. </w:t>
      </w:r>
    </w:p>
    <w:p w14:paraId="1977F11F" w14:textId="77777777" w:rsidR="009243A6" w:rsidRPr="009243A6" w:rsidRDefault="009243A6" w:rsidP="009243A6">
      <w:pPr>
        <w:rPr>
          <w:rFonts w:ascii="Arial" w:hAnsi="Arial" w:cs="Arial"/>
          <w:lang w:val="en-GB"/>
        </w:rPr>
      </w:pPr>
      <w:r w:rsidRPr="009243A6">
        <w:rPr>
          <w:rFonts w:ascii="Arial" w:hAnsi="Arial" w:cs="Arial"/>
          <w:lang w:val="en-GB"/>
        </w:rPr>
        <w:t xml:space="preserve">One month later, a second 3 mL (600 mg) intramuscular injection should be administered. Individuals may be given the second 3 mL (600 mg) initiation injection up to 7 days before or after the scheduled dosing date. </w:t>
      </w:r>
    </w:p>
    <w:p w14:paraId="2969F360" w14:textId="77777777" w:rsidR="009243A6" w:rsidRPr="00032E53" w:rsidRDefault="009243A6" w:rsidP="009243A6">
      <w:pPr>
        <w:rPr>
          <w:rFonts w:ascii="Arial" w:hAnsi="Arial" w:cs="Arial"/>
          <w:iCs/>
          <w:u w:val="single"/>
          <w:lang w:val="en-GB"/>
        </w:rPr>
      </w:pPr>
      <w:r w:rsidRPr="00032E53">
        <w:rPr>
          <w:rFonts w:ascii="Arial" w:hAnsi="Arial" w:cs="Arial"/>
          <w:iCs/>
          <w:u w:val="single"/>
          <w:lang w:val="en-GB"/>
        </w:rPr>
        <w:t>Continuation Injections</w:t>
      </w:r>
    </w:p>
    <w:p w14:paraId="60AA7DCB" w14:textId="787BC302" w:rsidR="009243A6" w:rsidRPr="009243A6" w:rsidRDefault="009243A6" w:rsidP="009243A6">
      <w:pPr>
        <w:rPr>
          <w:rFonts w:ascii="Arial" w:hAnsi="Arial" w:cs="Arial"/>
          <w:bCs/>
          <w:lang w:val="en-GB"/>
        </w:rPr>
      </w:pPr>
      <w:r w:rsidRPr="009243A6">
        <w:rPr>
          <w:rFonts w:ascii="Arial" w:hAnsi="Arial" w:cs="Arial"/>
          <w:lang w:val="en-GB"/>
        </w:rPr>
        <w:t xml:space="preserve">After the second initiation injection, the recommended </w:t>
      </w:r>
      <w:r w:rsidR="00C04C75">
        <w:rPr>
          <w:rFonts w:ascii="Arial" w:hAnsi="Arial" w:cs="Arial"/>
          <w:lang w:val="en"/>
        </w:rPr>
        <w:t>APRETUDE</w:t>
      </w:r>
      <w:r w:rsidR="00C04C75" w:rsidRPr="009243A6" w:rsidDel="00C04C75">
        <w:rPr>
          <w:rFonts w:ascii="Arial" w:hAnsi="Arial" w:cs="Arial"/>
          <w:lang w:val="en-GB"/>
        </w:rPr>
        <w:t xml:space="preserve"> </w:t>
      </w:r>
      <w:r w:rsidRPr="009243A6">
        <w:rPr>
          <w:rFonts w:ascii="Arial" w:hAnsi="Arial" w:cs="Arial"/>
          <w:lang w:val="en-GB"/>
        </w:rPr>
        <w:t xml:space="preserve">continuation injection dose is a single 3 mL (600 mg) intramuscular injection administered every 2 months. Individuals may be given injections up to 7 days before or after the scheduled dosing date. </w:t>
      </w:r>
    </w:p>
    <w:p w14:paraId="07A8BF5F" w14:textId="77777777" w:rsidR="009243A6" w:rsidRPr="009243A6" w:rsidRDefault="009243A6" w:rsidP="009243A6">
      <w:pPr>
        <w:rPr>
          <w:rFonts w:ascii="Arial" w:hAnsi="Arial" w:cs="Arial"/>
          <w:b/>
          <w:iCs/>
          <w:lang w:val="en-GB"/>
        </w:rPr>
      </w:pPr>
      <w:r w:rsidRPr="009243A6">
        <w:rPr>
          <w:rFonts w:ascii="Arial" w:hAnsi="Arial" w:cs="Arial"/>
          <w:b/>
          <w:bCs/>
          <w:lang w:val="en-GB"/>
        </w:rPr>
        <w:t>Table 2</w:t>
      </w:r>
      <w:r w:rsidRPr="009243A6">
        <w:rPr>
          <w:rFonts w:ascii="Arial" w:hAnsi="Arial" w:cs="Arial"/>
          <w:lang w:val="en-GB"/>
        </w:rPr>
        <w:tab/>
        <w:t xml:space="preserve"> </w:t>
      </w:r>
      <w:r w:rsidRPr="009243A6">
        <w:rPr>
          <w:rFonts w:ascii="Arial" w:hAnsi="Arial" w:cs="Arial"/>
          <w:b/>
          <w:bCs/>
          <w:lang w:val="en-GB"/>
        </w:rPr>
        <w:t xml:space="preserve">Recommended Intramuscular Dosing Schedule </w:t>
      </w:r>
    </w:p>
    <w:tbl>
      <w:tblPr>
        <w:tblW w:w="8313" w:type="dxa"/>
        <w:tblCellMar>
          <w:left w:w="0" w:type="dxa"/>
          <w:right w:w="0" w:type="dxa"/>
        </w:tblCellMar>
        <w:tblLook w:val="04A0" w:firstRow="1" w:lastRow="0" w:firstColumn="1" w:lastColumn="0" w:noHBand="0" w:noVBand="1"/>
      </w:tblPr>
      <w:tblGrid>
        <w:gridCol w:w="1520"/>
        <w:gridCol w:w="2980"/>
        <w:gridCol w:w="3813"/>
      </w:tblGrid>
      <w:tr w:rsidR="005501FC" w:rsidRPr="009243A6" w14:paraId="6A8867B1" w14:textId="77777777" w:rsidTr="00DD7FCC">
        <w:trPr>
          <w:trHeight w:val="671"/>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C26531" w14:textId="77777777" w:rsidR="005501FC" w:rsidRPr="009243A6" w:rsidRDefault="005501FC" w:rsidP="009243A6">
            <w:pPr>
              <w:rPr>
                <w:rFonts w:ascii="Arial" w:hAnsi="Arial" w:cs="Arial"/>
                <w:lang w:val="en-GB"/>
              </w:rPr>
            </w:pPr>
            <w:r w:rsidRPr="009243A6">
              <w:rPr>
                <w:rFonts w:ascii="Arial" w:hAnsi="Arial" w:cs="Arial"/>
                <w:b/>
                <w:bCs/>
                <w:lang w:val="en-GB"/>
              </w:rPr>
              <w:t> </w:t>
            </w:r>
          </w:p>
        </w:tc>
        <w:tc>
          <w:tcPr>
            <w:tcW w:w="2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460207" w14:textId="77777777" w:rsidR="005501FC" w:rsidRPr="009243A6" w:rsidRDefault="005501FC" w:rsidP="009243A6">
            <w:pPr>
              <w:rPr>
                <w:rFonts w:ascii="Arial" w:hAnsi="Arial" w:cs="Arial"/>
                <w:lang w:val="en-GB"/>
              </w:rPr>
            </w:pPr>
            <w:r w:rsidRPr="009243A6">
              <w:rPr>
                <w:rFonts w:ascii="Arial" w:hAnsi="Arial" w:cs="Arial"/>
                <w:b/>
                <w:bCs/>
                <w:lang w:val="en-GB"/>
              </w:rPr>
              <w:t xml:space="preserve">INITIATION INJECTIONS (one month apart) </w:t>
            </w:r>
          </w:p>
        </w:tc>
        <w:tc>
          <w:tcPr>
            <w:tcW w:w="38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70B2CE" w14:textId="77777777" w:rsidR="005501FC" w:rsidRPr="009243A6" w:rsidRDefault="005501FC" w:rsidP="009243A6">
            <w:pPr>
              <w:rPr>
                <w:rFonts w:ascii="Arial" w:hAnsi="Arial" w:cs="Arial"/>
                <w:lang w:val="en-GB"/>
              </w:rPr>
            </w:pPr>
            <w:r w:rsidRPr="009243A6">
              <w:rPr>
                <w:rFonts w:ascii="Arial" w:hAnsi="Arial" w:cs="Arial"/>
                <w:b/>
                <w:bCs/>
                <w:lang w:val="en-GB"/>
              </w:rPr>
              <w:t>CONTINUATION INJECTIONS (two months apart)</w:t>
            </w:r>
          </w:p>
        </w:tc>
      </w:tr>
      <w:tr w:rsidR="005501FC" w:rsidRPr="009243A6" w14:paraId="56A0259C" w14:textId="77777777" w:rsidTr="00DD7FCC">
        <w:trPr>
          <w:trHeight w:val="671"/>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FEEFDC" w14:textId="77777777" w:rsidR="005501FC" w:rsidRPr="009243A6" w:rsidRDefault="005501FC" w:rsidP="009243A6">
            <w:pPr>
              <w:rPr>
                <w:rFonts w:ascii="Arial" w:hAnsi="Arial" w:cs="Arial"/>
                <w:lang w:val="en-GB"/>
              </w:rPr>
            </w:pPr>
            <w:r w:rsidRPr="009243A6">
              <w:rPr>
                <w:rFonts w:ascii="Arial" w:hAnsi="Arial" w:cs="Arial"/>
                <w:b/>
                <w:bCs/>
                <w:lang w:val="en-GB"/>
              </w:rPr>
              <w:t>Medicinal product</w:t>
            </w:r>
          </w:p>
        </w:tc>
        <w:tc>
          <w:tcPr>
            <w:tcW w:w="2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7E4E90" w14:textId="77777777" w:rsidR="005501FC" w:rsidRPr="009243A6" w:rsidRDefault="005501FC" w:rsidP="009243A6">
            <w:pPr>
              <w:rPr>
                <w:rFonts w:ascii="Arial" w:hAnsi="Arial" w:cs="Arial"/>
                <w:b/>
                <w:bCs/>
                <w:lang w:val="en-GB"/>
              </w:rPr>
            </w:pPr>
            <w:r w:rsidRPr="009243A6">
              <w:rPr>
                <w:rFonts w:ascii="Arial" w:hAnsi="Arial" w:cs="Arial"/>
                <w:b/>
                <w:bCs/>
                <w:lang w:val="en-GB"/>
              </w:rPr>
              <w:t>Direct to injection:</w:t>
            </w:r>
          </w:p>
          <w:p w14:paraId="1998D6A9" w14:textId="77777777" w:rsidR="005501FC" w:rsidRPr="009243A6" w:rsidRDefault="005501FC" w:rsidP="009243A6">
            <w:pPr>
              <w:rPr>
                <w:rFonts w:ascii="Arial" w:hAnsi="Arial" w:cs="Arial"/>
                <w:b/>
                <w:bCs/>
                <w:lang w:val="en-GB"/>
              </w:rPr>
            </w:pPr>
            <w:r w:rsidRPr="009243A6">
              <w:rPr>
                <w:rFonts w:ascii="Arial" w:hAnsi="Arial" w:cs="Arial"/>
                <w:b/>
                <w:bCs/>
                <w:lang w:val="en-GB"/>
              </w:rPr>
              <w:t xml:space="preserve">months 1 and 2 </w:t>
            </w:r>
          </w:p>
          <w:p w14:paraId="176FDDE6" w14:textId="77777777" w:rsidR="005501FC" w:rsidRPr="009243A6" w:rsidRDefault="005501FC" w:rsidP="009243A6">
            <w:pPr>
              <w:rPr>
                <w:rFonts w:ascii="Arial" w:hAnsi="Arial" w:cs="Arial"/>
                <w:b/>
                <w:bCs/>
                <w:u w:val="single"/>
                <w:lang w:val="en-GB"/>
              </w:rPr>
            </w:pPr>
            <w:r w:rsidRPr="009243A6">
              <w:rPr>
                <w:rFonts w:ascii="Arial" w:hAnsi="Arial" w:cs="Arial"/>
                <w:b/>
                <w:bCs/>
                <w:u w:val="single"/>
                <w:lang w:val="en-GB"/>
              </w:rPr>
              <w:t>or</w:t>
            </w:r>
          </w:p>
          <w:p w14:paraId="39A0857D" w14:textId="59B2FE59" w:rsidR="005501FC" w:rsidRPr="009243A6" w:rsidRDefault="005501FC" w:rsidP="009243A6">
            <w:pPr>
              <w:rPr>
                <w:rFonts w:ascii="Arial" w:hAnsi="Arial" w:cs="Arial"/>
                <w:b/>
                <w:bCs/>
                <w:lang w:val="en-GB"/>
              </w:rPr>
            </w:pPr>
            <w:r w:rsidRPr="009243A6">
              <w:rPr>
                <w:rFonts w:ascii="Arial" w:hAnsi="Arial" w:cs="Arial"/>
                <w:b/>
                <w:bCs/>
                <w:lang w:val="en-GB"/>
              </w:rPr>
              <w:t>Following oral lead</w:t>
            </w:r>
            <w:r>
              <w:rPr>
                <w:rFonts w:ascii="Arial" w:hAnsi="Arial" w:cs="Arial"/>
                <w:b/>
                <w:bCs/>
                <w:lang w:val="en-GB"/>
              </w:rPr>
              <w:t>-</w:t>
            </w:r>
            <w:r w:rsidRPr="009243A6">
              <w:rPr>
                <w:rFonts w:ascii="Arial" w:hAnsi="Arial" w:cs="Arial"/>
                <w:b/>
                <w:bCs/>
                <w:lang w:val="en-GB"/>
              </w:rPr>
              <w:t>in: months 2 and 3</w:t>
            </w:r>
          </w:p>
          <w:p w14:paraId="5E2DEA72" w14:textId="77777777" w:rsidR="005501FC" w:rsidRPr="009243A6" w:rsidRDefault="005501FC" w:rsidP="009243A6">
            <w:pPr>
              <w:rPr>
                <w:rFonts w:ascii="Arial" w:hAnsi="Arial" w:cs="Arial"/>
                <w:lang w:val="en-GB"/>
              </w:rPr>
            </w:pPr>
          </w:p>
        </w:tc>
        <w:tc>
          <w:tcPr>
            <w:tcW w:w="38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02BF00" w14:textId="3EF50AFA" w:rsidR="005501FC" w:rsidRPr="009243A6" w:rsidRDefault="005501FC" w:rsidP="009243A6">
            <w:pPr>
              <w:rPr>
                <w:rFonts w:ascii="Arial" w:hAnsi="Arial" w:cs="Arial"/>
                <w:b/>
                <w:bCs/>
                <w:lang w:val="en-GB"/>
              </w:rPr>
            </w:pPr>
            <w:r w:rsidRPr="009243A6">
              <w:rPr>
                <w:rFonts w:ascii="Arial" w:hAnsi="Arial" w:cs="Arial"/>
                <w:b/>
                <w:bCs/>
                <w:lang w:val="en-GB"/>
              </w:rPr>
              <w:t>Two months after final initiation injection and every 2 months onwards</w:t>
            </w:r>
          </w:p>
          <w:p w14:paraId="08664635" w14:textId="77777777" w:rsidR="005501FC" w:rsidRPr="009243A6" w:rsidRDefault="005501FC" w:rsidP="009243A6">
            <w:pPr>
              <w:rPr>
                <w:rFonts w:ascii="Arial" w:hAnsi="Arial" w:cs="Arial"/>
                <w:lang w:val="en-GB"/>
              </w:rPr>
            </w:pPr>
          </w:p>
        </w:tc>
      </w:tr>
      <w:tr w:rsidR="005501FC" w:rsidRPr="009243A6" w14:paraId="1840F36F" w14:textId="77777777" w:rsidTr="00DD7FCC">
        <w:trPr>
          <w:trHeight w:val="477"/>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CFC104" w14:textId="77777777" w:rsidR="005501FC" w:rsidRPr="009243A6" w:rsidRDefault="005501FC" w:rsidP="009243A6">
            <w:pPr>
              <w:rPr>
                <w:rFonts w:ascii="Arial" w:hAnsi="Arial" w:cs="Arial"/>
                <w:lang w:val="en-GB"/>
              </w:rPr>
            </w:pPr>
            <w:r w:rsidRPr="009243A6">
              <w:rPr>
                <w:rFonts w:ascii="Arial" w:hAnsi="Arial" w:cs="Arial"/>
                <w:lang w:val="en-GB"/>
              </w:rPr>
              <w:t>Cabotegravir</w:t>
            </w:r>
          </w:p>
        </w:tc>
        <w:tc>
          <w:tcPr>
            <w:tcW w:w="2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FA45A" w14:textId="77777777" w:rsidR="005501FC" w:rsidRPr="009243A6" w:rsidRDefault="005501FC" w:rsidP="009243A6">
            <w:pPr>
              <w:rPr>
                <w:rFonts w:ascii="Arial" w:hAnsi="Arial" w:cs="Arial"/>
                <w:lang w:val="en-GB"/>
              </w:rPr>
            </w:pPr>
            <w:r w:rsidRPr="009243A6">
              <w:rPr>
                <w:rFonts w:ascii="Arial" w:hAnsi="Arial" w:cs="Arial"/>
                <w:lang w:val="en-GB"/>
              </w:rPr>
              <w:t>3 mL (600 mg)</w:t>
            </w:r>
          </w:p>
        </w:tc>
        <w:tc>
          <w:tcPr>
            <w:tcW w:w="38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127C8D" w14:textId="77777777" w:rsidR="005501FC" w:rsidRPr="009243A6" w:rsidRDefault="005501FC" w:rsidP="009243A6">
            <w:pPr>
              <w:rPr>
                <w:rFonts w:ascii="Arial" w:hAnsi="Arial" w:cs="Arial"/>
                <w:lang w:val="en-GB"/>
              </w:rPr>
            </w:pPr>
            <w:r w:rsidRPr="009243A6">
              <w:rPr>
                <w:rFonts w:ascii="Arial" w:hAnsi="Arial" w:cs="Arial"/>
                <w:lang w:val="en-GB"/>
              </w:rPr>
              <w:t xml:space="preserve">3 mL (600 mg) </w:t>
            </w:r>
          </w:p>
        </w:tc>
      </w:tr>
      <w:bookmarkEnd w:id="1"/>
    </w:tbl>
    <w:p w14:paraId="0EC7A45F" w14:textId="77777777" w:rsidR="009243A6" w:rsidRPr="009243A6" w:rsidRDefault="009243A6" w:rsidP="009243A6">
      <w:pPr>
        <w:rPr>
          <w:rFonts w:ascii="Arial" w:hAnsi="Arial" w:cs="Arial"/>
          <w:b/>
          <w:i/>
          <w:lang w:val="en-GB"/>
        </w:rPr>
      </w:pPr>
    </w:p>
    <w:p w14:paraId="1BF98916" w14:textId="77777777" w:rsidR="009243A6" w:rsidRPr="009243A6" w:rsidRDefault="009243A6" w:rsidP="009243A6">
      <w:pPr>
        <w:rPr>
          <w:rFonts w:ascii="Arial" w:hAnsi="Arial" w:cs="Arial"/>
          <w:b/>
          <w:lang w:val="en-GB"/>
        </w:rPr>
      </w:pPr>
      <w:r w:rsidRPr="009243A6">
        <w:rPr>
          <w:rFonts w:ascii="Arial" w:hAnsi="Arial" w:cs="Arial"/>
          <w:b/>
          <w:i/>
          <w:lang w:val="en-GB"/>
        </w:rPr>
        <w:lastRenderedPageBreak/>
        <w:t>Missed dose</w:t>
      </w:r>
    </w:p>
    <w:p w14:paraId="4F0CC9CA" w14:textId="4A017A1D" w:rsidR="009243A6" w:rsidRPr="009243A6" w:rsidRDefault="00C04C75" w:rsidP="009243A6">
      <w:pPr>
        <w:rPr>
          <w:rFonts w:ascii="Arial" w:eastAsia="SimSun" w:hAnsi="Arial" w:cs="Arial"/>
          <w:u w:val="single"/>
        </w:rPr>
      </w:pPr>
      <w:bookmarkStart w:id="2" w:name="_Hlk531595978"/>
      <w:r>
        <w:rPr>
          <w:rFonts w:ascii="Arial" w:eastAsia="SimSun" w:hAnsi="Arial" w:cs="Arial"/>
          <w:u w:val="single"/>
        </w:rPr>
        <w:t>Missed APRETUDE</w:t>
      </w:r>
      <w:r w:rsidR="00B71F91">
        <w:rPr>
          <w:rFonts w:ascii="Arial" w:eastAsia="SimSun" w:hAnsi="Arial" w:cs="Arial"/>
          <w:u w:val="single"/>
        </w:rPr>
        <w:t xml:space="preserve"> </w:t>
      </w:r>
      <w:r w:rsidR="009243A6" w:rsidRPr="009243A6">
        <w:rPr>
          <w:rFonts w:ascii="Arial" w:eastAsia="SimSun" w:hAnsi="Arial" w:cs="Arial"/>
          <w:u w:val="single"/>
        </w:rPr>
        <w:t xml:space="preserve">Film-coated Tablet </w:t>
      </w:r>
    </w:p>
    <w:p w14:paraId="38A61816" w14:textId="4B7747D7" w:rsidR="009243A6" w:rsidRPr="009243A6" w:rsidRDefault="009243A6" w:rsidP="009243A6">
      <w:pPr>
        <w:rPr>
          <w:rFonts w:ascii="Arial" w:hAnsi="Arial" w:cs="Arial"/>
          <w:b/>
          <w:lang w:val="en-GB"/>
        </w:rPr>
      </w:pPr>
      <w:r w:rsidRPr="009243A6">
        <w:rPr>
          <w:rFonts w:ascii="Arial" w:hAnsi="Arial" w:cs="Arial"/>
          <w:lang w:val="en-GB"/>
        </w:rPr>
        <w:t>If the individual misses a dose of</w:t>
      </w:r>
      <w:r w:rsidR="00032E53">
        <w:rPr>
          <w:rFonts w:ascii="Arial" w:hAnsi="Arial" w:cs="Arial"/>
          <w:lang w:val="en-GB"/>
        </w:rPr>
        <w:t xml:space="preserve"> APRETUDE tablets</w:t>
      </w:r>
      <w:r w:rsidRPr="009243A6">
        <w:rPr>
          <w:rFonts w:ascii="Arial" w:hAnsi="Arial" w:cs="Arial"/>
          <w:lang w:val="en-GB"/>
        </w:rPr>
        <w:t>, they should take the missed dose as soon as possible.</w:t>
      </w:r>
    </w:p>
    <w:p w14:paraId="4D653277" w14:textId="4FE89E50" w:rsidR="00035A69" w:rsidRDefault="008D5C17" w:rsidP="009243A6">
      <w:pPr>
        <w:rPr>
          <w:rFonts w:ascii="Arial" w:hAnsi="Arial" w:cs="Arial"/>
          <w:lang w:val="en-GB"/>
        </w:rPr>
      </w:pPr>
      <w:bookmarkStart w:id="3" w:name="_Hlk523315892"/>
      <w:bookmarkEnd w:id="2"/>
      <w:r>
        <w:rPr>
          <w:rFonts w:ascii="Arial" w:eastAsia="SimSun" w:hAnsi="Arial" w:cs="Arial"/>
          <w:u w:val="single"/>
        </w:rPr>
        <w:t xml:space="preserve">Missed </w:t>
      </w:r>
      <w:r w:rsidR="00244AE8">
        <w:rPr>
          <w:rFonts w:ascii="Arial" w:eastAsia="SimSun" w:hAnsi="Arial" w:cs="Arial"/>
          <w:u w:val="single"/>
        </w:rPr>
        <w:t>APRETUDE</w:t>
      </w:r>
      <w:r w:rsidR="00B71F91">
        <w:rPr>
          <w:rFonts w:ascii="Arial" w:eastAsia="SimSun" w:hAnsi="Arial" w:cs="Arial"/>
          <w:u w:val="single"/>
        </w:rPr>
        <w:t xml:space="preserve"> </w:t>
      </w:r>
      <w:r w:rsidR="00035A69">
        <w:rPr>
          <w:rFonts w:ascii="Arial" w:eastAsia="SimSun" w:hAnsi="Arial" w:cs="Arial"/>
          <w:u w:val="single"/>
        </w:rPr>
        <w:t>P</w:t>
      </w:r>
      <w:r w:rsidR="00035A69" w:rsidRPr="002B0936">
        <w:rPr>
          <w:rFonts w:ascii="Arial" w:eastAsia="SimSun" w:hAnsi="Arial" w:cs="Arial"/>
          <w:u w:val="single"/>
        </w:rPr>
        <w:t xml:space="preserve">rolonged-release </w:t>
      </w:r>
      <w:r w:rsidR="00165321">
        <w:rPr>
          <w:rFonts w:ascii="Arial" w:eastAsia="SimSun" w:hAnsi="Arial" w:cs="Arial"/>
          <w:u w:val="single"/>
        </w:rPr>
        <w:t>S</w:t>
      </w:r>
      <w:r w:rsidR="00035A69" w:rsidRPr="002B0936">
        <w:rPr>
          <w:rFonts w:ascii="Arial" w:eastAsia="SimSun" w:hAnsi="Arial" w:cs="Arial"/>
          <w:u w:val="single"/>
        </w:rPr>
        <w:t xml:space="preserve">uspension for </w:t>
      </w:r>
      <w:r w:rsidR="00165321">
        <w:rPr>
          <w:rFonts w:ascii="Arial" w:eastAsia="SimSun" w:hAnsi="Arial" w:cs="Arial"/>
          <w:u w:val="single"/>
        </w:rPr>
        <w:t>I</w:t>
      </w:r>
      <w:r w:rsidR="00035A69" w:rsidRPr="002B0936">
        <w:rPr>
          <w:rFonts w:ascii="Arial" w:eastAsia="SimSun" w:hAnsi="Arial" w:cs="Arial"/>
          <w:u w:val="single"/>
        </w:rPr>
        <w:t>njection</w:t>
      </w:r>
      <w:r w:rsidR="00035A69" w:rsidRPr="009243A6">
        <w:rPr>
          <w:rFonts w:ascii="Arial" w:hAnsi="Arial" w:cs="Arial"/>
          <w:lang w:val="en-GB"/>
        </w:rPr>
        <w:t xml:space="preserve"> </w:t>
      </w:r>
    </w:p>
    <w:p w14:paraId="53FD1057" w14:textId="5526D278" w:rsidR="009243A6" w:rsidRPr="009243A6" w:rsidRDefault="009243A6" w:rsidP="009243A6">
      <w:pPr>
        <w:rPr>
          <w:rFonts w:ascii="Arial" w:hAnsi="Arial" w:cs="Arial"/>
          <w:lang w:val="en-GB"/>
        </w:rPr>
      </w:pPr>
      <w:r w:rsidRPr="009243A6">
        <w:rPr>
          <w:rFonts w:ascii="Arial" w:hAnsi="Arial" w:cs="Arial"/>
          <w:lang w:val="en-GB"/>
        </w:rPr>
        <w:t>Adherence to the injection dosing schedule is strongly recommended.</w:t>
      </w:r>
    </w:p>
    <w:p w14:paraId="02628676" w14:textId="2A0E34A9" w:rsidR="009243A6" w:rsidRPr="009243A6" w:rsidRDefault="009243A6" w:rsidP="009243A6">
      <w:pPr>
        <w:rPr>
          <w:rFonts w:ascii="Arial" w:hAnsi="Arial" w:cs="Arial"/>
          <w:lang w:val="en-GB"/>
        </w:rPr>
      </w:pPr>
      <w:r w:rsidRPr="009243A6">
        <w:rPr>
          <w:rFonts w:ascii="Arial" w:hAnsi="Arial" w:cs="Arial"/>
          <w:lang w:val="en-GB"/>
        </w:rPr>
        <w:t xml:space="preserve">Individuals who miss a scheduled injection visit should be clinically reassessed and a HIV test performed to ensure resumption of </w:t>
      </w:r>
      <w:proofErr w:type="spellStart"/>
      <w:r w:rsidRPr="009243A6">
        <w:rPr>
          <w:rFonts w:ascii="Arial" w:hAnsi="Arial" w:cs="Arial"/>
          <w:lang w:val="en-GB"/>
        </w:rPr>
        <w:t>PrEP</w:t>
      </w:r>
      <w:proofErr w:type="spellEnd"/>
      <w:r w:rsidRPr="009243A6">
        <w:rPr>
          <w:rFonts w:ascii="Arial" w:hAnsi="Arial" w:cs="Arial"/>
          <w:lang w:val="en-GB"/>
        </w:rPr>
        <w:t xml:space="preserve"> remains appropriate. See Table 3 for dosing recommendations after a missed injection.</w:t>
      </w:r>
    </w:p>
    <w:bookmarkEnd w:id="3"/>
    <w:p w14:paraId="18CD02EF" w14:textId="5603B251" w:rsidR="009243A6" w:rsidRPr="009243A6" w:rsidRDefault="009243A6" w:rsidP="009243A6">
      <w:pPr>
        <w:rPr>
          <w:rFonts w:ascii="Arial" w:hAnsi="Arial" w:cs="Arial"/>
          <w:lang w:val="en-GB"/>
        </w:rPr>
      </w:pPr>
      <w:r w:rsidRPr="009243A6">
        <w:rPr>
          <w:rFonts w:ascii="Arial" w:hAnsi="Arial" w:cs="Arial"/>
          <w:lang w:val="en-GB"/>
        </w:rPr>
        <w:t xml:space="preserve">If a delay of more than 7 days from a scheduled injection visit cannot be avoided, </w:t>
      </w:r>
      <w:r w:rsidR="00032E53">
        <w:rPr>
          <w:rFonts w:ascii="Arial" w:hAnsi="Arial" w:cs="Arial"/>
          <w:lang w:val="en-GB"/>
        </w:rPr>
        <w:t>APRETUDE tablets</w:t>
      </w:r>
      <w:r w:rsidRPr="009243A6">
        <w:rPr>
          <w:rFonts w:ascii="Arial" w:hAnsi="Arial" w:cs="Arial"/>
          <w:lang w:val="en-GB"/>
        </w:rPr>
        <w:t xml:space="preserve"> (30 mg) may be used once daily to replace one scheduled injection visit. For oral </w:t>
      </w:r>
      <w:r w:rsidR="000D0BFE">
        <w:rPr>
          <w:rFonts w:ascii="Arial" w:hAnsi="Arial" w:cs="Arial"/>
          <w:lang w:val="en-GB"/>
        </w:rPr>
        <w:t xml:space="preserve">APRETUDE </w:t>
      </w:r>
      <w:proofErr w:type="spellStart"/>
      <w:r w:rsidRPr="009243A6">
        <w:rPr>
          <w:rFonts w:ascii="Arial" w:hAnsi="Arial" w:cs="Arial"/>
          <w:lang w:val="en-GB"/>
        </w:rPr>
        <w:t>PrEP</w:t>
      </w:r>
      <w:proofErr w:type="spellEnd"/>
      <w:r w:rsidRPr="009243A6">
        <w:rPr>
          <w:rFonts w:ascii="Arial" w:hAnsi="Arial" w:cs="Arial"/>
          <w:lang w:val="en-GB"/>
        </w:rPr>
        <w:t xml:space="preserve"> durations greater than two months, an alternative regimen is recommended.</w:t>
      </w:r>
    </w:p>
    <w:p w14:paraId="0BF648CC" w14:textId="6D974F62" w:rsidR="009243A6" w:rsidRPr="009243A6" w:rsidRDefault="009243A6" w:rsidP="009243A6">
      <w:pPr>
        <w:rPr>
          <w:rFonts w:ascii="Arial" w:hAnsi="Arial" w:cs="Arial"/>
          <w:b/>
          <w:lang w:val="en-GB"/>
        </w:rPr>
      </w:pPr>
      <w:r w:rsidRPr="009243A6">
        <w:rPr>
          <w:rFonts w:ascii="Arial" w:hAnsi="Arial" w:cs="Arial"/>
          <w:lang w:val="en-GB"/>
        </w:rPr>
        <w:t xml:space="preserve">The first dose of oral </w:t>
      </w:r>
      <w:proofErr w:type="spellStart"/>
      <w:r w:rsidRPr="009243A6">
        <w:rPr>
          <w:rFonts w:ascii="Arial" w:hAnsi="Arial" w:cs="Arial"/>
          <w:lang w:val="en-GB"/>
        </w:rPr>
        <w:t>PrEP</w:t>
      </w:r>
      <w:proofErr w:type="spellEnd"/>
      <w:r w:rsidRPr="009243A6">
        <w:rPr>
          <w:rFonts w:ascii="Arial" w:hAnsi="Arial" w:cs="Arial"/>
          <w:lang w:val="en-GB"/>
        </w:rPr>
        <w:t xml:space="preserve"> should be taken two months (+/- 7 days) after the last injection dose of </w:t>
      </w:r>
      <w:r w:rsidR="00C04C75">
        <w:rPr>
          <w:rFonts w:ascii="Arial" w:hAnsi="Arial" w:cs="Arial"/>
          <w:lang w:val="en"/>
        </w:rPr>
        <w:t>APRETUDE</w:t>
      </w:r>
      <w:r w:rsidRPr="009243A6">
        <w:rPr>
          <w:rFonts w:ascii="Arial" w:hAnsi="Arial" w:cs="Arial"/>
          <w:lang w:val="en-GB"/>
        </w:rPr>
        <w:t xml:space="preserve">. Injection dosing should be planned to resume on the last day of oral </w:t>
      </w:r>
      <w:proofErr w:type="spellStart"/>
      <w:r w:rsidRPr="009243A6">
        <w:rPr>
          <w:rFonts w:ascii="Arial" w:hAnsi="Arial" w:cs="Arial"/>
          <w:lang w:val="en-GB"/>
        </w:rPr>
        <w:t>PrEP</w:t>
      </w:r>
      <w:proofErr w:type="spellEnd"/>
      <w:r w:rsidRPr="009243A6">
        <w:rPr>
          <w:rFonts w:ascii="Arial" w:hAnsi="Arial" w:cs="Arial"/>
          <w:lang w:val="en-GB"/>
        </w:rPr>
        <w:t xml:space="preserve"> or within 3 days, thereafter, as recommended in Table 3. </w:t>
      </w:r>
    </w:p>
    <w:p w14:paraId="0253668C" w14:textId="20EC2DC8" w:rsidR="009243A6" w:rsidRPr="009243A6" w:rsidRDefault="009243A6" w:rsidP="009243A6">
      <w:pPr>
        <w:rPr>
          <w:rFonts w:ascii="Arial" w:hAnsi="Arial" w:cs="Arial"/>
          <w:b/>
          <w:lang w:val="en-GB"/>
        </w:rPr>
      </w:pPr>
      <w:r w:rsidRPr="009243A6">
        <w:rPr>
          <w:rFonts w:ascii="Arial" w:hAnsi="Arial" w:cs="Arial"/>
          <w:b/>
          <w:bCs/>
          <w:lang w:val="en-GB"/>
        </w:rPr>
        <w:t xml:space="preserve">Table 3: Injection dosing recommendations after missed injections or following </w:t>
      </w:r>
      <w:r w:rsidR="00C04C75">
        <w:rPr>
          <w:rFonts w:ascii="Arial" w:hAnsi="Arial" w:cs="Arial"/>
          <w:b/>
          <w:bCs/>
          <w:lang w:val="en-GB"/>
        </w:rPr>
        <w:t>APREUDE tablets</w:t>
      </w:r>
      <w:r w:rsidR="0093493B">
        <w:rPr>
          <w:rFonts w:ascii="Arial" w:hAnsi="Arial" w:cs="Arial"/>
          <w:b/>
          <w:bCs/>
          <w:lang w:val="en-GB"/>
        </w:rPr>
        <w:t xml:space="preserve"> </w:t>
      </w:r>
      <w:r w:rsidRPr="009243A6">
        <w:rPr>
          <w:rFonts w:ascii="Arial" w:hAnsi="Arial" w:cs="Arial"/>
          <w:b/>
          <w:bCs/>
          <w:lang w:val="en-GB"/>
        </w:rPr>
        <w:t>to replace an injection</w:t>
      </w:r>
    </w:p>
    <w:tbl>
      <w:tblPr>
        <w:tblpPr w:leftFromText="180" w:rightFromText="180" w:vertAnchor="text" w:horzAnchor="margin" w:tblpY="4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9243A6" w:rsidRPr="009243A6" w14:paraId="39AB83D9" w14:textId="77777777" w:rsidTr="00E56BB9">
        <w:trPr>
          <w:trHeight w:val="558"/>
        </w:trPr>
        <w:tc>
          <w:tcPr>
            <w:tcW w:w="946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083379" w14:textId="2D4867CB" w:rsidR="009243A6" w:rsidRPr="009243A6" w:rsidRDefault="009243A6" w:rsidP="009243A6">
            <w:pPr>
              <w:rPr>
                <w:rFonts w:ascii="Arial" w:hAnsi="Arial" w:cs="Arial"/>
                <w:b/>
                <w:lang w:val="en-GB"/>
              </w:rPr>
            </w:pPr>
            <w:r w:rsidRPr="009243A6">
              <w:rPr>
                <w:rFonts w:ascii="Arial" w:hAnsi="Arial" w:cs="Arial"/>
                <w:b/>
                <w:lang w:val="en-GB"/>
              </w:rPr>
              <w:t>Missed Dose</w:t>
            </w:r>
            <w:r w:rsidR="006112FC">
              <w:rPr>
                <w:rFonts w:ascii="Arial" w:hAnsi="Arial" w:cs="Arial"/>
                <w:b/>
                <w:lang w:val="en-GB"/>
              </w:rPr>
              <w:t>s</w:t>
            </w:r>
          </w:p>
        </w:tc>
      </w:tr>
      <w:tr w:rsidR="009243A6" w:rsidRPr="009243A6" w14:paraId="7345F268" w14:textId="77777777" w:rsidTr="00A00329">
        <w:tc>
          <w:tcPr>
            <w:tcW w:w="3369" w:type="dxa"/>
            <w:tcBorders>
              <w:top w:val="single" w:sz="4" w:space="0" w:color="auto"/>
              <w:left w:val="single" w:sz="4" w:space="0" w:color="auto"/>
              <w:bottom w:val="single" w:sz="4" w:space="0" w:color="auto"/>
              <w:right w:val="single" w:sz="4" w:space="0" w:color="auto"/>
            </w:tcBorders>
            <w:shd w:val="clear" w:color="auto" w:fill="auto"/>
          </w:tcPr>
          <w:p w14:paraId="03EDDBFA" w14:textId="77777777" w:rsidR="009243A6" w:rsidRPr="009243A6" w:rsidRDefault="009243A6" w:rsidP="009243A6">
            <w:pPr>
              <w:rPr>
                <w:rFonts w:ascii="Arial" w:hAnsi="Arial" w:cs="Arial"/>
                <w:b/>
                <w:bCs/>
                <w:lang w:val="en-GB"/>
              </w:rPr>
            </w:pPr>
            <w:r w:rsidRPr="009243A6">
              <w:rPr>
                <w:rFonts w:ascii="Arial" w:hAnsi="Arial" w:cs="Arial"/>
                <w:b/>
                <w:bCs/>
                <w:lang w:val="en-GB"/>
              </w:rPr>
              <w:t>Time since last injection</w:t>
            </w:r>
          </w:p>
          <w:p w14:paraId="571CA584" w14:textId="77777777" w:rsidR="009243A6" w:rsidRPr="009243A6" w:rsidRDefault="009243A6" w:rsidP="009243A6">
            <w:pPr>
              <w:rPr>
                <w:rFonts w:ascii="Arial" w:hAnsi="Arial" w:cs="Arial"/>
                <w:b/>
                <w:bCs/>
                <w:lang w:val="en-GB"/>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1068C6D" w14:textId="77777777" w:rsidR="009243A6" w:rsidRPr="009243A6" w:rsidRDefault="009243A6" w:rsidP="009243A6">
            <w:pPr>
              <w:rPr>
                <w:rFonts w:ascii="Arial" w:hAnsi="Arial" w:cs="Arial"/>
                <w:b/>
                <w:bCs/>
                <w:lang w:val="en-GB"/>
              </w:rPr>
            </w:pPr>
            <w:r w:rsidRPr="009243A6">
              <w:rPr>
                <w:rFonts w:ascii="Arial" w:hAnsi="Arial" w:cs="Arial"/>
                <w:b/>
                <w:bCs/>
                <w:lang w:val="en-GB"/>
              </w:rPr>
              <w:t>Recommendation</w:t>
            </w:r>
          </w:p>
        </w:tc>
      </w:tr>
      <w:tr w:rsidR="009243A6" w:rsidRPr="009243A6" w14:paraId="30F4FD26" w14:textId="77777777" w:rsidTr="00A00329">
        <w:tc>
          <w:tcPr>
            <w:tcW w:w="3369" w:type="dxa"/>
            <w:tcBorders>
              <w:top w:val="single" w:sz="4" w:space="0" w:color="auto"/>
              <w:left w:val="single" w:sz="4" w:space="0" w:color="auto"/>
              <w:bottom w:val="single" w:sz="4" w:space="0" w:color="auto"/>
              <w:right w:val="single" w:sz="4" w:space="0" w:color="auto"/>
            </w:tcBorders>
            <w:shd w:val="clear" w:color="auto" w:fill="auto"/>
          </w:tcPr>
          <w:p w14:paraId="5D71848E" w14:textId="77777777" w:rsidR="009243A6" w:rsidRPr="009243A6" w:rsidRDefault="009243A6" w:rsidP="009243A6">
            <w:pPr>
              <w:rPr>
                <w:rFonts w:ascii="Arial" w:hAnsi="Arial" w:cs="Arial"/>
                <w:b/>
                <w:bCs/>
                <w:lang w:val="en-GB"/>
              </w:rPr>
            </w:pPr>
            <w:r w:rsidRPr="009243A6">
              <w:rPr>
                <w:rFonts w:ascii="Arial" w:hAnsi="Arial" w:cs="Arial"/>
                <w:b/>
                <w:bCs/>
                <w:lang w:val="en-GB"/>
              </w:rPr>
              <w:t xml:space="preserve">If second injection is missed and time since first injection is: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6F71BDE" w14:textId="77777777" w:rsidR="009243A6" w:rsidRPr="009243A6" w:rsidRDefault="009243A6" w:rsidP="009243A6">
            <w:pPr>
              <w:rPr>
                <w:rFonts w:ascii="Arial" w:hAnsi="Arial" w:cs="Arial"/>
                <w:b/>
                <w:bCs/>
                <w:lang w:val="en-GB"/>
              </w:rPr>
            </w:pPr>
          </w:p>
        </w:tc>
      </w:tr>
      <w:tr w:rsidR="009243A6" w:rsidRPr="009243A6" w14:paraId="6FD4016B" w14:textId="77777777" w:rsidTr="00A00329">
        <w:tc>
          <w:tcPr>
            <w:tcW w:w="3369" w:type="dxa"/>
            <w:tcBorders>
              <w:top w:val="single" w:sz="4" w:space="0" w:color="auto"/>
              <w:left w:val="single" w:sz="4" w:space="0" w:color="auto"/>
              <w:bottom w:val="single" w:sz="4" w:space="0" w:color="auto"/>
              <w:right w:val="single" w:sz="4" w:space="0" w:color="auto"/>
            </w:tcBorders>
            <w:shd w:val="clear" w:color="auto" w:fill="auto"/>
            <w:hideMark/>
          </w:tcPr>
          <w:p w14:paraId="41A06B0E" w14:textId="77777777" w:rsidR="009243A6" w:rsidRPr="009243A6" w:rsidRDefault="009243A6" w:rsidP="009243A6">
            <w:pPr>
              <w:rPr>
                <w:rFonts w:ascii="Arial" w:hAnsi="Arial" w:cs="Arial"/>
                <w:lang w:val="en-GB"/>
              </w:rPr>
            </w:pPr>
            <w:r w:rsidRPr="009243A6">
              <w:rPr>
                <w:rFonts w:ascii="Arial" w:hAnsi="Arial" w:cs="Arial"/>
                <w:lang w:val="en-GB"/>
              </w:rPr>
              <w:t>≤2 months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14:paraId="4237C02B" w14:textId="09B5490F" w:rsidR="009243A6" w:rsidRPr="009243A6" w:rsidRDefault="009243A6" w:rsidP="009243A6">
            <w:pPr>
              <w:rPr>
                <w:rFonts w:ascii="Arial" w:hAnsi="Arial" w:cs="Arial"/>
                <w:lang w:val="en-GB"/>
              </w:rPr>
            </w:pPr>
            <w:r w:rsidRPr="009243A6">
              <w:rPr>
                <w:rFonts w:ascii="Arial" w:hAnsi="Arial" w:cs="Arial"/>
                <w:lang w:val="en-GB"/>
              </w:rPr>
              <w:t>Administer one 3 mL (600 mg) injection as soon as possible and continue with the every</w:t>
            </w:r>
            <w:r w:rsidR="00E80B31">
              <w:rPr>
                <w:rFonts w:ascii="Arial" w:hAnsi="Arial" w:cs="Arial"/>
                <w:lang w:val="en-GB"/>
              </w:rPr>
              <w:t>-</w:t>
            </w:r>
            <w:proofErr w:type="gramStart"/>
            <w:r w:rsidRPr="009243A6">
              <w:rPr>
                <w:rFonts w:ascii="Arial" w:hAnsi="Arial" w:cs="Arial"/>
                <w:lang w:val="en-GB"/>
              </w:rPr>
              <w:t>2 month</w:t>
            </w:r>
            <w:proofErr w:type="gramEnd"/>
            <w:r w:rsidRPr="009243A6">
              <w:rPr>
                <w:rFonts w:ascii="Arial" w:hAnsi="Arial" w:cs="Arial"/>
                <w:lang w:val="en-GB"/>
              </w:rPr>
              <w:t xml:space="preserve"> injection dosing schedule.</w:t>
            </w:r>
          </w:p>
        </w:tc>
      </w:tr>
      <w:tr w:rsidR="009243A6" w:rsidRPr="009243A6" w14:paraId="6E95A9BB" w14:textId="77777777" w:rsidTr="00A00329">
        <w:tc>
          <w:tcPr>
            <w:tcW w:w="3369" w:type="dxa"/>
            <w:tcBorders>
              <w:top w:val="single" w:sz="4" w:space="0" w:color="auto"/>
              <w:left w:val="single" w:sz="4" w:space="0" w:color="auto"/>
              <w:bottom w:val="single" w:sz="4" w:space="0" w:color="auto"/>
              <w:right w:val="single" w:sz="4" w:space="0" w:color="auto"/>
            </w:tcBorders>
            <w:shd w:val="clear" w:color="auto" w:fill="auto"/>
            <w:hideMark/>
          </w:tcPr>
          <w:p w14:paraId="334750DF" w14:textId="77777777" w:rsidR="009243A6" w:rsidRPr="009243A6" w:rsidRDefault="009243A6" w:rsidP="009243A6">
            <w:pPr>
              <w:rPr>
                <w:rFonts w:ascii="Arial" w:hAnsi="Arial" w:cs="Arial"/>
                <w:lang w:val="en-GB"/>
              </w:rPr>
            </w:pPr>
            <w:r w:rsidRPr="009243A6">
              <w:rPr>
                <w:rFonts w:ascii="Arial" w:hAnsi="Arial" w:cs="Arial"/>
                <w:lang w:val="en-GB"/>
              </w:rPr>
              <w:t>&gt;2 months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14:paraId="51F63D2C" w14:textId="17C50E3E" w:rsidR="009243A6" w:rsidRPr="009243A6" w:rsidRDefault="009243A6" w:rsidP="009243A6">
            <w:pPr>
              <w:rPr>
                <w:rFonts w:ascii="Arial" w:hAnsi="Arial" w:cs="Arial"/>
                <w:lang w:val="en-GB"/>
              </w:rPr>
            </w:pPr>
            <w:r w:rsidRPr="009243A6">
              <w:rPr>
                <w:rFonts w:ascii="Arial" w:hAnsi="Arial" w:cs="Arial"/>
                <w:lang w:val="en-GB"/>
              </w:rPr>
              <w:t>Restart the individual on one 3 mL (600 mg) initiation injection, followed by a second 3 mL (600 mg) initiation injection one month later. Then follow the every</w:t>
            </w:r>
            <w:r w:rsidR="00C04C75">
              <w:rPr>
                <w:rFonts w:ascii="Arial" w:hAnsi="Arial" w:cs="Arial"/>
                <w:lang w:val="en-GB"/>
              </w:rPr>
              <w:t>-</w:t>
            </w:r>
            <w:proofErr w:type="gramStart"/>
            <w:r w:rsidR="00A07398">
              <w:rPr>
                <w:rFonts w:ascii="Arial" w:hAnsi="Arial" w:cs="Arial"/>
                <w:lang w:val="en-GB"/>
              </w:rPr>
              <w:t>2</w:t>
            </w:r>
            <w:r w:rsidRPr="009243A6">
              <w:rPr>
                <w:rFonts w:ascii="Arial" w:hAnsi="Arial" w:cs="Arial"/>
                <w:lang w:val="en-GB"/>
              </w:rPr>
              <w:t xml:space="preserve"> month</w:t>
            </w:r>
            <w:proofErr w:type="gramEnd"/>
            <w:r w:rsidRPr="009243A6">
              <w:rPr>
                <w:rFonts w:ascii="Arial" w:hAnsi="Arial" w:cs="Arial"/>
                <w:lang w:val="en-GB"/>
              </w:rPr>
              <w:t xml:space="preserve"> injection dosing schedule.</w:t>
            </w:r>
          </w:p>
        </w:tc>
      </w:tr>
      <w:tr w:rsidR="009243A6" w:rsidRPr="009243A6" w14:paraId="704C5204" w14:textId="77777777" w:rsidTr="00A00329">
        <w:tc>
          <w:tcPr>
            <w:tcW w:w="3369" w:type="dxa"/>
            <w:tcBorders>
              <w:top w:val="single" w:sz="4" w:space="0" w:color="auto"/>
              <w:left w:val="single" w:sz="4" w:space="0" w:color="auto"/>
              <w:bottom w:val="single" w:sz="4" w:space="0" w:color="auto"/>
              <w:right w:val="single" w:sz="4" w:space="0" w:color="auto"/>
            </w:tcBorders>
            <w:shd w:val="clear" w:color="auto" w:fill="auto"/>
          </w:tcPr>
          <w:p w14:paraId="7E9D6896" w14:textId="77777777" w:rsidR="009243A6" w:rsidRPr="009243A6" w:rsidRDefault="009243A6" w:rsidP="009243A6">
            <w:pPr>
              <w:rPr>
                <w:rFonts w:ascii="Arial" w:hAnsi="Arial" w:cs="Arial"/>
                <w:b/>
                <w:bCs/>
                <w:lang w:val="en-GB"/>
              </w:rPr>
            </w:pPr>
            <w:r w:rsidRPr="009243A6">
              <w:rPr>
                <w:rFonts w:ascii="Arial" w:hAnsi="Arial" w:cs="Arial"/>
                <w:b/>
                <w:bCs/>
                <w:lang w:val="en-GB"/>
              </w:rPr>
              <w:lastRenderedPageBreak/>
              <w:t>If 3</w:t>
            </w:r>
            <w:r w:rsidRPr="009243A6">
              <w:rPr>
                <w:rFonts w:ascii="Arial" w:hAnsi="Arial" w:cs="Arial"/>
                <w:b/>
                <w:bCs/>
                <w:vertAlign w:val="superscript"/>
                <w:lang w:val="en-GB"/>
              </w:rPr>
              <w:t>rd</w:t>
            </w:r>
            <w:r w:rsidRPr="009243A6">
              <w:rPr>
                <w:rFonts w:ascii="Arial" w:hAnsi="Arial" w:cs="Arial"/>
                <w:b/>
                <w:bCs/>
                <w:lang w:val="en-GB"/>
              </w:rPr>
              <w:t xml:space="preserve"> or subsequent injection is missed and time since prior injection is: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7C233DB" w14:textId="77777777" w:rsidR="009243A6" w:rsidRPr="009243A6" w:rsidRDefault="009243A6" w:rsidP="009243A6">
            <w:pPr>
              <w:rPr>
                <w:rFonts w:ascii="Arial" w:hAnsi="Arial" w:cs="Arial"/>
                <w:lang w:val="en-GB"/>
              </w:rPr>
            </w:pPr>
          </w:p>
        </w:tc>
      </w:tr>
      <w:tr w:rsidR="009243A6" w:rsidRPr="009243A6" w14:paraId="3F3166EC" w14:textId="77777777" w:rsidTr="00A00329">
        <w:tc>
          <w:tcPr>
            <w:tcW w:w="3369" w:type="dxa"/>
            <w:tcBorders>
              <w:top w:val="single" w:sz="4" w:space="0" w:color="auto"/>
              <w:left w:val="single" w:sz="4" w:space="0" w:color="auto"/>
              <w:bottom w:val="single" w:sz="4" w:space="0" w:color="auto"/>
              <w:right w:val="single" w:sz="4" w:space="0" w:color="auto"/>
            </w:tcBorders>
            <w:shd w:val="clear" w:color="auto" w:fill="auto"/>
          </w:tcPr>
          <w:p w14:paraId="3AF34E3A" w14:textId="77777777" w:rsidR="009243A6" w:rsidRPr="009243A6" w:rsidRDefault="009243A6" w:rsidP="009243A6">
            <w:pPr>
              <w:rPr>
                <w:rFonts w:ascii="Arial" w:hAnsi="Arial" w:cs="Arial"/>
                <w:lang w:val="en-GB"/>
              </w:rPr>
            </w:pPr>
            <w:r w:rsidRPr="009243A6">
              <w:rPr>
                <w:rFonts w:ascii="Arial" w:hAnsi="Arial" w:cs="Arial"/>
                <w:lang w:val="en-GB"/>
              </w:rPr>
              <w:t>≤3 months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30CDAC4" w14:textId="7DC01FC2" w:rsidR="009243A6" w:rsidRPr="009243A6" w:rsidRDefault="009243A6" w:rsidP="009243A6">
            <w:pPr>
              <w:rPr>
                <w:rFonts w:ascii="Arial" w:hAnsi="Arial" w:cs="Arial"/>
                <w:lang w:val="en-GB"/>
              </w:rPr>
            </w:pPr>
            <w:r w:rsidRPr="009243A6">
              <w:rPr>
                <w:rFonts w:ascii="Arial" w:hAnsi="Arial" w:cs="Arial"/>
                <w:lang w:val="en-GB"/>
              </w:rPr>
              <w:t>Administer one 3 mL (600 mg) injection as soon as possible and continue with the every</w:t>
            </w:r>
            <w:r w:rsidR="00C2035D">
              <w:rPr>
                <w:rFonts w:ascii="Arial" w:hAnsi="Arial" w:cs="Arial"/>
                <w:lang w:val="en-GB"/>
              </w:rPr>
              <w:t>-</w:t>
            </w:r>
            <w:proofErr w:type="gramStart"/>
            <w:r w:rsidRPr="009243A6">
              <w:rPr>
                <w:rFonts w:ascii="Arial" w:hAnsi="Arial" w:cs="Arial"/>
                <w:lang w:val="en-GB"/>
              </w:rPr>
              <w:t>2 month</w:t>
            </w:r>
            <w:proofErr w:type="gramEnd"/>
            <w:r w:rsidRPr="009243A6">
              <w:rPr>
                <w:rFonts w:ascii="Arial" w:hAnsi="Arial" w:cs="Arial"/>
                <w:lang w:val="en-GB"/>
              </w:rPr>
              <w:t xml:space="preserve"> injection dosing schedule.</w:t>
            </w:r>
          </w:p>
        </w:tc>
      </w:tr>
      <w:tr w:rsidR="009243A6" w:rsidRPr="009243A6" w14:paraId="3670AFAA" w14:textId="77777777" w:rsidTr="00A00329">
        <w:tc>
          <w:tcPr>
            <w:tcW w:w="3369" w:type="dxa"/>
            <w:tcBorders>
              <w:top w:val="single" w:sz="4" w:space="0" w:color="auto"/>
              <w:left w:val="single" w:sz="4" w:space="0" w:color="auto"/>
              <w:bottom w:val="single" w:sz="4" w:space="0" w:color="auto"/>
              <w:right w:val="single" w:sz="4" w:space="0" w:color="auto"/>
            </w:tcBorders>
            <w:shd w:val="clear" w:color="auto" w:fill="auto"/>
          </w:tcPr>
          <w:p w14:paraId="65463DC7" w14:textId="77777777" w:rsidR="009243A6" w:rsidRPr="009243A6" w:rsidRDefault="009243A6" w:rsidP="009243A6">
            <w:pPr>
              <w:rPr>
                <w:rFonts w:ascii="Arial" w:hAnsi="Arial" w:cs="Arial"/>
                <w:lang w:val="en-GB"/>
              </w:rPr>
            </w:pPr>
            <w:r w:rsidRPr="009243A6">
              <w:rPr>
                <w:rFonts w:ascii="Arial" w:hAnsi="Arial" w:cs="Arial"/>
                <w:lang w:val="en-GB"/>
              </w:rPr>
              <w:t>&gt;3 months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2BCF786" w14:textId="6D9731C8" w:rsidR="009243A6" w:rsidRPr="009243A6" w:rsidRDefault="009243A6" w:rsidP="009243A6">
            <w:pPr>
              <w:rPr>
                <w:rFonts w:ascii="Arial" w:hAnsi="Arial" w:cs="Arial"/>
                <w:lang w:val="en-GB"/>
              </w:rPr>
            </w:pPr>
            <w:r w:rsidRPr="009243A6">
              <w:rPr>
                <w:rFonts w:ascii="Arial" w:hAnsi="Arial" w:cs="Arial"/>
                <w:lang w:val="en-GB"/>
              </w:rPr>
              <w:t>Restart the individual on one 3 mL (600 mg) initiation injection, followed by a second 3 mL (600 mg) initiation injection one month later. Then follow the every</w:t>
            </w:r>
            <w:r w:rsidR="00C2035D">
              <w:rPr>
                <w:rFonts w:ascii="Arial" w:hAnsi="Arial" w:cs="Arial"/>
                <w:lang w:val="en-GB"/>
              </w:rPr>
              <w:t>-</w:t>
            </w:r>
            <w:proofErr w:type="gramStart"/>
            <w:r w:rsidR="00C2035D">
              <w:rPr>
                <w:rFonts w:ascii="Arial" w:hAnsi="Arial" w:cs="Arial"/>
                <w:lang w:val="en-GB"/>
              </w:rPr>
              <w:t>2</w:t>
            </w:r>
            <w:r w:rsidR="00C2035D" w:rsidRPr="009243A6">
              <w:rPr>
                <w:rFonts w:ascii="Arial" w:hAnsi="Arial" w:cs="Arial"/>
                <w:lang w:val="en-GB"/>
              </w:rPr>
              <w:t xml:space="preserve"> </w:t>
            </w:r>
            <w:r w:rsidRPr="009243A6">
              <w:rPr>
                <w:rFonts w:ascii="Arial" w:hAnsi="Arial" w:cs="Arial"/>
                <w:lang w:val="en-GB"/>
              </w:rPr>
              <w:t>month</w:t>
            </w:r>
            <w:proofErr w:type="gramEnd"/>
            <w:r w:rsidRPr="009243A6">
              <w:rPr>
                <w:rFonts w:ascii="Arial" w:hAnsi="Arial" w:cs="Arial"/>
                <w:lang w:val="en-GB"/>
              </w:rPr>
              <w:t xml:space="preserve"> injection dosing schedule.</w:t>
            </w:r>
          </w:p>
        </w:tc>
      </w:tr>
    </w:tbl>
    <w:p w14:paraId="1C0FDA63" w14:textId="77777777" w:rsidR="009243A6" w:rsidRPr="009243A6" w:rsidRDefault="009243A6" w:rsidP="009243A6">
      <w:pPr>
        <w:rPr>
          <w:rFonts w:ascii="Arial" w:hAnsi="Arial" w:cs="Arial"/>
          <w:lang w:val="x-none"/>
        </w:rPr>
      </w:pPr>
    </w:p>
    <w:p w14:paraId="2739C256" w14:textId="77777777" w:rsidR="009243A6" w:rsidRPr="009243A6" w:rsidRDefault="009243A6" w:rsidP="009243A6">
      <w:pPr>
        <w:rPr>
          <w:rFonts w:ascii="Arial" w:hAnsi="Arial" w:cs="Arial"/>
          <w:b/>
          <w:bCs/>
          <w:lang w:val="en-GB"/>
        </w:rPr>
      </w:pPr>
      <w:r w:rsidRPr="009243A6">
        <w:rPr>
          <w:rFonts w:ascii="Arial" w:hAnsi="Arial" w:cs="Arial"/>
          <w:b/>
          <w:bCs/>
          <w:lang w:val="en-GB"/>
        </w:rPr>
        <w:t>Adolescents and Children</w:t>
      </w:r>
      <w:r w:rsidRPr="009243A6">
        <w:rPr>
          <w:rFonts w:ascii="Arial" w:hAnsi="Arial" w:cs="Arial"/>
          <w:b/>
          <w:bCs/>
          <w:lang w:val="en-GB"/>
        </w:rPr>
        <w:fldChar w:fldCharType="begin"/>
      </w:r>
      <w:r w:rsidRPr="009243A6">
        <w:rPr>
          <w:rFonts w:ascii="Arial" w:hAnsi="Arial" w:cs="Arial"/>
          <w:b/>
          <w:bCs/>
          <w:lang w:val="en-GB"/>
        </w:rPr>
        <w:instrText xml:space="preserve"> DOCVARIABLE vault_nd_af3f783d-2853-46e7-aa4c-41665a12e326 \* MERGEFORMAT </w:instrText>
      </w:r>
      <w:r w:rsidRPr="009243A6">
        <w:rPr>
          <w:rFonts w:ascii="Arial" w:hAnsi="Arial" w:cs="Arial"/>
          <w:b/>
          <w:bCs/>
          <w:lang w:val="en-GB"/>
        </w:rPr>
        <w:fldChar w:fldCharType="separate"/>
      </w:r>
      <w:r w:rsidRPr="009243A6">
        <w:rPr>
          <w:rFonts w:ascii="Arial" w:hAnsi="Arial" w:cs="Arial"/>
          <w:b/>
          <w:bCs/>
          <w:lang w:val="en-GB"/>
        </w:rPr>
        <w:t xml:space="preserve"> </w:t>
      </w:r>
      <w:r w:rsidRPr="009243A6">
        <w:rPr>
          <w:rFonts w:ascii="Arial" w:hAnsi="Arial" w:cs="Arial"/>
          <w:lang w:val="en"/>
        </w:rPr>
        <w:fldChar w:fldCharType="end"/>
      </w:r>
    </w:p>
    <w:p w14:paraId="6DE123D2" w14:textId="1A563C38" w:rsidR="009243A6" w:rsidRPr="009243A6" w:rsidRDefault="009243A6" w:rsidP="009243A6">
      <w:pPr>
        <w:rPr>
          <w:rFonts w:ascii="Arial" w:hAnsi="Arial" w:cs="Arial"/>
          <w:lang w:val="en-GB"/>
        </w:rPr>
      </w:pPr>
      <w:r w:rsidRPr="009243A6">
        <w:rPr>
          <w:rFonts w:ascii="Arial" w:hAnsi="Arial" w:cs="Arial"/>
          <w:lang w:val="en-GB"/>
        </w:rPr>
        <w:t xml:space="preserve">The safety and efficacy of </w:t>
      </w:r>
      <w:r w:rsidR="00032E53">
        <w:rPr>
          <w:rFonts w:ascii="Arial" w:hAnsi="Arial" w:cs="Arial"/>
          <w:lang w:val="en-GB"/>
        </w:rPr>
        <w:t>APRETUDE</w:t>
      </w:r>
      <w:r w:rsidR="00032E53" w:rsidRPr="009243A6">
        <w:rPr>
          <w:rFonts w:ascii="Arial" w:hAnsi="Arial" w:cs="Arial"/>
          <w:lang w:val="en-GB"/>
        </w:rPr>
        <w:t xml:space="preserve"> </w:t>
      </w:r>
      <w:r w:rsidRPr="009243A6">
        <w:rPr>
          <w:rFonts w:ascii="Arial" w:hAnsi="Arial" w:cs="Arial"/>
          <w:lang w:val="en-GB"/>
        </w:rPr>
        <w:t xml:space="preserve">in children </w:t>
      </w:r>
      <w:r w:rsidR="00B01F0C">
        <w:rPr>
          <w:rFonts w:ascii="Arial" w:hAnsi="Arial" w:cs="Arial"/>
          <w:lang w:val="en-GB"/>
        </w:rPr>
        <w:t xml:space="preserve">&lt; 12 years of age, </w:t>
      </w:r>
      <w:r w:rsidRPr="009243A6">
        <w:rPr>
          <w:rFonts w:ascii="Arial" w:hAnsi="Arial" w:cs="Arial"/>
          <w:lang w:val="en-GB"/>
        </w:rPr>
        <w:t xml:space="preserve">and </w:t>
      </w:r>
      <w:r w:rsidR="003A730E">
        <w:rPr>
          <w:rFonts w:ascii="Arial" w:hAnsi="Arial" w:cs="Arial"/>
          <w:lang w:val="en-GB"/>
        </w:rPr>
        <w:t xml:space="preserve">in </w:t>
      </w:r>
      <w:r w:rsidRPr="009243A6">
        <w:rPr>
          <w:rFonts w:ascii="Arial" w:hAnsi="Arial" w:cs="Arial"/>
          <w:lang w:val="en-GB"/>
        </w:rPr>
        <w:t>adolescents weighing less than 35 kg have not been established.</w:t>
      </w:r>
    </w:p>
    <w:p w14:paraId="71283389" w14:textId="77777777" w:rsidR="009243A6" w:rsidRPr="009243A6" w:rsidRDefault="009243A6" w:rsidP="00DD7FCC">
      <w:pPr>
        <w:keepNext/>
        <w:keepLines/>
        <w:rPr>
          <w:rFonts w:ascii="Arial" w:hAnsi="Arial" w:cs="Arial"/>
          <w:b/>
          <w:bCs/>
          <w:lang w:val="en-GB"/>
        </w:rPr>
      </w:pPr>
      <w:r w:rsidRPr="009243A6">
        <w:rPr>
          <w:rFonts w:ascii="Arial" w:hAnsi="Arial" w:cs="Arial"/>
          <w:b/>
          <w:bCs/>
          <w:lang w:val="en-GB"/>
        </w:rPr>
        <w:t>Elderly</w:t>
      </w:r>
      <w:r w:rsidRPr="009243A6">
        <w:rPr>
          <w:rFonts w:ascii="Arial" w:hAnsi="Arial" w:cs="Arial"/>
          <w:b/>
          <w:bCs/>
          <w:lang w:val="en-GB"/>
        </w:rPr>
        <w:fldChar w:fldCharType="begin"/>
      </w:r>
      <w:r w:rsidRPr="009243A6">
        <w:rPr>
          <w:rFonts w:ascii="Arial" w:hAnsi="Arial" w:cs="Arial"/>
          <w:b/>
          <w:bCs/>
          <w:lang w:val="en-GB"/>
        </w:rPr>
        <w:instrText xml:space="preserve"> DOCVARIABLE vault_nd_94e7ccad-b232-4fe5-8010-c529cec1e77c \* MERGEFORMAT </w:instrText>
      </w:r>
      <w:r w:rsidRPr="009243A6">
        <w:rPr>
          <w:rFonts w:ascii="Arial" w:hAnsi="Arial" w:cs="Arial"/>
          <w:b/>
          <w:bCs/>
          <w:lang w:val="en-GB"/>
        </w:rPr>
        <w:fldChar w:fldCharType="separate"/>
      </w:r>
      <w:r w:rsidRPr="009243A6">
        <w:rPr>
          <w:rFonts w:ascii="Arial" w:hAnsi="Arial" w:cs="Arial"/>
          <w:b/>
          <w:bCs/>
          <w:lang w:val="en-GB"/>
        </w:rPr>
        <w:t xml:space="preserve"> </w:t>
      </w:r>
      <w:r w:rsidRPr="009243A6">
        <w:rPr>
          <w:rFonts w:ascii="Arial" w:hAnsi="Arial" w:cs="Arial"/>
          <w:lang w:val="en"/>
        </w:rPr>
        <w:fldChar w:fldCharType="end"/>
      </w:r>
    </w:p>
    <w:p w14:paraId="2E4DFF8A" w14:textId="58E79142" w:rsidR="009243A6" w:rsidRPr="009243A6" w:rsidRDefault="009243A6" w:rsidP="00DD7FCC">
      <w:pPr>
        <w:keepNext/>
        <w:keepLines/>
        <w:rPr>
          <w:rFonts w:ascii="Arial" w:hAnsi="Arial" w:cs="Arial"/>
          <w:lang w:val="en-GB"/>
        </w:rPr>
      </w:pPr>
      <w:r w:rsidRPr="009243A6">
        <w:rPr>
          <w:rFonts w:ascii="Arial" w:hAnsi="Arial" w:cs="Arial"/>
          <w:lang w:val="en-GB"/>
        </w:rPr>
        <w:t xml:space="preserve">No dose adjustment is required in elderly individuals. There are limited data available on the use of </w:t>
      </w:r>
      <w:r w:rsidR="00032E53">
        <w:rPr>
          <w:rFonts w:ascii="Arial" w:hAnsi="Arial" w:cs="Arial"/>
          <w:lang w:val="en-GB"/>
        </w:rPr>
        <w:t>APRETUDE</w:t>
      </w:r>
      <w:r w:rsidR="00032E53" w:rsidRPr="009243A6">
        <w:rPr>
          <w:rFonts w:ascii="Arial" w:hAnsi="Arial" w:cs="Arial"/>
          <w:lang w:val="en-GB"/>
        </w:rPr>
        <w:t xml:space="preserve"> </w:t>
      </w:r>
      <w:r w:rsidRPr="009243A6">
        <w:rPr>
          <w:rFonts w:ascii="Arial" w:hAnsi="Arial" w:cs="Arial"/>
          <w:lang w:val="en-GB"/>
        </w:rPr>
        <w:t>in individuals aged 65 years and over (</w:t>
      </w:r>
      <w:r w:rsidR="00BC6463" w:rsidRPr="00335E5C">
        <w:rPr>
          <w:rFonts w:ascii="Arial" w:hAnsi="Arial" w:cs="Arial"/>
          <w:lang w:val="en"/>
        </w:rPr>
        <w:t>see section 5.2</w:t>
      </w:r>
      <w:r w:rsidR="00BC6463">
        <w:rPr>
          <w:rFonts w:ascii="Arial" w:hAnsi="Arial" w:cs="Arial"/>
          <w:lang w:val="en"/>
        </w:rPr>
        <w:t xml:space="preserve"> PHARMACOKINETIC PROPERTIES, Special patient populations)</w:t>
      </w:r>
      <w:r w:rsidRPr="009243A6">
        <w:rPr>
          <w:rFonts w:ascii="Arial" w:hAnsi="Arial" w:cs="Arial"/>
          <w:lang w:val="en-GB"/>
        </w:rPr>
        <w:t>.</w:t>
      </w:r>
    </w:p>
    <w:p w14:paraId="015112D9" w14:textId="77777777" w:rsidR="009243A6" w:rsidRPr="009243A6" w:rsidRDefault="009243A6" w:rsidP="009243A6">
      <w:pPr>
        <w:rPr>
          <w:rFonts w:ascii="Arial" w:hAnsi="Arial" w:cs="Arial"/>
          <w:b/>
          <w:bCs/>
          <w:lang w:val="en-GB"/>
        </w:rPr>
      </w:pPr>
      <w:r w:rsidRPr="009243A6">
        <w:rPr>
          <w:rFonts w:ascii="Arial" w:hAnsi="Arial" w:cs="Arial"/>
          <w:b/>
          <w:bCs/>
          <w:lang w:val="en-GB"/>
        </w:rPr>
        <w:t>Renal impairment</w:t>
      </w:r>
      <w:r w:rsidRPr="009243A6">
        <w:rPr>
          <w:rFonts w:ascii="Arial" w:hAnsi="Arial" w:cs="Arial"/>
          <w:b/>
          <w:bCs/>
          <w:lang w:val="en-GB"/>
        </w:rPr>
        <w:fldChar w:fldCharType="begin"/>
      </w:r>
      <w:r w:rsidRPr="009243A6">
        <w:rPr>
          <w:rFonts w:ascii="Arial" w:hAnsi="Arial" w:cs="Arial"/>
          <w:b/>
          <w:bCs/>
          <w:lang w:val="en-GB"/>
        </w:rPr>
        <w:instrText xml:space="preserve"> DOCVARIABLE vault_nd_1e87f15d-d197-4cd1-a240-63e18797d487 \* MERGEFORMAT </w:instrText>
      </w:r>
      <w:r w:rsidRPr="009243A6">
        <w:rPr>
          <w:rFonts w:ascii="Arial" w:hAnsi="Arial" w:cs="Arial"/>
          <w:b/>
          <w:bCs/>
          <w:lang w:val="en-GB"/>
        </w:rPr>
        <w:fldChar w:fldCharType="separate"/>
      </w:r>
      <w:r w:rsidRPr="009243A6">
        <w:rPr>
          <w:rFonts w:ascii="Arial" w:hAnsi="Arial" w:cs="Arial"/>
          <w:b/>
          <w:bCs/>
          <w:lang w:val="en-GB"/>
        </w:rPr>
        <w:t xml:space="preserve"> </w:t>
      </w:r>
      <w:r w:rsidRPr="009243A6">
        <w:rPr>
          <w:rFonts w:ascii="Arial" w:hAnsi="Arial" w:cs="Arial"/>
          <w:lang w:val="en"/>
        </w:rPr>
        <w:fldChar w:fldCharType="end"/>
      </w:r>
    </w:p>
    <w:p w14:paraId="1E4CCDC6" w14:textId="0DDEBC0F" w:rsidR="009243A6" w:rsidRPr="009243A6" w:rsidRDefault="009243A6" w:rsidP="009243A6">
      <w:pPr>
        <w:rPr>
          <w:rFonts w:ascii="Arial" w:hAnsi="Arial" w:cs="Arial"/>
          <w:lang w:val="en-GB"/>
        </w:rPr>
      </w:pPr>
      <w:r w:rsidRPr="009243A6">
        <w:rPr>
          <w:rFonts w:ascii="Arial" w:hAnsi="Arial" w:cs="Arial"/>
          <w:lang w:val="en-GB"/>
        </w:rPr>
        <w:t>No dosage adjustment is required in individuals with mild to severe renal impairment and</w:t>
      </w:r>
      <w:r w:rsidR="00707C12">
        <w:rPr>
          <w:rFonts w:ascii="Arial" w:hAnsi="Arial" w:cs="Arial"/>
          <w:lang w:val="en-GB"/>
        </w:rPr>
        <w:t xml:space="preserve"> who are</w:t>
      </w:r>
      <w:r w:rsidRPr="009243A6">
        <w:rPr>
          <w:rFonts w:ascii="Arial" w:hAnsi="Arial" w:cs="Arial"/>
          <w:lang w:val="en-GB"/>
        </w:rPr>
        <w:t xml:space="preserve"> not on dialysis (</w:t>
      </w:r>
      <w:r w:rsidR="00BC6463" w:rsidRPr="00335E5C">
        <w:rPr>
          <w:rFonts w:ascii="Arial" w:hAnsi="Arial" w:cs="Arial"/>
          <w:lang w:val="en"/>
        </w:rPr>
        <w:t>see section 5.2</w:t>
      </w:r>
      <w:r w:rsidR="00BC6463">
        <w:rPr>
          <w:rFonts w:ascii="Arial" w:hAnsi="Arial" w:cs="Arial"/>
          <w:lang w:val="en"/>
        </w:rPr>
        <w:t xml:space="preserve"> PHARMACOKINETIC PROPERTIES, Special patient populations).</w:t>
      </w:r>
    </w:p>
    <w:p w14:paraId="037EEE97" w14:textId="77777777" w:rsidR="009243A6" w:rsidRPr="009243A6" w:rsidRDefault="009243A6" w:rsidP="009243A6">
      <w:pPr>
        <w:rPr>
          <w:rFonts w:ascii="Arial" w:hAnsi="Arial" w:cs="Arial"/>
          <w:b/>
          <w:bCs/>
          <w:lang w:val="en-GB"/>
        </w:rPr>
      </w:pPr>
      <w:r w:rsidRPr="009243A6">
        <w:rPr>
          <w:rFonts w:ascii="Arial" w:hAnsi="Arial" w:cs="Arial"/>
          <w:b/>
          <w:bCs/>
          <w:lang w:val="en-GB"/>
        </w:rPr>
        <w:t>Hepatic impairment</w:t>
      </w:r>
      <w:r w:rsidRPr="009243A6">
        <w:rPr>
          <w:rFonts w:ascii="Arial" w:hAnsi="Arial" w:cs="Arial"/>
          <w:b/>
          <w:bCs/>
          <w:lang w:val="en-GB"/>
        </w:rPr>
        <w:fldChar w:fldCharType="begin"/>
      </w:r>
      <w:r w:rsidRPr="009243A6">
        <w:rPr>
          <w:rFonts w:ascii="Arial" w:hAnsi="Arial" w:cs="Arial"/>
          <w:b/>
          <w:bCs/>
          <w:lang w:val="en-GB"/>
        </w:rPr>
        <w:instrText xml:space="preserve"> DOCVARIABLE vault_nd_cd81bdc9-3367-41d8-95f4-2addc69ea414 \* MERGEFORMAT </w:instrText>
      </w:r>
      <w:r w:rsidRPr="009243A6">
        <w:rPr>
          <w:rFonts w:ascii="Arial" w:hAnsi="Arial" w:cs="Arial"/>
          <w:b/>
          <w:bCs/>
          <w:lang w:val="en-GB"/>
        </w:rPr>
        <w:fldChar w:fldCharType="separate"/>
      </w:r>
      <w:r w:rsidRPr="009243A6">
        <w:rPr>
          <w:rFonts w:ascii="Arial" w:hAnsi="Arial" w:cs="Arial"/>
          <w:b/>
          <w:bCs/>
          <w:lang w:val="en-GB"/>
        </w:rPr>
        <w:t xml:space="preserve"> </w:t>
      </w:r>
      <w:r w:rsidRPr="009243A6">
        <w:rPr>
          <w:rFonts w:ascii="Arial" w:hAnsi="Arial" w:cs="Arial"/>
          <w:lang w:val="en"/>
        </w:rPr>
        <w:fldChar w:fldCharType="end"/>
      </w:r>
    </w:p>
    <w:p w14:paraId="3793C4AD" w14:textId="46BC7FA5" w:rsidR="009243A6" w:rsidRDefault="009243A6" w:rsidP="009243A6">
      <w:pPr>
        <w:rPr>
          <w:rFonts w:ascii="Arial" w:hAnsi="Arial" w:cs="Arial"/>
          <w:lang w:val="en"/>
        </w:rPr>
      </w:pPr>
      <w:r w:rsidRPr="009243A6">
        <w:rPr>
          <w:rFonts w:ascii="Arial" w:hAnsi="Arial" w:cs="Arial"/>
          <w:lang w:val="en-GB"/>
        </w:rPr>
        <w:t xml:space="preserve">No dosage adjustment is required in individuals with mild or moderate hepatic impairment (Child-Pugh score A or B). </w:t>
      </w:r>
      <w:r w:rsidR="00032E53">
        <w:rPr>
          <w:rFonts w:ascii="Arial" w:hAnsi="Arial" w:cs="Arial"/>
          <w:lang w:val="en-GB"/>
        </w:rPr>
        <w:t>APRETUDE</w:t>
      </w:r>
      <w:r w:rsidR="00032E53" w:rsidRPr="009243A6">
        <w:rPr>
          <w:rFonts w:ascii="Arial" w:hAnsi="Arial" w:cs="Arial"/>
          <w:lang w:val="en-GB"/>
        </w:rPr>
        <w:t xml:space="preserve"> </w:t>
      </w:r>
      <w:r w:rsidRPr="009243A6">
        <w:rPr>
          <w:rFonts w:ascii="Arial" w:hAnsi="Arial" w:cs="Arial"/>
          <w:lang w:val="en-GB"/>
        </w:rPr>
        <w:t>has not been studied in individuals with severe hepatic impairment (Child-Pugh score C) (</w:t>
      </w:r>
      <w:r w:rsidR="00BC6463" w:rsidRPr="00335E5C">
        <w:rPr>
          <w:rFonts w:ascii="Arial" w:hAnsi="Arial" w:cs="Arial"/>
          <w:lang w:val="en"/>
        </w:rPr>
        <w:t>see section 5.2</w:t>
      </w:r>
      <w:r w:rsidR="00BC6463">
        <w:rPr>
          <w:rFonts w:ascii="Arial" w:hAnsi="Arial" w:cs="Arial"/>
          <w:lang w:val="en"/>
        </w:rPr>
        <w:t xml:space="preserve"> PHARMACOKINETIC PROPERTIES, Special patient populations).</w:t>
      </w:r>
    </w:p>
    <w:p w14:paraId="57E765F2" w14:textId="77777777" w:rsidR="00475C7D" w:rsidRDefault="00475C7D" w:rsidP="00475C7D">
      <w:pPr>
        <w:pStyle w:val="NoNumHead2"/>
        <w:keepNext w:val="0"/>
        <w:spacing w:after="120"/>
        <w:rPr>
          <w:lang w:val="en-GB"/>
        </w:rPr>
      </w:pPr>
      <w:r>
        <w:rPr>
          <w:lang w:val="en-GB"/>
        </w:rPr>
        <w:t>Method of Administration</w:t>
      </w:r>
      <w:r>
        <w:rPr>
          <w:lang w:val="en-GB"/>
        </w:rPr>
        <w:fldChar w:fldCharType="begin"/>
      </w:r>
      <w:r>
        <w:rPr>
          <w:lang w:val="en-GB"/>
        </w:rPr>
        <w:instrText xml:space="preserve"> DOCVARIABLE vault_nd_f89e8341-3cd6-4e38-a8ec-df81f5da5705 \* MERGEFORMAT </w:instrText>
      </w:r>
      <w:r>
        <w:rPr>
          <w:lang w:val="en-GB"/>
        </w:rPr>
        <w:fldChar w:fldCharType="separate"/>
      </w:r>
      <w:r>
        <w:rPr>
          <w:lang w:val="en-GB"/>
        </w:rPr>
        <w:t xml:space="preserve"> </w:t>
      </w:r>
      <w:r>
        <w:rPr>
          <w:lang w:val="en-GB"/>
        </w:rPr>
        <w:fldChar w:fldCharType="end"/>
      </w:r>
    </w:p>
    <w:p w14:paraId="633ECA41" w14:textId="77777777" w:rsidR="00475C7D" w:rsidRPr="00475C7D" w:rsidRDefault="00475C7D" w:rsidP="00475C7D">
      <w:pPr>
        <w:rPr>
          <w:rFonts w:ascii="Arial" w:eastAsia="SimSun" w:hAnsi="Arial" w:cs="Arial"/>
          <w:u w:val="single"/>
        </w:rPr>
      </w:pPr>
      <w:r w:rsidRPr="00475C7D">
        <w:rPr>
          <w:rFonts w:ascii="Arial" w:eastAsia="SimSun" w:hAnsi="Arial" w:cs="Arial"/>
          <w:u w:val="single"/>
        </w:rPr>
        <w:t>Film-coated Tablet</w:t>
      </w:r>
    </w:p>
    <w:p w14:paraId="7AE21B8B" w14:textId="4879C1A5" w:rsidR="00475C7D" w:rsidRPr="00475C7D" w:rsidRDefault="00477D84" w:rsidP="00475C7D">
      <w:pPr>
        <w:autoSpaceDE w:val="0"/>
        <w:autoSpaceDN w:val="0"/>
        <w:spacing w:before="40" w:after="40"/>
        <w:rPr>
          <w:rFonts w:ascii="Arial" w:hAnsi="Arial" w:cs="Arial"/>
          <w:lang w:val="en"/>
        </w:rPr>
      </w:pPr>
      <w:r>
        <w:rPr>
          <w:rFonts w:ascii="Arial" w:hAnsi="Arial" w:cs="Arial"/>
          <w:lang w:val="en"/>
        </w:rPr>
        <w:t xml:space="preserve">Oral use. </w:t>
      </w:r>
      <w:r w:rsidR="00032E53">
        <w:rPr>
          <w:rFonts w:ascii="Arial" w:hAnsi="Arial" w:cs="Arial"/>
          <w:lang w:val="en"/>
        </w:rPr>
        <w:t>APRETUDE tablets</w:t>
      </w:r>
      <w:r w:rsidR="00032E53" w:rsidRPr="00475C7D">
        <w:rPr>
          <w:rFonts w:ascii="Arial" w:hAnsi="Arial" w:cs="Arial"/>
          <w:lang w:val="en"/>
        </w:rPr>
        <w:t xml:space="preserve"> </w:t>
      </w:r>
      <w:r w:rsidR="00475C7D" w:rsidRPr="00475C7D">
        <w:rPr>
          <w:rFonts w:ascii="Arial" w:hAnsi="Arial" w:cs="Arial"/>
          <w:lang w:val="en"/>
        </w:rPr>
        <w:t xml:space="preserve">may be taken with or without food. </w:t>
      </w:r>
    </w:p>
    <w:p w14:paraId="4F478DF8" w14:textId="77777777" w:rsidR="00475C7D" w:rsidRDefault="00475C7D" w:rsidP="00475C7D">
      <w:pPr>
        <w:autoSpaceDE w:val="0"/>
        <w:autoSpaceDN w:val="0"/>
        <w:spacing w:before="40" w:after="40"/>
        <w:rPr>
          <w:iCs/>
        </w:rPr>
      </w:pPr>
    </w:p>
    <w:p w14:paraId="109BCF29" w14:textId="5670B20D" w:rsidR="00475C7D" w:rsidRDefault="00475C7D" w:rsidP="00475C7D">
      <w:pPr>
        <w:rPr>
          <w:rFonts w:ascii="Arial" w:hAnsi="Arial" w:cs="Arial"/>
          <w:lang w:val="en-GB"/>
        </w:rPr>
      </w:pPr>
      <w:r>
        <w:rPr>
          <w:rFonts w:ascii="Arial" w:eastAsia="SimSun" w:hAnsi="Arial" w:cs="Arial"/>
          <w:u w:val="single"/>
        </w:rPr>
        <w:t>P</w:t>
      </w:r>
      <w:r w:rsidRPr="002B0936">
        <w:rPr>
          <w:rFonts w:ascii="Arial" w:eastAsia="SimSun" w:hAnsi="Arial" w:cs="Arial"/>
          <w:u w:val="single"/>
        </w:rPr>
        <w:t xml:space="preserve">rolonged-release </w:t>
      </w:r>
      <w:r w:rsidR="000E7B1F">
        <w:rPr>
          <w:rFonts w:ascii="Arial" w:eastAsia="SimSun" w:hAnsi="Arial" w:cs="Arial"/>
          <w:u w:val="single"/>
        </w:rPr>
        <w:t>S</w:t>
      </w:r>
      <w:r w:rsidRPr="002B0936">
        <w:rPr>
          <w:rFonts w:ascii="Arial" w:eastAsia="SimSun" w:hAnsi="Arial" w:cs="Arial"/>
          <w:u w:val="single"/>
        </w:rPr>
        <w:t xml:space="preserve">uspension for </w:t>
      </w:r>
      <w:r w:rsidR="000E7B1F">
        <w:rPr>
          <w:rFonts w:ascii="Arial" w:eastAsia="SimSun" w:hAnsi="Arial" w:cs="Arial"/>
          <w:u w:val="single"/>
        </w:rPr>
        <w:t>I</w:t>
      </w:r>
      <w:r w:rsidRPr="002B0936">
        <w:rPr>
          <w:rFonts w:ascii="Arial" w:eastAsia="SimSun" w:hAnsi="Arial" w:cs="Arial"/>
          <w:u w:val="single"/>
        </w:rPr>
        <w:t>njection</w:t>
      </w:r>
      <w:r w:rsidRPr="009243A6">
        <w:rPr>
          <w:rFonts w:ascii="Arial" w:hAnsi="Arial" w:cs="Arial"/>
          <w:lang w:val="en-GB"/>
        </w:rPr>
        <w:t xml:space="preserve"> </w:t>
      </w:r>
    </w:p>
    <w:p w14:paraId="0A8E1A36" w14:textId="29DDEFB2" w:rsidR="0010537F" w:rsidRDefault="0010537F" w:rsidP="0010537F">
      <w:pPr>
        <w:rPr>
          <w:rFonts w:ascii="Arial" w:hAnsi="Arial" w:cs="Arial"/>
          <w:lang w:val="en"/>
        </w:rPr>
      </w:pPr>
      <w:r w:rsidRPr="00DD2F4B">
        <w:rPr>
          <w:rFonts w:ascii="Arial" w:hAnsi="Arial" w:cs="Arial"/>
          <w:lang w:val="en"/>
        </w:rPr>
        <w:t>For gluteal intramuscular (IM) injection use only. Do not inject intravenously.</w:t>
      </w:r>
    </w:p>
    <w:p w14:paraId="2D2AB6E6" w14:textId="3C6B7AE9" w:rsidR="00A26F1D" w:rsidRPr="00DD2F4B" w:rsidRDefault="00244AE8" w:rsidP="00A26F1D">
      <w:pPr>
        <w:rPr>
          <w:rFonts w:ascii="Arial" w:hAnsi="Arial" w:cs="Arial"/>
          <w:lang w:val="en"/>
        </w:rPr>
      </w:pPr>
      <w:r>
        <w:rPr>
          <w:rFonts w:ascii="Arial" w:hAnsi="Arial" w:cs="Arial"/>
          <w:lang w:val="en"/>
        </w:rPr>
        <w:lastRenderedPageBreak/>
        <w:t>APRETUDE</w:t>
      </w:r>
      <w:r w:rsidR="00A26F1D" w:rsidRPr="00DD2F4B">
        <w:rPr>
          <w:rFonts w:ascii="Arial" w:hAnsi="Arial" w:cs="Arial"/>
          <w:lang w:val="en"/>
        </w:rPr>
        <w:t xml:space="preserve"> injection should be administered by a healthcare professional. For instructions on administration, see “Instructions for Use” </w:t>
      </w:r>
      <w:r w:rsidR="00A26F1D">
        <w:rPr>
          <w:rFonts w:ascii="Arial" w:hAnsi="Arial" w:cs="Arial"/>
          <w:lang w:val="en"/>
        </w:rPr>
        <w:t>attached</w:t>
      </w:r>
      <w:r w:rsidR="00A26F1D" w:rsidRPr="00DD2F4B">
        <w:rPr>
          <w:rFonts w:ascii="Arial" w:hAnsi="Arial" w:cs="Arial"/>
          <w:lang w:val="en"/>
        </w:rPr>
        <w:t>.</w:t>
      </w:r>
    </w:p>
    <w:p w14:paraId="054676ED" w14:textId="4DC2916A" w:rsidR="00D22A43" w:rsidRDefault="00A26F1D" w:rsidP="00ED49A9">
      <w:pPr>
        <w:rPr>
          <w:rFonts w:ascii="Arial" w:hAnsi="Arial" w:cs="Arial"/>
          <w:lang w:val="en"/>
        </w:rPr>
      </w:pPr>
      <w:r w:rsidRPr="00DD2F4B">
        <w:rPr>
          <w:rFonts w:ascii="Arial" w:hAnsi="Arial" w:cs="Arial"/>
          <w:lang w:val="en"/>
        </w:rPr>
        <w:t xml:space="preserve">When administering </w:t>
      </w:r>
      <w:r w:rsidR="00244AE8">
        <w:rPr>
          <w:rFonts w:ascii="Arial" w:hAnsi="Arial" w:cs="Arial"/>
          <w:lang w:val="en"/>
        </w:rPr>
        <w:t>APRETUDE</w:t>
      </w:r>
      <w:r w:rsidRPr="00DD2F4B">
        <w:rPr>
          <w:rFonts w:ascii="Arial" w:hAnsi="Arial" w:cs="Arial"/>
          <w:lang w:val="en"/>
        </w:rPr>
        <w:t xml:space="preserve"> injection, healthcare professionals should take into consideration the Body Mass Index (BMI) of the patient to ensure that the needle length is sufficient to reach the gluteus muscle.</w:t>
      </w:r>
    </w:p>
    <w:p w14:paraId="0A314BF2" w14:textId="5D19FA43"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CONTRAINDICATIONS</w:t>
      </w:r>
      <w:r w:rsidR="003332D9">
        <w:rPr>
          <w:rFonts w:ascii="Arial" w:hAnsi="Arial" w:cs="Arial"/>
          <w:smallCaps w:val="0"/>
        </w:rPr>
        <w:fldChar w:fldCharType="begin"/>
      </w:r>
      <w:r w:rsidR="003332D9">
        <w:rPr>
          <w:rFonts w:ascii="Arial" w:hAnsi="Arial" w:cs="Arial"/>
          <w:smallCaps w:val="0"/>
        </w:rPr>
        <w:instrText xml:space="preserve"> DOCVARIABLE VAULT_ND_682391ad-92a5-44f5-b60d-6fda9107f91e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4EA4688D" w14:textId="3C5171F7" w:rsidR="001153EB" w:rsidRPr="001153EB" w:rsidRDefault="00032E53" w:rsidP="001153EB">
      <w:pPr>
        <w:rPr>
          <w:rFonts w:ascii="Arial" w:hAnsi="Arial" w:cs="Arial"/>
          <w:lang w:val="en"/>
        </w:rPr>
      </w:pPr>
      <w:r>
        <w:rPr>
          <w:rFonts w:ascii="Arial" w:hAnsi="Arial" w:cs="Arial"/>
          <w:lang w:val="en"/>
        </w:rPr>
        <w:t>APRETUDE</w:t>
      </w:r>
      <w:r w:rsidR="001153EB" w:rsidRPr="001153EB">
        <w:rPr>
          <w:rFonts w:ascii="Arial" w:hAnsi="Arial" w:cs="Arial"/>
          <w:lang w:val="en"/>
        </w:rPr>
        <w:t xml:space="preserve"> is contraindicated in individuals:</w:t>
      </w:r>
    </w:p>
    <w:p w14:paraId="5DBE94AB" w14:textId="77777777" w:rsidR="009D4427" w:rsidRPr="001153EB" w:rsidRDefault="009D4427" w:rsidP="009D4427">
      <w:pPr>
        <w:numPr>
          <w:ilvl w:val="0"/>
          <w:numId w:val="39"/>
        </w:numPr>
        <w:spacing w:after="0" w:line="240" w:lineRule="auto"/>
        <w:rPr>
          <w:rFonts w:ascii="Arial" w:hAnsi="Arial" w:cs="Arial"/>
          <w:lang w:val="en"/>
        </w:rPr>
      </w:pPr>
      <w:r w:rsidRPr="001153EB" w:rsidDel="005253B9">
        <w:rPr>
          <w:rFonts w:ascii="Arial" w:hAnsi="Arial" w:cs="Arial"/>
          <w:lang w:val="en"/>
        </w:rPr>
        <w:t xml:space="preserve">with </w:t>
      </w:r>
      <w:r>
        <w:rPr>
          <w:rFonts w:ascii="Arial" w:hAnsi="Arial" w:cs="Arial"/>
          <w:lang w:val="en"/>
        </w:rPr>
        <w:t xml:space="preserve">an unknown or </w:t>
      </w:r>
      <w:r w:rsidRPr="001153EB">
        <w:rPr>
          <w:rFonts w:ascii="Arial" w:hAnsi="Arial" w:cs="Arial"/>
          <w:lang w:val="en"/>
        </w:rPr>
        <w:t xml:space="preserve">a positive HIV-1 status </w:t>
      </w:r>
    </w:p>
    <w:p w14:paraId="14B6EF3E" w14:textId="77777777" w:rsidR="00B7163E" w:rsidRDefault="001153EB" w:rsidP="00B7163E">
      <w:pPr>
        <w:numPr>
          <w:ilvl w:val="0"/>
          <w:numId w:val="39"/>
        </w:numPr>
        <w:spacing w:after="0" w:line="240" w:lineRule="auto"/>
        <w:rPr>
          <w:rFonts w:ascii="Arial" w:hAnsi="Arial" w:cs="Arial"/>
          <w:lang w:val="en"/>
        </w:rPr>
      </w:pPr>
      <w:r w:rsidRPr="00B7163E">
        <w:rPr>
          <w:rFonts w:ascii="Arial" w:hAnsi="Arial" w:cs="Arial"/>
          <w:lang w:val="en"/>
        </w:rPr>
        <w:t>with known hypersensitivity to cabotegravir or to any of the excipients in the tablets or the injection formulation.</w:t>
      </w:r>
      <w:bookmarkStart w:id="4" w:name="_Hlk6237637"/>
    </w:p>
    <w:p w14:paraId="63BE54B4" w14:textId="1C661EC3" w:rsidR="001153EB" w:rsidRPr="00B7163E" w:rsidRDefault="001153EB" w:rsidP="00B7163E">
      <w:pPr>
        <w:numPr>
          <w:ilvl w:val="0"/>
          <w:numId w:val="39"/>
        </w:numPr>
        <w:spacing w:after="0" w:line="240" w:lineRule="auto"/>
        <w:rPr>
          <w:rFonts w:ascii="Arial" w:hAnsi="Arial" w:cs="Arial"/>
          <w:lang w:val="en"/>
        </w:rPr>
      </w:pPr>
      <w:r w:rsidRPr="00B7163E">
        <w:rPr>
          <w:rFonts w:ascii="Arial" w:hAnsi="Arial" w:cs="Arial"/>
          <w:lang w:val="en"/>
        </w:rPr>
        <w:t xml:space="preserve">receiving rifampicin, rifapentine, phenytoin, phenobarbital, </w:t>
      </w:r>
      <w:proofErr w:type="gramStart"/>
      <w:r w:rsidRPr="00B7163E">
        <w:rPr>
          <w:rFonts w:ascii="Arial" w:hAnsi="Arial" w:cs="Arial"/>
          <w:lang w:val="en"/>
        </w:rPr>
        <w:t>carbamazepine</w:t>
      </w:r>
      <w:proofErr w:type="gramEnd"/>
      <w:r w:rsidRPr="00B7163E">
        <w:rPr>
          <w:rFonts w:ascii="Arial" w:hAnsi="Arial" w:cs="Arial"/>
          <w:lang w:val="en"/>
        </w:rPr>
        <w:t xml:space="preserve"> and oxcarbazepine</w:t>
      </w:r>
      <w:bookmarkEnd w:id="4"/>
      <w:r w:rsidRPr="00B7163E">
        <w:rPr>
          <w:rFonts w:ascii="Arial" w:hAnsi="Arial" w:cs="Arial"/>
          <w:lang w:val="en"/>
        </w:rPr>
        <w:t>.</w:t>
      </w:r>
    </w:p>
    <w:p w14:paraId="203B2AC7" w14:textId="58A50B03" w:rsidR="00071855" w:rsidRPr="006112FC" w:rsidRDefault="00071855" w:rsidP="00100A28">
      <w:pPr>
        <w:spacing w:after="0" w:line="240" w:lineRule="auto"/>
        <w:ind w:left="720"/>
        <w:rPr>
          <w:rFonts w:ascii="Arial" w:hAnsi="Arial" w:cs="Arial"/>
          <w:i/>
          <w:color w:val="FF0000"/>
        </w:rPr>
      </w:pPr>
    </w:p>
    <w:p w14:paraId="18E4E00C" w14:textId="421E37CA" w:rsidR="00071855" w:rsidRPr="006E595D" w:rsidRDefault="00071855" w:rsidP="006112FC">
      <w:pPr>
        <w:pStyle w:val="Heading2"/>
        <w:keepNext/>
        <w:keepLines/>
        <w:spacing w:before="0" w:after="120"/>
        <w:ind w:left="578" w:hanging="578"/>
        <w:rPr>
          <w:rFonts w:ascii="Arial" w:hAnsi="Arial" w:cs="Arial"/>
          <w:smallCaps w:val="0"/>
        </w:rPr>
      </w:pPr>
      <w:r w:rsidRPr="00071855">
        <w:rPr>
          <w:rFonts w:ascii="Arial" w:hAnsi="Arial" w:cs="Arial"/>
          <w:smallCaps w:val="0"/>
        </w:rPr>
        <w:t>SPECIAL WARNINGS AND PRECAUTIONS FOR USE</w:t>
      </w:r>
      <w:r w:rsidR="003332D9">
        <w:rPr>
          <w:rFonts w:ascii="Arial" w:hAnsi="Arial" w:cs="Arial"/>
          <w:smallCaps w:val="0"/>
        </w:rPr>
        <w:fldChar w:fldCharType="begin"/>
      </w:r>
      <w:r w:rsidR="003332D9">
        <w:rPr>
          <w:rFonts w:ascii="Arial" w:hAnsi="Arial" w:cs="Arial"/>
          <w:smallCaps w:val="0"/>
        </w:rPr>
        <w:instrText xml:space="preserve"> DOCVARIABLE VAULT_ND_b73d185b-fe50-4964-896e-f4ea8f5a95fa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59831B94" w14:textId="60A2BFD2" w:rsidR="005E7D2E" w:rsidRPr="00754B7C" w:rsidRDefault="005E7D2E" w:rsidP="006112FC">
      <w:pPr>
        <w:keepNext/>
        <w:keepLines/>
        <w:tabs>
          <w:tab w:val="left" w:pos="567"/>
        </w:tabs>
        <w:spacing w:after="0"/>
        <w:rPr>
          <w:rFonts w:ascii="Arial" w:eastAsiaTheme="majorEastAsia" w:hAnsi="Arial" w:cs="Arial"/>
          <w:b/>
          <w:bCs/>
        </w:rPr>
      </w:pPr>
      <w:r w:rsidRPr="005E7D2E">
        <w:rPr>
          <w:rFonts w:ascii="Arial" w:eastAsiaTheme="majorEastAsia" w:hAnsi="Arial" w:cs="Arial"/>
          <w:b/>
          <w:bCs/>
        </w:rPr>
        <w:t>Overall HIV-1 infection prevention strategy</w:t>
      </w:r>
    </w:p>
    <w:p w14:paraId="15C5D0C3" w14:textId="2C8F8A2E" w:rsidR="005E7D2E" w:rsidRPr="007F33C4" w:rsidRDefault="00032E53" w:rsidP="006112FC">
      <w:pPr>
        <w:keepNext/>
        <w:keepLines/>
        <w:tabs>
          <w:tab w:val="left" w:pos="567"/>
        </w:tabs>
        <w:spacing w:after="0"/>
        <w:rPr>
          <w:rFonts w:ascii="Arial" w:hAnsi="Arial" w:cs="Arial"/>
          <w:lang w:val="en"/>
        </w:rPr>
      </w:pPr>
      <w:r>
        <w:rPr>
          <w:rFonts w:ascii="Arial" w:hAnsi="Arial" w:cs="Arial"/>
          <w:lang w:val="en"/>
        </w:rPr>
        <w:t>APRETUDE</w:t>
      </w:r>
      <w:r w:rsidRPr="007F33C4">
        <w:rPr>
          <w:rFonts w:ascii="Arial" w:hAnsi="Arial" w:cs="Arial"/>
          <w:lang w:val="en"/>
        </w:rPr>
        <w:t xml:space="preserve"> </w:t>
      </w:r>
      <w:r w:rsidR="005E7D2E" w:rsidRPr="007F33C4">
        <w:rPr>
          <w:rFonts w:ascii="Arial" w:hAnsi="Arial" w:cs="Arial"/>
          <w:lang w:val="en"/>
        </w:rPr>
        <w:t xml:space="preserve">is not always effective in preventing HIV-1 acquisition (see </w:t>
      </w:r>
      <w:r w:rsidR="00A85DA0">
        <w:rPr>
          <w:rFonts w:ascii="Arial" w:hAnsi="Arial" w:cs="Arial"/>
          <w:lang w:val="en"/>
        </w:rPr>
        <w:t xml:space="preserve">5.1 </w:t>
      </w:r>
      <w:r w:rsidR="005E7D2E" w:rsidRPr="007F33C4">
        <w:rPr>
          <w:rFonts w:ascii="Arial" w:hAnsi="Arial" w:cs="Arial"/>
          <w:lang w:val="en"/>
        </w:rPr>
        <w:t xml:space="preserve">Clinical </w:t>
      </w:r>
      <w:r w:rsidR="008A7A16">
        <w:rPr>
          <w:rFonts w:ascii="Arial" w:hAnsi="Arial" w:cs="Arial"/>
          <w:lang w:val="en"/>
        </w:rPr>
        <w:t>trials</w:t>
      </w:r>
      <w:r w:rsidR="005E7D2E" w:rsidRPr="007F33C4">
        <w:rPr>
          <w:rFonts w:ascii="Arial" w:hAnsi="Arial" w:cs="Arial"/>
          <w:lang w:val="en"/>
        </w:rPr>
        <w:t xml:space="preserve">). The time to onset of protection after commencing </w:t>
      </w:r>
      <w:r>
        <w:rPr>
          <w:rFonts w:ascii="Arial" w:hAnsi="Arial" w:cs="Arial"/>
          <w:lang w:val="en"/>
        </w:rPr>
        <w:t>APRETUDE</w:t>
      </w:r>
      <w:r w:rsidR="005E7D2E" w:rsidRPr="007F33C4">
        <w:rPr>
          <w:rFonts w:ascii="Arial" w:hAnsi="Arial" w:cs="Arial"/>
          <w:lang w:val="en"/>
        </w:rPr>
        <w:t xml:space="preserve"> is unknown.</w:t>
      </w:r>
    </w:p>
    <w:p w14:paraId="60E69411" w14:textId="77777777" w:rsidR="005E7D2E" w:rsidRPr="007F33C4" w:rsidRDefault="005E7D2E" w:rsidP="006112FC">
      <w:pPr>
        <w:keepNext/>
        <w:keepLines/>
        <w:tabs>
          <w:tab w:val="left" w:pos="567"/>
        </w:tabs>
        <w:spacing w:after="0"/>
        <w:rPr>
          <w:rFonts w:ascii="Arial" w:hAnsi="Arial" w:cs="Arial"/>
          <w:lang w:val="en"/>
        </w:rPr>
      </w:pPr>
    </w:p>
    <w:p w14:paraId="773414CF" w14:textId="19B4D9A9" w:rsidR="005E7D2E" w:rsidRDefault="00032E53" w:rsidP="00754B7C">
      <w:pPr>
        <w:tabs>
          <w:tab w:val="left" w:pos="567"/>
        </w:tabs>
        <w:spacing w:after="0"/>
        <w:rPr>
          <w:rFonts w:ascii="Arial" w:hAnsi="Arial" w:cs="Arial"/>
          <w:lang w:val="en"/>
        </w:rPr>
      </w:pPr>
      <w:r>
        <w:rPr>
          <w:rFonts w:ascii="Arial" w:hAnsi="Arial" w:cs="Arial"/>
          <w:lang w:val="en"/>
        </w:rPr>
        <w:t>APRETUDE</w:t>
      </w:r>
      <w:r w:rsidR="005E7D2E" w:rsidRPr="007F33C4">
        <w:rPr>
          <w:rFonts w:ascii="Arial" w:hAnsi="Arial" w:cs="Arial"/>
          <w:lang w:val="en"/>
        </w:rPr>
        <w:t xml:space="preserve"> should be used for pre-exposure prophylaxis as part of an overall HIV-1 infection prevention strategy including the use of other HIV-1 prevention measures (</w:t>
      </w:r>
      <w:proofErr w:type="gramStart"/>
      <w:r w:rsidR="005E7D2E" w:rsidRPr="007F33C4">
        <w:rPr>
          <w:rFonts w:ascii="Arial" w:hAnsi="Arial" w:cs="Arial"/>
          <w:lang w:val="en"/>
        </w:rPr>
        <w:t>e.g.</w:t>
      </w:r>
      <w:proofErr w:type="gramEnd"/>
      <w:r w:rsidR="005E7D2E" w:rsidRPr="007F33C4">
        <w:rPr>
          <w:rFonts w:ascii="Arial" w:hAnsi="Arial" w:cs="Arial"/>
          <w:lang w:val="en"/>
        </w:rPr>
        <w:t xml:space="preserve"> knowledge of HIV-1 status, regular testing for other sexually transmitted infections, condom use).</w:t>
      </w:r>
    </w:p>
    <w:p w14:paraId="438BFEC8" w14:textId="77777777" w:rsidR="005B764A" w:rsidRPr="007F33C4" w:rsidRDefault="005B764A" w:rsidP="00754B7C">
      <w:pPr>
        <w:tabs>
          <w:tab w:val="left" w:pos="567"/>
        </w:tabs>
        <w:spacing w:after="0"/>
        <w:rPr>
          <w:rFonts w:ascii="Arial" w:hAnsi="Arial" w:cs="Arial"/>
          <w:lang w:val="en"/>
        </w:rPr>
      </w:pPr>
    </w:p>
    <w:p w14:paraId="0820384F" w14:textId="77777777" w:rsidR="005E6136" w:rsidRDefault="00032E53" w:rsidP="005E7D2E">
      <w:pPr>
        <w:rPr>
          <w:rFonts w:ascii="Arial" w:hAnsi="Arial" w:cs="Arial"/>
          <w:lang w:val="en"/>
        </w:rPr>
      </w:pPr>
      <w:r>
        <w:rPr>
          <w:rFonts w:ascii="Arial" w:hAnsi="Arial" w:cs="Arial"/>
          <w:lang w:val="en"/>
        </w:rPr>
        <w:t>APRETUDE</w:t>
      </w:r>
      <w:r w:rsidR="005E7D2E" w:rsidRPr="007F33C4">
        <w:rPr>
          <w:rFonts w:ascii="Arial" w:hAnsi="Arial" w:cs="Arial"/>
          <w:lang w:val="en"/>
        </w:rPr>
        <w:t xml:space="preserve"> should only be used to reduce the risk of acquiring HIV-1 in individuals confirmed to be HIV negative (see </w:t>
      </w:r>
      <w:r w:rsidR="009B387A">
        <w:rPr>
          <w:rFonts w:ascii="Arial" w:hAnsi="Arial" w:cs="Arial"/>
          <w:lang w:val="en"/>
        </w:rPr>
        <w:t xml:space="preserve">4.3 </w:t>
      </w:r>
      <w:r w:rsidR="005E7D2E" w:rsidRPr="007F33C4">
        <w:rPr>
          <w:rFonts w:ascii="Arial" w:hAnsi="Arial" w:cs="Arial"/>
          <w:lang w:val="en"/>
        </w:rPr>
        <w:t>C</w:t>
      </w:r>
      <w:r w:rsidR="00451EAA">
        <w:rPr>
          <w:rFonts w:ascii="Arial" w:hAnsi="Arial" w:cs="Arial"/>
          <w:lang w:val="en"/>
        </w:rPr>
        <w:t>ONTRA</w:t>
      </w:r>
      <w:r w:rsidR="005358B4">
        <w:rPr>
          <w:rFonts w:ascii="Arial" w:hAnsi="Arial" w:cs="Arial"/>
          <w:lang w:val="en"/>
        </w:rPr>
        <w:t>INDICATIONS</w:t>
      </w:r>
      <w:r w:rsidR="005E7D2E" w:rsidRPr="007F33C4">
        <w:rPr>
          <w:rFonts w:ascii="Arial" w:hAnsi="Arial" w:cs="Arial"/>
          <w:lang w:val="en"/>
        </w:rPr>
        <w:t>). Individuals should be re-confirmed to be HIV-negative at frequent intervals (</w:t>
      </w:r>
      <w:proofErr w:type="gramStart"/>
      <w:r w:rsidR="005E7D2E" w:rsidRPr="007F33C4">
        <w:rPr>
          <w:rFonts w:ascii="Arial" w:hAnsi="Arial" w:cs="Arial"/>
          <w:lang w:val="en"/>
        </w:rPr>
        <w:t>e.g.</w:t>
      </w:r>
      <w:proofErr w:type="gramEnd"/>
      <w:r w:rsidR="005E7D2E" w:rsidRPr="007F33C4">
        <w:rPr>
          <w:rFonts w:ascii="Arial" w:hAnsi="Arial" w:cs="Arial"/>
          <w:lang w:val="en"/>
        </w:rPr>
        <w:t xml:space="preserve"> in line with local guidelines, but at no more than </w:t>
      </w:r>
      <w:r w:rsidR="0066769B" w:rsidRPr="007F33C4">
        <w:rPr>
          <w:rFonts w:ascii="Arial" w:hAnsi="Arial" w:cs="Arial"/>
          <w:lang w:val="en"/>
        </w:rPr>
        <w:t>3</w:t>
      </w:r>
      <w:r w:rsidR="0066769B">
        <w:rPr>
          <w:rFonts w:ascii="Arial" w:hAnsi="Arial" w:cs="Arial"/>
          <w:lang w:val="en"/>
        </w:rPr>
        <w:t xml:space="preserve"> </w:t>
      </w:r>
      <w:r w:rsidR="0066769B" w:rsidRPr="007F33C4">
        <w:rPr>
          <w:rFonts w:ascii="Arial" w:hAnsi="Arial" w:cs="Arial"/>
          <w:lang w:val="en"/>
        </w:rPr>
        <w:t>month</w:t>
      </w:r>
      <w:r w:rsidR="005E7D2E" w:rsidRPr="007F33C4">
        <w:rPr>
          <w:rFonts w:ascii="Arial" w:hAnsi="Arial" w:cs="Arial"/>
          <w:lang w:val="en"/>
        </w:rPr>
        <w:t xml:space="preserve"> intervals) while taking </w:t>
      </w:r>
      <w:r>
        <w:rPr>
          <w:rFonts w:ascii="Arial" w:hAnsi="Arial" w:cs="Arial"/>
          <w:lang w:val="en"/>
        </w:rPr>
        <w:t>APRETUDE</w:t>
      </w:r>
      <w:r w:rsidR="005E7D2E" w:rsidRPr="007F33C4">
        <w:rPr>
          <w:rFonts w:ascii="Arial" w:hAnsi="Arial" w:cs="Arial"/>
          <w:lang w:val="en"/>
        </w:rPr>
        <w:t xml:space="preserve"> for pre-exposure prophylaxis.</w:t>
      </w:r>
      <w:r w:rsidR="00C95DF4">
        <w:rPr>
          <w:rFonts w:ascii="Arial" w:hAnsi="Arial" w:cs="Arial"/>
          <w:lang w:val="en"/>
        </w:rPr>
        <w:t xml:space="preserve"> </w:t>
      </w:r>
    </w:p>
    <w:p w14:paraId="3B05944A" w14:textId="3DAF4614" w:rsidR="00A54045" w:rsidRPr="007F33C4" w:rsidRDefault="00C95DF4" w:rsidP="005E7D2E">
      <w:pPr>
        <w:rPr>
          <w:rFonts w:ascii="Arial" w:hAnsi="Arial" w:cs="Arial"/>
          <w:lang w:val="en"/>
        </w:rPr>
      </w:pPr>
      <w:r w:rsidRPr="00A10E00">
        <w:rPr>
          <w:rFonts w:ascii="Arial" w:eastAsia="MS Mincho" w:hAnsi="Arial" w:cs="Arial"/>
        </w:rPr>
        <w:t>Adolescents may benefit from more frequent visits and counselling to support</w:t>
      </w:r>
      <w:r>
        <w:rPr>
          <w:rFonts w:ascii="Arial" w:eastAsia="MS Mincho" w:hAnsi="Arial" w:cs="Arial"/>
        </w:rPr>
        <w:t xml:space="preserve"> </w:t>
      </w:r>
      <w:r w:rsidRPr="00A10E00">
        <w:rPr>
          <w:rFonts w:ascii="Arial" w:eastAsia="MS Mincho" w:hAnsi="Arial" w:cs="Arial"/>
        </w:rPr>
        <w:t>adherence to the dosing and testing schedule</w:t>
      </w:r>
      <w:r>
        <w:rPr>
          <w:rFonts w:ascii="Arial" w:eastAsia="MS Mincho" w:hAnsi="Arial" w:cs="Arial"/>
        </w:rPr>
        <w:t>.</w:t>
      </w:r>
    </w:p>
    <w:p w14:paraId="784F13DF" w14:textId="77777777" w:rsidR="005E7D2E" w:rsidRPr="007F33C4" w:rsidRDefault="005E7D2E" w:rsidP="005E7D2E">
      <w:pPr>
        <w:rPr>
          <w:rFonts w:ascii="Arial" w:hAnsi="Arial" w:cs="Arial"/>
          <w:lang w:val="en"/>
        </w:rPr>
      </w:pPr>
      <w:r w:rsidRPr="007F33C4">
        <w:rPr>
          <w:rFonts w:ascii="Arial" w:hAnsi="Arial" w:cs="Arial"/>
          <w:lang w:val="en"/>
        </w:rPr>
        <w:t xml:space="preserve">If clinical symptoms consistent with acute viral infection are present and recent (&lt; 1 month) exposures to HIV-1 are suspected, HIV-1 status should be reconfirmed. </w:t>
      </w:r>
    </w:p>
    <w:p w14:paraId="2D26E42B" w14:textId="30B88E47" w:rsidR="001009B0" w:rsidRPr="00754B7C" w:rsidRDefault="001009B0" w:rsidP="00754B7C">
      <w:pPr>
        <w:tabs>
          <w:tab w:val="left" w:pos="567"/>
        </w:tabs>
        <w:spacing w:after="0"/>
        <w:rPr>
          <w:rStyle w:val="CSIchar"/>
          <w:rFonts w:ascii="Arial" w:eastAsiaTheme="majorEastAsia" w:hAnsi="Arial" w:cs="Arial"/>
          <w:b/>
          <w:bCs/>
          <w:shd w:val="clear" w:color="auto" w:fill="auto"/>
        </w:rPr>
      </w:pPr>
      <w:r w:rsidRPr="001009B0">
        <w:rPr>
          <w:rFonts w:ascii="Arial" w:eastAsiaTheme="majorEastAsia" w:hAnsi="Arial" w:cs="Arial"/>
          <w:b/>
          <w:bCs/>
        </w:rPr>
        <w:t xml:space="preserve">Potential risk of resistance </w:t>
      </w:r>
    </w:p>
    <w:p w14:paraId="480C1605" w14:textId="6EBB77CD" w:rsidR="001009B0" w:rsidRPr="001009B0" w:rsidRDefault="001009B0" w:rsidP="001009B0">
      <w:pPr>
        <w:widowControl w:val="0"/>
        <w:rPr>
          <w:rFonts w:ascii="Arial" w:hAnsi="Arial" w:cs="Arial"/>
          <w:lang w:val="en"/>
        </w:rPr>
      </w:pPr>
      <w:r w:rsidRPr="001009B0">
        <w:rPr>
          <w:rFonts w:ascii="Arial" w:hAnsi="Arial" w:cs="Arial"/>
          <w:lang w:val="en"/>
        </w:rPr>
        <w:t xml:space="preserve">There is a potential risk of developing resistance to </w:t>
      </w:r>
      <w:r w:rsidR="00032E53">
        <w:rPr>
          <w:rFonts w:ascii="Arial" w:hAnsi="Arial" w:cs="Arial"/>
          <w:lang w:val="en"/>
        </w:rPr>
        <w:t>APRETUDE</w:t>
      </w:r>
      <w:r w:rsidRPr="001009B0">
        <w:rPr>
          <w:rFonts w:ascii="Arial" w:hAnsi="Arial" w:cs="Arial"/>
          <w:lang w:val="en"/>
        </w:rPr>
        <w:t xml:space="preserve"> if an individual acquires HIV-1 either before or during administration of </w:t>
      </w:r>
      <w:r w:rsidR="00B656B6">
        <w:rPr>
          <w:rFonts w:ascii="Arial" w:hAnsi="Arial" w:cs="Arial"/>
          <w:lang w:val="en"/>
        </w:rPr>
        <w:t>APRETUDE</w:t>
      </w:r>
      <w:r w:rsidRPr="001009B0">
        <w:rPr>
          <w:rFonts w:ascii="Arial" w:hAnsi="Arial" w:cs="Arial"/>
          <w:lang w:val="en"/>
        </w:rPr>
        <w:t xml:space="preserve">, or following discontinuation of </w:t>
      </w:r>
      <w:r w:rsidR="00032E53">
        <w:rPr>
          <w:rFonts w:ascii="Arial" w:hAnsi="Arial" w:cs="Arial"/>
          <w:lang w:val="en"/>
        </w:rPr>
        <w:t>APRETUDE</w:t>
      </w:r>
      <w:r w:rsidRPr="001009B0">
        <w:rPr>
          <w:rFonts w:ascii="Arial" w:hAnsi="Arial" w:cs="Arial"/>
          <w:lang w:val="en"/>
        </w:rPr>
        <w:t xml:space="preserve">, </w:t>
      </w:r>
      <w:r w:rsidRPr="00EF3C1B">
        <w:rPr>
          <w:rFonts w:ascii="Arial" w:hAnsi="Arial" w:cs="Arial"/>
          <w:lang w:val="en"/>
        </w:rPr>
        <w:t xml:space="preserve">(see </w:t>
      </w:r>
      <w:r w:rsidR="00C40919" w:rsidRPr="00EF3C1B">
        <w:rPr>
          <w:rFonts w:ascii="Arial" w:hAnsi="Arial" w:cs="Arial"/>
          <w:lang w:val="en"/>
        </w:rPr>
        <w:t>Prolonged</w:t>
      </w:r>
      <w:r w:rsidR="004A71C7" w:rsidRPr="00EF3C1B">
        <w:rPr>
          <w:rFonts w:ascii="Arial" w:hAnsi="Arial" w:cs="Arial"/>
          <w:lang w:val="en"/>
        </w:rPr>
        <w:t xml:space="preserve">-release properties of </w:t>
      </w:r>
      <w:r w:rsidR="00032E53">
        <w:rPr>
          <w:rFonts w:ascii="Arial" w:hAnsi="Arial" w:cs="Arial"/>
          <w:lang w:val="en"/>
        </w:rPr>
        <w:t>APRETUDE</w:t>
      </w:r>
      <w:r w:rsidR="004A71C7" w:rsidRPr="00EF3C1B">
        <w:rPr>
          <w:rFonts w:ascii="Arial" w:hAnsi="Arial" w:cs="Arial"/>
          <w:lang w:val="en"/>
        </w:rPr>
        <w:t xml:space="preserve"> injection</w:t>
      </w:r>
      <w:r w:rsidRPr="00EF3C1B">
        <w:rPr>
          <w:rFonts w:ascii="Arial" w:hAnsi="Arial" w:cs="Arial"/>
          <w:lang w:val="en"/>
        </w:rPr>
        <w:t>).</w:t>
      </w:r>
      <w:r w:rsidRPr="001009B0">
        <w:rPr>
          <w:rFonts w:ascii="Arial" w:hAnsi="Arial" w:cs="Arial"/>
          <w:lang w:val="en"/>
        </w:rPr>
        <w:t xml:space="preserve"> </w:t>
      </w:r>
    </w:p>
    <w:p w14:paraId="12B593D6" w14:textId="2D47BC54" w:rsidR="001009B0" w:rsidRPr="001009B0" w:rsidRDefault="001009B0" w:rsidP="001009B0">
      <w:pPr>
        <w:widowControl w:val="0"/>
        <w:rPr>
          <w:rFonts w:ascii="Arial" w:hAnsi="Arial" w:cs="Arial"/>
          <w:lang w:val="en"/>
        </w:rPr>
      </w:pPr>
      <w:r w:rsidRPr="001009B0">
        <w:rPr>
          <w:rFonts w:ascii="Arial" w:hAnsi="Arial" w:cs="Arial"/>
          <w:lang w:val="en"/>
        </w:rPr>
        <w:t xml:space="preserve">To </w:t>
      </w:r>
      <w:proofErr w:type="spellStart"/>
      <w:r w:rsidRPr="001009B0">
        <w:rPr>
          <w:rFonts w:ascii="Arial" w:hAnsi="Arial" w:cs="Arial"/>
          <w:lang w:val="en"/>
        </w:rPr>
        <w:t>minimise</w:t>
      </w:r>
      <w:proofErr w:type="spellEnd"/>
      <w:r w:rsidRPr="001009B0">
        <w:rPr>
          <w:rFonts w:ascii="Arial" w:hAnsi="Arial" w:cs="Arial"/>
          <w:lang w:val="en"/>
        </w:rPr>
        <w:t xml:space="preserve"> this</w:t>
      </w:r>
      <w:r w:rsidR="00C913DD">
        <w:rPr>
          <w:rFonts w:ascii="Arial" w:hAnsi="Arial" w:cs="Arial"/>
          <w:lang w:val="en"/>
        </w:rPr>
        <w:t xml:space="preserve"> risk</w:t>
      </w:r>
      <w:r w:rsidRPr="001009B0">
        <w:rPr>
          <w:rFonts w:ascii="Arial" w:hAnsi="Arial" w:cs="Arial"/>
          <w:lang w:val="en"/>
        </w:rPr>
        <w:t xml:space="preserve">, it is essential to clinically reassess individuals for risk of HIV acquisition and to frequently test to confirm HIV negative status.  Individuals who are suspected or confirmed with HIV-1 should immediately begin </w:t>
      </w:r>
      <w:r w:rsidR="00573430" w:rsidRPr="000D668F">
        <w:rPr>
          <w:rFonts w:ascii="Arial" w:hAnsi="Arial" w:cs="Arial"/>
          <w:lang w:val="en"/>
        </w:rPr>
        <w:t xml:space="preserve">antiretroviral treatment </w:t>
      </w:r>
      <w:r w:rsidR="00573430">
        <w:rPr>
          <w:rFonts w:ascii="Arial" w:hAnsi="Arial" w:cs="Arial"/>
          <w:lang w:val="en"/>
        </w:rPr>
        <w:t>(</w:t>
      </w:r>
      <w:r w:rsidRPr="001009B0">
        <w:rPr>
          <w:rFonts w:ascii="Arial" w:hAnsi="Arial" w:cs="Arial"/>
          <w:lang w:val="en"/>
        </w:rPr>
        <w:t>ART</w:t>
      </w:r>
      <w:r w:rsidR="00573430">
        <w:rPr>
          <w:rFonts w:ascii="Arial" w:hAnsi="Arial" w:cs="Arial"/>
          <w:lang w:val="en"/>
        </w:rPr>
        <w:t>)</w:t>
      </w:r>
      <w:r w:rsidRPr="001009B0">
        <w:rPr>
          <w:rFonts w:ascii="Arial" w:hAnsi="Arial" w:cs="Arial"/>
          <w:lang w:val="en"/>
        </w:rPr>
        <w:t>.</w:t>
      </w:r>
    </w:p>
    <w:p w14:paraId="3F0ADC20" w14:textId="18E55FB4" w:rsidR="00071855" w:rsidRDefault="001009B0" w:rsidP="001009B0">
      <w:pPr>
        <w:rPr>
          <w:rFonts w:ascii="Arial" w:hAnsi="Arial" w:cs="Arial"/>
          <w:lang w:val="en"/>
        </w:rPr>
      </w:pPr>
      <w:r w:rsidRPr="001009B0">
        <w:rPr>
          <w:rFonts w:ascii="Arial" w:hAnsi="Arial" w:cs="Arial"/>
          <w:lang w:val="en"/>
        </w:rPr>
        <w:lastRenderedPageBreak/>
        <w:t xml:space="preserve">Alternative forms of </w:t>
      </w:r>
      <w:proofErr w:type="spellStart"/>
      <w:r w:rsidRPr="001009B0">
        <w:rPr>
          <w:rFonts w:ascii="Arial" w:hAnsi="Arial" w:cs="Arial"/>
          <w:lang w:val="en"/>
        </w:rPr>
        <w:t>PrEP</w:t>
      </w:r>
      <w:proofErr w:type="spellEnd"/>
      <w:r w:rsidRPr="001009B0">
        <w:rPr>
          <w:rFonts w:ascii="Arial" w:hAnsi="Arial" w:cs="Arial"/>
          <w:lang w:val="en"/>
        </w:rPr>
        <w:t xml:space="preserve"> should be considered following discontinuation of </w:t>
      </w:r>
      <w:r w:rsidR="00B656B6">
        <w:rPr>
          <w:rFonts w:ascii="Arial" w:hAnsi="Arial" w:cs="Arial"/>
          <w:lang w:val="en"/>
        </w:rPr>
        <w:t>APRETUDE</w:t>
      </w:r>
      <w:r w:rsidR="00B656B6" w:rsidRPr="001009B0">
        <w:rPr>
          <w:rFonts w:ascii="Arial" w:hAnsi="Arial" w:cs="Arial"/>
          <w:lang w:val="en"/>
        </w:rPr>
        <w:t xml:space="preserve"> </w:t>
      </w:r>
      <w:r w:rsidRPr="001009B0">
        <w:rPr>
          <w:rFonts w:ascii="Arial" w:hAnsi="Arial" w:cs="Arial"/>
          <w:lang w:val="en"/>
        </w:rPr>
        <w:t xml:space="preserve">for those individuals at continuing risk of HIV acquisition and initiated within 2 months of the final </w:t>
      </w:r>
      <w:r w:rsidR="00B656B6">
        <w:rPr>
          <w:rFonts w:ascii="Arial" w:hAnsi="Arial" w:cs="Arial"/>
          <w:lang w:val="en"/>
        </w:rPr>
        <w:t>APRETUDE</w:t>
      </w:r>
      <w:r w:rsidR="00B656B6" w:rsidRPr="001009B0">
        <w:rPr>
          <w:rFonts w:ascii="Arial" w:hAnsi="Arial" w:cs="Arial"/>
          <w:lang w:val="en"/>
        </w:rPr>
        <w:t xml:space="preserve"> </w:t>
      </w:r>
      <w:r w:rsidRPr="001009B0">
        <w:rPr>
          <w:rFonts w:ascii="Arial" w:hAnsi="Arial" w:cs="Arial"/>
          <w:lang w:val="en"/>
        </w:rPr>
        <w:t>injection.</w:t>
      </w:r>
    </w:p>
    <w:p w14:paraId="5AAF61E8" w14:textId="0E7552D1" w:rsidR="00157DAF" w:rsidRDefault="006013B8" w:rsidP="00157DAF">
      <w:pPr>
        <w:widowControl w:val="0"/>
        <w:rPr>
          <w:rFonts w:ascii="Arial" w:eastAsiaTheme="majorEastAsia" w:hAnsi="Arial" w:cs="Arial"/>
          <w:b/>
          <w:bCs/>
        </w:rPr>
      </w:pPr>
      <w:r w:rsidRPr="006013B8">
        <w:rPr>
          <w:rFonts w:ascii="Arial" w:eastAsiaTheme="majorEastAsia" w:hAnsi="Arial" w:cs="Arial"/>
          <w:b/>
          <w:bCs/>
        </w:rPr>
        <w:t>Prolonged</w:t>
      </w:r>
      <w:r w:rsidR="00D3364D">
        <w:rPr>
          <w:rFonts w:ascii="Arial" w:eastAsiaTheme="majorEastAsia" w:hAnsi="Arial" w:cs="Arial"/>
          <w:b/>
          <w:bCs/>
        </w:rPr>
        <w:t>-</w:t>
      </w:r>
      <w:r w:rsidRPr="006013B8">
        <w:rPr>
          <w:rFonts w:ascii="Arial" w:eastAsiaTheme="majorEastAsia" w:hAnsi="Arial" w:cs="Arial"/>
          <w:b/>
          <w:bCs/>
        </w:rPr>
        <w:t xml:space="preserve">release </w:t>
      </w:r>
      <w:r w:rsidR="004F1F8F">
        <w:rPr>
          <w:rFonts w:ascii="Arial" w:eastAsiaTheme="majorEastAsia" w:hAnsi="Arial" w:cs="Arial"/>
          <w:b/>
          <w:bCs/>
        </w:rPr>
        <w:t xml:space="preserve">properties </w:t>
      </w:r>
      <w:r w:rsidR="00EE305C" w:rsidRPr="00157DAF">
        <w:rPr>
          <w:rFonts w:ascii="Arial" w:eastAsiaTheme="majorEastAsia" w:hAnsi="Arial" w:cs="Arial"/>
          <w:b/>
          <w:bCs/>
        </w:rPr>
        <w:t xml:space="preserve">of </w:t>
      </w:r>
      <w:r w:rsidR="00B656B6">
        <w:rPr>
          <w:rFonts w:ascii="Arial" w:eastAsiaTheme="majorEastAsia" w:hAnsi="Arial" w:cs="Arial"/>
          <w:b/>
          <w:bCs/>
        </w:rPr>
        <w:t xml:space="preserve">APRETUDE </w:t>
      </w:r>
      <w:r w:rsidR="00EE305C" w:rsidRPr="00157DAF">
        <w:rPr>
          <w:rFonts w:ascii="Arial" w:eastAsiaTheme="majorEastAsia" w:hAnsi="Arial" w:cs="Arial"/>
          <w:b/>
          <w:bCs/>
        </w:rPr>
        <w:t>injection</w:t>
      </w:r>
      <w:r w:rsidR="00157DAF">
        <w:rPr>
          <w:rFonts w:ascii="Arial" w:eastAsiaTheme="majorEastAsia" w:hAnsi="Arial" w:cs="Arial"/>
          <w:b/>
          <w:bCs/>
        </w:rPr>
        <w:t xml:space="preserve"> </w:t>
      </w:r>
    </w:p>
    <w:p w14:paraId="3C904B3B" w14:textId="77E2D670" w:rsidR="00EE305C" w:rsidRPr="00157DAF" w:rsidRDefault="00157DAF" w:rsidP="00157DAF">
      <w:pPr>
        <w:widowControl w:val="0"/>
        <w:rPr>
          <w:rFonts w:ascii="Arial" w:eastAsiaTheme="majorEastAsia" w:hAnsi="Arial" w:cs="Arial"/>
          <w:b/>
          <w:bCs/>
        </w:rPr>
      </w:pPr>
      <w:r w:rsidRPr="00157DAF">
        <w:rPr>
          <w:rFonts w:ascii="Arial" w:eastAsiaTheme="majorEastAsia" w:hAnsi="Arial" w:cs="Arial"/>
        </w:rPr>
        <w:t>R</w:t>
      </w:r>
      <w:proofErr w:type="spellStart"/>
      <w:r w:rsidR="00EE305C" w:rsidRPr="00EE305C">
        <w:rPr>
          <w:rFonts w:ascii="Arial" w:hAnsi="Arial" w:cs="Arial"/>
          <w:lang w:val="en"/>
        </w:rPr>
        <w:t>esidual</w:t>
      </w:r>
      <w:proofErr w:type="spellEnd"/>
      <w:r w:rsidR="00EE305C" w:rsidRPr="00EE305C">
        <w:rPr>
          <w:rFonts w:ascii="Arial" w:hAnsi="Arial" w:cs="Arial"/>
          <w:lang w:val="en"/>
        </w:rPr>
        <w:t xml:space="preserve"> concentrations of cabotegravir injection may remain in the systemic circulation of individuals for prolonged periods (up to 12 months or longer), therefore, physicians</w:t>
      </w:r>
      <w:r>
        <w:rPr>
          <w:rFonts w:ascii="Arial" w:hAnsi="Arial" w:cs="Arial"/>
          <w:lang w:val="en"/>
        </w:rPr>
        <w:t xml:space="preserve"> </w:t>
      </w:r>
      <w:r w:rsidR="00EE305C" w:rsidRPr="00EE305C">
        <w:rPr>
          <w:rFonts w:ascii="Arial" w:hAnsi="Arial" w:cs="Arial"/>
          <w:lang w:val="en"/>
        </w:rPr>
        <w:t xml:space="preserve">should take the prolonged release characteristics of </w:t>
      </w:r>
      <w:r w:rsidR="00032E53">
        <w:rPr>
          <w:rFonts w:ascii="Arial" w:hAnsi="Arial" w:cs="Arial"/>
          <w:lang w:val="en"/>
        </w:rPr>
        <w:t>APRETUDE</w:t>
      </w:r>
      <w:r w:rsidR="00EE305C" w:rsidRPr="00EE305C">
        <w:rPr>
          <w:rFonts w:ascii="Arial" w:hAnsi="Arial" w:cs="Arial"/>
          <w:lang w:val="en"/>
        </w:rPr>
        <w:t xml:space="preserve"> into consideration when the medicinal product is discontinued (</w:t>
      </w:r>
      <w:r w:rsidR="009E7D99" w:rsidRPr="00614781">
        <w:rPr>
          <w:rFonts w:ascii="Arial" w:hAnsi="Arial" w:cs="Arial"/>
          <w:lang w:val="en"/>
        </w:rPr>
        <w:t>see section 4.5 INTERACTIONS WITH OTHER MEDICINES AND OTHER FORMS OF INTERACTIONS</w:t>
      </w:r>
      <w:r w:rsidR="006F672A">
        <w:rPr>
          <w:rFonts w:ascii="Arial" w:hAnsi="Arial" w:cs="Arial"/>
          <w:lang w:val="en"/>
        </w:rPr>
        <w:t xml:space="preserve">, </w:t>
      </w:r>
      <w:r w:rsidR="00904817">
        <w:rPr>
          <w:rFonts w:ascii="Arial" w:hAnsi="Arial" w:cs="Arial"/>
          <w:lang w:val="en"/>
        </w:rPr>
        <w:t>4.6 FERTILITY, PREGNANCY AND LACTATION</w:t>
      </w:r>
      <w:r w:rsidR="004815C3">
        <w:rPr>
          <w:rFonts w:ascii="Arial" w:hAnsi="Arial" w:cs="Arial"/>
          <w:lang w:val="en"/>
        </w:rPr>
        <w:t xml:space="preserve">, </w:t>
      </w:r>
      <w:r w:rsidR="004815C3" w:rsidRPr="003E6706">
        <w:rPr>
          <w:rFonts w:ascii="Arial" w:hAnsi="Arial" w:cs="Arial"/>
          <w:lang w:val="en"/>
        </w:rPr>
        <w:t>4.9</w:t>
      </w:r>
      <w:r w:rsidR="004815C3">
        <w:rPr>
          <w:rFonts w:ascii="Arial" w:hAnsi="Arial" w:cs="Arial"/>
          <w:lang w:val="en"/>
        </w:rPr>
        <w:t xml:space="preserve"> OVERDOSE).</w:t>
      </w:r>
      <w:r w:rsidR="00EE305C" w:rsidRPr="00EE305C">
        <w:rPr>
          <w:rFonts w:ascii="Arial" w:hAnsi="Arial" w:cs="Arial"/>
          <w:lang w:val="en"/>
        </w:rPr>
        <w:t xml:space="preserve">  </w:t>
      </w:r>
    </w:p>
    <w:p w14:paraId="5F3CC447" w14:textId="77777777" w:rsidR="00157DAF" w:rsidRDefault="00157DAF" w:rsidP="00157DAF">
      <w:pPr>
        <w:rPr>
          <w:rFonts w:ascii="Arial" w:eastAsiaTheme="majorEastAsia" w:hAnsi="Arial" w:cs="Arial"/>
          <w:b/>
          <w:bCs/>
        </w:rPr>
      </w:pPr>
      <w:r w:rsidRPr="00157DAF">
        <w:rPr>
          <w:rFonts w:ascii="Arial" w:eastAsiaTheme="majorEastAsia" w:hAnsi="Arial" w:cs="Arial"/>
          <w:b/>
          <w:bCs/>
        </w:rPr>
        <w:t>Importance of adherence</w:t>
      </w:r>
    </w:p>
    <w:p w14:paraId="6DB7BB02" w14:textId="4384E3B6" w:rsidR="00157DAF" w:rsidRPr="00157DAF" w:rsidRDefault="00157DAF" w:rsidP="00157DAF">
      <w:pPr>
        <w:rPr>
          <w:rFonts w:ascii="Arial" w:eastAsiaTheme="majorEastAsia" w:hAnsi="Arial" w:cs="Arial"/>
          <w:b/>
          <w:bCs/>
        </w:rPr>
      </w:pPr>
      <w:r w:rsidRPr="00157DAF">
        <w:rPr>
          <w:rFonts w:ascii="Arial" w:hAnsi="Arial" w:cs="Arial"/>
          <w:lang w:val="en"/>
        </w:rPr>
        <w:t xml:space="preserve">Individuals should be counselled periodically to strictly adhere to the recommended </w:t>
      </w:r>
      <w:r w:rsidR="00B656B6">
        <w:rPr>
          <w:rFonts w:ascii="Arial" w:hAnsi="Arial" w:cs="Arial"/>
          <w:lang w:val="en"/>
        </w:rPr>
        <w:t>APRETUDE</w:t>
      </w:r>
      <w:r w:rsidR="00B656B6" w:rsidRPr="00157DAF">
        <w:rPr>
          <w:rFonts w:ascii="Arial" w:hAnsi="Arial" w:cs="Arial"/>
          <w:lang w:val="en"/>
        </w:rPr>
        <w:t xml:space="preserve"> </w:t>
      </w:r>
      <w:r w:rsidRPr="00157DAF">
        <w:rPr>
          <w:rFonts w:ascii="Arial" w:hAnsi="Arial" w:cs="Arial"/>
          <w:lang w:val="en"/>
        </w:rPr>
        <w:t xml:space="preserve">dosing schedule </w:t>
      </w:r>
      <w:proofErr w:type="gramStart"/>
      <w:r w:rsidRPr="00157DAF">
        <w:rPr>
          <w:rFonts w:ascii="Arial" w:hAnsi="Arial" w:cs="Arial"/>
          <w:lang w:val="en"/>
        </w:rPr>
        <w:t>in order to</w:t>
      </w:r>
      <w:proofErr w:type="gramEnd"/>
      <w:r w:rsidRPr="00157DAF">
        <w:rPr>
          <w:rFonts w:ascii="Arial" w:hAnsi="Arial" w:cs="Arial"/>
          <w:lang w:val="en"/>
        </w:rPr>
        <w:t xml:space="preserve"> reduce the risk of HIV-1 acquisition and the potential development of resistance.</w:t>
      </w:r>
    </w:p>
    <w:p w14:paraId="12BD7A9D" w14:textId="77777777" w:rsidR="00193F06" w:rsidRDefault="00193F06" w:rsidP="00100A28">
      <w:pPr>
        <w:keepNext/>
        <w:keepLines/>
        <w:rPr>
          <w:rFonts w:ascii="Arial" w:eastAsiaTheme="majorEastAsia" w:hAnsi="Arial" w:cs="Arial"/>
          <w:b/>
          <w:bCs/>
        </w:rPr>
      </w:pPr>
      <w:r w:rsidRPr="00193F06">
        <w:rPr>
          <w:rFonts w:ascii="Arial" w:eastAsiaTheme="majorEastAsia" w:hAnsi="Arial" w:cs="Arial"/>
          <w:b/>
          <w:bCs/>
        </w:rPr>
        <w:t xml:space="preserve">Hypersensitivity reactions </w:t>
      </w:r>
    </w:p>
    <w:p w14:paraId="5D3C8D05" w14:textId="16B0CFE5" w:rsidR="00330ADC" w:rsidRPr="00997FB1" w:rsidRDefault="00193F06" w:rsidP="00100A28">
      <w:pPr>
        <w:keepNext/>
        <w:keepLines/>
        <w:widowControl w:val="0"/>
        <w:rPr>
          <w:rFonts w:ascii="Arial" w:eastAsiaTheme="majorEastAsia" w:hAnsi="Arial" w:cs="Arial"/>
          <w:b/>
          <w:bCs/>
        </w:rPr>
      </w:pPr>
      <w:r w:rsidRPr="00193F06">
        <w:rPr>
          <w:rFonts w:ascii="Arial" w:hAnsi="Arial" w:cs="Arial"/>
          <w:lang w:val="en"/>
        </w:rPr>
        <w:t xml:space="preserve">Hypersensitivity reactions have been reported in association with other integrase inhibitors. These reactions were </w:t>
      </w:r>
      <w:proofErr w:type="spellStart"/>
      <w:r w:rsidRPr="00193F06">
        <w:rPr>
          <w:rFonts w:ascii="Arial" w:hAnsi="Arial" w:cs="Arial"/>
          <w:lang w:val="en"/>
        </w:rPr>
        <w:t>characterised</w:t>
      </w:r>
      <w:proofErr w:type="spellEnd"/>
      <w:r w:rsidRPr="00193F06">
        <w:rPr>
          <w:rFonts w:ascii="Arial" w:hAnsi="Arial" w:cs="Arial"/>
          <w:lang w:val="en"/>
        </w:rPr>
        <w:t xml:space="preserve"> by rash, constitutional findings and sometimes organ dysfunction, including liver injury. Administration of </w:t>
      </w:r>
      <w:r w:rsidR="00032E53">
        <w:rPr>
          <w:rFonts w:ascii="Arial" w:hAnsi="Arial" w:cs="Arial"/>
          <w:lang w:val="en"/>
        </w:rPr>
        <w:t>APRETUDE</w:t>
      </w:r>
      <w:r w:rsidR="00032E53" w:rsidRPr="00193F06" w:rsidDel="00032E53">
        <w:rPr>
          <w:rFonts w:ascii="Arial" w:hAnsi="Arial" w:cs="Arial"/>
          <w:lang w:val="en"/>
        </w:rPr>
        <w:t xml:space="preserve"> </w:t>
      </w:r>
      <w:r w:rsidR="00032E53">
        <w:rPr>
          <w:rFonts w:ascii="Arial" w:hAnsi="Arial" w:cs="Arial"/>
          <w:lang w:val="en"/>
        </w:rPr>
        <w:t>tablets</w:t>
      </w:r>
      <w:r w:rsidR="004B11B0">
        <w:rPr>
          <w:rFonts w:ascii="Arial" w:hAnsi="Arial" w:cs="Arial"/>
          <w:lang w:val="en"/>
        </w:rPr>
        <w:t xml:space="preserve"> </w:t>
      </w:r>
      <w:r w:rsidRPr="00193F06">
        <w:rPr>
          <w:rFonts w:ascii="Arial" w:hAnsi="Arial" w:cs="Arial"/>
          <w:lang w:val="en"/>
        </w:rPr>
        <w:t xml:space="preserve">lead-in was used in clinical studies to help identify participants who may be at risk of a hypersensitivity reaction. While no such reactions have been observed to date in association with </w:t>
      </w:r>
      <w:r w:rsidR="00032E53">
        <w:rPr>
          <w:rFonts w:ascii="Arial" w:hAnsi="Arial" w:cs="Arial"/>
          <w:lang w:val="en"/>
        </w:rPr>
        <w:t>APRETUDE</w:t>
      </w:r>
      <w:r w:rsidRPr="00193F06">
        <w:rPr>
          <w:rFonts w:ascii="Arial" w:hAnsi="Arial" w:cs="Arial"/>
          <w:lang w:val="en"/>
        </w:rPr>
        <w:t xml:space="preserve">, physicians should remain vigilant and should discontinue </w:t>
      </w:r>
      <w:r w:rsidR="007374D5">
        <w:rPr>
          <w:rFonts w:ascii="Arial" w:hAnsi="Arial" w:cs="Arial"/>
          <w:lang w:val="en-GB"/>
        </w:rPr>
        <w:t>APRETUDE</w:t>
      </w:r>
      <w:r w:rsidRPr="00193F06">
        <w:rPr>
          <w:rFonts w:ascii="Arial" w:hAnsi="Arial" w:cs="Arial"/>
          <w:lang w:val="en"/>
        </w:rPr>
        <w:t xml:space="preserve"> and other suspected agents immediately, should signs or symptoms of hypersensitivity develop (including, but not limited to, severe rash, or rash accompanied by fever, general malaise, fatigue, muscle or joint aches, blisters, oral lesions, conjunctivitis, facial oedema, hepatitis, </w:t>
      </w:r>
      <w:proofErr w:type="gramStart"/>
      <w:r w:rsidRPr="00193F06">
        <w:rPr>
          <w:rFonts w:ascii="Arial" w:hAnsi="Arial" w:cs="Arial"/>
          <w:lang w:val="en"/>
        </w:rPr>
        <w:t>eosinophilia</w:t>
      </w:r>
      <w:proofErr w:type="gramEnd"/>
      <w:r w:rsidRPr="00193F06">
        <w:rPr>
          <w:rFonts w:ascii="Arial" w:hAnsi="Arial" w:cs="Arial"/>
          <w:lang w:val="en"/>
        </w:rPr>
        <w:t xml:space="preserve"> or angioedema). Clinical status, including liver aminotransferases should be monitored and appropriate therapy initiated.</w:t>
      </w:r>
      <w:r w:rsidR="004015D7">
        <w:rPr>
          <w:rFonts w:ascii="Arial" w:hAnsi="Arial" w:cs="Arial"/>
          <w:lang w:val="en"/>
        </w:rPr>
        <w:t xml:space="preserve"> (</w:t>
      </w:r>
      <w:proofErr w:type="gramStart"/>
      <w:r w:rsidR="004015D7">
        <w:rPr>
          <w:rFonts w:ascii="Arial" w:hAnsi="Arial" w:cs="Arial"/>
          <w:lang w:val="en"/>
        </w:rPr>
        <w:t>see</w:t>
      </w:r>
      <w:proofErr w:type="gramEnd"/>
      <w:r w:rsidR="004015D7">
        <w:rPr>
          <w:rFonts w:ascii="Arial" w:hAnsi="Arial" w:cs="Arial"/>
          <w:lang w:val="en"/>
        </w:rPr>
        <w:t xml:space="preserve"> section </w:t>
      </w:r>
      <w:r w:rsidR="00A71587">
        <w:rPr>
          <w:rFonts w:ascii="Arial" w:hAnsi="Arial" w:cs="Arial"/>
          <w:lang w:val="en"/>
        </w:rPr>
        <w:t xml:space="preserve">4.2 DOSAGE AND METHOD OF ADMINISTRATION, </w:t>
      </w:r>
      <w:r w:rsidR="006842C7">
        <w:rPr>
          <w:rFonts w:ascii="Arial" w:hAnsi="Arial" w:cs="Arial"/>
          <w:lang w:val="en"/>
        </w:rPr>
        <w:t xml:space="preserve">4.3 CONTRAINDICATIONS, </w:t>
      </w:r>
      <w:r w:rsidR="006842C7" w:rsidRPr="006842C7">
        <w:rPr>
          <w:rFonts w:ascii="Arial" w:hAnsi="Arial" w:cs="Arial"/>
          <w:lang w:val="en"/>
        </w:rPr>
        <w:t xml:space="preserve">Prolonged release properties of </w:t>
      </w:r>
      <w:r w:rsidR="007374D5">
        <w:rPr>
          <w:rFonts w:ascii="Arial" w:hAnsi="Arial" w:cs="Arial"/>
          <w:lang w:val="en-GB"/>
        </w:rPr>
        <w:t>APRETUDE</w:t>
      </w:r>
      <w:r w:rsidR="006842C7" w:rsidRPr="006842C7">
        <w:rPr>
          <w:rFonts w:ascii="Arial" w:hAnsi="Arial" w:cs="Arial"/>
          <w:lang w:val="en"/>
        </w:rPr>
        <w:t xml:space="preserve"> injection</w:t>
      </w:r>
      <w:r w:rsidR="006842C7">
        <w:rPr>
          <w:rFonts w:ascii="Arial" w:hAnsi="Arial" w:cs="Arial"/>
          <w:lang w:val="en"/>
        </w:rPr>
        <w:t xml:space="preserve">, </w:t>
      </w:r>
      <w:r w:rsidR="00997FB1">
        <w:rPr>
          <w:rFonts w:ascii="Arial" w:hAnsi="Arial" w:cs="Arial"/>
        </w:rPr>
        <w:t>Clinical trials).</w:t>
      </w:r>
    </w:p>
    <w:p w14:paraId="46847B9A" w14:textId="0AD9B68A" w:rsidR="00330ADC" w:rsidRPr="00330ADC" w:rsidRDefault="00330ADC" w:rsidP="00330ADC">
      <w:pPr>
        <w:rPr>
          <w:rFonts w:ascii="Arial" w:eastAsiaTheme="majorEastAsia" w:hAnsi="Arial" w:cs="Arial"/>
          <w:b/>
          <w:bCs/>
        </w:rPr>
      </w:pPr>
      <w:r w:rsidRPr="00330ADC">
        <w:rPr>
          <w:rFonts w:ascii="Arial" w:eastAsiaTheme="majorEastAsia" w:hAnsi="Arial" w:cs="Arial"/>
          <w:b/>
          <w:bCs/>
        </w:rPr>
        <w:t xml:space="preserve">Hepatotoxicity </w:t>
      </w:r>
    </w:p>
    <w:p w14:paraId="63869E6E" w14:textId="1824369F" w:rsidR="00330ADC" w:rsidRPr="00330ADC" w:rsidRDefault="00330ADC" w:rsidP="00330ADC">
      <w:pPr>
        <w:keepNext/>
        <w:keepLines/>
        <w:rPr>
          <w:rFonts w:ascii="Arial" w:hAnsi="Arial" w:cs="Arial"/>
          <w:lang w:val="en"/>
        </w:rPr>
      </w:pPr>
      <w:r w:rsidRPr="00330ADC">
        <w:rPr>
          <w:rFonts w:ascii="Arial" w:hAnsi="Arial" w:cs="Arial"/>
          <w:lang w:val="en"/>
        </w:rPr>
        <w:t xml:space="preserve">Hepatotoxicity has been reported in a limited number of individuals receiving </w:t>
      </w:r>
      <w:r w:rsidR="007374D5">
        <w:rPr>
          <w:rFonts w:ascii="Arial" w:hAnsi="Arial" w:cs="Arial"/>
          <w:lang w:val="en-GB"/>
        </w:rPr>
        <w:t>APRETUDE</w:t>
      </w:r>
      <w:r w:rsidRPr="00330ADC">
        <w:rPr>
          <w:rFonts w:ascii="Arial" w:hAnsi="Arial" w:cs="Arial"/>
          <w:lang w:val="en"/>
        </w:rPr>
        <w:t xml:space="preserve"> with or without known pre-existing hepatic disease (</w:t>
      </w:r>
      <w:r w:rsidR="00C12402" w:rsidRPr="003E6706">
        <w:rPr>
          <w:rFonts w:ascii="Arial" w:hAnsi="Arial" w:cs="Arial"/>
          <w:lang w:val="en"/>
        </w:rPr>
        <w:t>see section 4.8</w:t>
      </w:r>
      <w:r w:rsidR="00C12402">
        <w:rPr>
          <w:rFonts w:ascii="Arial" w:hAnsi="Arial" w:cs="Arial"/>
          <w:lang w:val="en"/>
        </w:rPr>
        <w:t xml:space="preserve"> ADVERSE EFFECTS (UNDESIRABLE EFFECTS)</w:t>
      </w:r>
      <w:r w:rsidR="00C12402" w:rsidRPr="003E6706">
        <w:rPr>
          <w:rFonts w:ascii="Arial" w:hAnsi="Arial" w:cs="Arial"/>
          <w:lang w:val="en"/>
        </w:rPr>
        <w:t>)</w:t>
      </w:r>
      <w:r w:rsidR="00C12402">
        <w:rPr>
          <w:rFonts w:ascii="Arial" w:hAnsi="Arial" w:cs="Arial"/>
          <w:lang w:val="en"/>
        </w:rPr>
        <w:t>.</w:t>
      </w:r>
    </w:p>
    <w:p w14:paraId="3E78D9D9" w14:textId="5F18B6AA" w:rsidR="00330ADC" w:rsidRPr="00330ADC" w:rsidRDefault="00330ADC" w:rsidP="00330ADC">
      <w:pPr>
        <w:spacing w:after="0"/>
        <w:rPr>
          <w:rFonts w:ascii="Arial" w:hAnsi="Arial" w:cs="Arial"/>
          <w:lang w:val="en"/>
        </w:rPr>
      </w:pPr>
      <w:r w:rsidRPr="00330ADC">
        <w:rPr>
          <w:rFonts w:ascii="Arial" w:hAnsi="Arial" w:cs="Arial"/>
          <w:lang w:val="en"/>
        </w:rPr>
        <w:t xml:space="preserve">Clinical and laboratory monitoring should be considered and </w:t>
      </w:r>
      <w:r w:rsidR="007374D5">
        <w:rPr>
          <w:rFonts w:ascii="Arial" w:hAnsi="Arial" w:cs="Arial"/>
          <w:lang w:val="en-GB"/>
        </w:rPr>
        <w:t>APRETUDE</w:t>
      </w:r>
      <w:r w:rsidRPr="00330ADC">
        <w:rPr>
          <w:rFonts w:ascii="Arial" w:hAnsi="Arial" w:cs="Arial"/>
          <w:lang w:val="en"/>
        </w:rPr>
        <w:t xml:space="preserve"> should be discontinued if hepatotoxicity is </w:t>
      </w:r>
      <w:proofErr w:type="gramStart"/>
      <w:r w:rsidRPr="00330ADC">
        <w:rPr>
          <w:rFonts w:ascii="Arial" w:hAnsi="Arial" w:cs="Arial"/>
          <w:lang w:val="en"/>
        </w:rPr>
        <w:t>confirmed</w:t>
      </w:r>
      <w:proofErr w:type="gramEnd"/>
      <w:r w:rsidRPr="00330ADC">
        <w:rPr>
          <w:rFonts w:ascii="Arial" w:hAnsi="Arial" w:cs="Arial"/>
          <w:lang w:val="en"/>
        </w:rPr>
        <w:t xml:space="preserve"> and individuals managed as clinically indicated </w:t>
      </w:r>
      <w:r w:rsidRPr="00EF3C1B">
        <w:rPr>
          <w:rFonts w:ascii="Arial" w:hAnsi="Arial" w:cs="Arial"/>
          <w:lang w:val="en"/>
        </w:rPr>
        <w:t>(</w:t>
      </w:r>
      <w:r w:rsidR="00C12402" w:rsidRPr="00EF3C1B">
        <w:rPr>
          <w:rFonts w:ascii="Arial" w:hAnsi="Arial" w:cs="Arial"/>
          <w:lang w:val="en"/>
        </w:rPr>
        <w:t xml:space="preserve">see Prolonged-release properties of </w:t>
      </w:r>
      <w:r w:rsidR="00032E53">
        <w:rPr>
          <w:rFonts w:ascii="Arial" w:hAnsi="Arial" w:cs="Arial"/>
          <w:lang w:val="en"/>
        </w:rPr>
        <w:t>APRETUDE</w:t>
      </w:r>
      <w:r w:rsidR="00C12402" w:rsidRPr="00EF3C1B">
        <w:rPr>
          <w:rFonts w:ascii="Arial" w:hAnsi="Arial" w:cs="Arial"/>
          <w:lang w:val="en"/>
        </w:rPr>
        <w:t xml:space="preserve"> injection).</w:t>
      </w:r>
    </w:p>
    <w:p w14:paraId="3D4A2549" w14:textId="77777777" w:rsidR="00330ADC" w:rsidRPr="00D33D90" w:rsidRDefault="00330ADC" w:rsidP="00330ADC">
      <w:pPr>
        <w:widowControl w:val="0"/>
        <w:spacing w:after="0"/>
        <w:rPr>
          <w:rStyle w:val="CSIchar"/>
          <w:i/>
          <w:highlight w:val="lightGray"/>
        </w:rPr>
      </w:pPr>
    </w:p>
    <w:p w14:paraId="608537FC" w14:textId="77777777" w:rsidR="00330ADC" w:rsidRPr="00330ADC" w:rsidRDefault="00330ADC" w:rsidP="00330ADC">
      <w:pPr>
        <w:rPr>
          <w:rFonts w:ascii="Arial" w:eastAsiaTheme="majorEastAsia" w:hAnsi="Arial" w:cs="Arial"/>
          <w:b/>
          <w:bCs/>
        </w:rPr>
      </w:pPr>
      <w:r w:rsidRPr="00330ADC">
        <w:rPr>
          <w:rFonts w:ascii="Arial" w:eastAsiaTheme="majorEastAsia" w:hAnsi="Arial" w:cs="Arial"/>
          <w:b/>
          <w:bCs/>
        </w:rPr>
        <w:t xml:space="preserve">Interactions with medicinal products </w:t>
      </w:r>
    </w:p>
    <w:p w14:paraId="589A6F31" w14:textId="5224871A" w:rsidR="00B717D5" w:rsidRPr="001009B0" w:rsidRDefault="00330ADC" w:rsidP="000E4860">
      <w:pPr>
        <w:keepNext/>
        <w:keepLines/>
        <w:rPr>
          <w:rFonts w:ascii="Arial" w:hAnsi="Arial" w:cs="Arial"/>
          <w:lang w:val="en"/>
        </w:rPr>
      </w:pPr>
      <w:r w:rsidRPr="00330ADC">
        <w:rPr>
          <w:rFonts w:ascii="Arial" w:hAnsi="Arial" w:cs="Arial"/>
          <w:lang w:val="en"/>
        </w:rPr>
        <w:lastRenderedPageBreak/>
        <w:t xml:space="preserve">Caution should be given when prescribing </w:t>
      </w:r>
      <w:r w:rsidR="007374D5">
        <w:rPr>
          <w:rFonts w:ascii="Arial" w:hAnsi="Arial" w:cs="Arial"/>
          <w:lang w:val="en-GB"/>
        </w:rPr>
        <w:t>APRETUDE</w:t>
      </w:r>
      <w:r w:rsidRPr="00330ADC">
        <w:rPr>
          <w:rFonts w:ascii="Arial" w:hAnsi="Arial" w:cs="Arial"/>
          <w:lang w:val="en"/>
        </w:rPr>
        <w:t xml:space="preserve"> with medicinal products that may reduce its exposure </w:t>
      </w:r>
      <w:r w:rsidR="00C12402">
        <w:rPr>
          <w:rFonts w:ascii="Arial" w:hAnsi="Arial" w:cs="Arial"/>
          <w:lang w:val="en"/>
        </w:rPr>
        <w:t>(</w:t>
      </w:r>
      <w:r w:rsidR="00C12402" w:rsidRPr="00614781">
        <w:rPr>
          <w:rFonts w:ascii="Arial" w:hAnsi="Arial" w:cs="Arial"/>
          <w:lang w:val="en"/>
        </w:rPr>
        <w:t>see section 4.5 INTERACTIONS WITH OTHER MEDICINES AND OTHER FORMS OF INTERACTIONS</w:t>
      </w:r>
      <w:r w:rsidR="00C12402">
        <w:rPr>
          <w:rFonts w:ascii="Arial" w:hAnsi="Arial" w:cs="Arial"/>
          <w:lang w:val="en"/>
        </w:rPr>
        <w:t>).</w:t>
      </w:r>
    </w:p>
    <w:p w14:paraId="1EAB8C25" w14:textId="627042DF" w:rsidR="001A3992" w:rsidRPr="00071855" w:rsidRDefault="001A3992" w:rsidP="000E4860">
      <w:pPr>
        <w:pStyle w:val="Heading3"/>
        <w:spacing w:before="0" w:after="120"/>
        <w:ind w:left="0"/>
        <w:rPr>
          <w:rFonts w:ascii="Arial" w:hAnsi="Arial" w:cs="Arial"/>
        </w:rPr>
      </w:pPr>
      <w:r w:rsidRPr="00071855">
        <w:rPr>
          <w:rFonts w:ascii="Arial" w:hAnsi="Arial" w:cs="Arial"/>
        </w:rPr>
        <w:t>Use in hepatic impairment</w:t>
      </w:r>
      <w:r w:rsidR="003332D9">
        <w:rPr>
          <w:rFonts w:ascii="Arial" w:hAnsi="Arial" w:cs="Arial"/>
        </w:rPr>
        <w:fldChar w:fldCharType="begin"/>
      </w:r>
      <w:r w:rsidR="003332D9">
        <w:rPr>
          <w:rFonts w:ascii="Arial" w:hAnsi="Arial" w:cs="Arial"/>
        </w:rPr>
        <w:instrText xml:space="preserve"> DOCVARIABLE vault_nd_732c2aa8-a516-4f5b-8e03-01dc438a0167 \* MERGEFORMAT </w:instrText>
      </w:r>
      <w:r w:rsidR="003332D9">
        <w:rPr>
          <w:rFonts w:ascii="Arial" w:hAnsi="Arial" w:cs="Arial"/>
        </w:rPr>
        <w:fldChar w:fldCharType="separate"/>
      </w:r>
      <w:r w:rsidR="003332D9">
        <w:rPr>
          <w:rFonts w:ascii="Arial" w:hAnsi="Arial" w:cs="Arial"/>
        </w:rPr>
        <w:t xml:space="preserve"> </w:t>
      </w:r>
      <w:r w:rsidR="003332D9">
        <w:rPr>
          <w:rFonts w:ascii="Arial" w:hAnsi="Arial" w:cs="Arial"/>
        </w:rPr>
        <w:fldChar w:fldCharType="end"/>
      </w:r>
    </w:p>
    <w:p w14:paraId="0DF628E2" w14:textId="77777777" w:rsidR="000E4860" w:rsidRDefault="000E4860" w:rsidP="000E4860">
      <w:pPr>
        <w:rPr>
          <w:rFonts w:ascii="Arial" w:hAnsi="Arial" w:cs="Arial"/>
          <w:lang w:val="en"/>
        </w:rPr>
      </w:pPr>
      <w:r w:rsidRPr="00E728C5">
        <w:rPr>
          <w:rFonts w:ascii="Arial" w:hAnsi="Arial" w:cs="Arial"/>
          <w:lang w:val="en"/>
        </w:rPr>
        <w:t>See Section 4.2 DOSE AND METHOD OF ADMINISTRATION and Section 5.2 PHARMACOKINETIC PROPERTIES, Special patient populations.</w:t>
      </w:r>
    </w:p>
    <w:p w14:paraId="5A304012" w14:textId="0D0BC63B" w:rsidR="001A3992" w:rsidRPr="000E4860" w:rsidRDefault="001A3992" w:rsidP="000E4860">
      <w:pPr>
        <w:rPr>
          <w:rFonts w:ascii="Arial" w:eastAsiaTheme="majorEastAsia" w:hAnsi="Arial" w:cs="Arial"/>
          <w:b/>
          <w:bCs/>
        </w:rPr>
      </w:pPr>
      <w:r w:rsidRPr="000E4860">
        <w:rPr>
          <w:rFonts w:ascii="Arial" w:eastAsiaTheme="majorEastAsia" w:hAnsi="Arial" w:cs="Arial"/>
          <w:b/>
          <w:bCs/>
        </w:rPr>
        <w:t>Use in renal impairment</w:t>
      </w:r>
    </w:p>
    <w:p w14:paraId="7BC73E6A" w14:textId="77777777" w:rsidR="00EC028A" w:rsidRPr="00E728C5" w:rsidRDefault="00EC028A" w:rsidP="00EC028A">
      <w:pPr>
        <w:rPr>
          <w:rFonts w:ascii="Arial" w:hAnsi="Arial" w:cs="Arial"/>
          <w:lang w:val="en"/>
        </w:rPr>
      </w:pPr>
      <w:r w:rsidRPr="00E728C5">
        <w:rPr>
          <w:rFonts w:ascii="Arial" w:hAnsi="Arial" w:cs="Arial"/>
          <w:lang w:val="en"/>
        </w:rPr>
        <w:t>See Section 4.2 DOSE AND METHOD OF ADMINISTRATION and Section 5.2 PHARMACOKINETIC PROPERTIES, Special patient populations.</w:t>
      </w:r>
    </w:p>
    <w:p w14:paraId="6DB136A6" w14:textId="01736ADC" w:rsidR="001A3992" w:rsidRPr="00071855" w:rsidRDefault="001A3992" w:rsidP="000E4860">
      <w:pPr>
        <w:pStyle w:val="Heading3"/>
        <w:spacing w:before="0" w:after="120"/>
        <w:ind w:left="0"/>
        <w:rPr>
          <w:rFonts w:ascii="Arial" w:hAnsi="Arial" w:cs="Arial"/>
        </w:rPr>
      </w:pPr>
      <w:r w:rsidRPr="00071855">
        <w:rPr>
          <w:rFonts w:ascii="Arial" w:hAnsi="Arial" w:cs="Arial"/>
        </w:rPr>
        <w:t>Use in the elderly</w:t>
      </w:r>
      <w:r w:rsidR="003332D9">
        <w:rPr>
          <w:rFonts w:ascii="Arial" w:hAnsi="Arial" w:cs="Arial"/>
        </w:rPr>
        <w:fldChar w:fldCharType="begin"/>
      </w:r>
      <w:r w:rsidR="003332D9">
        <w:rPr>
          <w:rFonts w:ascii="Arial" w:hAnsi="Arial" w:cs="Arial"/>
        </w:rPr>
        <w:instrText xml:space="preserve"> DOCVARIABLE vault_nd_1a8bcdf6-4adf-4528-a443-f9a52e69cc4d \* MERGEFORMAT </w:instrText>
      </w:r>
      <w:r w:rsidR="003332D9">
        <w:rPr>
          <w:rFonts w:ascii="Arial" w:hAnsi="Arial" w:cs="Arial"/>
        </w:rPr>
        <w:fldChar w:fldCharType="separate"/>
      </w:r>
      <w:r w:rsidR="003332D9">
        <w:rPr>
          <w:rFonts w:ascii="Arial" w:hAnsi="Arial" w:cs="Arial"/>
        </w:rPr>
        <w:t xml:space="preserve"> </w:t>
      </w:r>
      <w:r w:rsidR="003332D9">
        <w:rPr>
          <w:rFonts w:ascii="Arial" w:hAnsi="Arial" w:cs="Arial"/>
        </w:rPr>
        <w:fldChar w:fldCharType="end"/>
      </w:r>
    </w:p>
    <w:p w14:paraId="428A75D1" w14:textId="42BF1D16" w:rsidR="00071855" w:rsidRPr="009D3C57" w:rsidRDefault="009D3C57" w:rsidP="00071855">
      <w:pPr>
        <w:rPr>
          <w:rFonts w:ascii="Arial" w:hAnsi="Arial" w:cs="Arial"/>
          <w:lang w:val="en"/>
        </w:rPr>
      </w:pPr>
      <w:r w:rsidRPr="00E728C5">
        <w:rPr>
          <w:rFonts w:ascii="Arial" w:hAnsi="Arial" w:cs="Arial"/>
          <w:lang w:val="en"/>
        </w:rPr>
        <w:t>See Section 4.2 DOSE AND METHOD OF ADMINISTRATION and Section 5.2 PHARMACOKINETIC PROPERTIES, Special patient populations.</w:t>
      </w:r>
    </w:p>
    <w:p w14:paraId="54D6A1F9" w14:textId="7F0E5760" w:rsidR="001A3992" w:rsidRPr="00071855" w:rsidRDefault="001A3992" w:rsidP="000E4860">
      <w:pPr>
        <w:pStyle w:val="Heading3"/>
        <w:spacing w:before="0" w:after="120"/>
        <w:ind w:left="0"/>
        <w:rPr>
          <w:rFonts w:ascii="Arial" w:hAnsi="Arial" w:cs="Arial"/>
        </w:rPr>
      </w:pPr>
      <w:r w:rsidRPr="00071855">
        <w:rPr>
          <w:rFonts w:ascii="Arial" w:hAnsi="Arial" w:cs="Arial"/>
        </w:rPr>
        <w:t>Paediatric use</w:t>
      </w:r>
      <w:r w:rsidR="003332D9">
        <w:rPr>
          <w:rFonts w:ascii="Arial" w:hAnsi="Arial" w:cs="Arial"/>
        </w:rPr>
        <w:fldChar w:fldCharType="begin"/>
      </w:r>
      <w:r w:rsidR="003332D9">
        <w:rPr>
          <w:rFonts w:ascii="Arial" w:hAnsi="Arial" w:cs="Arial"/>
        </w:rPr>
        <w:instrText xml:space="preserve"> DOCVARIABLE vault_nd_d024b3c1-7f45-42b4-857b-fc0c6d1771cc \* MERGEFORMAT </w:instrText>
      </w:r>
      <w:r w:rsidR="003332D9">
        <w:rPr>
          <w:rFonts w:ascii="Arial" w:hAnsi="Arial" w:cs="Arial"/>
        </w:rPr>
        <w:fldChar w:fldCharType="separate"/>
      </w:r>
      <w:r w:rsidR="003332D9">
        <w:rPr>
          <w:rFonts w:ascii="Arial" w:hAnsi="Arial" w:cs="Arial"/>
        </w:rPr>
        <w:t xml:space="preserve"> </w:t>
      </w:r>
      <w:r w:rsidR="003332D9">
        <w:rPr>
          <w:rFonts w:ascii="Arial" w:hAnsi="Arial" w:cs="Arial"/>
        </w:rPr>
        <w:fldChar w:fldCharType="end"/>
      </w:r>
    </w:p>
    <w:p w14:paraId="17FAB590" w14:textId="3A10FE8E" w:rsidR="009D3C57" w:rsidRPr="009243A6" w:rsidRDefault="009D3C57" w:rsidP="009D3C57">
      <w:pPr>
        <w:rPr>
          <w:rFonts w:ascii="Arial" w:hAnsi="Arial" w:cs="Arial"/>
          <w:lang w:val="en-GB"/>
        </w:rPr>
      </w:pPr>
      <w:r w:rsidRPr="009243A6">
        <w:rPr>
          <w:rFonts w:ascii="Arial" w:hAnsi="Arial" w:cs="Arial"/>
          <w:lang w:val="en-GB"/>
        </w:rPr>
        <w:t xml:space="preserve">The safety and efficacy of </w:t>
      </w:r>
      <w:r w:rsidR="00032E53">
        <w:rPr>
          <w:rFonts w:ascii="Arial" w:hAnsi="Arial" w:cs="Arial"/>
          <w:lang w:val="en"/>
        </w:rPr>
        <w:t>APRETUDE</w:t>
      </w:r>
      <w:r w:rsidRPr="009243A6">
        <w:rPr>
          <w:rFonts w:ascii="Arial" w:hAnsi="Arial" w:cs="Arial"/>
          <w:lang w:val="en-GB"/>
        </w:rPr>
        <w:t xml:space="preserve"> in children </w:t>
      </w:r>
      <w:r w:rsidR="00992C1D">
        <w:rPr>
          <w:rFonts w:ascii="Arial" w:hAnsi="Arial" w:cs="Arial"/>
          <w:lang w:val="en-GB"/>
        </w:rPr>
        <w:t xml:space="preserve">&lt; 12 years of age, </w:t>
      </w:r>
      <w:r w:rsidRPr="009243A6">
        <w:rPr>
          <w:rFonts w:ascii="Arial" w:hAnsi="Arial" w:cs="Arial"/>
          <w:lang w:val="en-GB"/>
        </w:rPr>
        <w:t xml:space="preserve">and </w:t>
      </w:r>
      <w:r w:rsidR="00992C1D">
        <w:rPr>
          <w:rFonts w:ascii="Arial" w:hAnsi="Arial" w:cs="Arial"/>
          <w:lang w:val="en-GB"/>
        </w:rPr>
        <w:t xml:space="preserve">in </w:t>
      </w:r>
      <w:r w:rsidRPr="009243A6">
        <w:rPr>
          <w:rFonts w:ascii="Arial" w:hAnsi="Arial" w:cs="Arial"/>
          <w:lang w:val="en-GB"/>
        </w:rPr>
        <w:t>adolescents weighing less than 35 kg have not been established.</w:t>
      </w:r>
    </w:p>
    <w:p w14:paraId="70125DFE" w14:textId="3BDA302E" w:rsidR="00B05309" w:rsidRDefault="001A3992" w:rsidP="00B05309">
      <w:pPr>
        <w:pStyle w:val="Heading3"/>
        <w:spacing w:before="0" w:after="120"/>
        <w:ind w:left="0"/>
      </w:pPr>
      <w:r w:rsidRPr="00DD7FCC">
        <w:rPr>
          <w:rFonts w:ascii="Arial" w:hAnsi="Arial" w:cs="Arial"/>
        </w:rPr>
        <w:t>Effects on laboratory tests</w:t>
      </w:r>
      <w:r w:rsidR="003332D9" w:rsidRPr="00DD7FCC">
        <w:rPr>
          <w:rFonts w:ascii="Arial" w:hAnsi="Arial" w:cs="Arial"/>
        </w:rPr>
        <w:fldChar w:fldCharType="begin"/>
      </w:r>
      <w:r w:rsidR="003332D9" w:rsidRPr="00DD7FCC">
        <w:rPr>
          <w:rFonts w:ascii="Arial" w:hAnsi="Arial" w:cs="Arial"/>
        </w:rPr>
        <w:instrText xml:space="preserve"> DOCVARIABLE vault_nd_56eb7c18-2236-42e2-835a-6e10e39d084c \* MERGEFORMAT </w:instrText>
      </w:r>
      <w:r w:rsidR="003332D9" w:rsidRPr="00DD7FCC">
        <w:rPr>
          <w:rFonts w:ascii="Arial" w:hAnsi="Arial" w:cs="Arial"/>
        </w:rPr>
        <w:fldChar w:fldCharType="separate"/>
      </w:r>
      <w:r w:rsidR="003332D9" w:rsidRPr="00DD7FCC">
        <w:rPr>
          <w:rFonts w:ascii="Arial" w:hAnsi="Arial" w:cs="Arial"/>
        </w:rPr>
        <w:t xml:space="preserve"> </w:t>
      </w:r>
      <w:r w:rsidR="003332D9" w:rsidRPr="00DD7FCC">
        <w:rPr>
          <w:rFonts w:ascii="Arial" w:hAnsi="Arial" w:cs="Arial"/>
        </w:rPr>
        <w:fldChar w:fldCharType="end"/>
      </w:r>
    </w:p>
    <w:p w14:paraId="001A5AC4" w14:textId="1F2BB8FF" w:rsidR="00B05309" w:rsidRPr="0023296F" w:rsidRDefault="00B05309" w:rsidP="00B05309">
      <w:pPr>
        <w:spacing w:before="120" w:after="240" w:line="240" w:lineRule="auto"/>
        <w:outlineLvl w:val="0"/>
        <w:rPr>
          <w:rFonts w:ascii="Arial" w:hAnsi="Arial" w:cs="Arial"/>
          <w:szCs w:val="24"/>
        </w:rPr>
      </w:pPr>
      <w:r w:rsidRPr="0023296F">
        <w:rPr>
          <w:rFonts w:ascii="Arial" w:hAnsi="Arial" w:cs="Arial"/>
          <w:szCs w:val="24"/>
        </w:rPr>
        <w:t xml:space="preserve">In both HPTN 083 and HPTN 084, a similar proportion of participants in the cabotegravir and </w:t>
      </w:r>
      <w:r w:rsidR="007374D5" w:rsidRPr="003817BE">
        <w:rPr>
          <w:rFonts w:ascii="Arial" w:eastAsia="Times New Roman" w:hAnsi="Arial" w:cs="Arial"/>
          <w:lang w:val="en-GB" w:eastAsia="en-GB"/>
        </w:rPr>
        <w:t>tenofovir disoproxil fumarate (</w:t>
      </w:r>
      <w:r w:rsidRPr="003817BE">
        <w:rPr>
          <w:rFonts w:ascii="Arial" w:hAnsi="Arial" w:cs="Arial"/>
        </w:rPr>
        <w:t>TDF</w:t>
      </w:r>
      <w:r w:rsidR="007374D5" w:rsidRPr="003817BE">
        <w:rPr>
          <w:rFonts w:ascii="Arial" w:hAnsi="Arial" w:cs="Arial"/>
        </w:rPr>
        <w:t>)</w:t>
      </w:r>
      <w:r w:rsidRPr="003817BE">
        <w:rPr>
          <w:rFonts w:ascii="Arial" w:hAnsi="Arial" w:cs="Arial"/>
        </w:rPr>
        <w:t>/</w:t>
      </w:r>
      <w:r w:rsidR="007374D5" w:rsidRPr="003817BE">
        <w:rPr>
          <w:rFonts w:ascii="Arial" w:hAnsi="Arial" w:cs="Arial"/>
        </w:rPr>
        <w:t xml:space="preserve"> emtricitabine</w:t>
      </w:r>
      <w:r w:rsidR="007374D5" w:rsidRPr="007374D5">
        <w:rPr>
          <w:rFonts w:ascii="Arial" w:hAnsi="Arial" w:cs="Arial"/>
        </w:rPr>
        <w:t xml:space="preserve"> (</w:t>
      </w:r>
      <w:r w:rsidRPr="007374D5">
        <w:rPr>
          <w:rFonts w:ascii="Arial" w:hAnsi="Arial" w:cs="Arial"/>
        </w:rPr>
        <w:t>FTC</w:t>
      </w:r>
      <w:r w:rsidR="007374D5" w:rsidRPr="007374D5">
        <w:rPr>
          <w:rFonts w:ascii="Arial" w:hAnsi="Arial" w:cs="Arial"/>
        </w:rPr>
        <w:t>)</w:t>
      </w:r>
      <w:r w:rsidRPr="0023296F">
        <w:rPr>
          <w:rFonts w:ascii="Arial" w:hAnsi="Arial" w:cs="Arial"/>
          <w:szCs w:val="24"/>
        </w:rPr>
        <w:t xml:space="preserve"> groups were observed to have elevated hepatic transaminases (ALT/AST) levels and maximum post baseline increases were mostly Grades 1 and 2. In HPTN 083, the number of participants in the cabotegravir vs TDF/FTC groups who experienced maximum post baseline Grade 3 or 4 ALT levels were 40 (2%) vs 44 (2%) and Grade 3 or 4 AST levels were; 68 (3%) vs 79 (3%), respectively. In HPTN 084, the number of participants in the cabotegravir vs TDF/FTC groups who experienced maximum post baseline Grade 3 or 4 ALT levels were 12 (&lt;1%) vs 18 (1%) and Grade 3 and 4 AST levels were; 15 (&lt;1%) vs 14 (&lt;1%), respectively.</w:t>
      </w:r>
      <w:r w:rsidRPr="0023296F">
        <w:rPr>
          <w:rFonts w:ascii="Arial" w:hAnsi="Arial" w:cs="Arial"/>
          <w:szCs w:val="24"/>
        </w:rPr>
        <w:fldChar w:fldCharType="begin"/>
      </w:r>
      <w:r w:rsidRPr="0023296F">
        <w:rPr>
          <w:rFonts w:ascii="Arial" w:hAnsi="Arial" w:cs="Arial"/>
          <w:szCs w:val="24"/>
        </w:rPr>
        <w:instrText xml:space="preserve"> DOCVARIABLE vault_nd_d4e4c838-b2b9-415d-9cbc-0f387c3e1eca \* MERGEFORMAT </w:instrText>
      </w:r>
      <w:r w:rsidRPr="0023296F">
        <w:rPr>
          <w:rFonts w:ascii="Arial" w:hAnsi="Arial" w:cs="Arial"/>
          <w:szCs w:val="24"/>
        </w:rPr>
        <w:fldChar w:fldCharType="separate"/>
      </w:r>
      <w:r w:rsidRPr="0023296F">
        <w:rPr>
          <w:rFonts w:ascii="Arial" w:hAnsi="Arial" w:cs="Arial"/>
          <w:szCs w:val="24"/>
        </w:rPr>
        <w:t xml:space="preserve"> </w:t>
      </w:r>
      <w:r w:rsidRPr="0023296F">
        <w:rPr>
          <w:rFonts w:ascii="Arial" w:hAnsi="Arial" w:cs="Arial"/>
          <w:szCs w:val="24"/>
        </w:rPr>
        <w:fldChar w:fldCharType="end"/>
      </w:r>
    </w:p>
    <w:p w14:paraId="6FF69E3A" w14:textId="1BEDE0D7" w:rsidR="00071855" w:rsidRPr="006E595D" w:rsidRDefault="00B05309" w:rsidP="00B05309">
      <w:pPr>
        <w:spacing w:after="240" w:line="240" w:lineRule="auto"/>
        <w:rPr>
          <w:rFonts w:ascii="Arial" w:hAnsi="Arial" w:cs="Arial"/>
          <w:i/>
          <w:color w:val="FF0000"/>
        </w:rPr>
      </w:pPr>
      <w:r w:rsidRPr="0023296F">
        <w:rPr>
          <w:rFonts w:ascii="Arial" w:hAnsi="Arial" w:cs="Arial"/>
          <w:szCs w:val="24"/>
        </w:rPr>
        <w:t>A few participants in both the cabotegravir and TDF/FTC groups had adverse events of AST or ALT increased which resulted in discontinuation of study product.  In HPTN 083, the number of participants in the cabotegravir vs TDF/FTC groups who discontinued due to ALT increased were: 29 (1%) vs 31 (1%) and due to AST increased were 7 (&lt;1%) vs 8 (&lt;1%), respectively. In HPTN 084, the number of participants in the cabotegravir vs TDF/FTC groups who discontinued due to ALT increased were 12 (&lt;1%) vs 15 (&lt;1%) and there were no discontinuations due to AST increased.</w:t>
      </w:r>
    </w:p>
    <w:p w14:paraId="06AC3402" w14:textId="714F3AE9" w:rsidR="00071855" w:rsidRDefault="00071855" w:rsidP="00B05309">
      <w:pPr>
        <w:pStyle w:val="Heading2"/>
        <w:spacing w:before="0" w:after="120"/>
        <w:ind w:left="578" w:hanging="578"/>
        <w:rPr>
          <w:rFonts w:ascii="Arial" w:hAnsi="Arial" w:cs="Arial"/>
          <w:smallCaps w:val="0"/>
        </w:rPr>
      </w:pPr>
      <w:r w:rsidRPr="00071855">
        <w:rPr>
          <w:rFonts w:ascii="Arial" w:hAnsi="Arial" w:cs="Arial"/>
          <w:smallCaps w:val="0"/>
        </w:rPr>
        <w:t>INTERACTIONS WITH OTHER MEDICINES AND OTHER FORMS OF INTERACTIONS</w:t>
      </w:r>
      <w:r w:rsidR="003332D9">
        <w:rPr>
          <w:rFonts w:ascii="Arial" w:hAnsi="Arial" w:cs="Arial"/>
          <w:smallCaps w:val="0"/>
        </w:rPr>
        <w:fldChar w:fldCharType="begin"/>
      </w:r>
      <w:r w:rsidR="003332D9">
        <w:rPr>
          <w:rFonts w:ascii="Arial" w:hAnsi="Arial" w:cs="Arial"/>
          <w:smallCaps w:val="0"/>
        </w:rPr>
        <w:instrText xml:space="preserve"> DOCVARIABLE VAULT_ND_72b4a430-26b4-4a04-99de-c5d31514e27a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071C1AE5" w14:textId="03195EB9" w:rsidR="007374D5" w:rsidRPr="00271545" w:rsidRDefault="007374D5" w:rsidP="007374D5">
      <w:pPr>
        <w:rPr>
          <w:rFonts w:ascii="Arial" w:eastAsiaTheme="majorEastAsia" w:hAnsi="Arial" w:cs="Arial"/>
          <w:b/>
          <w:bCs/>
        </w:rPr>
      </w:pPr>
      <w:r w:rsidRPr="00271545">
        <w:rPr>
          <w:rFonts w:ascii="Arial" w:eastAsiaTheme="majorEastAsia" w:hAnsi="Arial" w:cs="Arial"/>
          <w:b/>
          <w:bCs/>
        </w:rPr>
        <w:t xml:space="preserve">Effect of other </w:t>
      </w:r>
      <w:r w:rsidR="001152E5">
        <w:rPr>
          <w:rFonts w:ascii="Arial" w:eastAsiaTheme="majorEastAsia" w:hAnsi="Arial" w:cs="Arial"/>
          <w:b/>
          <w:bCs/>
        </w:rPr>
        <w:t>medicinal products</w:t>
      </w:r>
      <w:r w:rsidR="00415797">
        <w:rPr>
          <w:rFonts w:ascii="Arial" w:eastAsiaTheme="majorEastAsia" w:hAnsi="Arial" w:cs="Arial"/>
          <w:b/>
          <w:bCs/>
        </w:rPr>
        <w:t xml:space="preserve"> </w:t>
      </w:r>
      <w:r w:rsidRPr="00271545">
        <w:rPr>
          <w:rFonts w:ascii="Arial" w:eastAsiaTheme="majorEastAsia" w:hAnsi="Arial" w:cs="Arial"/>
          <w:b/>
          <w:bCs/>
        </w:rPr>
        <w:t>on the pharmacokinetics of cabotegravir</w:t>
      </w:r>
    </w:p>
    <w:p w14:paraId="5C4065CF" w14:textId="4EE641DA" w:rsidR="007374D5" w:rsidRPr="00271545" w:rsidRDefault="007374D5" w:rsidP="007374D5">
      <w:pPr>
        <w:rPr>
          <w:rFonts w:ascii="Arial" w:hAnsi="Arial" w:cs="Arial"/>
          <w:lang w:val="en-GB"/>
        </w:rPr>
      </w:pPr>
      <w:r w:rsidRPr="00271545">
        <w:rPr>
          <w:rFonts w:ascii="Arial" w:hAnsi="Arial" w:cs="Arial"/>
          <w:lang w:val="en-GB"/>
        </w:rPr>
        <w:t xml:space="preserve">Cabotegravir is primarily metabolised by </w:t>
      </w:r>
      <w:r w:rsidRPr="00A51746">
        <w:rPr>
          <w:rFonts w:ascii="Arial" w:hAnsi="Arial" w:cs="Arial"/>
          <w:lang w:val="en"/>
        </w:rPr>
        <w:t xml:space="preserve">uridine diphosphate </w:t>
      </w:r>
      <w:proofErr w:type="spellStart"/>
      <w:r w:rsidRPr="00A51746">
        <w:rPr>
          <w:rFonts w:ascii="Arial" w:hAnsi="Arial" w:cs="Arial"/>
          <w:lang w:val="en"/>
        </w:rPr>
        <w:t>glucuronosyl</w:t>
      </w:r>
      <w:proofErr w:type="spellEnd"/>
      <w:r w:rsidRPr="00A51746">
        <w:rPr>
          <w:rFonts w:ascii="Arial" w:hAnsi="Arial" w:cs="Arial"/>
          <w:lang w:val="en"/>
        </w:rPr>
        <w:t xml:space="preserve"> transferase </w:t>
      </w:r>
      <w:r>
        <w:rPr>
          <w:rFonts w:ascii="Arial" w:hAnsi="Arial" w:cs="Arial"/>
          <w:lang w:val="en"/>
        </w:rPr>
        <w:t>(</w:t>
      </w:r>
      <w:r w:rsidRPr="00271545">
        <w:rPr>
          <w:rFonts w:ascii="Arial" w:hAnsi="Arial" w:cs="Arial"/>
          <w:lang w:val="en-GB"/>
        </w:rPr>
        <w:t>UGT</w:t>
      </w:r>
      <w:r>
        <w:rPr>
          <w:rFonts w:ascii="Arial" w:hAnsi="Arial" w:cs="Arial"/>
          <w:lang w:val="en-GB"/>
        </w:rPr>
        <w:t xml:space="preserve">) </w:t>
      </w:r>
      <w:r w:rsidRPr="00271545">
        <w:rPr>
          <w:rFonts w:ascii="Arial" w:hAnsi="Arial" w:cs="Arial"/>
          <w:lang w:val="en-GB"/>
        </w:rPr>
        <w:t xml:space="preserve">1A1 with some contribution from UGT1A9. Medicinal products which are strong inducers of </w:t>
      </w:r>
      <w:r w:rsidRPr="00271545">
        <w:rPr>
          <w:rFonts w:ascii="Arial" w:hAnsi="Arial" w:cs="Arial"/>
          <w:lang w:val="en-GB"/>
        </w:rPr>
        <w:lastRenderedPageBreak/>
        <w:t xml:space="preserve">UGT1A1 or UGT1A9 are expected to decrease cabotegravir plasma concentrations leading to lack of efficacy </w:t>
      </w:r>
      <w:r w:rsidRPr="00A51746">
        <w:rPr>
          <w:rFonts w:ascii="Arial" w:hAnsi="Arial" w:cs="Arial"/>
          <w:lang w:val="en"/>
        </w:rPr>
        <w:t>(see section 4.3</w:t>
      </w:r>
      <w:r>
        <w:rPr>
          <w:rFonts w:ascii="Arial" w:hAnsi="Arial" w:cs="Arial"/>
          <w:lang w:val="en"/>
        </w:rPr>
        <w:t xml:space="preserve"> CONTRAINDICATIONS</w:t>
      </w:r>
      <w:r w:rsidRPr="00A51746">
        <w:rPr>
          <w:rFonts w:ascii="Arial" w:hAnsi="Arial" w:cs="Arial"/>
          <w:lang w:val="en"/>
        </w:rPr>
        <w:t>).</w:t>
      </w:r>
    </w:p>
    <w:p w14:paraId="2D8E8CE5" w14:textId="3451AECD" w:rsidR="007374D5" w:rsidRDefault="007374D5" w:rsidP="007374D5">
      <w:pPr>
        <w:rPr>
          <w:szCs w:val="24"/>
        </w:rPr>
      </w:pPr>
      <w:r w:rsidRPr="00271545">
        <w:rPr>
          <w:rFonts w:ascii="Arial" w:hAnsi="Arial" w:cs="Arial"/>
          <w:lang w:val="en-GB"/>
        </w:rPr>
        <w:t xml:space="preserve">Simulations using </w:t>
      </w:r>
      <w:r w:rsidRPr="00A51746">
        <w:rPr>
          <w:rFonts w:ascii="Arial" w:hAnsi="Arial" w:cs="Arial"/>
          <w:lang w:val="en"/>
        </w:rPr>
        <w:t xml:space="preserve">physiologically based pharmacokinetic </w:t>
      </w:r>
      <w:r>
        <w:rPr>
          <w:rFonts w:ascii="Arial" w:hAnsi="Arial" w:cs="Arial"/>
          <w:lang w:val="en"/>
        </w:rPr>
        <w:t>(</w:t>
      </w:r>
      <w:r w:rsidRPr="00271545">
        <w:rPr>
          <w:rFonts w:ascii="Arial" w:hAnsi="Arial" w:cs="Arial"/>
          <w:lang w:val="en-GB"/>
        </w:rPr>
        <w:t>PBPK</w:t>
      </w:r>
      <w:r>
        <w:rPr>
          <w:rFonts w:ascii="Arial" w:hAnsi="Arial" w:cs="Arial"/>
          <w:lang w:val="en-GB"/>
        </w:rPr>
        <w:t>) modelling</w:t>
      </w:r>
      <w:r w:rsidRPr="00271545">
        <w:rPr>
          <w:rFonts w:ascii="Arial" w:hAnsi="Arial" w:cs="Arial"/>
          <w:lang w:val="en-GB"/>
        </w:rPr>
        <w:t xml:space="preserve"> show that no clinically significant interaction is expected following co-administration of cabotegravir with drugs that inhibit UGT enzymes</w:t>
      </w:r>
      <w:r>
        <w:rPr>
          <w:szCs w:val="24"/>
        </w:rPr>
        <w:t>.</w:t>
      </w:r>
    </w:p>
    <w:p w14:paraId="50BFE6BC" w14:textId="23BF53DB" w:rsidR="007374D5" w:rsidRPr="00BF272F" w:rsidRDefault="007374D5" w:rsidP="007374D5">
      <w:pPr>
        <w:spacing w:before="120"/>
        <w:rPr>
          <w:rFonts w:ascii="Arial" w:eastAsiaTheme="majorEastAsia" w:hAnsi="Arial" w:cs="Arial"/>
        </w:rPr>
      </w:pPr>
      <w:r w:rsidRPr="00BF272F">
        <w:rPr>
          <w:rFonts w:ascii="Arial" w:eastAsiaTheme="majorEastAsia" w:hAnsi="Arial" w:cs="Arial"/>
          <w:i/>
          <w:iCs/>
        </w:rPr>
        <w:t>In vitro</w:t>
      </w:r>
      <w:r w:rsidRPr="00BF272F">
        <w:rPr>
          <w:rFonts w:ascii="Arial" w:eastAsiaTheme="majorEastAsia" w:hAnsi="Arial" w:cs="Arial"/>
        </w:rPr>
        <w:t xml:space="preserve">, cabotegravir was not a substrate of </w:t>
      </w:r>
      <w:r w:rsidRPr="00A51746">
        <w:rPr>
          <w:rFonts w:ascii="Arial" w:hAnsi="Arial" w:cs="Arial"/>
          <w:lang w:val="en"/>
        </w:rPr>
        <w:t xml:space="preserve">organic anion transporting polypeptide </w:t>
      </w:r>
      <w:r>
        <w:rPr>
          <w:rFonts w:ascii="Arial" w:hAnsi="Arial" w:cs="Arial"/>
          <w:lang w:val="en"/>
        </w:rPr>
        <w:t>(</w:t>
      </w:r>
      <w:r w:rsidRPr="00BF272F">
        <w:rPr>
          <w:rFonts w:ascii="Arial" w:eastAsiaTheme="majorEastAsia" w:hAnsi="Arial" w:cs="Arial"/>
        </w:rPr>
        <w:t>OATP</w:t>
      </w:r>
      <w:r>
        <w:rPr>
          <w:rFonts w:ascii="Arial" w:eastAsiaTheme="majorEastAsia" w:hAnsi="Arial" w:cs="Arial"/>
        </w:rPr>
        <w:t xml:space="preserve">) </w:t>
      </w:r>
      <w:r w:rsidRPr="00BF272F">
        <w:rPr>
          <w:rFonts w:ascii="Arial" w:eastAsiaTheme="majorEastAsia" w:hAnsi="Arial" w:cs="Arial"/>
        </w:rPr>
        <w:t xml:space="preserve">1B1, OATP1B3, OATP2B1 or </w:t>
      </w:r>
      <w:r w:rsidRPr="00A51746">
        <w:rPr>
          <w:rFonts w:ascii="Arial" w:hAnsi="Arial" w:cs="Arial"/>
          <w:lang w:val="en"/>
        </w:rPr>
        <w:t xml:space="preserve">organic cation transporter </w:t>
      </w:r>
      <w:r>
        <w:rPr>
          <w:rFonts w:ascii="Arial" w:hAnsi="Arial" w:cs="Arial"/>
          <w:lang w:val="en"/>
        </w:rPr>
        <w:t>(</w:t>
      </w:r>
      <w:r w:rsidRPr="00BF272F">
        <w:rPr>
          <w:rFonts w:ascii="Arial" w:eastAsiaTheme="majorEastAsia" w:hAnsi="Arial" w:cs="Arial"/>
        </w:rPr>
        <w:t>OCT1</w:t>
      </w:r>
      <w:r>
        <w:rPr>
          <w:rFonts w:ascii="Arial" w:eastAsiaTheme="majorEastAsia" w:hAnsi="Arial" w:cs="Arial"/>
        </w:rPr>
        <w:t>)</w:t>
      </w:r>
      <w:r w:rsidRPr="00BF272F">
        <w:rPr>
          <w:rFonts w:ascii="Arial" w:eastAsiaTheme="majorEastAsia" w:hAnsi="Arial" w:cs="Arial"/>
        </w:rPr>
        <w:t>.</w:t>
      </w:r>
    </w:p>
    <w:p w14:paraId="51EE0D8D" w14:textId="77777777" w:rsidR="007D3AF2" w:rsidRDefault="007374D5" w:rsidP="00524593">
      <w:pPr>
        <w:rPr>
          <w:rFonts w:ascii="Arial" w:eastAsiaTheme="majorEastAsia" w:hAnsi="Arial" w:cs="Arial"/>
          <w:b/>
          <w:bCs/>
        </w:rPr>
      </w:pPr>
      <w:r w:rsidRPr="00271545">
        <w:rPr>
          <w:rFonts w:ascii="Arial" w:hAnsi="Arial" w:cs="Arial"/>
          <w:lang w:val="en-GB"/>
        </w:rPr>
        <w:t xml:space="preserve">Cabotegravir is a substrate of </w:t>
      </w:r>
      <w:r w:rsidRPr="00A51746">
        <w:rPr>
          <w:rFonts w:ascii="Arial" w:hAnsi="Arial" w:cs="Arial"/>
          <w:lang w:val="en"/>
        </w:rPr>
        <w:t xml:space="preserve">P-glycoprotein </w:t>
      </w:r>
      <w:r>
        <w:rPr>
          <w:rFonts w:ascii="Arial" w:hAnsi="Arial" w:cs="Arial"/>
          <w:lang w:val="en"/>
        </w:rPr>
        <w:t>(</w:t>
      </w:r>
      <w:r w:rsidRPr="00271545">
        <w:rPr>
          <w:rFonts w:ascii="Arial" w:hAnsi="Arial" w:cs="Arial"/>
          <w:lang w:val="en-GB"/>
        </w:rPr>
        <w:t>P-</w:t>
      </w:r>
      <w:proofErr w:type="spellStart"/>
      <w:r w:rsidRPr="00271545">
        <w:rPr>
          <w:rFonts w:ascii="Arial" w:hAnsi="Arial" w:cs="Arial"/>
          <w:lang w:val="en-GB"/>
        </w:rPr>
        <w:t>gp</w:t>
      </w:r>
      <w:proofErr w:type="spellEnd"/>
      <w:r>
        <w:rPr>
          <w:rFonts w:ascii="Arial" w:hAnsi="Arial" w:cs="Arial"/>
          <w:lang w:val="en-GB"/>
        </w:rPr>
        <w:t>)</w:t>
      </w:r>
      <w:r w:rsidRPr="00271545">
        <w:rPr>
          <w:rFonts w:ascii="Arial" w:hAnsi="Arial" w:cs="Arial"/>
          <w:lang w:val="en-GB"/>
        </w:rPr>
        <w:t xml:space="preserve"> and </w:t>
      </w:r>
      <w:r w:rsidRPr="00A51746">
        <w:rPr>
          <w:rFonts w:ascii="Arial" w:hAnsi="Arial" w:cs="Arial"/>
          <w:lang w:val="en"/>
        </w:rPr>
        <w:t xml:space="preserve">breast cancer resistance protein </w:t>
      </w:r>
      <w:r>
        <w:rPr>
          <w:rFonts w:ascii="Arial" w:hAnsi="Arial" w:cs="Arial"/>
          <w:lang w:val="en"/>
        </w:rPr>
        <w:t>(</w:t>
      </w:r>
      <w:r w:rsidRPr="00271545">
        <w:rPr>
          <w:rFonts w:ascii="Arial" w:hAnsi="Arial" w:cs="Arial"/>
          <w:lang w:val="en-GB"/>
        </w:rPr>
        <w:t>BCRP</w:t>
      </w:r>
      <w:r>
        <w:rPr>
          <w:rFonts w:ascii="Arial" w:hAnsi="Arial" w:cs="Arial"/>
          <w:lang w:val="en-GB"/>
        </w:rPr>
        <w:t>)</w:t>
      </w:r>
      <w:r w:rsidRPr="00271545">
        <w:rPr>
          <w:rFonts w:ascii="Arial" w:hAnsi="Arial" w:cs="Arial"/>
          <w:lang w:val="en-GB"/>
        </w:rPr>
        <w:t>, however, because of its high permeability, no alteration in absorption is expected when co-administered with either P-</w:t>
      </w:r>
      <w:proofErr w:type="spellStart"/>
      <w:r w:rsidRPr="00271545">
        <w:rPr>
          <w:rFonts w:ascii="Arial" w:hAnsi="Arial" w:cs="Arial"/>
          <w:lang w:val="en-GB"/>
        </w:rPr>
        <w:t>gp</w:t>
      </w:r>
      <w:proofErr w:type="spellEnd"/>
      <w:r w:rsidRPr="00271545">
        <w:rPr>
          <w:rFonts w:ascii="Arial" w:hAnsi="Arial" w:cs="Arial"/>
          <w:lang w:val="en-GB"/>
        </w:rPr>
        <w:t xml:space="preserve"> or BCRP inhibitors.</w:t>
      </w:r>
    </w:p>
    <w:p w14:paraId="087DB63A" w14:textId="10E6E69C" w:rsidR="00916CE3" w:rsidRDefault="00524593" w:rsidP="00524593">
      <w:pPr>
        <w:rPr>
          <w:rFonts w:ascii="Arial" w:eastAsiaTheme="majorEastAsia" w:hAnsi="Arial" w:cs="Arial"/>
          <w:b/>
          <w:bCs/>
        </w:rPr>
      </w:pPr>
      <w:r w:rsidRPr="00524593">
        <w:rPr>
          <w:rFonts w:ascii="Arial" w:eastAsiaTheme="majorEastAsia" w:hAnsi="Arial" w:cs="Arial"/>
          <w:b/>
          <w:bCs/>
        </w:rPr>
        <w:t xml:space="preserve">Effect of cabotegravir on the pharmacokinetics of other </w:t>
      </w:r>
      <w:r w:rsidR="00415797">
        <w:rPr>
          <w:rFonts w:ascii="Arial" w:eastAsiaTheme="majorEastAsia" w:hAnsi="Arial" w:cs="Arial"/>
          <w:b/>
          <w:bCs/>
        </w:rPr>
        <w:t>medicinal products</w:t>
      </w:r>
    </w:p>
    <w:p w14:paraId="5B87DDF8" w14:textId="61FDF678" w:rsidR="00524593" w:rsidRPr="00BF65BD" w:rsidRDefault="00524593" w:rsidP="00524593">
      <w:pPr>
        <w:rPr>
          <w:rFonts w:ascii="Arial" w:eastAsiaTheme="majorEastAsia" w:hAnsi="Arial" w:cs="Arial"/>
          <w:b/>
          <w:bCs/>
        </w:rPr>
      </w:pPr>
      <w:r w:rsidRPr="00BF65BD">
        <w:rPr>
          <w:rFonts w:ascii="Arial" w:hAnsi="Arial" w:cs="Arial"/>
          <w:i/>
          <w:iCs/>
          <w:lang w:val="en-GB"/>
        </w:rPr>
        <w:t>In vivo</w:t>
      </w:r>
      <w:r w:rsidRPr="00524593">
        <w:rPr>
          <w:rFonts w:ascii="Arial" w:hAnsi="Arial" w:cs="Arial"/>
          <w:lang w:val="en-GB"/>
        </w:rPr>
        <w:t xml:space="preserve">, cabotegravir did not </w:t>
      </w:r>
      <w:proofErr w:type="gramStart"/>
      <w:r w:rsidRPr="00524593">
        <w:rPr>
          <w:rFonts w:ascii="Arial" w:hAnsi="Arial" w:cs="Arial"/>
          <w:lang w:val="en-GB"/>
        </w:rPr>
        <w:t>have an effect on</w:t>
      </w:r>
      <w:proofErr w:type="gramEnd"/>
      <w:r w:rsidRPr="00524593">
        <w:rPr>
          <w:rFonts w:ascii="Arial" w:hAnsi="Arial" w:cs="Arial"/>
          <w:lang w:val="en-GB"/>
        </w:rPr>
        <w:t xml:space="preserve"> midazolam, a </w:t>
      </w:r>
      <w:r w:rsidR="0010560B">
        <w:rPr>
          <w:rFonts w:ascii="Arial" w:hAnsi="Arial" w:cs="Arial"/>
          <w:lang w:val="en-GB"/>
        </w:rPr>
        <w:t>cytochrome P450 (</w:t>
      </w:r>
      <w:r w:rsidRPr="00524593">
        <w:rPr>
          <w:rFonts w:ascii="Arial" w:hAnsi="Arial" w:cs="Arial"/>
          <w:lang w:val="en-GB"/>
        </w:rPr>
        <w:t>CYP</w:t>
      </w:r>
      <w:r w:rsidR="0010560B">
        <w:rPr>
          <w:rFonts w:ascii="Arial" w:hAnsi="Arial" w:cs="Arial"/>
          <w:lang w:val="en-GB"/>
        </w:rPr>
        <w:t xml:space="preserve">) </w:t>
      </w:r>
      <w:r w:rsidRPr="00524593">
        <w:rPr>
          <w:rFonts w:ascii="Arial" w:hAnsi="Arial" w:cs="Arial"/>
          <w:lang w:val="en-GB"/>
        </w:rPr>
        <w:t>3A4 probe. Cabotegravir is not a clinically relevant inhibitor of the following enzymes and transporters: CYP1A2, CYP2A6, CYP2B6, CYP2C8, CYP2C9, CYP2C19, CYP2D6, CYP3A4, UGT1A1, UGT1A3, UGT1A4, UGT1A6, UGT1A9, UGT2B4, UGT2B7, UGT2B15, and UGT2B17, P-</w:t>
      </w:r>
      <w:proofErr w:type="spellStart"/>
      <w:proofErr w:type="gramStart"/>
      <w:r w:rsidRPr="00524593">
        <w:rPr>
          <w:rFonts w:ascii="Arial" w:hAnsi="Arial" w:cs="Arial"/>
          <w:lang w:val="en-GB"/>
        </w:rPr>
        <w:t>gp</w:t>
      </w:r>
      <w:proofErr w:type="spellEnd"/>
      <w:r w:rsidRPr="00524593">
        <w:rPr>
          <w:rFonts w:ascii="Arial" w:hAnsi="Arial" w:cs="Arial"/>
          <w:lang w:val="en-GB"/>
        </w:rPr>
        <w:t>,  BCRP</w:t>
      </w:r>
      <w:proofErr w:type="gramEnd"/>
      <w:r w:rsidRPr="00524593">
        <w:rPr>
          <w:rFonts w:ascii="Arial" w:hAnsi="Arial" w:cs="Arial"/>
          <w:lang w:val="en-GB"/>
        </w:rPr>
        <w:t>, Bile salt export pump (BSEP), OCT1, OCT2, OATP1B1, OATP1B3, multidrug and toxin extrusion transporter (MATE) 1, MATE 2-K, multidrug resistance protein (MRP) 2 or MRP4.</w:t>
      </w:r>
    </w:p>
    <w:p w14:paraId="065B527B" w14:textId="4520B487" w:rsidR="00524593" w:rsidRPr="00524593" w:rsidRDefault="00524593" w:rsidP="00524593">
      <w:pPr>
        <w:rPr>
          <w:rFonts w:ascii="Arial" w:hAnsi="Arial" w:cs="Arial"/>
          <w:lang w:val="en-GB"/>
        </w:rPr>
      </w:pPr>
      <w:r w:rsidRPr="00524593">
        <w:rPr>
          <w:rFonts w:ascii="Arial" w:hAnsi="Arial" w:cs="Arial"/>
          <w:lang w:val="en-GB"/>
        </w:rPr>
        <w:t>Cabotegravir inhibited the organic anion transporters (OAT) 1 (IC</w:t>
      </w:r>
      <w:r w:rsidRPr="0010560B">
        <w:rPr>
          <w:rFonts w:ascii="Arial" w:hAnsi="Arial" w:cs="Arial"/>
          <w:vertAlign w:val="subscript"/>
          <w:lang w:val="en-GB"/>
        </w:rPr>
        <w:t>50</w:t>
      </w:r>
      <w:r w:rsidRPr="00524593">
        <w:rPr>
          <w:rFonts w:ascii="Arial" w:hAnsi="Arial" w:cs="Arial"/>
          <w:lang w:val="en-GB"/>
        </w:rPr>
        <w:t>=0.81 µM) and OAT3 (IC</w:t>
      </w:r>
      <w:r w:rsidRPr="0010560B">
        <w:rPr>
          <w:rFonts w:ascii="Arial" w:hAnsi="Arial" w:cs="Arial"/>
          <w:vertAlign w:val="subscript"/>
          <w:lang w:val="en-GB"/>
        </w:rPr>
        <w:t>50</w:t>
      </w:r>
      <w:r w:rsidRPr="00524593">
        <w:rPr>
          <w:rFonts w:ascii="Arial" w:hAnsi="Arial" w:cs="Arial"/>
          <w:lang w:val="en-GB"/>
        </w:rPr>
        <w:t xml:space="preserve">=0.41 µM) </w:t>
      </w:r>
      <w:r w:rsidRPr="0010560B">
        <w:rPr>
          <w:rFonts w:ascii="Arial" w:hAnsi="Arial" w:cs="Arial"/>
          <w:i/>
          <w:iCs/>
          <w:lang w:val="en-GB"/>
        </w:rPr>
        <w:t>in vitro</w:t>
      </w:r>
      <w:r w:rsidRPr="00524593">
        <w:rPr>
          <w:rFonts w:ascii="Arial" w:hAnsi="Arial" w:cs="Arial"/>
          <w:lang w:val="en-GB"/>
        </w:rPr>
        <w:t>, however, based on PBPK modelling no interaction with OAT substrates is expected at clinically relevant concentrations.</w:t>
      </w:r>
    </w:p>
    <w:p w14:paraId="7877F4EC" w14:textId="77777777" w:rsidR="00524593" w:rsidRPr="00524593" w:rsidRDefault="00524593" w:rsidP="00524593">
      <w:pPr>
        <w:rPr>
          <w:rFonts w:ascii="Arial" w:hAnsi="Arial" w:cs="Arial"/>
          <w:lang w:val="en-GB"/>
        </w:rPr>
      </w:pPr>
      <w:r w:rsidRPr="00BF65BD">
        <w:rPr>
          <w:rFonts w:ascii="Arial" w:hAnsi="Arial" w:cs="Arial"/>
          <w:i/>
          <w:iCs/>
          <w:lang w:val="en-GB"/>
        </w:rPr>
        <w:t>In vitro</w:t>
      </w:r>
      <w:r w:rsidRPr="00524593">
        <w:rPr>
          <w:rFonts w:ascii="Arial" w:hAnsi="Arial" w:cs="Arial"/>
          <w:lang w:val="en-GB"/>
        </w:rPr>
        <w:t>, cabotegravir did not induce CYP1A2, CYP2B6, or CYP3A4.</w:t>
      </w:r>
    </w:p>
    <w:p w14:paraId="2CFC0370" w14:textId="77777777" w:rsidR="00524593" w:rsidRPr="00524593" w:rsidRDefault="00524593" w:rsidP="00524593">
      <w:pPr>
        <w:rPr>
          <w:rFonts w:ascii="Arial" w:hAnsi="Arial" w:cs="Arial"/>
          <w:lang w:val="en-GB"/>
        </w:rPr>
      </w:pPr>
      <w:r w:rsidRPr="00524593">
        <w:rPr>
          <w:rFonts w:ascii="Arial" w:hAnsi="Arial" w:cs="Arial"/>
          <w:lang w:val="en-GB"/>
        </w:rPr>
        <w:t>Based on these data and the results of drug interaction studies, cabotegravir is not expected to affect the pharmacokinetics of drugs that are substrates of these enzymes or transporters.</w:t>
      </w:r>
    </w:p>
    <w:p w14:paraId="3600FF1C" w14:textId="12BA8446" w:rsidR="00524593" w:rsidRDefault="00524593" w:rsidP="00271545">
      <w:pPr>
        <w:pStyle w:val="listssp"/>
        <w:rPr>
          <w:rFonts w:ascii="Arial" w:eastAsiaTheme="minorHAnsi" w:hAnsi="Arial" w:cs="Arial"/>
          <w:sz w:val="22"/>
          <w:szCs w:val="22"/>
          <w:lang w:eastAsia="en-US"/>
        </w:rPr>
      </w:pPr>
      <w:r w:rsidRPr="00524593">
        <w:rPr>
          <w:rFonts w:ascii="Arial" w:eastAsiaTheme="minorHAnsi" w:hAnsi="Arial" w:cs="Arial"/>
          <w:sz w:val="22"/>
          <w:szCs w:val="22"/>
          <w:lang w:eastAsia="en-US"/>
        </w:rPr>
        <w:t xml:space="preserve">Based on the </w:t>
      </w:r>
      <w:r w:rsidRPr="00271545">
        <w:rPr>
          <w:rFonts w:ascii="Arial" w:eastAsiaTheme="minorHAnsi" w:hAnsi="Arial" w:cs="Arial"/>
          <w:i/>
          <w:iCs/>
          <w:sz w:val="22"/>
          <w:szCs w:val="22"/>
          <w:lang w:eastAsia="en-US"/>
        </w:rPr>
        <w:t>in vitro</w:t>
      </w:r>
      <w:r w:rsidRPr="00524593">
        <w:rPr>
          <w:rFonts w:ascii="Arial" w:eastAsiaTheme="minorHAnsi" w:hAnsi="Arial" w:cs="Arial"/>
          <w:sz w:val="22"/>
          <w:szCs w:val="22"/>
          <w:lang w:eastAsia="en-US"/>
        </w:rPr>
        <w:t xml:space="preserve"> and clinical drug interaction profile, cabotegravir is not expected to alter concentrations of other antiretroviral medications including protease inhibitors, nucleoside reverse transcriptase inhibitors, non-nucleoside reverse transcriptase inhibitors, integrase inhibitors, entry inhibitors, and ibalizumab.</w:t>
      </w:r>
    </w:p>
    <w:p w14:paraId="60E355D8" w14:textId="77777777" w:rsidR="00271545" w:rsidRPr="00271545" w:rsidRDefault="00271545" w:rsidP="00271545">
      <w:pPr>
        <w:pStyle w:val="listssp"/>
        <w:rPr>
          <w:rFonts w:ascii="Arial" w:eastAsiaTheme="minorHAnsi" w:hAnsi="Arial" w:cs="Arial"/>
          <w:sz w:val="22"/>
          <w:szCs w:val="22"/>
          <w:lang w:eastAsia="en-US"/>
        </w:rPr>
      </w:pPr>
    </w:p>
    <w:p w14:paraId="31417B88" w14:textId="77777777" w:rsidR="00271545" w:rsidRPr="00271545" w:rsidRDefault="00271545" w:rsidP="00271545">
      <w:pPr>
        <w:rPr>
          <w:rFonts w:ascii="Arial" w:hAnsi="Arial" w:cs="Arial"/>
          <w:lang w:val="en-GB"/>
        </w:rPr>
      </w:pPr>
      <w:r w:rsidRPr="00271545">
        <w:rPr>
          <w:rFonts w:ascii="Arial" w:hAnsi="Arial" w:cs="Arial"/>
          <w:lang w:val="en-GB"/>
        </w:rPr>
        <w:t>No drug interaction studies have been performed with cabotegravir injection. The drug interaction data provided in Table 4 is obtained from studies with oral cabotegravir.</w:t>
      </w:r>
    </w:p>
    <w:p w14:paraId="6959D821" w14:textId="77777777" w:rsidR="00004DB2" w:rsidRPr="00D3102B" w:rsidRDefault="00004DB2" w:rsidP="00445D44">
      <w:pPr>
        <w:pStyle w:val="captiontable"/>
        <w:pageBreakBefore/>
        <w:rPr>
          <w:lang w:val="en-GB" w:eastAsia="en-US"/>
        </w:rPr>
      </w:pPr>
      <w:bookmarkStart w:id="5" w:name="_Ref318205147"/>
      <w:r w:rsidRPr="00D6128C">
        <w:rPr>
          <w:rFonts w:cs="Arial"/>
        </w:rPr>
        <w:lastRenderedPageBreak/>
        <w:t>Table</w:t>
      </w:r>
      <w:bookmarkEnd w:id="5"/>
      <w:r w:rsidRPr="00D6128C">
        <w:rPr>
          <w:rFonts w:cs="Arial"/>
        </w:rPr>
        <w:t xml:space="preserve"> </w:t>
      </w:r>
      <w:r w:rsidRPr="00D6128C">
        <w:rPr>
          <w:rFonts w:cs="Arial"/>
          <w:lang w:val="en-GB"/>
        </w:rPr>
        <w:t>4</w:t>
      </w:r>
      <w:r w:rsidRPr="00D6128C">
        <w:tab/>
      </w:r>
      <w:r w:rsidRPr="00D6128C">
        <w:rPr>
          <w:rFonts w:cs="Arial"/>
        </w:rPr>
        <w:t>Drug Interactions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764"/>
        <w:gridCol w:w="3863"/>
      </w:tblGrid>
      <w:tr w:rsidR="00004DB2" w:rsidRPr="00D3102B" w14:paraId="2484A2A2" w14:textId="77777777" w:rsidTr="00A00329">
        <w:tc>
          <w:tcPr>
            <w:tcW w:w="2235" w:type="dxa"/>
          </w:tcPr>
          <w:p w14:paraId="36C55117" w14:textId="77777777" w:rsidR="00004DB2" w:rsidRPr="00D3102B" w:rsidRDefault="00004DB2" w:rsidP="00A00329">
            <w:pPr>
              <w:rPr>
                <w:rFonts w:ascii="Arial" w:hAnsi="Arial" w:cs="Arial"/>
                <w:b/>
              </w:rPr>
            </w:pPr>
            <w:r w:rsidRPr="00D3102B">
              <w:rPr>
                <w:rFonts w:ascii="Arial" w:hAnsi="Arial" w:cs="Arial"/>
                <w:b/>
              </w:rPr>
              <w:t>Concomitant Drug Class:</w:t>
            </w:r>
            <w:r w:rsidRPr="00D3102B">
              <w:rPr>
                <w:rFonts w:ascii="Arial" w:hAnsi="Arial" w:cs="Arial"/>
                <w:b/>
              </w:rPr>
              <w:br/>
              <w:t>Drug Name</w:t>
            </w:r>
          </w:p>
        </w:tc>
        <w:tc>
          <w:tcPr>
            <w:tcW w:w="2764" w:type="dxa"/>
          </w:tcPr>
          <w:p w14:paraId="4AC4B6CC" w14:textId="77777777" w:rsidR="00004DB2" w:rsidRPr="00D3102B" w:rsidRDefault="00004DB2" w:rsidP="00A00329">
            <w:pPr>
              <w:rPr>
                <w:rFonts w:ascii="Arial" w:hAnsi="Arial" w:cs="Arial"/>
                <w:b/>
              </w:rPr>
            </w:pPr>
            <w:r w:rsidRPr="00D3102B">
              <w:rPr>
                <w:rFonts w:ascii="Arial" w:hAnsi="Arial" w:cs="Arial"/>
                <w:b/>
              </w:rPr>
              <w:t>Effect on Concentration of Cabotegravir or Concomitant Drug</w:t>
            </w:r>
          </w:p>
        </w:tc>
        <w:tc>
          <w:tcPr>
            <w:tcW w:w="3863" w:type="dxa"/>
          </w:tcPr>
          <w:p w14:paraId="77A588F9" w14:textId="77777777" w:rsidR="00004DB2" w:rsidRPr="00D3102B" w:rsidRDefault="00004DB2" w:rsidP="00A00329">
            <w:pPr>
              <w:rPr>
                <w:rFonts w:ascii="Arial" w:hAnsi="Arial" w:cs="Arial"/>
                <w:b/>
              </w:rPr>
            </w:pPr>
            <w:r w:rsidRPr="00D3102B">
              <w:rPr>
                <w:rFonts w:ascii="Arial" w:hAnsi="Arial" w:cs="Arial"/>
                <w:b/>
              </w:rPr>
              <w:t>Clinical Comment</w:t>
            </w:r>
          </w:p>
        </w:tc>
      </w:tr>
      <w:tr w:rsidR="00004DB2" w:rsidRPr="00D3102B" w14:paraId="7F300976" w14:textId="77777777" w:rsidTr="00A00329">
        <w:tc>
          <w:tcPr>
            <w:tcW w:w="2235" w:type="dxa"/>
            <w:tcBorders>
              <w:top w:val="single" w:sz="4" w:space="0" w:color="auto"/>
              <w:left w:val="single" w:sz="4" w:space="0" w:color="auto"/>
              <w:bottom w:val="single" w:sz="4" w:space="0" w:color="auto"/>
              <w:right w:val="single" w:sz="4" w:space="0" w:color="auto"/>
            </w:tcBorders>
          </w:tcPr>
          <w:p w14:paraId="0F5FE32B" w14:textId="77777777" w:rsidR="00004DB2" w:rsidRPr="00D3102B" w:rsidRDefault="00004DB2" w:rsidP="00A00329">
            <w:pPr>
              <w:rPr>
                <w:rFonts w:ascii="Arial" w:hAnsi="Arial" w:cs="Arial"/>
                <w:bCs/>
              </w:rPr>
            </w:pPr>
            <w:r w:rsidRPr="00D3102B">
              <w:rPr>
                <w:rFonts w:ascii="Arial" w:hAnsi="Arial" w:cs="Arial"/>
                <w:bCs/>
              </w:rPr>
              <w:t>Non-nucleoside Reverse Transcriptase Inhibitor:</w:t>
            </w:r>
            <w:r w:rsidRPr="00D3102B">
              <w:rPr>
                <w:rFonts w:ascii="Arial" w:hAnsi="Arial" w:cs="Arial"/>
                <w:bCs/>
              </w:rPr>
              <w:br/>
              <w:t>Etravirine</w:t>
            </w:r>
          </w:p>
        </w:tc>
        <w:tc>
          <w:tcPr>
            <w:tcW w:w="2764" w:type="dxa"/>
            <w:tcBorders>
              <w:top w:val="single" w:sz="4" w:space="0" w:color="auto"/>
              <w:left w:val="single" w:sz="4" w:space="0" w:color="auto"/>
              <w:bottom w:val="single" w:sz="4" w:space="0" w:color="auto"/>
              <w:right w:val="single" w:sz="4" w:space="0" w:color="auto"/>
            </w:tcBorders>
          </w:tcPr>
          <w:p w14:paraId="6C9A9294" w14:textId="7A3DA19F" w:rsidR="00004DB2" w:rsidRPr="00D3102B" w:rsidRDefault="00004DB2" w:rsidP="00A00329">
            <w:pPr>
              <w:rPr>
                <w:rFonts w:ascii="Arial" w:hAnsi="Arial" w:cs="Arial"/>
                <w:bCs/>
              </w:rPr>
            </w:pPr>
            <w:r w:rsidRPr="00D3102B">
              <w:rPr>
                <w:rFonts w:ascii="Arial" w:hAnsi="Arial" w:cs="Arial"/>
                <w:bCs/>
              </w:rPr>
              <w:t xml:space="preserve">Cabotegravir </w:t>
            </w:r>
            <w:r w:rsidR="005361FA" w:rsidRPr="00943E4C">
              <w:rPr>
                <w:rFonts w:ascii="Symbol" w:eastAsia="Symbol" w:hAnsi="Symbol" w:cs="Symbol"/>
                <w:bCs/>
              </w:rPr>
              <w:t></w:t>
            </w:r>
            <w:r w:rsidRPr="00D3102B">
              <w:rPr>
                <w:rFonts w:ascii="Arial" w:hAnsi="Arial" w:cs="Arial"/>
                <w:bCs/>
              </w:rPr>
              <w:br/>
              <w:t xml:space="preserve">AUC </w:t>
            </w:r>
            <w:r w:rsidR="00776C75" w:rsidRPr="00943E4C">
              <w:rPr>
                <w:rFonts w:ascii="Symbol" w:eastAsia="Symbol" w:hAnsi="Symbol" w:cs="Symbol"/>
                <w:bCs/>
              </w:rPr>
              <w:t></w:t>
            </w:r>
            <w:r w:rsidRPr="00D3102B">
              <w:rPr>
                <w:rFonts w:ascii="Arial" w:hAnsi="Arial" w:cs="Arial"/>
                <w:bCs/>
              </w:rPr>
              <w:t xml:space="preserve"> 1%</w:t>
            </w:r>
            <w:r w:rsidRPr="00D3102B">
              <w:rPr>
                <w:rFonts w:ascii="Arial" w:hAnsi="Arial" w:cs="Arial"/>
                <w:bCs/>
              </w:rPr>
              <w:br/>
            </w:r>
            <w:proofErr w:type="spellStart"/>
            <w:r w:rsidRPr="00D3102B">
              <w:rPr>
                <w:rFonts w:ascii="Arial" w:hAnsi="Arial" w:cs="Arial"/>
                <w:bCs/>
              </w:rPr>
              <w:t>C</w:t>
            </w:r>
            <w:r w:rsidRPr="00D3102B">
              <w:rPr>
                <w:rFonts w:ascii="Arial" w:hAnsi="Arial" w:cs="Arial"/>
                <w:bCs/>
                <w:vertAlign w:val="subscript"/>
              </w:rPr>
              <w:t>max</w:t>
            </w:r>
            <w:proofErr w:type="spellEnd"/>
            <w:r w:rsidRPr="00D3102B">
              <w:rPr>
                <w:rFonts w:ascii="Arial" w:hAnsi="Arial" w:cs="Arial"/>
                <w:bCs/>
              </w:rPr>
              <w:t xml:space="preserve"> </w:t>
            </w:r>
            <w:r w:rsidR="00776C75" w:rsidRPr="00943E4C">
              <w:rPr>
                <w:rFonts w:ascii="Symbol" w:eastAsia="Symbol" w:hAnsi="Symbol" w:cs="Symbol"/>
                <w:bCs/>
              </w:rPr>
              <w:t></w:t>
            </w:r>
            <w:r w:rsidRPr="00D3102B">
              <w:rPr>
                <w:rFonts w:ascii="Arial" w:hAnsi="Arial" w:cs="Arial"/>
                <w:bCs/>
              </w:rPr>
              <w:t xml:space="preserve"> 4%</w:t>
            </w:r>
            <w:r w:rsidRPr="00D3102B">
              <w:rPr>
                <w:rFonts w:ascii="Arial" w:hAnsi="Arial" w:cs="Arial"/>
                <w:bCs/>
              </w:rPr>
              <w:br/>
            </w:r>
            <w:proofErr w:type="spellStart"/>
            <w:r w:rsidRPr="00D3102B">
              <w:rPr>
                <w:rFonts w:ascii="Arial" w:hAnsi="Arial" w:cs="Arial"/>
                <w:bCs/>
              </w:rPr>
              <w:t>C</w:t>
            </w:r>
            <w:r w:rsidRPr="00D3102B">
              <w:rPr>
                <w:rFonts w:ascii="Arial" w:hAnsi="Arial" w:cs="Arial"/>
                <w:bCs/>
                <w:vertAlign w:val="subscript"/>
              </w:rPr>
              <w:t>τ</w:t>
            </w:r>
            <w:proofErr w:type="spellEnd"/>
            <w:r w:rsidRPr="00D3102B">
              <w:rPr>
                <w:rFonts w:ascii="Arial" w:hAnsi="Arial" w:cs="Arial"/>
                <w:bCs/>
              </w:rPr>
              <w:t xml:space="preserve"> </w:t>
            </w:r>
            <w:r w:rsidR="0042089B" w:rsidRPr="00943E4C">
              <w:rPr>
                <w:rFonts w:ascii="Symbol" w:eastAsia="Symbol" w:hAnsi="Symbol" w:cs="Symbol"/>
                <w:bCs/>
              </w:rPr>
              <w:t></w:t>
            </w:r>
            <w:r w:rsidR="0042089B">
              <w:rPr>
                <w:rFonts w:ascii="Symbol" w:eastAsia="Symbol" w:hAnsi="Symbol" w:cs="Symbol"/>
                <w:bCs/>
              </w:rPr>
              <w:t></w:t>
            </w:r>
            <w:r w:rsidRPr="00D3102B">
              <w:rPr>
                <w:rFonts w:ascii="Arial" w:hAnsi="Arial" w:cs="Arial"/>
                <w:bCs/>
              </w:rPr>
              <w:t>0%</w:t>
            </w:r>
          </w:p>
        </w:tc>
        <w:tc>
          <w:tcPr>
            <w:tcW w:w="3863" w:type="dxa"/>
            <w:tcBorders>
              <w:top w:val="single" w:sz="4" w:space="0" w:color="auto"/>
              <w:left w:val="single" w:sz="4" w:space="0" w:color="auto"/>
              <w:bottom w:val="single" w:sz="4" w:space="0" w:color="auto"/>
              <w:right w:val="single" w:sz="4" w:space="0" w:color="auto"/>
            </w:tcBorders>
          </w:tcPr>
          <w:p w14:paraId="00F62D2F" w14:textId="77777777" w:rsidR="00004DB2" w:rsidRPr="00D3102B" w:rsidRDefault="00004DB2" w:rsidP="00A00329">
            <w:pPr>
              <w:rPr>
                <w:rStyle w:val="CSIchar"/>
                <w:rFonts w:ascii="Arial" w:hAnsi="Arial" w:cs="Arial"/>
                <w:bCs/>
              </w:rPr>
            </w:pPr>
            <w:r w:rsidRPr="00776C75">
              <w:rPr>
                <w:rFonts w:ascii="Arial" w:hAnsi="Arial" w:cs="Arial"/>
                <w:lang w:val="en-GB"/>
              </w:rPr>
              <w:t>Etravirine did not significantly change cabotegravir plasma concentration. No dosage adjustment is required.</w:t>
            </w:r>
          </w:p>
        </w:tc>
      </w:tr>
      <w:tr w:rsidR="00004DB2" w:rsidRPr="00D3102B" w14:paraId="377504F3" w14:textId="77777777" w:rsidTr="00A00329">
        <w:tc>
          <w:tcPr>
            <w:tcW w:w="2235" w:type="dxa"/>
            <w:tcBorders>
              <w:top w:val="single" w:sz="4" w:space="0" w:color="auto"/>
              <w:left w:val="single" w:sz="4" w:space="0" w:color="auto"/>
              <w:bottom w:val="single" w:sz="4" w:space="0" w:color="auto"/>
              <w:right w:val="single" w:sz="4" w:space="0" w:color="auto"/>
            </w:tcBorders>
          </w:tcPr>
          <w:p w14:paraId="70E7E635" w14:textId="77777777" w:rsidR="00004DB2" w:rsidRPr="00D3102B" w:rsidRDefault="00004DB2" w:rsidP="00A00329">
            <w:pPr>
              <w:rPr>
                <w:rFonts w:ascii="Arial" w:hAnsi="Arial" w:cs="Arial"/>
                <w:bCs/>
              </w:rPr>
            </w:pPr>
            <w:r w:rsidRPr="00D3102B">
              <w:rPr>
                <w:rFonts w:ascii="Arial" w:hAnsi="Arial" w:cs="Arial"/>
                <w:bCs/>
              </w:rPr>
              <w:t>Non-nucleoside Reverse Transcriptase Inhibitor:</w:t>
            </w:r>
            <w:r w:rsidRPr="00D3102B">
              <w:rPr>
                <w:rFonts w:ascii="Arial" w:hAnsi="Arial" w:cs="Arial"/>
                <w:bCs/>
              </w:rPr>
              <w:br/>
            </w:r>
            <w:proofErr w:type="spellStart"/>
            <w:r w:rsidRPr="00D3102B">
              <w:rPr>
                <w:rFonts w:ascii="Arial" w:hAnsi="Arial" w:cs="Arial"/>
                <w:bCs/>
              </w:rPr>
              <w:t>Rilpivirine</w:t>
            </w:r>
            <w:proofErr w:type="spellEnd"/>
          </w:p>
        </w:tc>
        <w:tc>
          <w:tcPr>
            <w:tcW w:w="2764" w:type="dxa"/>
            <w:tcBorders>
              <w:top w:val="single" w:sz="4" w:space="0" w:color="auto"/>
              <w:left w:val="single" w:sz="4" w:space="0" w:color="auto"/>
              <w:bottom w:val="single" w:sz="4" w:space="0" w:color="auto"/>
              <w:right w:val="single" w:sz="4" w:space="0" w:color="auto"/>
            </w:tcBorders>
          </w:tcPr>
          <w:p w14:paraId="0B776BAE" w14:textId="6C244080" w:rsidR="00004DB2" w:rsidRPr="00D3102B" w:rsidRDefault="00004DB2" w:rsidP="00A00329">
            <w:pPr>
              <w:rPr>
                <w:rFonts w:ascii="Arial" w:hAnsi="Arial" w:cs="Arial"/>
                <w:bCs/>
              </w:rPr>
            </w:pPr>
            <w:r w:rsidRPr="00D3102B">
              <w:rPr>
                <w:rFonts w:ascii="Arial" w:hAnsi="Arial" w:cs="Arial"/>
                <w:bCs/>
              </w:rPr>
              <w:t xml:space="preserve">Cabotegravir </w:t>
            </w:r>
            <w:r w:rsidR="005361FA" w:rsidRPr="00943E4C">
              <w:rPr>
                <w:rFonts w:ascii="Symbol" w:eastAsia="Symbol" w:hAnsi="Symbol" w:cs="Symbol"/>
                <w:bCs/>
              </w:rPr>
              <w:t></w:t>
            </w:r>
            <w:r w:rsidRPr="00D3102B">
              <w:rPr>
                <w:rFonts w:ascii="Arial" w:hAnsi="Arial" w:cs="Arial"/>
                <w:bCs/>
              </w:rPr>
              <w:br/>
              <w:t xml:space="preserve">AUC </w:t>
            </w:r>
            <w:r w:rsidR="00776C75" w:rsidRPr="00943E4C">
              <w:rPr>
                <w:rFonts w:ascii="Symbol" w:eastAsia="Symbol" w:hAnsi="Symbol" w:cs="Symbol"/>
                <w:bCs/>
              </w:rPr>
              <w:t></w:t>
            </w:r>
            <w:r w:rsidRPr="00D3102B">
              <w:rPr>
                <w:rFonts w:ascii="Arial" w:hAnsi="Arial" w:cs="Arial"/>
                <w:bCs/>
              </w:rPr>
              <w:t xml:space="preserve"> 12%</w:t>
            </w:r>
            <w:r w:rsidRPr="00D3102B">
              <w:rPr>
                <w:rFonts w:ascii="Arial" w:hAnsi="Arial" w:cs="Arial"/>
                <w:bCs/>
              </w:rPr>
              <w:br/>
            </w:r>
            <w:proofErr w:type="spellStart"/>
            <w:r w:rsidRPr="00D3102B">
              <w:rPr>
                <w:rFonts w:ascii="Arial" w:hAnsi="Arial" w:cs="Arial"/>
                <w:bCs/>
              </w:rPr>
              <w:t>C</w:t>
            </w:r>
            <w:r w:rsidRPr="00D3102B">
              <w:rPr>
                <w:rFonts w:ascii="Arial" w:hAnsi="Arial" w:cs="Arial"/>
                <w:bCs/>
                <w:vertAlign w:val="subscript"/>
              </w:rPr>
              <w:t>max</w:t>
            </w:r>
            <w:proofErr w:type="spellEnd"/>
            <w:r w:rsidRPr="00D3102B">
              <w:rPr>
                <w:rFonts w:ascii="Arial" w:hAnsi="Arial" w:cs="Arial"/>
                <w:bCs/>
                <w:vertAlign w:val="subscript"/>
              </w:rPr>
              <w:t xml:space="preserve"> </w:t>
            </w:r>
            <w:r w:rsidR="00776C75" w:rsidRPr="00943E4C">
              <w:rPr>
                <w:rFonts w:ascii="Symbol" w:eastAsia="Symbol" w:hAnsi="Symbol" w:cs="Symbol"/>
                <w:bCs/>
              </w:rPr>
              <w:t></w:t>
            </w:r>
            <w:r w:rsidRPr="00D3102B">
              <w:rPr>
                <w:rFonts w:ascii="Arial" w:hAnsi="Arial" w:cs="Arial"/>
                <w:bCs/>
              </w:rPr>
              <w:t xml:space="preserve"> 5%</w:t>
            </w:r>
            <w:r w:rsidRPr="00D3102B">
              <w:rPr>
                <w:rFonts w:ascii="Arial" w:hAnsi="Arial" w:cs="Arial"/>
                <w:bCs/>
              </w:rPr>
              <w:br/>
            </w:r>
            <w:proofErr w:type="spellStart"/>
            <w:r w:rsidRPr="00D3102B">
              <w:rPr>
                <w:rFonts w:ascii="Arial" w:hAnsi="Arial" w:cs="Arial"/>
                <w:bCs/>
              </w:rPr>
              <w:t>C</w:t>
            </w:r>
            <w:r w:rsidRPr="00D3102B">
              <w:rPr>
                <w:rFonts w:ascii="Arial" w:hAnsi="Arial" w:cs="Arial"/>
                <w:bCs/>
                <w:vertAlign w:val="subscript"/>
              </w:rPr>
              <w:t>τ</w:t>
            </w:r>
            <w:proofErr w:type="spellEnd"/>
            <w:r w:rsidRPr="00D3102B">
              <w:rPr>
                <w:rFonts w:ascii="Arial" w:hAnsi="Arial" w:cs="Arial"/>
                <w:bCs/>
              </w:rPr>
              <w:t xml:space="preserve"> </w:t>
            </w:r>
            <w:r w:rsidR="00776C75" w:rsidRPr="00943E4C">
              <w:rPr>
                <w:rFonts w:ascii="Symbol" w:eastAsia="Symbol" w:hAnsi="Symbol" w:cs="Symbol"/>
                <w:bCs/>
              </w:rPr>
              <w:t></w:t>
            </w:r>
            <w:r w:rsidRPr="00D3102B">
              <w:rPr>
                <w:rFonts w:ascii="Arial" w:hAnsi="Arial" w:cs="Arial"/>
                <w:bCs/>
              </w:rPr>
              <w:t xml:space="preserve"> 14%</w:t>
            </w:r>
          </w:p>
          <w:p w14:paraId="7F6A9F64" w14:textId="5558C0CB" w:rsidR="00004DB2" w:rsidRPr="00D3102B" w:rsidRDefault="00004DB2" w:rsidP="00A00329">
            <w:pPr>
              <w:rPr>
                <w:rFonts w:ascii="Arial" w:hAnsi="Arial" w:cs="Arial"/>
                <w:bCs/>
              </w:rPr>
            </w:pPr>
            <w:proofErr w:type="spellStart"/>
            <w:r w:rsidRPr="00D3102B">
              <w:rPr>
                <w:rFonts w:ascii="Arial" w:hAnsi="Arial" w:cs="Arial"/>
                <w:bCs/>
              </w:rPr>
              <w:t>Rilpivirine</w:t>
            </w:r>
            <w:proofErr w:type="spellEnd"/>
            <w:r w:rsidRPr="00D3102B">
              <w:rPr>
                <w:rFonts w:ascii="Arial" w:hAnsi="Arial" w:cs="Arial"/>
                <w:bCs/>
              </w:rPr>
              <w:t xml:space="preserve"> </w:t>
            </w:r>
            <w:r w:rsidR="005361FA" w:rsidRPr="00943E4C">
              <w:rPr>
                <w:rFonts w:ascii="Symbol" w:eastAsia="Symbol" w:hAnsi="Symbol" w:cs="Symbol"/>
                <w:bCs/>
              </w:rPr>
              <w:t></w:t>
            </w:r>
          </w:p>
          <w:p w14:paraId="3871AD79" w14:textId="025E93D7" w:rsidR="00004DB2" w:rsidRPr="00D3102B" w:rsidRDefault="00004DB2" w:rsidP="00A00329">
            <w:pPr>
              <w:rPr>
                <w:rFonts w:ascii="Arial" w:hAnsi="Arial" w:cs="Arial"/>
                <w:bCs/>
              </w:rPr>
            </w:pPr>
            <w:r w:rsidRPr="00D3102B">
              <w:rPr>
                <w:rFonts w:ascii="Arial" w:hAnsi="Arial" w:cs="Arial"/>
                <w:bCs/>
              </w:rPr>
              <w:t xml:space="preserve">AUC </w:t>
            </w:r>
            <w:r w:rsidR="001330B1">
              <w:rPr>
                <w:rFonts w:ascii="Symbol" w:hAnsi="Symbol" w:cs="Symbol"/>
                <w:szCs w:val="24"/>
              </w:rPr>
              <w:t></w:t>
            </w:r>
            <w:r w:rsidRPr="00D3102B">
              <w:rPr>
                <w:rFonts w:ascii="Arial" w:hAnsi="Arial" w:cs="Arial"/>
                <w:bCs/>
              </w:rPr>
              <w:t>1%</w:t>
            </w:r>
          </w:p>
          <w:p w14:paraId="7C18D564" w14:textId="23DE9947" w:rsidR="00004DB2" w:rsidRPr="00D3102B" w:rsidRDefault="00004DB2" w:rsidP="00A00329">
            <w:pPr>
              <w:rPr>
                <w:rFonts w:ascii="Arial" w:hAnsi="Arial" w:cs="Arial"/>
                <w:bCs/>
              </w:rPr>
            </w:pPr>
            <w:proofErr w:type="spellStart"/>
            <w:r w:rsidRPr="00D3102B">
              <w:rPr>
                <w:rFonts w:ascii="Arial" w:hAnsi="Arial" w:cs="Arial"/>
                <w:bCs/>
              </w:rPr>
              <w:t>C</w:t>
            </w:r>
            <w:r w:rsidRPr="00D3102B">
              <w:rPr>
                <w:rFonts w:ascii="Arial" w:hAnsi="Arial" w:cs="Arial"/>
                <w:bCs/>
                <w:vertAlign w:val="subscript"/>
              </w:rPr>
              <w:t>max</w:t>
            </w:r>
            <w:proofErr w:type="spellEnd"/>
            <w:r w:rsidRPr="00D3102B">
              <w:rPr>
                <w:rFonts w:ascii="Arial" w:hAnsi="Arial" w:cs="Arial"/>
                <w:bCs/>
              </w:rPr>
              <w:t xml:space="preserve"> </w:t>
            </w:r>
            <w:r w:rsidR="001330B1">
              <w:rPr>
                <w:rFonts w:ascii="Symbol" w:hAnsi="Symbol" w:cs="Symbol"/>
                <w:szCs w:val="24"/>
              </w:rPr>
              <w:t></w:t>
            </w:r>
            <w:r w:rsidRPr="00D3102B">
              <w:rPr>
                <w:rFonts w:ascii="Arial" w:hAnsi="Arial" w:cs="Arial"/>
                <w:bCs/>
              </w:rPr>
              <w:t xml:space="preserve"> 4%</w:t>
            </w:r>
          </w:p>
          <w:p w14:paraId="5FBF66BF" w14:textId="4F976980" w:rsidR="00004DB2" w:rsidRPr="00D3102B" w:rsidRDefault="00004DB2" w:rsidP="00A00329">
            <w:pPr>
              <w:rPr>
                <w:rFonts w:ascii="Arial" w:hAnsi="Arial" w:cs="Arial"/>
                <w:bCs/>
              </w:rPr>
            </w:pPr>
            <w:proofErr w:type="spellStart"/>
            <w:r w:rsidRPr="00D3102B">
              <w:rPr>
                <w:rFonts w:ascii="Arial" w:hAnsi="Arial" w:cs="Arial"/>
                <w:bCs/>
              </w:rPr>
              <w:t>C</w:t>
            </w:r>
            <w:r w:rsidRPr="00D3102B">
              <w:rPr>
                <w:rFonts w:ascii="Arial" w:hAnsi="Arial" w:cs="Arial"/>
                <w:bCs/>
                <w:vertAlign w:val="subscript"/>
              </w:rPr>
              <w:t>τ</w:t>
            </w:r>
            <w:proofErr w:type="spellEnd"/>
            <w:r w:rsidRPr="00D3102B">
              <w:rPr>
                <w:rFonts w:ascii="Arial" w:hAnsi="Arial" w:cs="Arial"/>
                <w:bCs/>
              </w:rPr>
              <w:t xml:space="preserve"> </w:t>
            </w:r>
            <w:r w:rsidR="001330B1">
              <w:rPr>
                <w:rFonts w:ascii="Symbol" w:hAnsi="Symbol" w:cs="Symbol"/>
                <w:szCs w:val="24"/>
              </w:rPr>
              <w:t></w:t>
            </w:r>
            <w:r w:rsidRPr="00D3102B">
              <w:rPr>
                <w:rFonts w:ascii="Arial" w:hAnsi="Arial" w:cs="Arial"/>
                <w:bCs/>
              </w:rPr>
              <w:t>8%</w:t>
            </w:r>
          </w:p>
        </w:tc>
        <w:tc>
          <w:tcPr>
            <w:tcW w:w="3863" w:type="dxa"/>
            <w:tcBorders>
              <w:top w:val="single" w:sz="4" w:space="0" w:color="auto"/>
              <w:left w:val="single" w:sz="4" w:space="0" w:color="auto"/>
              <w:bottom w:val="single" w:sz="4" w:space="0" w:color="auto"/>
              <w:right w:val="single" w:sz="4" w:space="0" w:color="auto"/>
            </w:tcBorders>
          </w:tcPr>
          <w:p w14:paraId="4CD58C52" w14:textId="1871341E" w:rsidR="00004DB2" w:rsidRPr="00D3102B" w:rsidRDefault="00004DB2" w:rsidP="00A00329">
            <w:pPr>
              <w:rPr>
                <w:rStyle w:val="CSIchar"/>
                <w:rFonts w:ascii="Arial" w:hAnsi="Arial" w:cs="Arial"/>
                <w:bCs/>
              </w:rPr>
            </w:pPr>
            <w:proofErr w:type="spellStart"/>
            <w:r w:rsidRPr="00776C75">
              <w:rPr>
                <w:rFonts w:ascii="Arial" w:hAnsi="Arial" w:cs="Arial"/>
                <w:lang w:val="en-GB"/>
              </w:rPr>
              <w:t>Rilpivirine</w:t>
            </w:r>
            <w:proofErr w:type="spellEnd"/>
            <w:r w:rsidRPr="00776C75">
              <w:rPr>
                <w:rFonts w:ascii="Arial" w:hAnsi="Arial" w:cs="Arial"/>
                <w:lang w:val="en-GB"/>
              </w:rPr>
              <w:t xml:space="preserve"> did not significantly change cabotegravir plasma concentration or vice versa. No dose adjustment of </w:t>
            </w:r>
            <w:r w:rsidR="0010560B">
              <w:rPr>
                <w:rFonts w:ascii="Arial" w:hAnsi="Arial" w:cs="Arial"/>
                <w:lang w:val="en-GB"/>
              </w:rPr>
              <w:t>APRETUDE</w:t>
            </w:r>
            <w:r w:rsidR="0010560B" w:rsidRPr="00776C75">
              <w:rPr>
                <w:rFonts w:ascii="Arial" w:hAnsi="Arial" w:cs="Arial"/>
                <w:lang w:val="en-GB"/>
              </w:rPr>
              <w:t xml:space="preserve"> </w:t>
            </w:r>
            <w:r w:rsidRPr="00776C75">
              <w:rPr>
                <w:rFonts w:ascii="Arial" w:hAnsi="Arial" w:cs="Arial"/>
                <w:lang w:val="en-GB"/>
              </w:rPr>
              <w:t xml:space="preserve">or </w:t>
            </w:r>
            <w:proofErr w:type="spellStart"/>
            <w:r w:rsidRPr="00776C75">
              <w:rPr>
                <w:rFonts w:ascii="Arial" w:hAnsi="Arial" w:cs="Arial"/>
                <w:lang w:val="en-GB"/>
              </w:rPr>
              <w:t>rilpivirine</w:t>
            </w:r>
            <w:proofErr w:type="spellEnd"/>
            <w:r w:rsidRPr="00776C75">
              <w:rPr>
                <w:rFonts w:ascii="Arial" w:hAnsi="Arial" w:cs="Arial"/>
                <w:lang w:val="en-GB"/>
              </w:rPr>
              <w:t xml:space="preserve"> is necessary when co-administered.</w:t>
            </w:r>
          </w:p>
        </w:tc>
      </w:tr>
      <w:tr w:rsidR="00F40A23" w:rsidRPr="00D3102B" w14:paraId="4376CDA9" w14:textId="77777777" w:rsidTr="00F40A23">
        <w:tc>
          <w:tcPr>
            <w:tcW w:w="2235" w:type="dxa"/>
            <w:tcBorders>
              <w:top w:val="single" w:sz="4" w:space="0" w:color="auto"/>
              <w:left w:val="single" w:sz="4" w:space="0" w:color="auto"/>
              <w:bottom w:val="single" w:sz="4" w:space="0" w:color="auto"/>
              <w:right w:val="single" w:sz="4" w:space="0" w:color="auto"/>
            </w:tcBorders>
          </w:tcPr>
          <w:p w14:paraId="5E493283" w14:textId="77777777" w:rsidR="00F40A23" w:rsidRPr="00D3102B" w:rsidRDefault="00F40A23" w:rsidP="00A00329">
            <w:pPr>
              <w:rPr>
                <w:rFonts w:ascii="Arial" w:hAnsi="Arial" w:cs="Arial"/>
                <w:bCs/>
              </w:rPr>
            </w:pPr>
            <w:r w:rsidRPr="00D3102B">
              <w:rPr>
                <w:rFonts w:ascii="Arial" w:hAnsi="Arial" w:cs="Arial"/>
                <w:bCs/>
              </w:rPr>
              <w:t>Rifampicin</w:t>
            </w:r>
          </w:p>
        </w:tc>
        <w:tc>
          <w:tcPr>
            <w:tcW w:w="2764" w:type="dxa"/>
            <w:tcBorders>
              <w:top w:val="single" w:sz="4" w:space="0" w:color="auto"/>
              <w:left w:val="single" w:sz="4" w:space="0" w:color="auto"/>
              <w:bottom w:val="single" w:sz="4" w:space="0" w:color="auto"/>
              <w:right w:val="single" w:sz="4" w:space="0" w:color="auto"/>
            </w:tcBorders>
          </w:tcPr>
          <w:p w14:paraId="3923ADE6" w14:textId="308C2DD6" w:rsidR="00F40A23" w:rsidRPr="00D3102B" w:rsidRDefault="00F40A23" w:rsidP="00A00329">
            <w:pPr>
              <w:rPr>
                <w:rFonts w:ascii="Arial" w:hAnsi="Arial" w:cs="Arial"/>
                <w:bCs/>
              </w:rPr>
            </w:pPr>
            <w:r w:rsidRPr="00D3102B">
              <w:rPr>
                <w:rFonts w:ascii="Arial" w:hAnsi="Arial" w:cs="Arial"/>
                <w:bCs/>
              </w:rPr>
              <w:t xml:space="preserve">Cabotegravir </w:t>
            </w:r>
            <w:r w:rsidR="00C645EF">
              <w:rPr>
                <w:rFonts w:ascii="Symbol" w:hAnsi="Symbol" w:cs="Symbol"/>
                <w:szCs w:val="24"/>
              </w:rPr>
              <w:t></w:t>
            </w:r>
            <w:r w:rsidRPr="00D3102B">
              <w:rPr>
                <w:rFonts w:ascii="Arial" w:hAnsi="Arial" w:cs="Arial"/>
                <w:bCs/>
              </w:rPr>
              <w:br w:type="textWrapping" w:clear="all"/>
              <w:t xml:space="preserve">AUC </w:t>
            </w:r>
            <w:r w:rsidR="00C645EF" w:rsidRPr="00C645EF">
              <w:rPr>
                <w:rFonts w:ascii="Symbol" w:eastAsia="Times New Roman" w:hAnsi="Symbol" w:cs="Symbol"/>
                <w:sz w:val="24"/>
                <w:szCs w:val="24"/>
                <w:lang w:val="en-GB" w:eastAsia="en-GB"/>
              </w:rPr>
              <w:t></w:t>
            </w:r>
            <w:r w:rsidRPr="00D3102B">
              <w:rPr>
                <w:rFonts w:ascii="Arial" w:hAnsi="Arial" w:cs="Arial"/>
                <w:bCs/>
              </w:rPr>
              <w:t xml:space="preserve"> 59%</w:t>
            </w:r>
            <w:r w:rsidRPr="00D3102B">
              <w:rPr>
                <w:rFonts w:ascii="Arial" w:hAnsi="Arial" w:cs="Arial"/>
                <w:bCs/>
              </w:rPr>
              <w:br w:type="textWrapping" w:clear="all"/>
            </w:r>
            <w:proofErr w:type="spellStart"/>
            <w:r w:rsidRPr="00D3102B">
              <w:rPr>
                <w:rFonts w:ascii="Arial" w:hAnsi="Arial" w:cs="Arial"/>
                <w:bCs/>
              </w:rPr>
              <w:t>Cmax</w:t>
            </w:r>
            <w:proofErr w:type="spellEnd"/>
            <w:r w:rsidRPr="00D3102B">
              <w:rPr>
                <w:rFonts w:ascii="Arial" w:hAnsi="Arial" w:cs="Arial"/>
                <w:bCs/>
              </w:rPr>
              <w:t xml:space="preserve"> </w:t>
            </w:r>
            <w:r w:rsidR="00C645EF">
              <w:rPr>
                <w:rFonts w:ascii="Symbol" w:hAnsi="Symbol" w:cs="Symbol"/>
                <w:szCs w:val="24"/>
              </w:rPr>
              <w:t></w:t>
            </w:r>
            <w:r w:rsidR="00C645EF">
              <w:rPr>
                <w:rFonts w:ascii="Symbol" w:hAnsi="Symbol" w:cs="Symbol"/>
                <w:szCs w:val="24"/>
              </w:rPr>
              <w:t></w:t>
            </w:r>
            <w:r w:rsidR="00C645EF">
              <w:rPr>
                <w:rFonts w:ascii="Symbol" w:hAnsi="Symbol" w:cs="Symbol"/>
                <w:szCs w:val="24"/>
              </w:rPr>
              <w:t></w:t>
            </w:r>
            <w:r w:rsidR="00C645EF" w:rsidRPr="00D3102B">
              <w:rPr>
                <w:rFonts w:ascii="Arial" w:hAnsi="Arial" w:cs="Arial"/>
                <w:bCs/>
              </w:rPr>
              <w:t>%</w:t>
            </w:r>
          </w:p>
        </w:tc>
        <w:tc>
          <w:tcPr>
            <w:tcW w:w="3863" w:type="dxa"/>
            <w:tcBorders>
              <w:top w:val="single" w:sz="4" w:space="0" w:color="auto"/>
              <w:left w:val="single" w:sz="4" w:space="0" w:color="auto"/>
              <w:bottom w:val="single" w:sz="4" w:space="0" w:color="auto"/>
              <w:right w:val="single" w:sz="4" w:space="0" w:color="auto"/>
            </w:tcBorders>
          </w:tcPr>
          <w:p w14:paraId="28D31005" w14:textId="49E92FB3" w:rsidR="00F40A23" w:rsidRPr="00776C75" w:rsidRDefault="00F40A23" w:rsidP="00A00329">
            <w:pPr>
              <w:rPr>
                <w:rFonts w:ascii="Arial" w:hAnsi="Arial" w:cs="Arial"/>
                <w:lang w:val="en-GB"/>
              </w:rPr>
            </w:pPr>
            <w:r w:rsidRPr="00776C75">
              <w:rPr>
                <w:rFonts w:ascii="Arial" w:hAnsi="Arial" w:cs="Arial"/>
                <w:lang w:val="en-GB"/>
              </w:rPr>
              <w:t xml:space="preserve">Rifampicin significantly decreased cabotegravir plasma concentration, which is likely to result in loss of therapeutic effect. Co-administration of </w:t>
            </w:r>
            <w:r w:rsidR="00971DB6">
              <w:rPr>
                <w:rFonts w:ascii="Arial" w:hAnsi="Arial" w:cs="Arial"/>
                <w:lang w:val="en-GB"/>
              </w:rPr>
              <w:t>APRETUDE</w:t>
            </w:r>
            <w:r w:rsidR="00971DB6" w:rsidRPr="00776C75">
              <w:rPr>
                <w:rFonts w:ascii="Arial" w:hAnsi="Arial" w:cs="Arial"/>
                <w:lang w:val="en-GB"/>
              </w:rPr>
              <w:t xml:space="preserve"> </w:t>
            </w:r>
            <w:r w:rsidRPr="00776C75">
              <w:rPr>
                <w:rFonts w:ascii="Arial" w:hAnsi="Arial" w:cs="Arial"/>
                <w:lang w:val="en-GB"/>
              </w:rPr>
              <w:t xml:space="preserve">with rifampicin is contraindicated. </w:t>
            </w:r>
          </w:p>
          <w:p w14:paraId="441A63E3" w14:textId="11D7C6D6" w:rsidR="00F40A23" w:rsidRPr="00D3102B" w:rsidRDefault="00F40A23" w:rsidP="00A00329">
            <w:pPr>
              <w:rPr>
                <w:rStyle w:val="CSI"/>
                <w:rFonts w:ascii="Arial" w:hAnsi="Arial" w:cs="Arial"/>
                <w:bCs/>
                <w:shd w:val="clear" w:color="auto" w:fill="CCCCCC"/>
              </w:rPr>
            </w:pPr>
            <w:r w:rsidRPr="00776C75">
              <w:rPr>
                <w:rFonts w:ascii="Arial" w:hAnsi="Arial" w:cs="Arial"/>
                <w:lang w:val="en-GB"/>
              </w:rPr>
              <w:t xml:space="preserve">Dosing recommendations for co-administration of </w:t>
            </w:r>
            <w:r w:rsidR="00971DB6">
              <w:rPr>
                <w:rFonts w:ascii="Arial" w:hAnsi="Arial" w:cs="Arial"/>
                <w:lang w:val="en-GB"/>
              </w:rPr>
              <w:t>APRETUDE</w:t>
            </w:r>
            <w:r w:rsidR="00971DB6" w:rsidRPr="00776C75">
              <w:rPr>
                <w:rFonts w:ascii="Arial" w:hAnsi="Arial" w:cs="Arial"/>
                <w:lang w:val="en-GB"/>
              </w:rPr>
              <w:t xml:space="preserve"> </w:t>
            </w:r>
            <w:r w:rsidRPr="00776C75">
              <w:rPr>
                <w:rFonts w:ascii="Arial" w:hAnsi="Arial" w:cs="Arial"/>
                <w:lang w:val="en-GB"/>
              </w:rPr>
              <w:t>(oral and injection) with rifampicin have not been established.</w:t>
            </w:r>
          </w:p>
        </w:tc>
      </w:tr>
      <w:tr w:rsidR="00F40A23" w:rsidRPr="00D3102B" w14:paraId="00D505BE" w14:textId="77777777" w:rsidTr="00F40A23">
        <w:tc>
          <w:tcPr>
            <w:tcW w:w="2235" w:type="dxa"/>
            <w:tcBorders>
              <w:top w:val="single" w:sz="4" w:space="0" w:color="auto"/>
              <w:left w:val="single" w:sz="4" w:space="0" w:color="auto"/>
              <w:bottom w:val="single" w:sz="4" w:space="0" w:color="auto"/>
              <w:right w:val="single" w:sz="4" w:space="0" w:color="auto"/>
            </w:tcBorders>
          </w:tcPr>
          <w:p w14:paraId="3FBCB033" w14:textId="77777777" w:rsidR="00F40A23" w:rsidRPr="00D3102B" w:rsidRDefault="00F40A23" w:rsidP="00A00329">
            <w:pPr>
              <w:rPr>
                <w:rFonts w:ascii="Arial" w:hAnsi="Arial" w:cs="Arial"/>
                <w:bCs/>
              </w:rPr>
            </w:pPr>
            <w:r w:rsidRPr="00D3102B">
              <w:rPr>
                <w:rFonts w:ascii="Arial" w:hAnsi="Arial" w:cs="Arial"/>
                <w:bCs/>
              </w:rPr>
              <w:t>Rifapentine</w:t>
            </w:r>
          </w:p>
        </w:tc>
        <w:tc>
          <w:tcPr>
            <w:tcW w:w="2764" w:type="dxa"/>
            <w:tcBorders>
              <w:top w:val="single" w:sz="4" w:space="0" w:color="auto"/>
              <w:left w:val="single" w:sz="4" w:space="0" w:color="auto"/>
              <w:bottom w:val="single" w:sz="4" w:space="0" w:color="auto"/>
              <w:right w:val="single" w:sz="4" w:space="0" w:color="auto"/>
            </w:tcBorders>
          </w:tcPr>
          <w:p w14:paraId="44C06C45" w14:textId="19974C93" w:rsidR="00F40A23" w:rsidRPr="00D3102B" w:rsidRDefault="00F40A23" w:rsidP="00A00329">
            <w:pPr>
              <w:rPr>
                <w:rFonts w:ascii="Arial" w:hAnsi="Arial" w:cs="Arial"/>
                <w:bCs/>
              </w:rPr>
            </w:pPr>
            <w:r w:rsidRPr="00D3102B">
              <w:rPr>
                <w:rFonts w:ascii="Arial" w:hAnsi="Arial" w:cs="Arial"/>
                <w:bCs/>
              </w:rPr>
              <w:t xml:space="preserve">Cabotegravir </w:t>
            </w:r>
            <w:r w:rsidR="00C645EF">
              <w:rPr>
                <w:rFonts w:ascii="Symbol" w:hAnsi="Symbol" w:cs="Symbol"/>
                <w:szCs w:val="24"/>
              </w:rPr>
              <w:t></w:t>
            </w:r>
          </w:p>
        </w:tc>
        <w:tc>
          <w:tcPr>
            <w:tcW w:w="3863" w:type="dxa"/>
            <w:tcBorders>
              <w:top w:val="single" w:sz="4" w:space="0" w:color="auto"/>
              <w:left w:val="single" w:sz="4" w:space="0" w:color="auto"/>
              <w:bottom w:val="single" w:sz="4" w:space="0" w:color="auto"/>
              <w:right w:val="single" w:sz="4" w:space="0" w:color="auto"/>
            </w:tcBorders>
          </w:tcPr>
          <w:p w14:paraId="25066172" w14:textId="77777777" w:rsidR="00F40A23" w:rsidRPr="00776C75" w:rsidRDefault="00F40A23" w:rsidP="00A00329">
            <w:pPr>
              <w:rPr>
                <w:rFonts w:ascii="Arial" w:hAnsi="Arial" w:cs="Arial"/>
                <w:lang w:val="en-GB"/>
              </w:rPr>
            </w:pPr>
            <w:r w:rsidRPr="00776C75">
              <w:rPr>
                <w:rFonts w:ascii="Arial" w:hAnsi="Arial" w:cs="Arial"/>
                <w:lang w:val="en-GB"/>
              </w:rPr>
              <w:t>Rifapentine may significantly decrease cabotegravir plasma concentrations, concomitant use is contraindicated.</w:t>
            </w:r>
          </w:p>
        </w:tc>
      </w:tr>
      <w:tr w:rsidR="00F40A23" w:rsidRPr="00D3102B" w14:paraId="6274124F" w14:textId="77777777" w:rsidTr="00F40A23">
        <w:tc>
          <w:tcPr>
            <w:tcW w:w="2235" w:type="dxa"/>
            <w:tcBorders>
              <w:top w:val="single" w:sz="4" w:space="0" w:color="auto"/>
              <w:left w:val="single" w:sz="4" w:space="0" w:color="auto"/>
              <w:bottom w:val="single" w:sz="4" w:space="0" w:color="auto"/>
              <w:right w:val="single" w:sz="4" w:space="0" w:color="auto"/>
            </w:tcBorders>
          </w:tcPr>
          <w:p w14:paraId="074A0DC3" w14:textId="77777777" w:rsidR="00F40A23" w:rsidRPr="00D3102B" w:rsidRDefault="00F40A23" w:rsidP="00A00329">
            <w:pPr>
              <w:rPr>
                <w:rFonts w:ascii="Arial" w:hAnsi="Arial" w:cs="Arial"/>
                <w:bCs/>
              </w:rPr>
            </w:pPr>
            <w:r w:rsidRPr="00D3102B">
              <w:rPr>
                <w:rFonts w:ascii="Arial" w:hAnsi="Arial" w:cs="Arial"/>
                <w:bCs/>
              </w:rPr>
              <w:t>Rifabutin</w:t>
            </w:r>
          </w:p>
        </w:tc>
        <w:tc>
          <w:tcPr>
            <w:tcW w:w="2764" w:type="dxa"/>
            <w:tcBorders>
              <w:top w:val="single" w:sz="4" w:space="0" w:color="auto"/>
              <w:left w:val="single" w:sz="4" w:space="0" w:color="auto"/>
              <w:bottom w:val="single" w:sz="4" w:space="0" w:color="auto"/>
              <w:right w:val="single" w:sz="4" w:space="0" w:color="auto"/>
            </w:tcBorders>
          </w:tcPr>
          <w:p w14:paraId="3EFEAD1C" w14:textId="2F2FAD3D" w:rsidR="00F40A23" w:rsidRPr="00D3102B" w:rsidRDefault="00F40A23" w:rsidP="00A00329">
            <w:pPr>
              <w:rPr>
                <w:rFonts w:ascii="Arial" w:hAnsi="Arial" w:cs="Arial"/>
                <w:bCs/>
              </w:rPr>
            </w:pPr>
            <w:r w:rsidRPr="00D3102B">
              <w:rPr>
                <w:rFonts w:ascii="Arial" w:hAnsi="Arial" w:cs="Arial"/>
                <w:bCs/>
              </w:rPr>
              <w:t xml:space="preserve">Cabotegravir </w:t>
            </w:r>
            <w:r w:rsidR="00C645EF">
              <w:rPr>
                <w:rFonts w:ascii="Symbol" w:hAnsi="Symbol" w:cs="Symbol"/>
                <w:szCs w:val="24"/>
              </w:rPr>
              <w:t></w:t>
            </w:r>
            <w:r w:rsidRPr="00D3102B">
              <w:rPr>
                <w:rFonts w:ascii="Arial" w:hAnsi="Arial" w:cs="Arial"/>
                <w:bCs/>
              </w:rPr>
              <w:br w:type="textWrapping" w:clear="all"/>
              <w:t xml:space="preserve">AUC </w:t>
            </w:r>
            <w:r w:rsidR="00C645EF">
              <w:rPr>
                <w:rFonts w:ascii="Symbol" w:hAnsi="Symbol" w:cs="Symbol"/>
                <w:szCs w:val="24"/>
              </w:rPr>
              <w:t></w:t>
            </w:r>
            <w:r w:rsidRPr="00D3102B">
              <w:rPr>
                <w:rFonts w:ascii="Arial" w:hAnsi="Arial" w:cs="Arial"/>
                <w:bCs/>
              </w:rPr>
              <w:t xml:space="preserve"> 21%</w:t>
            </w:r>
            <w:r w:rsidRPr="00D3102B">
              <w:rPr>
                <w:rFonts w:ascii="Arial" w:hAnsi="Arial" w:cs="Arial"/>
                <w:bCs/>
              </w:rPr>
              <w:br w:type="textWrapping" w:clear="all"/>
            </w:r>
            <w:proofErr w:type="spellStart"/>
            <w:r w:rsidRPr="00D3102B">
              <w:rPr>
                <w:rFonts w:ascii="Arial" w:hAnsi="Arial" w:cs="Arial"/>
                <w:bCs/>
              </w:rPr>
              <w:lastRenderedPageBreak/>
              <w:t>Cmax</w:t>
            </w:r>
            <w:proofErr w:type="spellEnd"/>
            <w:r w:rsidRPr="00D3102B">
              <w:rPr>
                <w:rFonts w:ascii="Arial" w:hAnsi="Arial" w:cs="Arial"/>
                <w:bCs/>
              </w:rPr>
              <w:t xml:space="preserve"> </w:t>
            </w:r>
            <w:r w:rsidR="00C645EF">
              <w:rPr>
                <w:rFonts w:ascii="Symbol" w:hAnsi="Symbol" w:cs="Symbol"/>
                <w:szCs w:val="24"/>
              </w:rPr>
              <w:t></w:t>
            </w:r>
            <w:r w:rsidRPr="00D3102B">
              <w:rPr>
                <w:rFonts w:ascii="Arial" w:hAnsi="Arial" w:cs="Arial"/>
                <w:bCs/>
              </w:rPr>
              <w:t xml:space="preserve"> 17%</w:t>
            </w:r>
            <w:r w:rsidRPr="00D3102B">
              <w:rPr>
                <w:rFonts w:ascii="Arial" w:hAnsi="Arial" w:cs="Arial"/>
                <w:bCs/>
              </w:rPr>
              <w:br w:type="textWrapping" w:clear="all"/>
            </w:r>
            <w:proofErr w:type="spellStart"/>
            <w:r w:rsidRPr="00D3102B">
              <w:rPr>
                <w:rFonts w:ascii="Arial" w:hAnsi="Arial" w:cs="Arial"/>
                <w:bCs/>
              </w:rPr>
              <w:t>Cτ</w:t>
            </w:r>
            <w:proofErr w:type="spellEnd"/>
            <w:r w:rsidRPr="00D3102B">
              <w:rPr>
                <w:rFonts w:ascii="Arial" w:hAnsi="Arial" w:cs="Arial"/>
                <w:bCs/>
              </w:rPr>
              <w:t xml:space="preserve"> </w:t>
            </w:r>
            <w:r w:rsidR="00C645EF">
              <w:rPr>
                <w:rFonts w:ascii="Symbol" w:hAnsi="Symbol" w:cs="Symbol"/>
                <w:szCs w:val="24"/>
              </w:rPr>
              <w:t></w:t>
            </w:r>
            <w:r w:rsidRPr="00D3102B">
              <w:rPr>
                <w:rFonts w:ascii="Arial" w:hAnsi="Arial" w:cs="Arial"/>
                <w:bCs/>
              </w:rPr>
              <w:t xml:space="preserve"> 8%</w:t>
            </w:r>
          </w:p>
        </w:tc>
        <w:tc>
          <w:tcPr>
            <w:tcW w:w="3863" w:type="dxa"/>
            <w:tcBorders>
              <w:top w:val="single" w:sz="4" w:space="0" w:color="auto"/>
              <w:left w:val="single" w:sz="4" w:space="0" w:color="auto"/>
              <w:bottom w:val="single" w:sz="4" w:space="0" w:color="auto"/>
              <w:right w:val="single" w:sz="4" w:space="0" w:color="auto"/>
            </w:tcBorders>
          </w:tcPr>
          <w:p w14:paraId="4B43E426" w14:textId="1DF3CD4C" w:rsidR="00F40A23" w:rsidRPr="00776C75" w:rsidRDefault="00971DB6" w:rsidP="00A00329">
            <w:pPr>
              <w:rPr>
                <w:rFonts w:ascii="Arial" w:hAnsi="Arial" w:cs="Arial"/>
                <w:lang w:val="en-GB"/>
              </w:rPr>
            </w:pPr>
            <w:r>
              <w:rPr>
                <w:rFonts w:ascii="Arial" w:hAnsi="Arial" w:cs="Arial"/>
                <w:lang w:val="en-GB"/>
              </w:rPr>
              <w:lastRenderedPageBreak/>
              <w:t>APRETUDE</w:t>
            </w:r>
            <w:r w:rsidRPr="00776C75">
              <w:rPr>
                <w:rFonts w:ascii="Arial" w:hAnsi="Arial" w:cs="Arial"/>
                <w:lang w:val="en-GB"/>
              </w:rPr>
              <w:t xml:space="preserve"> </w:t>
            </w:r>
            <w:r w:rsidR="00F40A23" w:rsidRPr="00776C75">
              <w:rPr>
                <w:rFonts w:ascii="Arial" w:hAnsi="Arial" w:cs="Arial"/>
                <w:lang w:val="en-GB"/>
              </w:rPr>
              <w:t>tablets:</w:t>
            </w:r>
          </w:p>
          <w:p w14:paraId="06946737" w14:textId="77777777" w:rsidR="00F40A23" w:rsidRPr="00776C75" w:rsidRDefault="00F40A23" w:rsidP="00A00329">
            <w:pPr>
              <w:rPr>
                <w:rFonts w:ascii="Arial" w:hAnsi="Arial" w:cs="Arial"/>
                <w:lang w:val="en-GB"/>
              </w:rPr>
            </w:pPr>
            <w:r w:rsidRPr="00776C75">
              <w:rPr>
                <w:rFonts w:ascii="Arial" w:hAnsi="Arial" w:cs="Arial"/>
                <w:lang w:val="en-GB"/>
              </w:rPr>
              <w:lastRenderedPageBreak/>
              <w:t>Rifabutin did not significantly change cabotegravir plasma concentration. No dose adjustment is required.</w:t>
            </w:r>
          </w:p>
          <w:p w14:paraId="0648618E" w14:textId="7BFC8DCA" w:rsidR="00F40A23" w:rsidRPr="00776C75" w:rsidRDefault="00971DB6" w:rsidP="00A00329">
            <w:pPr>
              <w:rPr>
                <w:rFonts w:ascii="Arial" w:hAnsi="Arial" w:cs="Arial"/>
                <w:lang w:val="en-GB"/>
              </w:rPr>
            </w:pPr>
            <w:r>
              <w:rPr>
                <w:rFonts w:ascii="Arial" w:hAnsi="Arial" w:cs="Arial"/>
                <w:lang w:val="en-GB"/>
              </w:rPr>
              <w:t xml:space="preserve">APRETUDE </w:t>
            </w:r>
            <w:r w:rsidR="00F40A23" w:rsidRPr="00776C75">
              <w:rPr>
                <w:rFonts w:ascii="Arial" w:hAnsi="Arial" w:cs="Arial"/>
                <w:lang w:val="en-GB"/>
              </w:rPr>
              <w:t>injection:</w:t>
            </w:r>
          </w:p>
          <w:p w14:paraId="21D33D62" w14:textId="6709EBD3" w:rsidR="00F40A23" w:rsidRPr="00776C75" w:rsidRDefault="00F40A23" w:rsidP="00A00329">
            <w:pPr>
              <w:rPr>
                <w:rFonts w:ascii="Arial" w:hAnsi="Arial" w:cs="Arial"/>
                <w:lang w:val="en-GB"/>
              </w:rPr>
            </w:pPr>
            <w:r w:rsidRPr="00776C75">
              <w:rPr>
                <w:rFonts w:ascii="Arial" w:hAnsi="Arial" w:cs="Arial"/>
                <w:lang w:val="en-GB"/>
              </w:rPr>
              <w:t xml:space="preserve">When rifabutin is started before or concomitantly with the first </w:t>
            </w:r>
            <w:r w:rsidR="00971DB6">
              <w:rPr>
                <w:rFonts w:ascii="Arial" w:hAnsi="Arial" w:cs="Arial"/>
                <w:lang w:val="en-GB"/>
              </w:rPr>
              <w:t>APRETUDE</w:t>
            </w:r>
            <w:r w:rsidR="00971DB6" w:rsidRPr="00776C75">
              <w:rPr>
                <w:rFonts w:ascii="Arial" w:hAnsi="Arial" w:cs="Arial"/>
                <w:lang w:val="en-GB"/>
              </w:rPr>
              <w:t xml:space="preserve"> </w:t>
            </w:r>
            <w:r w:rsidRPr="00776C75">
              <w:rPr>
                <w:rFonts w:ascii="Arial" w:hAnsi="Arial" w:cs="Arial"/>
                <w:lang w:val="en-GB"/>
              </w:rPr>
              <w:t xml:space="preserve">initiation injection the recommended </w:t>
            </w:r>
            <w:r w:rsidR="00971DB6">
              <w:rPr>
                <w:rFonts w:ascii="Arial" w:hAnsi="Arial" w:cs="Arial"/>
                <w:lang w:val="en-GB"/>
              </w:rPr>
              <w:t>APRETUDE</w:t>
            </w:r>
            <w:r w:rsidR="00971DB6" w:rsidRPr="00776C75">
              <w:rPr>
                <w:rFonts w:ascii="Arial" w:hAnsi="Arial" w:cs="Arial"/>
                <w:lang w:val="en-GB"/>
              </w:rPr>
              <w:t xml:space="preserve"> </w:t>
            </w:r>
            <w:r w:rsidRPr="00776C75">
              <w:rPr>
                <w:rFonts w:ascii="Arial" w:hAnsi="Arial" w:cs="Arial"/>
                <w:lang w:val="en-GB"/>
              </w:rPr>
              <w:t xml:space="preserve">dosing schedule is one 3 mL (600 mg) injection followed 2 weeks later by a second 3 mL (600 mg) initiation injection and monthly, thereafter, while on rifabutin.  </w:t>
            </w:r>
          </w:p>
          <w:p w14:paraId="3FE6A64D" w14:textId="77777777" w:rsidR="00F40A23" w:rsidRPr="00776C75" w:rsidRDefault="00F40A23" w:rsidP="00A00329">
            <w:pPr>
              <w:rPr>
                <w:rFonts w:ascii="Arial" w:hAnsi="Arial" w:cs="Arial"/>
                <w:lang w:val="en-GB"/>
              </w:rPr>
            </w:pPr>
            <w:r w:rsidRPr="00776C75">
              <w:rPr>
                <w:rFonts w:ascii="Arial" w:hAnsi="Arial" w:cs="Arial"/>
                <w:lang w:val="en-GB"/>
              </w:rPr>
              <w:t>When rifabutin is started at the time of the second initiation injection or later, the recommended dosing schedule is 3 mL (600 mg), monthly, while on rifabutin.</w:t>
            </w:r>
          </w:p>
          <w:p w14:paraId="0E86BFAD" w14:textId="02A8F34B" w:rsidR="00F40A23" w:rsidRPr="00776C75" w:rsidRDefault="00F40A23" w:rsidP="00A00329">
            <w:pPr>
              <w:rPr>
                <w:rFonts w:ascii="Arial" w:hAnsi="Arial" w:cs="Arial"/>
                <w:lang w:val="en-GB"/>
              </w:rPr>
            </w:pPr>
            <w:r w:rsidRPr="00776C75">
              <w:rPr>
                <w:rFonts w:ascii="Arial" w:hAnsi="Arial" w:cs="Arial"/>
                <w:lang w:val="en-GB"/>
              </w:rPr>
              <w:t xml:space="preserve">After stopping rifabutin, the recommended </w:t>
            </w:r>
            <w:r w:rsidR="00971DB6">
              <w:rPr>
                <w:rFonts w:ascii="Arial" w:hAnsi="Arial" w:cs="Arial"/>
                <w:lang w:val="en-GB"/>
              </w:rPr>
              <w:t>APRETUDE</w:t>
            </w:r>
            <w:r w:rsidR="00971DB6" w:rsidRPr="00776C75">
              <w:rPr>
                <w:rFonts w:ascii="Arial" w:hAnsi="Arial" w:cs="Arial"/>
                <w:lang w:val="en-GB"/>
              </w:rPr>
              <w:t xml:space="preserve"> </w:t>
            </w:r>
            <w:r w:rsidRPr="00776C75">
              <w:rPr>
                <w:rFonts w:ascii="Arial" w:hAnsi="Arial" w:cs="Arial"/>
                <w:lang w:val="en-GB"/>
              </w:rPr>
              <w:t>dosing schedule is 3 mL (600 mg) every 2 months.</w:t>
            </w:r>
          </w:p>
        </w:tc>
      </w:tr>
      <w:tr w:rsidR="00F40A23" w:rsidRPr="00D3102B" w14:paraId="122FEA3F" w14:textId="77777777" w:rsidTr="00F40A23">
        <w:tc>
          <w:tcPr>
            <w:tcW w:w="2235" w:type="dxa"/>
            <w:tcBorders>
              <w:top w:val="single" w:sz="4" w:space="0" w:color="auto"/>
              <w:left w:val="single" w:sz="4" w:space="0" w:color="auto"/>
              <w:bottom w:val="single" w:sz="4" w:space="0" w:color="auto"/>
              <w:right w:val="single" w:sz="4" w:space="0" w:color="auto"/>
            </w:tcBorders>
          </w:tcPr>
          <w:p w14:paraId="19EF3EF6" w14:textId="77777777" w:rsidR="00F40A23" w:rsidRPr="001330B1" w:rsidRDefault="00F40A23" w:rsidP="00F40A23">
            <w:pPr>
              <w:rPr>
                <w:rFonts w:ascii="Arial" w:hAnsi="Arial" w:cs="Arial"/>
                <w:lang w:val="en-GB"/>
              </w:rPr>
            </w:pPr>
            <w:r w:rsidRPr="001330B1">
              <w:rPr>
                <w:rFonts w:ascii="Arial" w:hAnsi="Arial" w:cs="Arial"/>
                <w:lang w:val="en-GB"/>
              </w:rPr>
              <w:lastRenderedPageBreak/>
              <w:t>Anticonvulsants: Carbamazepine</w:t>
            </w:r>
          </w:p>
          <w:p w14:paraId="0A4F2A2E" w14:textId="77777777" w:rsidR="00F40A23" w:rsidRPr="001330B1" w:rsidRDefault="00F40A23" w:rsidP="00F40A23">
            <w:pPr>
              <w:rPr>
                <w:rFonts w:ascii="Arial" w:hAnsi="Arial" w:cs="Arial"/>
                <w:lang w:val="en-GB"/>
              </w:rPr>
            </w:pPr>
            <w:r w:rsidRPr="001330B1">
              <w:rPr>
                <w:rFonts w:ascii="Arial" w:hAnsi="Arial" w:cs="Arial"/>
                <w:lang w:val="en-GB"/>
              </w:rPr>
              <w:t>Oxcarbazepine Phenytoin</w:t>
            </w:r>
          </w:p>
          <w:p w14:paraId="1A11CCC7" w14:textId="77777777" w:rsidR="00F40A23" w:rsidRPr="00D3102B" w:rsidRDefault="00F40A23" w:rsidP="00F40A23">
            <w:pPr>
              <w:rPr>
                <w:rFonts w:ascii="Arial" w:hAnsi="Arial" w:cs="Arial"/>
                <w:bCs/>
              </w:rPr>
            </w:pPr>
            <w:r w:rsidRPr="001330B1">
              <w:rPr>
                <w:rFonts w:ascii="Arial" w:hAnsi="Arial" w:cs="Arial"/>
                <w:lang w:val="en-GB"/>
              </w:rPr>
              <w:t>Phenobarbital</w:t>
            </w:r>
          </w:p>
        </w:tc>
        <w:tc>
          <w:tcPr>
            <w:tcW w:w="2764" w:type="dxa"/>
            <w:tcBorders>
              <w:top w:val="single" w:sz="4" w:space="0" w:color="auto"/>
              <w:left w:val="single" w:sz="4" w:space="0" w:color="auto"/>
              <w:bottom w:val="single" w:sz="4" w:space="0" w:color="auto"/>
              <w:right w:val="single" w:sz="4" w:space="0" w:color="auto"/>
            </w:tcBorders>
          </w:tcPr>
          <w:p w14:paraId="37E9AC42" w14:textId="7988A890" w:rsidR="00F40A23" w:rsidRPr="001330B1" w:rsidRDefault="00F40A23" w:rsidP="00A00329">
            <w:pPr>
              <w:rPr>
                <w:rFonts w:ascii="Arial" w:hAnsi="Arial" w:cs="Arial"/>
                <w:lang w:val="en-GB"/>
              </w:rPr>
            </w:pPr>
            <w:r w:rsidRPr="001330B1">
              <w:rPr>
                <w:rFonts w:ascii="Arial" w:hAnsi="Arial" w:cs="Arial"/>
                <w:lang w:val="en-GB"/>
              </w:rPr>
              <w:t xml:space="preserve">Cabotegravir </w:t>
            </w:r>
            <w:r w:rsidR="00776D1B">
              <w:rPr>
                <w:rFonts w:ascii="Symbol" w:eastAsia="Symbol" w:hAnsi="Symbol" w:cs="Symbol"/>
              </w:rPr>
              <w:t></w:t>
            </w:r>
          </w:p>
        </w:tc>
        <w:tc>
          <w:tcPr>
            <w:tcW w:w="3863" w:type="dxa"/>
            <w:tcBorders>
              <w:top w:val="single" w:sz="4" w:space="0" w:color="auto"/>
              <w:left w:val="single" w:sz="4" w:space="0" w:color="auto"/>
              <w:bottom w:val="single" w:sz="4" w:space="0" w:color="auto"/>
              <w:right w:val="single" w:sz="4" w:space="0" w:color="auto"/>
            </w:tcBorders>
          </w:tcPr>
          <w:p w14:paraId="1A824223" w14:textId="77777777" w:rsidR="00F40A23" w:rsidRPr="001330B1" w:rsidRDefault="00F40A23" w:rsidP="00A00329">
            <w:pPr>
              <w:rPr>
                <w:lang w:val="en-GB"/>
              </w:rPr>
            </w:pPr>
            <w:r w:rsidRPr="001330B1">
              <w:rPr>
                <w:rFonts w:ascii="Arial" w:hAnsi="Arial" w:cs="Arial"/>
                <w:lang w:val="en-GB"/>
              </w:rPr>
              <w:t>Metabolic inducers may significantly decrease cabotegravir plasma concentrations. Concomitant use is contraindicated.</w:t>
            </w:r>
          </w:p>
        </w:tc>
      </w:tr>
      <w:tr w:rsidR="00F40A23" w:rsidRPr="00D3102B" w14:paraId="6D52FF3C" w14:textId="77777777" w:rsidTr="00F40A23">
        <w:tc>
          <w:tcPr>
            <w:tcW w:w="2235" w:type="dxa"/>
            <w:tcBorders>
              <w:top w:val="single" w:sz="4" w:space="0" w:color="auto"/>
              <w:left w:val="single" w:sz="4" w:space="0" w:color="auto"/>
              <w:bottom w:val="single" w:sz="4" w:space="0" w:color="auto"/>
              <w:right w:val="single" w:sz="4" w:space="0" w:color="auto"/>
            </w:tcBorders>
          </w:tcPr>
          <w:p w14:paraId="533A28D6" w14:textId="77777777" w:rsidR="00F40A23" w:rsidRPr="00D3102B" w:rsidRDefault="00F40A23" w:rsidP="00A00329">
            <w:pPr>
              <w:rPr>
                <w:rFonts w:ascii="Arial" w:hAnsi="Arial" w:cs="Arial"/>
                <w:bCs/>
              </w:rPr>
            </w:pPr>
            <w:r w:rsidRPr="00D3102B">
              <w:rPr>
                <w:rFonts w:ascii="Arial" w:hAnsi="Arial" w:cs="Arial"/>
                <w:bCs/>
              </w:rPr>
              <w:t xml:space="preserve">Antacids (e.g., magnesium, </w:t>
            </w:r>
            <w:proofErr w:type="gramStart"/>
            <w:r w:rsidRPr="00D3102B">
              <w:rPr>
                <w:rFonts w:ascii="Arial" w:hAnsi="Arial" w:cs="Arial"/>
                <w:bCs/>
              </w:rPr>
              <w:t>calcium</w:t>
            </w:r>
            <w:proofErr w:type="gramEnd"/>
            <w:r w:rsidRPr="00D3102B">
              <w:rPr>
                <w:rFonts w:ascii="Arial" w:hAnsi="Arial" w:cs="Arial"/>
                <w:bCs/>
              </w:rPr>
              <w:t xml:space="preserve"> or aluminium) </w:t>
            </w:r>
          </w:p>
        </w:tc>
        <w:tc>
          <w:tcPr>
            <w:tcW w:w="2764" w:type="dxa"/>
            <w:tcBorders>
              <w:top w:val="single" w:sz="4" w:space="0" w:color="auto"/>
              <w:left w:val="single" w:sz="4" w:space="0" w:color="auto"/>
              <w:bottom w:val="single" w:sz="4" w:space="0" w:color="auto"/>
              <w:right w:val="single" w:sz="4" w:space="0" w:color="auto"/>
            </w:tcBorders>
          </w:tcPr>
          <w:p w14:paraId="793D6B30" w14:textId="181F7F87" w:rsidR="00F40A23" w:rsidRPr="00D3102B" w:rsidRDefault="00F40A23" w:rsidP="00A00329">
            <w:pPr>
              <w:rPr>
                <w:rFonts w:ascii="Arial" w:hAnsi="Arial" w:cs="Arial"/>
                <w:bCs/>
              </w:rPr>
            </w:pPr>
            <w:r w:rsidRPr="00D3102B">
              <w:rPr>
                <w:rFonts w:ascii="Arial" w:hAnsi="Arial" w:cs="Arial"/>
                <w:bCs/>
              </w:rPr>
              <w:t xml:space="preserve">Cabotegravir </w:t>
            </w:r>
            <w:r w:rsidR="00776D1B">
              <w:rPr>
                <w:rFonts w:ascii="Symbol" w:eastAsia="Symbol" w:hAnsi="Symbol" w:cs="Symbol"/>
              </w:rPr>
              <w:t></w:t>
            </w:r>
          </w:p>
        </w:tc>
        <w:tc>
          <w:tcPr>
            <w:tcW w:w="3863" w:type="dxa"/>
            <w:tcBorders>
              <w:top w:val="single" w:sz="4" w:space="0" w:color="auto"/>
              <w:left w:val="single" w:sz="4" w:space="0" w:color="auto"/>
              <w:bottom w:val="single" w:sz="4" w:space="0" w:color="auto"/>
              <w:right w:val="single" w:sz="4" w:space="0" w:color="auto"/>
            </w:tcBorders>
          </w:tcPr>
          <w:p w14:paraId="4445FB49" w14:textId="268A3E78" w:rsidR="00F40A23" w:rsidRPr="00776D1B" w:rsidRDefault="00971DB6" w:rsidP="00A00329">
            <w:pPr>
              <w:rPr>
                <w:rFonts w:ascii="Arial" w:hAnsi="Arial" w:cs="Arial"/>
                <w:i/>
                <w:iCs/>
                <w:lang w:val="en-GB"/>
              </w:rPr>
            </w:pPr>
            <w:r w:rsidRPr="00971DB6">
              <w:rPr>
                <w:rFonts w:ascii="Arial" w:hAnsi="Arial" w:cs="Arial"/>
                <w:lang w:val="en-GB"/>
              </w:rPr>
              <w:t xml:space="preserve">APRETUDE </w:t>
            </w:r>
            <w:r w:rsidR="00F40A23" w:rsidRPr="00971DB6">
              <w:rPr>
                <w:rFonts w:ascii="Arial" w:hAnsi="Arial" w:cs="Arial"/>
                <w:lang w:val="en-GB"/>
              </w:rPr>
              <w:t>tablets:</w:t>
            </w:r>
            <w:r w:rsidR="00F40A23" w:rsidRPr="00776D1B">
              <w:rPr>
                <w:rFonts w:ascii="Arial" w:hAnsi="Arial" w:cs="Arial"/>
                <w:i/>
                <w:iCs/>
                <w:lang w:val="en-GB"/>
              </w:rPr>
              <w:t xml:space="preserve"> </w:t>
            </w:r>
          </w:p>
          <w:p w14:paraId="4BC5FA42" w14:textId="77777777" w:rsidR="00F40A23" w:rsidRPr="00776D1B" w:rsidRDefault="00F40A23" w:rsidP="00A00329">
            <w:pPr>
              <w:rPr>
                <w:rFonts w:ascii="Arial" w:hAnsi="Arial" w:cs="Arial"/>
                <w:lang w:val="en-GB"/>
              </w:rPr>
            </w:pPr>
            <w:r w:rsidRPr="00776D1B">
              <w:rPr>
                <w:rFonts w:ascii="Arial" w:hAnsi="Arial" w:cs="Arial"/>
                <w:lang w:val="en-GB"/>
              </w:rPr>
              <w:t>Co-administration of antacid supplements has the potential to decrease oral cabotegravir absorption and has not been studied.</w:t>
            </w:r>
          </w:p>
          <w:p w14:paraId="051E8E8C" w14:textId="77777777" w:rsidR="00F40A23" w:rsidRPr="00776D1B" w:rsidRDefault="00F40A23" w:rsidP="00A00329">
            <w:pPr>
              <w:rPr>
                <w:rFonts w:ascii="Arial" w:hAnsi="Arial" w:cs="Arial"/>
                <w:lang w:val="en-GB"/>
              </w:rPr>
            </w:pPr>
            <w:r w:rsidRPr="00776D1B">
              <w:rPr>
                <w:rFonts w:ascii="Arial" w:hAnsi="Arial" w:cs="Arial"/>
                <w:lang w:val="en-GB"/>
              </w:rPr>
              <w:t xml:space="preserve">Antacid products containing polyvalent cations are recommended to be administered at least 2 hours </w:t>
            </w:r>
            <w:r w:rsidRPr="00776D1B">
              <w:rPr>
                <w:rFonts w:ascii="Arial" w:hAnsi="Arial" w:cs="Arial"/>
                <w:lang w:val="en-GB"/>
              </w:rPr>
              <w:lastRenderedPageBreak/>
              <w:t>before or 4 hours after oral cabotegravir.</w:t>
            </w:r>
          </w:p>
          <w:p w14:paraId="004F38CD" w14:textId="208B3A3E" w:rsidR="00F40A23" w:rsidRPr="00776D1B" w:rsidRDefault="00971DB6" w:rsidP="00A00329">
            <w:pPr>
              <w:rPr>
                <w:rFonts w:ascii="Arial" w:hAnsi="Arial" w:cs="Arial"/>
                <w:i/>
                <w:iCs/>
                <w:lang w:val="en-GB"/>
              </w:rPr>
            </w:pPr>
            <w:r w:rsidRPr="00971DB6">
              <w:rPr>
                <w:rFonts w:ascii="Arial" w:hAnsi="Arial" w:cs="Arial"/>
                <w:lang w:val="en-GB"/>
              </w:rPr>
              <w:t xml:space="preserve">APRETUDE </w:t>
            </w:r>
            <w:r w:rsidR="00F40A23" w:rsidRPr="00971DB6">
              <w:rPr>
                <w:rFonts w:ascii="Arial" w:hAnsi="Arial" w:cs="Arial"/>
                <w:lang w:val="en-GB"/>
              </w:rPr>
              <w:t>injection:</w:t>
            </w:r>
          </w:p>
          <w:p w14:paraId="7A42BCD4" w14:textId="77777777" w:rsidR="00F40A23" w:rsidRPr="00D3102B" w:rsidRDefault="00F40A23" w:rsidP="00A00329">
            <w:pPr>
              <w:rPr>
                <w:rStyle w:val="CSIchar"/>
                <w:rFonts w:ascii="Arial" w:hAnsi="Arial" w:cs="Arial"/>
                <w:bCs/>
              </w:rPr>
            </w:pPr>
            <w:r w:rsidRPr="00776D1B">
              <w:rPr>
                <w:rFonts w:ascii="Arial" w:hAnsi="Arial" w:cs="Arial"/>
                <w:lang w:val="en-GB"/>
              </w:rPr>
              <w:t>Interaction is not relevant following parenteral administration.</w:t>
            </w:r>
          </w:p>
        </w:tc>
      </w:tr>
      <w:tr w:rsidR="00F40A23" w:rsidRPr="00D3102B" w14:paraId="2F3C1EE2" w14:textId="77777777" w:rsidTr="00F40A23">
        <w:tc>
          <w:tcPr>
            <w:tcW w:w="2235" w:type="dxa"/>
            <w:tcBorders>
              <w:top w:val="single" w:sz="4" w:space="0" w:color="auto"/>
              <w:left w:val="single" w:sz="4" w:space="0" w:color="auto"/>
              <w:bottom w:val="single" w:sz="4" w:space="0" w:color="auto"/>
              <w:right w:val="single" w:sz="4" w:space="0" w:color="auto"/>
            </w:tcBorders>
          </w:tcPr>
          <w:p w14:paraId="24169084" w14:textId="77777777" w:rsidR="00F40A23" w:rsidRPr="00D3102B" w:rsidRDefault="00F40A23" w:rsidP="00F40A23">
            <w:pPr>
              <w:rPr>
                <w:rFonts w:ascii="Arial" w:hAnsi="Arial" w:cs="Arial"/>
                <w:bCs/>
              </w:rPr>
            </w:pPr>
            <w:r w:rsidRPr="00D3102B">
              <w:rPr>
                <w:rFonts w:ascii="Arial" w:hAnsi="Arial" w:cs="Arial"/>
                <w:bCs/>
              </w:rPr>
              <w:lastRenderedPageBreak/>
              <w:t>Oral contraceptives</w:t>
            </w:r>
          </w:p>
          <w:p w14:paraId="10B2EB34" w14:textId="77777777" w:rsidR="00F40A23" w:rsidRPr="00D3102B" w:rsidRDefault="00F40A23" w:rsidP="00A00329">
            <w:pPr>
              <w:rPr>
                <w:rFonts w:ascii="Arial" w:hAnsi="Arial" w:cs="Arial"/>
                <w:bCs/>
              </w:rPr>
            </w:pPr>
            <w:r w:rsidRPr="00D3102B">
              <w:rPr>
                <w:rFonts w:ascii="Arial" w:hAnsi="Arial" w:cs="Arial"/>
                <w:bCs/>
              </w:rPr>
              <w:t xml:space="preserve">(Ethinyl </w:t>
            </w:r>
            <w:proofErr w:type="spellStart"/>
            <w:r w:rsidRPr="00D3102B">
              <w:rPr>
                <w:rFonts w:ascii="Arial" w:hAnsi="Arial" w:cs="Arial"/>
                <w:bCs/>
              </w:rPr>
              <w:t>estradiol</w:t>
            </w:r>
            <w:proofErr w:type="spellEnd"/>
            <w:r w:rsidRPr="00D3102B">
              <w:rPr>
                <w:rFonts w:ascii="Arial" w:hAnsi="Arial" w:cs="Arial"/>
                <w:bCs/>
              </w:rPr>
              <w:t xml:space="preserve"> (EE) and levonorgestrel</w:t>
            </w:r>
          </w:p>
        </w:tc>
        <w:tc>
          <w:tcPr>
            <w:tcW w:w="2764" w:type="dxa"/>
            <w:tcBorders>
              <w:top w:val="single" w:sz="4" w:space="0" w:color="auto"/>
              <w:left w:val="single" w:sz="4" w:space="0" w:color="auto"/>
              <w:bottom w:val="single" w:sz="4" w:space="0" w:color="auto"/>
              <w:right w:val="single" w:sz="4" w:space="0" w:color="auto"/>
            </w:tcBorders>
          </w:tcPr>
          <w:p w14:paraId="3AF5D5CD" w14:textId="7273FE1A" w:rsidR="00F40A23" w:rsidRPr="00D3102B" w:rsidRDefault="00F40A23" w:rsidP="00F40A23">
            <w:pPr>
              <w:rPr>
                <w:rFonts w:ascii="Arial" w:hAnsi="Arial" w:cs="Arial"/>
                <w:bCs/>
              </w:rPr>
            </w:pPr>
            <w:r w:rsidRPr="00D3102B">
              <w:rPr>
                <w:rFonts w:ascii="Arial" w:hAnsi="Arial" w:cs="Arial"/>
                <w:bCs/>
              </w:rPr>
              <w:t xml:space="preserve">EE </w:t>
            </w:r>
            <w:r w:rsidR="001D67F4">
              <w:rPr>
                <w:rFonts w:ascii="Symbol" w:eastAsia="Symbol" w:hAnsi="Symbol" w:cs="Symbol"/>
              </w:rPr>
              <w:t></w:t>
            </w:r>
          </w:p>
          <w:p w14:paraId="0417DDE3" w14:textId="3DCBED79" w:rsidR="00F40A23" w:rsidRPr="00D3102B" w:rsidRDefault="00F40A23" w:rsidP="00F40A23">
            <w:pPr>
              <w:rPr>
                <w:rFonts w:ascii="Arial" w:hAnsi="Arial" w:cs="Arial"/>
                <w:bCs/>
              </w:rPr>
            </w:pPr>
            <w:r w:rsidRPr="00D3102B">
              <w:rPr>
                <w:rFonts w:ascii="Arial" w:hAnsi="Arial" w:cs="Arial"/>
                <w:bCs/>
              </w:rPr>
              <w:t xml:space="preserve">AUC </w:t>
            </w:r>
            <w:r w:rsidR="00771969">
              <w:rPr>
                <w:rFonts w:ascii="Symbol" w:eastAsia="Symbol" w:hAnsi="Symbol" w:cs="Symbol"/>
              </w:rPr>
              <w:t></w:t>
            </w:r>
            <w:r w:rsidRPr="00D3102B">
              <w:rPr>
                <w:rFonts w:ascii="Arial" w:hAnsi="Arial" w:cs="Arial"/>
                <w:bCs/>
              </w:rPr>
              <w:t xml:space="preserve"> 2%</w:t>
            </w:r>
            <w:r w:rsidRPr="00D3102B">
              <w:rPr>
                <w:rFonts w:ascii="Arial" w:hAnsi="Arial" w:cs="Arial"/>
                <w:bCs/>
              </w:rPr>
              <w:br/>
            </w:r>
            <w:proofErr w:type="spellStart"/>
            <w:proofErr w:type="gramStart"/>
            <w:r w:rsidRPr="00D3102B">
              <w:rPr>
                <w:rFonts w:ascii="Arial" w:hAnsi="Arial" w:cs="Arial"/>
                <w:bCs/>
              </w:rPr>
              <w:t>Cmax</w:t>
            </w:r>
            <w:proofErr w:type="spellEnd"/>
            <w:r w:rsidRPr="00D3102B">
              <w:rPr>
                <w:rFonts w:ascii="Arial" w:hAnsi="Arial" w:cs="Arial"/>
                <w:bCs/>
              </w:rPr>
              <w:t xml:space="preserve"> </w:t>
            </w:r>
            <w:r w:rsidR="00CD7765">
              <w:t xml:space="preserve"> </w:t>
            </w:r>
            <w:r w:rsidR="00CD7765">
              <w:rPr>
                <w:rFonts w:ascii="Symbol" w:eastAsia="Symbol" w:hAnsi="Symbol" w:cs="Symbol"/>
              </w:rPr>
              <w:t></w:t>
            </w:r>
            <w:proofErr w:type="gramEnd"/>
            <w:r w:rsidR="00CD7765">
              <w:t xml:space="preserve"> </w:t>
            </w:r>
            <w:r w:rsidRPr="00D3102B">
              <w:rPr>
                <w:rFonts w:ascii="Arial" w:hAnsi="Arial" w:cs="Arial"/>
                <w:bCs/>
              </w:rPr>
              <w:t xml:space="preserve"> 8%</w:t>
            </w:r>
          </w:p>
          <w:p w14:paraId="214A59F5" w14:textId="2A778ECB" w:rsidR="00F40A23" w:rsidRPr="00D3102B" w:rsidRDefault="00F40A23" w:rsidP="00F40A23">
            <w:pPr>
              <w:rPr>
                <w:rFonts w:ascii="Arial" w:hAnsi="Arial" w:cs="Arial"/>
                <w:bCs/>
              </w:rPr>
            </w:pPr>
            <w:proofErr w:type="spellStart"/>
            <w:r w:rsidRPr="00D3102B">
              <w:rPr>
                <w:rFonts w:ascii="Arial" w:hAnsi="Arial" w:cs="Arial"/>
                <w:bCs/>
              </w:rPr>
              <w:t>Cτ</w:t>
            </w:r>
            <w:proofErr w:type="spellEnd"/>
            <w:r w:rsidRPr="00D3102B">
              <w:rPr>
                <w:rFonts w:ascii="Arial" w:hAnsi="Arial" w:cs="Arial"/>
                <w:bCs/>
              </w:rPr>
              <w:t xml:space="preserve"> </w:t>
            </w:r>
            <w:r w:rsidR="003630A5">
              <w:rPr>
                <w:rFonts w:ascii="Symbol" w:eastAsia="Symbol" w:hAnsi="Symbol" w:cs="Symbol"/>
              </w:rPr>
              <w:t></w:t>
            </w:r>
            <w:r w:rsidRPr="00D3102B">
              <w:rPr>
                <w:rFonts w:ascii="Arial" w:hAnsi="Arial" w:cs="Arial"/>
                <w:bCs/>
              </w:rPr>
              <w:t xml:space="preserve"> 0%</w:t>
            </w:r>
          </w:p>
          <w:p w14:paraId="4516877A" w14:textId="5BBDC661" w:rsidR="00F40A23" w:rsidRPr="00D3102B" w:rsidRDefault="00F40A23" w:rsidP="00A00329">
            <w:pPr>
              <w:rPr>
                <w:rFonts w:ascii="Arial" w:hAnsi="Arial" w:cs="Arial"/>
                <w:bCs/>
              </w:rPr>
            </w:pPr>
            <w:r w:rsidRPr="00D3102B">
              <w:rPr>
                <w:rFonts w:ascii="Arial" w:hAnsi="Arial" w:cs="Arial"/>
                <w:bCs/>
              </w:rPr>
              <w:t xml:space="preserve">LNG </w:t>
            </w:r>
            <w:r w:rsidR="003630A5">
              <w:rPr>
                <w:rFonts w:ascii="Symbol" w:eastAsia="Symbol" w:hAnsi="Symbol" w:cs="Symbol"/>
              </w:rPr>
              <w:t></w:t>
            </w:r>
          </w:p>
        </w:tc>
        <w:tc>
          <w:tcPr>
            <w:tcW w:w="3863" w:type="dxa"/>
            <w:tcBorders>
              <w:top w:val="single" w:sz="4" w:space="0" w:color="auto"/>
              <w:left w:val="single" w:sz="4" w:space="0" w:color="auto"/>
              <w:bottom w:val="single" w:sz="4" w:space="0" w:color="auto"/>
              <w:right w:val="single" w:sz="4" w:space="0" w:color="auto"/>
            </w:tcBorders>
          </w:tcPr>
          <w:p w14:paraId="0C5836D4" w14:textId="1846334B" w:rsidR="00F40A23" w:rsidRPr="00776D1B" w:rsidRDefault="00F40A23" w:rsidP="00A00329">
            <w:pPr>
              <w:rPr>
                <w:lang w:val="en-GB"/>
              </w:rPr>
            </w:pPr>
            <w:r w:rsidRPr="00776D1B">
              <w:rPr>
                <w:rFonts w:ascii="Arial" w:hAnsi="Arial" w:cs="Arial"/>
                <w:lang w:val="en-GB"/>
              </w:rPr>
              <w:t xml:space="preserve">Cabotegravir did not significantly change ethinyl </w:t>
            </w:r>
            <w:proofErr w:type="spellStart"/>
            <w:r w:rsidRPr="00776D1B">
              <w:rPr>
                <w:rFonts w:ascii="Arial" w:hAnsi="Arial" w:cs="Arial"/>
                <w:lang w:val="en-GB"/>
              </w:rPr>
              <w:t>estradiol</w:t>
            </w:r>
            <w:proofErr w:type="spellEnd"/>
            <w:r w:rsidRPr="00776D1B">
              <w:rPr>
                <w:rFonts w:ascii="Arial" w:hAnsi="Arial" w:cs="Arial"/>
                <w:lang w:val="en-GB"/>
              </w:rPr>
              <w:t xml:space="preserve"> and levonorgestrel plasma concentrations to a clinically relevant extent. No dose adjustment of oral contraceptives is necessary when co-administered with </w:t>
            </w:r>
            <w:r w:rsidR="0010560B">
              <w:rPr>
                <w:rFonts w:ascii="Arial" w:hAnsi="Arial" w:cs="Arial"/>
                <w:lang w:val="en-GB"/>
              </w:rPr>
              <w:t>APRETUDE</w:t>
            </w:r>
            <w:r w:rsidRPr="00776D1B">
              <w:rPr>
                <w:rFonts w:ascii="Arial" w:hAnsi="Arial" w:cs="Arial"/>
                <w:lang w:val="en-GB"/>
              </w:rPr>
              <w:t>.</w:t>
            </w:r>
          </w:p>
        </w:tc>
      </w:tr>
    </w:tbl>
    <w:p w14:paraId="3A1ED486" w14:textId="77777777" w:rsidR="00BF65BD" w:rsidRPr="00524593" w:rsidRDefault="00BF65BD" w:rsidP="00524593">
      <w:pPr>
        <w:rPr>
          <w:rFonts w:ascii="Arial" w:hAnsi="Arial" w:cs="Arial"/>
          <w:lang w:val="en-GB"/>
        </w:rPr>
      </w:pPr>
    </w:p>
    <w:p w14:paraId="1753F105" w14:textId="45B03EDC"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FERTILITY, PREGNANCY AND LACTATION</w:t>
      </w:r>
      <w:r w:rsidR="003332D9">
        <w:rPr>
          <w:rFonts w:ascii="Arial" w:hAnsi="Arial" w:cs="Arial"/>
          <w:smallCaps w:val="0"/>
        </w:rPr>
        <w:fldChar w:fldCharType="begin"/>
      </w:r>
      <w:r w:rsidR="003332D9">
        <w:rPr>
          <w:rFonts w:ascii="Arial" w:hAnsi="Arial" w:cs="Arial"/>
          <w:smallCaps w:val="0"/>
        </w:rPr>
        <w:instrText xml:space="preserve"> DOCVARIABLE VAULT_ND_59785292-7030-4c57-a63c-9a2786941962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0A51FA74" w14:textId="7E159DFA" w:rsidR="001A3992" w:rsidRPr="00071855" w:rsidRDefault="001A3992" w:rsidP="001A3992">
      <w:pPr>
        <w:pStyle w:val="Heading3"/>
        <w:spacing w:before="0" w:after="120"/>
        <w:rPr>
          <w:rFonts w:ascii="Arial" w:hAnsi="Arial" w:cs="Arial"/>
        </w:rPr>
      </w:pPr>
      <w:r w:rsidRPr="00071855">
        <w:rPr>
          <w:rFonts w:ascii="Arial" w:hAnsi="Arial" w:cs="Arial"/>
        </w:rPr>
        <w:t>Effects on fertility</w:t>
      </w:r>
      <w:r w:rsidR="003332D9">
        <w:rPr>
          <w:rFonts w:ascii="Arial" w:hAnsi="Arial" w:cs="Arial"/>
        </w:rPr>
        <w:fldChar w:fldCharType="begin"/>
      </w:r>
      <w:r w:rsidR="003332D9">
        <w:rPr>
          <w:rFonts w:ascii="Arial" w:hAnsi="Arial" w:cs="Arial"/>
        </w:rPr>
        <w:instrText xml:space="preserve"> DOCVARIABLE vault_nd_34b315fb-9efa-4191-a939-50c2e6e35670 \* MERGEFORMAT </w:instrText>
      </w:r>
      <w:r w:rsidR="003332D9">
        <w:rPr>
          <w:rFonts w:ascii="Arial" w:hAnsi="Arial" w:cs="Arial"/>
        </w:rPr>
        <w:fldChar w:fldCharType="separate"/>
      </w:r>
      <w:r w:rsidR="003332D9">
        <w:rPr>
          <w:rFonts w:ascii="Arial" w:hAnsi="Arial" w:cs="Arial"/>
        </w:rPr>
        <w:t xml:space="preserve"> </w:t>
      </w:r>
      <w:r w:rsidR="003332D9">
        <w:rPr>
          <w:rFonts w:ascii="Arial" w:hAnsi="Arial" w:cs="Arial"/>
        </w:rPr>
        <w:fldChar w:fldCharType="end"/>
      </w:r>
    </w:p>
    <w:p w14:paraId="3665B14D" w14:textId="77777777" w:rsidR="00D334B0" w:rsidRPr="00892D51" w:rsidRDefault="00D334B0" w:rsidP="00D334B0">
      <w:pPr>
        <w:keepNext/>
        <w:keepLines/>
        <w:rPr>
          <w:rFonts w:ascii="Arial" w:hAnsi="Arial" w:cs="Arial"/>
          <w:lang w:val="en"/>
        </w:rPr>
      </w:pPr>
      <w:r w:rsidRPr="00892D51">
        <w:rPr>
          <w:rFonts w:ascii="Arial" w:hAnsi="Arial" w:cs="Arial"/>
          <w:lang w:val="en"/>
        </w:rPr>
        <w:t xml:space="preserve">There are no data on the effects of cabotegravir on human male or female fertility. Animal studies indicate no effects of cabotegravir on male or female fertility. </w:t>
      </w:r>
    </w:p>
    <w:p w14:paraId="321A0441" w14:textId="7EF3D5D9" w:rsidR="006B1602" w:rsidRPr="00D334B0" w:rsidRDefault="006B1602" w:rsidP="00D334B0">
      <w:pPr>
        <w:rPr>
          <w:rFonts w:ascii="Arial" w:hAnsi="Arial" w:cs="Arial"/>
          <w:lang w:val="en"/>
        </w:rPr>
      </w:pPr>
      <w:r w:rsidRPr="00892D51">
        <w:rPr>
          <w:rFonts w:ascii="Arial" w:hAnsi="Arial" w:cs="Arial"/>
          <w:lang w:val="en"/>
        </w:rPr>
        <w:t xml:space="preserve">Cabotegravir when administered orally to male and female rats at 1,000 mg/kg/day (&gt;30 times the exposure in humans at the Maximum Recommended Human Dose [MHRD] of 30 mg </w:t>
      </w:r>
      <w:bookmarkStart w:id="6" w:name="_Hlk2093489"/>
      <w:r w:rsidRPr="00892D51">
        <w:rPr>
          <w:rFonts w:ascii="Arial" w:hAnsi="Arial" w:cs="Arial"/>
          <w:lang w:val="en"/>
        </w:rPr>
        <w:t>oral or 400 mg intramuscular (IM) dose</w:t>
      </w:r>
      <w:bookmarkEnd w:id="6"/>
      <w:r w:rsidRPr="00892D51">
        <w:rPr>
          <w:rFonts w:ascii="Arial" w:hAnsi="Arial" w:cs="Arial"/>
          <w:lang w:val="en"/>
        </w:rPr>
        <w:t>) for up to 26 weeks did not cause adverse effects on male or female reproductive organs or spermatogenesis. No functional effects on male or female mating or fertility were observed in rats given cabotegravir at doses up to 1,000 mg/kg/day.</w:t>
      </w:r>
    </w:p>
    <w:p w14:paraId="0FEEE34B" w14:textId="0F388375" w:rsidR="00071855" w:rsidRPr="00071855" w:rsidRDefault="00071855" w:rsidP="005B2812">
      <w:pPr>
        <w:pStyle w:val="Heading3"/>
        <w:spacing w:before="0" w:after="120"/>
        <w:rPr>
          <w:rFonts w:ascii="Arial" w:hAnsi="Arial" w:cs="Arial"/>
        </w:rPr>
      </w:pPr>
      <w:r w:rsidRPr="00071855">
        <w:rPr>
          <w:rFonts w:ascii="Arial" w:hAnsi="Arial" w:cs="Arial"/>
        </w:rPr>
        <w:t>Use in pregnancy</w:t>
      </w:r>
      <w:r w:rsidR="003332D9">
        <w:rPr>
          <w:rFonts w:ascii="Arial" w:hAnsi="Arial" w:cs="Arial"/>
        </w:rPr>
        <w:fldChar w:fldCharType="begin"/>
      </w:r>
      <w:r w:rsidR="003332D9">
        <w:rPr>
          <w:rFonts w:ascii="Arial" w:hAnsi="Arial" w:cs="Arial"/>
        </w:rPr>
        <w:instrText xml:space="preserve"> DOCVARIABLE vault_nd_a8175f52-b50f-4c10-ac9b-4ce861d6eae8 \* MERGEFORMAT </w:instrText>
      </w:r>
      <w:r w:rsidR="003332D9">
        <w:rPr>
          <w:rFonts w:ascii="Arial" w:hAnsi="Arial" w:cs="Arial"/>
        </w:rPr>
        <w:fldChar w:fldCharType="separate"/>
      </w:r>
      <w:r w:rsidR="003332D9">
        <w:rPr>
          <w:rFonts w:ascii="Arial" w:hAnsi="Arial" w:cs="Arial"/>
        </w:rPr>
        <w:t xml:space="preserve"> </w:t>
      </w:r>
      <w:r w:rsidR="003332D9">
        <w:rPr>
          <w:rFonts w:ascii="Arial" w:hAnsi="Arial" w:cs="Arial"/>
        </w:rPr>
        <w:fldChar w:fldCharType="end"/>
      </w:r>
    </w:p>
    <w:p w14:paraId="5A92653F" w14:textId="3FC4966E" w:rsidR="001A3992" w:rsidRPr="00071855" w:rsidRDefault="00071855" w:rsidP="006E595D">
      <w:pPr>
        <w:pStyle w:val="Heading3"/>
        <w:spacing w:before="0" w:after="120"/>
        <w:ind w:left="0"/>
        <w:rPr>
          <w:rFonts w:ascii="Arial" w:hAnsi="Arial" w:cs="Arial"/>
        </w:rPr>
      </w:pPr>
      <w:r w:rsidRPr="00D334B0">
        <w:rPr>
          <w:rFonts w:ascii="Arial" w:hAnsi="Arial" w:cs="Arial"/>
        </w:rPr>
        <w:t>(</w:t>
      </w:r>
      <w:r w:rsidR="005B2812" w:rsidRPr="00D334B0">
        <w:rPr>
          <w:rFonts w:ascii="Arial" w:hAnsi="Arial" w:cs="Arial"/>
        </w:rPr>
        <w:t xml:space="preserve">Pregnancy Category </w:t>
      </w:r>
      <w:r w:rsidR="00001519" w:rsidRPr="00D334B0">
        <w:rPr>
          <w:rFonts w:ascii="Arial" w:hAnsi="Arial" w:cs="Arial"/>
        </w:rPr>
        <w:t>B1</w:t>
      </w:r>
      <w:r w:rsidR="00001519">
        <w:rPr>
          <w:rFonts w:ascii="Arial" w:hAnsi="Arial" w:cs="Arial"/>
        </w:rPr>
        <w:t>)</w:t>
      </w:r>
      <w:r w:rsidR="003332D9">
        <w:rPr>
          <w:rFonts w:ascii="Arial" w:hAnsi="Arial" w:cs="Arial"/>
        </w:rPr>
        <w:fldChar w:fldCharType="begin"/>
      </w:r>
      <w:r w:rsidR="003332D9">
        <w:rPr>
          <w:rFonts w:ascii="Arial" w:hAnsi="Arial" w:cs="Arial"/>
        </w:rPr>
        <w:instrText xml:space="preserve"> DOCVARIABLE vault_nd_e1f4cda3-7013-4dca-858c-bdf64b75ce79 \* MERGEFORMAT </w:instrText>
      </w:r>
      <w:r w:rsidR="003332D9">
        <w:rPr>
          <w:rFonts w:ascii="Arial" w:hAnsi="Arial" w:cs="Arial"/>
        </w:rPr>
        <w:fldChar w:fldCharType="separate"/>
      </w:r>
      <w:r w:rsidR="003332D9">
        <w:rPr>
          <w:rFonts w:ascii="Arial" w:hAnsi="Arial" w:cs="Arial"/>
        </w:rPr>
        <w:t xml:space="preserve"> </w:t>
      </w:r>
      <w:r w:rsidR="003332D9">
        <w:rPr>
          <w:rFonts w:ascii="Arial" w:hAnsi="Arial" w:cs="Arial"/>
        </w:rPr>
        <w:fldChar w:fldCharType="end"/>
      </w:r>
    </w:p>
    <w:p w14:paraId="53FC5A5A" w14:textId="656E47AF" w:rsidR="00C42D58" w:rsidRPr="007C48DC" w:rsidRDefault="00BE6DCB" w:rsidP="00C42D58">
      <w:pPr>
        <w:rPr>
          <w:rFonts w:ascii="Arial" w:hAnsi="Arial" w:cs="Arial"/>
          <w:lang w:val="en-GB"/>
        </w:rPr>
      </w:pPr>
      <w:r w:rsidRPr="00BE6DCB">
        <w:rPr>
          <w:rFonts w:ascii="Arial" w:hAnsi="Arial" w:cs="Arial"/>
          <w:lang w:val="en-GB"/>
        </w:rPr>
        <w:t xml:space="preserve">There are limited data for cabotegravir in pregnant women. The effect </w:t>
      </w:r>
      <w:r w:rsidR="00971DB6">
        <w:rPr>
          <w:rFonts w:ascii="Arial" w:hAnsi="Arial" w:cs="Arial"/>
          <w:lang w:val="en-GB"/>
        </w:rPr>
        <w:t xml:space="preserve">of APRETUDE </w:t>
      </w:r>
      <w:r w:rsidRPr="00BE6DCB">
        <w:rPr>
          <w:rFonts w:ascii="Arial" w:hAnsi="Arial" w:cs="Arial"/>
          <w:lang w:val="en-GB"/>
        </w:rPr>
        <w:t xml:space="preserve">on human pregnancy is unknown. </w:t>
      </w:r>
    </w:p>
    <w:p w14:paraId="1536C220" w14:textId="5FE119CF" w:rsidR="00BE6DCB" w:rsidRPr="00BE6DCB" w:rsidRDefault="00971DB6" w:rsidP="00BE6DCB">
      <w:pPr>
        <w:rPr>
          <w:rFonts w:ascii="Arial" w:hAnsi="Arial" w:cs="Arial"/>
          <w:lang w:val="en-GB"/>
        </w:rPr>
      </w:pPr>
      <w:r>
        <w:rPr>
          <w:rFonts w:ascii="Arial" w:hAnsi="Arial" w:cs="Arial"/>
          <w:lang w:val="en-GB"/>
        </w:rPr>
        <w:t>APRETUDE</w:t>
      </w:r>
      <w:r w:rsidRPr="00BE6DCB">
        <w:rPr>
          <w:rFonts w:ascii="Arial" w:hAnsi="Arial" w:cs="Arial"/>
          <w:lang w:val="en-GB"/>
        </w:rPr>
        <w:t xml:space="preserve"> </w:t>
      </w:r>
      <w:r w:rsidR="00BE6DCB" w:rsidRPr="00BE6DCB">
        <w:rPr>
          <w:rFonts w:ascii="Arial" w:hAnsi="Arial" w:cs="Arial"/>
          <w:lang w:val="en-GB"/>
        </w:rPr>
        <w:t>should be used during pregnancy only if the expected benefit justifies the potential risk to the foetus.</w:t>
      </w:r>
    </w:p>
    <w:p w14:paraId="3D431A26" w14:textId="690C0A19" w:rsidR="00071855" w:rsidRDefault="00BE6DCB" w:rsidP="00071855">
      <w:pPr>
        <w:rPr>
          <w:rFonts w:ascii="Arial" w:hAnsi="Arial" w:cs="Arial"/>
          <w:lang w:val="en-GB"/>
        </w:rPr>
      </w:pPr>
      <w:r w:rsidRPr="00BE6DCB">
        <w:rPr>
          <w:rFonts w:ascii="Arial" w:hAnsi="Arial" w:cs="Arial"/>
          <w:lang w:val="en-GB"/>
        </w:rPr>
        <w:t>Cabotegravir has been detected in systemic circulation for up to 12 months or longer after an injection, therefore, consideration should be given to the potential for foetal exposure during pregnancy (</w:t>
      </w:r>
      <w:r w:rsidR="0092138E" w:rsidRPr="005B1108">
        <w:rPr>
          <w:rFonts w:ascii="Arial" w:hAnsi="Arial" w:cs="Arial"/>
          <w:lang w:val="en"/>
        </w:rPr>
        <w:t>see section 4.4 SPECIAL WARNINGS AND PRECAUTIONS FOR USE</w:t>
      </w:r>
      <w:r w:rsidRPr="0092138E">
        <w:rPr>
          <w:rFonts w:ascii="Arial" w:hAnsi="Arial" w:cs="Arial"/>
          <w:lang w:val="en-GB"/>
        </w:rPr>
        <w:t>).</w:t>
      </w:r>
    </w:p>
    <w:p w14:paraId="102AE692" w14:textId="2ABDFEFF" w:rsidR="00C25B3F" w:rsidRDefault="00BD6CB1" w:rsidP="0097758D">
      <w:pPr>
        <w:spacing w:after="0" w:line="240" w:lineRule="auto"/>
        <w:rPr>
          <w:rFonts w:ascii="Arial" w:hAnsi="Arial" w:cs="Arial"/>
          <w:lang w:val="en-GB"/>
        </w:rPr>
      </w:pPr>
      <w:r w:rsidRPr="00BD6CB1">
        <w:rPr>
          <w:rFonts w:ascii="Arial" w:hAnsi="Arial" w:cs="Arial"/>
          <w:lang w:val="en-GB"/>
        </w:rPr>
        <w:t>Cabotegravir crossed the placenta in pregnant rats and could be detected in f</w:t>
      </w:r>
      <w:r w:rsidR="00D72B6D">
        <w:rPr>
          <w:rFonts w:ascii="Arial" w:hAnsi="Arial" w:cs="Arial"/>
          <w:lang w:val="en-GB"/>
        </w:rPr>
        <w:t>o</w:t>
      </w:r>
      <w:r w:rsidRPr="00BD6CB1">
        <w:rPr>
          <w:rFonts w:ascii="Arial" w:hAnsi="Arial" w:cs="Arial"/>
          <w:lang w:val="en-GB"/>
        </w:rPr>
        <w:t xml:space="preserve">etal tissues. Cabotegravir was not teratogenic in rats at oral doses up to 1000 mg/kg/day (&gt;30 times the exposure in humans at the MRHD of 30 mg oral or 400 mg IM dose) but caused a delay in </w:t>
      </w:r>
      <w:r w:rsidRPr="00BD6CB1">
        <w:rPr>
          <w:rFonts w:ascii="Arial" w:hAnsi="Arial" w:cs="Arial"/>
          <w:lang w:val="en-GB"/>
        </w:rPr>
        <w:lastRenderedPageBreak/>
        <w:t>delivery that was associated with reduced survival and viability of rat offspring; there was no effect on survival at birth when f</w:t>
      </w:r>
      <w:r w:rsidR="00D72B6D">
        <w:rPr>
          <w:rFonts w:ascii="Arial" w:hAnsi="Arial" w:cs="Arial"/>
          <w:lang w:val="en-GB"/>
        </w:rPr>
        <w:t>o</w:t>
      </w:r>
      <w:r w:rsidRPr="00BD6CB1">
        <w:rPr>
          <w:rFonts w:ascii="Arial" w:hAnsi="Arial" w:cs="Arial"/>
          <w:lang w:val="en-GB"/>
        </w:rPr>
        <w:t xml:space="preserve">etuses were delivered by caesarean section. Exposures at the NOAEL were at least 11 times the exposure in humans at the MRHD of 30 mg oral or 400 mg IM dose. The relevance to human pregnancy is unknown </w:t>
      </w:r>
    </w:p>
    <w:p w14:paraId="56ECBC7E" w14:textId="77777777" w:rsidR="0097758D" w:rsidRPr="00C42D58" w:rsidRDefault="0097758D" w:rsidP="0097758D">
      <w:pPr>
        <w:spacing w:after="0" w:line="240" w:lineRule="auto"/>
        <w:rPr>
          <w:rFonts w:ascii="Arial" w:hAnsi="Arial" w:cs="Arial"/>
          <w:lang w:val="en-GB"/>
        </w:rPr>
      </w:pPr>
    </w:p>
    <w:p w14:paraId="524EEBBC" w14:textId="2229AFF6" w:rsidR="001A3992" w:rsidRPr="00071855" w:rsidRDefault="001A3992" w:rsidP="001A3992">
      <w:pPr>
        <w:pStyle w:val="Heading3"/>
        <w:spacing w:before="0" w:after="120"/>
        <w:rPr>
          <w:rFonts w:ascii="Arial" w:hAnsi="Arial" w:cs="Arial"/>
        </w:rPr>
      </w:pPr>
      <w:r w:rsidRPr="00071855">
        <w:rPr>
          <w:rFonts w:ascii="Arial" w:hAnsi="Arial" w:cs="Arial"/>
        </w:rPr>
        <w:t>Use in</w:t>
      </w:r>
      <w:r w:rsidR="00071855" w:rsidRPr="00071855">
        <w:rPr>
          <w:rFonts w:ascii="Arial" w:hAnsi="Arial" w:cs="Arial"/>
        </w:rPr>
        <w:t xml:space="preserve"> lactation</w:t>
      </w:r>
      <w:r w:rsidR="003332D9">
        <w:rPr>
          <w:rFonts w:ascii="Arial" w:hAnsi="Arial" w:cs="Arial"/>
        </w:rPr>
        <w:fldChar w:fldCharType="begin"/>
      </w:r>
      <w:r w:rsidR="003332D9">
        <w:rPr>
          <w:rFonts w:ascii="Arial" w:hAnsi="Arial" w:cs="Arial"/>
        </w:rPr>
        <w:instrText xml:space="preserve"> DOCVARIABLE vault_nd_36215fc8-5a9e-4f98-865c-834ad5471179 \* MERGEFORMAT </w:instrText>
      </w:r>
      <w:r w:rsidR="003332D9">
        <w:rPr>
          <w:rFonts w:ascii="Arial" w:hAnsi="Arial" w:cs="Arial"/>
        </w:rPr>
        <w:fldChar w:fldCharType="separate"/>
      </w:r>
      <w:r w:rsidR="003332D9">
        <w:rPr>
          <w:rFonts w:ascii="Arial" w:hAnsi="Arial" w:cs="Arial"/>
        </w:rPr>
        <w:t xml:space="preserve"> </w:t>
      </w:r>
      <w:r w:rsidR="003332D9">
        <w:rPr>
          <w:rFonts w:ascii="Arial" w:hAnsi="Arial" w:cs="Arial"/>
        </w:rPr>
        <w:fldChar w:fldCharType="end"/>
      </w:r>
    </w:p>
    <w:p w14:paraId="21118349" w14:textId="77777777" w:rsidR="003E7B82" w:rsidRPr="003E7B82" w:rsidRDefault="003E7B82" w:rsidP="003E7B82">
      <w:pPr>
        <w:rPr>
          <w:rFonts w:ascii="Arial" w:hAnsi="Arial" w:cs="Arial"/>
          <w:lang w:val="en-GB"/>
        </w:rPr>
      </w:pPr>
      <w:r w:rsidRPr="003E7B82">
        <w:rPr>
          <w:rFonts w:ascii="Arial" w:hAnsi="Arial" w:cs="Arial"/>
          <w:lang w:val="en-GB"/>
        </w:rPr>
        <w:t>It is expected that cabotegravir will be secreted into human milk based on animal data, although this has not been confirmed in humans. Cabotegravir may be present in human milk for up to 12 months or longer after the last cabotegravir injection.</w:t>
      </w:r>
    </w:p>
    <w:p w14:paraId="38B67386" w14:textId="30E9B0F7" w:rsidR="00071855" w:rsidRDefault="003E7B82" w:rsidP="001A40F7">
      <w:pPr>
        <w:tabs>
          <w:tab w:val="left" w:pos="567"/>
        </w:tabs>
        <w:spacing w:after="0"/>
        <w:rPr>
          <w:rFonts w:ascii="Arial" w:hAnsi="Arial" w:cs="Arial"/>
          <w:lang w:val="en-GB"/>
        </w:rPr>
      </w:pPr>
      <w:r w:rsidRPr="003E7B82">
        <w:rPr>
          <w:rFonts w:ascii="Arial" w:hAnsi="Arial" w:cs="Arial"/>
          <w:lang w:val="en-GB"/>
        </w:rPr>
        <w:t>It is recommended that women breast-feed only if the expected benefit justifies the potential risk to the infant.</w:t>
      </w:r>
    </w:p>
    <w:p w14:paraId="1036B718" w14:textId="77777777" w:rsidR="001A40F7" w:rsidRPr="006E595D" w:rsidRDefault="001A40F7" w:rsidP="001A40F7">
      <w:pPr>
        <w:tabs>
          <w:tab w:val="left" w:pos="567"/>
        </w:tabs>
        <w:spacing w:after="0"/>
        <w:rPr>
          <w:rFonts w:ascii="Arial" w:hAnsi="Arial" w:cs="Arial"/>
          <w:i/>
          <w:color w:val="FF0000"/>
        </w:rPr>
      </w:pPr>
    </w:p>
    <w:p w14:paraId="4A7AA88E" w14:textId="0B76B45A"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EFFECTS ON ABILITY TO DRIVE AND USE MACHINES</w:t>
      </w:r>
      <w:r w:rsidR="003332D9">
        <w:rPr>
          <w:rFonts w:ascii="Arial" w:hAnsi="Arial" w:cs="Arial"/>
          <w:smallCaps w:val="0"/>
        </w:rPr>
        <w:fldChar w:fldCharType="begin"/>
      </w:r>
      <w:r w:rsidR="003332D9">
        <w:rPr>
          <w:rFonts w:ascii="Arial" w:hAnsi="Arial" w:cs="Arial"/>
          <w:smallCaps w:val="0"/>
        </w:rPr>
        <w:instrText xml:space="preserve"> DOCVARIABLE VAULT_ND_89b8fef1-8200-4378-8e7f-d5b01fcd7c58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3E3F5EDE" w14:textId="1DC11448" w:rsidR="003E7B82" w:rsidRPr="00545C1B" w:rsidRDefault="00545C1B" w:rsidP="005B2812">
      <w:pPr>
        <w:rPr>
          <w:rFonts w:ascii="Arial" w:hAnsi="Arial" w:cs="Arial"/>
          <w:lang w:val="en-GB"/>
        </w:rPr>
      </w:pPr>
      <w:r w:rsidRPr="00545C1B">
        <w:rPr>
          <w:rFonts w:ascii="Arial" w:hAnsi="Arial" w:cs="Arial"/>
          <w:lang w:val="en-GB"/>
        </w:rPr>
        <w:t xml:space="preserve">There have been no studies to investigate the effect of cabotegravir on driving performance or the ability to operate machinery. The clinical status of the individual and the adverse event profile of </w:t>
      </w:r>
      <w:r w:rsidR="00032E53">
        <w:rPr>
          <w:rFonts w:ascii="Arial" w:hAnsi="Arial" w:cs="Arial"/>
          <w:lang w:val="en"/>
        </w:rPr>
        <w:t>APRETUDE</w:t>
      </w:r>
      <w:r w:rsidRPr="00545C1B">
        <w:rPr>
          <w:rFonts w:ascii="Arial" w:hAnsi="Arial" w:cs="Arial"/>
          <w:lang w:val="en-GB"/>
        </w:rPr>
        <w:t xml:space="preserve"> should be borne in mind when considering the individual's ability to drive or operate machinery.</w:t>
      </w:r>
    </w:p>
    <w:p w14:paraId="466F7C1E" w14:textId="50592F2C" w:rsidR="001A3992" w:rsidRPr="00A245C1" w:rsidRDefault="00071855" w:rsidP="00071855">
      <w:pPr>
        <w:pStyle w:val="Heading2"/>
        <w:spacing w:before="0" w:after="120"/>
        <w:ind w:left="578" w:hanging="578"/>
        <w:rPr>
          <w:rFonts w:ascii="Arial" w:hAnsi="Arial" w:cs="Arial"/>
          <w:smallCaps w:val="0"/>
        </w:rPr>
      </w:pPr>
      <w:r w:rsidRPr="00A245C1">
        <w:rPr>
          <w:rFonts w:ascii="Arial" w:hAnsi="Arial" w:cs="Arial"/>
          <w:smallCaps w:val="0"/>
        </w:rPr>
        <w:t>ADVERSE EFFECTS (UNDESIRABLE EFFECTS)</w:t>
      </w:r>
      <w:r w:rsidR="003332D9">
        <w:rPr>
          <w:rFonts w:ascii="Arial" w:hAnsi="Arial" w:cs="Arial"/>
          <w:smallCaps w:val="0"/>
        </w:rPr>
        <w:fldChar w:fldCharType="begin"/>
      </w:r>
      <w:r w:rsidR="003332D9">
        <w:rPr>
          <w:rFonts w:ascii="Arial" w:hAnsi="Arial" w:cs="Arial"/>
          <w:smallCaps w:val="0"/>
        </w:rPr>
        <w:instrText xml:space="preserve"> DOCVARIABLE VAULT_ND_c359ff91-be61-42f9-896b-b99d1d523f73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4B904D0D" w14:textId="77777777" w:rsidR="00A245C1" w:rsidRPr="003647BC" w:rsidRDefault="00A245C1" w:rsidP="003647BC">
      <w:pPr>
        <w:pStyle w:val="Heading3"/>
        <w:rPr>
          <w:rFonts w:ascii="Arial" w:hAnsi="Arial" w:cs="Arial"/>
        </w:rPr>
      </w:pPr>
      <w:r w:rsidRPr="003647BC">
        <w:rPr>
          <w:rFonts w:ascii="Arial" w:hAnsi="Arial" w:cs="Arial"/>
        </w:rPr>
        <w:t>Clinical trial data</w:t>
      </w:r>
      <w:r w:rsidRPr="003647BC">
        <w:rPr>
          <w:rFonts w:ascii="Arial" w:hAnsi="Arial" w:cs="Arial"/>
        </w:rPr>
        <w:fldChar w:fldCharType="begin"/>
      </w:r>
      <w:r w:rsidRPr="003647BC">
        <w:rPr>
          <w:rFonts w:ascii="Arial" w:hAnsi="Arial" w:cs="Arial"/>
        </w:rPr>
        <w:instrText xml:space="preserve"> DOCVARIABLE vault_nd_ad0d88e9-bb79-493b-8258-6d4f1b0df3e0 \* MERGEFORMAT </w:instrText>
      </w:r>
      <w:r w:rsidRPr="003647BC">
        <w:rPr>
          <w:rFonts w:ascii="Arial" w:hAnsi="Arial" w:cs="Arial"/>
        </w:rPr>
        <w:fldChar w:fldCharType="separate"/>
      </w:r>
      <w:r w:rsidRPr="003647BC">
        <w:rPr>
          <w:rFonts w:ascii="Arial" w:hAnsi="Arial" w:cs="Arial"/>
        </w:rPr>
        <w:t xml:space="preserve"> </w:t>
      </w:r>
      <w:r w:rsidRPr="003647BC">
        <w:rPr>
          <w:rFonts w:ascii="Arial" w:hAnsi="Arial" w:cs="Arial"/>
        </w:rPr>
        <w:fldChar w:fldCharType="end"/>
      </w:r>
    </w:p>
    <w:p w14:paraId="56D6F70D" w14:textId="7563ABCF" w:rsidR="00A245C1" w:rsidRPr="00A245C1" w:rsidRDefault="002F75B3" w:rsidP="00A245C1">
      <w:pPr>
        <w:spacing w:after="240" w:line="240" w:lineRule="auto"/>
        <w:rPr>
          <w:rFonts w:ascii="Arial" w:hAnsi="Arial" w:cs="Arial"/>
          <w:lang w:val="en-GB"/>
        </w:rPr>
      </w:pPr>
      <w:r>
        <w:rPr>
          <w:rFonts w:ascii="Arial" w:hAnsi="Arial" w:cs="Arial"/>
          <w:lang w:val="en-GB"/>
        </w:rPr>
        <w:t xml:space="preserve">The safety assessment </w:t>
      </w:r>
      <w:proofErr w:type="gramStart"/>
      <w:r>
        <w:rPr>
          <w:rFonts w:ascii="Arial" w:hAnsi="Arial" w:cs="Arial"/>
          <w:lang w:val="en-GB"/>
        </w:rPr>
        <w:t xml:space="preserve">of </w:t>
      </w:r>
      <w:r w:rsidR="00A245C1" w:rsidRPr="00A245C1">
        <w:rPr>
          <w:rFonts w:ascii="Arial" w:hAnsi="Arial" w:cs="Arial"/>
          <w:lang w:val="en-GB"/>
        </w:rPr>
        <w:t xml:space="preserve"> </w:t>
      </w:r>
      <w:r w:rsidR="00032E53">
        <w:rPr>
          <w:rFonts w:ascii="Arial" w:hAnsi="Arial" w:cs="Arial"/>
          <w:lang w:val="en"/>
        </w:rPr>
        <w:t>APRETUDE</w:t>
      </w:r>
      <w:proofErr w:type="gramEnd"/>
      <w:r w:rsidR="00A245C1" w:rsidRPr="00A245C1">
        <w:rPr>
          <w:rFonts w:ascii="Arial" w:hAnsi="Arial" w:cs="Arial"/>
          <w:lang w:val="en-GB"/>
        </w:rPr>
        <w:t xml:space="preserve"> </w:t>
      </w:r>
      <w:r>
        <w:rPr>
          <w:rFonts w:ascii="Arial" w:hAnsi="Arial" w:cs="Arial"/>
          <w:lang w:val="en-GB"/>
        </w:rPr>
        <w:t>is based on</w:t>
      </w:r>
      <w:r w:rsidR="00427DBB">
        <w:rPr>
          <w:rFonts w:ascii="Arial" w:hAnsi="Arial" w:cs="Arial"/>
          <w:lang w:val="en-GB"/>
        </w:rPr>
        <w:t xml:space="preserve"> </w:t>
      </w:r>
      <w:r>
        <w:rPr>
          <w:rFonts w:ascii="Arial" w:hAnsi="Arial" w:cs="Arial"/>
          <w:lang w:val="en-GB"/>
        </w:rPr>
        <w:t>two</w:t>
      </w:r>
      <w:r w:rsidR="00A245C1" w:rsidRPr="00A245C1">
        <w:rPr>
          <w:rFonts w:ascii="Arial" w:hAnsi="Arial" w:cs="Arial"/>
          <w:lang w:val="en-GB"/>
        </w:rPr>
        <w:t xml:space="preserve"> Phase III clinical studies; HPTN 083 and HPTN 084.  In HPTN 083, the median time on blinded study product was 65 weeks and 2 days (1 day to 156 weeks and 1 day), with a total exposure on cabotegravir of 3270 person years. In HPTN 084, the median time on blinded study product was 64 weeks and 1 days (1 day to 153 weeks and 1 day), with a total exposure on cabotegravir of 1920 person years.</w:t>
      </w:r>
    </w:p>
    <w:p w14:paraId="1F0050AD" w14:textId="57EE548C" w:rsidR="002F75B3" w:rsidRDefault="002F75B3">
      <w:pPr>
        <w:pStyle w:val="Heading4"/>
        <w:numPr>
          <w:ilvl w:val="0"/>
          <w:numId w:val="0"/>
        </w:numPr>
        <w:rPr>
          <w:rFonts w:ascii="Arial" w:hAnsi="Arial" w:cs="Arial"/>
          <w:i w:val="0"/>
          <w:iCs w:val="0"/>
          <w:color w:val="auto"/>
        </w:rPr>
      </w:pPr>
      <w:r w:rsidRPr="001D2492">
        <w:rPr>
          <w:rFonts w:ascii="Arial" w:hAnsi="Arial" w:cs="Arial"/>
          <w:i w:val="0"/>
          <w:iCs w:val="0"/>
          <w:color w:val="auto"/>
        </w:rPr>
        <w:t>Adverse events</w:t>
      </w:r>
      <w:r w:rsidR="0013564B">
        <w:rPr>
          <w:rFonts w:ascii="Arial" w:hAnsi="Arial" w:cs="Arial"/>
          <w:i w:val="0"/>
          <w:iCs w:val="0"/>
          <w:color w:val="auto"/>
        </w:rPr>
        <w:fldChar w:fldCharType="begin"/>
      </w:r>
      <w:r w:rsidR="0013564B">
        <w:rPr>
          <w:rFonts w:ascii="Arial" w:hAnsi="Arial" w:cs="Arial"/>
          <w:i w:val="0"/>
          <w:iCs w:val="0"/>
          <w:color w:val="auto"/>
        </w:rPr>
        <w:instrText xml:space="preserve"> DOCVARIABLE vault_nd_ec115056-997b-44e7-805d-ecb69e1df3ec \* MERGEFORMAT </w:instrText>
      </w:r>
      <w:r w:rsidR="0013564B">
        <w:rPr>
          <w:rFonts w:ascii="Arial" w:hAnsi="Arial" w:cs="Arial"/>
          <w:i w:val="0"/>
          <w:iCs w:val="0"/>
          <w:color w:val="auto"/>
        </w:rPr>
        <w:fldChar w:fldCharType="separate"/>
      </w:r>
      <w:r w:rsidR="0013564B">
        <w:rPr>
          <w:rFonts w:ascii="Arial" w:hAnsi="Arial" w:cs="Arial"/>
          <w:i w:val="0"/>
          <w:iCs w:val="0"/>
          <w:color w:val="auto"/>
        </w:rPr>
        <w:t xml:space="preserve"> </w:t>
      </w:r>
      <w:r w:rsidR="0013564B">
        <w:rPr>
          <w:rFonts w:ascii="Arial" w:hAnsi="Arial" w:cs="Arial"/>
          <w:i w:val="0"/>
          <w:iCs w:val="0"/>
          <w:color w:val="auto"/>
        </w:rPr>
        <w:fldChar w:fldCharType="end"/>
      </w:r>
    </w:p>
    <w:p w14:paraId="02946534" w14:textId="0BC30A41" w:rsidR="002F75B3" w:rsidRDefault="00526921" w:rsidP="00A245C1">
      <w:pPr>
        <w:spacing w:after="240" w:line="240" w:lineRule="auto"/>
        <w:rPr>
          <w:rFonts w:ascii="Arial" w:hAnsi="Arial" w:cs="Arial"/>
          <w:lang w:val="en-GB"/>
        </w:rPr>
      </w:pPr>
      <w:r w:rsidRPr="002C3787">
        <w:rPr>
          <w:rFonts w:ascii="Arial" w:hAnsi="Arial" w:cs="Arial"/>
          <w:lang w:val="en-GB"/>
        </w:rPr>
        <w:t>The most common adverse events reported in greater than 10% of participants</w:t>
      </w:r>
      <w:r w:rsidR="00EE1991" w:rsidRPr="002C3787">
        <w:rPr>
          <w:rFonts w:ascii="Arial" w:hAnsi="Arial" w:cs="Arial"/>
          <w:lang w:val="en-GB"/>
        </w:rPr>
        <w:t xml:space="preserve"> in any treatment group from HPTN 083 </w:t>
      </w:r>
      <w:r w:rsidR="002C3787" w:rsidRPr="002C3787">
        <w:rPr>
          <w:rFonts w:ascii="Arial" w:hAnsi="Arial" w:cs="Arial"/>
          <w:lang w:val="en-GB"/>
        </w:rPr>
        <w:t>or</w:t>
      </w:r>
      <w:r w:rsidR="00EE1991" w:rsidRPr="002C3787">
        <w:rPr>
          <w:rFonts w:ascii="Arial" w:hAnsi="Arial" w:cs="Arial"/>
          <w:lang w:val="en-GB"/>
        </w:rPr>
        <w:t xml:space="preserve"> HPTN 083</w:t>
      </w:r>
      <w:r w:rsidR="002C3787" w:rsidRPr="002C3787">
        <w:rPr>
          <w:rFonts w:ascii="Arial" w:hAnsi="Arial" w:cs="Arial"/>
          <w:lang w:val="en-GB"/>
        </w:rPr>
        <w:t xml:space="preserve"> are presented in Table 5. </w:t>
      </w:r>
      <w:r w:rsidRPr="002C3787">
        <w:rPr>
          <w:rFonts w:ascii="Arial" w:hAnsi="Arial" w:cs="Arial"/>
          <w:lang w:val="en-GB"/>
        </w:rPr>
        <w:t xml:space="preserve"> </w:t>
      </w:r>
    </w:p>
    <w:p w14:paraId="43600851" w14:textId="32035B95" w:rsidR="007007A6" w:rsidRDefault="002F75B3" w:rsidP="00445D44">
      <w:pPr>
        <w:keepNext/>
        <w:spacing w:after="240" w:line="240" w:lineRule="auto"/>
        <w:rPr>
          <w:rFonts w:ascii="Arial" w:hAnsi="Arial" w:cs="Arial"/>
          <w:b/>
          <w:bCs/>
          <w:lang w:val="en-GB"/>
        </w:rPr>
      </w:pPr>
      <w:r w:rsidRPr="001F6C1F">
        <w:rPr>
          <w:rFonts w:ascii="Arial" w:hAnsi="Arial" w:cs="Arial"/>
          <w:b/>
          <w:bCs/>
          <w:lang w:val="en-GB"/>
        </w:rPr>
        <w:lastRenderedPageBreak/>
        <w:t xml:space="preserve">Table 5 </w:t>
      </w:r>
      <w:r w:rsidR="005947FA">
        <w:rPr>
          <w:rFonts w:ascii="Arial" w:hAnsi="Arial" w:cs="Arial"/>
          <w:b/>
          <w:bCs/>
          <w:lang w:val="en-GB"/>
        </w:rPr>
        <w:t>Most Common Advers</w:t>
      </w:r>
      <w:r w:rsidR="004041F0">
        <w:rPr>
          <w:rFonts w:ascii="Arial" w:hAnsi="Arial" w:cs="Arial"/>
          <w:b/>
          <w:bCs/>
          <w:lang w:val="en-GB"/>
        </w:rPr>
        <w:t xml:space="preserve">e Events (Reported </w:t>
      </w:r>
      <w:r w:rsidR="00A47931">
        <w:rPr>
          <w:rFonts w:ascii="Arial" w:hAnsi="Arial" w:cs="Arial"/>
          <w:b/>
          <w:bCs/>
          <w:lang w:val="en-GB"/>
        </w:rPr>
        <w:t xml:space="preserve">in </w:t>
      </w:r>
      <w:r w:rsidR="006C1FCA" w:rsidRPr="001F6C1F">
        <w:rPr>
          <w:rFonts w:ascii="Arial" w:hAnsi="Arial" w:cs="Arial"/>
          <w:b/>
          <w:bCs/>
          <w:lang w:val="en-GB"/>
        </w:rPr>
        <w:t>≥</w:t>
      </w:r>
      <w:r w:rsidRPr="001F6C1F">
        <w:rPr>
          <w:rFonts w:ascii="Arial" w:hAnsi="Arial" w:cs="Arial"/>
          <w:b/>
          <w:bCs/>
          <w:lang w:val="en-GB"/>
        </w:rPr>
        <w:t>10% of Participants in Any Treatment Group from HPTN 083 or HPTN 084</w:t>
      </w:r>
      <w:r w:rsidR="00A47931">
        <w:rPr>
          <w:rFonts w:ascii="Arial" w:hAnsi="Arial" w:cs="Arial"/>
          <w:b/>
          <w:bCs/>
          <w:lang w:val="en-GB"/>
        </w:rPr>
        <w:t>)</w:t>
      </w:r>
      <w:r w:rsidR="00A33F08" w:rsidRPr="00A33F08">
        <w:rPr>
          <w:rFonts w:ascii="Arial" w:hAnsi="Arial" w:cs="Arial"/>
          <w:b/>
          <w:bCs/>
          <w:vertAlign w:val="superscript"/>
          <w:lang w:val="en-GB"/>
        </w:rPr>
        <w:t>1</w:t>
      </w:r>
      <w:r w:rsidR="00A47931">
        <w:rPr>
          <w:rFonts w:ascii="Arial" w:hAnsi="Arial" w:cs="Arial"/>
          <w:b/>
          <w:bCs/>
          <w:lang w:val="en-GB"/>
        </w:rPr>
        <w:t xml:space="preserve"> </w:t>
      </w:r>
      <w:r w:rsidR="005D3398">
        <w:rPr>
          <w:rFonts w:ascii="Arial" w:hAnsi="Arial" w:cs="Arial"/>
          <w:b/>
          <w:bCs/>
          <w:lang w:val="en-GB"/>
        </w:rPr>
        <w:t>by Preferred Term</w:t>
      </w:r>
      <w:r w:rsidRPr="001F6C1F">
        <w:rPr>
          <w:rFonts w:ascii="Arial" w:hAnsi="Arial" w:cs="Arial"/>
          <w:b/>
          <w:bCs/>
          <w:lang w:val="en-GB"/>
        </w:rPr>
        <w:t xml:space="preserve"> </w:t>
      </w:r>
    </w:p>
    <w:tbl>
      <w:tblPr>
        <w:tblpPr w:leftFromText="180" w:rightFromText="180" w:vertAnchor="page" w:horzAnchor="margin" w:tblpY="27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1444"/>
        <w:gridCol w:w="1470"/>
        <w:gridCol w:w="1251"/>
        <w:gridCol w:w="1197"/>
      </w:tblGrid>
      <w:tr w:rsidR="003B46D7" w:rsidRPr="006777C4" w14:paraId="75461912" w14:textId="77777777" w:rsidTr="000D5054">
        <w:trPr>
          <w:cantSplit/>
          <w:trHeight w:val="593"/>
          <w:tblHeader/>
        </w:trPr>
        <w:tc>
          <w:tcPr>
            <w:tcW w:w="2026" w:type="pct"/>
            <w:tcBorders>
              <w:top w:val="single" w:sz="4" w:space="0" w:color="auto"/>
              <w:left w:val="single" w:sz="4" w:space="0" w:color="auto"/>
              <w:bottom w:val="single" w:sz="4" w:space="0" w:color="auto"/>
              <w:right w:val="single" w:sz="4" w:space="0" w:color="auto"/>
            </w:tcBorders>
          </w:tcPr>
          <w:p w14:paraId="38C1F6D2" w14:textId="77777777" w:rsidR="003B46D7" w:rsidRPr="006777C4" w:rsidRDefault="003B46D7" w:rsidP="00445D44">
            <w:pPr>
              <w:keepNext/>
              <w:keepLines/>
              <w:spacing w:after="0" w:line="240" w:lineRule="auto"/>
              <w:rPr>
                <w:rFonts w:ascii="Arial" w:eastAsia="Times New Roman" w:hAnsi="Arial" w:cs="Arial"/>
                <w:b/>
                <w:sz w:val="21"/>
                <w:szCs w:val="21"/>
                <w:lang w:val="en-GB"/>
              </w:rPr>
            </w:pPr>
          </w:p>
        </w:tc>
        <w:tc>
          <w:tcPr>
            <w:tcW w:w="1616" w:type="pct"/>
            <w:gridSpan w:val="2"/>
            <w:tcBorders>
              <w:top w:val="single" w:sz="4" w:space="0" w:color="auto"/>
              <w:left w:val="single" w:sz="4" w:space="0" w:color="auto"/>
              <w:bottom w:val="single" w:sz="4" w:space="0" w:color="auto"/>
              <w:right w:val="single" w:sz="4" w:space="0" w:color="auto"/>
            </w:tcBorders>
          </w:tcPr>
          <w:p w14:paraId="0426A02C" w14:textId="77777777" w:rsidR="003B46D7" w:rsidRPr="006777C4" w:rsidRDefault="003B46D7" w:rsidP="00445D44">
            <w:pPr>
              <w:keepNext/>
              <w:keepLines/>
              <w:spacing w:after="0" w:line="240" w:lineRule="auto"/>
              <w:jc w:val="center"/>
              <w:rPr>
                <w:rFonts w:ascii="Arial" w:eastAsia="Times New Roman" w:hAnsi="Arial" w:cs="Arial"/>
                <w:b/>
                <w:sz w:val="21"/>
                <w:szCs w:val="21"/>
                <w:lang w:val="en-GB"/>
              </w:rPr>
            </w:pPr>
            <w:r w:rsidRPr="006777C4">
              <w:rPr>
                <w:rFonts w:ascii="Arial" w:eastAsia="Times New Roman" w:hAnsi="Arial" w:cs="Arial"/>
                <w:b/>
                <w:sz w:val="21"/>
                <w:szCs w:val="21"/>
                <w:lang w:val="en-GB"/>
              </w:rPr>
              <w:t>HPTN 083</w:t>
            </w:r>
          </w:p>
        </w:tc>
        <w:tc>
          <w:tcPr>
            <w:tcW w:w="1358" w:type="pct"/>
            <w:gridSpan w:val="2"/>
            <w:tcBorders>
              <w:top w:val="single" w:sz="4" w:space="0" w:color="auto"/>
              <w:left w:val="single" w:sz="4" w:space="0" w:color="auto"/>
              <w:bottom w:val="single" w:sz="4" w:space="0" w:color="auto"/>
              <w:right w:val="single" w:sz="4" w:space="0" w:color="auto"/>
            </w:tcBorders>
          </w:tcPr>
          <w:p w14:paraId="58DB6F35" w14:textId="77777777" w:rsidR="003B46D7" w:rsidRPr="006777C4" w:rsidRDefault="003B46D7" w:rsidP="00445D44">
            <w:pPr>
              <w:keepNext/>
              <w:keepLines/>
              <w:spacing w:after="0" w:line="240" w:lineRule="auto"/>
              <w:jc w:val="center"/>
              <w:rPr>
                <w:rFonts w:ascii="Arial" w:eastAsia="Times New Roman" w:hAnsi="Arial" w:cs="Arial"/>
                <w:b/>
                <w:sz w:val="21"/>
                <w:szCs w:val="21"/>
                <w:lang w:val="en-GB"/>
              </w:rPr>
            </w:pPr>
            <w:r w:rsidRPr="006777C4">
              <w:rPr>
                <w:rFonts w:ascii="Arial" w:eastAsia="Times New Roman" w:hAnsi="Arial" w:cs="Arial"/>
                <w:b/>
                <w:sz w:val="21"/>
                <w:szCs w:val="21"/>
                <w:lang w:val="en-GB"/>
              </w:rPr>
              <w:t>HPTN 084</w:t>
            </w:r>
          </w:p>
        </w:tc>
      </w:tr>
      <w:tr w:rsidR="003B46D7" w:rsidRPr="006777C4" w14:paraId="54F0DD6B" w14:textId="77777777" w:rsidTr="000D5054">
        <w:trPr>
          <w:cantSplit/>
          <w:trHeight w:val="593"/>
          <w:tblHeader/>
        </w:trPr>
        <w:tc>
          <w:tcPr>
            <w:tcW w:w="2026" w:type="pct"/>
            <w:tcBorders>
              <w:top w:val="single" w:sz="4" w:space="0" w:color="auto"/>
              <w:left w:val="single" w:sz="4" w:space="0" w:color="auto"/>
              <w:bottom w:val="single" w:sz="4" w:space="0" w:color="auto"/>
              <w:right w:val="single" w:sz="4" w:space="0" w:color="auto"/>
            </w:tcBorders>
            <w:hideMark/>
          </w:tcPr>
          <w:p w14:paraId="1D3CB90F" w14:textId="77777777" w:rsidR="003B46D7" w:rsidRPr="006777C4" w:rsidRDefault="003B46D7" w:rsidP="00445D44">
            <w:pPr>
              <w:keepNext/>
              <w:keepLines/>
              <w:spacing w:after="0" w:line="240" w:lineRule="auto"/>
              <w:rPr>
                <w:rFonts w:ascii="Arial" w:eastAsia="Times New Roman" w:hAnsi="Arial" w:cs="Arial"/>
                <w:b/>
                <w:sz w:val="21"/>
                <w:szCs w:val="21"/>
                <w:lang w:val="en-GB"/>
              </w:rPr>
            </w:pPr>
            <w:r w:rsidRPr="006777C4">
              <w:rPr>
                <w:rFonts w:ascii="Arial" w:eastAsia="Times New Roman" w:hAnsi="Arial" w:cs="Arial"/>
                <w:b/>
                <w:sz w:val="21"/>
                <w:szCs w:val="21"/>
                <w:lang w:val="en-GB"/>
              </w:rPr>
              <w:t xml:space="preserve">Preferred Term </w:t>
            </w:r>
          </w:p>
        </w:tc>
        <w:tc>
          <w:tcPr>
            <w:tcW w:w="801" w:type="pct"/>
            <w:tcBorders>
              <w:top w:val="single" w:sz="4" w:space="0" w:color="auto"/>
              <w:left w:val="single" w:sz="4" w:space="0" w:color="auto"/>
              <w:bottom w:val="single" w:sz="4" w:space="0" w:color="auto"/>
              <w:right w:val="single" w:sz="4" w:space="0" w:color="auto"/>
            </w:tcBorders>
            <w:hideMark/>
          </w:tcPr>
          <w:p w14:paraId="3D942F1E" w14:textId="77777777" w:rsidR="003B46D7" w:rsidRPr="006777C4" w:rsidRDefault="003B46D7" w:rsidP="00445D44">
            <w:pPr>
              <w:keepNext/>
              <w:keepLines/>
              <w:spacing w:after="0" w:line="240" w:lineRule="auto"/>
              <w:jc w:val="center"/>
              <w:rPr>
                <w:rFonts w:ascii="Arial" w:eastAsia="Times New Roman" w:hAnsi="Arial" w:cs="Arial"/>
                <w:b/>
                <w:sz w:val="21"/>
                <w:szCs w:val="21"/>
                <w:lang w:val="en-GB"/>
              </w:rPr>
            </w:pPr>
            <w:r w:rsidRPr="006777C4">
              <w:rPr>
                <w:rFonts w:ascii="Arial" w:eastAsia="Times New Roman" w:hAnsi="Arial" w:cs="Arial"/>
                <w:b/>
                <w:sz w:val="21"/>
                <w:szCs w:val="21"/>
                <w:lang w:val="en-GB"/>
              </w:rPr>
              <w:t>CAB</w:t>
            </w:r>
            <w:r w:rsidRPr="006777C4">
              <w:rPr>
                <w:rFonts w:ascii="Arial" w:eastAsia="Times New Roman" w:hAnsi="Arial" w:cs="Arial"/>
                <w:b/>
                <w:sz w:val="21"/>
                <w:szCs w:val="21"/>
                <w:lang w:val="en-GB"/>
              </w:rPr>
              <w:br/>
              <w:t>(N=2281)</w:t>
            </w:r>
            <w:r w:rsidRPr="006777C4">
              <w:rPr>
                <w:rFonts w:ascii="Arial" w:eastAsia="Times New Roman" w:hAnsi="Arial" w:cs="Arial"/>
                <w:b/>
                <w:sz w:val="21"/>
                <w:szCs w:val="21"/>
                <w:lang w:val="en-GB"/>
              </w:rPr>
              <w:br/>
              <w:t>n (%)</w:t>
            </w:r>
          </w:p>
        </w:tc>
        <w:tc>
          <w:tcPr>
            <w:tcW w:w="815" w:type="pct"/>
            <w:tcBorders>
              <w:top w:val="single" w:sz="4" w:space="0" w:color="auto"/>
              <w:left w:val="single" w:sz="4" w:space="0" w:color="auto"/>
              <w:bottom w:val="single" w:sz="4" w:space="0" w:color="auto"/>
              <w:right w:val="single" w:sz="4" w:space="0" w:color="auto"/>
            </w:tcBorders>
            <w:hideMark/>
          </w:tcPr>
          <w:p w14:paraId="78E0745A" w14:textId="77777777" w:rsidR="003B46D7" w:rsidRPr="006777C4" w:rsidRDefault="003B46D7" w:rsidP="00445D44">
            <w:pPr>
              <w:keepNext/>
              <w:keepLines/>
              <w:spacing w:after="0" w:line="240" w:lineRule="auto"/>
              <w:jc w:val="center"/>
              <w:rPr>
                <w:rFonts w:ascii="Arial" w:eastAsia="Times New Roman" w:hAnsi="Arial" w:cs="Arial"/>
                <w:b/>
                <w:sz w:val="21"/>
                <w:szCs w:val="21"/>
                <w:lang w:val="en-GB"/>
              </w:rPr>
            </w:pPr>
            <w:r w:rsidRPr="006777C4">
              <w:rPr>
                <w:rFonts w:ascii="Arial" w:eastAsia="Times New Roman" w:hAnsi="Arial" w:cs="Arial"/>
                <w:b/>
                <w:sz w:val="21"/>
                <w:szCs w:val="21"/>
                <w:lang w:val="en-GB"/>
              </w:rPr>
              <w:t>TDF/FTC</w:t>
            </w:r>
            <w:r w:rsidRPr="006777C4">
              <w:rPr>
                <w:rFonts w:ascii="Arial" w:eastAsia="Times New Roman" w:hAnsi="Arial" w:cs="Arial"/>
                <w:b/>
                <w:sz w:val="21"/>
                <w:szCs w:val="21"/>
                <w:lang w:val="en-GB"/>
              </w:rPr>
              <w:br/>
              <w:t>(N=2285)</w:t>
            </w:r>
          </w:p>
          <w:p w14:paraId="55DC9475" w14:textId="77777777" w:rsidR="003B46D7" w:rsidRPr="006777C4" w:rsidRDefault="003B46D7" w:rsidP="00445D44">
            <w:pPr>
              <w:keepNext/>
              <w:keepLines/>
              <w:spacing w:after="0" w:line="240" w:lineRule="auto"/>
              <w:jc w:val="center"/>
              <w:rPr>
                <w:rFonts w:ascii="Arial" w:eastAsia="Times New Roman" w:hAnsi="Arial" w:cs="Arial"/>
                <w:b/>
                <w:sz w:val="21"/>
                <w:szCs w:val="21"/>
                <w:lang w:val="en-GB"/>
              </w:rPr>
            </w:pPr>
            <w:r w:rsidRPr="006777C4">
              <w:rPr>
                <w:rFonts w:ascii="Arial" w:eastAsia="Times New Roman" w:hAnsi="Arial" w:cs="Arial"/>
                <w:b/>
                <w:sz w:val="21"/>
                <w:szCs w:val="21"/>
                <w:lang w:val="en-GB"/>
              </w:rPr>
              <w:t>n (%)</w:t>
            </w:r>
          </w:p>
        </w:tc>
        <w:tc>
          <w:tcPr>
            <w:tcW w:w="694" w:type="pct"/>
            <w:tcBorders>
              <w:top w:val="single" w:sz="4" w:space="0" w:color="auto"/>
              <w:left w:val="single" w:sz="4" w:space="0" w:color="auto"/>
              <w:bottom w:val="single" w:sz="4" w:space="0" w:color="auto"/>
              <w:right w:val="single" w:sz="4" w:space="0" w:color="auto"/>
            </w:tcBorders>
          </w:tcPr>
          <w:p w14:paraId="0A383EC6" w14:textId="546D2260" w:rsidR="003B46D7" w:rsidRPr="006777C4" w:rsidRDefault="003B46D7" w:rsidP="00445D44">
            <w:pPr>
              <w:keepNext/>
              <w:keepLines/>
              <w:spacing w:after="0" w:line="240" w:lineRule="auto"/>
              <w:jc w:val="center"/>
              <w:rPr>
                <w:rFonts w:ascii="Arial" w:eastAsia="Times New Roman" w:hAnsi="Arial" w:cs="Arial"/>
                <w:b/>
                <w:sz w:val="21"/>
                <w:szCs w:val="21"/>
                <w:lang w:val="en-GB"/>
              </w:rPr>
            </w:pPr>
            <w:r w:rsidRPr="006777C4">
              <w:rPr>
                <w:rFonts w:ascii="Arial" w:eastAsia="Times New Roman" w:hAnsi="Arial" w:cs="Arial"/>
                <w:b/>
                <w:sz w:val="21"/>
                <w:szCs w:val="21"/>
                <w:lang w:val="en-GB"/>
              </w:rPr>
              <w:t>CAB</w:t>
            </w:r>
            <w:r w:rsidRPr="006777C4">
              <w:rPr>
                <w:rFonts w:ascii="Arial" w:eastAsia="Times New Roman" w:hAnsi="Arial" w:cs="Arial"/>
                <w:b/>
                <w:sz w:val="21"/>
                <w:szCs w:val="21"/>
                <w:lang w:val="en-GB"/>
              </w:rPr>
              <w:br/>
              <w:t>(N=161</w:t>
            </w:r>
            <w:r w:rsidR="007110D2">
              <w:rPr>
                <w:rFonts w:ascii="Arial" w:eastAsia="Times New Roman" w:hAnsi="Arial" w:cs="Arial"/>
                <w:b/>
                <w:sz w:val="21"/>
                <w:szCs w:val="21"/>
                <w:lang w:val="en-GB"/>
              </w:rPr>
              <w:t>3</w:t>
            </w:r>
            <w:r w:rsidRPr="006777C4">
              <w:rPr>
                <w:rFonts w:ascii="Arial" w:eastAsia="Times New Roman" w:hAnsi="Arial" w:cs="Arial"/>
                <w:b/>
                <w:sz w:val="21"/>
                <w:szCs w:val="21"/>
                <w:lang w:val="en-GB"/>
              </w:rPr>
              <w:t>)</w:t>
            </w:r>
            <w:r w:rsidRPr="006777C4">
              <w:rPr>
                <w:rFonts w:ascii="Arial" w:eastAsia="Times New Roman" w:hAnsi="Arial" w:cs="Arial"/>
                <w:b/>
                <w:sz w:val="21"/>
                <w:szCs w:val="21"/>
                <w:lang w:val="en-GB"/>
              </w:rPr>
              <w:br/>
              <w:t>n (%)</w:t>
            </w:r>
          </w:p>
        </w:tc>
        <w:tc>
          <w:tcPr>
            <w:tcW w:w="664" w:type="pct"/>
            <w:tcBorders>
              <w:top w:val="single" w:sz="4" w:space="0" w:color="auto"/>
              <w:left w:val="single" w:sz="4" w:space="0" w:color="auto"/>
              <w:bottom w:val="single" w:sz="4" w:space="0" w:color="auto"/>
              <w:right w:val="single" w:sz="4" w:space="0" w:color="auto"/>
            </w:tcBorders>
          </w:tcPr>
          <w:p w14:paraId="2ACCE57B" w14:textId="77777777" w:rsidR="003B46D7" w:rsidRPr="006777C4" w:rsidRDefault="003B46D7" w:rsidP="00445D44">
            <w:pPr>
              <w:keepNext/>
              <w:keepLines/>
              <w:spacing w:after="0" w:line="240" w:lineRule="auto"/>
              <w:jc w:val="center"/>
              <w:rPr>
                <w:rFonts w:ascii="Arial" w:eastAsia="Times New Roman" w:hAnsi="Arial" w:cs="Arial"/>
                <w:b/>
                <w:sz w:val="21"/>
                <w:szCs w:val="21"/>
                <w:lang w:val="en-GB"/>
              </w:rPr>
            </w:pPr>
            <w:r w:rsidRPr="006777C4">
              <w:rPr>
                <w:rFonts w:ascii="Arial" w:eastAsia="Times New Roman" w:hAnsi="Arial" w:cs="Arial"/>
                <w:b/>
                <w:sz w:val="21"/>
                <w:szCs w:val="21"/>
                <w:lang w:val="en-GB"/>
              </w:rPr>
              <w:t>TDF/FTC</w:t>
            </w:r>
            <w:r w:rsidRPr="006777C4">
              <w:rPr>
                <w:rFonts w:ascii="Arial" w:eastAsia="Times New Roman" w:hAnsi="Arial" w:cs="Arial"/>
                <w:b/>
                <w:sz w:val="21"/>
                <w:szCs w:val="21"/>
                <w:lang w:val="en-GB"/>
              </w:rPr>
              <w:br/>
              <w:t>(N=1610)</w:t>
            </w:r>
          </w:p>
          <w:p w14:paraId="118C7854" w14:textId="77777777" w:rsidR="003B46D7" w:rsidRPr="006777C4" w:rsidRDefault="003B46D7" w:rsidP="00445D44">
            <w:pPr>
              <w:keepNext/>
              <w:keepLines/>
              <w:spacing w:after="0" w:line="240" w:lineRule="auto"/>
              <w:jc w:val="center"/>
              <w:rPr>
                <w:rFonts w:ascii="Arial" w:eastAsia="Times New Roman" w:hAnsi="Arial" w:cs="Arial"/>
                <w:b/>
                <w:sz w:val="21"/>
                <w:szCs w:val="21"/>
                <w:lang w:val="en-GB"/>
              </w:rPr>
            </w:pPr>
            <w:r w:rsidRPr="006777C4">
              <w:rPr>
                <w:rFonts w:ascii="Arial" w:eastAsia="Times New Roman" w:hAnsi="Arial" w:cs="Arial"/>
                <w:b/>
                <w:sz w:val="21"/>
                <w:szCs w:val="21"/>
                <w:lang w:val="en-GB"/>
              </w:rPr>
              <w:t>n (%)</w:t>
            </w:r>
          </w:p>
        </w:tc>
      </w:tr>
      <w:tr w:rsidR="003B46D7" w:rsidRPr="00ED7308" w14:paraId="2BFBB0A1" w14:textId="77777777" w:rsidTr="000D5054">
        <w:trPr>
          <w:cantSplit/>
        </w:trPr>
        <w:tc>
          <w:tcPr>
            <w:tcW w:w="2026" w:type="pct"/>
            <w:tcBorders>
              <w:top w:val="single" w:sz="4" w:space="0" w:color="auto"/>
              <w:left w:val="single" w:sz="4" w:space="0" w:color="auto"/>
              <w:bottom w:val="single" w:sz="4" w:space="0" w:color="auto"/>
              <w:right w:val="single" w:sz="4" w:space="0" w:color="auto"/>
            </w:tcBorders>
            <w:hideMark/>
          </w:tcPr>
          <w:p w14:paraId="376B46D6"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Injection site pain</w:t>
            </w:r>
          </w:p>
        </w:tc>
        <w:tc>
          <w:tcPr>
            <w:tcW w:w="801" w:type="pct"/>
            <w:tcBorders>
              <w:top w:val="single" w:sz="4" w:space="0" w:color="auto"/>
              <w:left w:val="single" w:sz="4" w:space="0" w:color="auto"/>
              <w:bottom w:val="single" w:sz="4" w:space="0" w:color="auto"/>
              <w:right w:val="single" w:sz="4" w:space="0" w:color="auto"/>
            </w:tcBorders>
            <w:hideMark/>
          </w:tcPr>
          <w:p w14:paraId="298947FA"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1713 (75)</w:t>
            </w:r>
          </w:p>
        </w:tc>
        <w:tc>
          <w:tcPr>
            <w:tcW w:w="815" w:type="pct"/>
            <w:tcBorders>
              <w:top w:val="single" w:sz="4" w:space="0" w:color="auto"/>
              <w:left w:val="single" w:sz="4" w:space="0" w:color="auto"/>
              <w:bottom w:val="single" w:sz="4" w:space="0" w:color="auto"/>
              <w:right w:val="single" w:sz="4" w:space="0" w:color="auto"/>
            </w:tcBorders>
            <w:hideMark/>
          </w:tcPr>
          <w:p w14:paraId="129AF932"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688 (30)</w:t>
            </w:r>
          </w:p>
        </w:tc>
        <w:tc>
          <w:tcPr>
            <w:tcW w:w="694" w:type="pct"/>
            <w:tcBorders>
              <w:top w:val="single" w:sz="4" w:space="0" w:color="auto"/>
              <w:left w:val="single" w:sz="4" w:space="0" w:color="auto"/>
              <w:bottom w:val="single" w:sz="4" w:space="0" w:color="auto"/>
              <w:right w:val="single" w:sz="4" w:space="0" w:color="auto"/>
            </w:tcBorders>
            <w:vAlign w:val="bottom"/>
          </w:tcPr>
          <w:p w14:paraId="5E56AF8E"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522 (32)</w:t>
            </w:r>
          </w:p>
        </w:tc>
        <w:tc>
          <w:tcPr>
            <w:tcW w:w="664" w:type="pct"/>
            <w:tcBorders>
              <w:top w:val="single" w:sz="4" w:space="0" w:color="auto"/>
              <w:left w:val="single" w:sz="4" w:space="0" w:color="auto"/>
              <w:bottom w:val="single" w:sz="4" w:space="0" w:color="auto"/>
              <w:right w:val="single" w:sz="4" w:space="0" w:color="auto"/>
            </w:tcBorders>
            <w:vAlign w:val="bottom"/>
          </w:tcPr>
          <w:p w14:paraId="3E99C3DC"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147 (9)</w:t>
            </w:r>
          </w:p>
        </w:tc>
      </w:tr>
      <w:tr w:rsidR="003B46D7" w:rsidRPr="00ED7308" w14:paraId="03EF63EB" w14:textId="77777777" w:rsidTr="000D5054">
        <w:trPr>
          <w:cantSplit/>
        </w:trPr>
        <w:tc>
          <w:tcPr>
            <w:tcW w:w="2026" w:type="pct"/>
            <w:tcBorders>
              <w:top w:val="single" w:sz="4" w:space="0" w:color="auto"/>
              <w:left w:val="single" w:sz="4" w:space="0" w:color="auto"/>
              <w:bottom w:val="single" w:sz="4" w:space="0" w:color="auto"/>
              <w:right w:val="single" w:sz="4" w:space="0" w:color="auto"/>
            </w:tcBorders>
            <w:hideMark/>
          </w:tcPr>
          <w:p w14:paraId="71B3E4EE"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Creatinine renal clearance decreased</w:t>
            </w:r>
          </w:p>
        </w:tc>
        <w:tc>
          <w:tcPr>
            <w:tcW w:w="801" w:type="pct"/>
            <w:tcBorders>
              <w:top w:val="single" w:sz="4" w:space="0" w:color="auto"/>
              <w:left w:val="single" w:sz="4" w:space="0" w:color="auto"/>
              <w:bottom w:val="single" w:sz="4" w:space="0" w:color="auto"/>
              <w:right w:val="single" w:sz="4" w:space="0" w:color="auto"/>
            </w:tcBorders>
            <w:hideMark/>
          </w:tcPr>
          <w:p w14:paraId="1D627380"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1576 (69)</w:t>
            </w:r>
          </w:p>
        </w:tc>
        <w:tc>
          <w:tcPr>
            <w:tcW w:w="815" w:type="pct"/>
            <w:tcBorders>
              <w:top w:val="single" w:sz="4" w:space="0" w:color="auto"/>
              <w:left w:val="single" w:sz="4" w:space="0" w:color="auto"/>
              <w:bottom w:val="single" w:sz="4" w:space="0" w:color="auto"/>
              <w:right w:val="single" w:sz="4" w:space="0" w:color="auto"/>
            </w:tcBorders>
            <w:hideMark/>
          </w:tcPr>
          <w:p w14:paraId="64F5C4D9"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1661 (73)</w:t>
            </w:r>
          </w:p>
        </w:tc>
        <w:tc>
          <w:tcPr>
            <w:tcW w:w="694" w:type="pct"/>
            <w:tcBorders>
              <w:top w:val="single" w:sz="4" w:space="0" w:color="auto"/>
              <w:left w:val="single" w:sz="4" w:space="0" w:color="auto"/>
              <w:bottom w:val="single" w:sz="4" w:space="0" w:color="auto"/>
              <w:right w:val="single" w:sz="4" w:space="0" w:color="auto"/>
            </w:tcBorders>
            <w:vAlign w:val="bottom"/>
          </w:tcPr>
          <w:p w14:paraId="438DA062"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1160 (72)</w:t>
            </w:r>
          </w:p>
        </w:tc>
        <w:tc>
          <w:tcPr>
            <w:tcW w:w="664" w:type="pct"/>
            <w:tcBorders>
              <w:top w:val="single" w:sz="4" w:space="0" w:color="auto"/>
              <w:left w:val="single" w:sz="4" w:space="0" w:color="auto"/>
              <w:bottom w:val="single" w:sz="4" w:space="0" w:color="auto"/>
              <w:right w:val="single" w:sz="4" w:space="0" w:color="auto"/>
            </w:tcBorders>
            <w:vAlign w:val="bottom"/>
          </w:tcPr>
          <w:p w14:paraId="2B4EAA7E"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1192 (74)</w:t>
            </w:r>
          </w:p>
        </w:tc>
      </w:tr>
      <w:tr w:rsidR="003B46D7" w:rsidRPr="00ED7308" w14:paraId="1A09679A" w14:textId="77777777" w:rsidTr="000D5054">
        <w:trPr>
          <w:cantSplit/>
        </w:trPr>
        <w:tc>
          <w:tcPr>
            <w:tcW w:w="2026" w:type="pct"/>
            <w:tcBorders>
              <w:top w:val="single" w:sz="4" w:space="0" w:color="auto"/>
              <w:left w:val="single" w:sz="4" w:space="0" w:color="auto"/>
              <w:bottom w:val="single" w:sz="4" w:space="0" w:color="auto"/>
              <w:right w:val="single" w:sz="4" w:space="0" w:color="auto"/>
            </w:tcBorders>
            <w:hideMark/>
          </w:tcPr>
          <w:p w14:paraId="11D8CE12"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Blood creatine phosphokinase increased</w:t>
            </w:r>
          </w:p>
        </w:tc>
        <w:tc>
          <w:tcPr>
            <w:tcW w:w="801" w:type="pct"/>
            <w:tcBorders>
              <w:top w:val="single" w:sz="4" w:space="0" w:color="auto"/>
              <w:left w:val="single" w:sz="4" w:space="0" w:color="auto"/>
              <w:bottom w:val="single" w:sz="4" w:space="0" w:color="auto"/>
              <w:right w:val="single" w:sz="4" w:space="0" w:color="auto"/>
            </w:tcBorders>
            <w:hideMark/>
          </w:tcPr>
          <w:p w14:paraId="456635A5"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 xml:space="preserve">506 (22) </w:t>
            </w:r>
          </w:p>
        </w:tc>
        <w:tc>
          <w:tcPr>
            <w:tcW w:w="815" w:type="pct"/>
            <w:tcBorders>
              <w:top w:val="single" w:sz="4" w:space="0" w:color="auto"/>
              <w:left w:val="single" w:sz="4" w:space="0" w:color="auto"/>
              <w:bottom w:val="single" w:sz="4" w:space="0" w:color="auto"/>
              <w:right w:val="single" w:sz="4" w:space="0" w:color="auto"/>
            </w:tcBorders>
            <w:hideMark/>
          </w:tcPr>
          <w:p w14:paraId="7D24E21D"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497 (22)</w:t>
            </w:r>
          </w:p>
        </w:tc>
        <w:tc>
          <w:tcPr>
            <w:tcW w:w="694" w:type="pct"/>
            <w:tcBorders>
              <w:top w:val="single" w:sz="4" w:space="0" w:color="auto"/>
              <w:left w:val="single" w:sz="4" w:space="0" w:color="auto"/>
              <w:bottom w:val="single" w:sz="4" w:space="0" w:color="auto"/>
              <w:right w:val="single" w:sz="4" w:space="0" w:color="auto"/>
            </w:tcBorders>
            <w:vAlign w:val="bottom"/>
          </w:tcPr>
          <w:p w14:paraId="0B037750"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237 (15)</w:t>
            </w:r>
          </w:p>
        </w:tc>
        <w:tc>
          <w:tcPr>
            <w:tcW w:w="664" w:type="pct"/>
            <w:tcBorders>
              <w:top w:val="single" w:sz="4" w:space="0" w:color="auto"/>
              <w:left w:val="single" w:sz="4" w:space="0" w:color="auto"/>
              <w:bottom w:val="single" w:sz="4" w:space="0" w:color="auto"/>
              <w:right w:val="single" w:sz="4" w:space="0" w:color="auto"/>
            </w:tcBorders>
            <w:vAlign w:val="bottom"/>
          </w:tcPr>
          <w:p w14:paraId="1F04E672"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263 (16)</w:t>
            </w:r>
          </w:p>
        </w:tc>
      </w:tr>
      <w:tr w:rsidR="003B46D7" w:rsidRPr="00ED7308" w14:paraId="58DD26F4" w14:textId="77777777" w:rsidTr="000D5054">
        <w:trPr>
          <w:cantSplit/>
        </w:trPr>
        <w:tc>
          <w:tcPr>
            <w:tcW w:w="2026" w:type="pct"/>
            <w:tcBorders>
              <w:top w:val="single" w:sz="4" w:space="0" w:color="auto"/>
              <w:left w:val="single" w:sz="4" w:space="0" w:color="auto"/>
              <w:bottom w:val="single" w:sz="4" w:space="0" w:color="auto"/>
              <w:right w:val="single" w:sz="4" w:space="0" w:color="auto"/>
            </w:tcBorders>
            <w:hideMark/>
          </w:tcPr>
          <w:p w14:paraId="75D83DA8"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Nasopharyngitis</w:t>
            </w:r>
          </w:p>
        </w:tc>
        <w:tc>
          <w:tcPr>
            <w:tcW w:w="801" w:type="pct"/>
            <w:tcBorders>
              <w:top w:val="single" w:sz="4" w:space="0" w:color="auto"/>
              <w:left w:val="single" w:sz="4" w:space="0" w:color="auto"/>
              <w:bottom w:val="single" w:sz="4" w:space="0" w:color="auto"/>
              <w:right w:val="single" w:sz="4" w:space="0" w:color="auto"/>
            </w:tcBorders>
            <w:hideMark/>
          </w:tcPr>
          <w:p w14:paraId="03C25783"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383 (17)</w:t>
            </w:r>
          </w:p>
        </w:tc>
        <w:tc>
          <w:tcPr>
            <w:tcW w:w="815" w:type="pct"/>
            <w:tcBorders>
              <w:top w:val="single" w:sz="4" w:space="0" w:color="auto"/>
              <w:left w:val="single" w:sz="4" w:space="0" w:color="auto"/>
              <w:bottom w:val="single" w:sz="4" w:space="0" w:color="auto"/>
              <w:right w:val="single" w:sz="4" w:space="0" w:color="auto"/>
            </w:tcBorders>
            <w:hideMark/>
          </w:tcPr>
          <w:p w14:paraId="51A3EB45"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379 (17)</w:t>
            </w:r>
          </w:p>
        </w:tc>
        <w:tc>
          <w:tcPr>
            <w:tcW w:w="694" w:type="pct"/>
            <w:tcBorders>
              <w:top w:val="single" w:sz="4" w:space="0" w:color="auto"/>
              <w:left w:val="single" w:sz="4" w:space="0" w:color="auto"/>
              <w:bottom w:val="single" w:sz="4" w:space="0" w:color="auto"/>
              <w:right w:val="single" w:sz="4" w:space="0" w:color="auto"/>
            </w:tcBorders>
            <w:vAlign w:val="bottom"/>
          </w:tcPr>
          <w:p w14:paraId="18859621"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82 (5)</w:t>
            </w:r>
          </w:p>
        </w:tc>
        <w:tc>
          <w:tcPr>
            <w:tcW w:w="664" w:type="pct"/>
            <w:tcBorders>
              <w:top w:val="single" w:sz="4" w:space="0" w:color="auto"/>
              <w:left w:val="single" w:sz="4" w:space="0" w:color="auto"/>
              <w:bottom w:val="single" w:sz="4" w:space="0" w:color="auto"/>
              <w:right w:val="single" w:sz="4" w:space="0" w:color="auto"/>
            </w:tcBorders>
            <w:vAlign w:val="bottom"/>
          </w:tcPr>
          <w:p w14:paraId="57DD1E38"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96 (6)</w:t>
            </w:r>
          </w:p>
        </w:tc>
      </w:tr>
      <w:tr w:rsidR="003B46D7" w:rsidRPr="00F2429E" w14:paraId="113C868E" w14:textId="77777777" w:rsidTr="000D5054">
        <w:trPr>
          <w:cantSplit/>
        </w:trPr>
        <w:tc>
          <w:tcPr>
            <w:tcW w:w="2026" w:type="pct"/>
            <w:tcBorders>
              <w:top w:val="single" w:sz="4" w:space="0" w:color="auto"/>
              <w:left w:val="single" w:sz="4" w:space="0" w:color="auto"/>
              <w:bottom w:val="single" w:sz="4" w:space="0" w:color="auto"/>
              <w:right w:val="single" w:sz="4" w:space="0" w:color="auto"/>
            </w:tcBorders>
          </w:tcPr>
          <w:p w14:paraId="372C4BF6"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Blood creatinine increased</w:t>
            </w:r>
          </w:p>
        </w:tc>
        <w:tc>
          <w:tcPr>
            <w:tcW w:w="801" w:type="pct"/>
            <w:tcBorders>
              <w:top w:val="single" w:sz="4" w:space="0" w:color="auto"/>
              <w:left w:val="single" w:sz="4" w:space="0" w:color="auto"/>
              <w:bottom w:val="single" w:sz="4" w:space="0" w:color="auto"/>
              <w:right w:val="single" w:sz="4" w:space="0" w:color="auto"/>
            </w:tcBorders>
          </w:tcPr>
          <w:p w14:paraId="396AF6BB"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379 (17)</w:t>
            </w:r>
          </w:p>
        </w:tc>
        <w:tc>
          <w:tcPr>
            <w:tcW w:w="815" w:type="pct"/>
            <w:tcBorders>
              <w:top w:val="single" w:sz="4" w:space="0" w:color="auto"/>
              <w:left w:val="single" w:sz="4" w:space="0" w:color="auto"/>
              <w:bottom w:val="single" w:sz="4" w:space="0" w:color="auto"/>
              <w:right w:val="single" w:sz="4" w:space="0" w:color="auto"/>
            </w:tcBorders>
          </w:tcPr>
          <w:p w14:paraId="57884005"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426 (19)</w:t>
            </w:r>
          </w:p>
        </w:tc>
        <w:tc>
          <w:tcPr>
            <w:tcW w:w="694" w:type="pct"/>
            <w:tcBorders>
              <w:top w:val="single" w:sz="4" w:space="0" w:color="auto"/>
              <w:left w:val="single" w:sz="4" w:space="0" w:color="auto"/>
              <w:bottom w:val="single" w:sz="4" w:space="0" w:color="auto"/>
              <w:right w:val="single" w:sz="4" w:space="0" w:color="auto"/>
            </w:tcBorders>
            <w:vAlign w:val="bottom"/>
          </w:tcPr>
          <w:p w14:paraId="210CE2B9"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363 (22)</w:t>
            </w:r>
          </w:p>
        </w:tc>
        <w:tc>
          <w:tcPr>
            <w:tcW w:w="664" w:type="pct"/>
            <w:tcBorders>
              <w:top w:val="single" w:sz="4" w:space="0" w:color="auto"/>
              <w:left w:val="single" w:sz="4" w:space="0" w:color="auto"/>
              <w:bottom w:val="single" w:sz="4" w:space="0" w:color="auto"/>
              <w:right w:val="single" w:sz="4" w:space="0" w:color="auto"/>
            </w:tcBorders>
            <w:vAlign w:val="bottom"/>
          </w:tcPr>
          <w:p w14:paraId="0662A40F"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347 (22)</w:t>
            </w:r>
          </w:p>
        </w:tc>
      </w:tr>
      <w:tr w:rsidR="003B46D7" w:rsidRPr="00ED7308" w14:paraId="161604B2" w14:textId="77777777" w:rsidTr="000D5054">
        <w:trPr>
          <w:cantSplit/>
        </w:trPr>
        <w:tc>
          <w:tcPr>
            <w:tcW w:w="2026" w:type="pct"/>
            <w:tcBorders>
              <w:top w:val="single" w:sz="4" w:space="0" w:color="auto"/>
              <w:left w:val="single" w:sz="4" w:space="0" w:color="auto"/>
              <w:bottom w:val="single" w:sz="4" w:space="0" w:color="auto"/>
              <w:right w:val="single" w:sz="4" w:space="0" w:color="auto"/>
            </w:tcBorders>
            <w:hideMark/>
          </w:tcPr>
          <w:p w14:paraId="5A02A46A"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Headache</w:t>
            </w:r>
          </w:p>
        </w:tc>
        <w:tc>
          <w:tcPr>
            <w:tcW w:w="801" w:type="pct"/>
            <w:tcBorders>
              <w:top w:val="single" w:sz="4" w:space="0" w:color="auto"/>
              <w:left w:val="single" w:sz="4" w:space="0" w:color="auto"/>
              <w:bottom w:val="single" w:sz="4" w:space="0" w:color="auto"/>
              <w:right w:val="single" w:sz="4" w:space="0" w:color="auto"/>
            </w:tcBorders>
            <w:hideMark/>
          </w:tcPr>
          <w:p w14:paraId="326A6481"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377 (17)</w:t>
            </w:r>
          </w:p>
        </w:tc>
        <w:tc>
          <w:tcPr>
            <w:tcW w:w="815" w:type="pct"/>
            <w:tcBorders>
              <w:top w:val="single" w:sz="4" w:space="0" w:color="auto"/>
              <w:left w:val="single" w:sz="4" w:space="0" w:color="auto"/>
              <w:bottom w:val="single" w:sz="4" w:space="0" w:color="auto"/>
              <w:right w:val="single" w:sz="4" w:space="0" w:color="auto"/>
            </w:tcBorders>
            <w:hideMark/>
          </w:tcPr>
          <w:p w14:paraId="369E7537"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356 (16)</w:t>
            </w:r>
          </w:p>
        </w:tc>
        <w:tc>
          <w:tcPr>
            <w:tcW w:w="694" w:type="pct"/>
            <w:tcBorders>
              <w:top w:val="single" w:sz="4" w:space="0" w:color="auto"/>
              <w:left w:val="single" w:sz="4" w:space="0" w:color="auto"/>
              <w:bottom w:val="single" w:sz="4" w:space="0" w:color="auto"/>
              <w:right w:val="single" w:sz="4" w:space="0" w:color="auto"/>
            </w:tcBorders>
            <w:vAlign w:val="bottom"/>
          </w:tcPr>
          <w:p w14:paraId="78039C57"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377 (23)</w:t>
            </w:r>
          </w:p>
        </w:tc>
        <w:tc>
          <w:tcPr>
            <w:tcW w:w="664" w:type="pct"/>
            <w:tcBorders>
              <w:top w:val="single" w:sz="4" w:space="0" w:color="auto"/>
              <w:left w:val="single" w:sz="4" w:space="0" w:color="auto"/>
              <w:bottom w:val="single" w:sz="4" w:space="0" w:color="auto"/>
              <w:right w:val="single" w:sz="4" w:space="0" w:color="auto"/>
            </w:tcBorders>
            <w:vAlign w:val="bottom"/>
          </w:tcPr>
          <w:p w14:paraId="3D919BE2"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373 (23)</w:t>
            </w:r>
          </w:p>
        </w:tc>
      </w:tr>
      <w:tr w:rsidR="003B46D7" w:rsidRPr="00ED7308" w14:paraId="74640125" w14:textId="77777777" w:rsidTr="000D5054">
        <w:trPr>
          <w:cantSplit/>
        </w:trPr>
        <w:tc>
          <w:tcPr>
            <w:tcW w:w="2026" w:type="pct"/>
            <w:tcBorders>
              <w:top w:val="single" w:sz="4" w:space="0" w:color="auto"/>
              <w:left w:val="single" w:sz="4" w:space="0" w:color="auto"/>
              <w:bottom w:val="single" w:sz="4" w:space="0" w:color="auto"/>
              <w:right w:val="single" w:sz="4" w:space="0" w:color="auto"/>
            </w:tcBorders>
            <w:hideMark/>
          </w:tcPr>
          <w:p w14:paraId="65BEE11A"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Diarrhoea</w:t>
            </w:r>
          </w:p>
        </w:tc>
        <w:tc>
          <w:tcPr>
            <w:tcW w:w="801" w:type="pct"/>
            <w:tcBorders>
              <w:top w:val="single" w:sz="4" w:space="0" w:color="auto"/>
              <w:left w:val="single" w:sz="4" w:space="0" w:color="auto"/>
              <w:bottom w:val="single" w:sz="4" w:space="0" w:color="auto"/>
              <w:right w:val="single" w:sz="4" w:space="0" w:color="auto"/>
            </w:tcBorders>
            <w:hideMark/>
          </w:tcPr>
          <w:p w14:paraId="66CE8460"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328 (14)</w:t>
            </w:r>
          </w:p>
        </w:tc>
        <w:tc>
          <w:tcPr>
            <w:tcW w:w="815" w:type="pct"/>
            <w:tcBorders>
              <w:top w:val="single" w:sz="4" w:space="0" w:color="auto"/>
              <w:left w:val="single" w:sz="4" w:space="0" w:color="auto"/>
              <w:bottom w:val="single" w:sz="4" w:space="0" w:color="auto"/>
              <w:right w:val="single" w:sz="4" w:space="0" w:color="auto"/>
            </w:tcBorders>
            <w:hideMark/>
          </w:tcPr>
          <w:p w14:paraId="1BB9403A"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336 (15)</w:t>
            </w:r>
          </w:p>
        </w:tc>
        <w:tc>
          <w:tcPr>
            <w:tcW w:w="694" w:type="pct"/>
            <w:tcBorders>
              <w:top w:val="single" w:sz="4" w:space="0" w:color="auto"/>
              <w:left w:val="single" w:sz="4" w:space="0" w:color="auto"/>
              <w:bottom w:val="single" w:sz="4" w:space="0" w:color="auto"/>
              <w:right w:val="single" w:sz="4" w:space="0" w:color="auto"/>
            </w:tcBorders>
            <w:vAlign w:val="bottom"/>
          </w:tcPr>
          <w:p w14:paraId="2CE1B362"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101 (6)</w:t>
            </w:r>
          </w:p>
        </w:tc>
        <w:tc>
          <w:tcPr>
            <w:tcW w:w="664" w:type="pct"/>
            <w:tcBorders>
              <w:top w:val="single" w:sz="4" w:space="0" w:color="auto"/>
              <w:left w:val="single" w:sz="4" w:space="0" w:color="auto"/>
              <w:bottom w:val="single" w:sz="4" w:space="0" w:color="auto"/>
              <w:right w:val="single" w:sz="4" w:space="0" w:color="auto"/>
            </w:tcBorders>
            <w:vAlign w:val="bottom"/>
          </w:tcPr>
          <w:p w14:paraId="69AB86EC"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119 (7)</w:t>
            </w:r>
          </w:p>
        </w:tc>
      </w:tr>
      <w:tr w:rsidR="003B46D7" w:rsidRPr="00ED7308" w14:paraId="1890D6B9" w14:textId="77777777" w:rsidTr="000D5054">
        <w:trPr>
          <w:cantSplit/>
        </w:trPr>
        <w:tc>
          <w:tcPr>
            <w:tcW w:w="2026" w:type="pct"/>
            <w:tcBorders>
              <w:top w:val="single" w:sz="4" w:space="0" w:color="auto"/>
              <w:left w:val="single" w:sz="4" w:space="0" w:color="auto"/>
              <w:bottom w:val="single" w:sz="4" w:space="0" w:color="auto"/>
              <w:right w:val="single" w:sz="4" w:space="0" w:color="auto"/>
            </w:tcBorders>
            <w:hideMark/>
          </w:tcPr>
          <w:p w14:paraId="3B8CDA7C"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Anal chlamydia infection</w:t>
            </w:r>
          </w:p>
        </w:tc>
        <w:tc>
          <w:tcPr>
            <w:tcW w:w="801" w:type="pct"/>
            <w:tcBorders>
              <w:top w:val="single" w:sz="4" w:space="0" w:color="auto"/>
              <w:left w:val="single" w:sz="4" w:space="0" w:color="auto"/>
              <w:bottom w:val="single" w:sz="4" w:space="0" w:color="auto"/>
              <w:right w:val="single" w:sz="4" w:space="0" w:color="auto"/>
            </w:tcBorders>
            <w:hideMark/>
          </w:tcPr>
          <w:p w14:paraId="25A68C35"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264 (12)</w:t>
            </w:r>
          </w:p>
        </w:tc>
        <w:tc>
          <w:tcPr>
            <w:tcW w:w="815" w:type="pct"/>
            <w:tcBorders>
              <w:top w:val="single" w:sz="4" w:space="0" w:color="auto"/>
              <w:left w:val="single" w:sz="4" w:space="0" w:color="auto"/>
              <w:bottom w:val="single" w:sz="4" w:space="0" w:color="auto"/>
              <w:right w:val="single" w:sz="4" w:space="0" w:color="auto"/>
            </w:tcBorders>
            <w:hideMark/>
          </w:tcPr>
          <w:p w14:paraId="015D99D6"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297 (13)</w:t>
            </w:r>
          </w:p>
        </w:tc>
        <w:tc>
          <w:tcPr>
            <w:tcW w:w="694" w:type="pct"/>
            <w:tcBorders>
              <w:top w:val="single" w:sz="4" w:space="0" w:color="auto"/>
              <w:left w:val="single" w:sz="4" w:space="0" w:color="auto"/>
              <w:bottom w:val="single" w:sz="4" w:space="0" w:color="auto"/>
              <w:right w:val="single" w:sz="4" w:space="0" w:color="auto"/>
            </w:tcBorders>
          </w:tcPr>
          <w:p w14:paraId="7EE34C47"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w:t>
            </w:r>
          </w:p>
        </w:tc>
        <w:tc>
          <w:tcPr>
            <w:tcW w:w="664" w:type="pct"/>
            <w:tcBorders>
              <w:top w:val="single" w:sz="4" w:space="0" w:color="auto"/>
              <w:left w:val="single" w:sz="4" w:space="0" w:color="auto"/>
              <w:bottom w:val="single" w:sz="4" w:space="0" w:color="auto"/>
              <w:right w:val="single" w:sz="4" w:space="0" w:color="auto"/>
            </w:tcBorders>
          </w:tcPr>
          <w:p w14:paraId="70F24012"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w:t>
            </w:r>
          </w:p>
        </w:tc>
      </w:tr>
      <w:tr w:rsidR="003B46D7" w:rsidRPr="00ED7308" w14:paraId="5400A5F0" w14:textId="77777777" w:rsidTr="000D5054">
        <w:trPr>
          <w:cantSplit/>
        </w:trPr>
        <w:tc>
          <w:tcPr>
            <w:tcW w:w="2026" w:type="pct"/>
            <w:tcBorders>
              <w:top w:val="single" w:sz="4" w:space="0" w:color="auto"/>
              <w:left w:val="single" w:sz="4" w:space="0" w:color="auto"/>
              <w:bottom w:val="single" w:sz="4" w:space="0" w:color="auto"/>
              <w:right w:val="single" w:sz="4" w:space="0" w:color="auto"/>
            </w:tcBorders>
            <w:hideMark/>
          </w:tcPr>
          <w:p w14:paraId="078A2524"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Upper respiratory tract infection</w:t>
            </w:r>
          </w:p>
        </w:tc>
        <w:tc>
          <w:tcPr>
            <w:tcW w:w="801" w:type="pct"/>
            <w:tcBorders>
              <w:top w:val="single" w:sz="4" w:space="0" w:color="auto"/>
              <w:left w:val="single" w:sz="4" w:space="0" w:color="auto"/>
              <w:bottom w:val="single" w:sz="4" w:space="0" w:color="auto"/>
              <w:right w:val="single" w:sz="4" w:space="0" w:color="auto"/>
            </w:tcBorders>
            <w:hideMark/>
          </w:tcPr>
          <w:p w14:paraId="59BF96D1"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264 (12)</w:t>
            </w:r>
          </w:p>
        </w:tc>
        <w:tc>
          <w:tcPr>
            <w:tcW w:w="815" w:type="pct"/>
            <w:tcBorders>
              <w:top w:val="single" w:sz="4" w:space="0" w:color="auto"/>
              <w:left w:val="single" w:sz="4" w:space="0" w:color="auto"/>
              <w:bottom w:val="single" w:sz="4" w:space="0" w:color="auto"/>
              <w:right w:val="single" w:sz="4" w:space="0" w:color="auto"/>
            </w:tcBorders>
            <w:hideMark/>
          </w:tcPr>
          <w:p w14:paraId="2609A75E"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271 (12)</w:t>
            </w:r>
          </w:p>
        </w:tc>
        <w:tc>
          <w:tcPr>
            <w:tcW w:w="694" w:type="pct"/>
            <w:tcBorders>
              <w:top w:val="single" w:sz="4" w:space="0" w:color="auto"/>
              <w:left w:val="single" w:sz="4" w:space="0" w:color="auto"/>
              <w:bottom w:val="single" w:sz="4" w:space="0" w:color="auto"/>
              <w:right w:val="single" w:sz="4" w:space="0" w:color="auto"/>
            </w:tcBorders>
            <w:vAlign w:val="bottom"/>
          </w:tcPr>
          <w:p w14:paraId="5B669A03"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268 (17)</w:t>
            </w:r>
          </w:p>
        </w:tc>
        <w:tc>
          <w:tcPr>
            <w:tcW w:w="664" w:type="pct"/>
            <w:tcBorders>
              <w:top w:val="single" w:sz="4" w:space="0" w:color="auto"/>
              <w:left w:val="single" w:sz="4" w:space="0" w:color="auto"/>
              <w:bottom w:val="single" w:sz="4" w:space="0" w:color="auto"/>
              <w:right w:val="single" w:sz="4" w:space="0" w:color="auto"/>
            </w:tcBorders>
            <w:vAlign w:val="bottom"/>
          </w:tcPr>
          <w:p w14:paraId="0A2F4F44"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293 (18)</w:t>
            </w:r>
          </w:p>
        </w:tc>
      </w:tr>
      <w:tr w:rsidR="003B46D7" w:rsidRPr="00ED7308" w14:paraId="44950A2A" w14:textId="77777777" w:rsidTr="000D5054">
        <w:trPr>
          <w:cantSplit/>
        </w:trPr>
        <w:tc>
          <w:tcPr>
            <w:tcW w:w="2026" w:type="pct"/>
            <w:tcBorders>
              <w:top w:val="single" w:sz="4" w:space="0" w:color="auto"/>
              <w:left w:val="single" w:sz="4" w:space="0" w:color="auto"/>
              <w:bottom w:val="single" w:sz="4" w:space="0" w:color="auto"/>
              <w:right w:val="single" w:sz="4" w:space="0" w:color="auto"/>
            </w:tcBorders>
            <w:hideMark/>
          </w:tcPr>
          <w:p w14:paraId="37EAD7E8"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Injection site nodule</w:t>
            </w:r>
          </w:p>
        </w:tc>
        <w:tc>
          <w:tcPr>
            <w:tcW w:w="801" w:type="pct"/>
            <w:tcBorders>
              <w:top w:val="single" w:sz="4" w:space="0" w:color="auto"/>
              <w:left w:val="single" w:sz="4" w:space="0" w:color="auto"/>
              <w:bottom w:val="single" w:sz="4" w:space="0" w:color="auto"/>
              <w:right w:val="single" w:sz="4" w:space="0" w:color="auto"/>
            </w:tcBorders>
            <w:hideMark/>
          </w:tcPr>
          <w:p w14:paraId="4769B274"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263 (12)</w:t>
            </w:r>
          </w:p>
        </w:tc>
        <w:tc>
          <w:tcPr>
            <w:tcW w:w="815" w:type="pct"/>
            <w:tcBorders>
              <w:top w:val="single" w:sz="4" w:space="0" w:color="auto"/>
              <w:left w:val="single" w:sz="4" w:space="0" w:color="auto"/>
              <w:bottom w:val="single" w:sz="4" w:space="0" w:color="auto"/>
              <w:right w:val="single" w:sz="4" w:space="0" w:color="auto"/>
            </w:tcBorders>
            <w:hideMark/>
          </w:tcPr>
          <w:p w14:paraId="3CEFD772"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13 (&lt;1)</w:t>
            </w:r>
          </w:p>
        </w:tc>
        <w:tc>
          <w:tcPr>
            <w:tcW w:w="694" w:type="pct"/>
            <w:tcBorders>
              <w:top w:val="single" w:sz="4" w:space="0" w:color="auto"/>
              <w:left w:val="single" w:sz="4" w:space="0" w:color="auto"/>
              <w:bottom w:val="single" w:sz="4" w:space="0" w:color="auto"/>
              <w:right w:val="single" w:sz="4" w:space="0" w:color="auto"/>
            </w:tcBorders>
            <w:vAlign w:val="bottom"/>
          </w:tcPr>
          <w:p w14:paraId="5828F8F2"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80 (5)</w:t>
            </w:r>
          </w:p>
        </w:tc>
        <w:tc>
          <w:tcPr>
            <w:tcW w:w="664" w:type="pct"/>
            <w:tcBorders>
              <w:top w:val="single" w:sz="4" w:space="0" w:color="auto"/>
              <w:left w:val="single" w:sz="4" w:space="0" w:color="auto"/>
              <w:bottom w:val="single" w:sz="4" w:space="0" w:color="auto"/>
              <w:right w:val="single" w:sz="4" w:space="0" w:color="auto"/>
            </w:tcBorders>
            <w:vAlign w:val="bottom"/>
          </w:tcPr>
          <w:p w14:paraId="36E32F29"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5 (&lt;1)</w:t>
            </w:r>
          </w:p>
        </w:tc>
      </w:tr>
      <w:tr w:rsidR="003B46D7" w:rsidRPr="00ED7308" w14:paraId="7446B400" w14:textId="77777777" w:rsidTr="000D5054">
        <w:trPr>
          <w:cantSplit/>
        </w:trPr>
        <w:tc>
          <w:tcPr>
            <w:tcW w:w="2026" w:type="pct"/>
            <w:tcBorders>
              <w:top w:val="single" w:sz="4" w:space="0" w:color="auto"/>
              <w:left w:val="single" w:sz="4" w:space="0" w:color="auto"/>
              <w:bottom w:val="single" w:sz="4" w:space="0" w:color="auto"/>
              <w:right w:val="single" w:sz="4" w:space="0" w:color="auto"/>
            </w:tcBorders>
            <w:hideMark/>
          </w:tcPr>
          <w:p w14:paraId="24B3D808"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Lipase increased</w:t>
            </w:r>
          </w:p>
        </w:tc>
        <w:tc>
          <w:tcPr>
            <w:tcW w:w="801" w:type="pct"/>
            <w:tcBorders>
              <w:top w:val="single" w:sz="4" w:space="0" w:color="auto"/>
              <w:left w:val="single" w:sz="4" w:space="0" w:color="auto"/>
              <w:bottom w:val="single" w:sz="4" w:space="0" w:color="auto"/>
              <w:right w:val="single" w:sz="4" w:space="0" w:color="auto"/>
            </w:tcBorders>
            <w:hideMark/>
          </w:tcPr>
          <w:p w14:paraId="22737E87"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255 (11)</w:t>
            </w:r>
          </w:p>
        </w:tc>
        <w:tc>
          <w:tcPr>
            <w:tcW w:w="815" w:type="pct"/>
            <w:tcBorders>
              <w:top w:val="single" w:sz="4" w:space="0" w:color="auto"/>
              <w:left w:val="single" w:sz="4" w:space="0" w:color="auto"/>
              <w:bottom w:val="single" w:sz="4" w:space="0" w:color="auto"/>
              <w:right w:val="single" w:sz="4" w:space="0" w:color="auto"/>
            </w:tcBorders>
            <w:hideMark/>
          </w:tcPr>
          <w:p w14:paraId="43C9CFCB"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272 (12)</w:t>
            </w:r>
          </w:p>
        </w:tc>
        <w:tc>
          <w:tcPr>
            <w:tcW w:w="694" w:type="pct"/>
            <w:tcBorders>
              <w:top w:val="single" w:sz="4" w:space="0" w:color="auto"/>
              <w:left w:val="single" w:sz="4" w:space="0" w:color="auto"/>
              <w:bottom w:val="single" w:sz="4" w:space="0" w:color="auto"/>
              <w:right w:val="single" w:sz="4" w:space="0" w:color="auto"/>
            </w:tcBorders>
            <w:vAlign w:val="bottom"/>
          </w:tcPr>
          <w:p w14:paraId="303574EA"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198 (12)</w:t>
            </w:r>
          </w:p>
        </w:tc>
        <w:tc>
          <w:tcPr>
            <w:tcW w:w="664" w:type="pct"/>
            <w:tcBorders>
              <w:top w:val="single" w:sz="4" w:space="0" w:color="auto"/>
              <w:left w:val="single" w:sz="4" w:space="0" w:color="auto"/>
              <w:bottom w:val="single" w:sz="4" w:space="0" w:color="auto"/>
              <w:right w:val="single" w:sz="4" w:space="0" w:color="auto"/>
            </w:tcBorders>
            <w:vAlign w:val="bottom"/>
          </w:tcPr>
          <w:p w14:paraId="0DD30A81"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171 (11)</w:t>
            </w:r>
          </w:p>
        </w:tc>
      </w:tr>
      <w:tr w:rsidR="003B46D7" w:rsidRPr="00ED7308" w14:paraId="506BE5E8" w14:textId="77777777" w:rsidTr="000D5054">
        <w:trPr>
          <w:cantSplit/>
        </w:trPr>
        <w:tc>
          <w:tcPr>
            <w:tcW w:w="2026" w:type="pct"/>
            <w:tcBorders>
              <w:top w:val="single" w:sz="4" w:space="0" w:color="auto"/>
              <w:left w:val="single" w:sz="4" w:space="0" w:color="auto"/>
              <w:bottom w:val="single" w:sz="4" w:space="0" w:color="auto"/>
              <w:right w:val="single" w:sz="4" w:space="0" w:color="auto"/>
            </w:tcBorders>
            <w:hideMark/>
          </w:tcPr>
          <w:p w14:paraId="57746C98"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Injection site induration</w:t>
            </w:r>
          </w:p>
        </w:tc>
        <w:tc>
          <w:tcPr>
            <w:tcW w:w="801" w:type="pct"/>
            <w:tcBorders>
              <w:top w:val="single" w:sz="4" w:space="0" w:color="auto"/>
              <w:left w:val="single" w:sz="4" w:space="0" w:color="auto"/>
              <w:bottom w:val="single" w:sz="4" w:space="0" w:color="auto"/>
              <w:right w:val="single" w:sz="4" w:space="0" w:color="auto"/>
            </w:tcBorders>
            <w:hideMark/>
          </w:tcPr>
          <w:p w14:paraId="2876E228"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255 (11)</w:t>
            </w:r>
          </w:p>
        </w:tc>
        <w:tc>
          <w:tcPr>
            <w:tcW w:w="815" w:type="pct"/>
            <w:tcBorders>
              <w:top w:val="single" w:sz="4" w:space="0" w:color="auto"/>
              <w:left w:val="single" w:sz="4" w:space="0" w:color="auto"/>
              <w:bottom w:val="single" w:sz="4" w:space="0" w:color="auto"/>
              <w:right w:val="single" w:sz="4" w:space="0" w:color="auto"/>
            </w:tcBorders>
            <w:hideMark/>
          </w:tcPr>
          <w:p w14:paraId="73CED153"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8 (&lt;1)</w:t>
            </w:r>
          </w:p>
        </w:tc>
        <w:tc>
          <w:tcPr>
            <w:tcW w:w="694" w:type="pct"/>
            <w:tcBorders>
              <w:top w:val="single" w:sz="4" w:space="0" w:color="auto"/>
              <w:left w:val="single" w:sz="4" w:space="0" w:color="auto"/>
              <w:bottom w:val="single" w:sz="4" w:space="0" w:color="auto"/>
              <w:right w:val="single" w:sz="4" w:space="0" w:color="auto"/>
            </w:tcBorders>
          </w:tcPr>
          <w:p w14:paraId="60415137"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70 (4)</w:t>
            </w:r>
          </w:p>
        </w:tc>
        <w:tc>
          <w:tcPr>
            <w:tcW w:w="664" w:type="pct"/>
            <w:tcBorders>
              <w:top w:val="single" w:sz="4" w:space="0" w:color="auto"/>
              <w:left w:val="single" w:sz="4" w:space="0" w:color="auto"/>
              <w:bottom w:val="single" w:sz="4" w:space="0" w:color="auto"/>
              <w:right w:val="single" w:sz="4" w:space="0" w:color="auto"/>
            </w:tcBorders>
          </w:tcPr>
          <w:p w14:paraId="44D592C2"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4 (&lt;1)</w:t>
            </w:r>
          </w:p>
        </w:tc>
      </w:tr>
      <w:tr w:rsidR="003B46D7" w:rsidRPr="00ED7308" w14:paraId="77D48454" w14:textId="77777777" w:rsidTr="000D5054">
        <w:trPr>
          <w:cantSplit/>
        </w:trPr>
        <w:tc>
          <w:tcPr>
            <w:tcW w:w="2026" w:type="pct"/>
            <w:tcBorders>
              <w:top w:val="single" w:sz="4" w:space="0" w:color="auto"/>
              <w:left w:val="single" w:sz="4" w:space="0" w:color="auto"/>
              <w:bottom w:val="single" w:sz="4" w:space="0" w:color="auto"/>
              <w:right w:val="single" w:sz="4" w:space="0" w:color="auto"/>
            </w:tcBorders>
            <w:hideMark/>
          </w:tcPr>
          <w:p w14:paraId="565FCF6B"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Blood glucose increased</w:t>
            </w:r>
          </w:p>
        </w:tc>
        <w:tc>
          <w:tcPr>
            <w:tcW w:w="801" w:type="pct"/>
            <w:tcBorders>
              <w:top w:val="single" w:sz="4" w:space="0" w:color="auto"/>
              <w:left w:val="single" w:sz="4" w:space="0" w:color="auto"/>
              <w:bottom w:val="single" w:sz="4" w:space="0" w:color="auto"/>
              <w:right w:val="single" w:sz="4" w:space="0" w:color="auto"/>
            </w:tcBorders>
            <w:hideMark/>
          </w:tcPr>
          <w:p w14:paraId="34A5296B"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247 (11)</w:t>
            </w:r>
          </w:p>
        </w:tc>
        <w:tc>
          <w:tcPr>
            <w:tcW w:w="815" w:type="pct"/>
            <w:tcBorders>
              <w:top w:val="single" w:sz="4" w:space="0" w:color="auto"/>
              <w:left w:val="single" w:sz="4" w:space="0" w:color="auto"/>
              <w:bottom w:val="single" w:sz="4" w:space="0" w:color="auto"/>
              <w:right w:val="single" w:sz="4" w:space="0" w:color="auto"/>
            </w:tcBorders>
            <w:hideMark/>
          </w:tcPr>
          <w:p w14:paraId="3F32B6C7"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166 (7)</w:t>
            </w:r>
          </w:p>
        </w:tc>
        <w:tc>
          <w:tcPr>
            <w:tcW w:w="694" w:type="pct"/>
            <w:tcBorders>
              <w:top w:val="single" w:sz="4" w:space="0" w:color="auto"/>
              <w:left w:val="single" w:sz="4" w:space="0" w:color="auto"/>
              <w:bottom w:val="single" w:sz="4" w:space="0" w:color="auto"/>
              <w:right w:val="single" w:sz="4" w:space="0" w:color="auto"/>
            </w:tcBorders>
            <w:vAlign w:val="bottom"/>
          </w:tcPr>
          <w:p w14:paraId="179AC005"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584 (36)</w:t>
            </w:r>
          </w:p>
        </w:tc>
        <w:tc>
          <w:tcPr>
            <w:tcW w:w="664" w:type="pct"/>
            <w:tcBorders>
              <w:top w:val="single" w:sz="4" w:space="0" w:color="auto"/>
              <w:left w:val="single" w:sz="4" w:space="0" w:color="auto"/>
              <w:bottom w:val="single" w:sz="4" w:space="0" w:color="auto"/>
              <w:right w:val="single" w:sz="4" w:space="0" w:color="auto"/>
            </w:tcBorders>
            <w:vAlign w:val="bottom"/>
          </w:tcPr>
          <w:p w14:paraId="26C53D7C"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451 (28)</w:t>
            </w:r>
          </w:p>
        </w:tc>
      </w:tr>
      <w:tr w:rsidR="003B46D7" w:rsidRPr="00ED7308" w14:paraId="72663C77" w14:textId="77777777" w:rsidTr="000D5054">
        <w:trPr>
          <w:cantSplit/>
        </w:trPr>
        <w:tc>
          <w:tcPr>
            <w:tcW w:w="2026" w:type="pct"/>
            <w:tcBorders>
              <w:top w:val="single" w:sz="4" w:space="0" w:color="auto"/>
              <w:left w:val="single" w:sz="4" w:space="0" w:color="auto"/>
              <w:bottom w:val="single" w:sz="4" w:space="0" w:color="auto"/>
              <w:right w:val="single" w:sz="4" w:space="0" w:color="auto"/>
            </w:tcBorders>
            <w:hideMark/>
          </w:tcPr>
          <w:p w14:paraId="2EE572E4"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Pyrexia</w:t>
            </w:r>
          </w:p>
        </w:tc>
        <w:tc>
          <w:tcPr>
            <w:tcW w:w="801" w:type="pct"/>
            <w:tcBorders>
              <w:top w:val="single" w:sz="4" w:space="0" w:color="auto"/>
              <w:left w:val="single" w:sz="4" w:space="0" w:color="auto"/>
              <w:bottom w:val="single" w:sz="4" w:space="0" w:color="auto"/>
              <w:right w:val="single" w:sz="4" w:space="0" w:color="auto"/>
            </w:tcBorders>
            <w:hideMark/>
          </w:tcPr>
          <w:p w14:paraId="33756FB8"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232 (10)</w:t>
            </w:r>
          </w:p>
        </w:tc>
        <w:tc>
          <w:tcPr>
            <w:tcW w:w="815" w:type="pct"/>
            <w:tcBorders>
              <w:top w:val="single" w:sz="4" w:space="0" w:color="auto"/>
              <w:left w:val="single" w:sz="4" w:space="0" w:color="auto"/>
              <w:bottom w:val="single" w:sz="4" w:space="0" w:color="auto"/>
              <w:right w:val="single" w:sz="4" w:space="0" w:color="auto"/>
            </w:tcBorders>
            <w:hideMark/>
          </w:tcPr>
          <w:p w14:paraId="3B4BA5FC"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112 (5)</w:t>
            </w:r>
          </w:p>
        </w:tc>
        <w:tc>
          <w:tcPr>
            <w:tcW w:w="694" w:type="pct"/>
            <w:tcBorders>
              <w:top w:val="single" w:sz="4" w:space="0" w:color="auto"/>
              <w:left w:val="single" w:sz="4" w:space="0" w:color="auto"/>
              <w:bottom w:val="single" w:sz="4" w:space="0" w:color="auto"/>
              <w:right w:val="single" w:sz="4" w:space="0" w:color="auto"/>
            </w:tcBorders>
          </w:tcPr>
          <w:p w14:paraId="602B7A9A"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22 (1)</w:t>
            </w:r>
          </w:p>
        </w:tc>
        <w:tc>
          <w:tcPr>
            <w:tcW w:w="664" w:type="pct"/>
            <w:tcBorders>
              <w:top w:val="single" w:sz="4" w:space="0" w:color="auto"/>
              <w:left w:val="single" w:sz="4" w:space="0" w:color="auto"/>
              <w:bottom w:val="single" w:sz="4" w:space="0" w:color="auto"/>
              <w:right w:val="single" w:sz="4" w:space="0" w:color="auto"/>
            </w:tcBorders>
          </w:tcPr>
          <w:p w14:paraId="7F0B5FC6"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21 (1)</w:t>
            </w:r>
          </w:p>
        </w:tc>
      </w:tr>
      <w:tr w:rsidR="003B46D7" w:rsidRPr="00ED7308" w14:paraId="5637F855" w14:textId="77777777" w:rsidTr="000D5054">
        <w:trPr>
          <w:cantSplit/>
        </w:trPr>
        <w:tc>
          <w:tcPr>
            <w:tcW w:w="2026" w:type="pct"/>
            <w:tcBorders>
              <w:top w:val="single" w:sz="4" w:space="0" w:color="auto"/>
              <w:left w:val="single" w:sz="4" w:space="0" w:color="auto"/>
              <w:bottom w:val="single" w:sz="4" w:space="0" w:color="auto"/>
              <w:right w:val="single" w:sz="4" w:space="0" w:color="auto"/>
            </w:tcBorders>
            <w:hideMark/>
          </w:tcPr>
          <w:p w14:paraId="572AA614"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Proctitis gonococcal</w:t>
            </w:r>
          </w:p>
        </w:tc>
        <w:tc>
          <w:tcPr>
            <w:tcW w:w="801" w:type="pct"/>
            <w:tcBorders>
              <w:top w:val="single" w:sz="4" w:space="0" w:color="auto"/>
              <w:left w:val="single" w:sz="4" w:space="0" w:color="auto"/>
              <w:bottom w:val="single" w:sz="4" w:space="0" w:color="auto"/>
              <w:right w:val="single" w:sz="4" w:space="0" w:color="auto"/>
            </w:tcBorders>
            <w:hideMark/>
          </w:tcPr>
          <w:p w14:paraId="1A32290E"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220 (10)</w:t>
            </w:r>
          </w:p>
        </w:tc>
        <w:tc>
          <w:tcPr>
            <w:tcW w:w="815" w:type="pct"/>
            <w:tcBorders>
              <w:top w:val="single" w:sz="4" w:space="0" w:color="auto"/>
              <w:left w:val="single" w:sz="4" w:space="0" w:color="auto"/>
              <w:bottom w:val="single" w:sz="4" w:space="0" w:color="auto"/>
              <w:right w:val="single" w:sz="4" w:space="0" w:color="auto"/>
            </w:tcBorders>
            <w:hideMark/>
          </w:tcPr>
          <w:p w14:paraId="115DC51F"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236 (10)</w:t>
            </w:r>
          </w:p>
        </w:tc>
        <w:tc>
          <w:tcPr>
            <w:tcW w:w="694" w:type="pct"/>
            <w:tcBorders>
              <w:top w:val="single" w:sz="4" w:space="0" w:color="auto"/>
              <w:left w:val="single" w:sz="4" w:space="0" w:color="auto"/>
              <w:bottom w:val="single" w:sz="4" w:space="0" w:color="auto"/>
              <w:right w:val="single" w:sz="4" w:space="0" w:color="auto"/>
            </w:tcBorders>
          </w:tcPr>
          <w:p w14:paraId="555FF13B"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w:t>
            </w:r>
          </w:p>
        </w:tc>
        <w:tc>
          <w:tcPr>
            <w:tcW w:w="664" w:type="pct"/>
            <w:tcBorders>
              <w:top w:val="single" w:sz="4" w:space="0" w:color="auto"/>
              <w:left w:val="single" w:sz="4" w:space="0" w:color="auto"/>
              <w:bottom w:val="single" w:sz="4" w:space="0" w:color="auto"/>
              <w:right w:val="single" w:sz="4" w:space="0" w:color="auto"/>
            </w:tcBorders>
          </w:tcPr>
          <w:p w14:paraId="5CB63C66"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w:t>
            </w:r>
          </w:p>
        </w:tc>
      </w:tr>
      <w:tr w:rsidR="003B46D7" w:rsidRPr="00ED7308" w14:paraId="3695DFF1" w14:textId="77777777" w:rsidTr="000D5054">
        <w:trPr>
          <w:cantSplit/>
        </w:trPr>
        <w:tc>
          <w:tcPr>
            <w:tcW w:w="2026" w:type="pct"/>
            <w:tcBorders>
              <w:top w:val="single" w:sz="4" w:space="0" w:color="auto"/>
              <w:left w:val="single" w:sz="4" w:space="0" w:color="auto"/>
              <w:bottom w:val="single" w:sz="4" w:space="0" w:color="auto"/>
              <w:right w:val="single" w:sz="4" w:space="0" w:color="auto"/>
            </w:tcBorders>
            <w:hideMark/>
          </w:tcPr>
          <w:p w14:paraId="3C3EC892"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Aspartate aminotransferase increased</w:t>
            </w:r>
          </w:p>
        </w:tc>
        <w:tc>
          <w:tcPr>
            <w:tcW w:w="801" w:type="pct"/>
            <w:tcBorders>
              <w:top w:val="single" w:sz="4" w:space="0" w:color="auto"/>
              <w:left w:val="single" w:sz="4" w:space="0" w:color="auto"/>
              <w:bottom w:val="single" w:sz="4" w:space="0" w:color="auto"/>
              <w:right w:val="single" w:sz="4" w:space="0" w:color="auto"/>
            </w:tcBorders>
            <w:hideMark/>
          </w:tcPr>
          <w:p w14:paraId="4FA14DE6"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213 (9)</w:t>
            </w:r>
          </w:p>
        </w:tc>
        <w:tc>
          <w:tcPr>
            <w:tcW w:w="815" w:type="pct"/>
            <w:tcBorders>
              <w:top w:val="single" w:sz="4" w:space="0" w:color="auto"/>
              <w:left w:val="single" w:sz="4" w:space="0" w:color="auto"/>
              <w:bottom w:val="single" w:sz="4" w:space="0" w:color="auto"/>
              <w:right w:val="single" w:sz="4" w:space="0" w:color="auto"/>
            </w:tcBorders>
            <w:hideMark/>
          </w:tcPr>
          <w:p w14:paraId="7A36479E"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220 (10)</w:t>
            </w:r>
          </w:p>
        </w:tc>
        <w:tc>
          <w:tcPr>
            <w:tcW w:w="694" w:type="pct"/>
            <w:tcBorders>
              <w:top w:val="single" w:sz="4" w:space="0" w:color="auto"/>
              <w:left w:val="single" w:sz="4" w:space="0" w:color="auto"/>
              <w:bottom w:val="single" w:sz="4" w:space="0" w:color="auto"/>
              <w:right w:val="single" w:sz="4" w:space="0" w:color="auto"/>
            </w:tcBorders>
            <w:vAlign w:val="bottom"/>
          </w:tcPr>
          <w:p w14:paraId="0F667B27"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212 (13)</w:t>
            </w:r>
          </w:p>
        </w:tc>
        <w:tc>
          <w:tcPr>
            <w:tcW w:w="664" w:type="pct"/>
            <w:tcBorders>
              <w:top w:val="single" w:sz="4" w:space="0" w:color="auto"/>
              <w:left w:val="single" w:sz="4" w:space="0" w:color="auto"/>
              <w:bottom w:val="single" w:sz="4" w:space="0" w:color="auto"/>
              <w:right w:val="single" w:sz="4" w:space="0" w:color="auto"/>
            </w:tcBorders>
            <w:vAlign w:val="bottom"/>
          </w:tcPr>
          <w:p w14:paraId="698F394B"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181 (11)</w:t>
            </w:r>
          </w:p>
        </w:tc>
      </w:tr>
      <w:tr w:rsidR="003B46D7" w:rsidRPr="00ED7308" w14:paraId="2E2EBF67" w14:textId="77777777" w:rsidTr="000D5054">
        <w:trPr>
          <w:cantSplit/>
        </w:trPr>
        <w:tc>
          <w:tcPr>
            <w:tcW w:w="2026" w:type="pct"/>
            <w:tcBorders>
              <w:top w:val="single" w:sz="4" w:space="0" w:color="auto"/>
              <w:left w:val="single" w:sz="4" w:space="0" w:color="auto"/>
              <w:bottom w:val="single" w:sz="4" w:space="0" w:color="auto"/>
              <w:right w:val="single" w:sz="4" w:space="0" w:color="auto"/>
            </w:tcBorders>
            <w:hideMark/>
          </w:tcPr>
          <w:p w14:paraId="2EBCF765"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Alanine aminotransferase increased</w:t>
            </w:r>
          </w:p>
        </w:tc>
        <w:tc>
          <w:tcPr>
            <w:tcW w:w="801" w:type="pct"/>
            <w:tcBorders>
              <w:top w:val="single" w:sz="4" w:space="0" w:color="auto"/>
              <w:left w:val="single" w:sz="4" w:space="0" w:color="auto"/>
              <w:bottom w:val="single" w:sz="4" w:space="0" w:color="auto"/>
              <w:right w:val="single" w:sz="4" w:space="0" w:color="auto"/>
            </w:tcBorders>
            <w:hideMark/>
          </w:tcPr>
          <w:p w14:paraId="226BA52D"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186 (8)</w:t>
            </w:r>
          </w:p>
        </w:tc>
        <w:tc>
          <w:tcPr>
            <w:tcW w:w="815" w:type="pct"/>
            <w:tcBorders>
              <w:top w:val="single" w:sz="4" w:space="0" w:color="auto"/>
              <w:left w:val="single" w:sz="4" w:space="0" w:color="auto"/>
              <w:bottom w:val="single" w:sz="4" w:space="0" w:color="auto"/>
              <w:right w:val="single" w:sz="4" w:space="0" w:color="auto"/>
            </w:tcBorders>
            <w:hideMark/>
          </w:tcPr>
          <w:p w14:paraId="16AC6DC4"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220 (10)</w:t>
            </w:r>
          </w:p>
        </w:tc>
        <w:tc>
          <w:tcPr>
            <w:tcW w:w="694" w:type="pct"/>
            <w:tcBorders>
              <w:top w:val="single" w:sz="4" w:space="0" w:color="auto"/>
              <w:left w:val="single" w:sz="4" w:space="0" w:color="auto"/>
              <w:bottom w:val="single" w:sz="4" w:space="0" w:color="auto"/>
              <w:right w:val="single" w:sz="4" w:space="0" w:color="auto"/>
            </w:tcBorders>
            <w:vAlign w:val="bottom"/>
          </w:tcPr>
          <w:p w14:paraId="6FFBB771"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232 (14)</w:t>
            </w:r>
          </w:p>
        </w:tc>
        <w:tc>
          <w:tcPr>
            <w:tcW w:w="664" w:type="pct"/>
            <w:tcBorders>
              <w:top w:val="single" w:sz="4" w:space="0" w:color="auto"/>
              <w:left w:val="single" w:sz="4" w:space="0" w:color="auto"/>
              <w:bottom w:val="single" w:sz="4" w:space="0" w:color="auto"/>
              <w:right w:val="single" w:sz="4" w:space="0" w:color="auto"/>
            </w:tcBorders>
            <w:vAlign w:val="bottom"/>
          </w:tcPr>
          <w:p w14:paraId="26B94F95"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228 (14)</w:t>
            </w:r>
          </w:p>
        </w:tc>
      </w:tr>
      <w:tr w:rsidR="003B46D7" w:rsidRPr="00ED7308" w14:paraId="61B83B6A" w14:textId="77777777" w:rsidTr="000D5054">
        <w:trPr>
          <w:cantSplit/>
        </w:trPr>
        <w:tc>
          <w:tcPr>
            <w:tcW w:w="2026" w:type="pct"/>
            <w:tcBorders>
              <w:top w:val="single" w:sz="4" w:space="0" w:color="auto"/>
              <w:left w:val="single" w:sz="4" w:space="0" w:color="auto"/>
              <w:bottom w:val="single" w:sz="4" w:space="0" w:color="auto"/>
              <w:right w:val="single" w:sz="4" w:space="0" w:color="auto"/>
            </w:tcBorders>
          </w:tcPr>
          <w:p w14:paraId="527195B4"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Amylase increased</w:t>
            </w:r>
          </w:p>
        </w:tc>
        <w:tc>
          <w:tcPr>
            <w:tcW w:w="801" w:type="pct"/>
            <w:tcBorders>
              <w:top w:val="single" w:sz="4" w:space="0" w:color="auto"/>
              <w:left w:val="single" w:sz="4" w:space="0" w:color="auto"/>
              <w:bottom w:val="single" w:sz="4" w:space="0" w:color="auto"/>
              <w:right w:val="single" w:sz="4" w:space="0" w:color="auto"/>
            </w:tcBorders>
          </w:tcPr>
          <w:p w14:paraId="6A88F893"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158 (7)</w:t>
            </w:r>
          </w:p>
        </w:tc>
        <w:tc>
          <w:tcPr>
            <w:tcW w:w="815" w:type="pct"/>
            <w:tcBorders>
              <w:top w:val="single" w:sz="4" w:space="0" w:color="auto"/>
              <w:left w:val="single" w:sz="4" w:space="0" w:color="auto"/>
              <w:bottom w:val="single" w:sz="4" w:space="0" w:color="auto"/>
              <w:right w:val="single" w:sz="4" w:space="0" w:color="auto"/>
            </w:tcBorders>
          </w:tcPr>
          <w:p w14:paraId="23B5059B"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183 (8)</w:t>
            </w:r>
          </w:p>
        </w:tc>
        <w:tc>
          <w:tcPr>
            <w:tcW w:w="694" w:type="pct"/>
            <w:tcBorders>
              <w:top w:val="single" w:sz="4" w:space="0" w:color="auto"/>
              <w:left w:val="single" w:sz="4" w:space="0" w:color="auto"/>
              <w:bottom w:val="single" w:sz="4" w:space="0" w:color="auto"/>
              <w:right w:val="single" w:sz="4" w:space="0" w:color="auto"/>
            </w:tcBorders>
            <w:vAlign w:val="bottom"/>
          </w:tcPr>
          <w:p w14:paraId="72A4DBDB"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558 (35)</w:t>
            </w:r>
          </w:p>
        </w:tc>
        <w:tc>
          <w:tcPr>
            <w:tcW w:w="664" w:type="pct"/>
            <w:tcBorders>
              <w:top w:val="single" w:sz="4" w:space="0" w:color="auto"/>
              <w:left w:val="single" w:sz="4" w:space="0" w:color="auto"/>
              <w:bottom w:val="single" w:sz="4" w:space="0" w:color="auto"/>
              <w:right w:val="single" w:sz="4" w:space="0" w:color="auto"/>
            </w:tcBorders>
            <w:vAlign w:val="bottom"/>
          </w:tcPr>
          <w:p w14:paraId="39934483"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573 (36)</w:t>
            </w:r>
          </w:p>
        </w:tc>
      </w:tr>
      <w:tr w:rsidR="003B46D7" w:rsidRPr="00F2429E" w14:paraId="080CBCAB" w14:textId="77777777" w:rsidTr="000D5054">
        <w:trPr>
          <w:cantSplit/>
        </w:trPr>
        <w:tc>
          <w:tcPr>
            <w:tcW w:w="2026" w:type="pct"/>
            <w:tcBorders>
              <w:top w:val="single" w:sz="4" w:space="0" w:color="auto"/>
              <w:left w:val="single" w:sz="4" w:space="0" w:color="auto"/>
              <w:bottom w:val="single" w:sz="4" w:space="0" w:color="auto"/>
              <w:right w:val="single" w:sz="4" w:space="0" w:color="auto"/>
            </w:tcBorders>
          </w:tcPr>
          <w:p w14:paraId="73CC4BF0"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Blood glucose decreased</w:t>
            </w:r>
          </w:p>
        </w:tc>
        <w:tc>
          <w:tcPr>
            <w:tcW w:w="801" w:type="pct"/>
            <w:tcBorders>
              <w:top w:val="single" w:sz="4" w:space="0" w:color="auto"/>
              <w:left w:val="single" w:sz="4" w:space="0" w:color="auto"/>
              <w:bottom w:val="single" w:sz="4" w:space="0" w:color="auto"/>
              <w:right w:val="single" w:sz="4" w:space="0" w:color="auto"/>
            </w:tcBorders>
          </w:tcPr>
          <w:p w14:paraId="7F8A2EBE"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109 (5)</w:t>
            </w:r>
          </w:p>
        </w:tc>
        <w:tc>
          <w:tcPr>
            <w:tcW w:w="815" w:type="pct"/>
            <w:tcBorders>
              <w:top w:val="single" w:sz="4" w:space="0" w:color="auto"/>
              <w:left w:val="single" w:sz="4" w:space="0" w:color="auto"/>
              <w:bottom w:val="single" w:sz="4" w:space="0" w:color="auto"/>
              <w:right w:val="single" w:sz="4" w:space="0" w:color="auto"/>
            </w:tcBorders>
          </w:tcPr>
          <w:p w14:paraId="73303943"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118 (5)</w:t>
            </w:r>
          </w:p>
        </w:tc>
        <w:tc>
          <w:tcPr>
            <w:tcW w:w="694" w:type="pct"/>
            <w:tcBorders>
              <w:top w:val="single" w:sz="4" w:space="0" w:color="auto"/>
              <w:left w:val="single" w:sz="4" w:space="0" w:color="auto"/>
              <w:bottom w:val="single" w:sz="4" w:space="0" w:color="auto"/>
              <w:right w:val="single" w:sz="4" w:space="0" w:color="auto"/>
            </w:tcBorders>
            <w:vAlign w:val="bottom"/>
          </w:tcPr>
          <w:p w14:paraId="1C11C47D"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425 (26)</w:t>
            </w:r>
          </w:p>
        </w:tc>
        <w:tc>
          <w:tcPr>
            <w:tcW w:w="664" w:type="pct"/>
            <w:tcBorders>
              <w:top w:val="single" w:sz="4" w:space="0" w:color="auto"/>
              <w:left w:val="single" w:sz="4" w:space="0" w:color="auto"/>
              <w:bottom w:val="single" w:sz="4" w:space="0" w:color="auto"/>
              <w:right w:val="single" w:sz="4" w:space="0" w:color="auto"/>
            </w:tcBorders>
            <w:vAlign w:val="bottom"/>
          </w:tcPr>
          <w:p w14:paraId="70ABC0B4"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439 (27)</w:t>
            </w:r>
          </w:p>
        </w:tc>
      </w:tr>
      <w:tr w:rsidR="003B46D7" w:rsidRPr="00ED7308" w14:paraId="14C00ED5" w14:textId="77777777" w:rsidTr="000D5054">
        <w:trPr>
          <w:cantSplit/>
        </w:trPr>
        <w:tc>
          <w:tcPr>
            <w:tcW w:w="2026" w:type="pct"/>
            <w:tcBorders>
              <w:top w:val="single" w:sz="4" w:space="0" w:color="auto"/>
              <w:left w:val="single" w:sz="4" w:space="0" w:color="auto"/>
              <w:bottom w:val="single" w:sz="4" w:space="0" w:color="auto"/>
              <w:right w:val="single" w:sz="4" w:space="0" w:color="auto"/>
            </w:tcBorders>
          </w:tcPr>
          <w:p w14:paraId="6BAEA896"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Blood phosphorus decreased</w:t>
            </w:r>
          </w:p>
        </w:tc>
        <w:tc>
          <w:tcPr>
            <w:tcW w:w="801" w:type="pct"/>
            <w:tcBorders>
              <w:top w:val="single" w:sz="4" w:space="0" w:color="auto"/>
              <w:left w:val="single" w:sz="4" w:space="0" w:color="auto"/>
              <w:bottom w:val="single" w:sz="4" w:space="0" w:color="auto"/>
              <w:right w:val="single" w:sz="4" w:space="0" w:color="auto"/>
            </w:tcBorders>
          </w:tcPr>
          <w:p w14:paraId="268672BD"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107 (5)</w:t>
            </w:r>
          </w:p>
        </w:tc>
        <w:tc>
          <w:tcPr>
            <w:tcW w:w="815" w:type="pct"/>
            <w:tcBorders>
              <w:top w:val="single" w:sz="4" w:space="0" w:color="auto"/>
              <w:left w:val="single" w:sz="4" w:space="0" w:color="auto"/>
              <w:bottom w:val="single" w:sz="4" w:space="0" w:color="auto"/>
              <w:right w:val="single" w:sz="4" w:space="0" w:color="auto"/>
            </w:tcBorders>
          </w:tcPr>
          <w:p w14:paraId="0EEC7409"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126 (6)</w:t>
            </w:r>
          </w:p>
        </w:tc>
        <w:tc>
          <w:tcPr>
            <w:tcW w:w="694" w:type="pct"/>
            <w:tcBorders>
              <w:top w:val="single" w:sz="4" w:space="0" w:color="auto"/>
              <w:left w:val="single" w:sz="4" w:space="0" w:color="auto"/>
              <w:bottom w:val="single" w:sz="4" w:space="0" w:color="auto"/>
              <w:right w:val="single" w:sz="4" w:space="0" w:color="auto"/>
            </w:tcBorders>
            <w:vAlign w:val="bottom"/>
          </w:tcPr>
          <w:p w14:paraId="202C39AA"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278 (17)</w:t>
            </w:r>
          </w:p>
        </w:tc>
        <w:tc>
          <w:tcPr>
            <w:tcW w:w="664" w:type="pct"/>
            <w:tcBorders>
              <w:top w:val="single" w:sz="4" w:space="0" w:color="auto"/>
              <w:left w:val="single" w:sz="4" w:space="0" w:color="auto"/>
              <w:bottom w:val="single" w:sz="4" w:space="0" w:color="auto"/>
              <w:right w:val="single" w:sz="4" w:space="0" w:color="auto"/>
            </w:tcBorders>
            <w:vAlign w:val="bottom"/>
          </w:tcPr>
          <w:p w14:paraId="5BACF1AB"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322 (20)</w:t>
            </w:r>
          </w:p>
        </w:tc>
      </w:tr>
      <w:tr w:rsidR="003B46D7" w:rsidRPr="00ED7308" w14:paraId="598C6690" w14:textId="77777777" w:rsidTr="000D5054">
        <w:trPr>
          <w:cantSplit/>
        </w:trPr>
        <w:tc>
          <w:tcPr>
            <w:tcW w:w="2026" w:type="pct"/>
            <w:tcBorders>
              <w:top w:val="single" w:sz="4" w:space="0" w:color="auto"/>
              <w:left w:val="single" w:sz="4" w:space="0" w:color="auto"/>
              <w:bottom w:val="single" w:sz="4" w:space="0" w:color="auto"/>
              <w:right w:val="single" w:sz="4" w:space="0" w:color="auto"/>
            </w:tcBorders>
          </w:tcPr>
          <w:p w14:paraId="2705AF76"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Urinary tract infection</w:t>
            </w:r>
          </w:p>
        </w:tc>
        <w:tc>
          <w:tcPr>
            <w:tcW w:w="801" w:type="pct"/>
            <w:tcBorders>
              <w:top w:val="single" w:sz="4" w:space="0" w:color="auto"/>
              <w:left w:val="single" w:sz="4" w:space="0" w:color="auto"/>
              <w:bottom w:val="single" w:sz="4" w:space="0" w:color="auto"/>
              <w:right w:val="single" w:sz="4" w:space="0" w:color="auto"/>
            </w:tcBorders>
          </w:tcPr>
          <w:p w14:paraId="2029108B"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32 (1)</w:t>
            </w:r>
          </w:p>
        </w:tc>
        <w:tc>
          <w:tcPr>
            <w:tcW w:w="815" w:type="pct"/>
            <w:tcBorders>
              <w:top w:val="single" w:sz="4" w:space="0" w:color="auto"/>
              <w:left w:val="single" w:sz="4" w:space="0" w:color="auto"/>
              <w:bottom w:val="single" w:sz="4" w:space="0" w:color="auto"/>
              <w:right w:val="single" w:sz="4" w:space="0" w:color="auto"/>
            </w:tcBorders>
          </w:tcPr>
          <w:p w14:paraId="626C73B2"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23 (1)</w:t>
            </w:r>
          </w:p>
        </w:tc>
        <w:tc>
          <w:tcPr>
            <w:tcW w:w="694" w:type="pct"/>
            <w:tcBorders>
              <w:top w:val="single" w:sz="4" w:space="0" w:color="auto"/>
              <w:left w:val="single" w:sz="4" w:space="0" w:color="auto"/>
              <w:bottom w:val="single" w:sz="4" w:space="0" w:color="auto"/>
              <w:right w:val="single" w:sz="4" w:space="0" w:color="auto"/>
            </w:tcBorders>
            <w:vAlign w:val="bottom"/>
          </w:tcPr>
          <w:p w14:paraId="759F4D46"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225 (14)</w:t>
            </w:r>
          </w:p>
        </w:tc>
        <w:tc>
          <w:tcPr>
            <w:tcW w:w="664" w:type="pct"/>
            <w:tcBorders>
              <w:top w:val="single" w:sz="4" w:space="0" w:color="auto"/>
              <w:left w:val="single" w:sz="4" w:space="0" w:color="auto"/>
              <w:bottom w:val="single" w:sz="4" w:space="0" w:color="auto"/>
              <w:right w:val="single" w:sz="4" w:space="0" w:color="auto"/>
            </w:tcBorders>
            <w:vAlign w:val="bottom"/>
          </w:tcPr>
          <w:p w14:paraId="7B647FEB"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210 (13)</w:t>
            </w:r>
          </w:p>
        </w:tc>
      </w:tr>
      <w:tr w:rsidR="003B46D7" w:rsidRPr="00ED7308" w14:paraId="62754CA0" w14:textId="77777777" w:rsidTr="000D5054">
        <w:trPr>
          <w:cantSplit/>
        </w:trPr>
        <w:tc>
          <w:tcPr>
            <w:tcW w:w="2026" w:type="pct"/>
            <w:tcBorders>
              <w:top w:val="single" w:sz="4" w:space="0" w:color="auto"/>
              <w:left w:val="single" w:sz="4" w:space="0" w:color="auto"/>
              <w:bottom w:val="single" w:sz="4" w:space="0" w:color="auto"/>
              <w:right w:val="single" w:sz="4" w:space="0" w:color="auto"/>
            </w:tcBorders>
          </w:tcPr>
          <w:p w14:paraId="7A477674"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lastRenderedPageBreak/>
              <w:t>Dysfunctional uterine bleeding</w:t>
            </w:r>
          </w:p>
        </w:tc>
        <w:tc>
          <w:tcPr>
            <w:tcW w:w="801" w:type="pct"/>
            <w:tcBorders>
              <w:top w:val="single" w:sz="4" w:space="0" w:color="auto"/>
              <w:left w:val="single" w:sz="4" w:space="0" w:color="auto"/>
              <w:bottom w:val="single" w:sz="4" w:space="0" w:color="auto"/>
              <w:right w:val="single" w:sz="4" w:space="0" w:color="auto"/>
            </w:tcBorders>
          </w:tcPr>
          <w:p w14:paraId="22983FAC"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w:t>
            </w:r>
          </w:p>
        </w:tc>
        <w:tc>
          <w:tcPr>
            <w:tcW w:w="815" w:type="pct"/>
            <w:tcBorders>
              <w:top w:val="single" w:sz="4" w:space="0" w:color="auto"/>
              <w:left w:val="single" w:sz="4" w:space="0" w:color="auto"/>
              <w:bottom w:val="single" w:sz="4" w:space="0" w:color="auto"/>
              <w:right w:val="single" w:sz="4" w:space="0" w:color="auto"/>
            </w:tcBorders>
          </w:tcPr>
          <w:p w14:paraId="45CF62F4"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w:t>
            </w:r>
          </w:p>
        </w:tc>
        <w:tc>
          <w:tcPr>
            <w:tcW w:w="694" w:type="pct"/>
            <w:tcBorders>
              <w:top w:val="single" w:sz="4" w:space="0" w:color="auto"/>
              <w:left w:val="single" w:sz="4" w:space="0" w:color="auto"/>
              <w:bottom w:val="single" w:sz="4" w:space="0" w:color="auto"/>
              <w:right w:val="single" w:sz="4" w:space="0" w:color="auto"/>
            </w:tcBorders>
            <w:vAlign w:val="bottom"/>
          </w:tcPr>
          <w:p w14:paraId="401410B1"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161 (10)</w:t>
            </w:r>
          </w:p>
        </w:tc>
        <w:tc>
          <w:tcPr>
            <w:tcW w:w="664" w:type="pct"/>
            <w:tcBorders>
              <w:top w:val="single" w:sz="4" w:space="0" w:color="auto"/>
              <w:left w:val="single" w:sz="4" w:space="0" w:color="auto"/>
              <w:bottom w:val="single" w:sz="4" w:space="0" w:color="auto"/>
              <w:right w:val="single" w:sz="4" w:space="0" w:color="auto"/>
            </w:tcBorders>
            <w:vAlign w:val="bottom"/>
          </w:tcPr>
          <w:p w14:paraId="5CD13F46"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161 (10)</w:t>
            </w:r>
          </w:p>
        </w:tc>
      </w:tr>
      <w:tr w:rsidR="003B46D7" w:rsidRPr="00ED7308" w14:paraId="1552AED4" w14:textId="77777777" w:rsidTr="000D5054">
        <w:trPr>
          <w:cantSplit/>
        </w:trPr>
        <w:tc>
          <w:tcPr>
            <w:tcW w:w="2026" w:type="pct"/>
            <w:tcBorders>
              <w:top w:val="single" w:sz="4" w:space="0" w:color="auto"/>
              <w:left w:val="single" w:sz="4" w:space="0" w:color="auto"/>
              <w:bottom w:val="single" w:sz="4" w:space="0" w:color="auto"/>
              <w:right w:val="single" w:sz="4" w:space="0" w:color="auto"/>
            </w:tcBorders>
          </w:tcPr>
          <w:p w14:paraId="49097B0E"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Vulvovaginal candidiasis</w:t>
            </w:r>
          </w:p>
        </w:tc>
        <w:tc>
          <w:tcPr>
            <w:tcW w:w="801" w:type="pct"/>
            <w:tcBorders>
              <w:top w:val="single" w:sz="4" w:space="0" w:color="auto"/>
              <w:left w:val="single" w:sz="4" w:space="0" w:color="auto"/>
              <w:bottom w:val="single" w:sz="4" w:space="0" w:color="auto"/>
              <w:right w:val="single" w:sz="4" w:space="0" w:color="auto"/>
            </w:tcBorders>
          </w:tcPr>
          <w:p w14:paraId="0BC29544"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w:t>
            </w:r>
          </w:p>
        </w:tc>
        <w:tc>
          <w:tcPr>
            <w:tcW w:w="815" w:type="pct"/>
            <w:tcBorders>
              <w:top w:val="single" w:sz="4" w:space="0" w:color="auto"/>
              <w:left w:val="single" w:sz="4" w:space="0" w:color="auto"/>
              <w:bottom w:val="single" w:sz="4" w:space="0" w:color="auto"/>
              <w:right w:val="single" w:sz="4" w:space="0" w:color="auto"/>
            </w:tcBorders>
          </w:tcPr>
          <w:p w14:paraId="42E508A0"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w:t>
            </w:r>
          </w:p>
        </w:tc>
        <w:tc>
          <w:tcPr>
            <w:tcW w:w="694" w:type="pct"/>
            <w:tcBorders>
              <w:top w:val="single" w:sz="4" w:space="0" w:color="auto"/>
              <w:left w:val="single" w:sz="4" w:space="0" w:color="auto"/>
              <w:bottom w:val="single" w:sz="4" w:space="0" w:color="auto"/>
              <w:right w:val="single" w:sz="4" w:space="0" w:color="auto"/>
            </w:tcBorders>
            <w:vAlign w:val="bottom"/>
          </w:tcPr>
          <w:p w14:paraId="6788C16F"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139 (9)</w:t>
            </w:r>
          </w:p>
        </w:tc>
        <w:tc>
          <w:tcPr>
            <w:tcW w:w="664" w:type="pct"/>
            <w:tcBorders>
              <w:top w:val="single" w:sz="4" w:space="0" w:color="auto"/>
              <w:left w:val="single" w:sz="4" w:space="0" w:color="auto"/>
              <w:bottom w:val="single" w:sz="4" w:space="0" w:color="auto"/>
              <w:right w:val="single" w:sz="4" w:space="0" w:color="auto"/>
            </w:tcBorders>
            <w:vAlign w:val="bottom"/>
          </w:tcPr>
          <w:p w14:paraId="04719AF7" w14:textId="77777777" w:rsidR="003B46D7" w:rsidRPr="00ED7308" w:rsidRDefault="003B46D7" w:rsidP="00445D44">
            <w:pPr>
              <w:keepNext/>
              <w:spacing w:after="240" w:line="240" w:lineRule="auto"/>
              <w:rPr>
                <w:rFonts w:ascii="Arial" w:hAnsi="Arial" w:cs="Arial"/>
                <w:sz w:val="21"/>
                <w:szCs w:val="21"/>
                <w:lang w:val="en-GB"/>
              </w:rPr>
            </w:pPr>
            <w:r w:rsidRPr="00ED7308">
              <w:rPr>
                <w:rFonts w:ascii="Arial" w:hAnsi="Arial" w:cs="Arial"/>
                <w:sz w:val="21"/>
                <w:szCs w:val="21"/>
                <w:lang w:val="en-GB"/>
              </w:rPr>
              <w:t>162 (10)</w:t>
            </w:r>
          </w:p>
        </w:tc>
      </w:tr>
    </w:tbl>
    <w:p w14:paraId="7A532F47" w14:textId="77777777" w:rsidR="00313EF9" w:rsidRDefault="00A33F08" w:rsidP="003B46D7">
      <w:pPr>
        <w:autoSpaceDE w:val="0"/>
        <w:autoSpaceDN w:val="0"/>
        <w:spacing w:after="0"/>
        <w:rPr>
          <w:rFonts w:ascii="Arial" w:hAnsi="Arial" w:cs="Arial"/>
          <w:sz w:val="20"/>
          <w:szCs w:val="20"/>
        </w:rPr>
      </w:pPr>
      <w:r w:rsidRPr="00A33F08">
        <w:rPr>
          <w:rFonts w:ascii="Arial" w:hAnsi="Arial" w:cs="Arial"/>
          <w:sz w:val="20"/>
          <w:szCs w:val="20"/>
          <w:vertAlign w:val="superscript"/>
        </w:rPr>
        <w:t>1</w:t>
      </w:r>
      <w:r>
        <w:rPr>
          <w:rFonts w:ascii="Arial" w:hAnsi="Arial" w:cs="Arial"/>
          <w:sz w:val="20"/>
          <w:szCs w:val="20"/>
          <w:vertAlign w:val="superscript"/>
        </w:rPr>
        <w:t xml:space="preserve"> </w:t>
      </w:r>
      <w:r w:rsidR="00DA2362">
        <w:rPr>
          <w:rFonts w:ascii="Arial" w:hAnsi="Arial" w:cs="Arial"/>
          <w:sz w:val="20"/>
          <w:szCs w:val="20"/>
        </w:rPr>
        <w:t>During the blinded oral and injection phase of the study</w:t>
      </w:r>
    </w:p>
    <w:p w14:paraId="59730E8B" w14:textId="03A55FA7" w:rsidR="003B46D7" w:rsidRPr="000F4766" w:rsidRDefault="003B46D7" w:rsidP="003B46D7">
      <w:pPr>
        <w:autoSpaceDE w:val="0"/>
        <w:autoSpaceDN w:val="0"/>
        <w:spacing w:after="0"/>
        <w:rPr>
          <w:rFonts w:ascii="Arial" w:hAnsi="Arial" w:cs="Arial"/>
          <w:sz w:val="20"/>
          <w:szCs w:val="20"/>
        </w:rPr>
      </w:pPr>
      <w:r w:rsidRPr="000F4766">
        <w:rPr>
          <w:rFonts w:ascii="Arial" w:hAnsi="Arial" w:cs="Arial"/>
          <w:sz w:val="20"/>
          <w:szCs w:val="20"/>
        </w:rPr>
        <w:t xml:space="preserve">The PTs are in descending order of frequency, based on the HPTN 083 CAB arm. </w:t>
      </w:r>
    </w:p>
    <w:p w14:paraId="44C8818F" w14:textId="38CD80C1" w:rsidR="002F75B3" w:rsidRDefault="002F75B3" w:rsidP="00A245C1">
      <w:pPr>
        <w:spacing w:after="240" w:line="240" w:lineRule="auto"/>
        <w:rPr>
          <w:rFonts w:ascii="Arial" w:hAnsi="Arial" w:cs="Arial"/>
          <w:lang w:val="en-GB"/>
        </w:rPr>
      </w:pPr>
    </w:p>
    <w:p w14:paraId="38136A36" w14:textId="287FBD1A" w:rsidR="001D2492" w:rsidRPr="001D2492" w:rsidRDefault="001D2492" w:rsidP="001D2492">
      <w:pPr>
        <w:pStyle w:val="Heading4"/>
        <w:numPr>
          <w:ilvl w:val="0"/>
          <w:numId w:val="0"/>
        </w:numPr>
        <w:rPr>
          <w:rFonts w:ascii="Arial" w:hAnsi="Arial" w:cs="Arial"/>
          <w:i w:val="0"/>
          <w:iCs w:val="0"/>
          <w:color w:val="auto"/>
        </w:rPr>
      </w:pPr>
      <w:r w:rsidRPr="001D2492">
        <w:rPr>
          <w:rFonts w:ascii="Arial" w:hAnsi="Arial" w:cs="Arial"/>
          <w:i w:val="0"/>
          <w:iCs w:val="0"/>
          <w:color w:val="auto"/>
        </w:rPr>
        <w:t xml:space="preserve">Adverse </w:t>
      </w:r>
      <w:r>
        <w:rPr>
          <w:rFonts w:ascii="Arial" w:hAnsi="Arial" w:cs="Arial"/>
          <w:i w:val="0"/>
          <w:iCs w:val="0"/>
          <w:color w:val="auto"/>
        </w:rPr>
        <w:t>drug reactions (ADR)</w:t>
      </w:r>
      <w:r w:rsidR="0013564B">
        <w:rPr>
          <w:rFonts w:ascii="Arial" w:hAnsi="Arial" w:cs="Arial"/>
          <w:i w:val="0"/>
          <w:iCs w:val="0"/>
          <w:color w:val="auto"/>
        </w:rPr>
        <w:fldChar w:fldCharType="begin"/>
      </w:r>
      <w:r w:rsidR="0013564B">
        <w:rPr>
          <w:rFonts w:ascii="Arial" w:hAnsi="Arial" w:cs="Arial"/>
          <w:i w:val="0"/>
          <w:iCs w:val="0"/>
          <w:color w:val="auto"/>
        </w:rPr>
        <w:instrText xml:space="preserve"> DOCVARIABLE vault_nd_dd6b347e-b969-4669-bb09-f26997cffc4d \* MERGEFORMAT </w:instrText>
      </w:r>
      <w:r w:rsidR="0013564B">
        <w:rPr>
          <w:rFonts w:ascii="Arial" w:hAnsi="Arial" w:cs="Arial"/>
          <w:i w:val="0"/>
          <w:iCs w:val="0"/>
          <w:color w:val="auto"/>
        </w:rPr>
        <w:fldChar w:fldCharType="separate"/>
      </w:r>
      <w:r w:rsidR="0013564B">
        <w:rPr>
          <w:rFonts w:ascii="Arial" w:hAnsi="Arial" w:cs="Arial"/>
          <w:i w:val="0"/>
          <w:iCs w:val="0"/>
          <w:color w:val="auto"/>
        </w:rPr>
        <w:t xml:space="preserve"> </w:t>
      </w:r>
      <w:r w:rsidR="0013564B">
        <w:rPr>
          <w:rFonts w:ascii="Arial" w:hAnsi="Arial" w:cs="Arial"/>
          <w:i w:val="0"/>
          <w:iCs w:val="0"/>
          <w:color w:val="auto"/>
        </w:rPr>
        <w:fldChar w:fldCharType="end"/>
      </w:r>
    </w:p>
    <w:p w14:paraId="0FD0834B" w14:textId="02C3F961" w:rsidR="00A245C1" w:rsidRPr="00A245C1" w:rsidRDefault="00A245C1" w:rsidP="00A245C1">
      <w:pPr>
        <w:spacing w:after="240" w:line="240" w:lineRule="auto"/>
        <w:rPr>
          <w:rFonts w:ascii="Arial" w:hAnsi="Arial" w:cs="Arial"/>
          <w:lang w:val="en-GB"/>
        </w:rPr>
      </w:pPr>
      <w:r w:rsidRPr="00A245C1">
        <w:rPr>
          <w:rFonts w:ascii="Arial" w:hAnsi="Arial" w:cs="Arial"/>
          <w:lang w:val="en-GB"/>
        </w:rPr>
        <w:t xml:space="preserve">ADRs listed include those attributable to the oral or injectable formulations of </w:t>
      </w:r>
      <w:r w:rsidR="00032E53">
        <w:rPr>
          <w:rFonts w:ascii="Arial" w:hAnsi="Arial" w:cs="Arial"/>
          <w:lang w:val="en"/>
        </w:rPr>
        <w:t>APRETUDE</w:t>
      </w:r>
      <w:r w:rsidRPr="00A245C1">
        <w:rPr>
          <w:rFonts w:ascii="Arial" w:hAnsi="Arial" w:cs="Arial"/>
          <w:lang w:val="en-GB"/>
        </w:rPr>
        <w:t>. When frequencies differed between HPTN 083 and 084, the highest frequency category is quoted.</w:t>
      </w:r>
    </w:p>
    <w:p w14:paraId="4D49985B" w14:textId="1D3F77C9" w:rsidR="00A245C1" w:rsidRPr="001D2492" w:rsidRDefault="00A245C1" w:rsidP="00A245C1">
      <w:pPr>
        <w:spacing w:after="240" w:line="240" w:lineRule="auto"/>
        <w:rPr>
          <w:rFonts w:ascii="Arial" w:hAnsi="Arial" w:cs="Arial"/>
          <w:lang w:val="en-GB"/>
        </w:rPr>
      </w:pPr>
      <w:r w:rsidRPr="001D2492">
        <w:rPr>
          <w:rFonts w:ascii="Arial" w:hAnsi="Arial" w:cs="Arial"/>
          <w:lang w:val="en-GB"/>
        </w:rPr>
        <w:t>The most frequently reported ADRs in HPTN 083 were: Injection site reactions</w:t>
      </w:r>
      <w:r w:rsidR="00E9324A" w:rsidRPr="001D2492">
        <w:rPr>
          <w:rFonts w:ascii="Arial" w:hAnsi="Arial" w:cs="Arial"/>
          <w:lang w:val="en-GB"/>
        </w:rPr>
        <w:t xml:space="preserve"> (ISR)</w:t>
      </w:r>
      <w:r w:rsidRPr="001D2492">
        <w:rPr>
          <w:rFonts w:ascii="Arial" w:hAnsi="Arial" w:cs="Arial"/>
          <w:lang w:val="en-GB"/>
        </w:rPr>
        <w:t xml:space="preserve"> (82%), headache (17%) and diarrhoea (14%). </w:t>
      </w:r>
    </w:p>
    <w:p w14:paraId="1B66B92C" w14:textId="77777777" w:rsidR="00A245C1" w:rsidRPr="00A245C1" w:rsidRDefault="00A245C1" w:rsidP="00A245C1">
      <w:pPr>
        <w:spacing w:after="240" w:line="240" w:lineRule="auto"/>
        <w:rPr>
          <w:rFonts w:ascii="Arial" w:hAnsi="Arial" w:cs="Arial"/>
          <w:lang w:val="en-GB"/>
        </w:rPr>
      </w:pPr>
      <w:r w:rsidRPr="001D2492">
        <w:rPr>
          <w:rFonts w:ascii="Arial" w:hAnsi="Arial" w:cs="Arial"/>
          <w:lang w:val="en-GB"/>
        </w:rPr>
        <w:t>The most frequently reported ADRs in HPTN 084 were: Injection site reactions (38%), headache (23%) and transaminase increased (19%).</w:t>
      </w:r>
    </w:p>
    <w:p w14:paraId="4EDA85DB" w14:textId="1E1AD283" w:rsidR="00A245C1" w:rsidRDefault="00A245C1" w:rsidP="00A245C1">
      <w:pPr>
        <w:spacing w:after="240" w:line="240" w:lineRule="auto"/>
        <w:rPr>
          <w:rFonts w:ascii="Arial" w:hAnsi="Arial" w:cs="Arial"/>
          <w:lang w:val="en-GB"/>
        </w:rPr>
      </w:pPr>
      <w:r w:rsidRPr="00A245C1">
        <w:rPr>
          <w:rFonts w:ascii="Arial" w:hAnsi="Arial" w:cs="Arial"/>
          <w:lang w:val="en-GB"/>
        </w:rPr>
        <w:t>The ADRs identified in these studies are listed below by MedDRA system organ class and by frequency. Frequencies are defined as: very common (≥1/10), common (≥1/100 and &lt;1/10), uncommon (≥1/1,000 and &lt;1/100), rare (≥1/10,000 and &lt;1/1,000) and very rare (&lt;1/10,000), including isolated reports.</w:t>
      </w:r>
    </w:p>
    <w:p w14:paraId="060AA750" w14:textId="61C1529F" w:rsidR="001A40F7" w:rsidRDefault="001A40F7">
      <w:pPr>
        <w:rPr>
          <w:rFonts w:ascii="Arial" w:hAnsi="Arial" w:cs="Arial"/>
          <w:lang w:val="en-GB"/>
        </w:rPr>
      </w:pPr>
      <w:r>
        <w:rPr>
          <w:rFonts w:ascii="Arial" w:hAnsi="Arial" w:cs="Arial"/>
          <w:lang w:val="en-GB"/>
        </w:rPr>
        <w:br w:type="page"/>
      </w:r>
    </w:p>
    <w:p w14:paraId="508B7E32" w14:textId="77777777" w:rsidR="001A40F7" w:rsidRDefault="001A40F7" w:rsidP="00A245C1">
      <w:pPr>
        <w:spacing w:after="240" w:line="240" w:lineRule="auto"/>
        <w:rPr>
          <w:rFonts w:ascii="Arial" w:hAnsi="Arial" w:cs="Arial"/>
          <w:lang w:val="en-GB"/>
        </w:rPr>
      </w:pPr>
    </w:p>
    <w:p w14:paraId="4C691044" w14:textId="79CC90A4" w:rsidR="004E2D87" w:rsidRPr="00C4038D" w:rsidRDefault="004E2D87" w:rsidP="0082283B">
      <w:pPr>
        <w:rPr>
          <w:rFonts w:ascii="Arial" w:eastAsia="SimSun" w:hAnsi="Arial" w:cs="Arial"/>
          <w:b/>
          <w:bCs/>
        </w:rPr>
      </w:pPr>
      <w:r w:rsidRPr="00C4038D">
        <w:rPr>
          <w:rFonts w:ascii="Arial" w:hAnsi="Arial" w:cs="Arial"/>
          <w:b/>
          <w:bCs/>
        </w:rPr>
        <w:t xml:space="preserve">Table </w:t>
      </w:r>
      <w:r w:rsidR="002F75B3">
        <w:rPr>
          <w:rFonts w:ascii="Arial" w:hAnsi="Arial" w:cs="Arial"/>
          <w:b/>
          <w:bCs/>
        </w:rPr>
        <w:t>6</w:t>
      </w:r>
      <w:r w:rsidRPr="00C4038D">
        <w:rPr>
          <w:rFonts w:ascii="Arial" w:hAnsi="Arial" w:cs="Arial"/>
          <w:b/>
          <w:bCs/>
        </w:rPr>
        <w:tab/>
        <w:t>Adverse reactions</w:t>
      </w:r>
      <w:r w:rsidRPr="00C4038D">
        <w:rPr>
          <w:rFonts w:ascii="Arial" w:eastAsia="SimSun" w:hAnsi="Arial" w:cs="Arial"/>
          <w:b/>
          <w:bCs/>
          <w:szCs w:val="24"/>
          <w:vertAlign w:val="superscript"/>
        </w:rPr>
        <w:t>1</w:t>
      </w:r>
      <w:r w:rsidRPr="00C4038D">
        <w:rPr>
          <w:rFonts w:ascii="Arial" w:hAnsi="Arial" w:cs="Arial"/>
          <w:b/>
          <w:bCs/>
        </w:rP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1667"/>
        <w:gridCol w:w="3189"/>
      </w:tblGrid>
      <w:tr w:rsidR="004E2D87" w:rsidRPr="00C87BFF" w14:paraId="22658E1B" w14:textId="77777777" w:rsidTr="00EC3892">
        <w:trPr>
          <w:trHeight w:val="780"/>
        </w:trPr>
        <w:tc>
          <w:tcPr>
            <w:tcW w:w="2129" w:type="dxa"/>
            <w:tcBorders>
              <w:top w:val="single" w:sz="4" w:space="0" w:color="auto"/>
              <w:left w:val="single" w:sz="4" w:space="0" w:color="auto"/>
              <w:bottom w:val="single" w:sz="4" w:space="0" w:color="auto"/>
              <w:right w:val="single" w:sz="4" w:space="0" w:color="auto"/>
            </w:tcBorders>
            <w:hideMark/>
          </w:tcPr>
          <w:p w14:paraId="75A1E88D"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MedDRA System Organ Class (SOC)</w:t>
            </w:r>
          </w:p>
        </w:tc>
        <w:tc>
          <w:tcPr>
            <w:tcW w:w="1948" w:type="dxa"/>
            <w:tcBorders>
              <w:top w:val="single" w:sz="4" w:space="0" w:color="auto"/>
              <w:left w:val="single" w:sz="4" w:space="0" w:color="auto"/>
              <w:bottom w:val="single" w:sz="4" w:space="0" w:color="auto"/>
              <w:right w:val="single" w:sz="4" w:space="0" w:color="auto"/>
            </w:tcBorders>
            <w:hideMark/>
          </w:tcPr>
          <w:p w14:paraId="5F635FFB"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Frequency Category</w:t>
            </w:r>
          </w:p>
        </w:tc>
        <w:tc>
          <w:tcPr>
            <w:tcW w:w="4395" w:type="dxa"/>
            <w:tcBorders>
              <w:top w:val="single" w:sz="4" w:space="0" w:color="auto"/>
              <w:left w:val="single" w:sz="4" w:space="0" w:color="auto"/>
              <w:bottom w:val="single" w:sz="4" w:space="0" w:color="auto"/>
              <w:right w:val="single" w:sz="4" w:space="0" w:color="auto"/>
            </w:tcBorders>
            <w:hideMark/>
          </w:tcPr>
          <w:p w14:paraId="02661CA5"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 xml:space="preserve">Adverse Reactions </w:t>
            </w:r>
          </w:p>
        </w:tc>
      </w:tr>
      <w:tr w:rsidR="004E2D87" w:rsidRPr="00C87BFF" w14:paraId="66A1E2A7" w14:textId="77777777" w:rsidTr="00EC3892">
        <w:trPr>
          <w:trHeight w:val="1102"/>
        </w:trPr>
        <w:tc>
          <w:tcPr>
            <w:tcW w:w="2129" w:type="dxa"/>
            <w:tcBorders>
              <w:top w:val="single" w:sz="4" w:space="0" w:color="auto"/>
              <w:left w:val="single" w:sz="4" w:space="0" w:color="auto"/>
              <w:bottom w:val="single" w:sz="4" w:space="0" w:color="auto"/>
              <w:right w:val="single" w:sz="4" w:space="0" w:color="auto"/>
            </w:tcBorders>
            <w:hideMark/>
          </w:tcPr>
          <w:p w14:paraId="2D096313"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Psychiatric disorders</w:t>
            </w:r>
          </w:p>
        </w:tc>
        <w:tc>
          <w:tcPr>
            <w:tcW w:w="1948" w:type="dxa"/>
            <w:tcBorders>
              <w:top w:val="single" w:sz="4" w:space="0" w:color="auto"/>
              <w:left w:val="single" w:sz="4" w:space="0" w:color="auto"/>
              <w:bottom w:val="single" w:sz="4" w:space="0" w:color="auto"/>
              <w:right w:val="single" w:sz="4" w:space="0" w:color="auto"/>
            </w:tcBorders>
            <w:hideMark/>
          </w:tcPr>
          <w:p w14:paraId="5C2AA266"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Common</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6AA4FC5E"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Abnormal dreams</w:t>
            </w:r>
          </w:p>
          <w:p w14:paraId="56728FC4"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Insomnia</w:t>
            </w:r>
          </w:p>
          <w:p w14:paraId="04024872"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Depression</w:t>
            </w:r>
          </w:p>
        </w:tc>
      </w:tr>
      <w:tr w:rsidR="004E2D87" w:rsidRPr="00C87BFF" w14:paraId="1598BC9A" w14:textId="77777777" w:rsidTr="00EC3892">
        <w:trPr>
          <w:trHeight w:val="391"/>
        </w:trPr>
        <w:tc>
          <w:tcPr>
            <w:tcW w:w="2129" w:type="dxa"/>
            <w:vMerge w:val="restart"/>
            <w:tcBorders>
              <w:top w:val="single" w:sz="4" w:space="0" w:color="auto"/>
              <w:left w:val="single" w:sz="4" w:space="0" w:color="auto"/>
              <w:bottom w:val="single" w:sz="4" w:space="0" w:color="auto"/>
              <w:right w:val="single" w:sz="4" w:space="0" w:color="auto"/>
            </w:tcBorders>
            <w:hideMark/>
          </w:tcPr>
          <w:p w14:paraId="6B810512"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Nervous system disorders</w:t>
            </w:r>
          </w:p>
        </w:tc>
        <w:tc>
          <w:tcPr>
            <w:tcW w:w="1948" w:type="dxa"/>
            <w:tcBorders>
              <w:top w:val="single" w:sz="4" w:space="0" w:color="auto"/>
              <w:left w:val="single" w:sz="4" w:space="0" w:color="auto"/>
              <w:bottom w:val="single" w:sz="4" w:space="0" w:color="auto"/>
              <w:right w:val="single" w:sz="4" w:space="0" w:color="auto"/>
            </w:tcBorders>
            <w:hideMark/>
          </w:tcPr>
          <w:p w14:paraId="4FAC6CAA"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Very Common</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24D1899B"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 xml:space="preserve">Headache </w:t>
            </w:r>
          </w:p>
        </w:tc>
      </w:tr>
      <w:tr w:rsidR="004E2D87" w:rsidRPr="00C87BFF" w14:paraId="18F751D5" w14:textId="77777777" w:rsidTr="00EC3892">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829C1" w14:textId="77777777" w:rsidR="004E2D87" w:rsidRPr="00C87BFF" w:rsidRDefault="004E2D87" w:rsidP="004E2D87">
            <w:pPr>
              <w:rPr>
                <w:rFonts w:ascii="Arial" w:eastAsia="SimSun" w:hAnsi="Arial" w:cs="Arial"/>
                <w:sz w:val="21"/>
                <w:szCs w:val="21"/>
                <w:lang w:val="en-GB" w:eastAsia="en-GB"/>
              </w:rPr>
            </w:pPr>
          </w:p>
        </w:tc>
        <w:tc>
          <w:tcPr>
            <w:tcW w:w="1948" w:type="dxa"/>
            <w:tcBorders>
              <w:top w:val="single" w:sz="4" w:space="0" w:color="auto"/>
              <w:left w:val="single" w:sz="4" w:space="0" w:color="auto"/>
              <w:bottom w:val="single" w:sz="4" w:space="0" w:color="auto"/>
              <w:right w:val="single" w:sz="4" w:space="0" w:color="auto"/>
            </w:tcBorders>
            <w:hideMark/>
          </w:tcPr>
          <w:p w14:paraId="45B6815E"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Common</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BDB5923" w14:textId="25BCB8DA"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Dizziness</w:t>
            </w:r>
          </w:p>
        </w:tc>
      </w:tr>
      <w:tr w:rsidR="004E2D87" w:rsidRPr="00C87BFF" w14:paraId="0F97F616" w14:textId="77777777" w:rsidTr="00EC3892">
        <w:trPr>
          <w:trHeight w:val="6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B221B" w14:textId="77777777" w:rsidR="004E2D87" w:rsidRPr="00C87BFF" w:rsidRDefault="004E2D87" w:rsidP="004E2D87">
            <w:pPr>
              <w:rPr>
                <w:rFonts w:ascii="Arial" w:eastAsia="SimSun" w:hAnsi="Arial" w:cs="Arial"/>
                <w:sz w:val="21"/>
                <w:szCs w:val="21"/>
                <w:lang w:val="en-GB" w:eastAsia="en-GB"/>
              </w:rPr>
            </w:pPr>
          </w:p>
        </w:tc>
        <w:tc>
          <w:tcPr>
            <w:tcW w:w="1948" w:type="dxa"/>
            <w:tcBorders>
              <w:top w:val="single" w:sz="4" w:space="0" w:color="auto"/>
              <w:left w:val="single" w:sz="4" w:space="0" w:color="auto"/>
              <w:bottom w:val="single" w:sz="4" w:space="0" w:color="auto"/>
              <w:right w:val="single" w:sz="4" w:space="0" w:color="auto"/>
            </w:tcBorders>
            <w:hideMark/>
          </w:tcPr>
          <w:p w14:paraId="3D285BD2"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Uncommon</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3B19B19" w14:textId="506C26BE"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Vasovagal reactions (in response to injections)</w:t>
            </w:r>
          </w:p>
        </w:tc>
      </w:tr>
      <w:tr w:rsidR="004E2D87" w:rsidRPr="00C87BFF" w14:paraId="71E79B1B" w14:textId="77777777" w:rsidTr="00EC3892">
        <w:trPr>
          <w:trHeight w:val="335"/>
        </w:trPr>
        <w:tc>
          <w:tcPr>
            <w:tcW w:w="2129" w:type="dxa"/>
            <w:vMerge w:val="restart"/>
            <w:tcBorders>
              <w:top w:val="single" w:sz="4" w:space="0" w:color="auto"/>
              <w:left w:val="single" w:sz="4" w:space="0" w:color="auto"/>
              <w:bottom w:val="single" w:sz="4" w:space="0" w:color="auto"/>
              <w:right w:val="single" w:sz="4" w:space="0" w:color="auto"/>
            </w:tcBorders>
            <w:hideMark/>
          </w:tcPr>
          <w:p w14:paraId="53C861F6"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Gastrointestinal disorders</w:t>
            </w:r>
          </w:p>
        </w:tc>
        <w:tc>
          <w:tcPr>
            <w:tcW w:w="1948" w:type="dxa"/>
            <w:tcBorders>
              <w:top w:val="single" w:sz="4" w:space="0" w:color="auto"/>
              <w:left w:val="single" w:sz="4" w:space="0" w:color="auto"/>
              <w:bottom w:val="single" w:sz="4" w:space="0" w:color="auto"/>
              <w:right w:val="single" w:sz="4" w:space="0" w:color="auto"/>
            </w:tcBorders>
            <w:hideMark/>
          </w:tcPr>
          <w:p w14:paraId="49630E81"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Very Common</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78305987"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Diarrhoea</w:t>
            </w:r>
          </w:p>
        </w:tc>
      </w:tr>
      <w:tr w:rsidR="004E2D87" w:rsidRPr="00C87BFF" w14:paraId="2A39A868" w14:textId="77777777" w:rsidTr="00EC3892">
        <w:trPr>
          <w:trHeight w:val="9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65FCE" w14:textId="77777777" w:rsidR="004E2D87" w:rsidRPr="00C87BFF" w:rsidRDefault="004E2D87" w:rsidP="004E2D87">
            <w:pPr>
              <w:rPr>
                <w:rFonts w:ascii="Arial" w:eastAsia="SimSun" w:hAnsi="Arial" w:cs="Arial"/>
                <w:sz w:val="21"/>
                <w:szCs w:val="21"/>
                <w:lang w:val="en-GB" w:eastAsia="en-GB"/>
              </w:rPr>
            </w:pPr>
          </w:p>
        </w:tc>
        <w:tc>
          <w:tcPr>
            <w:tcW w:w="1948" w:type="dxa"/>
            <w:tcBorders>
              <w:top w:val="single" w:sz="4" w:space="0" w:color="auto"/>
              <w:left w:val="single" w:sz="4" w:space="0" w:color="auto"/>
              <w:bottom w:val="single" w:sz="4" w:space="0" w:color="auto"/>
              <w:right w:val="single" w:sz="4" w:space="0" w:color="auto"/>
            </w:tcBorders>
            <w:hideMark/>
          </w:tcPr>
          <w:p w14:paraId="0A064B90"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Common</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2E8D921B"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Nausea</w:t>
            </w:r>
          </w:p>
          <w:p w14:paraId="082AD188" w14:textId="77777777" w:rsidR="004E2D87" w:rsidRPr="00C87BFF" w:rsidRDefault="004E2D87" w:rsidP="004E2D87">
            <w:pPr>
              <w:rPr>
                <w:rFonts w:ascii="Arial" w:eastAsia="SimSun" w:hAnsi="Arial" w:cs="Arial"/>
                <w:sz w:val="21"/>
                <w:szCs w:val="21"/>
                <w:vertAlign w:val="superscript"/>
              </w:rPr>
            </w:pPr>
            <w:r w:rsidRPr="00C87BFF">
              <w:rPr>
                <w:rFonts w:ascii="Arial" w:eastAsia="SimSun" w:hAnsi="Arial" w:cs="Arial"/>
                <w:sz w:val="21"/>
                <w:szCs w:val="21"/>
              </w:rPr>
              <w:t>Abdominal pain</w:t>
            </w:r>
            <w:r w:rsidRPr="00C87BFF">
              <w:rPr>
                <w:rFonts w:ascii="Arial" w:eastAsia="SimSun" w:hAnsi="Arial" w:cs="Arial"/>
                <w:sz w:val="21"/>
                <w:szCs w:val="21"/>
                <w:vertAlign w:val="superscript"/>
              </w:rPr>
              <w:t>2</w:t>
            </w:r>
          </w:p>
          <w:p w14:paraId="6DB4F8F7"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Flatulence</w:t>
            </w:r>
          </w:p>
          <w:p w14:paraId="52BFFC2A"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Vomiting</w:t>
            </w:r>
          </w:p>
        </w:tc>
      </w:tr>
      <w:tr w:rsidR="004E2D87" w:rsidRPr="00C87BFF" w14:paraId="566D67C4" w14:textId="77777777" w:rsidTr="00EC3892">
        <w:trPr>
          <w:trHeight w:val="500"/>
        </w:trPr>
        <w:tc>
          <w:tcPr>
            <w:tcW w:w="2129" w:type="dxa"/>
            <w:vMerge w:val="restart"/>
            <w:tcBorders>
              <w:top w:val="single" w:sz="4" w:space="0" w:color="auto"/>
              <w:left w:val="single" w:sz="4" w:space="0" w:color="auto"/>
              <w:bottom w:val="single" w:sz="4" w:space="0" w:color="auto"/>
              <w:right w:val="single" w:sz="4" w:space="0" w:color="auto"/>
            </w:tcBorders>
            <w:hideMark/>
          </w:tcPr>
          <w:p w14:paraId="00FE6CC3"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Hepatobiliary Disorders</w:t>
            </w:r>
          </w:p>
        </w:tc>
        <w:tc>
          <w:tcPr>
            <w:tcW w:w="1948" w:type="dxa"/>
            <w:tcBorders>
              <w:top w:val="single" w:sz="4" w:space="0" w:color="auto"/>
              <w:left w:val="single" w:sz="4" w:space="0" w:color="auto"/>
              <w:bottom w:val="single" w:sz="4" w:space="0" w:color="auto"/>
              <w:right w:val="single" w:sz="4" w:space="0" w:color="auto"/>
            </w:tcBorders>
            <w:hideMark/>
          </w:tcPr>
          <w:p w14:paraId="3B9F1330"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Very Common</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60AFE191" w14:textId="37D5E6A1" w:rsidR="004E2D87" w:rsidRPr="00C87BFF" w:rsidRDefault="004E2D87" w:rsidP="004E2D87">
            <w:pPr>
              <w:rPr>
                <w:rFonts w:ascii="Arial" w:eastAsia="SimSun" w:hAnsi="Arial" w:cs="Arial"/>
                <w:sz w:val="21"/>
                <w:szCs w:val="21"/>
                <w:vertAlign w:val="superscript"/>
              </w:rPr>
            </w:pPr>
            <w:r w:rsidRPr="00C87BFF">
              <w:rPr>
                <w:rFonts w:ascii="Arial" w:eastAsia="SimSun" w:hAnsi="Arial" w:cs="Arial"/>
                <w:sz w:val="21"/>
                <w:szCs w:val="21"/>
              </w:rPr>
              <w:t>Transaminase increased</w:t>
            </w:r>
          </w:p>
        </w:tc>
      </w:tr>
      <w:tr w:rsidR="004E2D87" w:rsidRPr="00C87BFF" w14:paraId="2E79D40E" w14:textId="77777777" w:rsidTr="00EC3892">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32C037" w14:textId="77777777" w:rsidR="004E2D87" w:rsidRPr="00C87BFF" w:rsidRDefault="004E2D87" w:rsidP="004E2D87">
            <w:pPr>
              <w:rPr>
                <w:rFonts w:ascii="Arial" w:eastAsia="SimSun" w:hAnsi="Arial" w:cs="Arial"/>
                <w:sz w:val="21"/>
                <w:szCs w:val="21"/>
                <w:lang w:val="en-GB" w:eastAsia="en-GB"/>
              </w:rPr>
            </w:pPr>
          </w:p>
        </w:tc>
        <w:tc>
          <w:tcPr>
            <w:tcW w:w="1948" w:type="dxa"/>
            <w:tcBorders>
              <w:top w:val="single" w:sz="4" w:space="0" w:color="auto"/>
              <w:left w:val="single" w:sz="4" w:space="0" w:color="auto"/>
              <w:bottom w:val="single" w:sz="4" w:space="0" w:color="auto"/>
              <w:right w:val="single" w:sz="4" w:space="0" w:color="auto"/>
            </w:tcBorders>
            <w:hideMark/>
          </w:tcPr>
          <w:p w14:paraId="3C04DB0B"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Uncommon</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2153FF67" w14:textId="77777777" w:rsidR="004E2D87" w:rsidRPr="00C87BFF" w:rsidRDefault="004E2D87" w:rsidP="004E2D87">
            <w:pPr>
              <w:rPr>
                <w:rFonts w:ascii="Arial" w:eastAsia="SimSun" w:hAnsi="Arial" w:cs="Arial"/>
                <w:sz w:val="21"/>
                <w:szCs w:val="21"/>
              </w:rPr>
            </w:pPr>
            <w:r w:rsidRPr="00C87BFF">
              <w:rPr>
                <w:rFonts w:ascii="Arial" w:eastAsia="SimSun" w:hAnsi="Arial" w:cs="Arial"/>
                <w:sz w:val="21"/>
                <w:szCs w:val="21"/>
              </w:rPr>
              <w:t>Hepatotoxicity</w:t>
            </w:r>
          </w:p>
        </w:tc>
      </w:tr>
      <w:tr w:rsidR="007C3D9E" w:rsidRPr="00C87BFF" w14:paraId="0C6EF08B" w14:textId="77777777" w:rsidTr="00EC3892">
        <w:trPr>
          <w:trHeight w:val="50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B05C1AE" w14:textId="77777777" w:rsidR="007C3D9E" w:rsidRPr="00C87BFF" w:rsidRDefault="007C3D9E">
            <w:pPr>
              <w:rPr>
                <w:rFonts w:ascii="Arial" w:eastAsia="SimSun" w:hAnsi="Arial" w:cs="Arial"/>
                <w:sz w:val="21"/>
                <w:szCs w:val="21"/>
              </w:rPr>
            </w:pPr>
            <w:r w:rsidRPr="00C87BFF">
              <w:rPr>
                <w:rFonts w:ascii="Arial" w:eastAsia="SimSun" w:hAnsi="Arial" w:cs="Arial"/>
                <w:sz w:val="21"/>
                <w:szCs w:val="21"/>
              </w:rPr>
              <w:t>Skin and subcutaneous tissue disorders</w:t>
            </w:r>
          </w:p>
        </w:tc>
        <w:tc>
          <w:tcPr>
            <w:tcW w:w="1948" w:type="dxa"/>
            <w:tcBorders>
              <w:top w:val="single" w:sz="4" w:space="0" w:color="auto"/>
              <w:left w:val="single" w:sz="4" w:space="0" w:color="auto"/>
              <w:bottom w:val="single" w:sz="4" w:space="0" w:color="auto"/>
              <w:right w:val="single" w:sz="4" w:space="0" w:color="auto"/>
            </w:tcBorders>
            <w:hideMark/>
          </w:tcPr>
          <w:p w14:paraId="76E3F7EA" w14:textId="77777777" w:rsidR="007C3D9E" w:rsidRPr="00C87BFF" w:rsidRDefault="007C3D9E">
            <w:pPr>
              <w:rPr>
                <w:rFonts w:ascii="Arial" w:eastAsia="SimSun" w:hAnsi="Arial" w:cs="Arial"/>
                <w:sz w:val="21"/>
                <w:szCs w:val="21"/>
              </w:rPr>
            </w:pPr>
            <w:r w:rsidRPr="00C87BFF">
              <w:rPr>
                <w:rFonts w:ascii="Arial" w:eastAsia="SimSun" w:hAnsi="Arial" w:cs="Arial"/>
                <w:sz w:val="21"/>
                <w:szCs w:val="21"/>
              </w:rPr>
              <w:t>Common</w:t>
            </w:r>
          </w:p>
        </w:tc>
        <w:tc>
          <w:tcPr>
            <w:tcW w:w="4395" w:type="dxa"/>
            <w:tcBorders>
              <w:top w:val="single" w:sz="4" w:space="0" w:color="auto"/>
              <w:left w:val="single" w:sz="4" w:space="0" w:color="auto"/>
              <w:bottom w:val="single" w:sz="4" w:space="0" w:color="auto"/>
              <w:right w:val="single" w:sz="4" w:space="0" w:color="auto"/>
            </w:tcBorders>
            <w:hideMark/>
          </w:tcPr>
          <w:p w14:paraId="22AAC5B2" w14:textId="77777777" w:rsidR="007C3D9E" w:rsidRPr="00C87BFF" w:rsidRDefault="007C3D9E" w:rsidP="007C3D9E">
            <w:pPr>
              <w:rPr>
                <w:rFonts w:ascii="Arial" w:eastAsia="SimSun" w:hAnsi="Arial" w:cs="Arial"/>
                <w:sz w:val="21"/>
                <w:szCs w:val="21"/>
              </w:rPr>
            </w:pPr>
            <w:r w:rsidRPr="00C87BFF">
              <w:rPr>
                <w:rFonts w:ascii="Arial" w:eastAsia="SimSun" w:hAnsi="Arial" w:cs="Arial"/>
                <w:sz w:val="21"/>
                <w:szCs w:val="21"/>
              </w:rPr>
              <w:t>Rash</w:t>
            </w:r>
            <w:r w:rsidRPr="00C87BFF">
              <w:rPr>
                <w:rFonts w:ascii="Arial" w:eastAsia="SimSun" w:hAnsi="Arial" w:cs="Arial"/>
                <w:sz w:val="21"/>
                <w:szCs w:val="21"/>
                <w:vertAlign w:val="superscript"/>
              </w:rPr>
              <w:t>3</w:t>
            </w:r>
          </w:p>
        </w:tc>
      </w:tr>
      <w:tr w:rsidR="007C3D9E" w:rsidRPr="00C87BFF" w14:paraId="4B65EE23" w14:textId="77777777" w:rsidTr="00EC3892">
        <w:trPr>
          <w:trHeight w:val="50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0EC4CA" w14:textId="77777777" w:rsidR="007C3D9E" w:rsidRPr="00C87BFF" w:rsidRDefault="007C3D9E">
            <w:pPr>
              <w:rPr>
                <w:rFonts w:ascii="Arial" w:eastAsia="SimSun" w:hAnsi="Arial" w:cs="Arial"/>
                <w:sz w:val="21"/>
                <w:szCs w:val="21"/>
              </w:rPr>
            </w:pPr>
            <w:r w:rsidRPr="00C87BFF">
              <w:rPr>
                <w:rFonts w:ascii="Arial" w:eastAsia="SimSun" w:hAnsi="Arial" w:cs="Arial"/>
                <w:sz w:val="21"/>
                <w:szCs w:val="21"/>
              </w:rPr>
              <w:t>Musculoskeletal and connective tissue disorders</w:t>
            </w:r>
          </w:p>
        </w:tc>
        <w:tc>
          <w:tcPr>
            <w:tcW w:w="1948" w:type="dxa"/>
            <w:tcBorders>
              <w:top w:val="single" w:sz="4" w:space="0" w:color="auto"/>
              <w:left w:val="single" w:sz="4" w:space="0" w:color="auto"/>
              <w:bottom w:val="single" w:sz="4" w:space="0" w:color="auto"/>
              <w:right w:val="single" w:sz="4" w:space="0" w:color="auto"/>
            </w:tcBorders>
            <w:hideMark/>
          </w:tcPr>
          <w:p w14:paraId="2CA02704" w14:textId="77777777" w:rsidR="007C3D9E" w:rsidRPr="00C87BFF" w:rsidRDefault="007C3D9E">
            <w:pPr>
              <w:rPr>
                <w:rFonts w:ascii="Arial" w:eastAsia="SimSun" w:hAnsi="Arial" w:cs="Arial"/>
                <w:sz w:val="21"/>
                <w:szCs w:val="21"/>
              </w:rPr>
            </w:pPr>
            <w:r w:rsidRPr="00C87BFF">
              <w:rPr>
                <w:rFonts w:ascii="Arial" w:eastAsia="SimSun" w:hAnsi="Arial" w:cs="Arial"/>
                <w:sz w:val="21"/>
                <w:szCs w:val="21"/>
              </w:rPr>
              <w:t>Common</w:t>
            </w:r>
          </w:p>
        </w:tc>
        <w:tc>
          <w:tcPr>
            <w:tcW w:w="4395" w:type="dxa"/>
            <w:tcBorders>
              <w:top w:val="single" w:sz="4" w:space="0" w:color="auto"/>
              <w:left w:val="single" w:sz="4" w:space="0" w:color="auto"/>
              <w:bottom w:val="single" w:sz="4" w:space="0" w:color="auto"/>
              <w:right w:val="single" w:sz="4" w:space="0" w:color="auto"/>
            </w:tcBorders>
            <w:hideMark/>
          </w:tcPr>
          <w:p w14:paraId="17058FAF" w14:textId="77777777" w:rsidR="007C3D9E" w:rsidRPr="00C87BFF" w:rsidRDefault="007C3D9E" w:rsidP="007C3D9E">
            <w:pPr>
              <w:rPr>
                <w:rFonts w:ascii="Arial" w:eastAsia="SimSun" w:hAnsi="Arial" w:cs="Arial"/>
                <w:sz w:val="21"/>
                <w:szCs w:val="21"/>
              </w:rPr>
            </w:pPr>
            <w:r w:rsidRPr="00C87BFF">
              <w:rPr>
                <w:rFonts w:ascii="Arial" w:eastAsia="SimSun" w:hAnsi="Arial" w:cs="Arial"/>
                <w:sz w:val="21"/>
                <w:szCs w:val="21"/>
              </w:rPr>
              <w:t>Myalgia</w:t>
            </w:r>
          </w:p>
        </w:tc>
      </w:tr>
      <w:tr w:rsidR="007C3D9E" w:rsidRPr="00C87BFF" w14:paraId="3C250F74" w14:textId="77777777" w:rsidTr="00EC3892">
        <w:trPr>
          <w:trHeight w:val="128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6D8C15" w14:textId="77777777" w:rsidR="007C3D9E" w:rsidRPr="00C87BFF" w:rsidRDefault="007C3D9E">
            <w:pPr>
              <w:rPr>
                <w:rFonts w:ascii="Arial" w:eastAsia="SimSun" w:hAnsi="Arial" w:cs="Arial"/>
                <w:sz w:val="21"/>
                <w:szCs w:val="21"/>
              </w:rPr>
            </w:pPr>
            <w:r w:rsidRPr="00C87BFF">
              <w:rPr>
                <w:rFonts w:ascii="Arial" w:eastAsia="SimSun" w:hAnsi="Arial" w:cs="Arial"/>
                <w:sz w:val="21"/>
                <w:szCs w:val="21"/>
              </w:rPr>
              <w:t>General disorders and administrative site conditions</w:t>
            </w:r>
          </w:p>
        </w:tc>
        <w:tc>
          <w:tcPr>
            <w:tcW w:w="1948" w:type="dxa"/>
            <w:tcBorders>
              <w:top w:val="single" w:sz="4" w:space="0" w:color="auto"/>
              <w:left w:val="single" w:sz="4" w:space="0" w:color="auto"/>
              <w:bottom w:val="single" w:sz="4" w:space="0" w:color="auto"/>
              <w:right w:val="single" w:sz="4" w:space="0" w:color="auto"/>
            </w:tcBorders>
            <w:hideMark/>
          </w:tcPr>
          <w:p w14:paraId="25A3D387" w14:textId="77777777" w:rsidR="007C3D9E" w:rsidRPr="00C87BFF" w:rsidRDefault="007C3D9E">
            <w:pPr>
              <w:rPr>
                <w:rFonts w:ascii="Arial" w:eastAsia="SimSun" w:hAnsi="Arial" w:cs="Arial"/>
                <w:sz w:val="21"/>
                <w:szCs w:val="21"/>
              </w:rPr>
            </w:pPr>
            <w:r w:rsidRPr="00C87BFF">
              <w:rPr>
                <w:rFonts w:ascii="Arial" w:eastAsia="SimSun" w:hAnsi="Arial" w:cs="Arial"/>
                <w:sz w:val="21"/>
                <w:szCs w:val="21"/>
              </w:rPr>
              <w:t>Very Common</w:t>
            </w:r>
          </w:p>
        </w:tc>
        <w:tc>
          <w:tcPr>
            <w:tcW w:w="4395" w:type="dxa"/>
            <w:tcBorders>
              <w:top w:val="single" w:sz="4" w:space="0" w:color="auto"/>
              <w:left w:val="single" w:sz="4" w:space="0" w:color="auto"/>
              <w:bottom w:val="single" w:sz="4" w:space="0" w:color="auto"/>
              <w:right w:val="single" w:sz="4" w:space="0" w:color="auto"/>
            </w:tcBorders>
            <w:hideMark/>
          </w:tcPr>
          <w:p w14:paraId="18F6A9FA" w14:textId="77777777" w:rsidR="007C3D9E" w:rsidRPr="00C87BFF" w:rsidRDefault="007C3D9E" w:rsidP="007C3D9E">
            <w:pPr>
              <w:rPr>
                <w:rFonts w:ascii="Arial" w:eastAsia="SimSun" w:hAnsi="Arial" w:cs="Arial"/>
                <w:sz w:val="21"/>
                <w:szCs w:val="21"/>
              </w:rPr>
            </w:pPr>
            <w:r w:rsidRPr="00C87BFF">
              <w:rPr>
                <w:rFonts w:ascii="Arial" w:eastAsia="SimSun" w:hAnsi="Arial" w:cs="Arial"/>
                <w:sz w:val="21"/>
                <w:szCs w:val="21"/>
              </w:rPr>
              <w:t>Pyrexia</w:t>
            </w:r>
            <w:r w:rsidRPr="00C87BFF">
              <w:rPr>
                <w:rFonts w:ascii="Arial" w:eastAsia="SimSun" w:hAnsi="Arial" w:cs="Arial"/>
                <w:sz w:val="21"/>
                <w:szCs w:val="21"/>
                <w:vertAlign w:val="superscript"/>
              </w:rPr>
              <w:t>4</w:t>
            </w:r>
          </w:p>
          <w:p w14:paraId="49E39DAF" w14:textId="77777777" w:rsidR="007C3D9E" w:rsidRPr="00C87BFF" w:rsidRDefault="007C3D9E" w:rsidP="007C3D9E">
            <w:pPr>
              <w:rPr>
                <w:rFonts w:ascii="Arial" w:eastAsia="SimSun" w:hAnsi="Arial" w:cs="Arial"/>
                <w:sz w:val="21"/>
                <w:szCs w:val="21"/>
              </w:rPr>
            </w:pPr>
            <w:r w:rsidRPr="00C87BFF">
              <w:rPr>
                <w:rFonts w:ascii="Arial" w:eastAsia="SimSun" w:hAnsi="Arial" w:cs="Arial"/>
                <w:sz w:val="21"/>
                <w:szCs w:val="21"/>
              </w:rPr>
              <w:t>Injection site reactions</w:t>
            </w:r>
            <w:r w:rsidRPr="00C87BFF">
              <w:rPr>
                <w:rFonts w:ascii="Arial" w:eastAsia="SimSun" w:hAnsi="Arial" w:cs="Arial"/>
                <w:sz w:val="21"/>
                <w:szCs w:val="21"/>
                <w:vertAlign w:val="superscript"/>
              </w:rPr>
              <w:t>5</w:t>
            </w:r>
            <w:r w:rsidRPr="00C87BFF">
              <w:rPr>
                <w:rFonts w:ascii="Arial" w:eastAsia="SimSun" w:hAnsi="Arial" w:cs="Arial"/>
                <w:sz w:val="21"/>
                <w:szCs w:val="21"/>
              </w:rPr>
              <w:t xml:space="preserve"> (pain and tenderness, nodule, induration)</w:t>
            </w:r>
          </w:p>
        </w:tc>
      </w:tr>
      <w:tr w:rsidR="007C3D9E" w:rsidRPr="00C87BFF" w14:paraId="409513E0" w14:textId="77777777" w:rsidTr="00EC3892">
        <w:trPr>
          <w:trHeight w:val="1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E968D" w14:textId="77777777" w:rsidR="007C3D9E" w:rsidRPr="00C87BFF" w:rsidRDefault="007C3D9E">
            <w:pPr>
              <w:spacing w:after="0"/>
              <w:rPr>
                <w:rFonts w:ascii="Arial" w:eastAsia="SimSun" w:hAnsi="Arial" w:cs="Arial"/>
                <w:sz w:val="21"/>
                <w:szCs w:val="21"/>
                <w:lang w:val="en-GB" w:eastAsia="en-GB"/>
              </w:rPr>
            </w:pPr>
          </w:p>
        </w:tc>
        <w:tc>
          <w:tcPr>
            <w:tcW w:w="1948" w:type="dxa"/>
            <w:tcBorders>
              <w:top w:val="single" w:sz="4" w:space="0" w:color="auto"/>
              <w:left w:val="single" w:sz="4" w:space="0" w:color="auto"/>
              <w:bottom w:val="single" w:sz="4" w:space="0" w:color="auto"/>
              <w:right w:val="single" w:sz="4" w:space="0" w:color="auto"/>
            </w:tcBorders>
            <w:hideMark/>
          </w:tcPr>
          <w:p w14:paraId="34728F04" w14:textId="77777777" w:rsidR="007C3D9E" w:rsidRPr="00C87BFF" w:rsidRDefault="007C3D9E">
            <w:pPr>
              <w:rPr>
                <w:rFonts w:ascii="Arial" w:eastAsia="SimSun" w:hAnsi="Arial" w:cs="Arial"/>
                <w:sz w:val="21"/>
                <w:szCs w:val="21"/>
              </w:rPr>
            </w:pPr>
            <w:r w:rsidRPr="00C87BFF">
              <w:rPr>
                <w:rFonts w:ascii="Arial" w:eastAsia="SimSun" w:hAnsi="Arial" w:cs="Arial"/>
                <w:sz w:val="21"/>
                <w:szCs w:val="21"/>
              </w:rPr>
              <w:t>Common</w:t>
            </w:r>
          </w:p>
        </w:tc>
        <w:tc>
          <w:tcPr>
            <w:tcW w:w="4395" w:type="dxa"/>
            <w:tcBorders>
              <w:top w:val="single" w:sz="4" w:space="0" w:color="auto"/>
              <w:left w:val="single" w:sz="4" w:space="0" w:color="auto"/>
              <w:bottom w:val="single" w:sz="4" w:space="0" w:color="auto"/>
              <w:right w:val="single" w:sz="4" w:space="0" w:color="auto"/>
            </w:tcBorders>
            <w:hideMark/>
          </w:tcPr>
          <w:p w14:paraId="29E56698" w14:textId="77777777" w:rsidR="007C3D9E" w:rsidRPr="00C87BFF" w:rsidRDefault="007C3D9E" w:rsidP="007C3D9E">
            <w:pPr>
              <w:rPr>
                <w:rFonts w:ascii="Arial" w:eastAsia="SimSun" w:hAnsi="Arial" w:cs="Arial"/>
                <w:sz w:val="21"/>
                <w:szCs w:val="21"/>
              </w:rPr>
            </w:pPr>
            <w:r w:rsidRPr="00C87BFF">
              <w:rPr>
                <w:rFonts w:ascii="Arial" w:eastAsia="SimSun" w:hAnsi="Arial" w:cs="Arial"/>
                <w:sz w:val="21"/>
                <w:szCs w:val="21"/>
              </w:rPr>
              <w:t>Injection site reaction</w:t>
            </w:r>
            <w:r w:rsidRPr="00C87BFF">
              <w:rPr>
                <w:rFonts w:ascii="Arial" w:eastAsia="SimSun" w:hAnsi="Arial" w:cs="Arial"/>
                <w:sz w:val="21"/>
                <w:szCs w:val="21"/>
                <w:vertAlign w:val="superscript"/>
              </w:rPr>
              <w:t xml:space="preserve">5 </w:t>
            </w:r>
            <w:r w:rsidRPr="00C87BFF">
              <w:rPr>
                <w:rFonts w:ascii="Arial" w:eastAsia="SimSun" w:hAnsi="Arial" w:cs="Arial"/>
                <w:sz w:val="21"/>
                <w:szCs w:val="21"/>
              </w:rPr>
              <w:t xml:space="preserve">(swelling, bruising, erythema, warmth, pruritus, anaesthesia) </w:t>
            </w:r>
          </w:p>
          <w:p w14:paraId="609D9C66" w14:textId="77777777" w:rsidR="007C3D9E" w:rsidRPr="00C87BFF" w:rsidRDefault="007C3D9E" w:rsidP="007C3D9E">
            <w:pPr>
              <w:rPr>
                <w:rFonts w:ascii="Arial" w:eastAsia="SimSun" w:hAnsi="Arial" w:cs="Arial"/>
                <w:sz w:val="21"/>
                <w:szCs w:val="21"/>
              </w:rPr>
            </w:pPr>
            <w:r w:rsidRPr="00C87BFF">
              <w:rPr>
                <w:rFonts w:ascii="Arial" w:eastAsia="SimSun" w:hAnsi="Arial" w:cs="Arial"/>
                <w:sz w:val="21"/>
                <w:szCs w:val="21"/>
              </w:rPr>
              <w:t>Fatigue</w:t>
            </w:r>
          </w:p>
          <w:p w14:paraId="1985E453" w14:textId="77777777" w:rsidR="007C3D9E" w:rsidRPr="00C87BFF" w:rsidRDefault="007C3D9E" w:rsidP="007C3D9E">
            <w:pPr>
              <w:rPr>
                <w:rFonts w:ascii="Arial" w:eastAsia="SimSun" w:hAnsi="Arial" w:cs="Arial"/>
                <w:sz w:val="21"/>
                <w:szCs w:val="21"/>
              </w:rPr>
            </w:pPr>
            <w:r w:rsidRPr="00C87BFF">
              <w:rPr>
                <w:rFonts w:ascii="Arial" w:eastAsia="SimSun" w:hAnsi="Arial" w:cs="Arial"/>
                <w:sz w:val="21"/>
                <w:szCs w:val="21"/>
              </w:rPr>
              <w:t>Malaise</w:t>
            </w:r>
          </w:p>
        </w:tc>
      </w:tr>
      <w:tr w:rsidR="007C3D9E" w:rsidRPr="00C87BFF" w14:paraId="69116A40" w14:textId="77777777" w:rsidTr="00EC3892">
        <w:trPr>
          <w:trHeight w:val="7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85C68" w14:textId="77777777" w:rsidR="007C3D9E" w:rsidRPr="00C87BFF" w:rsidRDefault="007C3D9E">
            <w:pPr>
              <w:rPr>
                <w:rFonts w:ascii="Arial" w:eastAsia="SimSun" w:hAnsi="Arial" w:cs="Arial"/>
                <w:sz w:val="21"/>
                <w:szCs w:val="21"/>
              </w:rPr>
            </w:pPr>
          </w:p>
        </w:tc>
        <w:tc>
          <w:tcPr>
            <w:tcW w:w="1948" w:type="dxa"/>
            <w:tcBorders>
              <w:top w:val="single" w:sz="4" w:space="0" w:color="auto"/>
              <w:left w:val="single" w:sz="4" w:space="0" w:color="auto"/>
              <w:bottom w:val="single" w:sz="4" w:space="0" w:color="auto"/>
              <w:right w:val="single" w:sz="4" w:space="0" w:color="auto"/>
            </w:tcBorders>
            <w:hideMark/>
          </w:tcPr>
          <w:p w14:paraId="516DC810" w14:textId="77777777" w:rsidR="007C3D9E" w:rsidRPr="00C87BFF" w:rsidRDefault="007C3D9E">
            <w:pPr>
              <w:rPr>
                <w:rFonts w:ascii="Arial" w:eastAsia="SimSun" w:hAnsi="Arial" w:cs="Arial"/>
                <w:sz w:val="21"/>
                <w:szCs w:val="21"/>
              </w:rPr>
            </w:pPr>
            <w:r w:rsidRPr="00C87BFF">
              <w:rPr>
                <w:rFonts w:ascii="Arial" w:eastAsia="SimSun" w:hAnsi="Arial" w:cs="Arial"/>
                <w:sz w:val="21"/>
                <w:szCs w:val="21"/>
              </w:rPr>
              <w:t>Uncommon</w:t>
            </w:r>
          </w:p>
        </w:tc>
        <w:tc>
          <w:tcPr>
            <w:tcW w:w="4395" w:type="dxa"/>
            <w:tcBorders>
              <w:top w:val="single" w:sz="4" w:space="0" w:color="auto"/>
              <w:left w:val="single" w:sz="4" w:space="0" w:color="auto"/>
              <w:bottom w:val="single" w:sz="4" w:space="0" w:color="auto"/>
              <w:right w:val="single" w:sz="4" w:space="0" w:color="auto"/>
            </w:tcBorders>
            <w:hideMark/>
          </w:tcPr>
          <w:p w14:paraId="7BA0F62F" w14:textId="77777777" w:rsidR="007C3D9E" w:rsidRPr="00C87BFF" w:rsidRDefault="007C3D9E" w:rsidP="007C3D9E">
            <w:pPr>
              <w:rPr>
                <w:rFonts w:ascii="Arial" w:eastAsia="SimSun" w:hAnsi="Arial" w:cs="Arial"/>
                <w:sz w:val="21"/>
                <w:szCs w:val="21"/>
              </w:rPr>
            </w:pPr>
            <w:r w:rsidRPr="00C87BFF">
              <w:rPr>
                <w:rFonts w:ascii="Arial" w:eastAsia="SimSun" w:hAnsi="Arial" w:cs="Arial"/>
                <w:sz w:val="21"/>
                <w:szCs w:val="21"/>
              </w:rPr>
              <w:t>Injection site reactions</w:t>
            </w:r>
            <w:r w:rsidRPr="00C87BFF">
              <w:rPr>
                <w:rFonts w:ascii="Arial" w:eastAsia="SimSun" w:hAnsi="Arial" w:cs="Arial"/>
                <w:sz w:val="21"/>
                <w:szCs w:val="21"/>
                <w:vertAlign w:val="superscript"/>
              </w:rPr>
              <w:t>5</w:t>
            </w:r>
            <w:r w:rsidRPr="00C87BFF">
              <w:rPr>
                <w:rFonts w:ascii="Arial" w:eastAsia="SimSun" w:hAnsi="Arial" w:cs="Arial"/>
                <w:sz w:val="21"/>
                <w:szCs w:val="21"/>
              </w:rPr>
              <w:t xml:space="preserve"> (haematoma, discolouration, abscess)</w:t>
            </w:r>
          </w:p>
        </w:tc>
      </w:tr>
      <w:tr w:rsidR="007C3D9E" w:rsidRPr="00C87BFF" w14:paraId="3371C276" w14:textId="77777777" w:rsidTr="00EC3892">
        <w:trPr>
          <w:trHeight w:val="500"/>
        </w:trPr>
        <w:tc>
          <w:tcPr>
            <w:tcW w:w="0" w:type="auto"/>
            <w:tcBorders>
              <w:top w:val="single" w:sz="4" w:space="0" w:color="auto"/>
              <w:left w:val="single" w:sz="4" w:space="0" w:color="auto"/>
              <w:bottom w:val="single" w:sz="4" w:space="0" w:color="auto"/>
              <w:right w:val="single" w:sz="4" w:space="0" w:color="auto"/>
            </w:tcBorders>
            <w:vAlign w:val="center"/>
            <w:hideMark/>
          </w:tcPr>
          <w:p w14:paraId="5C25F8C8" w14:textId="77777777" w:rsidR="007C3D9E" w:rsidRPr="00C87BFF" w:rsidRDefault="007C3D9E">
            <w:pPr>
              <w:rPr>
                <w:rFonts w:ascii="Arial" w:eastAsia="SimSun" w:hAnsi="Arial" w:cs="Arial"/>
                <w:sz w:val="21"/>
                <w:szCs w:val="21"/>
              </w:rPr>
            </w:pPr>
            <w:r w:rsidRPr="00C87BFF">
              <w:rPr>
                <w:rFonts w:ascii="Arial" w:eastAsia="SimSun" w:hAnsi="Arial" w:cs="Arial"/>
                <w:sz w:val="21"/>
                <w:szCs w:val="21"/>
              </w:rPr>
              <w:t>Investigations</w:t>
            </w:r>
          </w:p>
        </w:tc>
        <w:tc>
          <w:tcPr>
            <w:tcW w:w="1948" w:type="dxa"/>
            <w:tcBorders>
              <w:top w:val="single" w:sz="4" w:space="0" w:color="auto"/>
              <w:left w:val="single" w:sz="4" w:space="0" w:color="auto"/>
              <w:bottom w:val="single" w:sz="4" w:space="0" w:color="auto"/>
              <w:right w:val="single" w:sz="4" w:space="0" w:color="auto"/>
            </w:tcBorders>
            <w:hideMark/>
          </w:tcPr>
          <w:p w14:paraId="37C60133" w14:textId="77777777" w:rsidR="007C3D9E" w:rsidRPr="00C87BFF" w:rsidRDefault="007C3D9E">
            <w:pPr>
              <w:rPr>
                <w:rFonts w:ascii="Arial" w:eastAsia="SimSun" w:hAnsi="Arial" w:cs="Arial"/>
                <w:sz w:val="21"/>
                <w:szCs w:val="21"/>
              </w:rPr>
            </w:pPr>
            <w:r w:rsidRPr="00C87BFF">
              <w:rPr>
                <w:rFonts w:ascii="Arial" w:eastAsia="SimSun" w:hAnsi="Arial" w:cs="Arial"/>
                <w:sz w:val="21"/>
                <w:szCs w:val="21"/>
              </w:rPr>
              <w:t>Uncommon</w:t>
            </w:r>
          </w:p>
        </w:tc>
        <w:tc>
          <w:tcPr>
            <w:tcW w:w="4395" w:type="dxa"/>
            <w:tcBorders>
              <w:top w:val="single" w:sz="4" w:space="0" w:color="auto"/>
              <w:left w:val="single" w:sz="4" w:space="0" w:color="auto"/>
              <w:bottom w:val="single" w:sz="4" w:space="0" w:color="auto"/>
              <w:right w:val="single" w:sz="4" w:space="0" w:color="auto"/>
            </w:tcBorders>
            <w:hideMark/>
          </w:tcPr>
          <w:p w14:paraId="4228D49F" w14:textId="77777777" w:rsidR="007C3D9E" w:rsidRPr="00C87BFF" w:rsidRDefault="007C3D9E" w:rsidP="007C3D9E">
            <w:pPr>
              <w:rPr>
                <w:rFonts w:ascii="Arial" w:eastAsia="SimSun" w:hAnsi="Arial" w:cs="Arial"/>
                <w:sz w:val="21"/>
                <w:szCs w:val="21"/>
              </w:rPr>
            </w:pPr>
            <w:r w:rsidRPr="00C87BFF">
              <w:rPr>
                <w:rFonts w:ascii="Arial" w:eastAsia="SimSun" w:hAnsi="Arial" w:cs="Arial"/>
                <w:sz w:val="21"/>
                <w:szCs w:val="21"/>
              </w:rPr>
              <w:t xml:space="preserve">Weight increased </w:t>
            </w:r>
          </w:p>
        </w:tc>
      </w:tr>
    </w:tbl>
    <w:p w14:paraId="0F3306D6" w14:textId="4FF37EBB" w:rsidR="00EC3892" w:rsidRPr="00C87BFF" w:rsidRDefault="00EC3892" w:rsidP="00EC3892">
      <w:pPr>
        <w:tabs>
          <w:tab w:val="left" w:pos="720"/>
        </w:tabs>
        <w:autoSpaceDE w:val="0"/>
        <w:autoSpaceDN w:val="0"/>
        <w:spacing w:after="0"/>
        <w:rPr>
          <w:rFonts w:ascii="Arial" w:hAnsi="Arial" w:cs="Arial"/>
          <w:b/>
          <w:bCs/>
          <w:i/>
          <w:iCs/>
          <w:sz w:val="20"/>
          <w:szCs w:val="20"/>
        </w:rPr>
      </w:pPr>
      <w:r w:rsidRPr="00C87BFF">
        <w:rPr>
          <w:rFonts w:ascii="Arial" w:hAnsi="Arial" w:cs="Arial"/>
          <w:sz w:val="20"/>
          <w:szCs w:val="20"/>
          <w:vertAlign w:val="superscript"/>
        </w:rPr>
        <w:t>1</w:t>
      </w:r>
      <w:r w:rsidRPr="00C87BFF">
        <w:rPr>
          <w:rFonts w:ascii="Arial" w:hAnsi="Arial" w:cs="Arial"/>
          <w:sz w:val="20"/>
          <w:szCs w:val="20"/>
        </w:rPr>
        <w:t xml:space="preserve">The frequency of the identified </w:t>
      </w:r>
      <w:r w:rsidR="00971DB6" w:rsidRPr="00C87BFF">
        <w:rPr>
          <w:rFonts w:ascii="Arial" w:hAnsi="Arial" w:cs="Arial"/>
          <w:sz w:val="20"/>
          <w:szCs w:val="20"/>
        </w:rPr>
        <w:t>adverse reactions</w:t>
      </w:r>
      <w:r w:rsidR="001C31CF" w:rsidRPr="00C87BFF">
        <w:rPr>
          <w:rFonts w:ascii="Arial" w:hAnsi="Arial" w:cs="Arial"/>
          <w:sz w:val="20"/>
          <w:szCs w:val="20"/>
        </w:rPr>
        <w:t xml:space="preserve"> </w:t>
      </w:r>
      <w:r w:rsidRPr="00C87BFF">
        <w:rPr>
          <w:rFonts w:ascii="Arial" w:hAnsi="Arial" w:cs="Arial"/>
          <w:sz w:val="20"/>
          <w:szCs w:val="20"/>
        </w:rPr>
        <w:t>are based on all reported occurrences of the events and are not limited to those considered at least possibly related by the investigator.</w:t>
      </w:r>
    </w:p>
    <w:p w14:paraId="3399F11F" w14:textId="77777777" w:rsidR="00EC3892" w:rsidRPr="00C87BFF" w:rsidRDefault="00EC3892" w:rsidP="00EC3892">
      <w:pPr>
        <w:autoSpaceDE w:val="0"/>
        <w:autoSpaceDN w:val="0"/>
        <w:spacing w:after="0"/>
        <w:rPr>
          <w:rFonts w:ascii="Arial" w:hAnsi="Arial" w:cs="Arial"/>
          <w:sz w:val="20"/>
          <w:szCs w:val="20"/>
        </w:rPr>
      </w:pPr>
      <w:r w:rsidRPr="00C87BFF">
        <w:rPr>
          <w:rFonts w:ascii="Arial" w:hAnsi="Arial" w:cs="Arial"/>
          <w:sz w:val="20"/>
          <w:szCs w:val="20"/>
          <w:vertAlign w:val="superscript"/>
        </w:rPr>
        <w:t>2</w:t>
      </w:r>
      <w:r w:rsidRPr="00C87BFF">
        <w:rPr>
          <w:rFonts w:ascii="Arial" w:hAnsi="Arial" w:cs="Arial"/>
          <w:sz w:val="20"/>
          <w:szCs w:val="20"/>
        </w:rPr>
        <w:t>Abdominal pain includes the following grouped MedDRA preferred terms: upper abdominal pain and abdominal pain.</w:t>
      </w:r>
    </w:p>
    <w:p w14:paraId="33C400A3" w14:textId="77777777" w:rsidR="00EC3892" w:rsidRPr="00C87BFF" w:rsidRDefault="00EC3892" w:rsidP="00EC3892">
      <w:pPr>
        <w:autoSpaceDE w:val="0"/>
        <w:autoSpaceDN w:val="0"/>
        <w:spacing w:after="0"/>
        <w:rPr>
          <w:rFonts w:ascii="Arial" w:hAnsi="Arial" w:cs="Arial"/>
          <w:bCs/>
          <w:sz w:val="20"/>
          <w:szCs w:val="20"/>
        </w:rPr>
      </w:pPr>
      <w:r w:rsidRPr="00C87BFF">
        <w:rPr>
          <w:rFonts w:ascii="Arial" w:hAnsi="Arial" w:cs="Arial"/>
          <w:sz w:val="20"/>
          <w:szCs w:val="20"/>
          <w:vertAlign w:val="superscript"/>
        </w:rPr>
        <w:t>3</w:t>
      </w:r>
      <w:r w:rsidRPr="00C87BFF">
        <w:rPr>
          <w:rFonts w:ascii="Arial" w:hAnsi="Arial" w:cs="Arial"/>
          <w:sz w:val="20"/>
          <w:szCs w:val="20"/>
        </w:rPr>
        <w:t xml:space="preserve">Rash includes the following grouped MedDRA preferred terms: rash, rash erythematous, rash macular, rash maculo-papular, rash morbilliform, rash </w:t>
      </w:r>
      <w:proofErr w:type="spellStart"/>
      <w:r w:rsidRPr="00C87BFF">
        <w:rPr>
          <w:rFonts w:ascii="Arial" w:hAnsi="Arial" w:cs="Arial"/>
          <w:sz w:val="20"/>
          <w:szCs w:val="20"/>
        </w:rPr>
        <w:t>papular</w:t>
      </w:r>
      <w:proofErr w:type="spellEnd"/>
      <w:r w:rsidRPr="00C87BFF">
        <w:rPr>
          <w:rFonts w:ascii="Arial" w:hAnsi="Arial" w:cs="Arial"/>
          <w:sz w:val="20"/>
          <w:szCs w:val="20"/>
        </w:rPr>
        <w:t>, rash pruritic.</w:t>
      </w:r>
    </w:p>
    <w:p w14:paraId="015946E8" w14:textId="589BA01C" w:rsidR="00EC3892" w:rsidRPr="00C87BFF" w:rsidRDefault="00EC3892" w:rsidP="00EC3892">
      <w:pPr>
        <w:autoSpaceDE w:val="0"/>
        <w:autoSpaceDN w:val="0"/>
        <w:spacing w:after="0"/>
        <w:rPr>
          <w:rFonts w:ascii="Arial" w:hAnsi="Arial" w:cs="Arial"/>
          <w:bCs/>
          <w:sz w:val="20"/>
          <w:szCs w:val="20"/>
        </w:rPr>
      </w:pPr>
      <w:r w:rsidRPr="00C87BFF">
        <w:rPr>
          <w:rFonts w:ascii="Arial" w:hAnsi="Arial" w:cs="Arial"/>
          <w:bCs/>
          <w:sz w:val="20"/>
          <w:szCs w:val="20"/>
          <w:vertAlign w:val="superscript"/>
        </w:rPr>
        <w:t>4</w:t>
      </w:r>
      <w:r w:rsidRPr="00C87BFF">
        <w:rPr>
          <w:rFonts w:ascii="Arial" w:hAnsi="Arial" w:cs="Arial"/>
          <w:sz w:val="20"/>
          <w:szCs w:val="20"/>
        </w:rPr>
        <w:t>Pyrexia</w:t>
      </w:r>
      <w:r w:rsidRPr="00C87BFF">
        <w:rPr>
          <w:rFonts w:ascii="Arial" w:hAnsi="Arial" w:cs="Arial"/>
          <w:bCs/>
          <w:sz w:val="20"/>
          <w:szCs w:val="20"/>
        </w:rPr>
        <w:t xml:space="preserve"> </w:t>
      </w:r>
      <w:r w:rsidRPr="00C87BFF">
        <w:rPr>
          <w:rFonts w:ascii="Arial" w:hAnsi="Arial" w:cs="Arial"/>
          <w:sz w:val="20"/>
          <w:szCs w:val="20"/>
        </w:rPr>
        <w:t>includes the following grouped MedDRA preferred terms: pyrexia and feeling</w:t>
      </w:r>
      <w:r w:rsidRPr="00C87BFF">
        <w:rPr>
          <w:rFonts w:ascii="Arial" w:hAnsi="Arial" w:cs="Arial"/>
          <w:bCs/>
          <w:sz w:val="20"/>
          <w:szCs w:val="20"/>
        </w:rPr>
        <w:t xml:space="preserve"> </w:t>
      </w:r>
      <w:r w:rsidRPr="00C87BFF">
        <w:rPr>
          <w:rFonts w:ascii="Arial" w:hAnsi="Arial" w:cs="Arial"/>
          <w:sz w:val="20"/>
          <w:szCs w:val="20"/>
        </w:rPr>
        <w:t xml:space="preserve">hot. </w:t>
      </w:r>
      <w:proofErr w:type="gramStart"/>
      <w:r w:rsidR="00C4038D" w:rsidRPr="00C87BFF">
        <w:rPr>
          <w:rFonts w:ascii="Arial" w:hAnsi="Arial" w:cs="Arial"/>
          <w:sz w:val="20"/>
          <w:szCs w:val="20"/>
        </w:rPr>
        <w:t>The majority of</w:t>
      </w:r>
      <w:proofErr w:type="gramEnd"/>
      <w:r w:rsidR="00C4038D" w:rsidRPr="00C87BFF">
        <w:rPr>
          <w:rFonts w:ascii="Arial" w:hAnsi="Arial" w:cs="Arial"/>
          <w:sz w:val="20"/>
          <w:szCs w:val="20"/>
        </w:rPr>
        <w:t xml:space="preserve"> pyrexia events were reported within one week of injections. </w:t>
      </w:r>
    </w:p>
    <w:p w14:paraId="77FF6206" w14:textId="1B607E36" w:rsidR="001D2492" w:rsidRPr="001D2492" w:rsidRDefault="00EC3892" w:rsidP="00372C40">
      <w:pPr>
        <w:autoSpaceDE w:val="0"/>
        <w:autoSpaceDN w:val="0"/>
        <w:spacing w:after="0"/>
        <w:rPr>
          <w:rFonts w:ascii="Arial" w:hAnsi="Arial" w:cs="Arial"/>
          <w:sz w:val="20"/>
          <w:szCs w:val="20"/>
        </w:rPr>
      </w:pPr>
      <w:r w:rsidRPr="00C87BFF">
        <w:rPr>
          <w:rFonts w:ascii="Arial" w:hAnsi="Arial" w:cs="Arial"/>
          <w:bCs/>
          <w:sz w:val="20"/>
          <w:szCs w:val="20"/>
          <w:vertAlign w:val="superscript"/>
        </w:rPr>
        <w:t>5</w:t>
      </w:r>
      <w:r w:rsidRPr="00C87BFF">
        <w:rPr>
          <w:rFonts w:ascii="Arial" w:hAnsi="Arial" w:cs="Arial"/>
          <w:sz w:val="20"/>
          <w:szCs w:val="20"/>
        </w:rPr>
        <w:t>ISRs listed in the table have been seen in 2 participants or more.</w:t>
      </w:r>
    </w:p>
    <w:p w14:paraId="250EA238" w14:textId="0587F114" w:rsidR="00E32CA6" w:rsidRPr="003647BC" w:rsidRDefault="00C4038D" w:rsidP="003647BC">
      <w:pPr>
        <w:pStyle w:val="Heading3"/>
        <w:rPr>
          <w:rFonts w:ascii="Arial" w:hAnsi="Arial" w:cs="Arial"/>
        </w:rPr>
      </w:pPr>
      <w:r w:rsidRPr="003647BC">
        <w:rPr>
          <w:rFonts w:ascii="Arial" w:hAnsi="Arial" w:cs="Arial"/>
        </w:rPr>
        <w:t>Local Injection Site Reactions</w:t>
      </w:r>
      <w:r w:rsidR="003332D9">
        <w:rPr>
          <w:rFonts w:ascii="Arial" w:hAnsi="Arial" w:cs="Arial"/>
        </w:rPr>
        <w:fldChar w:fldCharType="begin"/>
      </w:r>
      <w:r w:rsidR="003332D9">
        <w:rPr>
          <w:rFonts w:ascii="Arial" w:hAnsi="Arial" w:cs="Arial"/>
        </w:rPr>
        <w:instrText xml:space="preserve"> DOCVARIABLE vault_nd_98614ea2-dd21-4698-99bf-387501ce00ed \* MERGEFORMAT </w:instrText>
      </w:r>
      <w:r w:rsidR="003332D9">
        <w:rPr>
          <w:rFonts w:ascii="Arial" w:hAnsi="Arial" w:cs="Arial"/>
        </w:rPr>
        <w:fldChar w:fldCharType="separate"/>
      </w:r>
      <w:r w:rsidR="003332D9">
        <w:rPr>
          <w:rFonts w:ascii="Arial" w:hAnsi="Arial" w:cs="Arial"/>
        </w:rPr>
        <w:t xml:space="preserve"> </w:t>
      </w:r>
      <w:r w:rsidR="003332D9">
        <w:rPr>
          <w:rFonts w:ascii="Arial" w:hAnsi="Arial" w:cs="Arial"/>
        </w:rPr>
        <w:fldChar w:fldCharType="end"/>
      </w:r>
    </w:p>
    <w:p w14:paraId="095D72E6" w14:textId="441D1206" w:rsidR="00C4038D" w:rsidRPr="00C4038D" w:rsidRDefault="00C4038D" w:rsidP="00E32CA6">
      <w:pPr>
        <w:rPr>
          <w:rFonts w:ascii="Arial" w:eastAsiaTheme="majorEastAsia" w:hAnsi="Arial" w:cs="Arial"/>
          <w:highlight w:val="lightGray"/>
        </w:rPr>
      </w:pPr>
      <w:r w:rsidRPr="00E32CA6">
        <w:rPr>
          <w:rFonts w:ascii="Arial" w:hAnsi="Arial" w:cs="Arial"/>
        </w:rPr>
        <w:t xml:space="preserve">In HPTN 083, 2% of participants discontinued </w:t>
      </w:r>
      <w:r w:rsidR="00971DB6">
        <w:rPr>
          <w:rFonts w:ascii="Arial" w:hAnsi="Arial" w:cs="Arial"/>
        </w:rPr>
        <w:t>APRETUDE</w:t>
      </w:r>
      <w:r w:rsidR="00971DB6" w:rsidRPr="00E32CA6">
        <w:rPr>
          <w:rFonts w:ascii="Arial" w:hAnsi="Arial" w:cs="Arial"/>
        </w:rPr>
        <w:t xml:space="preserve"> </w:t>
      </w:r>
      <w:r w:rsidRPr="00E32CA6">
        <w:rPr>
          <w:rFonts w:ascii="Arial" w:hAnsi="Arial" w:cs="Arial"/>
        </w:rPr>
        <w:t>because of</w:t>
      </w:r>
      <w:r w:rsidR="00E936FD">
        <w:rPr>
          <w:rFonts w:ascii="Arial" w:hAnsi="Arial" w:cs="Arial"/>
        </w:rPr>
        <w:t xml:space="preserve"> Injection site reactions</w:t>
      </w:r>
      <w:r w:rsidRPr="00E32CA6">
        <w:rPr>
          <w:rFonts w:ascii="Arial" w:hAnsi="Arial" w:cs="Arial"/>
        </w:rPr>
        <w:t xml:space="preserve"> </w:t>
      </w:r>
      <w:r w:rsidR="00E936FD">
        <w:rPr>
          <w:rFonts w:ascii="Arial" w:hAnsi="Arial" w:cs="Arial"/>
        </w:rPr>
        <w:t>(</w:t>
      </w:r>
      <w:r w:rsidRPr="00E32CA6">
        <w:rPr>
          <w:rFonts w:ascii="Arial" w:hAnsi="Arial" w:cs="Arial"/>
        </w:rPr>
        <w:t>ISRs</w:t>
      </w:r>
      <w:r w:rsidR="00E936FD">
        <w:rPr>
          <w:rFonts w:ascii="Arial" w:hAnsi="Arial" w:cs="Arial"/>
        </w:rPr>
        <w:t>)</w:t>
      </w:r>
      <w:r w:rsidRPr="00E32CA6">
        <w:rPr>
          <w:rFonts w:ascii="Arial" w:hAnsi="Arial" w:cs="Arial"/>
        </w:rPr>
        <w:t xml:space="preserve">. </w:t>
      </w:r>
    </w:p>
    <w:p w14:paraId="610DA7B0" w14:textId="77777777" w:rsidR="00C4038D" w:rsidRPr="00C4038D" w:rsidRDefault="00C4038D" w:rsidP="00E32CA6">
      <w:pPr>
        <w:autoSpaceDE w:val="0"/>
        <w:autoSpaceDN w:val="0"/>
        <w:spacing w:after="0"/>
        <w:rPr>
          <w:rFonts w:ascii="Arial" w:hAnsi="Arial" w:cs="Arial"/>
          <w:szCs w:val="24"/>
        </w:rPr>
      </w:pPr>
      <w:bookmarkStart w:id="7" w:name="_Hlk29507254"/>
      <w:r w:rsidRPr="00C4038D">
        <w:rPr>
          <w:rFonts w:ascii="Arial" w:hAnsi="Arial" w:cs="Arial"/>
          <w:szCs w:val="24"/>
        </w:rPr>
        <w:t>Out of 20286 injections, 8900 ISRs were reported.</w:t>
      </w:r>
    </w:p>
    <w:bookmarkEnd w:id="7"/>
    <w:p w14:paraId="63E6E560" w14:textId="77777777" w:rsidR="00C4038D" w:rsidRPr="00C4038D" w:rsidRDefault="00C4038D" w:rsidP="00E32CA6">
      <w:pPr>
        <w:autoSpaceDE w:val="0"/>
        <w:autoSpaceDN w:val="0"/>
        <w:spacing w:after="0"/>
        <w:rPr>
          <w:rFonts w:ascii="Arial" w:hAnsi="Arial" w:cs="Arial"/>
          <w:szCs w:val="24"/>
        </w:rPr>
      </w:pPr>
    </w:p>
    <w:p w14:paraId="2BFA76EF" w14:textId="77777777" w:rsidR="00C4038D" w:rsidRPr="00C4038D" w:rsidRDefault="00C4038D" w:rsidP="00E32CA6">
      <w:pPr>
        <w:autoSpaceDE w:val="0"/>
        <w:autoSpaceDN w:val="0"/>
        <w:spacing w:after="0"/>
        <w:rPr>
          <w:rFonts w:ascii="Arial" w:hAnsi="Arial" w:cs="Arial"/>
          <w:szCs w:val="24"/>
        </w:rPr>
      </w:pPr>
      <w:r w:rsidRPr="00C4038D">
        <w:rPr>
          <w:rFonts w:ascii="Arial" w:hAnsi="Arial" w:cs="Arial"/>
          <w:szCs w:val="24"/>
        </w:rPr>
        <w:t>A total of 2117 participants received at least one injection. Of the 1740 (82%) participants who experienced at least one ISR, the maximum severity of ISRs reported was mild (Grade 1, 34% of participants), moderate (Grade 2, 46% of participants) or severe (Grade 3, 3% of participants).  No participants experienced Grade 4 ISRs. The median duration of overall ISR events was 4 days. The proportion of participants reporting ISRs at each visit and the severity of the ISRs decreased over time.</w:t>
      </w:r>
    </w:p>
    <w:p w14:paraId="42B1673F" w14:textId="77777777" w:rsidR="00C4038D" w:rsidRPr="00C4038D" w:rsidRDefault="00C4038D" w:rsidP="00E32CA6">
      <w:pPr>
        <w:autoSpaceDE w:val="0"/>
        <w:autoSpaceDN w:val="0"/>
        <w:spacing w:after="0"/>
        <w:rPr>
          <w:rFonts w:ascii="Arial" w:hAnsi="Arial" w:cs="Arial"/>
          <w:szCs w:val="24"/>
        </w:rPr>
      </w:pPr>
    </w:p>
    <w:p w14:paraId="2AD2AD1C" w14:textId="61C36F47" w:rsidR="00C4038D" w:rsidRPr="00C4038D" w:rsidRDefault="00C4038D" w:rsidP="00E32CA6">
      <w:pPr>
        <w:autoSpaceDE w:val="0"/>
        <w:autoSpaceDN w:val="0"/>
        <w:spacing w:after="0"/>
        <w:rPr>
          <w:rFonts w:ascii="Arial" w:hAnsi="Arial" w:cs="Arial"/>
          <w:szCs w:val="24"/>
        </w:rPr>
      </w:pPr>
      <w:r w:rsidRPr="00C4038D">
        <w:rPr>
          <w:rFonts w:ascii="Arial" w:hAnsi="Arial" w:cs="Arial"/>
          <w:szCs w:val="24"/>
        </w:rPr>
        <w:t xml:space="preserve">In HPTN 084, no participants discontinued </w:t>
      </w:r>
      <w:r w:rsidR="00971DB6">
        <w:rPr>
          <w:rFonts w:ascii="Arial" w:hAnsi="Arial" w:cs="Arial"/>
          <w:szCs w:val="24"/>
        </w:rPr>
        <w:t>APRETUDE</w:t>
      </w:r>
      <w:r w:rsidR="00971DB6" w:rsidRPr="00C4038D">
        <w:rPr>
          <w:rFonts w:ascii="Arial" w:hAnsi="Arial" w:cs="Arial"/>
          <w:szCs w:val="24"/>
        </w:rPr>
        <w:t xml:space="preserve"> </w:t>
      </w:r>
      <w:r w:rsidRPr="00C4038D">
        <w:rPr>
          <w:rFonts w:ascii="Arial" w:hAnsi="Arial" w:cs="Arial"/>
          <w:szCs w:val="24"/>
        </w:rPr>
        <w:t xml:space="preserve">because of ISRs. </w:t>
      </w:r>
    </w:p>
    <w:p w14:paraId="6F47E11D" w14:textId="77777777" w:rsidR="00C4038D" w:rsidRPr="00C4038D" w:rsidRDefault="00C4038D" w:rsidP="00E32CA6">
      <w:pPr>
        <w:autoSpaceDE w:val="0"/>
        <w:autoSpaceDN w:val="0"/>
        <w:spacing w:after="0"/>
        <w:rPr>
          <w:rFonts w:ascii="Arial" w:hAnsi="Arial" w:cs="Arial"/>
          <w:szCs w:val="24"/>
        </w:rPr>
      </w:pPr>
    </w:p>
    <w:p w14:paraId="3393FC7D" w14:textId="77777777" w:rsidR="00C4038D" w:rsidRPr="00C4038D" w:rsidRDefault="00C4038D" w:rsidP="00E32CA6">
      <w:pPr>
        <w:autoSpaceDE w:val="0"/>
        <w:autoSpaceDN w:val="0"/>
        <w:spacing w:after="0"/>
        <w:rPr>
          <w:rFonts w:ascii="Arial" w:hAnsi="Arial" w:cs="Arial"/>
          <w:szCs w:val="24"/>
        </w:rPr>
      </w:pPr>
      <w:r w:rsidRPr="00C4038D">
        <w:rPr>
          <w:rFonts w:ascii="Arial" w:hAnsi="Arial" w:cs="Arial"/>
          <w:szCs w:val="24"/>
        </w:rPr>
        <w:t>Out of 13068 injections, 1171 ISRs were reported.</w:t>
      </w:r>
    </w:p>
    <w:p w14:paraId="4F4A1110" w14:textId="77777777" w:rsidR="00C4038D" w:rsidRPr="00C4038D" w:rsidRDefault="00C4038D" w:rsidP="00E32CA6">
      <w:pPr>
        <w:autoSpaceDE w:val="0"/>
        <w:autoSpaceDN w:val="0"/>
        <w:spacing w:after="0"/>
        <w:rPr>
          <w:rFonts w:ascii="Arial" w:hAnsi="Arial" w:cs="Arial"/>
          <w:szCs w:val="24"/>
        </w:rPr>
      </w:pPr>
    </w:p>
    <w:p w14:paraId="31256066" w14:textId="69D2E890" w:rsidR="00B96CB0" w:rsidRPr="00E32CA6" w:rsidRDefault="00C4038D" w:rsidP="00E32CA6">
      <w:pPr>
        <w:autoSpaceDE w:val="0"/>
        <w:autoSpaceDN w:val="0"/>
        <w:spacing w:after="0"/>
        <w:rPr>
          <w:rFonts w:ascii="Arial" w:hAnsi="Arial" w:cs="Arial"/>
          <w:szCs w:val="24"/>
        </w:rPr>
      </w:pPr>
      <w:r w:rsidRPr="00C4038D">
        <w:rPr>
          <w:rFonts w:ascii="Arial" w:hAnsi="Arial" w:cs="Arial"/>
          <w:szCs w:val="24"/>
        </w:rPr>
        <w:t>A total of 1519 participants received at least one injection. Of the 578 (38%) participants who experienced at last one ISR, the maximum severity of ISRs reported was mild (Grade 1, 25% of participants), moderate (Grade 2, 13% of participants) or severe (Grade 3, &lt;1% of participants). No participants experienced Grade 4 ISRs. The median duration of overall ISR events was 8 days. The proportion of participants reporting ISRs at each visit and the severity of the ISRs generally decreased over time.</w:t>
      </w:r>
    </w:p>
    <w:p w14:paraId="6435343B" w14:textId="5881C2C2" w:rsidR="00197EC9" w:rsidRPr="003647BC" w:rsidRDefault="00197EC9" w:rsidP="003647BC">
      <w:pPr>
        <w:pStyle w:val="Heading3"/>
        <w:rPr>
          <w:rFonts w:ascii="Arial" w:hAnsi="Arial" w:cs="Arial"/>
        </w:rPr>
      </w:pPr>
      <w:r w:rsidRPr="003647BC">
        <w:rPr>
          <w:rFonts w:ascii="Arial" w:hAnsi="Arial" w:cs="Arial"/>
        </w:rPr>
        <w:lastRenderedPageBreak/>
        <w:t>Weight increased</w:t>
      </w:r>
      <w:r w:rsidR="003332D9">
        <w:rPr>
          <w:rFonts w:ascii="Arial" w:hAnsi="Arial" w:cs="Arial"/>
        </w:rPr>
        <w:fldChar w:fldCharType="begin"/>
      </w:r>
      <w:r w:rsidR="003332D9">
        <w:rPr>
          <w:rFonts w:ascii="Arial" w:hAnsi="Arial" w:cs="Arial"/>
        </w:rPr>
        <w:instrText xml:space="preserve"> DOCVARIABLE vault_nd_3e496cdc-7d5c-4a27-90e6-b8ccbea0165d \* MERGEFORMAT </w:instrText>
      </w:r>
      <w:r w:rsidR="003332D9">
        <w:rPr>
          <w:rFonts w:ascii="Arial" w:hAnsi="Arial" w:cs="Arial"/>
        </w:rPr>
        <w:fldChar w:fldCharType="separate"/>
      </w:r>
      <w:r w:rsidR="003332D9">
        <w:rPr>
          <w:rFonts w:ascii="Arial" w:hAnsi="Arial" w:cs="Arial"/>
        </w:rPr>
        <w:t xml:space="preserve"> </w:t>
      </w:r>
      <w:r w:rsidR="003332D9">
        <w:rPr>
          <w:rFonts w:ascii="Arial" w:hAnsi="Arial" w:cs="Arial"/>
        </w:rPr>
        <w:fldChar w:fldCharType="end"/>
      </w:r>
    </w:p>
    <w:p w14:paraId="6821B99C" w14:textId="5379B38E" w:rsidR="00197EC9" w:rsidRPr="00197EC9" w:rsidRDefault="00197EC9" w:rsidP="00197EC9">
      <w:pPr>
        <w:keepNext/>
        <w:autoSpaceDE w:val="0"/>
        <w:autoSpaceDN w:val="0"/>
        <w:spacing w:after="0"/>
        <w:rPr>
          <w:rFonts w:ascii="Arial" w:hAnsi="Arial" w:cs="Arial"/>
          <w:szCs w:val="24"/>
        </w:rPr>
      </w:pPr>
      <w:r w:rsidRPr="00197EC9">
        <w:rPr>
          <w:rFonts w:ascii="Arial" w:hAnsi="Arial" w:cs="Arial"/>
          <w:szCs w:val="24"/>
        </w:rPr>
        <w:t xml:space="preserve">At the Week 41 and 97 timepoints in HPTN 083, participants who received </w:t>
      </w:r>
      <w:r w:rsidR="00032E53">
        <w:rPr>
          <w:rFonts w:ascii="Arial" w:hAnsi="Arial" w:cs="Arial"/>
          <w:lang w:val="en"/>
        </w:rPr>
        <w:t>APRETUDE</w:t>
      </w:r>
      <w:r w:rsidR="00D156D7">
        <w:rPr>
          <w:rFonts w:ascii="Arial" w:hAnsi="Arial" w:cs="Arial"/>
          <w:lang w:val="en"/>
        </w:rPr>
        <w:t xml:space="preserve"> </w:t>
      </w:r>
      <w:r w:rsidRPr="00197EC9">
        <w:rPr>
          <w:rFonts w:ascii="Arial" w:hAnsi="Arial" w:cs="Arial"/>
          <w:szCs w:val="24"/>
        </w:rPr>
        <w:t>gained a median of 1.2 kg (IQR -1.0, 3.5; n=1623) and 2.1 kg (IQR; -0.9, 5.9 n=601) in weight from baseline, respectively; those in the tenofovir disoproxil fumarate (TDF)/emtricitabine (FTC) group gained a median of 0.0 kg (IQR -2.1, 2.4, n=1611) and 1.0 kg (IQR; -1.9, 4.0 n=598) in weight from baseline, respectively.</w:t>
      </w:r>
    </w:p>
    <w:p w14:paraId="70DA9160" w14:textId="77777777" w:rsidR="00197EC9" w:rsidRPr="00197EC9" w:rsidRDefault="00197EC9" w:rsidP="00197EC9">
      <w:pPr>
        <w:keepNext/>
        <w:autoSpaceDE w:val="0"/>
        <w:autoSpaceDN w:val="0"/>
        <w:spacing w:after="0"/>
        <w:rPr>
          <w:rFonts w:ascii="Arial" w:hAnsi="Arial" w:cs="Arial"/>
          <w:szCs w:val="24"/>
        </w:rPr>
      </w:pPr>
    </w:p>
    <w:p w14:paraId="35ECE740" w14:textId="586101AB" w:rsidR="00C33F79" w:rsidRDefault="00197EC9" w:rsidP="00ED65AE">
      <w:pPr>
        <w:keepNext/>
        <w:autoSpaceDE w:val="0"/>
        <w:autoSpaceDN w:val="0"/>
        <w:spacing w:after="0"/>
        <w:rPr>
          <w:rFonts w:ascii="Arial" w:hAnsi="Arial" w:cs="Arial"/>
          <w:szCs w:val="24"/>
        </w:rPr>
      </w:pPr>
      <w:r w:rsidRPr="00197EC9">
        <w:rPr>
          <w:rFonts w:ascii="Arial" w:hAnsi="Arial" w:cs="Arial"/>
          <w:szCs w:val="24"/>
        </w:rPr>
        <w:t xml:space="preserve">At the Week 41 and 97 timepoints in HPTN 084, participants who received </w:t>
      </w:r>
      <w:r w:rsidR="00032E53">
        <w:rPr>
          <w:rFonts w:ascii="Arial" w:hAnsi="Arial" w:cs="Arial"/>
          <w:lang w:val="en"/>
        </w:rPr>
        <w:t>APRETUDE</w:t>
      </w:r>
      <w:r w:rsidRPr="00197EC9">
        <w:rPr>
          <w:rFonts w:ascii="Arial" w:hAnsi="Arial" w:cs="Arial"/>
          <w:szCs w:val="24"/>
        </w:rPr>
        <w:t xml:space="preserve"> gained a median of 2.0 kg (IQR 0.0, 5.0; n=1151) and 4.0 kg (IQR; 0.0, 8.0, n=216) in weight from baseline, respectively; those in the tenofovir disoproxil fumarate (TDF)/emtricitabine (FTC) group gained a median of 1.0 kg (IQR -1.0, 4.0, n=1131) and 3.0 kg (IQR; -1.0, 6.0 n=218) in weight from baseline, respectively.</w:t>
      </w:r>
    </w:p>
    <w:p w14:paraId="1C89E0C7" w14:textId="098A8A5E" w:rsidR="00140686" w:rsidRDefault="00140686" w:rsidP="00ED65AE">
      <w:pPr>
        <w:keepNext/>
        <w:autoSpaceDE w:val="0"/>
        <w:autoSpaceDN w:val="0"/>
        <w:spacing w:after="0"/>
        <w:rPr>
          <w:rFonts w:ascii="Arial" w:hAnsi="Arial" w:cs="Arial"/>
          <w:szCs w:val="24"/>
        </w:rPr>
      </w:pPr>
    </w:p>
    <w:p w14:paraId="0522937F" w14:textId="2026A33C" w:rsidR="00122CC1" w:rsidRPr="001D2492" w:rsidRDefault="00122CC1" w:rsidP="001D2492">
      <w:pPr>
        <w:pStyle w:val="Heading3"/>
        <w:rPr>
          <w:rFonts w:ascii="Arial" w:hAnsi="Arial" w:cs="Arial"/>
        </w:rPr>
      </w:pPr>
      <w:r w:rsidRPr="001D2492">
        <w:rPr>
          <w:rFonts w:ascii="Arial" w:hAnsi="Arial" w:cs="Arial"/>
        </w:rPr>
        <w:t>Clinical Trials Experience in Adolescents</w:t>
      </w:r>
      <w:r w:rsidR="0013564B">
        <w:rPr>
          <w:rFonts w:ascii="Arial" w:hAnsi="Arial" w:cs="Arial"/>
        </w:rPr>
        <w:fldChar w:fldCharType="begin"/>
      </w:r>
      <w:r w:rsidR="0013564B">
        <w:rPr>
          <w:rFonts w:ascii="Arial" w:hAnsi="Arial" w:cs="Arial"/>
        </w:rPr>
        <w:instrText xml:space="preserve"> DOCVARIABLE vault_nd_f99abde9-f675-4654-ba21-68e3e1db03da \* MERGEFORMAT </w:instrText>
      </w:r>
      <w:r w:rsidR="0013564B">
        <w:rPr>
          <w:rFonts w:ascii="Arial" w:hAnsi="Arial" w:cs="Arial"/>
        </w:rPr>
        <w:fldChar w:fldCharType="separate"/>
      </w:r>
      <w:r w:rsidR="0013564B">
        <w:rPr>
          <w:rFonts w:ascii="Arial" w:hAnsi="Arial" w:cs="Arial"/>
        </w:rPr>
        <w:t xml:space="preserve"> </w:t>
      </w:r>
      <w:r w:rsidR="0013564B">
        <w:rPr>
          <w:rFonts w:ascii="Arial" w:hAnsi="Arial" w:cs="Arial"/>
        </w:rPr>
        <w:fldChar w:fldCharType="end"/>
      </w:r>
    </w:p>
    <w:p w14:paraId="22EAFEBC" w14:textId="7EDF7E52" w:rsidR="00122CC1" w:rsidRDefault="00122CC1" w:rsidP="00122CC1">
      <w:pPr>
        <w:autoSpaceDE w:val="0"/>
        <w:autoSpaceDN w:val="0"/>
        <w:adjustRightInd w:val="0"/>
        <w:spacing w:after="0" w:line="240" w:lineRule="auto"/>
        <w:rPr>
          <w:rFonts w:ascii="Arial" w:hAnsi="Arial" w:cs="Arial"/>
          <w:szCs w:val="24"/>
        </w:rPr>
      </w:pPr>
      <w:r w:rsidRPr="00A80F9C">
        <w:rPr>
          <w:rFonts w:ascii="Arial" w:hAnsi="Arial" w:cs="Arial"/>
          <w:szCs w:val="24"/>
        </w:rPr>
        <w:t xml:space="preserve">In adolescents receiving APRETUDE for HIV-1 </w:t>
      </w:r>
      <w:proofErr w:type="spellStart"/>
      <w:r w:rsidRPr="00A80F9C">
        <w:rPr>
          <w:rFonts w:ascii="Arial" w:hAnsi="Arial" w:cs="Arial"/>
          <w:szCs w:val="24"/>
        </w:rPr>
        <w:t>PrEP</w:t>
      </w:r>
      <w:proofErr w:type="spellEnd"/>
      <w:r w:rsidRPr="00A80F9C">
        <w:rPr>
          <w:rFonts w:ascii="Arial" w:hAnsi="Arial" w:cs="Arial"/>
          <w:szCs w:val="24"/>
        </w:rPr>
        <w:t xml:space="preserve">, the safety data were comparable to the safety data reported in adults receiving APRETUDE for HIV-1 </w:t>
      </w:r>
      <w:proofErr w:type="spellStart"/>
      <w:r w:rsidRPr="00A80F9C">
        <w:rPr>
          <w:rFonts w:ascii="Arial" w:hAnsi="Arial" w:cs="Arial"/>
          <w:szCs w:val="24"/>
        </w:rPr>
        <w:t>PrEP</w:t>
      </w:r>
      <w:proofErr w:type="spellEnd"/>
      <w:r w:rsidRPr="00A80F9C">
        <w:rPr>
          <w:rFonts w:ascii="Arial" w:hAnsi="Arial" w:cs="Arial"/>
          <w:szCs w:val="24"/>
        </w:rPr>
        <w:t xml:space="preserve"> (see section 5.1 PHARMACODYNAMIC PROPERTIES, Clinical trials).</w:t>
      </w:r>
      <w:r>
        <w:rPr>
          <w:rFonts w:ascii="Arial" w:hAnsi="Arial" w:cs="Arial"/>
          <w:szCs w:val="24"/>
        </w:rPr>
        <w:t xml:space="preserve"> </w:t>
      </w:r>
    </w:p>
    <w:p w14:paraId="5716320A" w14:textId="77777777" w:rsidR="00122CC1" w:rsidRDefault="00122CC1" w:rsidP="00ED65AE">
      <w:pPr>
        <w:keepNext/>
        <w:autoSpaceDE w:val="0"/>
        <w:autoSpaceDN w:val="0"/>
        <w:spacing w:after="0"/>
        <w:rPr>
          <w:rFonts w:ascii="Arial" w:hAnsi="Arial" w:cs="Arial"/>
          <w:szCs w:val="24"/>
        </w:rPr>
      </w:pPr>
    </w:p>
    <w:p w14:paraId="268E7652" w14:textId="5C704CA7" w:rsidR="00E42B91" w:rsidRPr="00E42B91" w:rsidRDefault="00E42B91" w:rsidP="005B2812">
      <w:pPr>
        <w:rPr>
          <w:rFonts w:ascii="Arial" w:hAnsi="Arial" w:cs="Arial"/>
          <w:b/>
          <w:lang w:val="en"/>
        </w:rPr>
      </w:pPr>
      <w:r w:rsidRPr="00E42B91">
        <w:rPr>
          <w:rFonts w:ascii="Arial" w:hAnsi="Arial" w:cs="Arial"/>
          <w:b/>
          <w:lang w:val="en"/>
        </w:rPr>
        <w:t>Reporting suspected adverse effects</w:t>
      </w:r>
    </w:p>
    <w:p w14:paraId="425DF783" w14:textId="77777777" w:rsidR="005B2812" w:rsidRPr="00071855" w:rsidRDefault="005B2812" w:rsidP="005B2812">
      <w:pPr>
        <w:rPr>
          <w:rFonts w:ascii="Arial" w:hAnsi="Arial" w:cs="Arial"/>
        </w:rPr>
      </w:pPr>
      <w:r w:rsidRPr="00071855">
        <w:rPr>
          <w:rFonts w:ascii="Arial" w:hAnsi="Arial" w:cs="Arial"/>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071855">
          <w:rPr>
            <w:rStyle w:val="Hyperlink"/>
            <w:rFonts w:ascii="Arial" w:hAnsi="Arial" w:cs="Arial"/>
            <w:lang w:val="en"/>
          </w:rPr>
          <w:t>www.tga.gov.au/reporting-problems</w:t>
        </w:r>
      </w:hyperlink>
      <w:r w:rsidRPr="00071855">
        <w:rPr>
          <w:rFonts w:ascii="Arial" w:hAnsi="Arial" w:cs="Arial"/>
          <w:lang w:val="en"/>
        </w:rPr>
        <w:t>.</w:t>
      </w:r>
    </w:p>
    <w:p w14:paraId="29ED409F" w14:textId="55531EA4" w:rsidR="001A3992" w:rsidRPr="00071855" w:rsidRDefault="00071855" w:rsidP="00ED65AE">
      <w:pPr>
        <w:pStyle w:val="Heading2"/>
        <w:keepNext/>
        <w:keepLines/>
        <w:spacing w:before="0" w:after="120"/>
        <w:ind w:left="578" w:hanging="578"/>
        <w:rPr>
          <w:rFonts w:ascii="Arial" w:hAnsi="Arial" w:cs="Arial"/>
          <w:smallCaps w:val="0"/>
        </w:rPr>
      </w:pPr>
      <w:r w:rsidRPr="00071855">
        <w:rPr>
          <w:rFonts w:ascii="Arial" w:hAnsi="Arial" w:cs="Arial"/>
          <w:smallCaps w:val="0"/>
        </w:rPr>
        <w:t>OVERDOSE</w:t>
      </w:r>
      <w:r w:rsidR="003332D9">
        <w:rPr>
          <w:rFonts w:ascii="Arial" w:hAnsi="Arial" w:cs="Arial"/>
          <w:smallCaps w:val="0"/>
        </w:rPr>
        <w:fldChar w:fldCharType="begin"/>
      </w:r>
      <w:r w:rsidR="003332D9">
        <w:rPr>
          <w:rFonts w:ascii="Arial" w:hAnsi="Arial" w:cs="Arial"/>
          <w:smallCaps w:val="0"/>
        </w:rPr>
        <w:instrText xml:space="preserve"> DOCVARIABLE VAULT_ND_31f2ff03-079b-4b71-b695-6655d58169d1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68F3C2DD" w14:textId="77777777" w:rsidR="00A12FF3" w:rsidRPr="00FF5BE5" w:rsidRDefault="00A12FF3" w:rsidP="00ED65AE">
      <w:pPr>
        <w:pStyle w:val="Heading3"/>
        <w:rPr>
          <w:rFonts w:ascii="Arial" w:eastAsiaTheme="minorHAnsi" w:hAnsi="Arial" w:cs="Arial"/>
          <w:lang w:val="en"/>
        </w:rPr>
      </w:pPr>
      <w:r w:rsidRPr="00FF5BE5">
        <w:rPr>
          <w:rFonts w:ascii="Arial" w:eastAsiaTheme="minorHAnsi" w:hAnsi="Arial" w:cs="Arial"/>
          <w:lang w:val="en"/>
        </w:rPr>
        <w:t>Symptoms and signs</w:t>
      </w:r>
      <w:r w:rsidRPr="00FF5BE5">
        <w:rPr>
          <w:rFonts w:ascii="Arial" w:eastAsiaTheme="minorHAnsi" w:hAnsi="Arial" w:cs="Arial"/>
          <w:lang w:val="en"/>
        </w:rPr>
        <w:fldChar w:fldCharType="begin"/>
      </w:r>
      <w:r w:rsidRPr="00FF5BE5">
        <w:rPr>
          <w:rFonts w:ascii="Arial" w:eastAsiaTheme="minorHAnsi" w:hAnsi="Arial" w:cs="Arial"/>
          <w:lang w:val="en"/>
        </w:rPr>
        <w:instrText xml:space="preserve"> DOCVARIABLE vault_nd_9c869c3a-c929-45fe-ab6e-57c70fd6f44c \* MERGEFORMAT </w:instrText>
      </w:r>
      <w:r w:rsidRPr="00FF5BE5">
        <w:rPr>
          <w:rFonts w:ascii="Arial" w:eastAsiaTheme="minorHAnsi" w:hAnsi="Arial" w:cs="Arial"/>
          <w:lang w:val="en"/>
        </w:rPr>
        <w:fldChar w:fldCharType="separate"/>
      </w:r>
      <w:r w:rsidRPr="00FF5BE5">
        <w:rPr>
          <w:rFonts w:ascii="Arial" w:eastAsiaTheme="minorHAnsi" w:hAnsi="Arial" w:cs="Arial"/>
          <w:lang w:val="en"/>
        </w:rPr>
        <w:t xml:space="preserve"> </w:t>
      </w:r>
      <w:r w:rsidRPr="00FF5BE5">
        <w:rPr>
          <w:rFonts w:ascii="Arial" w:eastAsiaTheme="minorHAnsi" w:hAnsi="Arial" w:cs="Arial"/>
          <w:lang w:val="en"/>
        </w:rPr>
        <w:fldChar w:fldCharType="end"/>
      </w:r>
    </w:p>
    <w:p w14:paraId="6ACD14CD" w14:textId="7080FC18" w:rsidR="00A12FF3" w:rsidRPr="00A12FF3" w:rsidRDefault="00A12FF3" w:rsidP="00ED65AE">
      <w:pPr>
        <w:pStyle w:val="NormalWeb"/>
        <w:keepNext/>
        <w:keepLines/>
        <w:spacing w:after="0"/>
        <w:rPr>
          <w:rFonts w:ascii="Arial" w:hAnsi="Arial" w:cs="Arial"/>
          <w:sz w:val="22"/>
          <w:szCs w:val="22"/>
          <w:lang w:val="en"/>
        </w:rPr>
      </w:pPr>
      <w:r w:rsidRPr="00903222">
        <w:rPr>
          <w:rFonts w:ascii="Arial" w:hAnsi="Arial" w:cs="Arial"/>
          <w:sz w:val="22"/>
          <w:szCs w:val="22"/>
          <w:lang w:val="en"/>
        </w:rPr>
        <w:t xml:space="preserve">There is currently no experience of overdose with </w:t>
      </w:r>
      <w:r w:rsidR="00032E53" w:rsidRPr="00903222">
        <w:rPr>
          <w:rFonts w:ascii="Arial" w:hAnsi="Arial" w:cs="Arial"/>
          <w:sz w:val="22"/>
          <w:szCs w:val="22"/>
          <w:lang w:val="en"/>
        </w:rPr>
        <w:t>APRETUDE</w:t>
      </w:r>
      <w:r w:rsidRPr="00A12FF3">
        <w:rPr>
          <w:rFonts w:ascii="Arial" w:hAnsi="Arial" w:cs="Arial"/>
          <w:sz w:val="22"/>
          <w:szCs w:val="22"/>
          <w:lang w:val="en"/>
        </w:rPr>
        <w:t>.</w:t>
      </w:r>
    </w:p>
    <w:p w14:paraId="58A3EE5D" w14:textId="4F95C9CB" w:rsidR="00A12FF3" w:rsidRPr="00FF5BE5" w:rsidRDefault="00A12FF3" w:rsidP="00FF5BE5">
      <w:pPr>
        <w:pStyle w:val="Heading3"/>
        <w:rPr>
          <w:rFonts w:ascii="Arial" w:hAnsi="Arial" w:cs="Arial"/>
          <w:lang w:val="en"/>
        </w:rPr>
      </w:pPr>
      <w:r w:rsidRPr="00FF5BE5">
        <w:rPr>
          <w:rFonts w:ascii="Arial" w:hAnsi="Arial" w:cs="Arial"/>
          <w:lang w:val="en"/>
        </w:rPr>
        <w:t xml:space="preserve">Treatment </w:t>
      </w:r>
      <w:r w:rsidR="003332D9">
        <w:rPr>
          <w:rFonts w:ascii="Arial" w:hAnsi="Arial" w:cs="Arial"/>
          <w:lang w:val="en"/>
        </w:rPr>
        <w:fldChar w:fldCharType="begin"/>
      </w:r>
      <w:r w:rsidR="003332D9">
        <w:rPr>
          <w:rFonts w:ascii="Arial" w:hAnsi="Arial" w:cs="Arial"/>
          <w:lang w:val="en"/>
        </w:rPr>
        <w:instrText xml:space="preserve"> DOCVARIABLE vault_nd_7c1f1823-e946-4f35-9931-4856ba8be517 \* MERGEFORMAT </w:instrText>
      </w:r>
      <w:r w:rsidR="003332D9">
        <w:rPr>
          <w:rFonts w:ascii="Arial" w:hAnsi="Arial" w:cs="Arial"/>
          <w:lang w:val="en"/>
        </w:rPr>
        <w:fldChar w:fldCharType="separate"/>
      </w:r>
      <w:r w:rsidR="003332D9">
        <w:rPr>
          <w:rFonts w:ascii="Arial" w:hAnsi="Arial" w:cs="Arial"/>
          <w:lang w:val="en"/>
        </w:rPr>
        <w:t xml:space="preserve"> </w:t>
      </w:r>
      <w:r w:rsidR="003332D9">
        <w:rPr>
          <w:rFonts w:ascii="Arial" w:hAnsi="Arial" w:cs="Arial"/>
          <w:lang w:val="en"/>
        </w:rPr>
        <w:fldChar w:fldCharType="end"/>
      </w:r>
    </w:p>
    <w:p w14:paraId="1FABA897" w14:textId="1F5421B4" w:rsidR="00A12FF3" w:rsidRPr="00A12FF3" w:rsidRDefault="00A12FF3" w:rsidP="00A12FF3">
      <w:pPr>
        <w:pStyle w:val="NormalWeb"/>
        <w:spacing w:after="0"/>
        <w:rPr>
          <w:rFonts w:ascii="Arial" w:hAnsi="Arial" w:cs="Arial"/>
          <w:sz w:val="22"/>
          <w:szCs w:val="22"/>
          <w:lang w:val="en"/>
        </w:rPr>
      </w:pPr>
      <w:r w:rsidRPr="00A12FF3">
        <w:rPr>
          <w:rFonts w:ascii="Arial" w:hAnsi="Arial" w:cs="Arial"/>
          <w:sz w:val="22"/>
          <w:szCs w:val="22"/>
          <w:lang w:val="en"/>
        </w:rPr>
        <w:t xml:space="preserve">There is no specific treatment for overdose with </w:t>
      </w:r>
      <w:r w:rsidR="00032E53" w:rsidRPr="00903222">
        <w:rPr>
          <w:rFonts w:ascii="Arial" w:hAnsi="Arial" w:cs="Arial"/>
          <w:sz w:val="22"/>
          <w:szCs w:val="22"/>
          <w:lang w:val="en"/>
        </w:rPr>
        <w:t>APRETUDE</w:t>
      </w:r>
      <w:r w:rsidRPr="00A12FF3">
        <w:rPr>
          <w:rFonts w:ascii="Arial" w:hAnsi="Arial" w:cs="Arial"/>
          <w:sz w:val="22"/>
          <w:szCs w:val="22"/>
          <w:lang w:val="en"/>
        </w:rPr>
        <w:t>. If overdose occurs, the individual should be treated supportively with appropriate monitoring as necessary.</w:t>
      </w:r>
    </w:p>
    <w:p w14:paraId="2AFE8376" w14:textId="53F09E5A" w:rsidR="00A12FF3" w:rsidRDefault="00A12FF3" w:rsidP="00A12FF3">
      <w:pPr>
        <w:pStyle w:val="NormalWeb"/>
        <w:spacing w:after="0"/>
        <w:rPr>
          <w:rFonts w:ascii="Arial" w:hAnsi="Arial" w:cs="Arial"/>
          <w:sz w:val="22"/>
          <w:szCs w:val="22"/>
          <w:lang w:val="en"/>
        </w:rPr>
      </w:pPr>
      <w:r w:rsidRPr="00A12FF3">
        <w:rPr>
          <w:rFonts w:ascii="Arial" w:hAnsi="Arial" w:cs="Arial"/>
          <w:sz w:val="22"/>
          <w:szCs w:val="22"/>
          <w:lang w:val="en"/>
        </w:rPr>
        <w:t xml:space="preserve">Further management should be as clinically indicated or as recommended by the national poisons </w:t>
      </w:r>
      <w:proofErr w:type="spellStart"/>
      <w:r w:rsidRPr="00A12FF3">
        <w:rPr>
          <w:rFonts w:ascii="Arial" w:hAnsi="Arial" w:cs="Arial"/>
          <w:sz w:val="22"/>
          <w:szCs w:val="22"/>
          <w:lang w:val="en"/>
        </w:rPr>
        <w:t>centre</w:t>
      </w:r>
      <w:proofErr w:type="spellEnd"/>
      <w:r w:rsidRPr="00A12FF3">
        <w:rPr>
          <w:rFonts w:ascii="Arial" w:hAnsi="Arial" w:cs="Arial"/>
          <w:sz w:val="22"/>
          <w:szCs w:val="22"/>
          <w:lang w:val="en"/>
        </w:rPr>
        <w:t>, where available.</w:t>
      </w:r>
    </w:p>
    <w:p w14:paraId="50F7D602" w14:textId="77777777" w:rsidR="003647BC" w:rsidRPr="00A12FF3" w:rsidRDefault="003647BC" w:rsidP="00A12FF3">
      <w:pPr>
        <w:pStyle w:val="NormalWeb"/>
        <w:spacing w:after="0"/>
        <w:rPr>
          <w:rFonts w:ascii="Arial" w:hAnsi="Arial" w:cs="Arial"/>
          <w:sz w:val="22"/>
          <w:szCs w:val="22"/>
          <w:lang w:val="en"/>
        </w:rPr>
      </w:pPr>
    </w:p>
    <w:p w14:paraId="0DD4DA0C" w14:textId="3067FCE0" w:rsidR="006E595D" w:rsidRDefault="00032E53" w:rsidP="003647BC">
      <w:pPr>
        <w:pStyle w:val="NormalWeb"/>
        <w:spacing w:after="0"/>
        <w:rPr>
          <w:rFonts w:ascii="Arial" w:hAnsi="Arial" w:cs="Arial"/>
          <w:sz w:val="22"/>
          <w:szCs w:val="22"/>
          <w:lang w:val="en"/>
        </w:rPr>
      </w:pPr>
      <w:r w:rsidRPr="00903222">
        <w:rPr>
          <w:rFonts w:ascii="Arial" w:hAnsi="Arial" w:cs="Arial"/>
          <w:sz w:val="22"/>
          <w:szCs w:val="22"/>
          <w:lang w:val="en"/>
        </w:rPr>
        <w:t>APRETUDE</w:t>
      </w:r>
      <w:r w:rsidR="00A12FF3" w:rsidRPr="00A12FF3">
        <w:rPr>
          <w:rFonts w:ascii="Arial" w:hAnsi="Arial" w:cs="Arial"/>
          <w:sz w:val="22"/>
          <w:szCs w:val="22"/>
          <w:lang w:val="en"/>
        </w:rPr>
        <w:t xml:space="preserve"> is known to be highly protein bound in plasma; therefore, dialysis is unlikely to be helpful in removal of drug from the body. Management of overdose with </w:t>
      </w:r>
      <w:r w:rsidRPr="00903222">
        <w:rPr>
          <w:rFonts w:ascii="Arial" w:hAnsi="Arial" w:cs="Arial"/>
          <w:sz w:val="22"/>
          <w:szCs w:val="22"/>
          <w:lang w:val="en"/>
        </w:rPr>
        <w:t>APRETUDE</w:t>
      </w:r>
      <w:r w:rsidR="00A12FF3" w:rsidRPr="00A12FF3">
        <w:rPr>
          <w:rFonts w:ascii="Arial" w:hAnsi="Arial" w:cs="Arial"/>
          <w:sz w:val="22"/>
          <w:szCs w:val="22"/>
          <w:lang w:val="en"/>
        </w:rPr>
        <w:t xml:space="preserve"> injection should take into consideration the prolonged exposure to drug following an injection (see </w:t>
      </w:r>
      <w:r w:rsidR="00A12FF3">
        <w:rPr>
          <w:rFonts w:ascii="Arial" w:hAnsi="Arial" w:cs="Arial"/>
          <w:sz w:val="22"/>
          <w:szCs w:val="22"/>
          <w:lang w:val="en"/>
        </w:rPr>
        <w:t xml:space="preserve">section 4.4 </w:t>
      </w:r>
      <w:r w:rsidR="00A12FF3" w:rsidRPr="00903222">
        <w:rPr>
          <w:rFonts w:ascii="Arial" w:hAnsi="Arial" w:cs="Arial"/>
          <w:sz w:val="22"/>
          <w:szCs w:val="22"/>
          <w:lang w:val="en"/>
        </w:rPr>
        <w:t>Warnings and Precautions</w:t>
      </w:r>
      <w:r w:rsidR="000958BD">
        <w:rPr>
          <w:rFonts w:ascii="Arial" w:hAnsi="Arial" w:cs="Arial"/>
          <w:sz w:val="22"/>
          <w:szCs w:val="22"/>
          <w:lang w:val="en"/>
        </w:rPr>
        <w:t xml:space="preserve"> FOR USE</w:t>
      </w:r>
      <w:r w:rsidR="00A12FF3" w:rsidRPr="00A12FF3">
        <w:rPr>
          <w:rFonts w:ascii="Arial" w:hAnsi="Arial" w:cs="Arial"/>
          <w:sz w:val="22"/>
          <w:szCs w:val="22"/>
          <w:lang w:val="en"/>
        </w:rPr>
        <w:t>).</w:t>
      </w:r>
    </w:p>
    <w:p w14:paraId="573A6F41" w14:textId="77777777" w:rsidR="003647BC" w:rsidRPr="003647BC" w:rsidRDefault="003647BC" w:rsidP="003647BC">
      <w:pPr>
        <w:pStyle w:val="NormalWeb"/>
        <w:spacing w:after="0"/>
        <w:rPr>
          <w:rFonts w:ascii="Arial" w:hAnsi="Arial" w:cs="Arial"/>
          <w:sz w:val="22"/>
          <w:szCs w:val="22"/>
          <w:lang w:val="en"/>
        </w:rPr>
      </w:pPr>
    </w:p>
    <w:p w14:paraId="39BDC05F" w14:textId="77777777" w:rsidR="005B2812" w:rsidRPr="00903222" w:rsidRDefault="005B2812" w:rsidP="005B2812">
      <w:pPr>
        <w:rPr>
          <w:rFonts w:ascii="Arial" w:hAnsi="Arial" w:cs="Arial"/>
          <w:lang w:val="en"/>
        </w:rPr>
      </w:pPr>
      <w:r w:rsidRPr="00071855">
        <w:rPr>
          <w:rFonts w:ascii="Arial" w:hAnsi="Arial" w:cs="Arial"/>
          <w:lang w:val="en"/>
        </w:rPr>
        <w:t>For information on the management of overdose, contact the Poisons Information Centre on 13 11 26 (Australia).</w:t>
      </w:r>
    </w:p>
    <w:p w14:paraId="3F89D753" w14:textId="51C0F961" w:rsidR="001A3992" w:rsidRPr="0013564B" w:rsidRDefault="001A3992" w:rsidP="001A3992">
      <w:pPr>
        <w:pStyle w:val="Heading1"/>
        <w:spacing w:before="0" w:after="120"/>
        <w:rPr>
          <w:rFonts w:ascii="Arial" w:hAnsi="Arial" w:cs="Arial"/>
          <w:lang w:val="en-US"/>
        </w:rPr>
      </w:pPr>
      <w:r w:rsidRPr="0013564B">
        <w:rPr>
          <w:rFonts w:ascii="Arial" w:hAnsi="Arial" w:cs="Arial"/>
          <w:lang w:val="en-US"/>
        </w:rPr>
        <w:lastRenderedPageBreak/>
        <w:t>Pharmacological properties</w:t>
      </w:r>
      <w:r w:rsidR="003332D9" w:rsidRPr="0013564B">
        <w:rPr>
          <w:rFonts w:ascii="Arial" w:hAnsi="Arial" w:cs="Arial"/>
          <w:lang w:val="en-US"/>
        </w:rPr>
        <w:fldChar w:fldCharType="begin"/>
      </w:r>
      <w:r w:rsidR="003332D9" w:rsidRPr="0013564B">
        <w:rPr>
          <w:rFonts w:ascii="Arial" w:hAnsi="Arial" w:cs="Arial"/>
          <w:lang w:val="en-US"/>
        </w:rPr>
        <w:instrText xml:space="preserve"> DOCVARIABLE VAULT_ND_ee155746-b74b-4224-9fb9-dffab776acc2 \* MERGEFORMAT </w:instrText>
      </w:r>
      <w:r w:rsidR="003332D9" w:rsidRPr="0013564B">
        <w:rPr>
          <w:rFonts w:ascii="Arial" w:hAnsi="Arial" w:cs="Arial"/>
          <w:lang w:val="en-US"/>
        </w:rPr>
        <w:fldChar w:fldCharType="separate"/>
      </w:r>
      <w:r w:rsidR="003332D9" w:rsidRPr="0013564B">
        <w:rPr>
          <w:rFonts w:ascii="Arial" w:hAnsi="Arial" w:cs="Arial"/>
          <w:lang w:val="en-US"/>
        </w:rPr>
        <w:t xml:space="preserve"> </w:t>
      </w:r>
      <w:r w:rsidR="003332D9" w:rsidRPr="0013564B">
        <w:rPr>
          <w:rFonts w:ascii="Arial" w:hAnsi="Arial" w:cs="Arial"/>
          <w:lang w:val="en-US"/>
        </w:rPr>
        <w:fldChar w:fldCharType="end"/>
      </w:r>
    </w:p>
    <w:p w14:paraId="26166AB0" w14:textId="0372147C"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PHARMACODYNAMIC PROPERTIES</w:t>
      </w:r>
      <w:r w:rsidR="003332D9">
        <w:rPr>
          <w:rFonts w:ascii="Arial" w:hAnsi="Arial" w:cs="Arial"/>
          <w:smallCaps w:val="0"/>
        </w:rPr>
        <w:fldChar w:fldCharType="begin"/>
      </w:r>
      <w:r w:rsidR="003332D9">
        <w:rPr>
          <w:rFonts w:ascii="Arial" w:hAnsi="Arial" w:cs="Arial"/>
          <w:smallCaps w:val="0"/>
        </w:rPr>
        <w:instrText xml:space="preserve"> DOCVARIABLE VAULT_ND_7c004bb3-8eaf-4fc5-90e9-a5826635fcd5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4507AC1E" w14:textId="09B642B6" w:rsidR="001A3992" w:rsidRPr="00071855" w:rsidRDefault="001A3992" w:rsidP="001A3992">
      <w:pPr>
        <w:pStyle w:val="Heading3"/>
        <w:spacing w:before="0" w:after="120"/>
        <w:rPr>
          <w:rFonts w:ascii="Arial" w:hAnsi="Arial" w:cs="Arial"/>
        </w:rPr>
      </w:pPr>
      <w:r w:rsidRPr="00071855">
        <w:rPr>
          <w:rFonts w:ascii="Arial" w:hAnsi="Arial" w:cs="Arial"/>
        </w:rPr>
        <w:t>Mechanism of action</w:t>
      </w:r>
      <w:r w:rsidR="003332D9">
        <w:rPr>
          <w:rFonts w:ascii="Arial" w:hAnsi="Arial" w:cs="Arial"/>
        </w:rPr>
        <w:fldChar w:fldCharType="begin"/>
      </w:r>
      <w:r w:rsidR="003332D9">
        <w:rPr>
          <w:rFonts w:ascii="Arial" w:hAnsi="Arial" w:cs="Arial"/>
        </w:rPr>
        <w:instrText xml:space="preserve"> DOCVARIABLE vault_nd_9731c981-6ccc-441e-855f-353c911f3784 \* MERGEFORMAT </w:instrText>
      </w:r>
      <w:r w:rsidR="003332D9">
        <w:rPr>
          <w:rFonts w:ascii="Arial" w:hAnsi="Arial" w:cs="Arial"/>
        </w:rPr>
        <w:fldChar w:fldCharType="separate"/>
      </w:r>
      <w:r w:rsidR="003332D9">
        <w:rPr>
          <w:rFonts w:ascii="Arial" w:hAnsi="Arial" w:cs="Arial"/>
        </w:rPr>
        <w:t xml:space="preserve"> </w:t>
      </w:r>
      <w:r w:rsidR="003332D9">
        <w:rPr>
          <w:rFonts w:ascii="Arial" w:hAnsi="Arial" w:cs="Arial"/>
        </w:rPr>
        <w:fldChar w:fldCharType="end"/>
      </w:r>
    </w:p>
    <w:p w14:paraId="4C0744BC" w14:textId="26E310CB" w:rsidR="00FF5BE5" w:rsidRPr="001200B8" w:rsidRDefault="00FF5BE5" w:rsidP="001200B8">
      <w:pPr>
        <w:rPr>
          <w:rFonts w:ascii="Arial" w:eastAsia="Times New Roman" w:hAnsi="Arial" w:cs="Arial"/>
          <w:lang w:val="en-GB" w:eastAsia="en-GB"/>
        </w:rPr>
      </w:pPr>
      <w:r w:rsidRPr="001200B8">
        <w:rPr>
          <w:rFonts w:ascii="Arial" w:eastAsia="Times New Roman" w:hAnsi="Arial" w:cs="Arial"/>
          <w:lang w:val="en-GB" w:eastAsia="en-GB"/>
        </w:rPr>
        <w:t>Cabotegravir inhibits HIV integrase by binding to the integrase active site and blocking the strand transfer step of retroviral deoxyribonucleic acid (DNA) integration which is essential for the HIV replication cycle.</w:t>
      </w:r>
      <w:r w:rsidR="003332D9" w:rsidRPr="001200B8">
        <w:rPr>
          <w:rFonts w:ascii="Arial" w:eastAsia="Times New Roman" w:hAnsi="Arial" w:cs="Arial"/>
          <w:lang w:val="en-GB" w:eastAsia="en-GB"/>
        </w:rPr>
        <w:fldChar w:fldCharType="begin"/>
      </w:r>
      <w:r w:rsidR="003332D9" w:rsidRPr="001200B8">
        <w:rPr>
          <w:rFonts w:ascii="Arial" w:eastAsia="Times New Roman" w:hAnsi="Arial" w:cs="Arial"/>
          <w:lang w:val="en-GB" w:eastAsia="en-GB"/>
        </w:rPr>
        <w:instrText xml:space="preserve"> DOCVARIABLE vault_nd_6a057850-6276-4385-925f-fb66e93ecb68 \* MERGEFORMAT </w:instrText>
      </w:r>
      <w:r w:rsidR="003332D9" w:rsidRPr="001200B8">
        <w:rPr>
          <w:rFonts w:ascii="Arial" w:eastAsia="Times New Roman" w:hAnsi="Arial" w:cs="Arial"/>
          <w:lang w:val="en-GB" w:eastAsia="en-GB"/>
        </w:rPr>
        <w:fldChar w:fldCharType="separate"/>
      </w:r>
      <w:r w:rsidR="003332D9" w:rsidRPr="001200B8">
        <w:rPr>
          <w:rFonts w:ascii="Arial" w:eastAsia="Times New Roman" w:hAnsi="Arial" w:cs="Arial"/>
          <w:lang w:val="en-GB" w:eastAsia="en-GB"/>
        </w:rPr>
        <w:t xml:space="preserve"> </w:t>
      </w:r>
      <w:r w:rsidR="003332D9" w:rsidRPr="001200B8">
        <w:rPr>
          <w:rFonts w:ascii="Arial" w:eastAsia="Times New Roman" w:hAnsi="Arial" w:cs="Arial"/>
          <w:lang w:val="en-GB" w:eastAsia="en-GB"/>
        </w:rPr>
        <w:fldChar w:fldCharType="end"/>
      </w:r>
    </w:p>
    <w:p w14:paraId="338573F9" w14:textId="722F75FD" w:rsidR="001A3992" w:rsidRPr="001200B8" w:rsidRDefault="00146DB6" w:rsidP="001200B8">
      <w:pPr>
        <w:pStyle w:val="Heading3"/>
        <w:rPr>
          <w:rFonts w:ascii="Arial" w:hAnsi="Arial" w:cs="Arial"/>
        </w:rPr>
      </w:pPr>
      <w:r w:rsidRPr="001200B8">
        <w:rPr>
          <w:rFonts w:ascii="Arial" w:hAnsi="Arial" w:cs="Arial"/>
        </w:rPr>
        <w:t xml:space="preserve">Pharmacodynamic </w:t>
      </w:r>
      <w:r w:rsidR="00A00329" w:rsidRPr="001200B8">
        <w:rPr>
          <w:rFonts w:ascii="Arial" w:hAnsi="Arial" w:cs="Arial"/>
        </w:rPr>
        <w:t>effects</w:t>
      </w:r>
      <w:r w:rsidR="003332D9" w:rsidRPr="001200B8">
        <w:rPr>
          <w:rFonts w:ascii="Arial" w:hAnsi="Arial" w:cs="Arial"/>
        </w:rPr>
        <w:fldChar w:fldCharType="begin"/>
      </w:r>
      <w:r w:rsidR="003332D9" w:rsidRPr="001200B8">
        <w:rPr>
          <w:rFonts w:ascii="Arial" w:hAnsi="Arial" w:cs="Arial"/>
        </w:rPr>
        <w:instrText xml:space="preserve"> DOCVARIABLE vault_nd_a4945f0e-2cca-4884-a379-9d361451d6b8 \* MERGEFORMAT </w:instrText>
      </w:r>
      <w:r w:rsidR="003332D9" w:rsidRPr="001200B8">
        <w:rPr>
          <w:rFonts w:ascii="Arial" w:hAnsi="Arial" w:cs="Arial"/>
        </w:rPr>
        <w:fldChar w:fldCharType="separate"/>
      </w:r>
      <w:r w:rsidR="003332D9" w:rsidRPr="001200B8">
        <w:rPr>
          <w:rFonts w:ascii="Arial" w:hAnsi="Arial" w:cs="Arial"/>
        </w:rPr>
        <w:t xml:space="preserve"> </w:t>
      </w:r>
      <w:r w:rsidR="003332D9" w:rsidRPr="001200B8">
        <w:rPr>
          <w:rFonts w:ascii="Arial" w:hAnsi="Arial" w:cs="Arial"/>
        </w:rPr>
        <w:fldChar w:fldCharType="end"/>
      </w:r>
    </w:p>
    <w:p w14:paraId="2626A23B" w14:textId="205CDBA5" w:rsidR="00A00329" w:rsidRPr="00A00329" w:rsidRDefault="00A00329" w:rsidP="00A00329">
      <w:pPr>
        <w:keepNext/>
        <w:spacing w:after="240" w:line="240" w:lineRule="auto"/>
        <w:outlineLvl w:val="0"/>
        <w:rPr>
          <w:rFonts w:ascii="Arial" w:eastAsia="SimSun" w:hAnsi="Arial" w:cs="Arial"/>
          <w:b/>
          <w:bCs/>
          <w:i/>
          <w:iCs/>
          <w:lang w:val="x-none" w:eastAsia="x-none"/>
        </w:rPr>
      </w:pPr>
      <w:r w:rsidRPr="00D14E0F">
        <w:rPr>
          <w:rFonts w:ascii="Arial" w:eastAsia="Times New Roman" w:hAnsi="Arial" w:cs="Arial"/>
          <w:i/>
          <w:lang w:val="en-GB" w:eastAsia="en-GB"/>
        </w:rPr>
        <w:t>Antiviral Activity in cell culture</w:t>
      </w:r>
      <w:r w:rsidRPr="00A00329">
        <w:rPr>
          <w:rFonts w:ascii="Arial" w:eastAsia="Times New Roman" w:hAnsi="Arial" w:cs="Arial"/>
          <w:lang w:val="en-GB" w:eastAsia="en-GB"/>
        </w:rPr>
        <w:br w:type="textWrapping" w:clear="all"/>
        <w:t>Cabotegravir exhibited antiviral activity against laboratory strains of wild-type HIV-1 with mean concentration of cabotegravir necessary to reduce viral replication by 50 percent (EC</w:t>
      </w:r>
      <w:r w:rsidRPr="00A00329">
        <w:rPr>
          <w:rFonts w:ascii="Arial" w:eastAsia="Times New Roman" w:hAnsi="Arial" w:cs="Arial"/>
          <w:vertAlign w:val="subscript"/>
          <w:lang w:val="en-GB" w:eastAsia="en-GB"/>
        </w:rPr>
        <w:t>50</w:t>
      </w:r>
      <w:r w:rsidRPr="00A00329">
        <w:rPr>
          <w:rFonts w:ascii="Arial" w:eastAsia="Times New Roman" w:hAnsi="Arial" w:cs="Arial"/>
          <w:lang w:val="en-GB" w:eastAsia="en-GB"/>
        </w:rPr>
        <w:t>) values of 0.22 </w:t>
      </w:r>
      <w:proofErr w:type="spellStart"/>
      <w:r w:rsidRPr="00A00329">
        <w:rPr>
          <w:rFonts w:ascii="Arial" w:eastAsia="Times New Roman" w:hAnsi="Arial" w:cs="Arial"/>
          <w:lang w:val="en-GB" w:eastAsia="en-GB"/>
        </w:rPr>
        <w:t>nM</w:t>
      </w:r>
      <w:proofErr w:type="spellEnd"/>
      <w:r w:rsidRPr="00A00329">
        <w:rPr>
          <w:rFonts w:ascii="Arial" w:eastAsia="Times New Roman" w:hAnsi="Arial" w:cs="Arial"/>
          <w:lang w:val="en-GB" w:eastAsia="en-GB"/>
        </w:rPr>
        <w:t xml:space="preserve"> in peripheral blood mononuclear cells (PBMCs), 0.74 </w:t>
      </w:r>
      <w:proofErr w:type="spellStart"/>
      <w:r w:rsidR="003D319D">
        <w:rPr>
          <w:rFonts w:ascii="Arial" w:eastAsia="Times New Roman" w:hAnsi="Arial" w:cs="Arial"/>
          <w:lang w:val="en-GB" w:eastAsia="en-GB"/>
        </w:rPr>
        <w:t>nM</w:t>
      </w:r>
      <w:proofErr w:type="spellEnd"/>
      <w:r w:rsidR="003D319D">
        <w:rPr>
          <w:rFonts w:ascii="Arial" w:eastAsia="Times New Roman" w:hAnsi="Arial" w:cs="Arial"/>
          <w:lang w:val="en-GB" w:eastAsia="en-GB"/>
        </w:rPr>
        <w:t xml:space="preserve"> </w:t>
      </w:r>
      <w:r w:rsidRPr="00A00329">
        <w:rPr>
          <w:rFonts w:ascii="Arial" w:eastAsia="Times New Roman" w:hAnsi="Arial" w:cs="Arial"/>
          <w:lang w:val="en-GB" w:eastAsia="en-GB"/>
        </w:rPr>
        <w:t xml:space="preserve">in 293T cells and 0.57 </w:t>
      </w:r>
      <w:proofErr w:type="spellStart"/>
      <w:r w:rsidRPr="00A00329">
        <w:rPr>
          <w:rFonts w:ascii="Arial" w:eastAsia="Times New Roman" w:hAnsi="Arial" w:cs="Arial"/>
          <w:lang w:val="en-GB" w:eastAsia="en-GB"/>
        </w:rPr>
        <w:t>nM</w:t>
      </w:r>
      <w:proofErr w:type="spellEnd"/>
      <w:r w:rsidRPr="00A00329">
        <w:rPr>
          <w:rFonts w:ascii="Arial" w:eastAsia="Times New Roman" w:hAnsi="Arial" w:cs="Arial"/>
          <w:lang w:val="en-GB" w:eastAsia="en-GB"/>
        </w:rPr>
        <w:t xml:space="preserve"> in MT4 cells. Cabotegravir demonstrated antiviral activity in cell culture against a panel of 24 HIV-1 clinical isolates (three in each group of M clades A, B, C, D, E, F, and G, and 3 in group O) with EC</w:t>
      </w:r>
      <w:r w:rsidRPr="00A00329">
        <w:rPr>
          <w:rFonts w:ascii="Arial" w:eastAsia="Times New Roman" w:hAnsi="Arial" w:cs="Arial"/>
          <w:vertAlign w:val="subscript"/>
          <w:lang w:val="en-GB" w:eastAsia="en-GB"/>
        </w:rPr>
        <w:t>50</w:t>
      </w:r>
      <w:r w:rsidRPr="00A00329">
        <w:rPr>
          <w:rFonts w:ascii="Arial" w:eastAsia="Times New Roman" w:hAnsi="Arial" w:cs="Arial"/>
          <w:lang w:val="en-GB" w:eastAsia="en-GB"/>
        </w:rPr>
        <w:t xml:space="preserve"> values ranging from 0.02 </w:t>
      </w:r>
      <w:proofErr w:type="spellStart"/>
      <w:r w:rsidRPr="00A00329">
        <w:rPr>
          <w:rFonts w:ascii="Arial" w:eastAsia="Times New Roman" w:hAnsi="Arial" w:cs="Arial"/>
          <w:lang w:val="en-GB" w:eastAsia="en-GB"/>
        </w:rPr>
        <w:t>nM</w:t>
      </w:r>
      <w:proofErr w:type="spellEnd"/>
      <w:r w:rsidRPr="00A00329">
        <w:rPr>
          <w:rFonts w:ascii="Arial" w:eastAsia="Times New Roman" w:hAnsi="Arial" w:cs="Arial"/>
          <w:lang w:val="en-GB" w:eastAsia="en-GB"/>
        </w:rPr>
        <w:t xml:space="preserve"> to 1.06 </w:t>
      </w:r>
      <w:proofErr w:type="spellStart"/>
      <w:r w:rsidRPr="00A00329">
        <w:rPr>
          <w:rFonts w:ascii="Arial" w:eastAsia="Times New Roman" w:hAnsi="Arial" w:cs="Arial"/>
          <w:lang w:val="en-GB" w:eastAsia="en-GB"/>
        </w:rPr>
        <w:t>nM</w:t>
      </w:r>
      <w:proofErr w:type="spellEnd"/>
      <w:r w:rsidRPr="00A00329">
        <w:rPr>
          <w:rFonts w:ascii="Arial" w:eastAsia="Times New Roman" w:hAnsi="Arial" w:cs="Arial"/>
          <w:lang w:val="en-GB" w:eastAsia="en-GB"/>
        </w:rPr>
        <w:t xml:space="preserve"> for HIV-1. Cabotegravir EC</w:t>
      </w:r>
      <w:r w:rsidRPr="00A00329">
        <w:rPr>
          <w:rFonts w:ascii="Arial" w:eastAsia="Times New Roman" w:hAnsi="Arial" w:cs="Arial"/>
          <w:vertAlign w:val="subscript"/>
          <w:lang w:val="en-GB" w:eastAsia="en-GB"/>
        </w:rPr>
        <w:t>50</w:t>
      </w:r>
      <w:r w:rsidRPr="00A00329">
        <w:rPr>
          <w:rFonts w:ascii="Arial" w:eastAsia="Times New Roman" w:hAnsi="Arial" w:cs="Arial"/>
          <w:lang w:val="en-GB" w:eastAsia="en-GB"/>
        </w:rPr>
        <w:t xml:space="preserve"> values against three HIV-2 clinical isolates ranged from 0.10 </w:t>
      </w:r>
      <w:proofErr w:type="spellStart"/>
      <w:r w:rsidRPr="00A00329">
        <w:rPr>
          <w:rFonts w:ascii="Arial" w:eastAsia="Times New Roman" w:hAnsi="Arial" w:cs="Arial"/>
          <w:lang w:val="en-GB" w:eastAsia="en-GB"/>
        </w:rPr>
        <w:t>nM</w:t>
      </w:r>
      <w:proofErr w:type="spellEnd"/>
      <w:r w:rsidRPr="00A00329">
        <w:rPr>
          <w:rFonts w:ascii="Arial" w:eastAsia="Times New Roman" w:hAnsi="Arial" w:cs="Arial"/>
          <w:lang w:val="en-GB" w:eastAsia="en-GB"/>
        </w:rPr>
        <w:t xml:space="preserve"> to 0.14 </w:t>
      </w:r>
      <w:proofErr w:type="spellStart"/>
      <w:r w:rsidRPr="00A00329">
        <w:rPr>
          <w:rFonts w:ascii="Arial" w:eastAsia="Times New Roman" w:hAnsi="Arial" w:cs="Arial"/>
          <w:lang w:val="en-GB" w:eastAsia="en-GB"/>
        </w:rPr>
        <w:t>nM.</w:t>
      </w:r>
      <w:proofErr w:type="spellEnd"/>
      <w:r w:rsidRPr="00A00329">
        <w:rPr>
          <w:rFonts w:ascii="Arial" w:eastAsia="Times New Roman" w:hAnsi="Arial" w:cs="Arial"/>
          <w:lang w:val="en-GB" w:eastAsia="en-GB"/>
        </w:rPr>
        <w:t xml:space="preserve"> No clinical data is available in patients with HIV-2.</w:t>
      </w:r>
      <w:r w:rsidRPr="00A00329">
        <w:rPr>
          <w:rFonts w:ascii="Arial" w:eastAsia="Times New Roman" w:hAnsi="Arial" w:cs="Arial"/>
          <w:lang w:val="en-GB" w:eastAsia="en-GB"/>
        </w:rPr>
        <w:fldChar w:fldCharType="begin"/>
      </w:r>
      <w:r w:rsidRPr="00A00329">
        <w:rPr>
          <w:rFonts w:ascii="Arial" w:eastAsia="Times New Roman" w:hAnsi="Arial" w:cs="Arial"/>
          <w:lang w:val="en-GB" w:eastAsia="en-GB"/>
        </w:rPr>
        <w:instrText xml:space="preserve"> DOCVARIABLE vault_nd_1d99d48c-64ff-4545-b9ce-110c742619d6 \* MERGEFORMAT </w:instrText>
      </w:r>
      <w:r w:rsidRPr="00A00329">
        <w:rPr>
          <w:rFonts w:ascii="Arial" w:eastAsia="Times New Roman" w:hAnsi="Arial" w:cs="Arial"/>
          <w:lang w:val="en-GB" w:eastAsia="en-GB"/>
        </w:rPr>
        <w:fldChar w:fldCharType="separate"/>
      </w:r>
      <w:r w:rsidRPr="00A00329">
        <w:rPr>
          <w:rFonts w:ascii="Arial" w:eastAsia="Times New Roman" w:hAnsi="Arial" w:cs="Arial"/>
          <w:lang w:val="en-GB" w:eastAsia="en-GB"/>
        </w:rPr>
        <w:t xml:space="preserve"> </w:t>
      </w:r>
      <w:r w:rsidRPr="00A00329">
        <w:rPr>
          <w:rFonts w:ascii="Arial" w:eastAsia="Times New Roman" w:hAnsi="Arial" w:cs="Arial"/>
          <w:lang w:val="en-GB" w:eastAsia="en-GB"/>
        </w:rPr>
        <w:fldChar w:fldCharType="end"/>
      </w:r>
    </w:p>
    <w:p w14:paraId="332A6955" w14:textId="045B095B" w:rsidR="00A00329" w:rsidRDefault="00A00329" w:rsidP="003B4332">
      <w:pPr>
        <w:spacing w:after="0" w:line="240" w:lineRule="auto"/>
        <w:rPr>
          <w:rFonts w:ascii="Times New Roman" w:hAnsi="Times New Roman" w:cs="Times New Roman"/>
          <w:sz w:val="24"/>
          <w:szCs w:val="24"/>
          <w:lang w:eastAsia="en-AU"/>
        </w:rPr>
      </w:pPr>
      <w:r w:rsidRPr="00D14E0F">
        <w:rPr>
          <w:rFonts w:ascii="Arial" w:eastAsia="Times New Roman" w:hAnsi="Arial" w:cs="Arial"/>
          <w:bCs/>
          <w:i/>
          <w:iCs/>
          <w:lang w:val="x-none" w:eastAsia="x-none"/>
        </w:rPr>
        <w:t>Antiviral Activity in combination with other antiviral agents</w:t>
      </w:r>
      <w:r w:rsidRPr="00AA7A6D">
        <w:rPr>
          <w:rFonts w:ascii="Arial" w:eastAsia="Times New Roman" w:hAnsi="Arial" w:cs="Arial"/>
          <w:b/>
          <w:i/>
          <w:iCs/>
          <w:lang w:val="x-none" w:eastAsia="x-none"/>
        </w:rPr>
        <w:br w:type="textWrapping" w:clear="all"/>
      </w:r>
      <w:r w:rsidR="00F5032B" w:rsidRPr="00F5032B">
        <w:rPr>
          <w:rFonts w:ascii="Arial" w:hAnsi="Arial" w:cs="Arial"/>
          <w:lang w:val="en"/>
        </w:rPr>
        <w:t xml:space="preserve"> </w:t>
      </w:r>
      <w:r w:rsidR="00F5032B">
        <w:rPr>
          <w:rFonts w:ascii="Arial" w:hAnsi="Arial" w:cs="Arial"/>
          <w:lang w:val="en"/>
        </w:rPr>
        <w:t xml:space="preserve">In </w:t>
      </w:r>
      <w:r w:rsidR="00F5032B">
        <w:rPr>
          <w:rFonts w:ascii="Arial" w:hAnsi="Arial" w:cs="Arial"/>
          <w:i/>
          <w:iCs/>
          <w:lang w:val="en"/>
        </w:rPr>
        <w:t>in vitro</w:t>
      </w:r>
      <w:r w:rsidR="00F5032B">
        <w:rPr>
          <w:rFonts w:ascii="Arial" w:hAnsi="Arial" w:cs="Arial"/>
          <w:lang w:val="en"/>
        </w:rPr>
        <w:t xml:space="preserve"> combination studies, cabotegravir had weak synergistic antiviral effects with nucleoside reverse transcriptase inhibitors (lamivudine, tenofovir disoproxil fumarate, emtricitabine) and additive effects with the non-nucleoside reverse transcriptase inhibitor, </w:t>
      </w:r>
      <w:proofErr w:type="spellStart"/>
      <w:r w:rsidR="00F5032B">
        <w:rPr>
          <w:rFonts w:ascii="Arial" w:hAnsi="Arial" w:cs="Arial"/>
          <w:lang w:val="en"/>
        </w:rPr>
        <w:t>rilpivirine</w:t>
      </w:r>
      <w:proofErr w:type="spellEnd"/>
      <w:r w:rsidR="00F5032B">
        <w:rPr>
          <w:rFonts w:ascii="Arial" w:hAnsi="Arial" w:cs="Arial"/>
          <w:lang w:val="en"/>
        </w:rPr>
        <w:t>.</w:t>
      </w:r>
      <w:r w:rsidR="00F5032B">
        <w:rPr>
          <w:rFonts w:ascii="Times New Roman" w:hAnsi="Times New Roman" w:cs="Times New Roman"/>
          <w:sz w:val="24"/>
          <w:szCs w:val="24"/>
          <w:lang w:eastAsia="en-AU"/>
        </w:rPr>
        <w:t xml:space="preserve"> </w:t>
      </w:r>
    </w:p>
    <w:p w14:paraId="1C49DD69" w14:textId="77777777" w:rsidR="003B4332" w:rsidRPr="003B4332" w:rsidRDefault="003B4332" w:rsidP="003B4332">
      <w:pPr>
        <w:spacing w:after="0" w:line="240" w:lineRule="auto"/>
        <w:rPr>
          <w:rFonts w:ascii="Times New Roman" w:hAnsi="Times New Roman" w:cs="Times New Roman"/>
          <w:sz w:val="24"/>
          <w:szCs w:val="24"/>
          <w:lang w:eastAsia="en-AU"/>
        </w:rPr>
      </w:pPr>
    </w:p>
    <w:p w14:paraId="7D17A8AF" w14:textId="77777777" w:rsidR="00A00329" w:rsidRPr="00A00329" w:rsidRDefault="00A00329" w:rsidP="00A00329">
      <w:pPr>
        <w:spacing w:after="240" w:line="240" w:lineRule="auto"/>
        <w:rPr>
          <w:rFonts w:ascii="Arial" w:eastAsia="Times New Roman" w:hAnsi="Arial" w:cs="Arial"/>
          <w:bCs/>
          <w:i/>
          <w:iCs/>
          <w:lang w:val="en-GB" w:eastAsia="en-GB"/>
        </w:rPr>
      </w:pPr>
      <w:r w:rsidRPr="00B51F97">
        <w:rPr>
          <w:rFonts w:ascii="Arial" w:eastAsia="Times New Roman" w:hAnsi="Arial" w:cs="Arial"/>
          <w:bCs/>
          <w:i/>
          <w:iCs/>
          <w:lang w:val="en-GB" w:eastAsia="en-GB"/>
        </w:rPr>
        <w:t>Effect of Human Serum and Serum Proteins</w:t>
      </w:r>
      <w:r w:rsidRPr="00A00329">
        <w:rPr>
          <w:rFonts w:ascii="Arial" w:eastAsia="Times New Roman" w:hAnsi="Arial" w:cs="Arial"/>
          <w:bCs/>
          <w:i/>
          <w:iCs/>
          <w:u w:val="single"/>
          <w:lang w:val="en-GB" w:eastAsia="en-GB"/>
        </w:rPr>
        <w:br/>
      </w:r>
      <w:r w:rsidRPr="00A00329">
        <w:rPr>
          <w:rFonts w:ascii="Arial" w:eastAsia="Times New Roman" w:hAnsi="Arial" w:cs="Arial"/>
          <w:i/>
          <w:lang w:val="en-GB" w:eastAsia="en-GB"/>
        </w:rPr>
        <w:t>In vitro</w:t>
      </w:r>
      <w:r w:rsidRPr="00A00329">
        <w:rPr>
          <w:rFonts w:ascii="Arial" w:eastAsia="Times New Roman" w:hAnsi="Arial" w:cs="Arial"/>
          <w:lang w:val="en-GB" w:eastAsia="en-GB"/>
        </w:rPr>
        <w:t xml:space="preserve"> studies suggested a 408</w:t>
      </w:r>
      <w:r w:rsidRPr="00A00329">
        <w:rPr>
          <w:rFonts w:ascii="Arial" w:eastAsia="Times New Roman" w:hAnsi="Arial" w:cs="Arial"/>
          <w:lang w:val="en-GB" w:eastAsia="en-GB"/>
        </w:rPr>
        <w:noBreakHyphen/>
        <w:t>fold shift in IC</w:t>
      </w:r>
      <w:r w:rsidRPr="00A00329">
        <w:rPr>
          <w:rFonts w:ascii="Arial" w:eastAsia="Times New Roman" w:hAnsi="Arial" w:cs="Arial"/>
          <w:vertAlign w:val="subscript"/>
          <w:lang w:val="en-GB" w:eastAsia="en-GB"/>
        </w:rPr>
        <w:t>50</w:t>
      </w:r>
      <w:r w:rsidRPr="00A00329">
        <w:rPr>
          <w:rFonts w:ascii="Arial" w:eastAsia="Times New Roman" w:hAnsi="Arial" w:cs="Arial"/>
          <w:lang w:val="en-GB" w:eastAsia="en-GB"/>
        </w:rPr>
        <w:t xml:space="preserve"> of </w:t>
      </w:r>
      <w:r w:rsidRPr="00A00329">
        <w:rPr>
          <w:rFonts w:ascii="Arial" w:eastAsia="MS Mincho" w:hAnsi="Arial" w:cs="Arial"/>
          <w:lang w:val="en-GB" w:eastAsia="en-GB"/>
        </w:rPr>
        <w:t xml:space="preserve">cabotegravir </w:t>
      </w:r>
      <w:r w:rsidRPr="00A00329">
        <w:rPr>
          <w:rFonts w:ascii="Arial" w:eastAsia="Times New Roman" w:hAnsi="Arial" w:cs="Arial"/>
          <w:lang w:val="en-GB" w:eastAsia="en-GB"/>
        </w:rPr>
        <w:t>in the presence of 100% human serum (by method of extrapolation), and the protein adjusted IC</w:t>
      </w:r>
      <w:r w:rsidRPr="00A00329">
        <w:rPr>
          <w:rFonts w:ascii="Arial" w:eastAsia="Times New Roman" w:hAnsi="Arial" w:cs="Arial"/>
          <w:vertAlign w:val="subscript"/>
          <w:lang w:val="en-GB" w:eastAsia="en-GB"/>
        </w:rPr>
        <w:t>50</w:t>
      </w:r>
      <w:r w:rsidRPr="00A00329">
        <w:rPr>
          <w:rFonts w:ascii="Arial" w:eastAsia="Times New Roman" w:hAnsi="Arial" w:cs="Arial"/>
          <w:lang w:val="en-GB" w:eastAsia="en-GB"/>
        </w:rPr>
        <w:t xml:space="preserve"> (PA-IC</w:t>
      </w:r>
      <w:r w:rsidRPr="00A00329">
        <w:rPr>
          <w:rFonts w:ascii="Arial" w:eastAsia="Times New Roman" w:hAnsi="Arial" w:cs="Arial"/>
          <w:vertAlign w:val="subscript"/>
          <w:lang w:val="en-GB" w:eastAsia="en-GB"/>
        </w:rPr>
        <w:t>50</w:t>
      </w:r>
      <w:r w:rsidRPr="00A00329">
        <w:rPr>
          <w:rFonts w:ascii="Arial" w:eastAsia="Times New Roman" w:hAnsi="Arial" w:cs="Arial"/>
          <w:lang w:val="en-GB" w:eastAsia="en-GB"/>
        </w:rPr>
        <w:t>) was estimated to be 102 </w:t>
      </w:r>
      <w:proofErr w:type="spellStart"/>
      <w:r w:rsidRPr="00A00329">
        <w:rPr>
          <w:rFonts w:ascii="Arial" w:eastAsia="Times New Roman" w:hAnsi="Arial" w:cs="Arial"/>
          <w:lang w:val="en-GB" w:eastAsia="en-GB"/>
        </w:rPr>
        <w:t>nM</w:t>
      </w:r>
      <w:proofErr w:type="spellEnd"/>
      <w:r w:rsidRPr="00A00329">
        <w:rPr>
          <w:rFonts w:ascii="Arial" w:eastAsia="Times New Roman" w:hAnsi="Arial" w:cs="Arial"/>
          <w:lang w:val="en-GB" w:eastAsia="en-GB"/>
        </w:rPr>
        <w:t xml:space="preserve"> in MT4 cells.</w:t>
      </w:r>
    </w:p>
    <w:p w14:paraId="0FAF345E" w14:textId="77777777" w:rsidR="00A00329" w:rsidRPr="00A00329" w:rsidRDefault="00A00329" w:rsidP="00A00329">
      <w:pPr>
        <w:spacing w:after="240" w:line="240" w:lineRule="auto"/>
        <w:outlineLvl w:val="0"/>
        <w:rPr>
          <w:rFonts w:ascii="Arial" w:eastAsia="Times New Roman" w:hAnsi="Arial" w:cs="Arial"/>
          <w:b/>
          <w:bCs/>
          <w:i/>
          <w:iCs/>
          <w:lang w:val="x-none" w:eastAsia="x-none"/>
        </w:rPr>
      </w:pPr>
      <w:r w:rsidRPr="00B51F97">
        <w:rPr>
          <w:rFonts w:ascii="Arial" w:eastAsia="Times New Roman" w:hAnsi="Arial" w:cs="Arial"/>
          <w:bCs/>
          <w:i/>
          <w:iCs/>
          <w:lang w:val="x-none" w:eastAsia="x-none"/>
        </w:rPr>
        <w:t>Resistance in vitro</w:t>
      </w:r>
      <w:r w:rsidRPr="00A00329">
        <w:rPr>
          <w:rFonts w:ascii="Arial" w:eastAsia="Times New Roman" w:hAnsi="Arial" w:cs="Arial"/>
          <w:b/>
          <w:bCs/>
          <w:i/>
          <w:iCs/>
          <w:u w:val="single"/>
          <w:lang w:val="x-none" w:eastAsia="x-none"/>
        </w:rPr>
        <w:br/>
      </w:r>
      <w:r w:rsidRPr="00A00329">
        <w:rPr>
          <w:rFonts w:ascii="Arial" w:eastAsia="Times New Roman" w:hAnsi="Arial" w:cs="Arial"/>
          <w:bCs/>
          <w:iCs/>
          <w:lang w:val="x-none" w:eastAsia="x-none"/>
        </w:rPr>
        <w:t xml:space="preserve">Isolation from wild-type HIV-1 and activity against resistant strains: </w:t>
      </w:r>
      <w:bookmarkStart w:id="8" w:name="_Hlk531358524"/>
      <w:r w:rsidRPr="00A00329">
        <w:rPr>
          <w:rFonts w:ascii="Arial" w:eastAsia="Times New Roman" w:hAnsi="Arial" w:cs="Arial"/>
          <w:bCs/>
          <w:iCs/>
          <w:lang w:val="x-none" w:eastAsia="x-none"/>
        </w:rPr>
        <w:t>Viruses with &gt;10-fold increase in cabotegravir EC</w:t>
      </w:r>
      <w:r w:rsidRPr="00A00329">
        <w:rPr>
          <w:rFonts w:ascii="Arial" w:eastAsia="Times New Roman" w:hAnsi="Arial" w:cs="Arial"/>
          <w:bCs/>
          <w:iCs/>
          <w:vertAlign w:val="subscript"/>
          <w:lang w:val="x-none" w:eastAsia="x-none"/>
        </w:rPr>
        <w:t>50</w:t>
      </w:r>
      <w:r w:rsidRPr="00A00329">
        <w:rPr>
          <w:rFonts w:ascii="Arial" w:eastAsia="Times New Roman" w:hAnsi="Arial" w:cs="Arial"/>
          <w:bCs/>
          <w:iCs/>
          <w:lang w:val="x-none" w:eastAsia="x-none"/>
        </w:rPr>
        <w:t xml:space="preserve"> were not observed during the 112-day passage of strain IIIB. </w:t>
      </w:r>
      <w:bookmarkStart w:id="9" w:name="_Hlk531703892"/>
      <w:bookmarkEnd w:id="8"/>
      <w:r w:rsidRPr="00A00329">
        <w:rPr>
          <w:rFonts w:ascii="Arial" w:eastAsia="Times New Roman" w:hAnsi="Arial" w:cs="Arial"/>
          <w:lang w:val="en-US" w:eastAsia="en-GB"/>
        </w:rPr>
        <w:t xml:space="preserve">The following integrase (IN) mutations emerged after passaging wild type HIV-1 (with T124A polymorphism) in the presence of cabotegravir: Q146L (fold-change range 1.3-4.6), S153Y (fold-change range 2.8-8.4) and I162M (fold-change = 2.8). As noted above, the detection of T124A is selection of a pre-existing minority variant that does not have differential susceptibility to cabotegravir. </w:t>
      </w:r>
      <w:bookmarkEnd w:id="9"/>
      <w:r w:rsidRPr="00A00329">
        <w:rPr>
          <w:rFonts w:ascii="Arial" w:eastAsia="Times New Roman" w:hAnsi="Arial" w:cs="Arial"/>
          <w:bCs/>
          <w:iCs/>
          <w:lang w:val="x-none" w:eastAsia="x-none"/>
        </w:rPr>
        <w:t>No amino acid substitutions in the integrase region were selected when passaging the wild-type HIV-1 NL</w:t>
      </w:r>
      <w:r w:rsidRPr="00A00329">
        <w:rPr>
          <w:rFonts w:ascii="Arial" w:eastAsia="Times New Roman" w:hAnsi="Arial" w:cs="Arial"/>
          <w:bCs/>
          <w:iCs/>
          <w:lang w:val="x-none" w:eastAsia="x-none"/>
        </w:rPr>
        <w:noBreakHyphen/>
        <w:t>432 in the presence of 6.4 </w:t>
      </w:r>
      <w:proofErr w:type="spellStart"/>
      <w:r w:rsidRPr="00A00329">
        <w:rPr>
          <w:rFonts w:ascii="Arial" w:eastAsia="Times New Roman" w:hAnsi="Arial" w:cs="Arial"/>
          <w:bCs/>
          <w:iCs/>
          <w:lang w:val="x-none" w:eastAsia="x-none"/>
        </w:rPr>
        <w:t>nM</w:t>
      </w:r>
      <w:proofErr w:type="spellEnd"/>
      <w:r w:rsidRPr="00A00329">
        <w:rPr>
          <w:rFonts w:ascii="Arial" w:eastAsia="Times New Roman" w:hAnsi="Arial" w:cs="Arial"/>
          <w:bCs/>
          <w:iCs/>
          <w:lang w:val="x-none" w:eastAsia="x-none"/>
        </w:rPr>
        <w:t xml:space="preserve"> of cabotegravir through Day 56.</w:t>
      </w:r>
      <w:r w:rsidRPr="00A00329">
        <w:rPr>
          <w:rFonts w:ascii="Arial" w:eastAsia="Times New Roman" w:hAnsi="Arial" w:cs="Arial"/>
          <w:bCs/>
          <w:iCs/>
          <w:lang w:val="x-none" w:eastAsia="x-none"/>
        </w:rPr>
        <w:fldChar w:fldCharType="begin"/>
      </w:r>
      <w:r w:rsidRPr="00A00329">
        <w:rPr>
          <w:rFonts w:ascii="Arial" w:eastAsia="Times New Roman" w:hAnsi="Arial" w:cs="Arial"/>
          <w:bCs/>
          <w:iCs/>
          <w:lang w:val="x-none" w:eastAsia="x-none"/>
        </w:rPr>
        <w:instrText xml:space="preserve"> DOCVARIABLE vault_nd_ebadaa6c-1100-4f5c-b95e-9c29a722464b \* MERGEFORMAT </w:instrText>
      </w:r>
      <w:r w:rsidRPr="00A00329">
        <w:rPr>
          <w:rFonts w:ascii="Arial" w:eastAsia="Times New Roman" w:hAnsi="Arial" w:cs="Arial"/>
          <w:bCs/>
          <w:iCs/>
          <w:lang w:val="x-none" w:eastAsia="x-none"/>
        </w:rPr>
        <w:fldChar w:fldCharType="separate"/>
      </w:r>
      <w:r w:rsidRPr="00A00329">
        <w:rPr>
          <w:rFonts w:ascii="Arial" w:eastAsia="Times New Roman" w:hAnsi="Arial" w:cs="Arial"/>
          <w:bCs/>
          <w:iCs/>
          <w:lang w:val="x-none" w:eastAsia="x-none"/>
        </w:rPr>
        <w:t xml:space="preserve"> </w:t>
      </w:r>
      <w:r w:rsidRPr="00A00329">
        <w:rPr>
          <w:rFonts w:ascii="Arial" w:eastAsia="Times New Roman" w:hAnsi="Arial" w:cs="Arial"/>
          <w:bCs/>
          <w:iCs/>
          <w:lang w:val="x-none" w:eastAsia="x-none"/>
        </w:rPr>
        <w:fldChar w:fldCharType="end"/>
      </w:r>
    </w:p>
    <w:p w14:paraId="04A410C1" w14:textId="22867C04" w:rsidR="00C42892" w:rsidRPr="00111604" w:rsidRDefault="00C42892" w:rsidP="00111604">
      <w:pPr>
        <w:autoSpaceDE w:val="0"/>
        <w:autoSpaceDN w:val="0"/>
        <w:adjustRightInd w:val="0"/>
        <w:rPr>
          <w:rFonts w:ascii="Arial" w:hAnsi="Arial" w:cs="Arial"/>
          <w:lang w:val="en"/>
        </w:rPr>
      </w:pPr>
      <w:r>
        <w:rPr>
          <w:rFonts w:ascii="Arial" w:hAnsi="Arial" w:cs="Arial"/>
          <w:lang w:val="en"/>
        </w:rPr>
        <w:t>Among the known integrase resistant mutants tested, mild resistance (≥ 5-fold but &lt;10-fold resistance) was seen with E92Q/N155H, G118R, G140S/Q148H, Y143H/N155H, Q148K, Q148R, T66K/L74M and G140S/Q148K. High resistance (≥10-fold resistance) was seen with E138K/Q148K, V72I/E138K/Q148K, E138K/Q148R, E138K/G140S/Q148R, L74M/V75A/G140S/Q148H, G140C/Q148R, Q148R/N155H and G140S/Q148R.</w:t>
      </w:r>
    </w:p>
    <w:p w14:paraId="653C12B0" w14:textId="77777777" w:rsidR="00A00329" w:rsidRPr="00A00329" w:rsidRDefault="00A00329" w:rsidP="00445D44">
      <w:pPr>
        <w:pageBreakBefore/>
        <w:spacing w:after="240" w:line="240" w:lineRule="auto"/>
        <w:outlineLvl w:val="0"/>
        <w:rPr>
          <w:rFonts w:ascii="Arial" w:eastAsia="Times New Roman" w:hAnsi="Arial" w:cs="Arial"/>
          <w:bCs/>
          <w:lang w:val="en-GB" w:eastAsia="x-none"/>
        </w:rPr>
      </w:pPr>
      <w:r w:rsidRPr="00A00329">
        <w:rPr>
          <w:rFonts w:ascii="Arial" w:eastAsia="Times New Roman" w:hAnsi="Arial" w:cs="Arial"/>
          <w:bCs/>
          <w:i/>
          <w:iCs/>
          <w:lang w:val="en-GB" w:eastAsia="x-none"/>
        </w:rPr>
        <w:lastRenderedPageBreak/>
        <w:t xml:space="preserve">Resistance in vivo </w:t>
      </w:r>
      <w:r w:rsidRPr="00A00329">
        <w:rPr>
          <w:rFonts w:ascii="Arial" w:eastAsia="Times New Roman" w:hAnsi="Arial" w:cs="Arial"/>
          <w:bCs/>
          <w:i/>
          <w:iCs/>
          <w:lang w:val="en-GB" w:eastAsia="x-none"/>
        </w:rPr>
        <w:fldChar w:fldCharType="begin"/>
      </w:r>
      <w:r w:rsidRPr="00A00329">
        <w:rPr>
          <w:rFonts w:ascii="Arial" w:eastAsia="Times New Roman" w:hAnsi="Arial" w:cs="Arial"/>
          <w:bCs/>
          <w:i/>
          <w:iCs/>
          <w:lang w:val="en-GB" w:eastAsia="x-none"/>
        </w:rPr>
        <w:instrText xml:space="preserve"> DOCVARIABLE vault_nd_0e76f25b-be31-4181-a3cb-504c946903ac \* MERGEFORMAT </w:instrText>
      </w:r>
      <w:r w:rsidRPr="00A00329">
        <w:rPr>
          <w:rFonts w:ascii="Arial" w:eastAsia="Times New Roman" w:hAnsi="Arial" w:cs="Arial"/>
          <w:bCs/>
          <w:i/>
          <w:iCs/>
          <w:lang w:val="en-GB" w:eastAsia="x-none"/>
        </w:rPr>
        <w:fldChar w:fldCharType="separate"/>
      </w:r>
      <w:r w:rsidRPr="00A00329">
        <w:rPr>
          <w:rFonts w:ascii="Arial" w:eastAsia="Times New Roman" w:hAnsi="Arial" w:cs="Arial"/>
          <w:bCs/>
          <w:i/>
          <w:iCs/>
          <w:lang w:val="en-GB" w:eastAsia="x-none"/>
        </w:rPr>
        <w:t xml:space="preserve"> </w:t>
      </w:r>
      <w:r w:rsidRPr="00A00329">
        <w:rPr>
          <w:rFonts w:ascii="Arial" w:eastAsia="Times New Roman" w:hAnsi="Arial" w:cs="Arial"/>
          <w:bCs/>
          <w:i/>
          <w:iCs/>
          <w:lang w:val="en-GB" w:eastAsia="x-none"/>
        </w:rPr>
        <w:fldChar w:fldCharType="end"/>
      </w:r>
    </w:p>
    <w:p w14:paraId="4CA5E831" w14:textId="77777777" w:rsidR="00A00329" w:rsidRPr="00A00329" w:rsidRDefault="00A00329" w:rsidP="00A00329">
      <w:pPr>
        <w:spacing w:after="240" w:line="240" w:lineRule="auto"/>
        <w:outlineLvl w:val="0"/>
        <w:rPr>
          <w:rFonts w:ascii="Arial" w:eastAsia="Times New Roman" w:hAnsi="Arial" w:cs="Arial"/>
          <w:bCs/>
          <w:i/>
          <w:iCs/>
          <w:lang w:val="en-GB" w:eastAsia="x-none"/>
        </w:rPr>
      </w:pPr>
      <w:r w:rsidRPr="00A00329">
        <w:rPr>
          <w:rFonts w:ascii="Arial" w:eastAsia="Times New Roman" w:hAnsi="Arial" w:cs="Arial"/>
          <w:bCs/>
          <w:i/>
          <w:iCs/>
          <w:lang w:val="en-GB" w:eastAsia="x-none"/>
        </w:rPr>
        <w:t>HPTN 083</w:t>
      </w:r>
      <w:r w:rsidRPr="00A00329">
        <w:rPr>
          <w:rFonts w:ascii="Arial" w:eastAsia="Times New Roman" w:hAnsi="Arial" w:cs="Arial"/>
          <w:bCs/>
          <w:i/>
          <w:iCs/>
          <w:lang w:val="en-GB" w:eastAsia="x-none"/>
        </w:rPr>
        <w:fldChar w:fldCharType="begin"/>
      </w:r>
      <w:r w:rsidRPr="00A00329">
        <w:rPr>
          <w:rFonts w:ascii="Arial" w:eastAsia="Times New Roman" w:hAnsi="Arial" w:cs="Arial"/>
          <w:bCs/>
          <w:i/>
          <w:iCs/>
          <w:lang w:val="en-GB" w:eastAsia="x-none"/>
        </w:rPr>
        <w:instrText xml:space="preserve"> DOCVARIABLE VAULT_ND_57dc073d-1d47-46b2-a6bc-d67d4582d00f \* MERGEFORMAT </w:instrText>
      </w:r>
      <w:r w:rsidRPr="00A00329">
        <w:rPr>
          <w:rFonts w:ascii="Arial" w:eastAsia="Times New Roman" w:hAnsi="Arial" w:cs="Arial"/>
          <w:bCs/>
          <w:i/>
          <w:iCs/>
          <w:lang w:val="en-GB" w:eastAsia="x-none"/>
        </w:rPr>
        <w:fldChar w:fldCharType="separate"/>
      </w:r>
      <w:r w:rsidRPr="00A00329">
        <w:rPr>
          <w:rFonts w:ascii="Arial" w:eastAsia="Times New Roman" w:hAnsi="Arial" w:cs="Arial"/>
          <w:bCs/>
          <w:i/>
          <w:iCs/>
          <w:lang w:val="en-GB" w:eastAsia="x-none"/>
        </w:rPr>
        <w:t xml:space="preserve"> </w:t>
      </w:r>
      <w:r w:rsidRPr="00A00329">
        <w:rPr>
          <w:rFonts w:ascii="Arial" w:eastAsia="Times New Roman" w:hAnsi="Arial" w:cs="Arial"/>
          <w:bCs/>
          <w:i/>
          <w:iCs/>
          <w:lang w:val="en-GB" w:eastAsia="x-none"/>
        </w:rPr>
        <w:fldChar w:fldCharType="end"/>
      </w:r>
    </w:p>
    <w:p w14:paraId="13C97C1E" w14:textId="77777777" w:rsidR="00A00329" w:rsidRPr="00A00329" w:rsidRDefault="00A00329" w:rsidP="00A00329">
      <w:pPr>
        <w:spacing w:after="240" w:line="240" w:lineRule="auto"/>
        <w:rPr>
          <w:rFonts w:ascii="Arial" w:eastAsia="Times New Roman" w:hAnsi="Arial" w:cs="Arial"/>
          <w:lang w:val="en-GB" w:eastAsia="x-none"/>
        </w:rPr>
      </w:pPr>
      <w:r w:rsidRPr="00A00329">
        <w:rPr>
          <w:rFonts w:ascii="Arial" w:eastAsia="Times New Roman" w:hAnsi="Arial" w:cs="Arial"/>
          <w:lang w:val="en-GB" w:eastAsia="x-none"/>
        </w:rPr>
        <w:t xml:space="preserve">In the primary analysis of the HPTN 083 study, there were 13 incident infections on the cabotegravir arm and 39 incident infections on the </w:t>
      </w:r>
      <w:r w:rsidRPr="00A00329">
        <w:rPr>
          <w:rFonts w:ascii="Arial" w:eastAsia="Times New Roman" w:hAnsi="Arial" w:cs="Arial"/>
          <w:lang w:val="en-GB" w:eastAsia="en-GB"/>
        </w:rPr>
        <w:t>tenofovir disoproxil fumarate (TDF)/emtricitabine (FTC)</w:t>
      </w:r>
      <w:r w:rsidRPr="00A00329">
        <w:rPr>
          <w:rFonts w:ascii="Arial" w:eastAsia="Times New Roman" w:hAnsi="Arial" w:cs="Arial"/>
          <w:lang w:val="en-GB" w:eastAsia="x-none"/>
        </w:rPr>
        <w:t xml:space="preserve"> arm. In the cabotegravir arm, 5 incident infections occurred when receiving cabotegravir </w:t>
      </w:r>
      <w:proofErr w:type="spellStart"/>
      <w:r w:rsidRPr="00A00329">
        <w:rPr>
          <w:rFonts w:ascii="Arial" w:eastAsia="Times New Roman" w:hAnsi="Arial" w:cs="Arial"/>
          <w:lang w:val="en-GB" w:eastAsia="x-none"/>
        </w:rPr>
        <w:t>PrEP</w:t>
      </w:r>
      <w:proofErr w:type="spellEnd"/>
      <w:r w:rsidRPr="00A00329">
        <w:rPr>
          <w:rFonts w:ascii="Arial" w:eastAsia="Times New Roman" w:hAnsi="Arial" w:cs="Arial"/>
          <w:lang w:val="en-GB" w:eastAsia="x-none"/>
        </w:rPr>
        <w:t xml:space="preserve"> injections, of which 4 participants received on-time injections and 1 participant had one injection off-schedule. Five incident infections occurred ≥6 months after the last dose of cabotegravir </w:t>
      </w:r>
      <w:proofErr w:type="spellStart"/>
      <w:r w:rsidRPr="00A00329">
        <w:rPr>
          <w:rFonts w:ascii="Arial" w:eastAsia="Times New Roman" w:hAnsi="Arial" w:cs="Arial"/>
          <w:lang w:val="en-GB" w:eastAsia="x-none"/>
        </w:rPr>
        <w:t>PrEP.</w:t>
      </w:r>
      <w:proofErr w:type="spellEnd"/>
      <w:r w:rsidRPr="00A00329">
        <w:rPr>
          <w:rFonts w:ascii="Arial" w:eastAsia="Times New Roman" w:hAnsi="Arial" w:cs="Arial"/>
          <w:lang w:val="en-GB" w:eastAsia="x-none"/>
        </w:rPr>
        <w:t xml:space="preserve"> Three incident infections occurred during the oral lead-in period. </w:t>
      </w:r>
    </w:p>
    <w:p w14:paraId="33AB35FC" w14:textId="77777777" w:rsidR="00A00329" w:rsidRPr="00A00329" w:rsidRDefault="00A00329" w:rsidP="00A00329">
      <w:pPr>
        <w:spacing w:after="240" w:line="240" w:lineRule="auto"/>
        <w:rPr>
          <w:rFonts w:ascii="Arial" w:eastAsia="Times New Roman" w:hAnsi="Arial" w:cs="Arial"/>
          <w:lang w:val="en-GB" w:eastAsia="x-none"/>
        </w:rPr>
      </w:pPr>
      <w:r w:rsidRPr="00A00329">
        <w:rPr>
          <w:rFonts w:ascii="Arial" w:eastAsia="Times New Roman" w:hAnsi="Arial" w:cs="Arial"/>
          <w:lang w:val="en-GB" w:eastAsia="x-none"/>
        </w:rPr>
        <w:t>HIV genotyping and phenotyping were attempted at the first visit where HIV viral load was &gt;500 copies/</w:t>
      </w:r>
      <w:proofErr w:type="spellStart"/>
      <w:r w:rsidRPr="00A00329">
        <w:rPr>
          <w:rFonts w:ascii="Arial" w:eastAsia="Times New Roman" w:hAnsi="Arial" w:cs="Arial"/>
          <w:lang w:val="en-GB" w:eastAsia="x-none"/>
        </w:rPr>
        <w:t>mL.</w:t>
      </w:r>
      <w:proofErr w:type="spellEnd"/>
      <w:r w:rsidRPr="00A00329">
        <w:rPr>
          <w:rFonts w:ascii="Arial" w:eastAsia="Times New Roman" w:hAnsi="Arial" w:cs="Arial"/>
          <w:lang w:val="en-GB" w:eastAsia="x-none"/>
        </w:rPr>
        <w:t xml:space="preserve">  Of the 13 incident infections in the cabotegravir arm, 4 participants had INSTI resistance mutations. In the TDF/FTC arm, </w:t>
      </w:r>
      <w:r w:rsidRPr="00A00329">
        <w:rPr>
          <w:rFonts w:ascii="Arial" w:eastAsia="Times New Roman" w:hAnsi="Arial" w:cs="Arial"/>
          <w:lang w:val="en-US" w:eastAsia="en-GB"/>
        </w:rPr>
        <w:t>the 4 participants with NRTI resistance (including 3 who had multi-class resistance) included 3 with M184V/I and one with K65R.</w:t>
      </w:r>
    </w:p>
    <w:p w14:paraId="4A42C908" w14:textId="77777777" w:rsidR="00A00329" w:rsidRPr="00A00329" w:rsidRDefault="00A00329" w:rsidP="00A00329">
      <w:pPr>
        <w:spacing w:after="240" w:line="240" w:lineRule="auto"/>
        <w:rPr>
          <w:rFonts w:ascii="Arial" w:eastAsia="Times New Roman" w:hAnsi="Arial" w:cs="Arial"/>
          <w:lang w:val="en-GB" w:eastAsia="x-none"/>
        </w:rPr>
      </w:pPr>
      <w:r w:rsidRPr="00A00329">
        <w:rPr>
          <w:rFonts w:ascii="Arial" w:eastAsia="Times New Roman" w:hAnsi="Arial" w:cs="Arial"/>
          <w:lang w:val="en-GB" w:eastAsia="x-none"/>
        </w:rPr>
        <w:t>None of the 5 participants who were infected after prolonged interruption from cabotegravir administration had INSTI resistance mutations.  Neither genotype nor phenotype could be generated for one of the 5 participants, with just 770 copies/mL HIV-1 RNA.  Integrase phenotype could not be generated for one of the remaining 4 participants. The remaining 3 participants retained susceptibility to all INSTIs.</w:t>
      </w:r>
    </w:p>
    <w:p w14:paraId="7F27127E" w14:textId="77777777" w:rsidR="00A00329" w:rsidRPr="00A00329" w:rsidRDefault="00A00329" w:rsidP="00A00329">
      <w:pPr>
        <w:spacing w:after="240" w:line="240" w:lineRule="auto"/>
        <w:rPr>
          <w:rFonts w:ascii="Arial" w:eastAsia="Times New Roman" w:hAnsi="Arial" w:cs="Arial"/>
          <w:lang w:val="en-GB" w:eastAsia="x-none"/>
        </w:rPr>
      </w:pPr>
      <w:bookmarkStart w:id="10" w:name="_Hlk68084588"/>
      <w:r w:rsidRPr="00A00329">
        <w:rPr>
          <w:rFonts w:ascii="Arial" w:eastAsia="Times New Roman" w:hAnsi="Arial" w:cs="Arial"/>
          <w:lang w:val="en-GB" w:eastAsia="x-none"/>
        </w:rPr>
        <w:t>Three participants became infected during the oral lead-in phase, prior to receiving cabotegravir injections.  One participant with undetectable plasma cabotegravir levels had no INSTI resistance mutations and was susceptible to all INSTIs.  Two participants with detectable plasma cabotegravir concentrations had INSTI resistance mutations. The first participant had INSTI resistant mutations E138E/K, G140G/S, Q148R and E157Q. Integrase phenotype could not be generated. The second participant had INSTI resistance mutations E138A and Q148R. This virus was resistant to cabotegravir (</w:t>
      </w:r>
      <w:r w:rsidRPr="00A00329">
        <w:rPr>
          <w:rFonts w:ascii="Arial" w:eastAsia="Times New Roman" w:hAnsi="Arial" w:cs="Arial"/>
          <w:lang w:val="en-GB" w:eastAsia="en-GB"/>
        </w:rPr>
        <w:t>fold-change </w:t>
      </w:r>
      <w:r w:rsidRPr="00A00329">
        <w:rPr>
          <w:rFonts w:ascii="Arial" w:eastAsia="Times New Roman" w:hAnsi="Arial" w:cs="Arial"/>
          <w:lang w:val="en-GB" w:eastAsia="x-none"/>
        </w:rPr>
        <w:t>=5.92) but susceptible to dolutegravir (</w:t>
      </w:r>
      <w:r w:rsidRPr="00A00329">
        <w:rPr>
          <w:rFonts w:ascii="Arial" w:eastAsia="Times New Roman" w:hAnsi="Arial" w:cs="Arial"/>
          <w:lang w:val="en-GB" w:eastAsia="en-GB"/>
        </w:rPr>
        <w:t>fold-change</w:t>
      </w:r>
      <w:r w:rsidRPr="00A00329">
        <w:rPr>
          <w:rFonts w:ascii="Arial" w:eastAsia="Times New Roman" w:hAnsi="Arial" w:cs="Arial"/>
          <w:lang w:val="en-GB" w:eastAsia="x-none"/>
        </w:rPr>
        <w:t>=1.69).</w:t>
      </w:r>
    </w:p>
    <w:p w14:paraId="18FD5CC5" w14:textId="2ABA77BE" w:rsidR="00A00329" w:rsidRPr="00A00329" w:rsidRDefault="00A00329" w:rsidP="00A00329">
      <w:pPr>
        <w:spacing w:after="240" w:line="240" w:lineRule="auto"/>
        <w:rPr>
          <w:rFonts w:ascii="Arial" w:eastAsia="Times New Roman" w:hAnsi="Arial" w:cs="Arial"/>
          <w:noProof/>
          <w:vertAlign w:val="superscript"/>
          <w:lang w:val="en-GB" w:eastAsia="en-GB"/>
        </w:rPr>
      </w:pPr>
      <w:r w:rsidRPr="00A00329">
        <w:rPr>
          <w:rFonts w:ascii="Arial" w:eastAsia="Times New Roman" w:hAnsi="Arial" w:cs="Arial"/>
          <w:lang w:val="en-GB" w:eastAsia="x-none"/>
        </w:rPr>
        <w:t>Five participants acquired HIV-1, despite on time cabotegravir injections for 4 participants and one off-schedule injection for one participant. Two participants had viral loads too low to analyse.  The third participant had no INSTI resistance mutations at the first viraemic visit (Week 17) but had R263K at 112 and 117 days later.  While phenotype could not be determined 112 days later, day 117 phenotype showed this virus to be susceptible to both cabotegravir (</w:t>
      </w:r>
      <w:r w:rsidRPr="00A00329">
        <w:rPr>
          <w:rFonts w:ascii="Arial" w:eastAsia="Times New Roman" w:hAnsi="Arial" w:cs="Arial"/>
          <w:lang w:val="en-GB" w:eastAsia="en-GB"/>
        </w:rPr>
        <w:t>fold-change</w:t>
      </w:r>
      <w:r w:rsidRPr="00A00329">
        <w:rPr>
          <w:rFonts w:ascii="Arial" w:eastAsia="Times New Roman" w:hAnsi="Arial" w:cs="Arial"/>
          <w:lang w:val="en-GB" w:eastAsia="x-none"/>
        </w:rPr>
        <w:t>= 2.32) and dolutegravir (</w:t>
      </w:r>
      <w:r w:rsidRPr="00A00329">
        <w:rPr>
          <w:rFonts w:ascii="Arial" w:eastAsia="Times New Roman" w:hAnsi="Arial" w:cs="Arial"/>
          <w:lang w:val="en-GB" w:eastAsia="en-GB"/>
        </w:rPr>
        <w:t>fold-change</w:t>
      </w:r>
      <w:r w:rsidRPr="00A00329">
        <w:rPr>
          <w:rFonts w:ascii="Arial" w:eastAsia="Times New Roman" w:hAnsi="Arial" w:cs="Arial"/>
          <w:lang w:val="en-GB" w:eastAsia="x-none"/>
        </w:rPr>
        <w:t>=2.29).  The fourth participant had INSTI resistance mutations G140A and Q148R.  Phenotype showed resistance to cabotegravir (</w:t>
      </w:r>
      <w:r w:rsidRPr="00A00329">
        <w:rPr>
          <w:rFonts w:ascii="Arial" w:eastAsia="Times New Roman" w:hAnsi="Arial" w:cs="Arial"/>
          <w:lang w:val="en-GB" w:eastAsia="en-GB"/>
        </w:rPr>
        <w:t>fold-change</w:t>
      </w:r>
      <w:r w:rsidRPr="00A00329">
        <w:rPr>
          <w:rFonts w:ascii="Arial" w:eastAsia="Times New Roman" w:hAnsi="Arial" w:cs="Arial"/>
          <w:lang w:val="en-GB" w:eastAsia="x-none"/>
        </w:rPr>
        <w:t>=13) but susceptibility to dolutegravir (</w:t>
      </w:r>
      <w:r w:rsidRPr="00A00329">
        <w:rPr>
          <w:rFonts w:ascii="Arial" w:eastAsia="Times New Roman" w:hAnsi="Arial" w:cs="Arial"/>
          <w:lang w:val="en-GB" w:eastAsia="en-GB"/>
        </w:rPr>
        <w:t>fold-</w:t>
      </w:r>
      <w:bookmarkEnd w:id="10"/>
      <w:r w:rsidRPr="00A00329">
        <w:rPr>
          <w:rFonts w:ascii="Arial" w:eastAsia="Times New Roman" w:hAnsi="Arial" w:cs="Arial"/>
          <w:lang w:val="en-GB" w:eastAsia="en-GB"/>
        </w:rPr>
        <w:t>change</w:t>
      </w:r>
      <w:r w:rsidRPr="00A00329">
        <w:rPr>
          <w:rFonts w:ascii="Arial" w:eastAsia="Times New Roman" w:hAnsi="Arial" w:cs="Arial"/>
          <w:lang w:val="en-GB" w:eastAsia="x-none"/>
        </w:rPr>
        <w:t xml:space="preserve">=2.09). The fifth participant had no INSTI resistance mutations. </w:t>
      </w:r>
    </w:p>
    <w:p w14:paraId="4ADCA1BF" w14:textId="77777777" w:rsidR="00A00329" w:rsidRPr="00A00329" w:rsidRDefault="00A00329" w:rsidP="00A00329">
      <w:pPr>
        <w:spacing w:after="240" w:line="240" w:lineRule="auto"/>
        <w:rPr>
          <w:rFonts w:ascii="Arial" w:eastAsia="Times New Roman" w:hAnsi="Arial" w:cs="Arial"/>
          <w:lang w:val="en-GB" w:eastAsia="x-none"/>
        </w:rPr>
      </w:pPr>
      <w:r w:rsidRPr="00A00329">
        <w:rPr>
          <w:rFonts w:ascii="Arial" w:eastAsia="Times New Roman" w:hAnsi="Arial" w:cs="Arial"/>
          <w:lang w:val="en-GB" w:eastAsia="x-none"/>
        </w:rPr>
        <w:t>In addition to the 13 incident infections, one further participant was HIV-1 infected at enrolment and had no INSTI resistance mutations at that time, however, 60 days later, INSTI resistance mutation E138K and Q148K were detected.  Phenotype could not be generated.</w:t>
      </w:r>
    </w:p>
    <w:p w14:paraId="0D35EE5D" w14:textId="77777777" w:rsidR="00A00329" w:rsidRPr="00A00329" w:rsidRDefault="00A00329" w:rsidP="00A00329">
      <w:pPr>
        <w:spacing w:after="240" w:line="240" w:lineRule="auto"/>
        <w:rPr>
          <w:rFonts w:ascii="Arial" w:eastAsia="Times New Roman" w:hAnsi="Arial" w:cs="Arial"/>
          <w:noProof/>
          <w:lang w:val="en-GB" w:eastAsia="en-GB"/>
        </w:rPr>
      </w:pPr>
      <w:r w:rsidRPr="00A00329">
        <w:rPr>
          <w:rFonts w:ascii="Arial" w:eastAsia="Times New Roman" w:hAnsi="Arial" w:cs="Arial"/>
          <w:noProof/>
          <w:lang w:val="en-GB" w:eastAsia="en-GB"/>
        </w:rPr>
        <w:t>Following the primary analysis, extended retrospective virologic testing was performed to better characterise the timing of HIV infections.  As a result, one of the 13 incident infections in a participant receiving on time cabotegravir injections was determined to be a prevalent infection.</w:t>
      </w:r>
    </w:p>
    <w:p w14:paraId="69060E52" w14:textId="680D58FD" w:rsidR="00A00329" w:rsidRPr="001200B8" w:rsidRDefault="00A00329" w:rsidP="001200B8">
      <w:pPr>
        <w:spacing w:after="240" w:line="240" w:lineRule="auto"/>
        <w:outlineLvl w:val="0"/>
        <w:rPr>
          <w:rFonts w:ascii="Arial" w:eastAsia="Times New Roman" w:hAnsi="Arial" w:cs="Arial"/>
          <w:bCs/>
          <w:i/>
          <w:iCs/>
          <w:lang w:val="en-GB" w:eastAsia="x-none"/>
        </w:rPr>
      </w:pPr>
      <w:r w:rsidRPr="001200B8">
        <w:rPr>
          <w:rFonts w:ascii="Arial" w:eastAsia="Times New Roman" w:hAnsi="Arial" w:cs="Arial"/>
          <w:bCs/>
          <w:i/>
          <w:iCs/>
          <w:lang w:val="en-GB" w:eastAsia="x-none"/>
        </w:rPr>
        <w:lastRenderedPageBreak/>
        <w:t xml:space="preserve">HPTN 084 </w:t>
      </w:r>
      <w:r w:rsidR="0013564B">
        <w:rPr>
          <w:rFonts w:ascii="Arial" w:eastAsia="Times New Roman" w:hAnsi="Arial" w:cs="Arial"/>
          <w:bCs/>
          <w:i/>
          <w:iCs/>
          <w:lang w:val="en-GB" w:eastAsia="x-none"/>
        </w:rPr>
        <w:fldChar w:fldCharType="begin"/>
      </w:r>
      <w:r w:rsidR="0013564B">
        <w:rPr>
          <w:rFonts w:ascii="Arial" w:eastAsia="Times New Roman" w:hAnsi="Arial" w:cs="Arial"/>
          <w:bCs/>
          <w:i/>
          <w:iCs/>
          <w:lang w:val="en-GB" w:eastAsia="x-none"/>
        </w:rPr>
        <w:instrText xml:space="preserve"> DOCVARIABLE VAULT_ND_a13ffc31-c438-4e84-b39b-0a5c1ce83e8e \* MERGEFORMAT </w:instrText>
      </w:r>
      <w:r w:rsidR="0013564B">
        <w:rPr>
          <w:rFonts w:ascii="Arial" w:eastAsia="Times New Roman" w:hAnsi="Arial" w:cs="Arial"/>
          <w:bCs/>
          <w:i/>
          <w:iCs/>
          <w:lang w:val="en-GB" w:eastAsia="x-none"/>
        </w:rPr>
        <w:fldChar w:fldCharType="separate"/>
      </w:r>
      <w:r w:rsidR="0013564B">
        <w:rPr>
          <w:rFonts w:ascii="Arial" w:eastAsia="Times New Roman" w:hAnsi="Arial" w:cs="Arial"/>
          <w:bCs/>
          <w:i/>
          <w:iCs/>
          <w:lang w:val="en-GB" w:eastAsia="x-none"/>
        </w:rPr>
        <w:t xml:space="preserve"> </w:t>
      </w:r>
      <w:r w:rsidR="0013564B">
        <w:rPr>
          <w:rFonts w:ascii="Arial" w:eastAsia="Times New Roman" w:hAnsi="Arial" w:cs="Arial"/>
          <w:bCs/>
          <w:i/>
          <w:iCs/>
          <w:lang w:val="en-GB" w:eastAsia="x-none"/>
        </w:rPr>
        <w:fldChar w:fldCharType="end"/>
      </w:r>
    </w:p>
    <w:p w14:paraId="286043E5" w14:textId="77777777" w:rsidR="00A00329" w:rsidRPr="00A00329" w:rsidRDefault="00A00329" w:rsidP="00A00329">
      <w:pPr>
        <w:spacing w:after="240" w:line="240" w:lineRule="auto"/>
        <w:rPr>
          <w:rFonts w:ascii="Arial" w:eastAsia="Times New Roman" w:hAnsi="Arial" w:cs="Arial"/>
          <w:noProof/>
          <w:lang w:val="en-GB" w:eastAsia="en-GB"/>
        </w:rPr>
      </w:pPr>
      <w:r w:rsidRPr="00A00329">
        <w:rPr>
          <w:rFonts w:ascii="Arial" w:eastAsia="Times New Roman" w:hAnsi="Arial" w:cs="Arial"/>
          <w:noProof/>
          <w:lang w:val="en-GB" w:eastAsia="en-GB"/>
        </w:rPr>
        <w:t xml:space="preserve">In the primary analysis of the HPTN 084 study, there were 4 incident infections on the cabotegravir arm and 36 incident infections on the TDF/FTC arm.  </w:t>
      </w:r>
    </w:p>
    <w:p w14:paraId="10197572" w14:textId="77777777" w:rsidR="00A00329" w:rsidRPr="00A00329" w:rsidRDefault="00A00329" w:rsidP="00A00329">
      <w:pPr>
        <w:spacing w:after="240" w:line="240" w:lineRule="auto"/>
        <w:rPr>
          <w:rFonts w:ascii="Arial" w:eastAsia="Times New Roman" w:hAnsi="Arial" w:cs="Arial"/>
          <w:lang w:val="en-GB" w:eastAsia="en-GB"/>
        </w:rPr>
      </w:pPr>
      <w:r w:rsidRPr="00A00329">
        <w:rPr>
          <w:rFonts w:ascii="Arial" w:eastAsia="Times New Roman" w:hAnsi="Arial" w:cs="Arial"/>
          <w:lang w:val="en-GB" w:eastAsia="en-GB"/>
        </w:rPr>
        <w:t xml:space="preserve">In the cabotegravir arm, 2 incident infections occurred while receiving injections; one participant had 3 delayed cabotegravir injections and both </w:t>
      </w:r>
      <w:r w:rsidRPr="00A00329">
        <w:rPr>
          <w:rFonts w:ascii="Arial" w:eastAsia="Times New Roman" w:hAnsi="Arial" w:cs="Arial"/>
          <w:noProof/>
          <w:lang w:val="en-GB" w:eastAsia="en-GB"/>
        </w:rPr>
        <w:t>had been</w:t>
      </w:r>
      <w:r w:rsidRPr="00A00329">
        <w:rPr>
          <w:rFonts w:ascii="Arial" w:eastAsia="Times New Roman" w:hAnsi="Arial" w:cs="Arial"/>
          <w:lang w:val="en-GB" w:eastAsia="en-GB"/>
        </w:rPr>
        <w:t xml:space="preserve"> non-adherent to oral cabotegravir. </w:t>
      </w:r>
    </w:p>
    <w:p w14:paraId="3BBB544E" w14:textId="77777777" w:rsidR="00A00329" w:rsidRPr="00A00329" w:rsidRDefault="00A00329" w:rsidP="00A00329">
      <w:pPr>
        <w:spacing w:after="240" w:line="240" w:lineRule="auto"/>
        <w:rPr>
          <w:rFonts w:ascii="Arial" w:eastAsia="Times New Roman" w:hAnsi="Arial" w:cs="Arial"/>
          <w:noProof/>
          <w:lang w:val="en-GB" w:eastAsia="en-GB"/>
        </w:rPr>
      </w:pPr>
      <w:r w:rsidRPr="00A00329">
        <w:rPr>
          <w:rFonts w:ascii="Arial" w:eastAsia="Times New Roman" w:hAnsi="Arial" w:cs="Arial"/>
          <w:noProof/>
          <w:lang w:val="en-GB" w:eastAsia="en-GB"/>
        </w:rPr>
        <w:t xml:space="preserve">Two incident infections occurred after the last dose of oral cabotegravir; both participants were non-adherent to oral cabotegravir. The first HIV positive visit occurred </w:t>
      </w:r>
      <w:r w:rsidRPr="00A00329">
        <w:rPr>
          <w:rFonts w:ascii="Arial" w:eastAsia="Times New Roman" w:hAnsi="Arial" w:cs="Arial"/>
          <w:lang w:val="en-GB" w:eastAsia="en-GB"/>
        </w:rPr>
        <w:t xml:space="preserve">approx. 11 </w:t>
      </w:r>
      <w:r w:rsidRPr="00A00329">
        <w:rPr>
          <w:rFonts w:ascii="Arial" w:eastAsia="Times New Roman" w:hAnsi="Arial" w:cs="Arial"/>
          <w:noProof/>
          <w:lang w:val="en-GB" w:eastAsia="en-GB"/>
        </w:rPr>
        <w:t>weeks after enrolment for one participant and 57 weeks after enrolment for the other.</w:t>
      </w:r>
    </w:p>
    <w:p w14:paraId="1C9E0F87" w14:textId="77777777" w:rsidR="00A00329" w:rsidRPr="00A00329" w:rsidRDefault="00A00329" w:rsidP="00A00329">
      <w:pPr>
        <w:spacing w:after="240" w:line="240" w:lineRule="auto"/>
        <w:rPr>
          <w:rFonts w:ascii="Arial" w:eastAsia="Times New Roman" w:hAnsi="Arial" w:cs="Arial"/>
          <w:lang w:val="en-GB"/>
        </w:rPr>
      </w:pPr>
      <w:bookmarkStart w:id="11" w:name="_Hlk75355835"/>
      <w:r w:rsidRPr="00A00329">
        <w:rPr>
          <w:rFonts w:ascii="Arial" w:eastAsia="Times New Roman" w:hAnsi="Arial" w:cs="Arial"/>
          <w:lang w:val="en-GB"/>
        </w:rPr>
        <w:t>HIV genotyping was attempted at the first visit where HIV viral load was &gt;500 c/mL (first viraemic visit). HIV genotyping results were available for 3 of the 4 cabotegravir arm participants. No major INSTI resistance mutations were detected.</w:t>
      </w:r>
    </w:p>
    <w:bookmarkEnd w:id="11"/>
    <w:p w14:paraId="76C663B0" w14:textId="30622ABE" w:rsidR="00A00329" w:rsidRDefault="00A00329" w:rsidP="00A00329">
      <w:pPr>
        <w:spacing w:after="240" w:line="240" w:lineRule="auto"/>
        <w:rPr>
          <w:rFonts w:ascii="Arial" w:eastAsia="Times New Roman" w:hAnsi="Arial" w:cs="Arial"/>
          <w:lang w:val="en-GB"/>
        </w:rPr>
      </w:pPr>
      <w:r w:rsidRPr="00A00329">
        <w:rPr>
          <w:rFonts w:ascii="Arial" w:eastAsia="Times New Roman" w:hAnsi="Arial" w:cs="Arial"/>
          <w:lang w:val="en-GB"/>
        </w:rPr>
        <w:t xml:space="preserve">HIV genotyping results were available for 33 of the 36 incident infections in the TDF/FTC group. </w:t>
      </w:r>
      <w:r w:rsidRPr="00A00329">
        <w:rPr>
          <w:rFonts w:ascii="Arial" w:eastAsia="Times New Roman" w:hAnsi="Arial" w:cs="Arial"/>
          <w:lang w:val="en-GB" w:eastAsia="en-GB"/>
        </w:rPr>
        <w:t xml:space="preserve">One participant had a major NRTI mutation (M184V); this participant also had NNRTI resistance with the mutation K103N.  </w:t>
      </w:r>
      <w:r w:rsidRPr="00A00329">
        <w:rPr>
          <w:rFonts w:ascii="Arial" w:eastAsia="Times New Roman" w:hAnsi="Arial" w:cs="Arial"/>
          <w:lang w:val="en-GB"/>
        </w:rPr>
        <w:t>Nine other participants had NNRTI resistance (7 had K103N, alone or with E138A or P225H; 1 had K101E alone; 1 had E138K alone).</w:t>
      </w:r>
    </w:p>
    <w:p w14:paraId="410E8221" w14:textId="0FDD4741" w:rsidR="00A242D8" w:rsidRPr="00A00329" w:rsidRDefault="00A242D8" w:rsidP="00A00329">
      <w:pPr>
        <w:spacing w:after="240" w:line="240" w:lineRule="auto"/>
        <w:rPr>
          <w:rFonts w:ascii="Arial" w:eastAsia="Times New Roman" w:hAnsi="Arial" w:cs="Arial"/>
          <w:lang w:val="en-GB" w:eastAsia="en-GB"/>
        </w:rPr>
      </w:pPr>
      <w:r w:rsidRPr="00A242D8">
        <w:rPr>
          <w:rFonts w:ascii="Arial" w:eastAsia="Times New Roman" w:hAnsi="Arial" w:cs="Arial"/>
          <w:lang w:val="en-GB" w:eastAsia="en-GB"/>
        </w:rPr>
        <w:t>Following the primary analysis, extended retrospective virologic testing was performed to better characterize the timing of HIV-1 infections. As a result, 1 of the 4 HIV-1 incident infections in participants receiving cabotegravir was determined to be a prevalent infection.</w:t>
      </w:r>
    </w:p>
    <w:p w14:paraId="53586452" w14:textId="77777777" w:rsidR="002B7C67" w:rsidRPr="002B7C67" w:rsidRDefault="002B7C67" w:rsidP="002B7C67">
      <w:pPr>
        <w:pStyle w:val="Heading3"/>
        <w:rPr>
          <w:rFonts w:ascii="Arial" w:hAnsi="Arial" w:cs="Arial"/>
          <w:lang w:val="en-GB"/>
        </w:rPr>
      </w:pPr>
      <w:bookmarkStart w:id="12" w:name="_Hlk2967821"/>
      <w:r w:rsidRPr="002B7C67">
        <w:rPr>
          <w:rFonts w:ascii="Arial" w:hAnsi="Arial" w:cs="Arial"/>
          <w:lang w:val="en-GB"/>
        </w:rPr>
        <w:t>Effects on Electrocardiogram</w:t>
      </w:r>
      <w:r w:rsidRPr="002B7C67">
        <w:rPr>
          <w:rFonts w:ascii="Arial" w:hAnsi="Arial" w:cs="Arial"/>
        </w:rPr>
        <w:fldChar w:fldCharType="begin"/>
      </w:r>
      <w:r w:rsidRPr="002B7C67">
        <w:rPr>
          <w:rFonts w:ascii="Arial" w:hAnsi="Arial" w:cs="Arial"/>
          <w:lang w:val="en-GB"/>
        </w:rPr>
        <w:instrText xml:space="preserve"> DOCVARIABLE vault_nd_5c0a13e9-de23-47c6-aabd-2cc007d8f3a4 \* MERGEFORMAT </w:instrText>
      </w:r>
      <w:r w:rsidRPr="002B7C67">
        <w:rPr>
          <w:rFonts w:ascii="Arial" w:hAnsi="Arial" w:cs="Arial"/>
        </w:rPr>
        <w:fldChar w:fldCharType="separate"/>
      </w:r>
      <w:r w:rsidRPr="002B7C67">
        <w:rPr>
          <w:rFonts w:ascii="Arial" w:hAnsi="Arial" w:cs="Arial"/>
          <w:lang w:val="en-GB"/>
        </w:rPr>
        <w:t xml:space="preserve"> </w:t>
      </w:r>
      <w:r w:rsidRPr="002B7C67">
        <w:rPr>
          <w:rFonts w:ascii="Arial" w:hAnsi="Arial" w:cs="Arial"/>
        </w:rPr>
        <w:fldChar w:fldCharType="end"/>
      </w:r>
    </w:p>
    <w:bookmarkEnd w:id="12"/>
    <w:p w14:paraId="10C99867" w14:textId="2869D7CC" w:rsidR="00A00329" w:rsidRDefault="002B7C67" w:rsidP="00A00329">
      <w:pPr>
        <w:rPr>
          <w:rFonts w:ascii="Arial" w:hAnsi="Arial" w:cs="Arial"/>
        </w:rPr>
      </w:pPr>
      <w:r w:rsidRPr="002B7C67">
        <w:rPr>
          <w:rFonts w:ascii="Arial" w:hAnsi="Arial" w:cs="Arial"/>
        </w:rPr>
        <w:t xml:space="preserve">In a randomised, placebo-controlled, three-period cross-over trial, 42 healthy subjects were randomized into 6 random sequences and received three doses of oral administration of placebo, cabotegravir 150 mg every 12 hours (mean steady-state </w:t>
      </w:r>
      <w:proofErr w:type="spellStart"/>
      <w:r w:rsidRPr="002B7C67">
        <w:rPr>
          <w:rFonts w:ascii="Arial" w:hAnsi="Arial" w:cs="Arial"/>
        </w:rPr>
        <w:t>C</w:t>
      </w:r>
      <w:r w:rsidRPr="002B7C67">
        <w:rPr>
          <w:rFonts w:ascii="Arial" w:hAnsi="Arial" w:cs="Arial"/>
          <w:vertAlign w:val="subscript"/>
        </w:rPr>
        <w:t>max</w:t>
      </w:r>
      <w:proofErr w:type="spellEnd"/>
      <w:r w:rsidRPr="002B7C67">
        <w:rPr>
          <w:rFonts w:ascii="Arial" w:hAnsi="Arial" w:cs="Arial"/>
        </w:rPr>
        <w:t xml:space="preserve"> was approximately 2.8-fold and 5.6-fold above the 30 mg oral once-daily dose and the 600 mg cabotegravir injection every </w:t>
      </w:r>
      <w:proofErr w:type="gramStart"/>
      <w:r w:rsidRPr="002B7C67">
        <w:rPr>
          <w:rFonts w:ascii="Arial" w:hAnsi="Arial" w:cs="Arial"/>
        </w:rPr>
        <w:t>2 month</w:t>
      </w:r>
      <w:proofErr w:type="gramEnd"/>
      <w:r w:rsidRPr="002B7C67">
        <w:rPr>
          <w:rFonts w:ascii="Arial" w:hAnsi="Arial" w:cs="Arial"/>
        </w:rPr>
        <w:t xml:space="preserve"> dose, respectively), or single dose of moxifloxacin 400 mg (active control). After baseline and placebo adjustment, the maximum time-matched mean QTc change based on Fridericia’s correction method (</w:t>
      </w:r>
      <w:proofErr w:type="spellStart"/>
      <w:r w:rsidRPr="002B7C67">
        <w:rPr>
          <w:rFonts w:ascii="Arial" w:hAnsi="Arial" w:cs="Arial"/>
        </w:rPr>
        <w:t>QTcF</w:t>
      </w:r>
      <w:proofErr w:type="spellEnd"/>
      <w:r w:rsidRPr="002B7C67">
        <w:rPr>
          <w:rFonts w:ascii="Arial" w:hAnsi="Arial" w:cs="Arial"/>
        </w:rPr>
        <w:t>) for cabotegravir was 2.62 msec (1-side 90% upper CI:5.26 msec). Cabotegravir did not prolong the QTc interval over 24 hours post-dose.</w:t>
      </w:r>
    </w:p>
    <w:p w14:paraId="7F887530" w14:textId="3A0AFA96" w:rsidR="00B51F97" w:rsidRDefault="00B51F97" w:rsidP="00F80A98">
      <w:pPr>
        <w:pStyle w:val="Heading3"/>
        <w:ind w:left="0"/>
        <w:rPr>
          <w:rFonts w:ascii="Arial" w:hAnsi="Arial" w:cs="Arial"/>
        </w:rPr>
      </w:pPr>
      <w:r w:rsidRPr="00F80A98">
        <w:rPr>
          <w:rFonts w:ascii="Arial" w:hAnsi="Arial" w:cs="Arial"/>
        </w:rPr>
        <w:t>Clinical Trials</w:t>
      </w:r>
      <w:r w:rsidR="003332D9">
        <w:rPr>
          <w:rFonts w:ascii="Arial" w:hAnsi="Arial" w:cs="Arial"/>
        </w:rPr>
        <w:fldChar w:fldCharType="begin"/>
      </w:r>
      <w:r w:rsidR="003332D9">
        <w:rPr>
          <w:rFonts w:ascii="Arial" w:hAnsi="Arial" w:cs="Arial"/>
        </w:rPr>
        <w:instrText xml:space="preserve"> DOCVARIABLE vault_nd_c1ec328a-17b3-415e-96e3-7fba4995e798 \* MERGEFORMAT </w:instrText>
      </w:r>
      <w:r w:rsidR="003332D9">
        <w:rPr>
          <w:rFonts w:ascii="Arial" w:hAnsi="Arial" w:cs="Arial"/>
        </w:rPr>
        <w:fldChar w:fldCharType="separate"/>
      </w:r>
      <w:r w:rsidR="003332D9">
        <w:rPr>
          <w:rFonts w:ascii="Arial" w:hAnsi="Arial" w:cs="Arial"/>
        </w:rPr>
        <w:t xml:space="preserve"> </w:t>
      </w:r>
      <w:r w:rsidR="003332D9">
        <w:rPr>
          <w:rFonts w:ascii="Arial" w:hAnsi="Arial" w:cs="Arial"/>
        </w:rPr>
        <w:fldChar w:fldCharType="end"/>
      </w:r>
    </w:p>
    <w:p w14:paraId="639BBC9E" w14:textId="23FD7C7E" w:rsidR="00664F17" w:rsidRPr="001200B8" w:rsidRDefault="00664F17" w:rsidP="00664F17">
      <w:pPr>
        <w:keepNext/>
        <w:tabs>
          <w:tab w:val="left" w:pos="567"/>
        </w:tabs>
        <w:autoSpaceDE w:val="0"/>
        <w:autoSpaceDN w:val="0"/>
        <w:adjustRightInd w:val="0"/>
        <w:spacing w:after="0" w:line="240" w:lineRule="auto"/>
        <w:rPr>
          <w:rFonts w:ascii="Arial" w:eastAsia="Times New Roman" w:hAnsi="Arial" w:cs="Arial"/>
          <w:iCs/>
          <w:u w:val="single"/>
          <w:lang w:val="en-GB" w:eastAsia="en-GB"/>
        </w:rPr>
      </w:pPr>
      <w:r w:rsidRPr="001200B8">
        <w:rPr>
          <w:rFonts w:ascii="Arial" w:eastAsia="Times New Roman" w:hAnsi="Arial" w:cs="Arial"/>
          <w:iCs/>
          <w:u w:val="single"/>
          <w:lang w:val="en-GB" w:eastAsia="en-GB"/>
        </w:rPr>
        <w:t>Clinical efficacy</w:t>
      </w:r>
    </w:p>
    <w:p w14:paraId="689FF301" w14:textId="77777777" w:rsidR="00664F17" w:rsidRPr="00664F17" w:rsidRDefault="00664F17" w:rsidP="00664F17">
      <w:pPr>
        <w:keepNext/>
        <w:tabs>
          <w:tab w:val="left" w:pos="567"/>
        </w:tabs>
        <w:autoSpaceDE w:val="0"/>
        <w:autoSpaceDN w:val="0"/>
        <w:adjustRightInd w:val="0"/>
        <w:spacing w:after="0" w:line="240" w:lineRule="auto"/>
        <w:rPr>
          <w:rFonts w:ascii="Arial" w:eastAsia="Times New Roman" w:hAnsi="Arial" w:cs="Arial"/>
          <w:lang w:val="en-GB" w:eastAsia="en-GB"/>
        </w:rPr>
      </w:pPr>
    </w:p>
    <w:p w14:paraId="5B3A65FF" w14:textId="4E9DA49F" w:rsidR="00664F17" w:rsidRPr="00664F17" w:rsidRDefault="00664F17" w:rsidP="00664F17">
      <w:pPr>
        <w:keepNext/>
        <w:tabs>
          <w:tab w:val="left" w:pos="720"/>
        </w:tabs>
        <w:autoSpaceDE w:val="0"/>
        <w:autoSpaceDN w:val="0"/>
        <w:adjustRightInd w:val="0"/>
        <w:spacing w:after="0" w:line="240" w:lineRule="auto"/>
        <w:rPr>
          <w:rFonts w:ascii="Arial" w:eastAsia="Times New Roman" w:hAnsi="Arial" w:cs="Arial"/>
          <w:lang w:val="en-GB" w:eastAsia="en-GB"/>
        </w:rPr>
      </w:pPr>
      <w:r w:rsidRPr="00664F17">
        <w:rPr>
          <w:rFonts w:ascii="Arial" w:eastAsia="Times New Roman" w:hAnsi="Arial" w:cs="Arial"/>
          <w:lang w:val="en-GB" w:eastAsia="en-GB"/>
        </w:rPr>
        <w:t xml:space="preserve">The efficacy of </w:t>
      </w:r>
      <w:r w:rsidR="00D01AFF">
        <w:rPr>
          <w:rFonts w:ascii="Arial" w:hAnsi="Arial" w:cs="Arial"/>
          <w:lang w:val="en"/>
        </w:rPr>
        <w:t>APRETUDE</w:t>
      </w:r>
      <w:r w:rsidR="007024A8">
        <w:rPr>
          <w:rFonts w:ascii="Arial" w:hAnsi="Arial" w:cs="Arial"/>
          <w:lang w:val="en"/>
        </w:rPr>
        <w:t xml:space="preserve"> </w:t>
      </w:r>
      <w:r w:rsidR="00012CA2">
        <w:rPr>
          <w:rFonts w:ascii="Arial" w:eastAsia="Times New Roman" w:hAnsi="Arial" w:cs="Arial"/>
          <w:lang w:val="en-GB" w:eastAsia="en-GB"/>
        </w:rPr>
        <w:t>to reduce the risk of acquiring HIV-1 infection</w:t>
      </w:r>
      <w:r w:rsidRPr="00664F17">
        <w:rPr>
          <w:rFonts w:ascii="Arial" w:eastAsia="Times New Roman" w:hAnsi="Arial" w:cs="Arial"/>
          <w:lang w:val="en-GB" w:eastAsia="en-GB"/>
        </w:rPr>
        <w:t xml:space="preserve"> has been evaluated in two randomised (1:1), double blind, multi-site, two-arm, controlled studies</w:t>
      </w:r>
      <w:r w:rsidR="00936AD7">
        <w:rPr>
          <w:rFonts w:ascii="Arial" w:eastAsia="Times New Roman" w:hAnsi="Arial" w:cs="Arial"/>
          <w:lang w:val="en-GB" w:eastAsia="en-GB"/>
        </w:rPr>
        <w:t>,</w:t>
      </w:r>
      <w:r w:rsidR="00936AD7" w:rsidRPr="00936AD7">
        <w:rPr>
          <w:rFonts w:ascii="Arial" w:eastAsia="Times New Roman" w:hAnsi="Arial" w:cs="Arial"/>
          <w:lang w:val="en-GB" w:eastAsia="en-GB"/>
        </w:rPr>
        <w:t xml:space="preserve"> </w:t>
      </w:r>
      <w:r w:rsidR="00936AD7" w:rsidRPr="00936AD7">
        <w:rPr>
          <w:rFonts w:ascii="Arial" w:hAnsi="Arial" w:cs="Arial"/>
        </w:rPr>
        <w:t>HPTN 083 in HIV-1 uninfected men and transgender women who have sex with men and have evidence of high-risk behavio</w:t>
      </w:r>
      <w:r w:rsidR="008D73B2">
        <w:rPr>
          <w:rFonts w:ascii="Arial" w:hAnsi="Arial" w:cs="Arial"/>
        </w:rPr>
        <w:t>u</w:t>
      </w:r>
      <w:r w:rsidR="00936AD7" w:rsidRPr="00936AD7">
        <w:rPr>
          <w:rFonts w:ascii="Arial" w:hAnsi="Arial" w:cs="Arial"/>
        </w:rPr>
        <w:t>r for HIV-1 infection</w:t>
      </w:r>
      <w:r w:rsidR="00936AD7" w:rsidRPr="00936AD7">
        <w:rPr>
          <w:rFonts w:ascii="Arial" w:hAnsi="Arial" w:cs="Arial"/>
          <w:iCs/>
        </w:rPr>
        <w:t xml:space="preserve"> and </w:t>
      </w:r>
      <w:r w:rsidR="00936AD7" w:rsidRPr="00936AD7">
        <w:rPr>
          <w:rFonts w:ascii="Arial" w:hAnsi="Arial" w:cs="Arial"/>
        </w:rPr>
        <w:t>HPTN 084 in HIV-1 uninfected cisgender women at risk of acquiring HIV-1</w:t>
      </w:r>
      <w:r w:rsidR="00936AD7">
        <w:rPr>
          <w:rFonts w:ascii="Arial" w:eastAsia="Times New Roman" w:hAnsi="Arial" w:cs="Arial"/>
          <w:lang w:val="en-GB" w:eastAsia="en-GB"/>
        </w:rPr>
        <w:t>.</w:t>
      </w:r>
      <w:r w:rsidRPr="00936AD7">
        <w:rPr>
          <w:rFonts w:ascii="Arial" w:eastAsia="Times New Roman" w:hAnsi="Arial" w:cs="Arial"/>
          <w:lang w:val="en-GB" w:eastAsia="en-GB"/>
        </w:rPr>
        <w:t xml:space="preserve"> </w:t>
      </w:r>
      <w:r w:rsidRPr="00664F17">
        <w:rPr>
          <w:rFonts w:ascii="Arial" w:eastAsia="Times New Roman" w:hAnsi="Arial" w:cs="Arial"/>
          <w:lang w:val="en-GB" w:eastAsia="en-GB"/>
        </w:rPr>
        <w:t xml:space="preserve">The efficacy of </w:t>
      </w:r>
      <w:r w:rsidR="00D01AFF">
        <w:rPr>
          <w:rFonts w:ascii="Arial" w:hAnsi="Arial" w:cs="Arial"/>
          <w:lang w:val="en"/>
        </w:rPr>
        <w:t>APRETUDE</w:t>
      </w:r>
      <w:r w:rsidRPr="00664F17">
        <w:rPr>
          <w:rFonts w:ascii="Arial" w:eastAsia="Times New Roman" w:hAnsi="Arial" w:cs="Arial"/>
          <w:lang w:val="en-GB" w:eastAsia="en-GB"/>
        </w:rPr>
        <w:t xml:space="preserve"> was compared with daily oral tenofovir disoproxil fumarate (TDF)/emtricitabine (FTC).</w:t>
      </w:r>
    </w:p>
    <w:p w14:paraId="6A67D268" w14:textId="77777777" w:rsidR="00664F17" w:rsidRPr="00664F17" w:rsidRDefault="00664F17" w:rsidP="00664F17">
      <w:pPr>
        <w:keepNext/>
        <w:tabs>
          <w:tab w:val="left" w:pos="720"/>
        </w:tabs>
        <w:autoSpaceDE w:val="0"/>
        <w:autoSpaceDN w:val="0"/>
        <w:adjustRightInd w:val="0"/>
        <w:spacing w:after="0" w:line="240" w:lineRule="auto"/>
        <w:rPr>
          <w:rFonts w:ascii="Arial" w:eastAsia="Times New Roman" w:hAnsi="Arial" w:cs="Arial"/>
          <w:lang w:val="en-GB" w:eastAsia="en-GB"/>
        </w:rPr>
      </w:pPr>
    </w:p>
    <w:p w14:paraId="2BFFD9C4" w14:textId="10C1401B" w:rsidR="00664F17" w:rsidRPr="00664F17" w:rsidRDefault="00664F17" w:rsidP="00664F17">
      <w:pPr>
        <w:keepNext/>
        <w:tabs>
          <w:tab w:val="left" w:pos="720"/>
        </w:tabs>
        <w:autoSpaceDE w:val="0"/>
        <w:autoSpaceDN w:val="0"/>
        <w:adjustRightInd w:val="0"/>
        <w:spacing w:after="0" w:line="240" w:lineRule="auto"/>
        <w:rPr>
          <w:rFonts w:ascii="Arial" w:eastAsia="Times New Roman" w:hAnsi="Arial" w:cs="Arial"/>
          <w:lang w:val="en-GB" w:eastAsia="en-GB"/>
        </w:rPr>
      </w:pPr>
      <w:r w:rsidRPr="00664F17">
        <w:rPr>
          <w:rFonts w:ascii="Arial" w:eastAsia="Times New Roman" w:hAnsi="Arial" w:cs="Arial"/>
          <w:lang w:val="en-GB" w:eastAsia="en-GB"/>
        </w:rPr>
        <w:t xml:space="preserve">Participants randomised to receive </w:t>
      </w:r>
      <w:r w:rsidR="00D01AFF">
        <w:rPr>
          <w:rFonts w:ascii="Arial" w:hAnsi="Arial" w:cs="Arial"/>
          <w:lang w:val="en"/>
        </w:rPr>
        <w:t>APRETUDE</w:t>
      </w:r>
      <w:r w:rsidRPr="00664F17">
        <w:rPr>
          <w:rFonts w:ascii="Arial" w:eastAsia="Times New Roman" w:hAnsi="Arial" w:cs="Arial"/>
          <w:lang w:val="en-GB" w:eastAsia="en-GB"/>
        </w:rPr>
        <w:t xml:space="preserve"> initiated oral lead-in dosing with one </w:t>
      </w:r>
      <w:r w:rsidR="00776B2C">
        <w:rPr>
          <w:rFonts w:ascii="Arial" w:hAnsi="Arial" w:cs="Arial"/>
          <w:lang w:val="en"/>
        </w:rPr>
        <w:t xml:space="preserve">APRETUDE </w:t>
      </w:r>
      <w:r w:rsidRPr="00664F17">
        <w:rPr>
          <w:rFonts w:ascii="Arial" w:eastAsia="Times New Roman" w:hAnsi="Arial" w:cs="Arial"/>
          <w:lang w:val="en-GB" w:eastAsia="en-GB"/>
        </w:rPr>
        <w:t xml:space="preserve">30 mg tablet and a placebo daily, for up to 5 weeks, followed by </w:t>
      </w:r>
      <w:r w:rsidR="00D01AFF">
        <w:rPr>
          <w:rFonts w:ascii="Arial" w:hAnsi="Arial" w:cs="Arial"/>
          <w:lang w:val="en"/>
        </w:rPr>
        <w:t>APRETUDE</w:t>
      </w:r>
      <w:r w:rsidRPr="00664F17">
        <w:rPr>
          <w:rFonts w:ascii="Arial" w:eastAsia="Times New Roman" w:hAnsi="Arial" w:cs="Arial"/>
          <w:lang w:val="en-GB" w:eastAsia="en-GB"/>
        </w:rPr>
        <w:t xml:space="preserve"> </w:t>
      </w:r>
      <w:r w:rsidRPr="00664F17">
        <w:rPr>
          <w:rFonts w:ascii="Arial" w:eastAsia="Times New Roman" w:hAnsi="Arial" w:cs="Arial"/>
          <w:lang w:val="en-GB" w:eastAsia="en-GB"/>
        </w:rPr>
        <w:lastRenderedPageBreak/>
        <w:t>intramuscular (IM) injection (single 600 mg [3 mL] injection, at months 1, 2 and every 2 months thereafter and a daily placebo tablet.  Participants randomised to receive TDF/FTC initiated oral TDF 300 mg/FTC 200 mg and placebo for up to 5 weeks, followed by oral TDF 300 mg/FTC 200 mg daily and placebo (IM) injection (3 mL, 20% lipid injectable emulsion at months 1, 2 and every 2 months thereafter).</w:t>
      </w:r>
    </w:p>
    <w:p w14:paraId="115202F5" w14:textId="77777777" w:rsidR="00664F17" w:rsidRPr="00664F17" w:rsidRDefault="00664F17" w:rsidP="00664F17">
      <w:pPr>
        <w:keepNext/>
        <w:tabs>
          <w:tab w:val="left" w:pos="720"/>
        </w:tabs>
        <w:autoSpaceDE w:val="0"/>
        <w:autoSpaceDN w:val="0"/>
        <w:adjustRightInd w:val="0"/>
        <w:spacing w:after="0" w:line="240" w:lineRule="auto"/>
        <w:rPr>
          <w:rFonts w:ascii="Arial" w:eastAsia="Times New Roman" w:hAnsi="Arial" w:cs="Arial"/>
          <w:lang w:val="en-GB" w:eastAsia="en-GB"/>
        </w:rPr>
      </w:pPr>
    </w:p>
    <w:p w14:paraId="59E595D6" w14:textId="6D13C11A" w:rsidR="001200B8" w:rsidRDefault="00664F17" w:rsidP="001200B8">
      <w:pPr>
        <w:spacing w:after="240" w:line="240" w:lineRule="auto"/>
        <w:outlineLvl w:val="0"/>
        <w:rPr>
          <w:rFonts w:ascii="Arial" w:eastAsia="Times New Roman" w:hAnsi="Arial" w:cs="Arial"/>
          <w:bCs/>
          <w:i/>
          <w:iCs/>
          <w:lang w:val="en-GB" w:eastAsia="x-none"/>
        </w:rPr>
      </w:pPr>
      <w:r w:rsidRPr="001200B8">
        <w:rPr>
          <w:rFonts w:ascii="Arial" w:eastAsia="Times New Roman" w:hAnsi="Arial" w:cs="Arial"/>
          <w:bCs/>
          <w:i/>
          <w:iCs/>
          <w:lang w:val="en-GB" w:eastAsia="x-none"/>
        </w:rPr>
        <w:t>HPTN 083</w:t>
      </w:r>
      <w:r w:rsidR="0013564B">
        <w:rPr>
          <w:rFonts w:ascii="Arial" w:eastAsia="Times New Roman" w:hAnsi="Arial" w:cs="Arial"/>
          <w:bCs/>
          <w:i/>
          <w:iCs/>
          <w:lang w:val="en-GB" w:eastAsia="x-none"/>
        </w:rPr>
        <w:fldChar w:fldCharType="begin"/>
      </w:r>
      <w:r w:rsidR="0013564B">
        <w:rPr>
          <w:rFonts w:ascii="Arial" w:eastAsia="Times New Roman" w:hAnsi="Arial" w:cs="Arial"/>
          <w:bCs/>
          <w:i/>
          <w:iCs/>
          <w:lang w:val="en-GB" w:eastAsia="x-none"/>
        </w:rPr>
        <w:instrText xml:space="preserve"> DOCVARIABLE VAULT_ND_5edba1db-5b19-4ea2-97fc-e5dcf7c60807 \* MERGEFORMAT </w:instrText>
      </w:r>
      <w:r w:rsidR="0013564B">
        <w:rPr>
          <w:rFonts w:ascii="Arial" w:eastAsia="Times New Roman" w:hAnsi="Arial" w:cs="Arial"/>
          <w:bCs/>
          <w:i/>
          <w:iCs/>
          <w:lang w:val="en-GB" w:eastAsia="x-none"/>
        </w:rPr>
        <w:fldChar w:fldCharType="separate"/>
      </w:r>
      <w:r w:rsidR="0013564B">
        <w:rPr>
          <w:rFonts w:ascii="Arial" w:eastAsia="Times New Roman" w:hAnsi="Arial" w:cs="Arial"/>
          <w:bCs/>
          <w:i/>
          <w:iCs/>
          <w:lang w:val="en-GB" w:eastAsia="x-none"/>
        </w:rPr>
        <w:t xml:space="preserve"> </w:t>
      </w:r>
      <w:r w:rsidR="0013564B">
        <w:rPr>
          <w:rFonts w:ascii="Arial" w:eastAsia="Times New Roman" w:hAnsi="Arial" w:cs="Arial"/>
          <w:bCs/>
          <w:i/>
          <w:iCs/>
          <w:lang w:val="en-GB" w:eastAsia="x-none"/>
        </w:rPr>
        <w:fldChar w:fldCharType="end"/>
      </w:r>
    </w:p>
    <w:p w14:paraId="741F7AB1" w14:textId="2D5532C2" w:rsidR="00664F17" w:rsidRPr="00664F17" w:rsidRDefault="00664F17" w:rsidP="001200B8">
      <w:pPr>
        <w:spacing w:after="240" w:line="240" w:lineRule="auto"/>
        <w:outlineLvl w:val="0"/>
        <w:rPr>
          <w:rFonts w:ascii="Arial" w:eastAsia="Times New Roman" w:hAnsi="Arial" w:cs="Arial"/>
          <w:lang w:val="en-GB" w:eastAsia="en-GB"/>
        </w:rPr>
      </w:pPr>
      <w:r w:rsidRPr="00664F17">
        <w:rPr>
          <w:rFonts w:ascii="Arial" w:eastAsia="Times New Roman" w:hAnsi="Arial" w:cs="Arial"/>
          <w:lang w:val="en-GB" w:eastAsia="en-GB"/>
        </w:rPr>
        <w:t>In HPTN 083, a non-inferiority study, 4566 cisgender men and transgender women who have sex with men, were randomised 1:1 and received either cabotegravir (n=2281) or TDF/FTC (n=2285) as blinded study medication up to Week 153.</w:t>
      </w:r>
      <w:r w:rsidR="0013564B">
        <w:rPr>
          <w:rFonts w:ascii="Arial" w:eastAsia="Times New Roman" w:hAnsi="Arial" w:cs="Arial"/>
          <w:lang w:val="en-GB" w:eastAsia="en-GB"/>
        </w:rPr>
        <w:fldChar w:fldCharType="begin"/>
      </w:r>
      <w:r w:rsidR="0013564B">
        <w:rPr>
          <w:rFonts w:ascii="Arial" w:eastAsia="Times New Roman" w:hAnsi="Arial" w:cs="Arial"/>
          <w:lang w:val="en-GB" w:eastAsia="en-GB"/>
        </w:rPr>
        <w:instrText xml:space="preserve"> DOCVARIABLE vault_nd_c204fb61-a32a-4e31-9864-562356cc0bd5 \* MERGEFORMAT </w:instrText>
      </w:r>
      <w:r w:rsidR="0013564B">
        <w:rPr>
          <w:rFonts w:ascii="Arial" w:eastAsia="Times New Roman" w:hAnsi="Arial" w:cs="Arial"/>
          <w:lang w:val="en-GB" w:eastAsia="en-GB"/>
        </w:rPr>
        <w:fldChar w:fldCharType="separate"/>
      </w:r>
      <w:r w:rsidR="0013564B">
        <w:rPr>
          <w:rFonts w:ascii="Arial" w:eastAsia="Times New Roman" w:hAnsi="Arial" w:cs="Arial"/>
          <w:lang w:val="en-GB" w:eastAsia="en-GB"/>
        </w:rPr>
        <w:t xml:space="preserve"> </w:t>
      </w:r>
      <w:r w:rsidR="0013564B">
        <w:rPr>
          <w:rFonts w:ascii="Arial" w:eastAsia="Times New Roman" w:hAnsi="Arial" w:cs="Arial"/>
          <w:lang w:val="en-GB" w:eastAsia="en-GB"/>
        </w:rPr>
        <w:fldChar w:fldCharType="end"/>
      </w:r>
    </w:p>
    <w:p w14:paraId="76B2BBCD" w14:textId="77777777" w:rsidR="00664F17" w:rsidRPr="00664F17" w:rsidRDefault="00664F17" w:rsidP="00664F17">
      <w:pPr>
        <w:tabs>
          <w:tab w:val="left" w:pos="720"/>
        </w:tabs>
        <w:autoSpaceDE w:val="0"/>
        <w:autoSpaceDN w:val="0"/>
        <w:adjustRightInd w:val="0"/>
        <w:spacing w:after="0" w:line="240" w:lineRule="auto"/>
        <w:rPr>
          <w:rFonts w:ascii="Arial" w:eastAsia="Times New Roman" w:hAnsi="Arial" w:cs="Arial"/>
          <w:lang w:val="en-GB" w:eastAsia="en-GB"/>
        </w:rPr>
      </w:pPr>
    </w:p>
    <w:p w14:paraId="41DBB011" w14:textId="77777777" w:rsidR="00664F17" w:rsidRPr="00664F17" w:rsidRDefault="00664F17" w:rsidP="00664F17">
      <w:pPr>
        <w:tabs>
          <w:tab w:val="left" w:pos="567"/>
        </w:tabs>
        <w:spacing w:after="0" w:line="260" w:lineRule="exact"/>
        <w:rPr>
          <w:rFonts w:ascii="Arial" w:eastAsia="MS Mincho" w:hAnsi="Arial" w:cs="Arial"/>
          <w:lang w:val="en-GB" w:eastAsia="en-GB"/>
        </w:rPr>
      </w:pPr>
      <w:r w:rsidRPr="00664F17">
        <w:rPr>
          <w:rFonts w:ascii="Arial" w:eastAsia="Times New Roman" w:hAnsi="Arial" w:cs="Arial"/>
          <w:lang w:val="en-GB" w:eastAsia="en-GB"/>
        </w:rPr>
        <w:t xml:space="preserve">At baseline, the median age of participants was 26 years, 12% were transgender women, 72% were non-white and 67% were </w:t>
      </w:r>
      <w:r w:rsidRPr="00664F17">
        <w:rPr>
          <w:rFonts w:ascii="Arial" w:eastAsia="Symbol" w:hAnsi="Arial" w:cs="Arial"/>
          <w:lang w:val="en-GB" w:eastAsia="en-GB"/>
        </w:rPr>
        <w:t>&lt;</w:t>
      </w:r>
      <w:r w:rsidRPr="00664F17">
        <w:rPr>
          <w:rFonts w:ascii="Arial" w:eastAsia="Times New Roman" w:hAnsi="Arial" w:cs="Arial"/>
          <w:lang w:val="en-GB" w:eastAsia="en-GB"/>
        </w:rPr>
        <w:t xml:space="preserve"> 30 years.</w:t>
      </w:r>
    </w:p>
    <w:p w14:paraId="23FE5B1D" w14:textId="77777777" w:rsidR="00664F17" w:rsidRPr="00664F17" w:rsidRDefault="00664F17" w:rsidP="00664F17">
      <w:pPr>
        <w:keepNext/>
        <w:tabs>
          <w:tab w:val="left" w:pos="720"/>
        </w:tabs>
        <w:autoSpaceDE w:val="0"/>
        <w:autoSpaceDN w:val="0"/>
        <w:adjustRightInd w:val="0"/>
        <w:spacing w:after="0" w:line="240" w:lineRule="auto"/>
        <w:rPr>
          <w:rFonts w:ascii="Arial" w:eastAsia="Times New Roman" w:hAnsi="Arial" w:cs="Arial"/>
          <w:lang w:val="en-GB" w:eastAsia="en-GB"/>
        </w:rPr>
      </w:pPr>
    </w:p>
    <w:p w14:paraId="6FFA2054" w14:textId="01657AFB" w:rsidR="00664F17" w:rsidRPr="00664F17" w:rsidRDefault="00664F17" w:rsidP="00664F17">
      <w:pPr>
        <w:keepNext/>
        <w:tabs>
          <w:tab w:val="left" w:pos="720"/>
        </w:tabs>
        <w:autoSpaceDE w:val="0"/>
        <w:autoSpaceDN w:val="0"/>
        <w:adjustRightInd w:val="0"/>
        <w:spacing w:after="0" w:line="240" w:lineRule="auto"/>
        <w:rPr>
          <w:rFonts w:ascii="Arial" w:eastAsia="Times New Roman" w:hAnsi="Arial" w:cs="Arial"/>
          <w:lang w:val="en-GB" w:eastAsia="en-GB"/>
        </w:rPr>
      </w:pPr>
      <w:r w:rsidRPr="00664F17">
        <w:rPr>
          <w:rFonts w:ascii="Arial" w:eastAsia="Times New Roman" w:hAnsi="Arial" w:cs="Arial"/>
          <w:lang w:val="en-GB" w:eastAsia="en-GB"/>
        </w:rPr>
        <w:t xml:space="preserve">The primary endpoint was the rate of incident HIV infections among participants randomised to </w:t>
      </w:r>
      <w:r w:rsidR="00344BD2">
        <w:rPr>
          <w:rFonts w:ascii="Arial" w:eastAsia="Times New Roman" w:hAnsi="Arial" w:cs="Arial"/>
          <w:lang w:val="en-GB" w:eastAsia="en-GB"/>
        </w:rPr>
        <w:t>APRETUDE tablets</w:t>
      </w:r>
      <w:r w:rsidRPr="00664F17">
        <w:rPr>
          <w:rFonts w:ascii="Arial" w:eastAsia="Times New Roman" w:hAnsi="Arial" w:cs="Arial"/>
          <w:lang w:val="en-GB" w:eastAsia="en-GB"/>
        </w:rPr>
        <w:t xml:space="preserve"> and </w:t>
      </w:r>
      <w:r w:rsidR="00344BD2">
        <w:rPr>
          <w:rFonts w:ascii="Arial" w:eastAsia="Times New Roman" w:hAnsi="Arial" w:cs="Arial"/>
          <w:lang w:val="en-GB" w:eastAsia="en-GB"/>
        </w:rPr>
        <w:t xml:space="preserve">APRETUDE </w:t>
      </w:r>
      <w:r w:rsidRPr="00664F17">
        <w:rPr>
          <w:rFonts w:ascii="Arial" w:eastAsia="Times New Roman" w:hAnsi="Arial" w:cs="Arial"/>
          <w:lang w:val="en-GB" w:eastAsia="en-GB"/>
        </w:rPr>
        <w:t>injections compared to oral TDF/FTC</w:t>
      </w:r>
      <w:r w:rsidR="00A242D8">
        <w:rPr>
          <w:rFonts w:ascii="Arial" w:eastAsia="Times New Roman" w:hAnsi="Arial" w:cs="Arial"/>
          <w:lang w:val="en-GB" w:eastAsia="en-GB"/>
        </w:rPr>
        <w:t xml:space="preserve"> (corrected for early stopping)</w:t>
      </w:r>
      <w:r w:rsidRPr="00664F17">
        <w:rPr>
          <w:rFonts w:ascii="Arial" w:eastAsia="Times New Roman" w:hAnsi="Arial" w:cs="Arial"/>
          <w:lang w:val="en-GB" w:eastAsia="en-GB"/>
        </w:rPr>
        <w:t xml:space="preserve">. The primary analysis demonstrated the superiority of </w:t>
      </w:r>
      <w:r w:rsidR="00D01AFF">
        <w:rPr>
          <w:rFonts w:ascii="Arial" w:hAnsi="Arial" w:cs="Arial"/>
          <w:lang w:val="en"/>
        </w:rPr>
        <w:t>APRETUDE</w:t>
      </w:r>
      <w:r w:rsidR="00A242D8">
        <w:rPr>
          <w:rFonts w:ascii="Arial" w:hAnsi="Arial" w:cs="Arial"/>
          <w:lang w:val="en"/>
        </w:rPr>
        <w:t xml:space="preserve"> </w:t>
      </w:r>
      <w:r w:rsidRPr="00664F17">
        <w:rPr>
          <w:rFonts w:ascii="Arial" w:eastAsia="Times New Roman" w:hAnsi="Arial" w:cs="Arial"/>
          <w:lang w:val="en-GB" w:eastAsia="en-GB"/>
        </w:rPr>
        <w:t>compared to TDF/FTC with a 66% reduction in the risk of acquiring incident HIV infection</w:t>
      </w:r>
      <w:r w:rsidR="00A242D8">
        <w:rPr>
          <w:rFonts w:ascii="Arial" w:eastAsia="Times New Roman" w:hAnsi="Arial" w:cs="Arial"/>
          <w:lang w:val="en-GB" w:eastAsia="en-GB"/>
        </w:rPr>
        <w:t xml:space="preserve">, </w:t>
      </w:r>
      <w:r w:rsidR="00A242D8" w:rsidRPr="00A242D8">
        <w:rPr>
          <w:rFonts w:ascii="Arial" w:eastAsia="Times New Roman" w:hAnsi="Arial" w:cs="Arial"/>
          <w:lang w:val="en-GB" w:eastAsia="en-GB"/>
        </w:rPr>
        <w:t>hazard ratio (95% CI) 0.34 (0.18, 0.62)</w:t>
      </w:r>
      <w:r w:rsidRPr="00664F17">
        <w:rPr>
          <w:rFonts w:ascii="Arial" w:eastAsia="Times New Roman" w:hAnsi="Arial" w:cs="Arial"/>
          <w:lang w:val="en-GB" w:eastAsia="en-GB"/>
        </w:rPr>
        <w:t xml:space="preserve">; further testing revealed one of the infections on cabotegravir to be prevalent then yielding a </w:t>
      </w:r>
      <w:r w:rsidR="00045FCF">
        <w:rPr>
          <w:rFonts w:ascii="Arial" w:eastAsia="Times New Roman" w:hAnsi="Arial" w:cs="Arial"/>
          <w:lang w:val="en-GB" w:eastAsia="en-GB"/>
        </w:rPr>
        <w:t>69</w:t>
      </w:r>
      <w:r w:rsidRPr="00664F17">
        <w:rPr>
          <w:rFonts w:ascii="Arial" w:eastAsia="Times New Roman" w:hAnsi="Arial" w:cs="Arial"/>
          <w:lang w:val="en-GB" w:eastAsia="en-GB"/>
        </w:rPr>
        <w:t xml:space="preserve">% reduction in the risk of incident infection relative to TDF/FTC (see </w:t>
      </w:r>
      <w:r w:rsidR="00CF38BD">
        <w:rPr>
          <w:rFonts w:ascii="Arial" w:eastAsia="Times New Roman" w:hAnsi="Arial" w:cs="Arial"/>
          <w:lang w:val="en-GB" w:eastAsia="en-GB"/>
        </w:rPr>
        <w:t xml:space="preserve">Table </w:t>
      </w:r>
      <w:r w:rsidR="00737A7B">
        <w:rPr>
          <w:rFonts w:ascii="Arial" w:eastAsia="Times New Roman" w:hAnsi="Arial" w:cs="Arial"/>
          <w:lang w:val="en-GB" w:eastAsia="en-GB"/>
        </w:rPr>
        <w:t>7</w:t>
      </w:r>
      <w:r w:rsidRPr="00664F17">
        <w:rPr>
          <w:rFonts w:ascii="Arial" w:eastAsia="Times New Roman" w:hAnsi="Arial" w:cs="Arial"/>
          <w:lang w:val="en-GB" w:eastAsia="en-GB"/>
        </w:rPr>
        <w:t>).</w:t>
      </w:r>
    </w:p>
    <w:p w14:paraId="15C69BCC" w14:textId="7FFEF8B9" w:rsidR="00494047" w:rsidRDefault="00494047" w:rsidP="0075399A">
      <w:pPr>
        <w:tabs>
          <w:tab w:val="left" w:pos="567"/>
        </w:tabs>
        <w:spacing w:after="0"/>
        <w:rPr>
          <w:rFonts w:ascii="Arial" w:hAnsi="Arial" w:cs="Arial"/>
          <w:noProof/>
        </w:rPr>
      </w:pPr>
      <w:bookmarkStart w:id="13" w:name="_Hlk74912828"/>
    </w:p>
    <w:p w14:paraId="7F207EC8" w14:textId="58781E9B" w:rsidR="00DD68C8" w:rsidRDefault="00DD68C8" w:rsidP="00DD68C8">
      <w:pPr>
        <w:keepNext/>
        <w:tabs>
          <w:tab w:val="left" w:pos="567"/>
        </w:tabs>
        <w:spacing w:before="120" w:after="0" w:line="240" w:lineRule="atLeast"/>
        <w:rPr>
          <w:rFonts w:ascii="Arial" w:hAnsi="Arial" w:cs="Arial"/>
          <w:b/>
          <w:szCs w:val="24"/>
        </w:rPr>
      </w:pPr>
      <w:r w:rsidRPr="00C20CFE">
        <w:rPr>
          <w:rFonts w:ascii="Arial" w:hAnsi="Arial" w:cs="Arial"/>
          <w:b/>
        </w:rPr>
        <w:t xml:space="preserve">Table </w:t>
      </w:r>
      <w:proofErr w:type="gramStart"/>
      <w:r w:rsidR="005D3398">
        <w:rPr>
          <w:rFonts w:ascii="Arial" w:hAnsi="Arial" w:cs="Arial"/>
          <w:b/>
        </w:rPr>
        <w:t>7</w:t>
      </w:r>
      <w:r w:rsidRPr="00C20CFE">
        <w:rPr>
          <w:rFonts w:ascii="Arial" w:hAnsi="Arial" w:cs="Arial"/>
          <w:b/>
          <w:szCs w:val="24"/>
        </w:rPr>
        <w:t xml:space="preserve"> </w:t>
      </w:r>
      <w:r w:rsidR="00B868A2" w:rsidRPr="00B868A2">
        <w:rPr>
          <w:b/>
          <w:szCs w:val="24"/>
          <w:u w:val="single"/>
        </w:rPr>
        <w:t xml:space="preserve"> </w:t>
      </w:r>
      <w:r w:rsidR="00B868A2" w:rsidRPr="00B868A2">
        <w:rPr>
          <w:rFonts w:ascii="Arial" w:hAnsi="Arial" w:cs="Arial"/>
          <w:b/>
          <w:szCs w:val="24"/>
        </w:rPr>
        <w:t>Primary</w:t>
      </w:r>
      <w:proofErr w:type="gramEnd"/>
      <w:r w:rsidR="00B868A2" w:rsidRPr="00B868A2">
        <w:rPr>
          <w:rFonts w:ascii="Arial" w:hAnsi="Arial" w:cs="Arial"/>
          <w:b/>
          <w:szCs w:val="24"/>
        </w:rPr>
        <w:t xml:space="preserve"> Efficacy Endpoint: Comparison of Rates of Incident HIV Infections during Randomised Phase in HPTN 083 (</w:t>
      </w:r>
      <w:proofErr w:type="spellStart"/>
      <w:r w:rsidR="00B868A2" w:rsidRPr="00B868A2">
        <w:rPr>
          <w:rFonts w:ascii="Arial" w:hAnsi="Arial" w:cs="Arial"/>
          <w:b/>
          <w:szCs w:val="24"/>
        </w:rPr>
        <w:t>mITT</w:t>
      </w:r>
      <w:proofErr w:type="spellEnd"/>
      <w:r w:rsidR="00B868A2" w:rsidRPr="00B868A2">
        <w:rPr>
          <w:rFonts w:ascii="Arial" w:hAnsi="Arial" w:cs="Arial"/>
          <w:b/>
          <w:szCs w:val="24"/>
        </w:rPr>
        <w:t>, extended retrospective virologic testing)</w:t>
      </w:r>
    </w:p>
    <w:p w14:paraId="74C51ABD" w14:textId="77777777" w:rsidR="00C520EB" w:rsidRPr="00C20CFE" w:rsidRDefault="00C520EB" w:rsidP="00DD68C8">
      <w:pPr>
        <w:keepNext/>
        <w:tabs>
          <w:tab w:val="left" w:pos="567"/>
        </w:tabs>
        <w:spacing w:before="120" w:after="0" w:line="240" w:lineRule="atLeast"/>
        <w:rPr>
          <w:rFonts w:ascii="Times New Roman" w:hAnsi="Times New Roman" w:cs="Times New Roman"/>
          <w:b/>
          <w:sz w:val="24"/>
          <w:szCs w:val="24"/>
        </w:rPr>
      </w:pPr>
    </w:p>
    <w:tbl>
      <w:tblPr>
        <w:tblW w:w="948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160"/>
        <w:gridCol w:w="2160"/>
        <w:gridCol w:w="2337"/>
      </w:tblGrid>
      <w:tr w:rsidR="00DD68C8" w:rsidRPr="005B5764" w14:paraId="4667C947" w14:textId="77777777" w:rsidTr="00F32B1E">
        <w:tc>
          <w:tcPr>
            <w:tcW w:w="2831" w:type="dxa"/>
            <w:shd w:val="clear" w:color="auto" w:fill="auto"/>
            <w:vAlign w:val="bottom"/>
          </w:tcPr>
          <w:p w14:paraId="1CACCBC0" w14:textId="77777777" w:rsidR="00DD68C8" w:rsidRPr="005B5764" w:rsidRDefault="00DD68C8" w:rsidP="00F32B1E">
            <w:pPr>
              <w:keepNext/>
              <w:tabs>
                <w:tab w:val="left" w:pos="567"/>
              </w:tabs>
              <w:jc w:val="center"/>
              <w:rPr>
                <w:rFonts w:ascii="Arial" w:eastAsia="Calibri" w:hAnsi="Arial" w:cs="Arial"/>
                <w:u w:val="single"/>
              </w:rPr>
            </w:pPr>
          </w:p>
        </w:tc>
        <w:tc>
          <w:tcPr>
            <w:tcW w:w="2160" w:type="dxa"/>
            <w:shd w:val="clear" w:color="auto" w:fill="auto"/>
            <w:vAlign w:val="bottom"/>
          </w:tcPr>
          <w:p w14:paraId="2C11396D" w14:textId="7B4E86CB" w:rsidR="00DD68C8" w:rsidRPr="005B5764" w:rsidRDefault="007650A8" w:rsidP="00F32B1E">
            <w:pPr>
              <w:keepNext/>
              <w:tabs>
                <w:tab w:val="left" w:pos="567"/>
              </w:tabs>
              <w:jc w:val="center"/>
              <w:rPr>
                <w:rFonts w:ascii="Arial" w:eastAsia="Calibri" w:hAnsi="Arial" w:cs="Arial"/>
                <w:b/>
                <w:bCs/>
                <w:iCs/>
              </w:rPr>
            </w:pPr>
            <w:r w:rsidRPr="005B5764">
              <w:rPr>
                <w:rFonts w:ascii="Arial" w:eastAsia="Calibri" w:hAnsi="Arial" w:cs="Arial"/>
                <w:b/>
                <w:bCs/>
              </w:rPr>
              <w:t>Cabotegravir</w:t>
            </w:r>
          </w:p>
          <w:p w14:paraId="2BD4D8AD" w14:textId="77777777" w:rsidR="00DD68C8" w:rsidRPr="005B5764" w:rsidRDefault="00DD68C8" w:rsidP="00F32B1E">
            <w:pPr>
              <w:keepNext/>
              <w:tabs>
                <w:tab w:val="left" w:pos="567"/>
              </w:tabs>
              <w:jc w:val="center"/>
              <w:rPr>
                <w:rFonts w:ascii="Arial" w:eastAsia="Calibri" w:hAnsi="Arial" w:cs="Arial"/>
                <w:b/>
                <w:bCs/>
              </w:rPr>
            </w:pPr>
            <w:r w:rsidRPr="005B5764">
              <w:rPr>
                <w:rFonts w:ascii="Arial" w:eastAsia="Calibri" w:hAnsi="Arial" w:cs="Arial"/>
                <w:b/>
                <w:bCs/>
                <w:iCs/>
              </w:rPr>
              <w:t>(N = 2,278)</w:t>
            </w:r>
          </w:p>
        </w:tc>
        <w:tc>
          <w:tcPr>
            <w:tcW w:w="2160" w:type="dxa"/>
            <w:shd w:val="clear" w:color="auto" w:fill="auto"/>
            <w:vAlign w:val="bottom"/>
          </w:tcPr>
          <w:p w14:paraId="1F8922AA" w14:textId="3EF26731" w:rsidR="00DD68C8" w:rsidRPr="005B5764" w:rsidRDefault="007650A8" w:rsidP="00F32B1E">
            <w:pPr>
              <w:keepNext/>
              <w:tabs>
                <w:tab w:val="left" w:pos="567"/>
              </w:tabs>
              <w:jc w:val="center"/>
              <w:rPr>
                <w:rFonts w:ascii="Arial" w:eastAsia="Calibri" w:hAnsi="Arial" w:cs="Arial"/>
                <w:b/>
                <w:bCs/>
                <w:iCs/>
              </w:rPr>
            </w:pPr>
            <w:r w:rsidRPr="005B5764">
              <w:rPr>
                <w:rFonts w:ascii="Arial" w:eastAsia="Calibri" w:hAnsi="Arial" w:cs="Arial"/>
                <w:b/>
                <w:bCs/>
              </w:rPr>
              <w:t>TDF/FDC</w:t>
            </w:r>
          </w:p>
          <w:p w14:paraId="6B03A7FA" w14:textId="77777777" w:rsidR="00DD68C8" w:rsidRPr="005B5764" w:rsidRDefault="00DD68C8" w:rsidP="00F32B1E">
            <w:pPr>
              <w:keepNext/>
              <w:tabs>
                <w:tab w:val="left" w:pos="567"/>
              </w:tabs>
              <w:jc w:val="center"/>
              <w:rPr>
                <w:rFonts w:ascii="Arial" w:eastAsia="Calibri" w:hAnsi="Arial" w:cs="Arial"/>
                <w:b/>
                <w:bCs/>
                <w:u w:val="single"/>
              </w:rPr>
            </w:pPr>
            <w:r w:rsidRPr="005B5764">
              <w:rPr>
                <w:rFonts w:ascii="Arial" w:eastAsia="Calibri" w:hAnsi="Arial" w:cs="Arial"/>
                <w:b/>
                <w:bCs/>
                <w:iCs/>
              </w:rPr>
              <w:t>(N = 2,281)</w:t>
            </w:r>
          </w:p>
        </w:tc>
        <w:tc>
          <w:tcPr>
            <w:tcW w:w="2337" w:type="dxa"/>
            <w:shd w:val="clear" w:color="auto" w:fill="auto"/>
            <w:vAlign w:val="bottom"/>
          </w:tcPr>
          <w:p w14:paraId="065001F5" w14:textId="77777777" w:rsidR="00DD68C8" w:rsidRPr="005B5764" w:rsidRDefault="00DD68C8" w:rsidP="00F32B1E">
            <w:pPr>
              <w:keepNext/>
              <w:tabs>
                <w:tab w:val="left" w:pos="567"/>
              </w:tabs>
              <w:jc w:val="center"/>
              <w:rPr>
                <w:rFonts w:ascii="Arial" w:eastAsia="Calibri" w:hAnsi="Arial" w:cs="Arial"/>
                <w:b/>
                <w:bCs/>
                <w:u w:val="single"/>
              </w:rPr>
            </w:pPr>
            <w:r w:rsidRPr="005B5764">
              <w:rPr>
                <w:rFonts w:ascii="Arial" w:eastAsia="Calibri" w:hAnsi="Arial" w:cs="Arial"/>
                <w:b/>
                <w:bCs/>
              </w:rPr>
              <w:t xml:space="preserve">Superiority </w:t>
            </w:r>
            <w:r w:rsidRPr="005B5764">
              <w:rPr>
                <w:rFonts w:ascii="Arial" w:eastAsia="Calibri" w:hAnsi="Arial" w:cs="Arial"/>
                <w:b/>
                <w:bCs/>
                <w:i/>
                <w:iCs/>
              </w:rPr>
              <w:t>P</w:t>
            </w:r>
            <w:r w:rsidRPr="005B5764">
              <w:rPr>
                <w:rFonts w:ascii="Arial" w:eastAsia="Calibri" w:hAnsi="Arial" w:cs="Arial"/>
                <w:b/>
                <w:bCs/>
              </w:rPr>
              <w:t xml:space="preserve"> Value</w:t>
            </w:r>
          </w:p>
        </w:tc>
      </w:tr>
      <w:tr w:rsidR="00DD68C8" w:rsidRPr="005B5764" w14:paraId="5C1E3BA1" w14:textId="77777777" w:rsidTr="00F32B1E">
        <w:tc>
          <w:tcPr>
            <w:tcW w:w="2831" w:type="dxa"/>
            <w:shd w:val="clear" w:color="auto" w:fill="auto"/>
          </w:tcPr>
          <w:p w14:paraId="16A18841" w14:textId="77777777" w:rsidR="00DD68C8" w:rsidRPr="005B5764" w:rsidRDefault="00DD68C8" w:rsidP="00F32B1E">
            <w:pPr>
              <w:keepNext/>
              <w:tabs>
                <w:tab w:val="left" w:pos="567"/>
              </w:tabs>
              <w:rPr>
                <w:rFonts w:ascii="Arial" w:eastAsia="Calibri" w:hAnsi="Arial" w:cs="Arial"/>
                <w:bCs/>
                <w:iCs/>
              </w:rPr>
            </w:pPr>
            <w:r w:rsidRPr="005B5764">
              <w:rPr>
                <w:rFonts w:ascii="Arial" w:eastAsia="Calibri" w:hAnsi="Arial" w:cs="Arial"/>
                <w:bCs/>
                <w:iCs/>
              </w:rPr>
              <w:t>Person-years</w:t>
            </w:r>
          </w:p>
        </w:tc>
        <w:tc>
          <w:tcPr>
            <w:tcW w:w="2160" w:type="dxa"/>
            <w:shd w:val="clear" w:color="auto" w:fill="auto"/>
          </w:tcPr>
          <w:p w14:paraId="4DF4E8D3" w14:textId="77777777" w:rsidR="00DD68C8" w:rsidRPr="005B5764" w:rsidRDefault="00DD68C8" w:rsidP="00F32B1E">
            <w:pPr>
              <w:keepNext/>
              <w:tabs>
                <w:tab w:val="left" w:pos="567"/>
              </w:tabs>
              <w:jc w:val="center"/>
              <w:rPr>
                <w:rFonts w:ascii="Arial" w:eastAsia="Calibri" w:hAnsi="Arial" w:cs="Arial"/>
                <w:bCs/>
                <w:iCs/>
              </w:rPr>
            </w:pPr>
            <w:r w:rsidRPr="005B5764">
              <w:rPr>
                <w:rFonts w:ascii="Arial" w:eastAsia="Calibri" w:hAnsi="Arial" w:cs="Arial"/>
                <w:bCs/>
                <w:iCs/>
              </w:rPr>
              <w:t>3,211</w:t>
            </w:r>
          </w:p>
        </w:tc>
        <w:tc>
          <w:tcPr>
            <w:tcW w:w="2160" w:type="dxa"/>
            <w:shd w:val="clear" w:color="auto" w:fill="auto"/>
          </w:tcPr>
          <w:p w14:paraId="4794BDDE" w14:textId="77777777" w:rsidR="00DD68C8" w:rsidRPr="005B5764" w:rsidRDefault="00DD68C8" w:rsidP="00F32B1E">
            <w:pPr>
              <w:keepNext/>
              <w:tabs>
                <w:tab w:val="left" w:pos="567"/>
              </w:tabs>
              <w:jc w:val="center"/>
              <w:rPr>
                <w:rFonts w:ascii="Arial" w:eastAsia="Calibri" w:hAnsi="Arial" w:cs="Arial"/>
                <w:bCs/>
                <w:iCs/>
              </w:rPr>
            </w:pPr>
            <w:r w:rsidRPr="005B5764">
              <w:rPr>
                <w:rFonts w:ascii="Arial" w:eastAsia="Calibri" w:hAnsi="Arial" w:cs="Arial"/>
                <w:bCs/>
                <w:iCs/>
              </w:rPr>
              <w:t>3,193</w:t>
            </w:r>
          </w:p>
        </w:tc>
        <w:tc>
          <w:tcPr>
            <w:tcW w:w="2337" w:type="dxa"/>
            <w:shd w:val="clear" w:color="auto" w:fill="auto"/>
          </w:tcPr>
          <w:p w14:paraId="3044D7F9" w14:textId="77777777" w:rsidR="00DD68C8" w:rsidRPr="005B5764" w:rsidRDefault="00DD68C8" w:rsidP="00F32B1E">
            <w:pPr>
              <w:keepNext/>
              <w:tabs>
                <w:tab w:val="left" w:pos="567"/>
              </w:tabs>
              <w:jc w:val="center"/>
              <w:rPr>
                <w:rFonts w:ascii="Arial" w:eastAsia="Calibri" w:hAnsi="Arial" w:cs="Arial"/>
                <w:bCs/>
                <w:iCs/>
                <w:u w:val="single"/>
              </w:rPr>
            </w:pPr>
          </w:p>
        </w:tc>
      </w:tr>
      <w:tr w:rsidR="00DD68C8" w:rsidRPr="005B5764" w14:paraId="4A66356F" w14:textId="77777777" w:rsidTr="00F32B1E">
        <w:tc>
          <w:tcPr>
            <w:tcW w:w="2831" w:type="dxa"/>
            <w:shd w:val="clear" w:color="auto" w:fill="auto"/>
          </w:tcPr>
          <w:p w14:paraId="0EE276F8" w14:textId="77777777" w:rsidR="00DD68C8" w:rsidRPr="005B5764" w:rsidRDefault="00DD68C8" w:rsidP="00F32B1E">
            <w:pPr>
              <w:keepNext/>
              <w:tabs>
                <w:tab w:val="left" w:pos="567"/>
              </w:tabs>
              <w:rPr>
                <w:rFonts w:ascii="Arial" w:eastAsia="Calibri" w:hAnsi="Arial" w:cs="Arial"/>
                <w:u w:val="single"/>
              </w:rPr>
            </w:pPr>
            <w:r w:rsidRPr="005B5764">
              <w:rPr>
                <w:rFonts w:ascii="Arial" w:eastAsia="Calibri" w:hAnsi="Arial" w:cs="Arial"/>
                <w:bCs/>
                <w:iCs/>
              </w:rPr>
              <w:t>HIV-1 infections (incidence rate per 100 person-years)</w:t>
            </w:r>
          </w:p>
        </w:tc>
        <w:tc>
          <w:tcPr>
            <w:tcW w:w="2160" w:type="dxa"/>
            <w:shd w:val="clear" w:color="auto" w:fill="auto"/>
          </w:tcPr>
          <w:p w14:paraId="20FAB5A7" w14:textId="133AF6B4" w:rsidR="00DD68C8" w:rsidRPr="005B5764" w:rsidRDefault="00DD68C8" w:rsidP="00F32B1E">
            <w:pPr>
              <w:keepNext/>
              <w:tabs>
                <w:tab w:val="left" w:pos="567"/>
              </w:tabs>
              <w:jc w:val="center"/>
              <w:rPr>
                <w:rFonts w:ascii="Arial" w:eastAsia="Calibri" w:hAnsi="Arial" w:cs="Arial"/>
                <w:u w:val="single"/>
              </w:rPr>
            </w:pPr>
            <w:r w:rsidRPr="005B5764">
              <w:rPr>
                <w:rFonts w:ascii="Arial" w:eastAsia="Calibri" w:hAnsi="Arial" w:cs="Arial"/>
              </w:rPr>
              <w:t>12</w:t>
            </w:r>
            <w:r w:rsidR="0008665B" w:rsidRPr="005B5764">
              <w:rPr>
                <w:rFonts w:ascii="Arial" w:eastAsia="Calibri" w:hAnsi="Arial" w:cs="Arial"/>
                <w:vertAlign w:val="superscript"/>
              </w:rPr>
              <w:t>a</w:t>
            </w:r>
            <w:r w:rsidRPr="005B5764">
              <w:rPr>
                <w:rFonts w:ascii="Arial" w:eastAsia="Calibri" w:hAnsi="Arial" w:cs="Arial"/>
              </w:rPr>
              <w:t xml:space="preserve"> (0.37</w:t>
            </w:r>
            <w:r w:rsidRPr="005B5764">
              <w:rPr>
                <w:rFonts w:ascii="Arial" w:eastAsia="Calibri" w:hAnsi="Arial" w:cs="Arial"/>
                <w:bCs/>
                <w:iCs/>
              </w:rPr>
              <w:t>)</w:t>
            </w:r>
          </w:p>
        </w:tc>
        <w:tc>
          <w:tcPr>
            <w:tcW w:w="2160" w:type="dxa"/>
            <w:shd w:val="clear" w:color="auto" w:fill="auto"/>
          </w:tcPr>
          <w:p w14:paraId="4D178BED" w14:textId="77777777" w:rsidR="00DD68C8" w:rsidRPr="005B5764" w:rsidRDefault="00DD68C8" w:rsidP="00F32B1E">
            <w:pPr>
              <w:keepNext/>
              <w:tabs>
                <w:tab w:val="left" w:pos="567"/>
              </w:tabs>
              <w:jc w:val="center"/>
              <w:rPr>
                <w:rFonts w:ascii="Arial" w:eastAsia="Calibri" w:hAnsi="Arial" w:cs="Arial"/>
                <w:u w:val="single"/>
              </w:rPr>
            </w:pPr>
            <w:r w:rsidRPr="005B5764">
              <w:rPr>
                <w:rFonts w:ascii="Arial" w:eastAsia="Calibri" w:hAnsi="Arial" w:cs="Arial"/>
              </w:rPr>
              <w:t>39 (1.22</w:t>
            </w:r>
            <w:r w:rsidRPr="005B5764">
              <w:rPr>
                <w:rFonts w:ascii="Arial" w:eastAsia="Calibri" w:hAnsi="Arial" w:cs="Arial"/>
                <w:bCs/>
                <w:iCs/>
              </w:rPr>
              <w:t>)</w:t>
            </w:r>
          </w:p>
        </w:tc>
        <w:tc>
          <w:tcPr>
            <w:tcW w:w="2337" w:type="dxa"/>
            <w:shd w:val="clear" w:color="auto" w:fill="auto"/>
          </w:tcPr>
          <w:p w14:paraId="1B5FEF26" w14:textId="77777777" w:rsidR="00DD68C8" w:rsidRPr="005B5764" w:rsidRDefault="00DD68C8" w:rsidP="00F32B1E">
            <w:pPr>
              <w:keepNext/>
              <w:tabs>
                <w:tab w:val="left" w:pos="567"/>
              </w:tabs>
              <w:jc w:val="center"/>
              <w:rPr>
                <w:rFonts w:ascii="Arial" w:eastAsia="Calibri" w:hAnsi="Arial" w:cs="Arial"/>
                <w:u w:val="single"/>
              </w:rPr>
            </w:pPr>
          </w:p>
        </w:tc>
      </w:tr>
      <w:tr w:rsidR="00DD68C8" w:rsidRPr="005B5764" w14:paraId="6F8D4174" w14:textId="77777777" w:rsidTr="00F32B1E">
        <w:tc>
          <w:tcPr>
            <w:tcW w:w="2831" w:type="dxa"/>
            <w:shd w:val="clear" w:color="auto" w:fill="auto"/>
          </w:tcPr>
          <w:p w14:paraId="4E1CB8BE" w14:textId="77777777" w:rsidR="00DD68C8" w:rsidRPr="005B5764" w:rsidRDefault="00DD68C8" w:rsidP="00F32B1E">
            <w:pPr>
              <w:keepNext/>
              <w:tabs>
                <w:tab w:val="left" w:pos="567"/>
              </w:tabs>
              <w:rPr>
                <w:rFonts w:ascii="Arial" w:eastAsia="Calibri" w:hAnsi="Arial" w:cs="Arial"/>
                <w:u w:val="single"/>
              </w:rPr>
            </w:pPr>
            <w:r w:rsidRPr="005B5764">
              <w:rPr>
                <w:rFonts w:ascii="Arial" w:eastAsia="Calibri" w:hAnsi="Arial" w:cs="Arial"/>
              </w:rPr>
              <w:t>Hazard ratio (</w:t>
            </w:r>
            <w:r w:rsidRPr="005B5764">
              <w:rPr>
                <w:rFonts w:ascii="Arial" w:eastAsia="Calibri" w:hAnsi="Arial" w:cs="Arial"/>
                <w:bCs/>
                <w:iCs/>
              </w:rPr>
              <w:t xml:space="preserve">95% </w:t>
            </w:r>
            <w:r w:rsidRPr="005B5764">
              <w:rPr>
                <w:rFonts w:ascii="Arial" w:eastAsia="Calibri" w:hAnsi="Arial" w:cs="Arial"/>
              </w:rPr>
              <w:t>CI)</w:t>
            </w:r>
          </w:p>
        </w:tc>
        <w:tc>
          <w:tcPr>
            <w:tcW w:w="4320" w:type="dxa"/>
            <w:gridSpan w:val="2"/>
            <w:shd w:val="clear" w:color="auto" w:fill="auto"/>
          </w:tcPr>
          <w:p w14:paraId="3EE82D8F" w14:textId="77777777" w:rsidR="00DD68C8" w:rsidRPr="005B5764" w:rsidRDefault="00DD68C8" w:rsidP="00F32B1E">
            <w:pPr>
              <w:keepNext/>
              <w:tabs>
                <w:tab w:val="left" w:pos="567"/>
              </w:tabs>
              <w:jc w:val="center"/>
              <w:rPr>
                <w:rFonts w:ascii="Arial" w:eastAsia="Calibri" w:hAnsi="Arial" w:cs="Arial"/>
                <w:u w:val="single"/>
              </w:rPr>
            </w:pPr>
            <w:r w:rsidRPr="005B5764">
              <w:rPr>
                <w:rFonts w:ascii="Arial" w:eastAsia="Calibri" w:hAnsi="Arial" w:cs="Arial"/>
              </w:rPr>
              <w:t>0.31 (0.16, 0.58)</w:t>
            </w:r>
          </w:p>
        </w:tc>
        <w:tc>
          <w:tcPr>
            <w:tcW w:w="2337" w:type="dxa"/>
            <w:shd w:val="clear" w:color="auto" w:fill="auto"/>
          </w:tcPr>
          <w:p w14:paraId="6C28AD4D" w14:textId="77777777" w:rsidR="00DD68C8" w:rsidRPr="005B5764" w:rsidRDefault="00DD68C8" w:rsidP="00F32B1E">
            <w:pPr>
              <w:keepNext/>
              <w:tabs>
                <w:tab w:val="left" w:pos="567"/>
              </w:tabs>
              <w:jc w:val="center"/>
              <w:rPr>
                <w:rFonts w:ascii="Arial" w:eastAsia="Calibri" w:hAnsi="Arial" w:cs="Arial"/>
                <w:u w:val="single"/>
              </w:rPr>
            </w:pPr>
            <w:r w:rsidRPr="005B5764">
              <w:rPr>
                <w:rFonts w:ascii="Arial" w:eastAsia="Calibri" w:hAnsi="Arial" w:cs="Arial"/>
                <w:i/>
                <w:iCs/>
              </w:rPr>
              <w:t>P</w:t>
            </w:r>
            <w:r w:rsidRPr="005B5764">
              <w:rPr>
                <w:rFonts w:ascii="Arial" w:eastAsia="Calibri" w:hAnsi="Arial" w:cs="Arial"/>
              </w:rPr>
              <w:t xml:space="preserve"> = 0.0003</w:t>
            </w:r>
          </w:p>
        </w:tc>
      </w:tr>
    </w:tbl>
    <w:p w14:paraId="55DF615A" w14:textId="241D6C7D" w:rsidR="00DD68C8" w:rsidRPr="008D73B2" w:rsidRDefault="0008665B" w:rsidP="00DD68C8">
      <w:pPr>
        <w:tabs>
          <w:tab w:val="left" w:pos="567"/>
        </w:tabs>
        <w:spacing w:after="0" w:line="240" w:lineRule="auto"/>
        <w:ind w:left="144" w:hanging="144"/>
        <w:rPr>
          <w:rFonts w:ascii="Arial" w:hAnsi="Arial" w:cs="Arial"/>
          <w:b/>
          <w:bCs/>
          <w:color w:val="FF66FF"/>
          <w:sz w:val="20"/>
          <w:szCs w:val="20"/>
          <w:u w:val="single"/>
        </w:rPr>
      </w:pPr>
      <w:r>
        <w:rPr>
          <w:rFonts w:ascii="Arial" w:hAnsi="Arial" w:cs="Arial"/>
          <w:noProof/>
          <w:sz w:val="20"/>
          <w:szCs w:val="20"/>
          <w:vertAlign w:val="superscript"/>
        </w:rPr>
        <w:t>a</w:t>
      </w:r>
      <w:r w:rsidR="00DD68C8" w:rsidRPr="00C20CFE">
        <w:rPr>
          <w:rFonts w:ascii="Arial" w:hAnsi="Arial" w:cs="Arial"/>
          <w:noProof/>
          <w:sz w:val="20"/>
          <w:szCs w:val="20"/>
          <w:vertAlign w:val="superscript"/>
        </w:rPr>
        <w:t xml:space="preserve"> </w:t>
      </w:r>
      <w:r w:rsidR="00DD68C8" w:rsidRPr="00C20CFE">
        <w:rPr>
          <w:rFonts w:ascii="Arial" w:hAnsi="Arial" w:cs="Arial"/>
          <w:noProof/>
          <w:sz w:val="20"/>
          <w:szCs w:val="20"/>
        </w:rPr>
        <w:t xml:space="preserve">Following the primary analysis, extended retrospective virologic testing was performed to better characterize the timing of HIV-1 infections. As a result, 1 of the 13 HIV-1 incident infections in participants receiving APRETUDE was determined to be a prevalent infection. The original </w:t>
      </w:r>
      <w:r w:rsidR="00DD68C8" w:rsidRPr="00C20CFE">
        <w:rPr>
          <w:rFonts w:ascii="Arial" w:eastAsia="Calibri" w:hAnsi="Arial" w:cs="Arial"/>
          <w:sz w:val="20"/>
          <w:szCs w:val="20"/>
        </w:rPr>
        <w:t>hazard ratio</w:t>
      </w:r>
      <w:r w:rsidR="00DD68C8" w:rsidRPr="00C20CFE">
        <w:rPr>
          <w:rFonts w:ascii="Arial" w:hAnsi="Arial" w:cs="Arial"/>
          <w:noProof/>
          <w:sz w:val="20"/>
          <w:szCs w:val="20"/>
        </w:rPr>
        <w:t xml:space="preserve"> (95% CI) from the primary analysis is 0.34 (0.18, 0.62</w:t>
      </w:r>
      <w:r w:rsidR="00DD68C8" w:rsidRPr="008D73B2">
        <w:rPr>
          <w:rFonts w:ascii="Arial" w:hAnsi="Arial" w:cs="Arial"/>
          <w:noProof/>
          <w:sz w:val="20"/>
          <w:szCs w:val="20"/>
        </w:rPr>
        <w:t xml:space="preserve">). </w:t>
      </w:r>
    </w:p>
    <w:p w14:paraId="1ADD050B" w14:textId="77777777" w:rsidR="00494047" w:rsidRPr="0075399A" w:rsidRDefault="00494047" w:rsidP="0075399A">
      <w:pPr>
        <w:tabs>
          <w:tab w:val="left" w:pos="567"/>
        </w:tabs>
        <w:spacing w:after="0"/>
        <w:rPr>
          <w:rFonts w:ascii="Arial" w:eastAsia="Times New Roman" w:hAnsi="Arial" w:cs="Arial"/>
          <w:szCs w:val="24"/>
          <w:u w:val="single"/>
          <w:lang w:val="en-GB" w:eastAsia="en-GB"/>
        </w:rPr>
      </w:pPr>
    </w:p>
    <w:bookmarkEnd w:id="13"/>
    <w:p w14:paraId="6D80D86D" w14:textId="0605BD3A" w:rsidR="0075399A" w:rsidRPr="0075399A" w:rsidRDefault="0075399A" w:rsidP="00445D44">
      <w:pPr>
        <w:pageBreakBefore/>
        <w:tabs>
          <w:tab w:val="left" w:pos="567"/>
        </w:tabs>
        <w:spacing w:after="0"/>
        <w:rPr>
          <w:rFonts w:ascii="Arial" w:hAnsi="Arial" w:cs="Arial"/>
          <w:b/>
          <w:szCs w:val="24"/>
        </w:rPr>
      </w:pPr>
      <w:r w:rsidRPr="0075399A">
        <w:rPr>
          <w:rFonts w:ascii="Arial" w:hAnsi="Arial" w:cs="Arial"/>
          <w:b/>
          <w:szCs w:val="24"/>
        </w:rPr>
        <w:lastRenderedPageBreak/>
        <w:t xml:space="preserve">Figure </w:t>
      </w:r>
      <w:r w:rsidRPr="0075399A">
        <w:rPr>
          <w:rFonts w:ascii="Arial" w:hAnsi="Arial" w:cs="Arial"/>
          <w:b/>
          <w:bCs/>
          <w:szCs w:val="24"/>
        </w:rPr>
        <w:t>1</w:t>
      </w:r>
      <w:r w:rsidRPr="0075399A">
        <w:rPr>
          <w:rFonts w:ascii="Arial" w:hAnsi="Arial" w:cs="Arial"/>
          <w:b/>
          <w:szCs w:val="24"/>
        </w:rPr>
        <w:t xml:space="preserve">. </w:t>
      </w:r>
      <w:bookmarkStart w:id="14" w:name="_Hlk72166987"/>
      <w:r w:rsidRPr="0075399A">
        <w:rPr>
          <w:rFonts w:ascii="Arial" w:hAnsi="Arial" w:cs="Arial"/>
          <w:b/>
          <w:szCs w:val="24"/>
        </w:rPr>
        <w:t xml:space="preserve">Cumulative Incidence of HIV Infections </w:t>
      </w:r>
      <w:r w:rsidR="005F654C">
        <w:rPr>
          <w:rFonts w:ascii="Arial" w:hAnsi="Arial" w:cs="Arial"/>
          <w:b/>
          <w:szCs w:val="24"/>
        </w:rPr>
        <w:t>in HPTN 083</w:t>
      </w:r>
    </w:p>
    <w:bookmarkEnd w:id="14"/>
    <w:p w14:paraId="611A945F" w14:textId="53BAE2AB" w:rsidR="00533C4E" w:rsidRDefault="00533C4E" w:rsidP="0073397F">
      <w:pPr>
        <w:tabs>
          <w:tab w:val="left" w:pos="567"/>
        </w:tabs>
        <w:spacing w:after="0"/>
        <w:rPr>
          <w:rFonts w:ascii="Arial" w:hAnsi="Arial" w:cs="Arial"/>
          <w:color w:val="000000"/>
          <w:lang w:val="en-US"/>
        </w:rPr>
      </w:pPr>
    </w:p>
    <w:p w14:paraId="43969203" w14:textId="51821206" w:rsidR="00533C4E" w:rsidRDefault="00200D3C" w:rsidP="0073397F">
      <w:pPr>
        <w:tabs>
          <w:tab w:val="left" w:pos="567"/>
        </w:tabs>
        <w:spacing w:after="0"/>
        <w:rPr>
          <w:rFonts w:ascii="Arial" w:hAnsi="Arial" w:cs="Arial"/>
          <w:color w:val="000000"/>
          <w:lang w:val="en-US"/>
        </w:rPr>
      </w:pPr>
      <w:r w:rsidRPr="00551699">
        <w:rPr>
          <w:rFonts w:ascii="Times New Roman" w:hAnsi="Times New Roman" w:cs="Times New Roman"/>
          <w:noProof/>
          <w:sz w:val="24"/>
          <w:szCs w:val="24"/>
        </w:rPr>
        <w:drawing>
          <wp:inline distT="0" distB="0" distL="0" distR="0" wp14:anchorId="2BFB9694" wp14:editId="6DCC6D1A">
            <wp:extent cx="5181600" cy="3861288"/>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7617" cy="3888127"/>
                    </a:xfrm>
                    <a:prstGeom prst="rect">
                      <a:avLst/>
                    </a:prstGeom>
                    <a:noFill/>
                    <a:ln>
                      <a:noFill/>
                    </a:ln>
                  </pic:spPr>
                </pic:pic>
              </a:graphicData>
            </a:graphic>
          </wp:inline>
        </w:drawing>
      </w:r>
    </w:p>
    <w:p w14:paraId="24919D10" w14:textId="77144B5C" w:rsidR="0073397F" w:rsidRPr="0073397F" w:rsidRDefault="00533C4E" w:rsidP="0073397F">
      <w:pPr>
        <w:tabs>
          <w:tab w:val="left" w:pos="567"/>
        </w:tabs>
        <w:spacing w:after="0"/>
        <w:rPr>
          <w:rFonts w:ascii="Arial" w:hAnsi="Arial" w:cs="Arial"/>
          <w:szCs w:val="24"/>
          <w:u w:val="single"/>
        </w:rPr>
      </w:pPr>
      <w:r>
        <w:rPr>
          <w:rFonts w:ascii="Arial" w:hAnsi="Arial" w:cs="Arial"/>
          <w:color w:val="000000"/>
          <w:lang w:val="en-US"/>
        </w:rPr>
        <w:t>Results</w:t>
      </w:r>
      <w:r w:rsidRPr="0073397F">
        <w:rPr>
          <w:rFonts w:ascii="Arial" w:hAnsi="Arial" w:cs="Arial"/>
          <w:color w:val="000000"/>
          <w:lang w:val="en-US"/>
        </w:rPr>
        <w:t xml:space="preserve"> </w:t>
      </w:r>
      <w:r w:rsidR="0073397F" w:rsidRPr="0073397F">
        <w:rPr>
          <w:rFonts w:ascii="Arial" w:hAnsi="Arial" w:cs="Arial"/>
          <w:color w:val="000000"/>
          <w:lang w:val="en-US"/>
        </w:rPr>
        <w:t xml:space="preserve">from all subgroup analyses were consistent with the overall protective effect, with a lower rate of incident </w:t>
      </w:r>
      <w:r w:rsidR="0073397F" w:rsidRPr="0073397F">
        <w:rPr>
          <w:rFonts w:ascii="Arial" w:hAnsi="Arial" w:cs="Arial"/>
          <w:lang w:val="en-US"/>
        </w:rPr>
        <w:t>HIV</w:t>
      </w:r>
      <w:r w:rsidR="0073397F" w:rsidRPr="0073397F">
        <w:rPr>
          <w:rFonts w:ascii="Arial" w:hAnsi="Arial" w:cs="Arial"/>
          <w:lang w:val="en-US"/>
        </w:rPr>
        <w:noBreakHyphen/>
        <w:t xml:space="preserve">1 </w:t>
      </w:r>
      <w:r w:rsidR="0073397F" w:rsidRPr="0073397F">
        <w:rPr>
          <w:rFonts w:ascii="Arial" w:hAnsi="Arial" w:cs="Arial"/>
          <w:color w:val="000000"/>
          <w:lang w:val="en-US"/>
        </w:rPr>
        <w:t xml:space="preserve">infections observed for participants </w:t>
      </w:r>
      <w:proofErr w:type="spellStart"/>
      <w:r w:rsidR="0073397F" w:rsidRPr="0073397F">
        <w:rPr>
          <w:rFonts w:ascii="Arial" w:hAnsi="Arial" w:cs="Arial"/>
          <w:color w:val="000000"/>
          <w:lang w:val="en-US"/>
        </w:rPr>
        <w:t>randomised</w:t>
      </w:r>
      <w:proofErr w:type="spellEnd"/>
      <w:r w:rsidR="0073397F" w:rsidRPr="0073397F">
        <w:rPr>
          <w:rFonts w:ascii="Arial" w:hAnsi="Arial" w:cs="Arial"/>
          <w:color w:val="000000"/>
          <w:lang w:val="en-US"/>
        </w:rPr>
        <w:t xml:space="preserve"> to </w:t>
      </w:r>
      <w:r w:rsidR="00D01AFF">
        <w:rPr>
          <w:rFonts w:ascii="Arial" w:hAnsi="Arial" w:cs="Arial"/>
          <w:lang w:val="en"/>
        </w:rPr>
        <w:t>APRETUDE</w:t>
      </w:r>
      <w:r w:rsidR="0073397F" w:rsidRPr="0073397F">
        <w:rPr>
          <w:rFonts w:ascii="Arial" w:hAnsi="Arial" w:cs="Arial"/>
          <w:color w:val="000000"/>
          <w:lang w:val="en-US"/>
        </w:rPr>
        <w:t xml:space="preserve"> compared with participants </w:t>
      </w:r>
      <w:proofErr w:type="spellStart"/>
      <w:r w:rsidR="0073397F" w:rsidRPr="0073397F">
        <w:rPr>
          <w:rFonts w:ascii="Arial" w:hAnsi="Arial" w:cs="Arial"/>
          <w:color w:val="000000"/>
          <w:lang w:val="en-US"/>
        </w:rPr>
        <w:t>randomised</w:t>
      </w:r>
      <w:proofErr w:type="spellEnd"/>
      <w:r w:rsidR="0073397F" w:rsidRPr="0073397F">
        <w:rPr>
          <w:rFonts w:ascii="Arial" w:hAnsi="Arial" w:cs="Arial"/>
          <w:color w:val="000000"/>
          <w:lang w:val="en-US"/>
        </w:rPr>
        <w:t xml:space="preserve"> to TDF/FTC (see Table </w:t>
      </w:r>
      <w:r w:rsidR="00964718">
        <w:rPr>
          <w:rFonts w:ascii="Arial" w:hAnsi="Arial" w:cs="Arial"/>
          <w:color w:val="000000"/>
          <w:lang w:val="en-US"/>
        </w:rPr>
        <w:t>8</w:t>
      </w:r>
      <w:r w:rsidR="0073397F" w:rsidRPr="0073397F">
        <w:rPr>
          <w:rFonts w:ascii="Arial" w:hAnsi="Arial" w:cs="Arial"/>
          <w:color w:val="000000"/>
          <w:lang w:val="en-US"/>
        </w:rPr>
        <w:t xml:space="preserve">). </w:t>
      </w:r>
    </w:p>
    <w:p w14:paraId="01432716" w14:textId="4B51E859" w:rsidR="00C20CFE" w:rsidRDefault="00C20CFE">
      <w:pPr>
        <w:rPr>
          <w:rFonts w:ascii="Arial" w:hAnsi="Arial" w:cs="Arial"/>
          <w:szCs w:val="24"/>
          <w:u w:val="single"/>
        </w:rPr>
      </w:pPr>
      <w:r>
        <w:rPr>
          <w:rFonts w:ascii="Arial" w:hAnsi="Arial" w:cs="Arial"/>
          <w:szCs w:val="24"/>
          <w:u w:val="single"/>
        </w:rPr>
        <w:br w:type="page"/>
      </w:r>
    </w:p>
    <w:p w14:paraId="204B757A" w14:textId="77777777" w:rsidR="0073397F" w:rsidRPr="0073397F" w:rsidRDefault="0073397F" w:rsidP="0073397F">
      <w:pPr>
        <w:tabs>
          <w:tab w:val="left" w:pos="567"/>
        </w:tabs>
        <w:spacing w:after="0"/>
        <w:rPr>
          <w:rFonts w:ascii="Arial" w:hAnsi="Arial" w:cs="Arial"/>
          <w:szCs w:val="24"/>
          <w:u w:val="single"/>
        </w:rPr>
      </w:pPr>
    </w:p>
    <w:p w14:paraId="083F3A48" w14:textId="2D95526D" w:rsidR="0073397F" w:rsidRPr="000F1F41" w:rsidRDefault="0073397F" w:rsidP="0073397F">
      <w:pPr>
        <w:tabs>
          <w:tab w:val="left" w:pos="567"/>
        </w:tabs>
        <w:spacing w:after="0"/>
        <w:rPr>
          <w:rFonts w:ascii="Arial" w:hAnsi="Arial" w:cs="Arial"/>
          <w:b/>
          <w:bCs/>
          <w:u w:val="single"/>
        </w:rPr>
      </w:pPr>
      <w:r w:rsidRPr="00C20CFE">
        <w:rPr>
          <w:rFonts w:ascii="Arial" w:hAnsi="Arial" w:cs="Arial"/>
          <w:b/>
          <w:bCs/>
          <w:szCs w:val="24"/>
        </w:rPr>
        <w:t xml:space="preserve">Table </w:t>
      </w:r>
      <w:r w:rsidR="00964718">
        <w:rPr>
          <w:rFonts w:ascii="Arial" w:hAnsi="Arial" w:cs="Arial"/>
          <w:b/>
          <w:bCs/>
          <w:szCs w:val="24"/>
        </w:rPr>
        <w:t>8</w:t>
      </w:r>
      <w:r w:rsidRPr="00C20CFE">
        <w:rPr>
          <w:rFonts w:ascii="Arial" w:hAnsi="Arial" w:cs="Arial"/>
          <w:b/>
          <w:bCs/>
          <w:szCs w:val="24"/>
        </w:rPr>
        <w:t xml:space="preserve">. </w:t>
      </w:r>
      <w:r w:rsidR="000F1F41" w:rsidRPr="000F1F41">
        <w:rPr>
          <w:rFonts w:ascii="Times New Roman" w:hAnsi="Times New Roman" w:cs="Times New Roman"/>
          <w:b/>
          <w:bCs/>
          <w:sz w:val="24"/>
          <w:szCs w:val="24"/>
        </w:rPr>
        <w:t xml:space="preserve"> </w:t>
      </w:r>
      <w:r w:rsidR="00515B02">
        <w:rPr>
          <w:rFonts w:ascii="Arial" w:hAnsi="Arial" w:cs="Arial"/>
          <w:b/>
          <w:bCs/>
          <w:vertAlign w:val="superscript"/>
        </w:rPr>
        <w:t xml:space="preserve"> </w:t>
      </w:r>
      <w:r w:rsidR="00515B02" w:rsidRPr="00515B02">
        <w:rPr>
          <w:rFonts w:ascii="Arial" w:hAnsi="Arial" w:cs="Arial"/>
          <w:b/>
          <w:bCs/>
        </w:rPr>
        <w:t>Rate of incident HIV-1</w:t>
      </w:r>
      <w:r w:rsidR="00903DD4">
        <w:rPr>
          <w:rFonts w:ascii="Arial" w:hAnsi="Arial" w:cs="Arial"/>
          <w:b/>
          <w:bCs/>
        </w:rPr>
        <w:t xml:space="preserve"> </w:t>
      </w:r>
      <w:r w:rsidR="00515B02" w:rsidRPr="00515B02">
        <w:rPr>
          <w:rFonts w:ascii="Arial" w:hAnsi="Arial" w:cs="Arial"/>
          <w:b/>
          <w:bCs/>
        </w:rPr>
        <w:t>infection by subgroup in HPTN 083 (</w:t>
      </w:r>
      <w:proofErr w:type="spellStart"/>
      <w:r w:rsidR="00515B02" w:rsidRPr="00515B02">
        <w:rPr>
          <w:rFonts w:ascii="Arial" w:hAnsi="Arial" w:cs="Arial"/>
          <w:b/>
          <w:bCs/>
        </w:rPr>
        <w:t>mITT</w:t>
      </w:r>
      <w:proofErr w:type="spellEnd"/>
      <w:r w:rsidR="00515B02" w:rsidRPr="00515B02">
        <w:rPr>
          <w:rFonts w:ascii="Arial" w:hAnsi="Arial" w:cs="Arial"/>
          <w:b/>
          <w:bCs/>
        </w:rPr>
        <w:t>, extended retrospective virologic testing)</w:t>
      </w:r>
    </w:p>
    <w:p w14:paraId="7CAB93FA" w14:textId="77777777" w:rsidR="0073397F" w:rsidRDefault="0073397F" w:rsidP="0073397F">
      <w:pPr>
        <w:tabs>
          <w:tab w:val="left" w:pos="567"/>
        </w:tabs>
        <w:spacing w:after="0"/>
        <w:rPr>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559"/>
        <w:gridCol w:w="1559"/>
        <w:gridCol w:w="1134"/>
        <w:gridCol w:w="1808"/>
      </w:tblGrid>
      <w:tr w:rsidR="0073397F" w:rsidRPr="00344BD2" w14:paraId="28EF695B" w14:textId="77777777" w:rsidTr="0073397F">
        <w:trPr>
          <w:trHeight w:val="1070"/>
        </w:trPr>
        <w:tc>
          <w:tcPr>
            <w:tcW w:w="1242" w:type="dxa"/>
            <w:tcBorders>
              <w:top w:val="single" w:sz="4" w:space="0" w:color="auto"/>
              <w:left w:val="single" w:sz="4" w:space="0" w:color="auto"/>
              <w:bottom w:val="single" w:sz="4" w:space="0" w:color="auto"/>
              <w:right w:val="single" w:sz="4" w:space="0" w:color="auto"/>
            </w:tcBorders>
            <w:hideMark/>
          </w:tcPr>
          <w:p w14:paraId="5D58CF86" w14:textId="77777777" w:rsidR="0073397F" w:rsidRPr="00344BD2" w:rsidRDefault="0073397F">
            <w:pPr>
              <w:tabs>
                <w:tab w:val="left" w:pos="567"/>
              </w:tabs>
              <w:spacing w:after="0"/>
              <w:rPr>
                <w:rFonts w:ascii="Arial" w:hAnsi="Arial" w:cs="Arial"/>
                <w:b/>
                <w:sz w:val="20"/>
                <w:szCs w:val="20"/>
              </w:rPr>
            </w:pPr>
            <w:r w:rsidRPr="00344BD2">
              <w:rPr>
                <w:rFonts w:ascii="Arial" w:hAnsi="Arial" w:cs="Arial"/>
                <w:b/>
                <w:sz w:val="20"/>
                <w:szCs w:val="20"/>
              </w:rPr>
              <w:t>Subgroup</w:t>
            </w:r>
          </w:p>
        </w:tc>
        <w:tc>
          <w:tcPr>
            <w:tcW w:w="1560" w:type="dxa"/>
            <w:tcBorders>
              <w:top w:val="single" w:sz="4" w:space="0" w:color="auto"/>
              <w:left w:val="single" w:sz="4" w:space="0" w:color="auto"/>
              <w:bottom w:val="single" w:sz="4" w:space="0" w:color="auto"/>
              <w:right w:val="single" w:sz="4" w:space="0" w:color="auto"/>
            </w:tcBorders>
            <w:hideMark/>
          </w:tcPr>
          <w:p w14:paraId="331E26EA" w14:textId="0B461C7A" w:rsidR="0073397F" w:rsidRPr="00344BD2" w:rsidRDefault="0073397F">
            <w:pPr>
              <w:tabs>
                <w:tab w:val="left" w:pos="567"/>
              </w:tabs>
              <w:spacing w:after="0"/>
              <w:rPr>
                <w:rFonts w:ascii="Arial" w:hAnsi="Arial" w:cs="Arial"/>
                <w:b/>
                <w:sz w:val="20"/>
                <w:szCs w:val="20"/>
              </w:rPr>
            </w:pPr>
            <w:r w:rsidRPr="00344BD2">
              <w:rPr>
                <w:rFonts w:ascii="Arial" w:hAnsi="Arial" w:cs="Arial"/>
                <w:b/>
                <w:sz w:val="20"/>
                <w:szCs w:val="20"/>
              </w:rPr>
              <w:t>Cabotegravir</w:t>
            </w:r>
            <w:r w:rsidRPr="00344BD2">
              <w:rPr>
                <w:rFonts w:ascii="Arial" w:hAnsi="Arial" w:cs="Arial"/>
                <w:b/>
                <w:sz w:val="20"/>
                <w:szCs w:val="20"/>
              </w:rPr>
              <w:br/>
              <w:t xml:space="preserve">incidence per 100 person years </w:t>
            </w:r>
          </w:p>
        </w:tc>
        <w:tc>
          <w:tcPr>
            <w:tcW w:w="1559" w:type="dxa"/>
            <w:tcBorders>
              <w:top w:val="single" w:sz="4" w:space="0" w:color="auto"/>
              <w:left w:val="single" w:sz="4" w:space="0" w:color="auto"/>
              <w:bottom w:val="single" w:sz="4" w:space="0" w:color="auto"/>
              <w:right w:val="single" w:sz="4" w:space="0" w:color="auto"/>
            </w:tcBorders>
            <w:hideMark/>
          </w:tcPr>
          <w:p w14:paraId="26C7B3AE" w14:textId="1BBF2E8B" w:rsidR="0073397F" w:rsidRPr="00344BD2" w:rsidRDefault="0073397F">
            <w:pPr>
              <w:tabs>
                <w:tab w:val="left" w:pos="567"/>
              </w:tabs>
              <w:spacing w:after="0"/>
              <w:rPr>
                <w:rFonts w:ascii="Arial" w:hAnsi="Arial" w:cs="Arial"/>
                <w:b/>
                <w:sz w:val="20"/>
                <w:szCs w:val="20"/>
              </w:rPr>
            </w:pPr>
            <w:r w:rsidRPr="00344BD2">
              <w:rPr>
                <w:rFonts w:ascii="Arial" w:hAnsi="Arial" w:cs="Arial"/>
                <w:b/>
                <w:sz w:val="20"/>
                <w:szCs w:val="20"/>
              </w:rPr>
              <w:t>Cabotegravir person years</w:t>
            </w:r>
          </w:p>
        </w:tc>
        <w:tc>
          <w:tcPr>
            <w:tcW w:w="1559" w:type="dxa"/>
            <w:tcBorders>
              <w:top w:val="single" w:sz="4" w:space="0" w:color="auto"/>
              <w:left w:val="single" w:sz="4" w:space="0" w:color="auto"/>
              <w:bottom w:val="single" w:sz="4" w:space="0" w:color="auto"/>
              <w:right w:val="single" w:sz="4" w:space="0" w:color="auto"/>
            </w:tcBorders>
            <w:hideMark/>
          </w:tcPr>
          <w:p w14:paraId="5644D76D" w14:textId="77777777" w:rsidR="0073397F" w:rsidRPr="00344BD2" w:rsidRDefault="0073397F">
            <w:pPr>
              <w:tabs>
                <w:tab w:val="left" w:pos="567"/>
              </w:tabs>
              <w:spacing w:after="0"/>
              <w:rPr>
                <w:rFonts w:ascii="Arial" w:hAnsi="Arial" w:cs="Arial"/>
                <w:b/>
                <w:sz w:val="20"/>
                <w:szCs w:val="20"/>
              </w:rPr>
            </w:pPr>
            <w:r w:rsidRPr="00344BD2">
              <w:rPr>
                <w:rFonts w:ascii="Arial" w:hAnsi="Arial" w:cs="Arial"/>
                <w:b/>
                <w:sz w:val="20"/>
                <w:szCs w:val="20"/>
              </w:rPr>
              <w:t>TDF/FTC</w:t>
            </w:r>
          </w:p>
          <w:p w14:paraId="2A0959CC" w14:textId="77777777" w:rsidR="0073397F" w:rsidRPr="00344BD2" w:rsidRDefault="0073397F">
            <w:pPr>
              <w:tabs>
                <w:tab w:val="left" w:pos="567"/>
              </w:tabs>
              <w:spacing w:after="0"/>
              <w:rPr>
                <w:rFonts w:ascii="Arial" w:hAnsi="Arial" w:cs="Arial"/>
                <w:b/>
                <w:sz w:val="20"/>
                <w:szCs w:val="20"/>
              </w:rPr>
            </w:pPr>
            <w:r w:rsidRPr="00344BD2">
              <w:rPr>
                <w:rFonts w:ascii="Arial" w:hAnsi="Arial" w:cs="Arial"/>
                <w:b/>
                <w:sz w:val="20"/>
                <w:szCs w:val="20"/>
              </w:rPr>
              <w:t>incidence per 100 person years</w:t>
            </w:r>
          </w:p>
        </w:tc>
        <w:tc>
          <w:tcPr>
            <w:tcW w:w="1134" w:type="dxa"/>
            <w:tcBorders>
              <w:top w:val="single" w:sz="4" w:space="0" w:color="auto"/>
              <w:left w:val="single" w:sz="4" w:space="0" w:color="auto"/>
              <w:bottom w:val="single" w:sz="4" w:space="0" w:color="auto"/>
              <w:right w:val="single" w:sz="4" w:space="0" w:color="auto"/>
            </w:tcBorders>
            <w:hideMark/>
          </w:tcPr>
          <w:p w14:paraId="43C6C1D9" w14:textId="77777777" w:rsidR="0073397F" w:rsidRPr="00344BD2" w:rsidRDefault="0073397F">
            <w:pPr>
              <w:tabs>
                <w:tab w:val="left" w:pos="567"/>
              </w:tabs>
              <w:spacing w:after="0"/>
              <w:rPr>
                <w:rFonts w:ascii="Arial" w:hAnsi="Arial" w:cs="Arial"/>
                <w:b/>
                <w:sz w:val="20"/>
                <w:szCs w:val="20"/>
              </w:rPr>
            </w:pPr>
            <w:r w:rsidRPr="00344BD2">
              <w:rPr>
                <w:rFonts w:ascii="Arial" w:hAnsi="Arial" w:cs="Arial"/>
                <w:b/>
                <w:sz w:val="20"/>
                <w:szCs w:val="20"/>
              </w:rPr>
              <w:t>TDF/FTC person years)</w:t>
            </w:r>
          </w:p>
        </w:tc>
        <w:tc>
          <w:tcPr>
            <w:tcW w:w="1808" w:type="dxa"/>
            <w:tcBorders>
              <w:top w:val="single" w:sz="4" w:space="0" w:color="auto"/>
              <w:left w:val="single" w:sz="4" w:space="0" w:color="auto"/>
              <w:bottom w:val="single" w:sz="4" w:space="0" w:color="auto"/>
              <w:right w:val="single" w:sz="4" w:space="0" w:color="auto"/>
            </w:tcBorders>
            <w:hideMark/>
          </w:tcPr>
          <w:p w14:paraId="3B077A66" w14:textId="77777777" w:rsidR="0073397F" w:rsidRPr="00344BD2" w:rsidRDefault="0073397F">
            <w:pPr>
              <w:tabs>
                <w:tab w:val="left" w:pos="567"/>
              </w:tabs>
              <w:spacing w:after="0"/>
              <w:rPr>
                <w:rFonts w:ascii="Arial" w:hAnsi="Arial" w:cs="Arial"/>
                <w:b/>
                <w:sz w:val="20"/>
                <w:szCs w:val="20"/>
              </w:rPr>
            </w:pPr>
            <w:r w:rsidRPr="00344BD2">
              <w:rPr>
                <w:rFonts w:ascii="Arial" w:hAnsi="Arial" w:cs="Arial"/>
                <w:b/>
                <w:sz w:val="20"/>
                <w:szCs w:val="20"/>
              </w:rPr>
              <w:t>HR (95% CI)</w:t>
            </w:r>
          </w:p>
        </w:tc>
      </w:tr>
      <w:tr w:rsidR="0073397F" w:rsidRPr="00344BD2" w14:paraId="12B96909" w14:textId="77777777" w:rsidTr="0073397F">
        <w:tc>
          <w:tcPr>
            <w:tcW w:w="1242" w:type="dxa"/>
            <w:tcBorders>
              <w:top w:val="single" w:sz="4" w:space="0" w:color="auto"/>
              <w:left w:val="single" w:sz="4" w:space="0" w:color="auto"/>
              <w:bottom w:val="single" w:sz="4" w:space="0" w:color="auto"/>
              <w:right w:val="single" w:sz="4" w:space="0" w:color="auto"/>
            </w:tcBorders>
            <w:hideMark/>
          </w:tcPr>
          <w:p w14:paraId="03A99AC9" w14:textId="77777777" w:rsidR="0073397F" w:rsidRPr="00344BD2" w:rsidRDefault="0073397F">
            <w:pPr>
              <w:tabs>
                <w:tab w:val="left" w:pos="567"/>
              </w:tabs>
              <w:spacing w:after="0"/>
              <w:rPr>
                <w:rFonts w:ascii="Arial" w:hAnsi="Arial" w:cs="Arial"/>
                <w:b/>
                <w:sz w:val="20"/>
                <w:szCs w:val="20"/>
              </w:rPr>
            </w:pPr>
            <w:r w:rsidRPr="00344BD2">
              <w:rPr>
                <w:rFonts w:ascii="Arial" w:hAnsi="Arial" w:cs="Arial"/>
                <w:b/>
                <w:sz w:val="20"/>
                <w:szCs w:val="20"/>
              </w:rPr>
              <w:t>Age</w:t>
            </w:r>
          </w:p>
        </w:tc>
        <w:tc>
          <w:tcPr>
            <w:tcW w:w="1560" w:type="dxa"/>
            <w:tcBorders>
              <w:top w:val="single" w:sz="4" w:space="0" w:color="auto"/>
              <w:left w:val="single" w:sz="4" w:space="0" w:color="auto"/>
              <w:bottom w:val="single" w:sz="4" w:space="0" w:color="auto"/>
              <w:right w:val="single" w:sz="4" w:space="0" w:color="auto"/>
            </w:tcBorders>
          </w:tcPr>
          <w:p w14:paraId="1CA3B284" w14:textId="77777777" w:rsidR="0073397F" w:rsidRPr="00344BD2" w:rsidRDefault="0073397F">
            <w:pPr>
              <w:tabs>
                <w:tab w:val="left" w:pos="567"/>
              </w:tabs>
              <w:spacing w:after="0"/>
              <w:rPr>
                <w:rFonts w:ascii="Arial" w:hAnsi="Arial" w:cs="Arial"/>
                <w:sz w:val="20"/>
                <w:szCs w:val="20"/>
                <w:u w:val="single"/>
              </w:rPr>
            </w:pPr>
          </w:p>
        </w:tc>
        <w:tc>
          <w:tcPr>
            <w:tcW w:w="1559" w:type="dxa"/>
            <w:tcBorders>
              <w:top w:val="single" w:sz="4" w:space="0" w:color="auto"/>
              <w:left w:val="single" w:sz="4" w:space="0" w:color="auto"/>
              <w:bottom w:val="single" w:sz="4" w:space="0" w:color="auto"/>
              <w:right w:val="single" w:sz="4" w:space="0" w:color="auto"/>
            </w:tcBorders>
          </w:tcPr>
          <w:p w14:paraId="4F042CD9" w14:textId="77777777" w:rsidR="0073397F" w:rsidRPr="00344BD2" w:rsidRDefault="0073397F">
            <w:pPr>
              <w:tabs>
                <w:tab w:val="left" w:pos="567"/>
              </w:tabs>
              <w:spacing w:after="0"/>
              <w:rPr>
                <w:rFonts w:ascii="Arial" w:hAnsi="Arial" w:cs="Arial"/>
                <w:sz w:val="20"/>
                <w:szCs w:val="20"/>
                <w:u w:val="single"/>
              </w:rPr>
            </w:pPr>
          </w:p>
        </w:tc>
        <w:tc>
          <w:tcPr>
            <w:tcW w:w="1559" w:type="dxa"/>
            <w:tcBorders>
              <w:top w:val="single" w:sz="4" w:space="0" w:color="auto"/>
              <w:left w:val="single" w:sz="4" w:space="0" w:color="auto"/>
              <w:bottom w:val="single" w:sz="4" w:space="0" w:color="auto"/>
              <w:right w:val="single" w:sz="4" w:space="0" w:color="auto"/>
            </w:tcBorders>
          </w:tcPr>
          <w:p w14:paraId="6E3951D4" w14:textId="77777777" w:rsidR="0073397F" w:rsidRPr="00344BD2" w:rsidRDefault="0073397F">
            <w:pPr>
              <w:tabs>
                <w:tab w:val="left" w:pos="567"/>
              </w:tabs>
              <w:spacing w:after="0"/>
              <w:rPr>
                <w:rFonts w:ascii="Arial" w:hAnsi="Arial" w:cs="Arial"/>
                <w:sz w:val="20"/>
                <w:szCs w:val="20"/>
                <w:u w:val="single"/>
              </w:rPr>
            </w:pPr>
          </w:p>
        </w:tc>
        <w:tc>
          <w:tcPr>
            <w:tcW w:w="1134" w:type="dxa"/>
            <w:tcBorders>
              <w:top w:val="single" w:sz="4" w:space="0" w:color="auto"/>
              <w:left w:val="single" w:sz="4" w:space="0" w:color="auto"/>
              <w:bottom w:val="single" w:sz="4" w:space="0" w:color="auto"/>
              <w:right w:val="single" w:sz="4" w:space="0" w:color="auto"/>
            </w:tcBorders>
          </w:tcPr>
          <w:p w14:paraId="2805196B" w14:textId="77777777" w:rsidR="0073397F" w:rsidRPr="00344BD2" w:rsidRDefault="0073397F">
            <w:pPr>
              <w:tabs>
                <w:tab w:val="left" w:pos="567"/>
              </w:tabs>
              <w:spacing w:after="0"/>
              <w:rPr>
                <w:rFonts w:ascii="Arial" w:hAnsi="Arial" w:cs="Arial"/>
                <w:sz w:val="20"/>
                <w:szCs w:val="20"/>
                <w:u w:val="single"/>
              </w:rPr>
            </w:pPr>
          </w:p>
        </w:tc>
        <w:tc>
          <w:tcPr>
            <w:tcW w:w="1808" w:type="dxa"/>
            <w:tcBorders>
              <w:top w:val="single" w:sz="4" w:space="0" w:color="auto"/>
              <w:left w:val="single" w:sz="4" w:space="0" w:color="auto"/>
              <w:bottom w:val="single" w:sz="4" w:space="0" w:color="auto"/>
              <w:right w:val="single" w:sz="4" w:space="0" w:color="auto"/>
            </w:tcBorders>
          </w:tcPr>
          <w:p w14:paraId="66ACEAD2" w14:textId="77777777" w:rsidR="0073397F" w:rsidRPr="00344BD2" w:rsidRDefault="0073397F">
            <w:pPr>
              <w:tabs>
                <w:tab w:val="left" w:pos="567"/>
              </w:tabs>
              <w:spacing w:after="0"/>
              <w:rPr>
                <w:rFonts w:ascii="Arial" w:hAnsi="Arial" w:cs="Arial"/>
                <w:sz w:val="20"/>
                <w:szCs w:val="20"/>
                <w:u w:val="single"/>
              </w:rPr>
            </w:pPr>
          </w:p>
        </w:tc>
      </w:tr>
      <w:tr w:rsidR="0073397F" w:rsidRPr="00344BD2" w14:paraId="2D4272C1" w14:textId="77777777" w:rsidTr="0073397F">
        <w:tc>
          <w:tcPr>
            <w:tcW w:w="1242" w:type="dxa"/>
            <w:tcBorders>
              <w:top w:val="single" w:sz="4" w:space="0" w:color="auto"/>
              <w:left w:val="single" w:sz="4" w:space="0" w:color="auto"/>
              <w:bottom w:val="single" w:sz="4" w:space="0" w:color="auto"/>
              <w:right w:val="single" w:sz="4" w:space="0" w:color="auto"/>
            </w:tcBorders>
            <w:hideMark/>
          </w:tcPr>
          <w:p w14:paraId="6DFF4393" w14:textId="77777777" w:rsidR="0073397F" w:rsidRPr="00344BD2" w:rsidRDefault="0073397F">
            <w:pPr>
              <w:tabs>
                <w:tab w:val="left" w:pos="567"/>
              </w:tabs>
              <w:spacing w:after="0"/>
              <w:rPr>
                <w:rFonts w:ascii="Arial" w:hAnsi="Arial" w:cs="Arial"/>
                <w:sz w:val="20"/>
                <w:szCs w:val="20"/>
              </w:rPr>
            </w:pPr>
            <w:r w:rsidRPr="00344BD2">
              <w:rPr>
                <w:rFonts w:ascii="Arial" w:hAnsi="Arial" w:cs="Arial"/>
                <w:sz w:val="20"/>
                <w:szCs w:val="20"/>
              </w:rPr>
              <w:t>&lt;30 years</w:t>
            </w:r>
          </w:p>
        </w:tc>
        <w:tc>
          <w:tcPr>
            <w:tcW w:w="1560" w:type="dxa"/>
            <w:tcBorders>
              <w:top w:val="single" w:sz="4" w:space="0" w:color="auto"/>
              <w:left w:val="single" w:sz="4" w:space="0" w:color="auto"/>
              <w:bottom w:val="single" w:sz="4" w:space="0" w:color="auto"/>
              <w:right w:val="single" w:sz="4" w:space="0" w:color="auto"/>
            </w:tcBorders>
            <w:hideMark/>
          </w:tcPr>
          <w:p w14:paraId="74D05F47" w14:textId="2D678B46" w:rsidR="0073397F" w:rsidRPr="00344BD2" w:rsidRDefault="00F74116">
            <w:pPr>
              <w:tabs>
                <w:tab w:val="left" w:pos="567"/>
              </w:tabs>
              <w:spacing w:after="0"/>
              <w:rPr>
                <w:rFonts w:ascii="Arial" w:hAnsi="Arial" w:cs="Arial"/>
                <w:sz w:val="20"/>
                <w:szCs w:val="20"/>
                <w:u w:val="single"/>
              </w:rPr>
            </w:pPr>
            <w:r w:rsidRPr="00344BD2">
              <w:rPr>
                <w:rFonts w:ascii="Arial" w:hAnsi="Arial" w:cs="Arial"/>
                <w:color w:val="000000"/>
                <w:sz w:val="20"/>
                <w:szCs w:val="20"/>
              </w:rPr>
              <w:t>0.47</w:t>
            </w:r>
          </w:p>
        </w:tc>
        <w:tc>
          <w:tcPr>
            <w:tcW w:w="1559" w:type="dxa"/>
            <w:tcBorders>
              <w:top w:val="single" w:sz="4" w:space="0" w:color="auto"/>
              <w:left w:val="single" w:sz="4" w:space="0" w:color="auto"/>
              <w:bottom w:val="single" w:sz="4" w:space="0" w:color="auto"/>
              <w:right w:val="single" w:sz="4" w:space="0" w:color="auto"/>
            </w:tcBorders>
            <w:hideMark/>
          </w:tcPr>
          <w:p w14:paraId="78E410D0"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2110</w:t>
            </w:r>
          </w:p>
        </w:tc>
        <w:tc>
          <w:tcPr>
            <w:tcW w:w="1559" w:type="dxa"/>
            <w:tcBorders>
              <w:top w:val="single" w:sz="4" w:space="0" w:color="auto"/>
              <w:left w:val="single" w:sz="4" w:space="0" w:color="auto"/>
              <w:bottom w:val="single" w:sz="4" w:space="0" w:color="auto"/>
              <w:right w:val="single" w:sz="4" w:space="0" w:color="auto"/>
            </w:tcBorders>
            <w:hideMark/>
          </w:tcPr>
          <w:p w14:paraId="6065FCAA" w14:textId="77777777" w:rsidR="0073397F" w:rsidRPr="00344BD2" w:rsidRDefault="0073397F">
            <w:pPr>
              <w:tabs>
                <w:tab w:val="left" w:pos="567"/>
              </w:tabs>
              <w:spacing w:after="0"/>
              <w:rPr>
                <w:rFonts w:ascii="Arial" w:hAnsi="Arial" w:cs="Arial"/>
                <w:sz w:val="20"/>
                <w:szCs w:val="20"/>
                <w:u w:val="single"/>
              </w:rPr>
            </w:pPr>
            <w:r w:rsidRPr="00344BD2">
              <w:rPr>
                <w:rFonts w:ascii="Arial" w:hAnsi="Arial" w:cs="Arial"/>
                <w:color w:val="000000"/>
                <w:sz w:val="20"/>
                <w:szCs w:val="20"/>
              </w:rPr>
              <w:t>1.66</w:t>
            </w:r>
          </w:p>
        </w:tc>
        <w:tc>
          <w:tcPr>
            <w:tcW w:w="1134" w:type="dxa"/>
            <w:tcBorders>
              <w:top w:val="single" w:sz="4" w:space="0" w:color="auto"/>
              <w:left w:val="single" w:sz="4" w:space="0" w:color="auto"/>
              <w:bottom w:val="single" w:sz="4" w:space="0" w:color="auto"/>
              <w:right w:val="single" w:sz="4" w:space="0" w:color="auto"/>
            </w:tcBorders>
            <w:hideMark/>
          </w:tcPr>
          <w:p w14:paraId="439ADE66" w14:textId="77777777" w:rsidR="0073397F" w:rsidRPr="00344BD2" w:rsidRDefault="0073397F">
            <w:pPr>
              <w:adjustRightInd w:val="0"/>
              <w:spacing w:before="40" w:after="40" w:line="254" w:lineRule="auto"/>
              <w:rPr>
                <w:rFonts w:ascii="Arial" w:hAnsi="Arial" w:cs="Arial"/>
                <w:color w:val="000000"/>
                <w:sz w:val="20"/>
                <w:szCs w:val="20"/>
              </w:rPr>
            </w:pPr>
            <w:r w:rsidRPr="00344BD2">
              <w:rPr>
                <w:rFonts w:ascii="Arial" w:hAnsi="Arial" w:cs="Arial"/>
                <w:color w:val="000000"/>
                <w:sz w:val="20"/>
                <w:szCs w:val="20"/>
              </w:rPr>
              <w:t>1987</w:t>
            </w:r>
          </w:p>
        </w:tc>
        <w:tc>
          <w:tcPr>
            <w:tcW w:w="1808" w:type="dxa"/>
            <w:tcBorders>
              <w:top w:val="single" w:sz="4" w:space="0" w:color="auto"/>
              <w:left w:val="single" w:sz="4" w:space="0" w:color="auto"/>
              <w:bottom w:val="single" w:sz="4" w:space="0" w:color="auto"/>
              <w:right w:val="single" w:sz="4" w:space="0" w:color="auto"/>
            </w:tcBorders>
            <w:hideMark/>
          </w:tcPr>
          <w:p w14:paraId="2752C453" w14:textId="36A68A73" w:rsidR="0073397F" w:rsidRPr="00344BD2" w:rsidRDefault="00016B02">
            <w:pPr>
              <w:adjustRightInd w:val="0"/>
              <w:spacing w:before="40" w:after="40" w:line="254" w:lineRule="auto"/>
              <w:rPr>
                <w:rFonts w:ascii="Arial" w:hAnsi="Arial" w:cs="Arial"/>
                <w:color w:val="000000"/>
                <w:sz w:val="20"/>
                <w:szCs w:val="20"/>
              </w:rPr>
            </w:pPr>
            <w:r w:rsidRPr="00344BD2">
              <w:rPr>
                <w:rFonts w:ascii="Arial" w:hAnsi="Arial" w:cs="Arial"/>
                <w:color w:val="000000"/>
                <w:sz w:val="20"/>
                <w:szCs w:val="20"/>
              </w:rPr>
              <w:t>0.29</w:t>
            </w:r>
            <w:r w:rsidR="0073397F" w:rsidRPr="00344BD2">
              <w:rPr>
                <w:rFonts w:ascii="Arial" w:hAnsi="Arial" w:cs="Arial"/>
                <w:color w:val="000000"/>
                <w:sz w:val="20"/>
                <w:szCs w:val="20"/>
              </w:rPr>
              <w:t xml:space="preserve"> (0.1</w:t>
            </w:r>
            <w:r w:rsidRPr="00344BD2">
              <w:rPr>
                <w:rFonts w:ascii="Arial" w:hAnsi="Arial" w:cs="Arial"/>
                <w:color w:val="000000"/>
                <w:sz w:val="20"/>
                <w:szCs w:val="20"/>
              </w:rPr>
              <w:t>5</w:t>
            </w:r>
            <w:r w:rsidR="0073397F" w:rsidRPr="00344BD2">
              <w:rPr>
                <w:rFonts w:ascii="Arial" w:hAnsi="Arial" w:cs="Arial"/>
                <w:color w:val="000000"/>
                <w:sz w:val="20"/>
                <w:szCs w:val="20"/>
              </w:rPr>
              <w:t>, 0.</w:t>
            </w:r>
            <w:r w:rsidRPr="00344BD2">
              <w:rPr>
                <w:rFonts w:ascii="Arial" w:hAnsi="Arial" w:cs="Arial"/>
                <w:color w:val="000000"/>
                <w:sz w:val="20"/>
                <w:szCs w:val="20"/>
              </w:rPr>
              <w:t>59</w:t>
            </w:r>
            <w:r w:rsidR="0073397F" w:rsidRPr="00344BD2">
              <w:rPr>
                <w:rFonts w:ascii="Arial" w:hAnsi="Arial" w:cs="Arial"/>
                <w:color w:val="000000"/>
                <w:sz w:val="20"/>
                <w:szCs w:val="20"/>
              </w:rPr>
              <w:t>)</w:t>
            </w:r>
          </w:p>
        </w:tc>
      </w:tr>
      <w:tr w:rsidR="0073397F" w:rsidRPr="00344BD2" w14:paraId="355D0822" w14:textId="77777777" w:rsidTr="0073397F">
        <w:tc>
          <w:tcPr>
            <w:tcW w:w="1242" w:type="dxa"/>
            <w:tcBorders>
              <w:top w:val="single" w:sz="4" w:space="0" w:color="auto"/>
              <w:left w:val="single" w:sz="4" w:space="0" w:color="auto"/>
              <w:bottom w:val="single" w:sz="4" w:space="0" w:color="auto"/>
              <w:right w:val="single" w:sz="4" w:space="0" w:color="auto"/>
            </w:tcBorders>
            <w:hideMark/>
          </w:tcPr>
          <w:p w14:paraId="69391E58" w14:textId="77777777" w:rsidR="0073397F" w:rsidRPr="00344BD2" w:rsidRDefault="0073397F">
            <w:pPr>
              <w:tabs>
                <w:tab w:val="left" w:pos="567"/>
              </w:tabs>
              <w:spacing w:after="0"/>
              <w:rPr>
                <w:rFonts w:ascii="Arial" w:hAnsi="Arial" w:cs="Arial"/>
                <w:sz w:val="20"/>
                <w:szCs w:val="20"/>
              </w:rPr>
            </w:pPr>
            <w:r w:rsidRPr="00344BD2">
              <w:rPr>
                <w:rFonts w:ascii="Arial" w:hAnsi="Arial" w:cs="Arial"/>
                <w:sz w:val="20"/>
                <w:szCs w:val="20"/>
              </w:rPr>
              <w:t>≥30 years</w:t>
            </w:r>
          </w:p>
        </w:tc>
        <w:tc>
          <w:tcPr>
            <w:tcW w:w="1560" w:type="dxa"/>
            <w:tcBorders>
              <w:top w:val="single" w:sz="4" w:space="0" w:color="auto"/>
              <w:left w:val="single" w:sz="4" w:space="0" w:color="auto"/>
              <w:bottom w:val="single" w:sz="4" w:space="0" w:color="auto"/>
              <w:right w:val="single" w:sz="4" w:space="0" w:color="auto"/>
            </w:tcBorders>
            <w:hideMark/>
          </w:tcPr>
          <w:p w14:paraId="4F4DF3B4"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0.18</w:t>
            </w:r>
          </w:p>
        </w:tc>
        <w:tc>
          <w:tcPr>
            <w:tcW w:w="1559" w:type="dxa"/>
            <w:tcBorders>
              <w:top w:val="single" w:sz="4" w:space="0" w:color="auto"/>
              <w:left w:val="single" w:sz="4" w:space="0" w:color="auto"/>
              <w:bottom w:val="single" w:sz="4" w:space="0" w:color="auto"/>
              <w:right w:val="single" w:sz="4" w:space="0" w:color="auto"/>
            </w:tcBorders>
            <w:hideMark/>
          </w:tcPr>
          <w:p w14:paraId="7C8B2325"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1101</w:t>
            </w:r>
          </w:p>
        </w:tc>
        <w:tc>
          <w:tcPr>
            <w:tcW w:w="1559" w:type="dxa"/>
            <w:tcBorders>
              <w:top w:val="single" w:sz="4" w:space="0" w:color="auto"/>
              <w:left w:val="single" w:sz="4" w:space="0" w:color="auto"/>
              <w:bottom w:val="single" w:sz="4" w:space="0" w:color="auto"/>
              <w:right w:val="single" w:sz="4" w:space="0" w:color="auto"/>
            </w:tcBorders>
            <w:hideMark/>
          </w:tcPr>
          <w:p w14:paraId="00D02BB8"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0.50</w:t>
            </w:r>
          </w:p>
        </w:tc>
        <w:tc>
          <w:tcPr>
            <w:tcW w:w="1134" w:type="dxa"/>
            <w:tcBorders>
              <w:top w:val="single" w:sz="4" w:space="0" w:color="auto"/>
              <w:left w:val="single" w:sz="4" w:space="0" w:color="auto"/>
              <w:bottom w:val="single" w:sz="4" w:space="0" w:color="auto"/>
              <w:right w:val="single" w:sz="4" w:space="0" w:color="auto"/>
            </w:tcBorders>
            <w:hideMark/>
          </w:tcPr>
          <w:p w14:paraId="4D29ED43" w14:textId="77777777" w:rsidR="0073397F" w:rsidRPr="00344BD2" w:rsidRDefault="0073397F">
            <w:pPr>
              <w:adjustRightInd w:val="0"/>
              <w:spacing w:before="40" w:after="40" w:line="254" w:lineRule="auto"/>
              <w:rPr>
                <w:rFonts w:ascii="Arial" w:hAnsi="Arial" w:cs="Arial"/>
                <w:color w:val="000000"/>
                <w:sz w:val="20"/>
                <w:szCs w:val="20"/>
              </w:rPr>
            </w:pPr>
            <w:r w:rsidRPr="00344BD2">
              <w:rPr>
                <w:rFonts w:ascii="Arial" w:hAnsi="Arial" w:cs="Arial"/>
                <w:color w:val="000000"/>
                <w:sz w:val="20"/>
                <w:szCs w:val="20"/>
              </w:rPr>
              <w:t>1206</w:t>
            </w:r>
          </w:p>
        </w:tc>
        <w:tc>
          <w:tcPr>
            <w:tcW w:w="1808" w:type="dxa"/>
            <w:tcBorders>
              <w:top w:val="single" w:sz="4" w:space="0" w:color="auto"/>
              <w:left w:val="single" w:sz="4" w:space="0" w:color="auto"/>
              <w:bottom w:val="single" w:sz="4" w:space="0" w:color="auto"/>
              <w:right w:val="single" w:sz="4" w:space="0" w:color="auto"/>
            </w:tcBorders>
            <w:hideMark/>
          </w:tcPr>
          <w:p w14:paraId="5C7FFEC1" w14:textId="77777777" w:rsidR="0073397F" w:rsidRPr="00344BD2" w:rsidRDefault="0073397F">
            <w:pPr>
              <w:adjustRightInd w:val="0"/>
              <w:spacing w:before="40" w:after="40" w:line="254" w:lineRule="auto"/>
              <w:rPr>
                <w:rFonts w:ascii="Arial" w:hAnsi="Arial" w:cs="Arial"/>
                <w:color w:val="000000"/>
                <w:sz w:val="20"/>
                <w:szCs w:val="20"/>
              </w:rPr>
            </w:pPr>
            <w:r w:rsidRPr="00344BD2">
              <w:rPr>
                <w:rFonts w:ascii="Arial" w:hAnsi="Arial" w:cs="Arial"/>
                <w:color w:val="000000"/>
                <w:sz w:val="20"/>
                <w:szCs w:val="20"/>
              </w:rPr>
              <w:t>0.39 (0.08, 1.84)</w:t>
            </w:r>
          </w:p>
        </w:tc>
      </w:tr>
      <w:tr w:rsidR="0073397F" w:rsidRPr="00344BD2" w14:paraId="0B230159" w14:textId="77777777" w:rsidTr="0073397F">
        <w:tc>
          <w:tcPr>
            <w:tcW w:w="1242" w:type="dxa"/>
            <w:tcBorders>
              <w:top w:val="single" w:sz="4" w:space="0" w:color="auto"/>
              <w:left w:val="single" w:sz="4" w:space="0" w:color="auto"/>
              <w:bottom w:val="single" w:sz="4" w:space="0" w:color="auto"/>
              <w:right w:val="single" w:sz="4" w:space="0" w:color="auto"/>
            </w:tcBorders>
            <w:hideMark/>
          </w:tcPr>
          <w:p w14:paraId="4D0DC7E8" w14:textId="77777777" w:rsidR="0073397F" w:rsidRPr="00344BD2" w:rsidRDefault="0073397F">
            <w:pPr>
              <w:tabs>
                <w:tab w:val="left" w:pos="567"/>
              </w:tabs>
              <w:spacing w:after="0"/>
              <w:rPr>
                <w:rFonts w:ascii="Arial" w:hAnsi="Arial" w:cs="Arial"/>
                <w:b/>
                <w:sz w:val="20"/>
                <w:szCs w:val="20"/>
              </w:rPr>
            </w:pPr>
            <w:r w:rsidRPr="00344BD2">
              <w:rPr>
                <w:rFonts w:ascii="Arial" w:hAnsi="Arial" w:cs="Arial"/>
                <w:b/>
                <w:sz w:val="20"/>
                <w:szCs w:val="20"/>
              </w:rPr>
              <w:t>Gender</w:t>
            </w:r>
          </w:p>
        </w:tc>
        <w:tc>
          <w:tcPr>
            <w:tcW w:w="1560" w:type="dxa"/>
            <w:tcBorders>
              <w:top w:val="single" w:sz="4" w:space="0" w:color="auto"/>
              <w:left w:val="single" w:sz="4" w:space="0" w:color="auto"/>
              <w:bottom w:val="single" w:sz="4" w:space="0" w:color="auto"/>
              <w:right w:val="single" w:sz="4" w:space="0" w:color="auto"/>
            </w:tcBorders>
          </w:tcPr>
          <w:p w14:paraId="24BAFB08" w14:textId="77777777" w:rsidR="0073397F" w:rsidRPr="00344BD2" w:rsidRDefault="0073397F">
            <w:pPr>
              <w:tabs>
                <w:tab w:val="left" w:pos="567"/>
              </w:tabs>
              <w:spacing w:after="0"/>
              <w:rPr>
                <w:rFonts w:ascii="Arial" w:hAnsi="Arial" w:cs="Arial"/>
                <w:sz w:val="20"/>
                <w:szCs w:val="20"/>
                <w:u w:val="single"/>
              </w:rPr>
            </w:pPr>
          </w:p>
        </w:tc>
        <w:tc>
          <w:tcPr>
            <w:tcW w:w="1559" w:type="dxa"/>
            <w:tcBorders>
              <w:top w:val="single" w:sz="4" w:space="0" w:color="auto"/>
              <w:left w:val="single" w:sz="4" w:space="0" w:color="auto"/>
              <w:bottom w:val="single" w:sz="4" w:space="0" w:color="auto"/>
              <w:right w:val="single" w:sz="4" w:space="0" w:color="auto"/>
            </w:tcBorders>
          </w:tcPr>
          <w:p w14:paraId="343D1D07" w14:textId="77777777" w:rsidR="0073397F" w:rsidRPr="00344BD2" w:rsidRDefault="0073397F">
            <w:pPr>
              <w:tabs>
                <w:tab w:val="left" w:pos="567"/>
              </w:tabs>
              <w:spacing w:after="0"/>
              <w:rPr>
                <w:rFonts w:ascii="Arial" w:hAnsi="Arial" w:cs="Arial"/>
                <w:sz w:val="20"/>
                <w:szCs w:val="20"/>
                <w:u w:val="single"/>
              </w:rPr>
            </w:pPr>
          </w:p>
        </w:tc>
        <w:tc>
          <w:tcPr>
            <w:tcW w:w="1559" w:type="dxa"/>
            <w:tcBorders>
              <w:top w:val="single" w:sz="4" w:space="0" w:color="auto"/>
              <w:left w:val="single" w:sz="4" w:space="0" w:color="auto"/>
              <w:bottom w:val="single" w:sz="4" w:space="0" w:color="auto"/>
              <w:right w:val="single" w:sz="4" w:space="0" w:color="auto"/>
            </w:tcBorders>
          </w:tcPr>
          <w:p w14:paraId="278F5515" w14:textId="77777777" w:rsidR="0073397F" w:rsidRPr="00344BD2" w:rsidRDefault="0073397F">
            <w:pPr>
              <w:tabs>
                <w:tab w:val="left" w:pos="567"/>
              </w:tabs>
              <w:spacing w:after="0"/>
              <w:rPr>
                <w:rFonts w:ascii="Arial" w:hAnsi="Arial" w:cs="Arial"/>
                <w:sz w:val="20"/>
                <w:szCs w:val="20"/>
                <w:u w:val="single"/>
              </w:rPr>
            </w:pPr>
          </w:p>
        </w:tc>
        <w:tc>
          <w:tcPr>
            <w:tcW w:w="1134" w:type="dxa"/>
            <w:tcBorders>
              <w:top w:val="single" w:sz="4" w:space="0" w:color="auto"/>
              <w:left w:val="single" w:sz="4" w:space="0" w:color="auto"/>
              <w:bottom w:val="single" w:sz="4" w:space="0" w:color="auto"/>
              <w:right w:val="single" w:sz="4" w:space="0" w:color="auto"/>
            </w:tcBorders>
          </w:tcPr>
          <w:p w14:paraId="40BFE1AB" w14:textId="77777777" w:rsidR="0073397F" w:rsidRPr="00344BD2" w:rsidRDefault="0073397F">
            <w:pPr>
              <w:tabs>
                <w:tab w:val="left" w:pos="567"/>
              </w:tabs>
              <w:spacing w:after="0"/>
              <w:rPr>
                <w:rFonts w:ascii="Arial" w:hAnsi="Arial" w:cs="Arial"/>
                <w:sz w:val="20"/>
                <w:szCs w:val="20"/>
                <w:u w:val="single"/>
              </w:rPr>
            </w:pPr>
          </w:p>
        </w:tc>
        <w:tc>
          <w:tcPr>
            <w:tcW w:w="1808" w:type="dxa"/>
            <w:tcBorders>
              <w:top w:val="single" w:sz="4" w:space="0" w:color="auto"/>
              <w:left w:val="single" w:sz="4" w:space="0" w:color="auto"/>
              <w:bottom w:val="single" w:sz="4" w:space="0" w:color="auto"/>
              <w:right w:val="single" w:sz="4" w:space="0" w:color="auto"/>
            </w:tcBorders>
          </w:tcPr>
          <w:p w14:paraId="1C412B33" w14:textId="77777777" w:rsidR="0073397F" w:rsidRPr="00344BD2" w:rsidRDefault="0073397F">
            <w:pPr>
              <w:tabs>
                <w:tab w:val="left" w:pos="567"/>
              </w:tabs>
              <w:spacing w:after="0"/>
              <w:rPr>
                <w:rFonts w:ascii="Arial" w:hAnsi="Arial" w:cs="Arial"/>
                <w:sz w:val="20"/>
                <w:szCs w:val="20"/>
                <w:u w:val="single"/>
              </w:rPr>
            </w:pPr>
          </w:p>
        </w:tc>
      </w:tr>
      <w:tr w:rsidR="0073397F" w:rsidRPr="00344BD2" w14:paraId="2DFAF6E1" w14:textId="77777777" w:rsidTr="0073397F">
        <w:tc>
          <w:tcPr>
            <w:tcW w:w="1242" w:type="dxa"/>
            <w:tcBorders>
              <w:top w:val="single" w:sz="4" w:space="0" w:color="auto"/>
              <w:left w:val="single" w:sz="4" w:space="0" w:color="auto"/>
              <w:bottom w:val="single" w:sz="4" w:space="0" w:color="auto"/>
              <w:right w:val="single" w:sz="4" w:space="0" w:color="auto"/>
            </w:tcBorders>
            <w:hideMark/>
          </w:tcPr>
          <w:p w14:paraId="58F76130" w14:textId="5487E402" w:rsidR="0073397F" w:rsidRPr="00344BD2" w:rsidRDefault="0073397F">
            <w:pPr>
              <w:tabs>
                <w:tab w:val="left" w:pos="567"/>
              </w:tabs>
              <w:spacing w:after="0"/>
              <w:rPr>
                <w:rFonts w:ascii="Arial" w:hAnsi="Arial" w:cs="Arial"/>
                <w:sz w:val="20"/>
                <w:szCs w:val="20"/>
              </w:rPr>
            </w:pPr>
            <w:r w:rsidRPr="00344BD2">
              <w:rPr>
                <w:rFonts w:ascii="Arial" w:hAnsi="Arial" w:cs="Arial"/>
                <w:sz w:val="20"/>
                <w:szCs w:val="20"/>
              </w:rPr>
              <w:t>MSM</w:t>
            </w:r>
          </w:p>
        </w:tc>
        <w:tc>
          <w:tcPr>
            <w:tcW w:w="1560" w:type="dxa"/>
            <w:tcBorders>
              <w:top w:val="single" w:sz="4" w:space="0" w:color="auto"/>
              <w:left w:val="single" w:sz="4" w:space="0" w:color="auto"/>
              <w:bottom w:val="single" w:sz="4" w:space="0" w:color="auto"/>
              <w:right w:val="single" w:sz="4" w:space="0" w:color="auto"/>
            </w:tcBorders>
            <w:hideMark/>
          </w:tcPr>
          <w:p w14:paraId="25584E93" w14:textId="2E1A2842" w:rsidR="0073397F" w:rsidRPr="00344BD2" w:rsidRDefault="00F74116">
            <w:pPr>
              <w:tabs>
                <w:tab w:val="left" w:pos="567"/>
              </w:tabs>
              <w:spacing w:after="0"/>
              <w:rPr>
                <w:rFonts w:ascii="Arial" w:hAnsi="Arial" w:cs="Arial"/>
                <w:sz w:val="20"/>
                <w:szCs w:val="20"/>
                <w:u w:val="single"/>
              </w:rPr>
            </w:pPr>
            <w:r w:rsidRPr="00344BD2">
              <w:rPr>
                <w:rFonts w:ascii="Arial" w:hAnsi="Arial" w:cs="Arial"/>
                <w:color w:val="000000"/>
                <w:sz w:val="20"/>
                <w:szCs w:val="20"/>
              </w:rPr>
              <w:t>0</w:t>
            </w:r>
            <w:r w:rsidR="00275094">
              <w:rPr>
                <w:rFonts w:ascii="Arial" w:hAnsi="Arial" w:cs="Arial"/>
                <w:color w:val="000000"/>
                <w:sz w:val="20"/>
                <w:szCs w:val="20"/>
              </w:rPr>
              <w:t>.</w:t>
            </w:r>
            <w:r w:rsidRPr="00344BD2">
              <w:rPr>
                <w:rFonts w:ascii="Arial" w:hAnsi="Arial" w:cs="Arial"/>
                <w:color w:val="000000"/>
                <w:sz w:val="20"/>
                <w:szCs w:val="20"/>
              </w:rPr>
              <w:t>35</w:t>
            </w:r>
          </w:p>
        </w:tc>
        <w:tc>
          <w:tcPr>
            <w:tcW w:w="1559" w:type="dxa"/>
            <w:tcBorders>
              <w:top w:val="single" w:sz="4" w:space="0" w:color="auto"/>
              <w:left w:val="single" w:sz="4" w:space="0" w:color="auto"/>
              <w:bottom w:val="single" w:sz="4" w:space="0" w:color="auto"/>
              <w:right w:val="single" w:sz="4" w:space="0" w:color="auto"/>
            </w:tcBorders>
            <w:hideMark/>
          </w:tcPr>
          <w:p w14:paraId="47CB129A" w14:textId="3C873495"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283</w:t>
            </w:r>
            <w:r w:rsidR="00C0424B">
              <w:rPr>
                <w:rFonts w:ascii="Arial" w:hAnsi="Arial" w:cs="Arial"/>
                <w:color w:val="000000"/>
                <w:sz w:val="20"/>
                <w:szCs w:val="20"/>
              </w:rPr>
              <w:t>6</w:t>
            </w:r>
          </w:p>
        </w:tc>
        <w:tc>
          <w:tcPr>
            <w:tcW w:w="1559" w:type="dxa"/>
            <w:tcBorders>
              <w:top w:val="single" w:sz="4" w:space="0" w:color="auto"/>
              <w:left w:val="single" w:sz="4" w:space="0" w:color="auto"/>
              <w:bottom w:val="single" w:sz="4" w:space="0" w:color="auto"/>
              <w:right w:val="single" w:sz="4" w:space="0" w:color="auto"/>
            </w:tcBorders>
            <w:hideMark/>
          </w:tcPr>
          <w:p w14:paraId="5495766F" w14:textId="77777777" w:rsidR="0073397F" w:rsidRPr="00344BD2" w:rsidRDefault="0073397F">
            <w:pPr>
              <w:tabs>
                <w:tab w:val="left" w:pos="567"/>
              </w:tabs>
              <w:spacing w:after="0"/>
              <w:rPr>
                <w:rFonts w:ascii="Arial" w:hAnsi="Arial" w:cs="Arial"/>
                <w:sz w:val="20"/>
                <w:szCs w:val="20"/>
                <w:u w:val="single"/>
              </w:rPr>
            </w:pPr>
            <w:r w:rsidRPr="00344BD2">
              <w:rPr>
                <w:rFonts w:ascii="Arial" w:hAnsi="Arial" w:cs="Arial"/>
                <w:color w:val="000000"/>
                <w:sz w:val="20"/>
                <w:szCs w:val="20"/>
              </w:rPr>
              <w:t>1.14</w:t>
            </w:r>
          </w:p>
        </w:tc>
        <w:tc>
          <w:tcPr>
            <w:tcW w:w="1134" w:type="dxa"/>
            <w:tcBorders>
              <w:top w:val="single" w:sz="4" w:space="0" w:color="auto"/>
              <w:left w:val="single" w:sz="4" w:space="0" w:color="auto"/>
              <w:bottom w:val="single" w:sz="4" w:space="0" w:color="auto"/>
              <w:right w:val="single" w:sz="4" w:space="0" w:color="auto"/>
            </w:tcBorders>
            <w:hideMark/>
          </w:tcPr>
          <w:p w14:paraId="04ED6E06"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2803</w:t>
            </w:r>
          </w:p>
        </w:tc>
        <w:tc>
          <w:tcPr>
            <w:tcW w:w="1808" w:type="dxa"/>
            <w:tcBorders>
              <w:top w:val="single" w:sz="4" w:space="0" w:color="auto"/>
              <w:left w:val="single" w:sz="4" w:space="0" w:color="auto"/>
              <w:bottom w:val="single" w:sz="4" w:space="0" w:color="auto"/>
              <w:right w:val="single" w:sz="4" w:space="0" w:color="auto"/>
            </w:tcBorders>
            <w:hideMark/>
          </w:tcPr>
          <w:p w14:paraId="23A28CA9" w14:textId="140FD20D" w:rsidR="0073397F" w:rsidRPr="00344BD2" w:rsidRDefault="0073397F">
            <w:pPr>
              <w:tabs>
                <w:tab w:val="left" w:pos="567"/>
              </w:tabs>
              <w:spacing w:after="0"/>
              <w:rPr>
                <w:rFonts w:ascii="Arial" w:hAnsi="Arial" w:cs="Arial"/>
                <w:sz w:val="20"/>
                <w:szCs w:val="20"/>
                <w:u w:val="single"/>
              </w:rPr>
            </w:pPr>
            <w:r w:rsidRPr="00344BD2">
              <w:rPr>
                <w:rFonts w:ascii="Arial" w:hAnsi="Arial" w:cs="Arial"/>
                <w:color w:val="000000"/>
                <w:sz w:val="20"/>
                <w:szCs w:val="20"/>
              </w:rPr>
              <w:t>0.3</w:t>
            </w:r>
            <w:r w:rsidR="00016B02" w:rsidRPr="00344BD2">
              <w:rPr>
                <w:rFonts w:ascii="Arial" w:hAnsi="Arial" w:cs="Arial"/>
                <w:color w:val="000000"/>
                <w:sz w:val="20"/>
                <w:szCs w:val="20"/>
              </w:rPr>
              <w:t>2</w:t>
            </w:r>
            <w:r w:rsidRPr="00344BD2">
              <w:rPr>
                <w:rFonts w:ascii="Arial" w:hAnsi="Arial" w:cs="Arial"/>
                <w:color w:val="000000"/>
                <w:sz w:val="20"/>
                <w:szCs w:val="20"/>
              </w:rPr>
              <w:t xml:space="preserve"> (0.1</w:t>
            </w:r>
            <w:r w:rsidR="00016B02" w:rsidRPr="00344BD2">
              <w:rPr>
                <w:rFonts w:ascii="Arial" w:hAnsi="Arial" w:cs="Arial"/>
                <w:color w:val="000000"/>
                <w:sz w:val="20"/>
                <w:szCs w:val="20"/>
              </w:rPr>
              <w:t>6</w:t>
            </w:r>
            <w:r w:rsidRPr="00344BD2">
              <w:rPr>
                <w:rFonts w:ascii="Arial" w:hAnsi="Arial" w:cs="Arial"/>
                <w:color w:val="000000"/>
                <w:sz w:val="20"/>
                <w:szCs w:val="20"/>
              </w:rPr>
              <w:t>, 0.6</w:t>
            </w:r>
            <w:r w:rsidR="00016B02" w:rsidRPr="00344BD2">
              <w:rPr>
                <w:rFonts w:ascii="Arial" w:hAnsi="Arial" w:cs="Arial"/>
                <w:color w:val="000000"/>
                <w:sz w:val="20"/>
                <w:szCs w:val="20"/>
              </w:rPr>
              <w:t>4</w:t>
            </w:r>
            <w:r w:rsidRPr="00344BD2">
              <w:rPr>
                <w:rFonts w:ascii="Arial" w:hAnsi="Arial" w:cs="Arial"/>
                <w:color w:val="000000"/>
                <w:sz w:val="20"/>
                <w:szCs w:val="20"/>
              </w:rPr>
              <w:t>)</w:t>
            </w:r>
          </w:p>
        </w:tc>
      </w:tr>
      <w:tr w:rsidR="0073397F" w:rsidRPr="00344BD2" w14:paraId="7B60F52B" w14:textId="77777777" w:rsidTr="0073397F">
        <w:tc>
          <w:tcPr>
            <w:tcW w:w="1242" w:type="dxa"/>
            <w:tcBorders>
              <w:top w:val="single" w:sz="4" w:space="0" w:color="auto"/>
              <w:left w:val="single" w:sz="4" w:space="0" w:color="auto"/>
              <w:bottom w:val="single" w:sz="4" w:space="0" w:color="auto"/>
              <w:right w:val="single" w:sz="4" w:space="0" w:color="auto"/>
            </w:tcBorders>
            <w:hideMark/>
          </w:tcPr>
          <w:p w14:paraId="0FDDD428" w14:textId="7C42F458" w:rsidR="0073397F" w:rsidRPr="00344BD2" w:rsidRDefault="0073397F">
            <w:pPr>
              <w:tabs>
                <w:tab w:val="left" w:pos="567"/>
              </w:tabs>
              <w:spacing w:after="0"/>
              <w:rPr>
                <w:rFonts w:ascii="Arial" w:hAnsi="Arial" w:cs="Arial"/>
                <w:sz w:val="20"/>
                <w:szCs w:val="20"/>
              </w:rPr>
            </w:pPr>
            <w:r w:rsidRPr="00344BD2">
              <w:rPr>
                <w:rFonts w:ascii="Arial" w:hAnsi="Arial" w:cs="Arial"/>
                <w:sz w:val="20"/>
                <w:szCs w:val="20"/>
              </w:rPr>
              <w:t>TGW</w:t>
            </w:r>
          </w:p>
        </w:tc>
        <w:tc>
          <w:tcPr>
            <w:tcW w:w="1560" w:type="dxa"/>
            <w:tcBorders>
              <w:top w:val="single" w:sz="4" w:space="0" w:color="auto"/>
              <w:left w:val="single" w:sz="4" w:space="0" w:color="auto"/>
              <w:bottom w:val="single" w:sz="4" w:space="0" w:color="auto"/>
              <w:right w:val="single" w:sz="4" w:space="0" w:color="auto"/>
            </w:tcBorders>
            <w:hideMark/>
          </w:tcPr>
          <w:p w14:paraId="4C20C1C5"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0.54</w:t>
            </w:r>
          </w:p>
        </w:tc>
        <w:tc>
          <w:tcPr>
            <w:tcW w:w="1559" w:type="dxa"/>
            <w:tcBorders>
              <w:top w:val="single" w:sz="4" w:space="0" w:color="auto"/>
              <w:left w:val="single" w:sz="4" w:space="0" w:color="auto"/>
              <w:bottom w:val="single" w:sz="4" w:space="0" w:color="auto"/>
              <w:right w:val="single" w:sz="4" w:space="0" w:color="auto"/>
            </w:tcBorders>
            <w:hideMark/>
          </w:tcPr>
          <w:p w14:paraId="1FB68819"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371</w:t>
            </w:r>
          </w:p>
        </w:tc>
        <w:tc>
          <w:tcPr>
            <w:tcW w:w="1559" w:type="dxa"/>
            <w:tcBorders>
              <w:top w:val="single" w:sz="4" w:space="0" w:color="auto"/>
              <w:left w:val="single" w:sz="4" w:space="0" w:color="auto"/>
              <w:bottom w:val="single" w:sz="4" w:space="0" w:color="auto"/>
              <w:right w:val="single" w:sz="4" w:space="0" w:color="auto"/>
            </w:tcBorders>
            <w:hideMark/>
          </w:tcPr>
          <w:p w14:paraId="388FDF47"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1.80</w:t>
            </w:r>
          </w:p>
        </w:tc>
        <w:tc>
          <w:tcPr>
            <w:tcW w:w="1134" w:type="dxa"/>
            <w:tcBorders>
              <w:top w:val="single" w:sz="4" w:space="0" w:color="auto"/>
              <w:left w:val="single" w:sz="4" w:space="0" w:color="auto"/>
              <w:bottom w:val="single" w:sz="4" w:space="0" w:color="auto"/>
              <w:right w:val="single" w:sz="4" w:space="0" w:color="auto"/>
            </w:tcBorders>
            <w:hideMark/>
          </w:tcPr>
          <w:p w14:paraId="0275897A"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389</w:t>
            </w:r>
          </w:p>
        </w:tc>
        <w:tc>
          <w:tcPr>
            <w:tcW w:w="1808" w:type="dxa"/>
            <w:tcBorders>
              <w:top w:val="single" w:sz="4" w:space="0" w:color="auto"/>
              <w:left w:val="single" w:sz="4" w:space="0" w:color="auto"/>
              <w:bottom w:val="single" w:sz="4" w:space="0" w:color="auto"/>
              <w:right w:val="single" w:sz="4" w:space="0" w:color="auto"/>
            </w:tcBorders>
            <w:hideMark/>
          </w:tcPr>
          <w:p w14:paraId="7227C943"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0.34 (0.08, 1.56)</w:t>
            </w:r>
          </w:p>
        </w:tc>
      </w:tr>
      <w:tr w:rsidR="0073397F" w:rsidRPr="00344BD2" w14:paraId="21F305F2" w14:textId="77777777" w:rsidTr="0073397F">
        <w:tc>
          <w:tcPr>
            <w:tcW w:w="1242" w:type="dxa"/>
            <w:tcBorders>
              <w:top w:val="single" w:sz="4" w:space="0" w:color="auto"/>
              <w:left w:val="single" w:sz="4" w:space="0" w:color="auto"/>
              <w:bottom w:val="single" w:sz="4" w:space="0" w:color="auto"/>
              <w:right w:val="single" w:sz="4" w:space="0" w:color="auto"/>
            </w:tcBorders>
            <w:hideMark/>
          </w:tcPr>
          <w:p w14:paraId="51AA5DB1" w14:textId="77777777" w:rsidR="0073397F" w:rsidRPr="00344BD2" w:rsidRDefault="0073397F">
            <w:pPr>
              <w:tabs>
                <w:tab w:val="left" w:pos="567"/>
              </w:tabs>
              <w:spacing w:after="0"/>
              <w:rPr>
                <w:rFonts w:ascii="Arial" w:hAnsi="Arial" w:cs="Arial"/>
                <w:b/>
                <w:sz w:val="20"/>
                <w:szCs w:val="20"/>
              </w:rPr>
            </w:pPr>
            <w:r w:rsidRPr="00344BD2">
              <w:rPr>
                <w:rFonts w:ascii="Arial" w:hAnsi="Arial" w:cs="Arial"/>
                <w:b/>
                <w:sz w:val="20"/>
                <w:szCs w:val="20"/>
              </w:rPr>
              <w:t>Race (US)</w:t>
            </w:r>
          </w:p>
        </w:tc>
        <w:tc>
          <w:tcPr>
            <w:tcW w:w="1560" w:type="dxa"/>
            <w:tcBorders>
              <w:top w:val="single" w:sz="4" w:space="0" w:color="auto"/>
              <w:left w:val="single" w:sz="4" w:space="0" w:color="auto"/>
              <w:bottom w:val="single" w:sz="4" w:space="0" w:color="auto"/>
              <w:right w:val="single" w:sz="4" w:space="0" w:color="auto"/>
            </w:tcBorders>
          </w:tcPr>
          <w:p w14:paraId="0FD93EDF" w14:textId="77777777" w:rsidR="0073397F" w:rsidRPr="00344BD2" w:rsidRDefault="0073397F">
            <w:pPr>
              <w:tabs>
                <w:tab w:val="left" w:pos="567"/>
              </w:tabs>
              <w:spacing w:after="0"/>
              <w:rPr>
                <w:rFonts w:ascii="Arial" w:hAnsi="Arial" w:cs="Arial"/>
                <w:sz w:val="20"/>
                <w:szCs w:val="20"/>
                <w:u w:val="single"/>
              </w:rPr>
            </w:pPr>
          </w:p>
        </w:tc>
        <w:tc>
          <w:tcPr>
            <w:tcW w:w="1559" w:type="dxa"/>
            <w:tcBorders>
              <w:top w:val="single" w:sz="4" w:space="0" w:color="auto"/>
              <w:left w:val="single" w:sz="4" w:space="0" w:color="auto"/>
              <w:bottom w:val="single" w:sz="4" w:space="0" w:color="auto"/>
              <w:right w:val="single" w:sz="4" w:space="0" w:color="auto"/>
            </w:tcBorders>
          </w:tcPr>
          <w:p w14:paraId="1C4DB63F" w14:textId="77777777" w:rsidR="0073397F" w:rsidRPr="00344BD2" w:rsidRDefault="0073397F">
            <w:pPr>
              <w:tabs>
                <w:tab w:val="left" w:pos="567"/>
              </w:tabs>
              <w:spacing w:after="0"/>
              <w:rPr>
                <w:rFonts w:ascii="Arial" w:hAnsi="Arial" w:cs="Arial"/>
                <w:sz w:val="20"/>
                <w:szCs w:val="20"/>
                <w:u w:val="single"/>
              </w:rPr>
            </w:pPr>
          </w:p>
        </w:tc>
        <w:tc>
          <w:tcPr>
            <w:tcW w:w="1559" w:type="dxa"/>
            <w:tcBorders>
              <w:top w:val="single" w:sz="4" w:space="0" w:color="auto"/>
              <w:left w:val="single" w:sz="4" w:space="0" w:color="auto"/>
              <w:bottom w:val="single" w:sz="4" w:space="0" w:color="auto"/>
              <w:right w:val="single" w:sz="4" w:space="0" w:color="auto"/>
            </w:tcBorders>
          </w:tcPr>
          <w:p w14:paraId="6C55626E" w14:textId="77777777" w:rsidR="0073397F" w:rsidRPr="00344BD2" w:rsidRDefault="0073397F">
            <w:pPr>
              <w:tabs>
                <w:tab w:val="left" w:pos="567"/>
              </w:tabs>
              <w:spacing w:after="0"/>
              <w:rPr>
                <w:rFonts w:ascii="Arial" w:hAnsi="Arial" w:cs="Arial"/>
                <w:sz w:val="20"/>
                <w:szCs w:val="20"/>
                <w:u w:val="single"/>
              </w:rPr>
            </w:pPr>
          </w:p>
        </w:tc>
        <w:tc>
          <w:tcPr>
            <w:tcW w:w="1134" w:type="dxa"/>
            <w:tcBorders>
              <w:top w:val="single" w:sz="4" w:space="0" w:color="auto"/>
              <w:left w:val="single" w:sz="4" w:space="0" w:color="auto"/>
              <w:bottom w:val="single" w:sz="4" w:space="0" w:color="auto"/>
              <w:right w:val="single" w:sz="4" w:space="0" w:color="auto"/>
            </w:tcBorders>
          </w:tcPr>
          <w:p w14:paraId="22AE041C" w14:textId="77777777" w:rsidR="0073397F" w:rsidRPr="00344BD2" w:rsidRDefault="0073397F">
            <w:pPr>
              <w:tabs>
                <w:tab w:val="left" w:pos="567"/>
              </w:tabs>
              <w:spacing w:after="0"/>
              <w:rPr>
                <w:rFonts w:ascii="Arial" w:hAnsi="Arial" w:cs="Arial"/>
                <w:sz w:val="20"/>
                <w:szCs w:val="20"/>
                <w:u w:val="single"/>
              </w:rPr>
            </w:pPr>
          </w:p>
        </w:tc>
        <w:tc>
          <w:tcPr>
            <w:tcW w:w="1808" w:type="dxa"/>
            <w:tcBorders>
              <w:top w:val="single" w:sz="4" w:space="0" w:color="auto"/>
              <w:left w:val="single" w:sz="4" w:space="0" w:color="auto"/>
              <w:bottom w:val="single" w:sz="4" w:space="0" w:color="auto"/>
              <w:right w:val="single" w:sz="4" w:space="0" w:color="auto"/>
            </w:tcBorders>
          </w:tcPr>
          <w:p w14:paraId="08E05A40" w14:textId="77777777" w:rsidR="0073397F" w:rsidRPr="00344BD2" w:rsidRDefault="0073397F">
            <w:pPr>
              <w:tabs>
                <w:tab w:val="left" w:pos="567"/>
              </w:tabs>
              <w:spacing w:after="0"/>
              <w:rPr>
                <w:rFonts w:ascii="Arial" w:hAnsi="Arial" w:cs="Arial"/>
                <w:sz w:val="20"/>
                <w:szCs w:val="20"/>
                <w:u w:val="single"/>
              </w:rPr>
            </w:pPr>
          </w:p>
        </w:tc>
      </w:tr>
      <w:tr w:rsidR="0073397F" w:rsidRPr="00344BD2" w14:paraId="392EFC59" w14:textId="77777777" w:rsidTr="0073397F">
        <w:tc>
          <w:tcPr>
            <w:tcW w:w="1242" w:type="dxa"/>
            <w:tcBorders>
              <w:top w:val="single" w:sz="4" w:space="0" w:color="auto"/>
              <w:left w:val="single" w:sz="4" w:space="0" w:color="auto"/>
              <w:bottom w:val="single" w:sz="4" w:space="0" w:color="auto"/>
              <w:right w:val="single" w:sz="4" w:space="0" w:color="auto"/>
            </w:tcBorders>
            <w:hideMark/>
          </w:tcPr>
          <w:p w14:paraId="0337CD57" w14:textId="77777777" w:rsidR="0073397F" w:rsidRPr="00344BD2" w:rsidRDefault="0073397F">
            <w:pPr>
              <w:tabs>
                <w:tab w:val="left" w:pos="567"/>
              </w:tabs>
              <w:spacing w:after="0"/>
              <w:rPr>
                <w:rFonts w:ascii="Arial" w:hAnsi="Arial" w:cs="Arial"/>
                <w:sz w:val="20"/>
                <w:szCs w:val="20"/>
              </w:rPr>
            </w:pPr>
            <w:r w:rsidRPr="00344BD2">
              <w:rPr>
                <w:rFonts w:ascii="Arial" w:hAnsi="Arial" w:cs="Arial"/>
                <w:sz w:val="20"/>
                <w:szCs w:val="20"/>
              </w:rPr>
              <w:t>Black</w:t>
            </w:r>
          </w:p>
        </w:tc>
        <w:tc>
          <w:tcPr>
            <w:tcW w:w="1560" w:type="dxa"/>
            <w:tcBorders>
              <w:top w:val="single" w:sz="4" w:space="0" w:color="auto"/>
              <w:left w:val="single" w:sz="4" w:space="0" w:color="auto"/>
              <w:bottom w:val="single" w:sz="4" w:space="0" w:color="auto"/>
              <w:right w:val="single" w:sz="4" w:space="0" w:color="auto"/>
            </w:tcBorders>
            <w:hideMark/>
          </w:tcPr>
          <w:p w14:paraId="0ECD2D78" w14:textId="77777777" w:rsidR="0073397F" w:rsidRPr="00344BD2" w:rsidRDefault="0073397F">
            <w:pPr>
              <w:tabs>
                <w:tab w:val="left" w:pos="567"/>
              </w:tabs>
              <w:spacing w:after="0"/>
              <w:rPr>
                <w:rFonts w:ascii="Arial" w:hAnsi="Arial" w:cs="Arial"/>
                <w:sz w:val="20"/>
                <w:szCs w:val="20"/>
                <w:u w:val="single"/>
              </w:rPr>
            </w:pPr>
            <w:r w:rsidRPr="00344BD2">
              <w:rPr>
                <w:rFonts w:ascii="Arial" w:hAnsi="Arial" w:cs="Arial"/>
                <w:color w:val="000000"/>
                <w:sz w:val="20"/>
                <w:szCs w:val="20"/>
              </w:rPr>
              <w:t>0.58</w:t>
            </w:r>
          </w:p>
        </w:tc>
        <w:tc>
          <w:tcPr>
            <w:tcW w:w="1559" w:type="dxa"/>
            <w:tcBorders>
              <w:top w:val="single" w:sz="4" w:space="0" w:color="auto"/>
              <w:left w:val="single" w:sz="4" w:space="0" w:color="auto"/>
              <w:bottom w:val="single" w:sz="4" w:space="0" w:color="auto"/>
              <w:right w:val="single" w:sz="4" w:space="0" w:color="auto"/>
            </w:tcBorders>
            <w:hideMark/>
          </w:tcPr>
          <w:p w14:paraId="7056042C"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691</w:t>
            </w:r>
          </w:p>
        </w:tc>
        <w:tc>
          <w:tcPr>
            <w:tcW w:w="1559" w:type="dxa"/>
            <w:tcBorders>
              <w:top w:val="single" w:sz="4" w:space="0" w:color="auto"/>
              <w:left w:val="single" w:sz="4" w:space="0" w:color="auto"/>
              <w:bottom w:val="single" w:sz="4" w:space="0" w:color="auto"/>
              <w:right w:val="single" w:sz="4" w:space="0" w:color="auto"/>
            </w:tcBorders>
            <w:hideMark/>
          </w:tcPr>
          <w:p w14:paraId="2EEB09F1" w14:textId="77777777" w:rsidR="0073397F" w:rsidRPr="00344BD2" w:rsidRDefault="0073397F">
            <w:pPr>
              <w:tabs>
                <w:tab w:val="left" w:pos="567"/>
              </w:tabs>
              <w:spacing w:after="0"/>
              <w:rPr>
                <w:rFonts w:ascii="Arial" w:hAnsi="Arial" w:cs="Arial"/>
                <w:sz w:val="20"/>
                <w:szCs w:val="20"/>
                <w:u w:val="single"/>
              </w:rPr>
            </w:pPr>
            <w:r w:rsidRPr="00344BD2">
              <w:rPr>
                <w:rFonts w:ascii="Arial" w:hAnsi="Arial" w:cs="Arial"/>
                <w:color w:val="000000"/>
                <w:sz w:val="20"/>
                <w:szCs w:val="20"/>
              </w:rPr>
              <w:t>2.28</w:t>
            </w:r>
          </w:p>
        </w:tc>
        <w:tc>
          <w:tcPr>
            <w:tcW w:w="1134" w:type="dxa"/>
            <w:tcBorders>
              <w:top w:val="single" w:sz="4" w:space="0" w:color="auto"/>
              <w:left w:val="single" w:sz="4" w:space="0" w:color="auto"/>
              <w:bottom w:val="single" w:sz="4" w:space="0" w:color="auto"/>
              <w:right w:val="single" w:sz="4" w:space="0" w:color="auto"/>
            </w:tcBorders>
            <w:hideMark/>
          </w:tcPr>
          <w:p w14:paraId="09E92311"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703</w:t>
            </w:r>
          </w:p>
        </w:tc>
        <w:tc>
          <w:tcPr>
            <w:tcW w:w="1808" w:type="dxa"/>
            <w:tcBorders>
              <w:top w:val="single" w:sz="4" w:space="0" w:color="auto"/>
              <w:left w:val="single" w:sz="4" w:space="0" w:color="auto"/>
              <w:bottom w:val="single" w:sz="4" w:space="0" w:color="auto"/>
              <w:right w:val="single" w:sz="4" w:space="0" w:color="auto"/>
            </w:tcBorders>
            <w:hideMark/>
          </w:tcPr>
          <w:p w14:paraId="4FF305B6" w14:textId="77777777" w:rsidR="0073397F" w:rsidRPr="00344BD2" w:rsidRDefault="0073397F">
            <w:pPr>
              <w:tabs>
                <w:tab w:val="left" w:pos="567"/>
              </w:tabs>
              <w:spacing w:after="0"/>
              <w:rPr>
                <w:rFonts w:ascii="Arial" w:hAnsi="Arial" w:cs="Arial"/>
                <w:sz w:val="20"/>
                <w:szCs w:val="20"/>
                <w:u w:val="single"/>
              </w:rPr>
            </w:pPr>
            <w:r w:rsidRPr="00344BD2">
              <w:rPr>
                <w:rFonts w:ascii="Arial" w:hAnsi="Arial" w:cs="Arial"/>
                <w:color w:val="000000"/>
                <w:sz w:val="20"/>
                <w:szCs w:val="20"/>
              </w:rPr>
              <w:t>0.26 (0.09, 0.76)</w:t>
            </w:r>
          </w:p>
        </w:tc>
      </w:tr>
      <w:tr w:rsidR="0073397F" w:rsidRPr="00344BD2" w14:paraId="4FF438D1" w14:textId="77777777" w:rsidTr="0073397F">
        <w:tc>
          <w:tcPr>
            <w:tcW w:w="1242" w:type="dxa"/>
            <w:tcBorders>
              <w:top w:val="single" w:sz="4" w:space="0" w:color="auto"/>
              <w:left w:val="single" w:sz="4" w:space="0" w:color="auto"/>
              <w:bottom w:val="single" w:sz="4" w:space="0" w:color="auto"/>
              <w:right w:val="single" w:sz="4" w:space="0" w:color="auto"/>
            </w:tcBorders>
            <w:hideMark/>
          </w:tcPr>
          <w:p w14:paraId="5A93A504" w14:textId="77777777" w:rsidR="0073397F" w:rsidRPr="00344BD2" w:rsidRDefault="0073397F">
            <w:pPr>
              <w:tabs>
                <w:tab w:val="left" w:pos="567"/>
              </w:tabs>
              <w:spacing w:after="0"/>
              <w:rPr>
                <w:rFonts w:ascii="Arial" w:hAnsi="Arial" w:cs="Arial"/>
                <w:sz w:val="20"/>
                <w:szCs w:val="20"/>
              </w:rPr>
            </w:pPr>
            <w:r w:rsidRPr="00344BD2">
              <w:rPr>
                <w:rFonts w:ascii="Arial" w:hAnsi="Arial" w:cs="Arial"/>
                <w:sz w:val="20"/>
                <w:szCs w:val="20"/>
              </w:rPr>
              <w:t>Non-Black</w:t>
            </w:r>
          </w:p>
        </w:tc>
        <w:tc>
          <w:tcPr>
            <w:tcW w:w="1560" w:type="dxa"/>
            <w:tcBorders>
              <w:top w:val="single" w:sz="4" w:space="0" w:color="auto"/>
              <w:left w:val="single" w:sz="4" w:space="0" w:color="auto"/>
              <w:bottom w:val="single" w:sz="4" w:space="0" w:color="auto"/>
              <w:right w:val="single" w:sz="4" w:space="0" w:color="auto"/>
            </w:tcBorders>
            <w:hideMark/>
          </w:tcPr>
          <w:p w14:paraId="6D2E7D9E"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14:paraId="2B95F735"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836</w:t>
            </w:r>
          </w:p>
        </w:tc>
        <w:tc>
          <w:tcPr>
            <w:tcW w:w="1559" w:type="dxa"/>
            <w:tcBorders>
              <w:top w:val="single" w:sz="4" w:space="0" w:color="auto"/>
              <w:left w:val="single" w:sz="4" w:space="0" w:color="auto"/>
              <w:bottom w:val="single" w:sz="4" w:space="0" w:color="auto"/>
              <w:right w:val="single" w:sz="4" w:space="0" w:color="auto"/>
            </w:tcBorders>
            <w:hideMark/>
          </w:tcPr>
          <w:p w14:paraId="333979CE"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0.50</w:t>
            </w:r>
          </w:p>
        </w:tc>
        <w:tc>
          <w:tcPr>
            <w:tcW w:w="1134" w:type="dxa"/>
            <w:tcBorders>
              <w:top w:val="single" w:sz="4" w:space="0" w:color="auto"/>
              <w:left w:val="single" w:sz="4" w:space="0" w:color="auto"/>
              <w:bottom w:val="single" w:sz="4" w:space="0" w:color="auto"/>
              <w:right w:val="single" w:sz="4" w:space="0" w:color="auto"/>
            </w:tcBorders>
            <w:hideMark/>
          </w:tcPr>
          <w:p w14:paraId="3F02AD9A"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801</w:t>
            </w:r>
          </w:p>
        </w:tc>
        <w:tc>
          <w:tcPr>
            <w:tcW w:w="1808" w:type="dxa"/>
            <w:tcBorders>
              <w:top w:val="single" w:sz="4" w:space="0" w:color="auto"/>
              <w:left w:val="single" w:sz="4" w:space="0" w:color="auto"/>
              <w:bottom w:val="single" w:sz="4" w:space="0" w:color="auto"/>
              <w:right w:val="single" w:sz="4" w:space="0" w:color="auto"/>
            </w:tcBorders>
            <w:hideMark/>
          </w:tcPr>
          <w:p w14:paraId="64CAB7A6"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0.11 (0.00, 2.80)</w:t>
            </w:r>
          </w:p>
        </w:tc>
      </w:tr>
      <w:tr w:rsidR="0073397F" w:rsidRPr="00344BD2" w14:paraId="22DF0DAD" w14:textId="77777777" w:rsidTr="0073397F">
        <w:tc>
          <w:tcPr>
            <w:tcW w:w="1242" w:type="dxa"/>
            <w:tcBorders>
              <w:top w:val="single" w:sz="4" w:space="0" w:color="auto"/>
              <w:left w:val="single" w:sz="4" w:space="0" w:color="auto"/>
              <w:bottom w:val="single" w:sz="4" w:space="0" w:color="auto"/>
              <w:right w:val="single" w:sz="4" w:space="0" w:color="auto"/>
            </w:tcBorders>
            <w:hideMark/>
          </w:tcPr>
          <w:p w14:paraId="673477C6" w14:textId="77777777" w:rsidR="0073397F" w:rsidRPr="00344BD2" w:rsidRDefault="0073397F">
            <w:pPr>
              <w:tabs>
                <w:tab w:val="left" w:pos="567"/>
              </w:tabs>
              <w:spacing w:after="0"/>
              <w:rPr>
                <w:rFonts w:ascii="Arial" w:hAnsi="Arial" w:cs="Arial"/>
                <w:b/>
                <w:sz w:val="20"/>
                <w:szCs w:val="20"/>
              </w:rPr>
            </w:pPr>
            <w:r w:rsidRPr="00344BD2">
              <w:rPr>
                <w:rFonts w:ascii="Arial" w:hAnsi="Arial" w:cs="Arial"/>
                <w:b/>
                <w:sz w:val="20"/>
                <w:szCs w:val="20"/>
              </w:rPr>
              <w:t>Region</w:t>
            </w:r>
          </w:p>
        </w:tc>
        <w:tc>
          <w:tcPr>
            <w:tcW w:w="1560" w:type="dxa"/>
            <w:tcBorders>
              <w:top w:val="single" w:sz="4" w:space="0" w:color="auto"/>
              <w:left w:val="single" w:sz="4" w:space="0" w:color="auto"/>
              <w:bottom w:val="single" w:sz="4" w:space="0" w:color="auto"/>
              <w:right w:val="single" w:sz="4" w:space="0" w:color="auto"/>
            </w:tcBorders>
          </w:tcPr>
          <w:p w14:paraId="62E3DC91" w14:textId="77777777" w:rsidR="0073397F" w:rsidRPr="00344BD2" w:rsidRDefault="0073397F">
            <w:pPr>
              <w:tabs>
                <w:tab w:val="left" w:pos="567"/>
              </w:tabs>
              <w:spacing w:after="0"/>
              <w:rPr>
                <w:rFonts w:ascii="Arial" w:hAnsi="Arial" w:cs="Arial"/>
                <w:sz w:val="20"/>
                <w:szCs w:val="20"/>
                <w:u w:val="single"/>
              </w:rPr>
            </w:pPr>
          </w:p>
        </w:tc>
        <w:tc>
          <w:tcPr>
            <w:tcW w:w="1559" w:type="dxa"/>
            <w:tcBorders>
              <w:top w:val="single" w:sz="4" w:space="0" w:color="auto"/>
              <w:left w:val="single" w:sz="4" w:space="0" w:color="auto"/>
              <w:bottom w:val="single" w:sz="4" w:space="0" w:color="auto"/>
              <w:right w:val="single" w:sz="4" w:space="0" w:color="auto"/>
            </w:tcBorders>
          </w:tcPr>
          <w:p w14:paraId="5A918742" w14:textId="77777777" w:rsidR="0073397F" w:rsidRPr="00344BD2" w:rsidRDefault="0073397F">
            <w:pPr>
              <w:tabs>
                <w:tab w:val="left" w:pos="567"/>
              </w:tabs>
              <w:spacing w:after="0"/>
              <w:rPr>
                <w:rFonts w:ascii="Arial" w:hAnsi="Arial" w:cs="Arial"/>
                <w:sz w:val="20"/>
                <w:szCs w:val="20"/>
                <w:u w:val="single"/>
              </w:rPr>
            </w:pPr>
          </w:p>
        </w:tc>
        <w:tc>
          <w:tcPr>
            <w:tcW w:w="1559" w:type="dxa"/>
            <w:tcBorders>
              <w:top w:val="single" w:sz="4" w:space="0" w:color="auto"/>
              <w:left w:val="single" w:sz="4" w:space="0" w:color="auto"/>
              <w:bottom w:val="single" w:sz="4" w:space="0" w:color="auto"/>
              <w:right w:val="single" w:sz="4" w:space="0" w:color="auto"/>
            </w:tcBorders>
          </w:tcPr>
          <w:p w14:paraId="1BFECDFD" w14:textId="77777777" w:rsidR="0073397F" w:rsidRPr="00344BD2" w:rsidRDefault="0073397F">
            <w:pPr>
              <w:tabs>
                <w:tab w:val="left" w:pos="567"/>
              </w:tabs>
              <w:spacing w:after="0"/>
              <w:rPr>
                <w:rFonts w:ascii="Arial" w:hAnsi="Arial" w:cs="Arial"/>
                <w:sz w:val="20"/>
                <w:szCs w:val="20"/>
                <w:u w:val="single"/>
              </w:rPr>
            </w:pPr>
          </w:p>
        </w:tc>
        <w:tc>
          <w:tcPr>
            <w:tcW w:w="1134" w:type="dxa"/>
            <w:tcBorders>
              <w:top w:val="single" w:sz="4" w:space="0" w:color="auto"/>
              <w:left w:val="single" w:sz="4" w:space="0" w:color="auto"/>
              <w:bottom w:val="single" w:sz="4" w:space="0" w:color="auto"/>
              <w:right w:val="single" w:sz="4" w:space="0" w:color="auto"/>
            </w:tcBorders>
          </w:tcPr>
          <w:p w14:paraId="193122AD" w14:textId="77777777" w:rsidR="0073397F" w:rsidRPr="00344BD2" w:rsidRDefault="0073397F">
            <w:pPr>
              <w:tabs>
                <w:tab w:val="left" w:pos="567"/>
              </w:tabs>
              <w:spacing w:after="0"/>
              <w:rPr>
                <w:rFonts w:ascii="Arial" w:hAnsi="Arial" w:cs="Arial"/>
                <w:sz w:val="20"/>
                <w:szCs w:val="20"/>
                <w:u w:val="single"/>
              </w:rPr>
            </w:pPr>
          </w:p>
        </w:tc>
        <w:tc>
          <w:tcPr>
            <w:tcW w:w="1808" w:type="dxa"/>
            <w:tcBorders>
              <w:top w:val="single" w:sz="4" w:space="0" w:color="auto"/>
              <w:left w:val="single" w:sz="4" w:space="0" w:color="auto"/>
              <w:bottom w:val="single" w:sz="4" w:space="0" w:color="auto"/>
              <w:right w:val="single" w:sz="4" w:space="0" w:color="auto"/>
            </w:tcBorders>
          </w:tcPr>
          <w:p w14:paraId="0D0C106E" w14:textId="77777777" w:rsidR="0073397F" w:rsidRPr="00344BD2" w:rsidRDefault="0073397F">
            <w:pPr>
              <w:tabs>
                <w:tab w:val="left" w:pos="567"/>
              </w:tabs>
              <w:spacing w:after="0"/>
              <w:rPr>
                <w:rFonts w:ascii="Arial" w:hAnsi="Arial" w:cs="Arial"/>
                <w:sz w:val="20"/>
                <w:szCs w:val="20"/>
                <w:u w:val="single"/>
              </w:rPr>
            </w:pPr>
          </w:p>
        </w:tc>
      </w:tr>
      <w:tr w:rsidR="0073397F" w:rsidRPr="00344BD2" w14:paraId="59901347" w14:textId="77777777" w:rsidTr="0073397F">
        <w:tc>
          <w:tcPr>
            <w:tcW w:w="1242" w:type="dxa"/>
            <w:tcBorders>
              <w:top w:val="single" w:sz="4" w:space="0" w:color="auto"/>
              <w:left w:val="single" w:sz="4" w:space="0" w:color="auto"/>
              <w:bottom w:val="single" w:sz="4" w:space="0" w:color="auto"/>
              <w:right w:val="single" w:sz="4" w:space="0" w:color="auto"/>
            </w:tcBorders>
            <w:hideMark/>
          </w:tcPr>
          <w:p w14:paraId="621C64C9" w14:textId="77777777" w:rsidR="0073397F" w:rsidRPr="00344BD2" w:rsidRDefault="0073397F">
            <w:pPr>
              <w:tabs>
                <w:tab w:val="left" w:pos="567"/>
              </w:tabs>
              <w:spacing w:after="0"/>
              <w:rPr>
                <w:rFonts w:ascii="Arial" w:hAnsi="Arial" w:cs="Arial"/>
                <w:sz w:val="20"/>
                <w:szCs w:val="20"/>
              </w:rPr>
            </w:pPr>
            <w:r w:rsidRPr="00344BD2">
              <w:rPr>
                <w:rFonts w:ascii="Arial" w:hAnsi="Arial" w:cs="Arial"/>
                <w:sz w:val="20"/>
                <w:szCs w:val="20"/>
              </w:rPr>
              <w:t>US</w:t>
            </w:r>
          </w:p>
        </w:tc>
        <w:tc>
          <w:tcPr>
            <w:tcW w:w="1560" w:type="dxa"/>
            <w:tcBorders>
              <w:top w:val="single" w:sz="4" w:space="0" w:color="auto"/>
              <w:left w:val="single" w:sz="4" w:space="0" w:color="auto"/>
              <w:bottom w:val="single" w:sz="4" w:space="0" w:color="auto"/>
              <w:right w:val="single" w:sz="4" w:space="0" w:color="auto"/>
            </w:tcBorders>
            <w:hideMark/>
          </w:tcPr>
          <w:p w14:paraId="76536309" w14:textId="77777777" w:rsidR="0073397F" w:rsidRPr="00344BD2" w:rsidRDefault="0073397F">
            <w:pPr>
              <w:tabs>
                <w:tab w:val="left" w:pos="567"/>
              </w:tabs>
              <w:spacing w:after="0"/>
              <w:rPr>
                <w:rFonts w:ascii="Arial" w:hAnsi="Arial" w:cs="Arial"/>
                <w:sz w:val="20"/>
                <w:szCs w:val="20"/>
                <w:u w:val="single"/>
              </w:rPr>
            </w:pPr>
            <w:r w:rsidRPr="00344BD2">
              <w:rPr>
                <w:rFonts w:ascii="Arial" w:hAnsi="Arial" w:cs="Arial"/>
                <w:color w:val="000000"/>
                <w:sz w:val="20"/>
                <w:szCs w:val="20"/>
              </w:rPr>
              <w:t>0.26</w:t>
            </w:r>
          </w:p>
        </w:tc>
        <w:tc>
          <w:tcPr>
            <w:tcW w:w="1559" w:type="dxa"/>
            <w:tcBorders>
              <w:top w:val="single" w:sz="4" w:space="0" w:color="auto"/>
              <w:left w:val="single" w:sz="4" w:space="0" w:color="auto"/>
              <w:bottom w:val="single" w:sz="4" w:space="0" w:color="auto"/>
              <w:right w:val="single" w:sz="4" w:space="0" w:color="auto"/>
            </w:tcBorders>
            <w:hideMark/>
          </w:tcPr>
          <w:p w14:paraId="780B3F4F"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1528</w:t>
            </w:r>
          </w:p>
        </w:tc>
        <w:tc>
          <w:tcPr>
            <w:tcW w:w="1559" w:type="dxa"/>
            <w:tcBorders>
              <w:top w:val="single" w:sz="4" w:space="0" w:color="auto"/>
              <w:left w:val="single" w:sz="4" w:space="0" w:color="auto"/>
              <w:bottom w:val="single" w:sz="4" w:space="0" w:color="auto"/>
              <w:right w:val="single" w:sz="4" w:space="0" w:color="auto"/>
            </w:tcBorders>
            <w:hideMark/>
          </w:tcPr>
          <w:p w14:paraId="6288C164" w14:textId="77777777" w:rsidR="0073397F" w:rsidRPr="00344BD2" w:rsidRDefault="0073397F">
            <w:pPr>
              <w:tabs>
                <w:tab w:val="left" w:pos="567"/>
              </w:tabs>
              <w:spacing w:after="0"/>
              <w:rPr>
                <w:rFonts w:ascii="Arial" w:hAnsi="Arial" w:cs="Arial"/>
                <w:sz w:val="20"/>
                <w:szCs w:val="20"/>
                <w:u w:val="single"/>
              </w:rPr>
            </w:pPr>
            <w:r w:rsidRPr="00344BD2">
              <w:rPr>
                <w:rFonts w:ascii="Arial" w:hAnsi="Arial" w:cs="Arial"/>
                <w:color w:val="000000"/>
                <w:sz w:val="20"/>
                <w:szCs w:val="20"/>
              </w:rPr>
              <w:t>1.33</w:t>
            </w:r>
          </w:p>
        </w:tc>
        <w:tc>
          <w:tcPr>
            <w:tcW w:w="1134" w:type="dxa"/>
            <w:tcBorders>
              <w:top w:val="single" w:sz="4" w:space="0" w:color="auto"/>
              <w:left w:val="single" w:sz="4" w:space="0" w:color="auto"/>
              <w:bottom w:val="single" w:sz="4" w:space="0" w:color="auto"/>
              <w:right w:val="single" w:sz="4" w:space="0" w:color="auto"/>
            </w:tcBorders>
            <w:hideMark/>
          </w:tcPr>
          <w:p w14:paraId="337017BC" w14:textId="77777777" w:rsidR="0073397F" w:rsidRPr="00344BD2" w:rsidRDefault="0073397F">
            <w:pPr>
              <w:adjustRightInd w:val="0"/>
              <w:spacing w:before="40" w:after="40" w:line="254" w:lineRule="auto"/>
              <w:rPr>
                <w:rFonts w:ascii="Arial" w:hAnsi="Arial" w:cs="Arial"/>
                <w:color w:val="000000"/>
                <w:sz w:val="20"/>
                <w:szCs w:val="20"/>
              </w:rPr>
            </w:pPr>
            <w:r w:rsidRPr="00344BD2">
              <w:rPr>
                <w:rFonts w:ascii="Arial" w:hAnsi="Arial" w:cs="Arial"/>
                <w:color w:val="000000"/>
                <w:sz w:val="20"/>
                <w:szCs w:val="20"/>
              </w:rPr>
              <w:t>1504</w:t>
            </w:r>
          </w:p>
        </w:tc>
        <w:tc>
          <w:tcPr>
            <w:tcW w:w="1808" w:type="dxa"/>
            <w:tcBorders>
              <w:top w:val="single" w:sz="4" w:space="0" w:color="auto"/>
              <w:left w:val="single" w:sz="4" w:space="0" w:color="auto"/>
              <w:bottom w:val="single" w:sz="4" w:space="0" w:color="auto"/>
              <w:right w:val="single" w:sz="4" w:space="0" w:color="auto"/>
            </w:tcBorders>
            <w:hideMark/>
          </w:tcPr>
          <w:p w14:paraId="6E4B4B2E" w14:textId="77777777" w:rsidR="0073397F" w:rsidRPr="00344BD2" w:rsidRDefault="0073397F">
            <w:pPr>
              <w:adjustRightInd w:val="0"/>
              <w:spacing w:before="40" w:after="40" w:line="254" w:lineRule="auto"/>
              <w:rPr>
                <w:rFonts w:ascii="Arial" w:hAnsi="Arial" w:cs="Arial"/>
                <w:color w:val="000000"/>
                <w:sz w:val="20"/>
                <w:szCs w:val="20"/>
              </w:rPr>
            </w:pPr>
            <w:r w:rsidRPr="00344BD2">
              <w:rPr>
                <w:rFonts w:ascii="Arial" w:hAnsi="Arial" w:cs="Arial"/>
                <w:color w:val="000000"/>
                <w:sz w:val="20"/>
                <w:szCs w:val="20"/>
              </w:rPr>
              <w:t>0.21 (0.07, 0.60)</w:t>
            </w:r>
          </w:p>
        </w:tc>
      </w:tr>
      <w:tr w:rsidR="0073397F" w:rsidRPr="00344BD2" w14:paraId="005520D5" w14:textId="77777777" w:rsidTr="0073397F">
        <w:tc>
          <w:tcPr>
            <w:tcW w:w="1242" w:type="dxa"/>
            <w:tcBorders>
              <w:top w:val="single" w:sz="4" w:space="0" w:color="auto"/>
              <w:left w:val="single" w:sz="4" w:space="0" w:color="auto"/>
              <w:bottom w:val="single" w:sz="4" w:space="0" w:color="auto"/>
              <w:right w:val="single" w:sz="4" w:space="0" w:color="auto"/>
            </w:tcBorders>
            <w:hideMark/>
          </w:tcPr>
          <w:p w14:paraId="07407678" w14:textId="77777777" w:rsidR="0073397F" w:rsidRPr="00344BD2" w:rsidRDefault="0073397F">
            <w:pPr>
              <w:tabs>
                <w:tab w:val="left" w:pos="567"/>
              </w:tabs>
              <w:spacing w:after="0"/>
              <w:rPr>
                <w:rFonts w:ascii="Arial" w:hAnsi="Arial" w:cs="Arial"/>
                <w:sz w:val="20"/>
                <w:szCs w:val="20"/>
              </w:rPr>
            </w:pPr>
            <w:r w:rsidRPr="00344BD2">
              <w:rPr>
                <w:rFonts w:ascii="Arial" w:hAnsi="Arial" w:cs="Arial"/>
                <w:sz w:val="20"/>
                <w:szCs w:val="20"/>
              </w:rPr>
              <w:t>Latin America</w:t>
            </w:r>
          </w:p>
        </w:tc>
        <w:tc>
          <w:tcPr>
            <w:tcW w:w="1560" w:type="dxa"/>
            <w:tcBorders>
              <w:top w:val="single" w:sz="4" w:space="0" w:color="auto"/>
              <w:left w:val="single" w:sz="4" w:space="0" w:color="auto"/>
              <w:bottom w:val="single" w:sz="4" w:space="0" w:color="auto"/>
              <w:right w:val="single" w:sz="4" w:space="0" w:color="auto"/>
            </w:tcBorders>
            <w:hideMark/>
          </w:tcPr>
          <w:p w14:paraId="4F0D8DBE" w14:textId="3DF9E675" w:rsidR="0073397F" w:rsidRPr="00344BD2" w:rsidRDefault="00F74116">
            <w:pPr>
              <w:tabs>
                <w:tab w:val="left" w:pos="567"/>
              </w:tabs>
              <w:spacing w:after="0"/>
              <w:rPr>
                <w:rFonts w:ascii="Arial" w:hAnsi="Arial" w:cs="Arial"/>
                <w:color w:val="000000"/>
                <w:sz w:val="20"/>
                <w:szCs w:val="20"/>
              </w:rPr>
            </w:pPr>
            <w:r w:rsidRPr="00344BD2">
              <w:rPr>
                <w:rFonts w:ascii="Arial" w:hAnsi="Arial" w:cs="Arial"/>
                <w:color w:val="000000"/>
                <w:sz w:val="20"/>
                <w:szCs w:val="20"/>
              </w:rPr>
              <w:t>0.49</w:t>
            </w:r>
          </w:p>
        </w:tc>
        <w:tc>
          <w:tcPr>
            <w:tcW w:w="1559" w:type="dxa"/>
            <w:tcBorders>
              <w:top w:val="single" w:sz="4" w:space="0" w:color="auto"/>
              <w:left w:val="single" w:sz="4" w:space="0" w:color="auto"/>
              <w:bottom w:val="single" w:sz="4" w:space="0" w:color="auto"/>
              <w:right w:val="single" w:sz="4" w:space="0" w:color="auto"/>
            </w:tcBorders>
            <w:hideMark/>
          </w:tcPr>
          <w:p w14:paraId="56039C0C" w14:textId="2FA4C915"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102</w:t>
            </w:r>
            <w:r w:rsidR="00586FD8">
              <w:rPr>
                <w:rFonts w:ascii="Arial" w:hAnsi="Arial" w:cs="Arial"/>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hideMark/>
          </w:tcPr>
          <w:p w14:paraId="63865305"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1.09</w:t>
            </w:r>
          </w:p>
        </w:tc>
        <w:tc>
          <w:tcPr>
            <w:tcW w:w="1134" w:type="dxa"/>
            <w:tcBorders>
              <w:top w:val="single" w:sz="4" w:space="0" w:color="auto"/>
              <w:left w:val="single" w:sz="4" w:space="0" w:color="auto"/>
              <w:bottom w:val="single" w:sz="4" w:space="0" w:color="auto"/>
              <w:right w:val="single" w:sz="4" w:space="0" w:color="auto"/>
            </w:tcBorders>
            <w:hideMark/>
          </w:tcPr>
          <w:p w14:paraId="332BDEC7" w14:textId="77777777" w:rsidR="0073397F" w:rsidRPr="00344BD2" w:rsidRDefault="0073397F">
            <w:pPr>
              <w:adjustRightInd w:val="0"/>
              <w:spacing w:before="40" w:after="40" w:line="254" w:lineRule="auto"/>
              <w:rPr>
                <w:rFonts w:ascii="Arial" w:hAnsi="Arial" w:cs="Arial"/>
                <w:color w:val="000000"/>
                <w:sz w:val="20"/>
                <w:szCs w:val="20"/>
              </w:rPr>
            </w:pPr>
            <w:r w:rsidRPr="00344BD2">
              <w:rPr>
                <w:rFonts w:ascii="Arial" w:hAnsi="Arial" w:cs="Arial"/>
                <w:color w:val="000000"/>
                <w:sz w:val="20"/>
                <w:szCs w:val="20"/>
              </w:rPr>
              <w:t>1011</w:t>
            </w:r>
          </w:p>
        </w:tc>
        <w:tc>
          <w:tcPr>
            <w:tcW w:w="1808" w:type="dxa"/>
            <w:tcBorders>
              <w:top w:val="single" w:sz="4" w:space="0" w:color="auto"/>
              <w:left w:val="single" w:sz="4" w:space="0" w:color="auto"/>
              <w:bottom w:val="single" w:sz="4" w:space="0" w:color="auto"/>
              <w:right w:val="single" w:sz="4" w:space="0" w:color="auto"/>
            </w:tcBorders>
            <w:hideMark/>
          </w:tcPr>
          <w:p w14:paraId="350E4AB7" w14:textId="00FF0A3E" w:rsidR="0073397F" w:rsidRPr="00344BD2" w:rsidRDefault="0073397F">
            <w:pPr>
              <w:adjustRightInd w:val="0"/>
              <w:spacing w:before="40" w:after="40" w:line="254" w:lineRule="auto"/>
              <w:rPr>
                <w:rFonts w:ascii="Arial" w:hAnsi="Arial" w:cs="Arial"/>
                <w:color w:val="000000"/>
                <w:sz w:val="20"/>
                <w:szCs w:val="20"/>
              </w:rPr>
            </w:pPr>
            <w:r w:rsidRPr="00344BD2">
              <w:rPr>
                <w:rFonts w:ascii="Arial" w:hAnsi="Arial" w:cs="Arial"/>
                <w:color w:val="000000"/>
                <w:sz w:val="20"/>
                <w:szCs w:val="20"/>
              </w:rPr>
              <w:t>0.</w:t>
            </w:r>
            <w:r w:rsidR="00593033" w:rsidRPr="00344BD2">
              <w:rPr>
                <w:rFonts w:ascii="Arial" w:hAnsi="Arial" w:cs="Arial"/>
                <w:color w:val="000000"/>
                <w:sz w:val="20"/>
                <w:szCs w:val="20"/>
              </w:rPr>
              <w:t>47</w:t>
            </w:r>
            <w:r w:rsidRPr="00344BD2">
              <w:rPr>
                <w:rFonts w:ascii="Arial" w:hAnsi="Arial" w:cs="Arial"/>
                <w:color w:val="000000"/>
                <w:sz w:val="20"/>
                <w:szCs w:val="20"/>
              </w:rPr>
              <w:t xml:space="preserve"> (0.</w:t>
            </w:r>
            <w:r w:rsidR="00593033" w:rsidRPr="00344BD2">
              <w:rPr>
                <w:rFonts w:ascii="Arial" w:hAnsi="Arial" w:cs="Arial"/>
                <w:color w:val="000000"/>
                <w:sz w:val="20"/>
                <w:szCs w:val="20"/>
              </w:rPr>
              <w:t>17</w:t>
            </w:r>
            <w:r w:rsidRPr="00344BD2">
              <w:rPr>
                <w:rFonts w:ascii="Arial" w:hAnsi="Arial" w:cs="Arial"/>
                <w:color w:val="000000"/>
                <w:sz w:val="20"/>
                <w:szCs w:val="20"/>
              </w:rPr>
              <w:t>, 1.</w:t>
            </w:r>
            <w:r w:rsidR="00593033" w:rsidRPr="00344BD2">
              <w:rPr>
                <w:rFonts w:ascii="Arial" w:hAnsi="Arial" w:cs="Arial"/>
                <w:color w:val="000000"/>
                <w:sz w:val="20"/>
                <w:szCs w:val="20"/>
              </w:rPr>
              <w:t>35</w:t>
            </w:r>
            <w:r w:rsidRPr="00344BD2">
              <w:rPr>
                <w:rFonts w:ascii="Arial" w:hAnsi="Arial" w:cs="Arial"/>
                <w:color w:val="000000"/>
                <w:sz w:val="20"/>
                <w:szCs w:val="20"/>
              </w:rPr>
              <w:t>)</w:t>
            </w:r>
          </w:p>
        </w:tc>
      </w:tr>
      <w:tr w:rsidR="0073397F" w:rsidRPr="00344BD2" w14:paraId="19E5846A" w14:textId="77777777" w:rsidTr="0073397F">
        <w:tc>
          <w:tcPr>
            <w:tcW w:w="1242" w:type="dxa"/>
            <w:tcBorders>
              <w:top w:val="single" w:sz="4" w:space="0" w:color="auto"/>
              <w:left w:val="single" w:sz="4" w:space="0" w:color="auto"/>
              <w:bottom w:val="single" w:sz="4" w:space="0" w:color="auto"/>
              <w:right w:val="single" w:sz="4" w:space="0" w:color="auto"/>
            </w:tcBorders>
            <w:hideMark/>
          </w:tcPr>
          <w:p w14:paraId="5CD93064" w14:textId="77777777" w:rsidR="0073397F" w:rsidRPr="00344BD2" w:rsidRDefault="0073397F">
            <w:pPr>
              <w:tabs>
                <w:tab w:val="left" w:pos="567"/>
              </w:tabs>
              <w:spacing w:after="0"/>
              <w:rPr>
                <w:rFonts w:ascii="Arial" w:hAnsi="Arial" w:cs="Arial"/>
                <w:sz w:val="20"/>
                <w:szCs w:val="20"/>
              </w:rPr>
            </w:pPr>
            <w:r w:rsidRPr="00344BD2">
              <w:rPr>
                <w:rFonts w:ascii="Arial" w:hAnsi="Arial" w:cs="Arial"/>
                <w:sz w:val="20"/>
                <w:szCs w:val="20"/>
              </w:rPr>
              <w:t>Asia</w:t>
            </w:r>
          </w:p>
        </w:tc>
        <w:tc>
          <w:tcPr>
            <w:tcW w:w="1560" w:type="dxa"/>
            <w:tcBorders>
              <w:top w:val="single" w:sz="4" w:space="0" w:color="auto"/>
              <w:left w:val="single" w:sz="4" w:space="0" w:color="auto"/>
              <w:bottom w:val="single" w:sz="4" w:space="0" w:color="auto"/>
              <w:right w:val="single" w:sz="4" w:space="0" w:color="auto"/>
            </w:tcBorders>
            <w:hideMark/>
          </w:tcPr>
          <w:p w14:paraId="13226232"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0.35</w:t>
            </w:r>
          </w:p>
        </w:tc>
        <w:tc>
          <w:tcPr>
            <w:tcW w:w="1559" w:type="dxa"/>
            <w:tcBorders>
              <w:top w:val="single" w:sz="4" w:space="0" w:color="auto"/>
              <w:left w:val="single" w:sz="4" w:space="0" w:color="auto"/>
              <w:bottom w:val="single" w:sz="4" w:space="0" w:color="auto"/>
              <w:right w:val="single" w:sz="4" w:space="0" w:color="auto"/>
            </w:tcBorders>
            <w:hideMark/>
          </w:tcPr>
          <w:p w14:paraId="291DCF50"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570</w:t>
            </w:r>
          </w:p>
        </w:tc>
        <w:tc>
          <w:tcPr>
            <w:tcW w:w="1559" w:type="dxa"/>
            <w:tcBorders>
              <w:top w:val="single" w:sz="4" w:space="0" w:color="auto"/>
              <w:left w:val="single" w:sz="4" w:space="0" w:color="auto"/>
              <w:bottom w:val="single" w:sz="4" w:space="0" w:color="auto"/>
              <w:right w:val="single" w:sz="4" w:space="0" w:color="auto"/>
            </w:tcBorders>
            <w:hideMark/>
          </w:tcPr>
          <w:p w14:paraId="77A6FDE9"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1.03</w:t>
            </w:r>
          </w:p>
        </w:tc>
        <w:tc>
          <w:tcPr>
            <w:tcW w:w="1134" w:type="dxa"/>
            <w:tcBorders>
              <w:top w:val="single" w:sz="4" w:space="0" w:color="auto"/>
              <w:left w:val="single" w:sz="4" w:space="0" w:color="auto"/>
              <w:bottom w:val="single" w:sz="4" w:space="0" w:color="auto"/>
              <w:right w:val="single" w:sz="4" w:space="0" w:color="auto"/>
            </w:tcBorders>
            <w:hideMark/>
          </w:tcPr>
          <w:p w14:paraId="5C67C948" w14:textId="77777777" w:rsidR="0073397F" w:rsidRPr="00344BD2" w:rsidRDefault="0073397F">
            <w:pPr>
              <w:adjustRightInd w:val="0"/>
              <w:spacing w:before="40" w:after="40" w:line="254" w:lineRule="auto"/>
              <w:rPr>
                <w:rFonts w:ascii="Arial" w:hAnsi="Arial" w:cs="Arial"/>
                <w:color w:val="000000"/>
                <w:sz w:val="20"/>
                <w:szCs w:val="20"/>
              </w:rPr>
            </w:pPr>
            <w:r w:rsidRPr="00344BD2">
              <w:rPr>
                <w:rFonts w:ascii="Arial" w:hAnsi="Arial" w:cs="Arial"/>
                <w:color w:val="000000"/>
                <w:sz w:val="20"/>
                <w:szCs w:val="20"/>
              </w:rPr>
              <w:t>581</w:t>
            </w:r>
          </w:p>
        </w:tc>
        <w:tc>
          <w:tcPr>
            <w:tcW w:w="1808" w:type="dxa"/>
            <w:tcBorders>
              <w:top w:val="single" w:sz="4" w:space="0" w:color="auto"/>
              <w:left w:val="single" w:sz="4" w:space="0" w:color="auto"/>
              <w:bottom w:val="single" w:sz="4" w:space="0" w:color="auto"/>
              <w:right w:val="single" w:sz="4" w:space="0" w:color="auto"/>
            </w:tcBorders>
            <w:hideMark/>
          </w:tcPr>
          <w:p w14:paraId="14A1AFE4" w14:textId="77777777" w:rsidR="0073397F" w:rsidRPr="00344BD2" w:rsidRDefault="0073397F">
            <w:pPr>
              <w:adjustRightInd w:val="0"/>
              <w:spacing w:before="40" w:after="40" w:line="254" w:lineRule="auto"/>
              <w:rPr>
                <w:rFonts w:ascii="Arial" w:hAnsi="Arial" w:cs="Arial"/>
                <w:color w:val="000000"/>
                <w:sz w:val="20"/>
                <w:szCs w:val="20"/>
              </w:rPr>
            </w:pPr>
            <w:r w:rsidRPr="00344BD2">
              <w:rPr>
                <w:rFonts w:ascii="Arial" w:hAnsi="Arial" w:cs="Arial"/>
                <w:color w:val="000000"/>
                <w:sz w:val="20"/>
                <w:szCs w:val="20"/>
              </w:rPr>
              <w:t>0.39 (0.08, 1.82)</w:t>
            </w:r>
          </w:p>
        </w:tc>
      </w:tr>
      <w:tr w:rsidR="0073397F" w:rsidRPr="00344BD2" w14:paraId="22E9844B" w14:textId="77777777" w:rsidTr="0073397F">
        <w:tc>
          <w:tcPr>
            <w:tcW w:w="1242" w:type="dxa"/>
            <w:tcBorders>
              <w:top w:val="single" w:sz="4" w:space="0" w:color="auto"/>
              <w:left w:val="single" w:sz="4" w:space="0" w:color="auto"/>
              <w:bottom w:val="single" w:sz="4" w:space="0" w:color="auto"/>
              <w:right w:val="single" w:sz="4" w:space="0" w:color="auto"/>
            </w:tcBorders>
            <w:hideMark/>
          </w:tcPr>
          <w:p w14:paraId="15158E08" w14:textId="77777777" w:rsidR="0073397F" w:rsidRPr="00344BD2" w:rsidRDefault="0073397F">
            <w:pPr>
              <w:tabs>
                <w:tab w:val="left" w:pos="567"/>
              </w:tabs>
              <w:spacing w:after="0"/>
              <w:rPr>
                <w:rFonts w:ascii="Arial" w:hAnsi="Arial" w:cs="Arial"/>
                <w:sz w:val="20"/>
                <w:szCs w:val="20"/>
              </w:rPr>
            </w:pPr>
            <w:r w:rsidRPr="00344BD2">
              <w:rPr>
                <w:rFonts w:ascii="Arial" w:hAnsi="Arial" w:cs="Arial"/>
                <w:sz w:val="20"/>
                <w:szCs w:val="20"/>
              </w:rPr>
              <w:t>Africa</w:t>
            </w:r>
          </w:p>
        </w:tc>
        <w:tc>
          <w:tcPr>
            <w:tcW w:w="1560" w:type="dxa"/>
            <w:tcBorders>
              <w:top w:val="single" w:sz="4" w:space="0" w:color="auto"/>
              <w:left w:val="single" w:sz="4" w:space="0" w:color="auto"/>
              <w:bottom w:val="single" w:sz="4" w:space="0" w:color="auto"/>
              <w:right w:val="single" w:sz="4" w:space="0" w:color="auto"/>
            </w:tcBorders>
            <w:hideMark/>
          </w:tcPr>
          <w:p w14:paraId="76F6933B"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1.08</w:t>
            </w:r>
          </w:p>
        </w:tc>
        <w:tc>
          <w:tcPr>
            <w:tcW w:w="1559" w:type="dxa"/>
            <w:tcBorders>
              <w:top w:val="single" w:sz="4" w:space="0" w:color="auto"/>
              <w:left w:val="single" w:sz="4" w:space="0" w:color="auto"/>
              <w:bottom w:val="single" w:sz="4" w:space="0" w:color="auto"/>
              <w:right w:val="single" w:sz="4" w:space="0" w:color="auto"/>
            </w:tcBorders>
            <w:hideMark/>
          </w:tcPr>
          <w:p w14:paraId="6C7B45D4"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93</w:t>
            </w:r>
          </w:p>
        </w:tc>
        <w:tc>
          <w:tcPr>
            <w:tcW w:w="1559" w:type="dxa"/>
            <w:tcBorders>
              <w:top w:val="single" w:sz="4" w:space="0" w:color="auto"/>
              <w:left w:val="single" w:sz="4" w:space="0" w:color="auto"/>
              <w:bottom w:val="single" w:sz="4" w:space="0" w:color="auto"/>
              <w:right w:val="single" w:sz="4" w:space="0" w:color="auto"/>
            </w:tcBorders>
            <w:hideMark/>
          </w:tcPr>
          <w:p w14:paraId="5032B88C" w14:textId="77777777" w:rsidR="0073397F" w:rsidRPr="00344BD2" w:rsidRDefault="0073397F">
            <w:pPr>
              <w:tabs>
                <w:tab w:val="left" w:pos="567"/>
              </w:tabs>
              <w:spacing w:after="0"/>
              <w:rPr>
                <w:rFonts w:ascii="Arial" w:hAnsi="Arial" w:cs="Arial"/>
                <w:color w:val="000000"/>
                <w:sz w:val="20"/>
                <w:szCs w:val="20"/>
              </w:rPr>
            </w:pPr>
            <w:r w:rsidRPr="00344BD2">
              <w:rPr>
                <w:rFonts w:ascii="Arial" w:hAnsi="Arial" w:cs="Arial"/>
                <w:color w:val="000000"/>
                <w:sz w:val="20"/>
                <w:szCs w:val="20"/>
              </w:rPr>
              <w:t>2.07</w:t>
            </w:r>
          </w:p>
        </w:tc>
        <w:tc>
          <w:tcPr>
            <w:tcW w:w="1134" w:type="dxa"/>
            <w:tcBorders>
              <w:top w:val="single" w:sz="4" w:space="0" w:color="auto"/>
              <w:left w:val="single" w:sz="4" w:space="0" w:color="auto"/>
              <w:bottom w:val="single" w:sz="4" w:space="0" w:color="auto"/>
              <w:right w:val="single" w:sz="4" w:space="0" w:color="auto"/>
            </w:tcBorders>
            <w:hideMark/>
          </w:tcPr>
          <w:p w14:paraId="44DEA74E" w14:textId="77777777" w:rsidR="0073397F" w:rsidRPr="00344BD2" w:rsidRDefault="0073397F">
            <w:pPr>
              <w:adjustRightInd w:val="0"/>
              <w:spacing w:before="40" w:after="40" w:line="254" w:lineRule="auto"/>
              <w:rPr>
                <w:rFonts w:ascii="Arial" w:hAnsi="Arial" w:cs="Arial"/>
                <w:color w:val="000000"/>
                <w:sz w:val="20"/>
                <w:szCs w:val="20"/>
              </w:rPr>
            </w:pPr>
            <w:r w:rsidRPr="00344BD2">
              <w:rPr>
                <w:rFonts w:ascii="Arial" w:hAnsi="Arial" w:cs="Arial"/>
                <w:color w:val="000000"/>
                <w:sz w:val="20"/>
                <w:szCs w:val="20"/>
              </w:rPr>
              <w:t>97</w:t>
            </w:r>
          </w:p>
        </w:tc>
        <w:tc>
          <w:tcPr>
            <w:tcW w:w="1808" w:type="dxa"/>
            <w:tcBorders>
              <w:top w:val="single" w:sz="4" w:space="0" w:color="auto"/>
              <w:left w:val="single" w:sz="4" w:space="0" w:color="auto"/>
              <w:bottom w:val="single" w:sz="4" w:space="0" w:color="auto"/>
              <w:right w:val="single" w:sz="4" w:space="0" w:color="auto"/>
            </w:tcBorders>
            <w:hideMark/>
          </w:tcPr>
          <w:p w14:paraId="2CC52A03" w14:textId="77777777" w:rsidR="0073397F" w:rsidRPr="00344BD2" w:rsidRDefault="0073397F">
            <w:pPr>
              <w:adjustRightInd w:val="0"/>
              <w:spacing w:before="40" w:after="40" w:line="254" w:lineRule="auto"/>
              <w:rPr>
                <w:rFonts w:ascii="Arial" w:hAnsi="Arial" w:cs="Arial"/>
                <w:color w:val="000000"/>
                <w:sz w:val="20"/>
                <w:szCs w:val="20"/>
              </w:rPr>
            </w:pPr>
            <w:r w:rsidRPr="00344BD2">
              <w:rPr>
                <w:rFonts w:ascii="Arial" w:hAnsi="Arial" w:cs="Arial"/>
                <w:color w:val="000000"/>
                <w:sz w:val="20"/>
                <w:szCs w:val="20"/>
              </w:rPr>
              <w:t>0.63 (0.06, 6.50)</w:t>
            </w:r>
          </w:p>
        </w:tc>
      </w:tr>
    </w:tbl>
    <w:p w14:paraId="212B267B" w14:textId="0093CC58" w:rsidR="001C5BE9" w:rsidRPr="008D73B2" w:rsidRDefault="001C5BE9" w:rsidP="001C5BE9">
      <w:pPr>
        <w:spacing w:after="0" w:line="240" w:lineRule="auto"/>
        <w:ind w:left="144" w:hanging="144"/>
        <w:rPr>
          <w:rFonts w:ascii="Arial" w:hAnsi="Arial" w:cs="Arial"/>
          <w:sz w:val="20"/>
          <w:szCs w:val="20"/>
        </w:rPr>
      </w:pPr>
      <w:r w:rsidRPr="00515B02">
        <w:rPr>
          <w:rFonts w:ascii="Arial" w:hAnsi="Arial" w:cs="Arial"/>
          <w:sz w:val="20"/>
          <w:szCs w:val="20"/>
        </w:rPr>
        <w:t xml:space="preserve"> </w:t>
      </w:r>
      <w:r w:rsidR="00515B02" w:rsidRPr="00515B02">
        <w:rPr>
          <w:rFonts w:ascii="Arial" w:hAnsi="Arial" w:cs="Arial"/>
          <w:sz w:val="20"/>
          <w:szCs w:val="20"/>
        </w:rPr>
        <w:t>MSM=</w:t>
      </w:r>
      <w:r w:rsidRPr="008D73B2">
        <w:rPr>
          <w:rFonts w:ascii="Arial" w:hAnsi="Arial" w:cs="Arial"/>
          <w:sz w:val="20"/>
          <w:szCs w:val="20"/>
        </w:rPr>
        <w:t>Cisgender men who have sex with men.</w:t>
      </w:r>
    </w:p>
    <w:p w14:paraId="0F700C56" w14:textId="41130836" w:rsidR="001C5BE9" w:rsidRPr="008D73B2" w:rsidRDefault="001C5BE9" w:rsidP="001C5BE9">
      <w:pPr>
        <w:spacing w:after="0" w:line="240" w:lineRule="auto"/>
        <w:ind w:left="144" w:hanging="144"/>
        <w:rPr>
          <w:rFonts w:ascii="Arial" w:hAnsi="Arial" w:cs="Arial"/>
          <w:sz w:val="20"/>
          <w:szCs w:val="20"/>
        </w:rPr>
      </w:pPr>
      <w:r w:rsidRPr="008D73B2">
        <w:rPr>
          <w:rFonts w:ascii="Arial" w:hAnsi="Arial" w:cs="Arial"/>
          <w:sz w:val="20"/>
          <w:szCs w:val="20"/>
        </w:rPr>
        <w:tab/>
      </w:r>
      <w:r w:rsidR="00515B02">
        <w:rPr>
          <w:rFonts w:ascii="Arial" w:hAnsi="Arial" w:cs="Arial"/>
          <w:sz w:val="20"/>
          <w:szCs w:val="20"/>
        </w:rPr>
        <w:t>TGW=</w:t>
      </w:r>
      <w:r w:rsidRPr="008D73B2">
        <w:rPr>
          <w:rFonts w:ascii="Arial" w:hAnsi="Arial" w:cs="Arial"/>
          <w:sz w:val="20"/>
          <w:szCs w:val="20"/>
        </w:rPr>
        <w:t>Transgender women who have sex with men.</w:t>
      </w:r>
    </w:p>
    <w:p w14:paraId="31FF25C8" w14:textId="44C65E25" w:rsidR="00664F17" w:rsidRDefault="00664F17" w:rsidP="00F80A98">
      <w:pPr>
        <w:rPr>
          <w:rFonts w:ascii="Arial" w:hAnsi="Arial" w:cs="Arial"/>
        </w:rPr>
      </w:pPr>
    </w:p>
    <w:p w14:paraId="2C508AAC" w14:textId="308D7CBD" w:rsidR="00215D64" w:rsidRPr="001200B8" w:rsidRDefault="00215D64" w:rsidP="001200B8">
      <w:pPr>
        <w:spacing w:after="240" w:line="240" w:lineRule="auto"/>
        <w:outlineLvl w:val="0"/>
        <w:rPr>
          <w:rFonts w:ascii="Arial" w:eastAsia="Times New Roman" w:hAnsi="Arial" w:cs="Arial"/>
          <w:bCs/>
          <w:i/>
          <w:iCs/>
          <w:lang w:val="en-GB" w:eastAsia="x-none"/>
        </w:rPr>
      </w:pPr>
      <w:r w:rsidRPr="001200B8">
        <w:rPr>
          <w:rFonts w:ascii="Arial" w:eastAsia="Times New Roman" w:hAnsi="Arial" w:cs="Arial"/>
          <w:bCs/>
          <w:i/>
          <w:iCs/>
          <w:lang w:val="en-GB" w:eastAsia="x-none"/>
        </w:rPr>
        <w:t>HPTN 084</w:t>
      </w:r>
      <w:r w:rsidR="0013564B">
        <w:rPr>
          <w:rFonts w:ascii="Arial" w:eastAsia="Times New Roman" w:hAnsi="Arial" w:cs="Arial"/>
          <w:bCs/>
          <w:i/>
          <w:iCs/>
          <w:lang w:val="en-GB" w:eastAsia="x-none"/>
        </w:rPr>
        <w:fldChar w:fldCharType="begin"/>
      </w:r>
      <w:r w:rsidR="0013564B">
        <w:rPr>
          <w:rFonts w:ascii="Arial" w:eastAsia="Times New Roman" w:hAnsi="Arial" w:cs="Arial"/>
          <w:bCs/>
          <w:i/>
          <w:iCs/>
          <w:lang w:val="en-GB" w:eastAsia="x-none"/>
        </w:rPr>
        <w:instrText xml:space="preserve"> DOCVARIABLE VAULT_ND_eea23601-b86e-428a-b30e-4616b0a534f3 \* MERGEFORMAT </w:instrText>
      </w:r>
      <w:r w:rsidR="0013564B">
        <w:rPr>
          <w:rFonts w:ascii="Arial" w:eastAsia="Times New Roman" w:hAnsi="Arial" w:cs="Arial"/>
          <w:bCs/>
          <w:i/>
          <w:iCs/>
          <w:lang w:val="en-GB" w:eastAsia="x-none"/>
        </w:rPr>
        <w:fldChar w:fldCharType="separate"/>
      </w:r>
      <w:r w:rsidR="0013564B">
        <w:rPr>
          <w:rFonts w:ascii="Arial" w:eastAsia="Times New Roman" w:hAnsi="Arial" w:cs="Arial"/>
          <w:bCs/>
          <w:i/>
          <w:iCs/>
          <w:lang w:val="en-GB" w:eastAsia="x-none"/>
        </w:rPr>
        <w:t xml:space="preserve"> </w:t>
      </w:r>
      <w:r w:rsidR="0013564B">
        <w:rPr>
          <w:rFonts w:ascii="Arial" w:eastAsia="Times New Roman" w:hAnsi="Arial" w:cs="Arial"/>
          <w:bCs/>
          <w:i/>
          <w:iCs/>
          <w:lang w:val="en-GB" w:eastAsia="x-none"/>
        </w:rPr>
        <w:fldChar w:fldCharType="end"/>
      </w:r>
    </w:p>
    <w:p w14:paraId="28E4AD45" w14:textId="122EDAF6" w:rsidR="00215D64" w:rsidRPr="00215D64" w:rsidRDefault="00215D64" w:rsidP="00215D64">
      <w:pPr>
        <w:tabs>
          <w:tab w:val="left" w:pos="720"/>
        </w:tabs>
        <w:autoSpaceDE w:val="0"/>
        <w:autoSpaceDN w:val="0"/>
        <w:adjustRightInd w:val="0"/>
        <w:spacing w:after="0"/>
        <w:rPr>
          <w:rFonts w:ascii="Arial" w:hAnsi="Arial" w:cs="Arial"/>
          <w:szCs w:val="24"/>
          <w:lang w:eastAsia="en-GB"/>
        </w:rPr>
      </w:pPr>
      <w:r w:rsidRPr="00215D64">
        <w:rPr>
          <w:rFonts w:ascii="Arial" w:hAnsi="Arial" w:cs="Arial"/>
          <w:szCs w:val="24"/>
        </w:rPr>
        <w:t>In HPTN 084, a superiority study, 3224 cisgender women were randomised 1:1 and received either cabotegravir (n=161</w:t>
      </w:r>
      <w:r w:rsidR="00347A05">
        <w:rPr>
          <w:rFonts w:ascii="Arial" w:hAnsi="Arial" w:cs="Arial"/>
          <w:szCs w:val="24"/>
        </w:rPr>
        <w:t>3</w:t>
      </w:r>
      <w:r w:rsidRPr="00215D64">
        <w:rPr>
          <w:rFonts w:ascii="Arial" w:hAnsi="Arial" w:cs="Arial"/>
          <w:szCs w:val="24"/>
        </w:rPr>
        <w:t>) or TDF/FTC (n=1610) as blinded study medication up to Week 153.</w:t>
      </w:r>
    </w:p>
    <w:p w14:paraId="67D8002A" w14:textId="77777777" w:rsidR="00215D64" w:rsidRPr="00215D64" w:rsidRDefault="00215D64" w:rsidP="00215D64">
      <w:pPr>
        <w:tabs>
          <w:tab w:val="left" w:pos="567"/>
        </w:tabs>
        <w:spacing w:after="0"/>
        <w:rPr>
          <w:rFonts w:ascii="Arial" w:hAnsi="Arial" w:cs="Arial"/>
          <w:szCs w:val="24"/>
        </w:rPr>
      </w:pPr>
    </w:p>
    <w:p w14:paraId="648B2BC3" w14:textId="77777777" w:rsidR="00215D64" w:rsidRPr="00215D64" w:rsidRDefault="00215D64" w:rsidP="00215D64">
      <w:pPr>
        <w:tabs>
          <w:tab w:val="left" w:pos="567"/>
        </w:tabs>
        <w:spacing w:after="0" w:line="260" w:lineRule="exact"/>
        <w:rPr>
          <w:rFonts w:ascii="Arial" w:eastAsia="MS Mincho" w:hAnsi="Arial" w:cs="Arial"/>
          <w:szCs w:val="20"/>
        </w:rPr>
      </w:pPr>
      <w:r w:rsidRPr="00215D64">
        <w:rPr>
          <w:rFonts w:ascii="Arial" w:hAnsi="Arial" w:cs="Arial"/>
        </w:rPr>
        <w:t>At baseline, the median age of participants was 25 years, &gt;99% were non-white, &gt;99% were cisgender women and 49% were &lt;25 years of age.</w:t>
      </w:r>
    </w:p>
    <w:p w14:paraId="4A1AD63E" w14:textId="77777777" w:rsidR="00215D64" w:rsidRPr="00215D64" w:rsidRDefault="00215D64" w:rsidP="00215D64">
      <w:pPr>
        <w:keepNext/>
        <w:tabs>
          <w:tab w:val="left" w:pos="720"/>
        </w:tabs>
        <w:autoSpaceDE w:val="0"/>
        <w:autoSpaceDN w:val="0"/>
        <w:adjustRightInd w:val="0"/>
        <w:spacing w:after="0"/>
        <w:rPr>
          <w:rFonts w:ascii="Arial" w:eastAsia="Times New Roman" w:hAnsi="Arial" w:cs="Arial"/>
          <w:szCs w:val="24"/>
        </w:rPr>
      </w:pPr>
    </w:p>
    <w:p w14:paraId="0299F2C7" w14:textId="2C757037" w:rsidR="00215D64" w:rsidRPr="00215D64" w:rsidRDefault="00215D64" w:rsidP="00215D64">
      <w:pPr>
        <w:keepNext/>
        <w:tabs>
          <w:tab w:val="left" w:pos="720"/>
        </w:tabs>
        <w:autoSpaceDE w:val="0"/>
        <w:autoSpaceDN w:val="0"/>
        <w:adjustRightInd w:val="0"/>
        <w:spacing w:after="0"/>
        <w:rPr>
          <w:rFonts w:ascii="Arial" w:hAnsi="Arial" w:cs="Arial"/>
          <w:szCs w:val="20"/>
        </w:rPr>
      </w:pPr>
      <w:r w:rsidRPr="00215D64">
        <w:rPr>
          <w:rFonts w:ascii="Arial" w:hAnsi="Arial" w:cs="Arial"/>
        </w:rPr>
        <w:t xml:space="preserve">The primary endpoint was the rate of incident HIV infections among participants randomised to </w:t>
      </w:r>
      <w:r w:rsidR="001C594F">
        <w:rPr>
          <w:rFonts w:ascii="Arial" w:hAnsi="Arial" w:cs="Arial"/>
        </w:rPr>
        <w:t>APRETUDE tablets</w:t>
      </w:r>
      <w:r w:rsidRPr="00215D64">
        <w:rPr>
          <w:rFonts w:ascii="Arial" w:hAnsi="Arial" w:cs="Arial"/>
        </w:rPr>
        <w:t xml:space="preserve"> and </w:t>
      </w:r>
      <w:r w:rsidR="001C594F">
        <w:rPr>
          <w:rFonts w:ascii="Arial" w:hAnsi="Arial" w:cs="Arial"/>
        </w:rPr>
        <w:t>APRETUDE</w:t>
      </w:r>
      <w:r w:rsidRPr="00215D64">
        <w:rPr>
          <w:rFonts w:ascii="Arial" w:hAnsi="Arial" w:cs="Arial"/>
        </w:rPr>
        <w:t xml:space="preserve"> injections compared to oral TDF/FTC</w:t>
      </w:r>
      <w:r w:rsidR="003C79A1">
        <w:rPr>
          <w:rFonts w:ascii="Arial" w:hAnsi="Arial" w:cs="Arial"/>
        </w:rPr>
        <w:t xml:space="preserve"> (corrected for early stopping)</w:t>
      </w:r>
      <w:r w:rsidRPr="00215D64">
        <w:rPr>
          <w:rFonts w:ascii="Arial" w:hAnsi="Arial" w:cs="Arial"/>
        </w:rPr>
        <w:t xml:space="preserve">. The primary analysis demonstrated the superiority of </w:t>
      </w:r>
      <w:r w:rsidR="0090699F">
        <w:rPr>
          <w:rFonts w:ascii="Arial" w:hAnsi="Arial" w:cs="Arial"/>
        </w:rPr>
        <w:t>APRETUDE</w:t>
      </w:r>
      <w:r w:rsidR="0090699F" w:rsidRPr="00215D64">
        <w:rPr>
          <w:rFonts w:ascii="Arial" w:hAnsi="Arial" w:cs="Arial"/>
        </w:rPr>
        <w:t xml:space="preserve"> </w:t>
      </w:r>
      <w:r w:rsidRPr="00215D64">
        <w:rPr>
          <w:rFonts w:ascii="Arial" w:hAnsi="Arial" w:cs="Arial"/>
        </w:rPr>
        <w:t xml:space="preserve">compared to TDF/FTC with an </w:t>
      </w:r>
      <w:r w:rsidR="0090699F">
        <w:rPr>
          <w:rFonts w:ascii="Arial" w:hAnsi="Arial" w:cs="Arial"/>
        </w:rPr>
        <w:t>88</w:t>
      </w:r>
      <w:r w:rsidRPr="00215D64">
        <w:rPr>
          <w:rFonts w:ascii="Arial" w:hAnsi="Arial" w:cs="Arial"/>
        </w:rPr>
        <w:t>% reduction in the risk of acquiring incident HIV-1 infection</w:t>
      </w:r>
      <w:r w:rsidR="00F00C4D">
        <w:rPr>
          <w:rFonts w:ascii="Arial" w:hAnsi="Arial" w:cs="Arial"/>
        </w:rPr>
        <w:t xml:space="preserve"> hazard ratio (95% CI) 0.12 (0.05, 0.31)</w:t>
      </w:r>
      <w:r w:rsidR="005A787C" w:rsidRPr="005A787C">
        <w:rPr>
          <w:rFonts w:ascii="Arial" w:hAnsi="Arial" w:cs="Arial"/>
        </w:rPr>
        <w:t>; further testing revealed 1 of the infections on APRETUDE to be prevalent then yielding a 9</w:t>
      </w:r>
      <w:r w:rsidR="00F9033E">
        <w:rPr>
          <w:rFonts w:ascii="Arial" w:hAnsi="Arial" w:cs="Arial"/>
        </w:rPr>
        <w:t>0</w:t>
      </w:r>
      <w:r w:rsidR="005A787C" w:rsidRPr="005A787C">
        <w:rPr>
          <w:rFonts w:ascii="Arial" w:hAnsi="Arial" w:cs="Arial"/>
        </w:rPr>
        <w:t>% reduction in the risk of HIV-1 incident infection relative to T</w:t>
      </w:r>
      <w:r w:rsidR="00344BD2">
        <w:rPr>
          <w:rFonts w:ascii="Arial" w:hAnsi="Arial" w:cs="Arial"/>
        </w:rPr>
        <w:t>DF/FTC</w:t>
      </w:r>
      <w:r w:rsidRPr="00215D64">
        <w:rPr>
          <w:rFonts w:ascii="Arial" w:hAnsi="Arial" w:cs="Arial"/>
        </w:rPr>
        <w:t xml:space="preserve"> (see Table </w:t>
      </w:r>
      <w:r w:rsidR="00964718">
        <w:rPr>
          <w:rFonts w:ascii="Arial" w:hAnsi="Arial" w:cs="Arial"/>
        </w:rPr>
        <w:t>9</w:t>
      </w:r>
      <w:r w:rsidRPr="00215D64">
        <w:rPr>
          <w:rFonts w:ascii="Arial" w:hAnsi="Arial" w:cs="Arial"/>
        </w:rPr>
        <w:t>).</w:t>
      </w:r>
    </w:p>
    <w:p w14:paraId="67035F22" w14:textId="26F9058F" w:rsidR="00C20CFE" w:rsidRDefault="00C20CFE">
      <w:pPr>
        <w:rPr>
          <w:rFonts w:ascii="Arial" w:hAnsi="Arial" w:cs="Arial"/>
        </w:rPr>
      </w:pPr>
      <w:r>
        <w:rPr>
          <w:rFonts w:ascii="Arial" w:hAnsi="Arial" w:cs="Arial"/>
        </w:rPr>
        <w:br w:type="page"/>
      </w:r>
    </w:p>
    <w:p w14:paraId="3A5704C8" w14:textId="77777777" w:rsidR="00215D64" w:rsidRPr="00215D64" w:rsidRDefault="00215D64" w:rsidP="00215D64">
      <w:pPr>
        <w:rPr>
          <w:rFonts w:ascii="Arial" w:hAnsi="Arial" w:cs="Arial"/>
        </w:rPr>
      </w:pPr>
    </w:p>
    <w:p w14:paraId="076586F4" w14:textId="39944B62" w:rsidR="00215D64" w:rsidRPr="00F00C4D" w:rsidRDefault="00215D64" w:rsidP="00215D64">
      <w:pPr>
        <w:tabs>
          <w:tab w:val="left" w:pos="567"/>
        </w:tabs>
        <w:spacing w:after="0"/>
        <w:rPr>
          <w:bCs/>
          <w:iCs/>
          <w:szCs w:val="24"/>
          <w:u w:val="single"/>
        </w:rPr>
      </w:pPr>
      <w:r w:rsidRPr="00C20CFE">
        <w:rPr>
          <w:rFonts w:ascii="Arial" w:hAnsi="Arial" w:cs="Arial"/>
          <w:b/>
          <w:iCs/>
          <w:szCs w:val="24"/>
        </w:rPr>
        <w:t xml:space="preserve">Table </w:t>
      </w:r>
      <w:r w:rsidR="00964718">
        <w:rPr>
          <w:rFonts w:ascii="Arial" w:hAnsi="Arial" w:cs="Arial"/>
          <w:b/>
          <w:iCs/>
          <w:szCs w:val="24"/>
        </w:rPr>
        <w:t>9</w:t>
      </w:r>
      <w:r w:rsidRPr="00C20CFE">
        <w:rPr>
          <w:rFonts w:ascii="Arial" w:hAnsi="Arial" w:cs="Arial"/>
          <w:bCs/>
          <w:iCs/>
          <w:szCs w:val="24"/>
        </w:rPr>
        <w:t xml:space="preserve"> </w:t>
      </w:r>
      <w:r w:rsidR="002C5D37" w:rsidRPr="00C20CFE">
        <w:rPr>
          <w:rFonts w:ascii="Times New Roman" w:hAnsi="Times New Roman" w:cs="Times New Roman"/>
          <w:b/>
          <w:sz w:val="24"/>
          <w:szCs w:val="24"/>
          <w:lang w:val="en-US"/>
        </w:rPr>
        <w:t xml:space="preserve"> </w:t>
      </w:r>
      <w:r w:rsidR="00F00C4D">
        <w:rPr>
          <w:rFonts w:ascii="Arial" w:hAnsi="Arial" w:cs="Arial"/>
          <w:b/>
          <w:bCs/>
          <w:szCs w:val="24"/>
          <w:vertAlign w:val="superscript"/>
          <w:lang w:val="en-US"/>
        </w:rPr>
        <w:t xml:space="preserve"> </w:t>
      </w:r>
      <w:r w:rsidR="00F00C4D" w:rsidRPr="00F00C4D">
        <w:rPr>
          <w:rFonts w:ascii="Arial" w:hAnsi="Arial" w:cs="Arial"/>
          <w:b/>
          <w:szCs w:val="24"/>
          <w:lang w:val="en-US"/>
        </w:rPr>
        <w:t xml:space="preserve">Primary Efficacy Endpoint in HPTN 084: Comparison of Rates of Incident HIV Infections during </w:t>
      </w:r>
      <w:proofErr w:type="spellStart"/>
      <w:r w:rsidR="00F00C4D" w:rsidRPr="00F00C4D">
        <w:rPr>
          <w:rFonts w:ascii="Arial" w:hAnsi="Arial" w:cs="Arial"/>
          <w:b/>
          <w:szCs w:val="24"/>
          <w:lang w:val="en-US"/>
        </w:rPr>
        <w:t>Randomised</w:t>
      </w:r>
      <w:proofErr w:type="spellEnd"/>
      <w:r w:rsidR="00F00C4D" w:rsidRPr="00F00C4D">
        <w:rPr>
          <w:rFonts w:ascii="Arial" w:hAnsi="Arial" w:cs="Arial"/>
          <w:b/>
          <w:szCs w:val="24"/>
          <w:lang w:val="en-US"/>
        </w:rPr>
        <w:t xml:space="preserve"> Phase (</w:t>
      </w:r>
      <w:proofErr w:type="spellStart"/>
      <w:r w:rsidR="00F00C4D" w:rsidRPr="00F00C4D">
        <w:rPr>
          <w:rFonts w:ascii="Arial" w:hAnsi="Arial" w:cs="Arial"/>
          <w:b/>
          <w:szCs w:val="24"/>
          <w:lang w:val="en-US"/>
        </w:rPr>
        <w:t>mITT</w:t>
      </w:r>
      <w:proofErr w:type="spellEnd"/>
      <w:r w:rsidR="00F00C4D" w:rsidRPr="00F00C4D">
        <w:rPr>
          <w:rFonts w:ascii="Arial" w:hAnsi="Arial" w:cs="Arial"/>
          <w:b/>
          <w:szCs w:val="24"/>
          <w:lang w:val="en-US"/>
        </w:rPr>
        <w:t>, extended retrospective virologic testing)</w:t>
      </w:r>
    </w:p>
    <w:p w14:paraId="470EFE3F" w14:textId="77777777" w:rsidR="00215D64" w:rsidRPr="00215D64" w:rsidRDefault="00215D64" w:rsidP="00215D64">
      <w:pPr>
        <w:tabs>
          <w:tab w:val="left" w:pos="567"/>
        </w:tabs>
        <w:spacing w:after="0"/>
        <w:rPr>
          <w:rFonts w:ascii="Arial" w:hAnsi="Arial" w:cs="Arial"/>
          <w:bCs/>
          <w:iCs/>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2288"/>
        <w:gridCol w:w="2182"/>
        <w:gridCol w:w="2224"/>
      </w:tblGrid>
      <w:tr w:rsidR="00215D64" w:rsidRPr="00215D64" w14:paraId="3B98D983" w14:textId="77777777" w:rsidTr="00215D64">
        <w:tc>
          <w:tcPr>
            <w:tcW w:w="2168" w:type="dxa"/>
            <w:tcBorders>
              <w:top w:val="single" w:sz="4" w:space="0" w:color="auto"/>
              <w:left w:val="single" w:sz="4" w:space="0" w:color="auto"/>
              <w:bottom w:val="single" w:sz="4" w:space="0" w:color="auto"/>
              <w:right w:val="single" w:sz="4" w:space="0" w:color="auto"/>
            </w:tcBorders>
          </w:tcPr>
          <w:p w14:paraId="5CF702D3" w14:textId="77777777" w:rsidR="00215D64" w:rsidRPr="00215D64" w:rsidRDefault="00215D64">
            <w:pPr>
              <w:tabs>
                <w:tab w:val="left" w:pos="567"/>
              </w:tabs>
              <w:spacing w:after="0"/>
              <w:rPr>
                <w:rFonts w:ascii="Arial" w:eastAsia="Calibri" w:hAnsi="Arial" w:cs="Arial"/>
                <w:bCs/>
                <w:iCs/>
                <w:szCs w:val="24"/>
                <w:u w:val="single"/>
              </w:rPr>
            </w:pPr>
          </w:p>
        </w:tc>
        <w:tc>
          <w:tcPr>
            <w:tcW w:w="2288" w:type="dxa"/>
            <w:tcBorders>
              <w:top w:val="single" w:sz="4" w:space="0" w:color="auto"/>
              <w:left w:val="single" w:sz="4" w:space="0" w:color="auto"/>
              <w:bottom w:val="single" w:sz="4" w:space="0" w:color="auto"/>
              <w:right w:val="single" w:sz="4" w:space="0" w:color="auto"/>
            </w:tcBorders>
            <w:hideMark/>
          </w:tcPr>
          <w:p w14:paraId="0B343DBC" w14:textId="77777777" w:rsidR="00215D64" w:rsidRPr="00215D64" w:rsidRDefault="00215D64">
            <w:pPr>
              <w:tabs>
                <w:tab w:val="left" w:pos="567"/>
              </w:tabs>
              <w:spacing w:after="0"/>
              <w:rPr>
                <w:rFonts w:ascii="Arial" w:eastAsia="Calibri" w:hAnsi="Arial" w:cs="Arial"/>
                <w:b/>
                <w:iCs/>
                <w:szCs w:val="24"/>
              </w:rPr>
            </w:pPr>
            <w:r w:rsidRPr="00215D64">
              <w:rPr>
                <w:rFonts w:ascii="Arial" w:eastAsia="Calibri" w:hAnsi="Arial" w:cs="Arial"/>
                <w:b/>
                <w:iCs/>
                <w:szCs w:val="24"/>
              </w:rPr>
              <w:t>Cabotegravir</w:t>
            </w:r>
          </w:p>
          <w:p w14:paraId="6E310A0B" w14:textId="091CB3C4" w:rsidR="00215D64" w:rsidRPr="00DD7FCC" w:rsidRDefault="00215D64">
            <w:pPr>
              <w:tabs>
                <w:tab w:val="left" w:pos="567"/>
              </w:tabs>
              <w:spacing w:after="0"/>
              <w:rPr>
                <w:rFonts w:ascii="Arial" w:eastAsia="Calibri" w:hAnsi="Arial" w:cs="Arial"/>
                <w:b/>
                <w:iCs/>
                <w:szCs w:val="24"/>
              </w:rPr>
            </w:pPr>
            <w:r w:rsidRPr="00DD7FCC">
              <w:rPr>
                <w:rFonts w:ascii="Arial" w:eastAsia="Calibri" w:hAnsi="Arial" w:cs="Arial"/>
                <w:b/>
                <w:iCs/>
                <w:szCs w:val="24"/>
              </w:rPr>
              <w:t>(N=161</w:t>
            </w:r>
            <w:r w:rsidR="00F00C4D" w:rsidRPr="00DD7FCC">
              <w:rPr>
                <w:rFonts w:ascii="Arial" w:eastAsia="Calibri" w:hAnsi="Arial" w:cs="Arial"/>
                <w:b/>
                <w:iCs/>
                <w:szCs w:val="24"/>
              </w:rPr>
              <w:t>3</w:t>
            </w:r>
            <w:r w:rsidRPr="00DD7FCC">
              <w:rPr>
                <w:rFonts w:ascii="Arial" w:eastAsia="Calibri" w:hAnsi="Arial" w:cs="Arial"/>
                <w:b/>
                <w:iCs/>
                <w:szCs w:val="24"/>
              </w:rPr>
              <w:t>)</w:t>
            </w:r>
          </w:p>
        </w:tc>
        <w:tc>
          <w:tcPr>
            <w:tcW w:w="2182" w:type="dxa"/>
            <w:tcBorders>
              <w:top w:val="single" w:sz="4" w:space="0" w:color="auto"/>
              <w:left w:val="single" w:sz="4" w:space="0" w:color="auto"/>
              <w:bottom w:val="single" w:sz="4" w:space="0" w:color="auto"/>
              <w:right w:val="single" w:sz="4" w:space="0" w:color="auto"/>
            </w:tcBorders>
            <w:hideMark/>
          </w:tcPr>
          <w:p w14:paraId="6A5B4367" w14:textId="77777777" w:rsidR="00215D64" w:rsidRPr="00215D64" w:rsidRDefault="00215D64">
            <w:pPr>
              <w:tabs>
                <w:tab w:val="left" w:pos="567"/>
              </w:tabs>
              <w:spacing w:after="0"/>
              <w:rPr>
                <w:rFonts w:ascii="Arial" w:eastAsia="Calibri" w:hAnsi="Arial" w:cs="Arial"/>
                <w:b/>
                <w:iCs/>
                <w:szCs w:val="24"/>
              </w:rPr>
            </w:pPr>
            <w:r w:rsidRPr="00215D64">
              <w:rPr>
                <w:rFonts w:ascii="Arial" w:eastAsia="Calibri" w:hAnsi="Arial" w:cs="Arial"/>
                <w:b/>
                <w:iCs/>
                <w:szCs w:val="24"/>
              </w:rPr>
              <w:t>TDF/FDC</w:t>
            </w:r>
          </w:p>
          <w:p w14:paraId="4A35A68D" w14:textId="77777777" w:rsidR="00215D64" w:rsidRPr="00215D64" w:rsidRDefault="00215D64">
            <w:pPr>
              <w:tabs>
                <w:tab w:val="left" w:pos="567"/>
              </w:tabs>
              <w:spacing w:after="0"/>
              <w:rPr>
                <w:rFonts w:ascii="Arial" w:eastAsia="Calibri" w:hAnsi="Arial" w:cs="Arial"/>
                <w:b/>
                <w:iCs/>
                <w:szCs w:val="24"/>
                <w:u w:val="single"/>
              </w:rPr>
            </w:pPr>
            <w:r w:rsidRPr="00215D64">
              <w:rPr>
                <w:rFonts w:ascii="Arial" w:eastAsia="Calibri" w:hAnsi="Arial" w:cs="Arial"/>
                <w:b/>
                <w:iCs/>
                <w:szCs w:val="24"/>
              </w:rPr>
              <w:t>(N=1610)</w:t>
            </w:r>
          </w:p>
        </w:tc>
        <w:tc>
          <w:tcPr>
            <w:tcW w:w="2224" w:type="dxa"/>
            <w:tcBorders>
              <w:top w:val="single" w:sz="4" w:space="0" w:color="auto"/>
              <w:left w:val="single" w:sz="4" w:space="0" w:color="auto"/>
              <w:bottom w:val="single" w:sz="4" w:space="0" w:color="auto"/>
              <w:right w:val="single" w:sz="4" w:space="0" w:color="auto"/>
            </w:tcBorders>
            <w:hideMark/>
          </w:tcPr>
          <w:p w14:paraId="07434ACA" w14:textId="77777777" w:rsidR="00215D64" w:rsidRPr="00215D64" w:rsidRDefault="00215D64">
            <w:pPr>
              <w:tabs>
                <w:tab w:val="left" w:pos="567"/>
              </w:tabs>
              <w:spacing w:after="0"/>
              <w:rPr>
                <w:rFonts w:ascii="Arial" w:eastAsia="Calibri" w:hAnsi="Arial" w:cs="Arial"/>
                <w:b/>
                <w:iCs/>
                <w:szCs w:val="24"/>
                <w:u w:val="single"/>
              </w:rPr>
            </w:pPr>
            <w:r w:rsidRPr="00215D64">
              <w:rPr>
                <w:rFonts w:ascii="Arial" w:eastAsia="Calibri" w:hAnsi="Arial" w:cs="Arial"/>
                <w:b/>
                <w:iCs/>
                <w:szCs w:val="24"/>
              </w:rPr>
              <w:t>Superiority P-Value</w:t>
            </w:r>
          </w:p>
        </w:tc>
      </w:tr>
      <w:tr w:rsidR="00215D64" w:rsidRPr="00215D64" w14:paraId="3F35D840" w14:textId="77777777" w:rsidTr="00215D64">
        <w:tc>
          <w:tcPr>
            <w:tcW w:w="2168" w:type="dxa"/>
            <w:tcBorders>
              <w:top w:val="single" w:sz="4" w:space="0" w:color="auto"/>
              <w:left w:val="single" w:sz="4" w:space="0" w:color="auto"/>
              <w:bottom w:val="single" w:sz="4" w:space="0" w:color="auto"/>
              <w:right w:val="single" w:sz="4" w:space="0" w:color="auto"/>
            </w:tcBorders>
            <w:hideMark/>
          </w:tcPr>
          <w:p w14:paraId="71DD3DEB" w14:textId="77777777" w:rsidR="00215D64" w:rsidRPr="00215D64" w:rsidRDefault="00215D64">
            <w:pPr>
              <w:tabs>
                <w:tab w:val="left" w:pos="567"/>
              </w:tabs>
              <w:spacing w:after="0"/>
              <w:rPr>
                <w:rFonts w:ascii="Arial" w:eastAsia="Calibri" w:hAnsi="Arial" w:cs="Arial"/>
                <w:bCs/>
                <w:iCs/>
                <w:szCs w:val="24"/>
                <w:u w:val="single"/>
              </w:rPr>
            </w:pPr>
            <w:r w:rsidRPr="00215D64">
              <w:rPr>
                <w:rFonts w:ascii="Arial" w:eastAsia="Calibri" w:hAnsi="Arial" w:cs="Arial"/>
                <w:bCs/>
                <w:iCs/>
                <w:szCs w:val="24"/>
                <w:u w:val="single"/>
              </w:rPr>
              <w:t>Person years</w:t>
            </w:r>
          </w:p>
        </w:tc>
        <w:tc>
          <w:tcPr>
            <w:tcW w:w="2288" w:type="dxa"/>
            <w:tcBorders>
              <w:top w:val="single" w:sz="4" w:space="0" w:color="auto"/>
              <w:left w:val="single" w:sz="4" w:space="0" w:color="auto"/>
              <w:bottom w:val="single" w:sz="4" w:space="0" w:color="auto"/>
              <w:right w:val="single" w:sz="4" w:space="0" w:color="auto"/>
            </w:tcBorders>
            <w:hideMark/>
          </w:tcPr>
          <w:p w14:paraId="4F9D5D93" w14:textId="2D290C6B" w:rsidR="00215D64" w:rsidRPr="00215D64" w:rsidRDefault="00215D64">
            <w:pPr>
              <w:tabs>
                <w:tab w:val="left" w:pos="567"/>
              </w:tabs>
              <w:spacing w:after="0"/>
              <w:rPr>
                <w:rFonts w:ascii="Arial" w:eastAsia="Calibri" w:hAnsi="Arial" w:cs="Arial"/>
                <w:bCs/>
                <w:iCs/>
                <w:szCs w:val="24"/>
              </w:rPr>
            </w:pPr>
            <w:r w:rsidRPr="00215D64">
              <w:rPr>
                <w:rFonts w:ascii="Arial" w:eastAsia="Calibri" w:hAnsi="Arial" w:cs="Arial"/>
                <w:bCs/>
                <w:iCs/>
                <w:szCs w:val="24"/>
              </w:rPr>
              <w:t>196</w:t>
            </w:r>
            <w:r w:rsidR="00F00C4D">
              <w:rPr>
                <w:rFonts w:ascii="Arial" w:eastAsia="Calibri" w:hAnsi="Arial" w:cs="Arial"/>
                <w:bCs/>
                <w:iCs/>
                <w:szCs w:val="24"/>
              </w:rPr>
              <w:t>0</w:t>
            </w:r>
          </w:p>
        </w:tc>
        <w:tc>
          <w:tcPr>
            <w:tcW w:w="2182" w:type="dxa"/>
            <w:tcBorders>
              <w:top w:val="single" w:sz="4" w:space="0" w:color="auto"/>
              <w:left w:val="single" w:sz="4" w:space="0" w:color="auto"/>
              <w:bottom w:val="single" w:sz="4" w:space="0" w:color="auto"/>
              <w:right w:val="single" w:sz="4" w:space="0" w:color="auto"/>
            </w:tcBorders>
            <w:hideMark/>
          </w:tcPr>
          <w:p w14:paraId="631BBE52" w14:textId="77777777" w:rsidR="00215D64" w:rsidRPr="00215D64" w:rsidRDefault="00215D64">
            <w:pPr>
              <w:tabs>
                <w:tab w:val="left" w:pos="567"/>
              </w:tabs>
              <w:spacing w:after="0"/>
              <w:rPr>
                <w:rFonts w:ascii="Arial" w:eastAsia="Calibri" w:hAnsi="Arial" w:cs="Arial"/>
                <w:bCs/>
                <w:iCs/>
                <w:szCs w:val="24"/>
              </w:rPr>
            </w:pPr>
            <w:r w:rsidRPr="00215D64">
              <w:rPr>
                <w:rFonts w:ascii="Arial" w:eastAsia="Calibri" w:hAnsi="Arial" w:cs="Arial"/>
                <w:bCs/>
                <w:iCs/>
                <w:szCs w:val="24"/>
              </w:rPr>
              <w:t>1946</w:t>
            </w:r>
          </w:p>
        </w:tc>
        <w:tc>
          <w:tcPr>
            <w:tcW w:w="2224" w:type="dxa"/>
            <w:tcBorders>
              <w:top w:val="single" w:sz="4" w:space="0" w:color="auto"/>
              <w:left w:val="single" w:sz="4" w:space="0" w:color="auto"/>
              <w:bottom w:val="single" w:sz="4" w:space="0" w:color="auto"/>
              <w:right w:val="single" w:sz="4" w:space="0" w:color="auto"/>
            </w:tcBorders>
          </w:tcPr>
          <w:p w14:paraId="3A613B89" w14:textId="77777777" w:rsidR="00215D64" w:rsidRPr="00215D64" w:rsidRDefault="00215D64">
            <w:pPr>
              <w:tabs>
                <w:tab w:val="left" w:pos="567"/>
              </w:tabs>
              <w:spacing w:after="0"/>
              <w:rPr>
                <w:rFonts w:ascii="Arial" w:eastAsia="Calibri" w:hAnsi="Arial" w:cs="Arial"/>
                <w:bCs/>
                <w:iCs/>
                <w:szCs w:val="24"/>
              </w:rPr>
            </w:pPr>
          </w:p>
        </w:tc>
      </w:tr>
      <w:tr w:rsidR="00215D64" w:rsidRPr="00215D64" w14:paraId="26274DE3" w14:textId="77777777" w:rsidTr="00215D64">
        <w:tc>
          <w:tcPr>
            <w:tcW w:w="2168" w:type="dxa"/>
            <w:tcBorders>
              <w:top w:val="single" w:sz="4" w:space="0" w:color="auto"/>
              <w:left w:val="single" w:sz="4" w:space="0" w:color="auto"/>
              <w:bottom w:val="single" w:sz="4" w:space="0" w:color="auto"/>
              <w:right w:val="single" w:sz="4" w:space="0" w:color="auto"/>
            </w:tcBorders>
            <w:hideMark/>
          </w:tcPr>
          <w:p w14:paraId="0FB5F528" w14:textId="77777777" w:rsidR="00215D64" w:rsidRPr="00215D64" w:rsidRDefault="00215D64">
            <w:pPr>
              <w:tabs>
                <w:tab w:val="left" w:pos="567"/>
              </w:tabs>
              <w:spacing w:after="0"/>
              <w:rPr>
                <w:rFonts w:ascii="Arial" w:eastAsia="Calibri" w:hAnsi="Arial" w:cs="Arial"/>
                <w:bCs/>
                <w:iCs/>
                <w:szCs w:val="24"/>
                <w:u w:val="single"/>
              </w:rPr>
            </w:pPr>
            <w:r w:rsidRPr="00215D64">
              <w:rPr>
                <w:rFonts w:ascii="Arial" w:eastAsia="Calibri" w:hAnsi="Arial" w:cs="Arial"/>
                <w:bCs/>
                <w:iCs/>
                <w:szCs w:val="24"/>
              </w:rPr>
              <w:t>HIV-1 incident infections (incidence rate per 100 person years)</w:t>
            </w:r>
          </w:p>
        </w:tc>
        <w:tc>
          <w:tcPr>
            <w:tcW w:w="2288" w:type="dxa"/>
            <w:tcBorders>
              <w:top w:val="single" w:sz="4" w:space="0" w:color="auto"/>
              <w:left w:val="single" w:sz="4" w:space="0" w:color="auto"/>
              <w:bottom w:val="single" w:sz="4" w:space="0" w:color="auto"/>
              <w:right w:val="single" w:sz="4" w:space="0" w:color="auto"/>
            </w:tcBorders>
            <w:hideMark/>
          </w:tcPr>
          <w:p w14:paraId="528AB434" w14:textId="5EB1381B" w:rsidR="00215D64" w:rsidRPr="00215D64" w:rsidRDefault="00F00C4D">
            <w:pPr>
              <w:tabs>
                <w:tab w:val="left" w:pos="567"/>
              </w:tabs>
              <w:spacing w:after="0"/>
              <w:rPr>
                <w:rFonts w:ascii="Arial" w:eastAsia="Calibri" w:hAnsi="Arial" w:cs="Arial"/>
                <w:bCs/>
                <w:iCs/>
                <w:szCs w:val="24"/>
                <w:u w:val="single"/>
              </w:rPr>
            </w:pPr>
            <w:r>
              <w:rPr>
                <w:rFonts w:ascii="Arial" w:eastAsia="Calibri" w:hAnsi="Arial" w:cs="Arial"/>
                <w:bCs/>
                <w:iCs/>
                <w:szCs w:val="24"/>
              </w:rPr>
              <w:t xml:space="preserve"> 3</w:t>
            </w:r>
            <w:proofErr w:type="gramStart"/>
            <w:r w:rsidRPr="002D2D87">
              <w:rPr>
                <w:rFonts w:ascii="Arial" w:eastAsia="Calibri" w:hAnsi="Arial" w:cs="Arial"/>
                <w:bCs/>
                <w:iCs/>
                <w:szCs w:val="24"/>
                <w:vertAlign w:val="superscript"/>
              </w:rPr>
              <w:t>a</w:t>
            </w:r>
            <w:r>
              <w:rPr>
                <w:rFonts w:ascii="Arial" w:eastAsia="Calibri" w:hAnsi="Arial" w:cs="Arial"/>
                <w:bCs/>
                <w:iCs/>
                <w:szCs w:val="24"/>
              </w:rPr>
              <w:t>(</w:t>
            </w:r>
            <w:proofErr w:type="gramEnd"/>
            <w:r>
              <w:rPr>
                <w:rFonts w:ascii="Arial" w:eastAsia="Calibri" w:hAnsi="Arial" w:cs="Arial"/>
                <w:bCs/>
                <w:iCs/>
                <w:szCs w:val="24"/>
              </w:rPr>
              <w:t>0.15</w:t>
            </w:r>
            <w:r w:rsidR="002D2D87">
              <w:rPr>
                <w:rFonts w:ascii="Arial" w:eastAsia="Calibri" w:hAnsi="Arial" w:cs="Arial"/>
                <w:bCs/>
                <w:iCs/>
                <w:szCs w:val="24"/>
              </w:rPr>
              <w:t>)</w:t>
            </w:r>
          </w:p>
        </w:tc>
        <w:tc>
          <w:tcPr>
            <w:tcW w:w="2182" w:type="dxa"/>
            <w:tcBorders>
              <w:top w:val="single" w:sz="4" w:space="0" w:color="auto"/>
              <w:left w:val="single" w:sz="4" w:space="0" w:color="auto"/>
              <w:bottom w:val="single" w:sz="4" w:space="0" w:color="auto"/>
              <w:right w:val="single" w:sz="4" w:space="0" w:color="auto"/>
            </w:tcBorders>
            <w:hideMark/>
          </w:tcPr>
          <w:p w14:paraId="2E302355" w14:textId="77777777" w:rsidR="00215D64" w:rsidRPr="00215D64" w:rsidRDefault="00215D64">
            <w:pPr>
              <w:tabs>
                <w:tab w:val="left" w:pos="567"/>
              </w:tabs>
              <w:spacing w:after="0"/>
              <w:rPr>
                <w:rFonts w:ascii="Arial" w:eastAsia="Calibri" w:hAnsi="Arial" w:cs="Arial"/>
                <w:bCs/>
                <w:iCs/>
                <w:szCs w:val="24"/>
                <w:u w:val="single"/>
              </w:rPr>
            </w:pPr>
            <w:r w:rsidRPr="00215D64">
              <w:rPr>
                <w:rFonts w:ascii="Arial" w:eastAsia="Calibri" w:hAnsi="Arial" w:cs="Arial"/>
                <w:bCs/>
                <w:iCs/>
                <w:szCs w:val="24"/>
              </w:rPr>
              <w:t>36 (1.85)</w:t>
            </w:r>
          </w:p>
        </w:tc>
        <w:tc>
          <w:tcPr>
            <w:tcW w:w="2224" w:type="dxa"/>
            <w:tcBorders>
              <w:top w:val="single" w:sz="4" w:space="0" w:color="auto"/>
              <w:left w:val="single" w:sz="4" w:space="0" w:color="auto"/>
              <w:bottom w:val="single" w:sz="4" w:space="0" w:color="auto"/>
              <w:right w:val="single" w:sz="4" w:space="0" w:color="auto"/>
            </w:tcBorders>
          </w:tcPr>
          <w:p w14:paraId="07C831B3" w14:textId="77777777" w:rsidR="00215D64" w:rsidRPr="00215D64" w:rsidRDefault="00215D64">
            <w:pPr>
              <w:tabs>
                <w:tab w:val="left" w:pos="567"/>
              </w:tabs>
              <w:spacing w:after="0"/>
              <w:rPr>
                <w:rFonts w:ascii="Arial" w:eastAsia="Calibri" w:hAnsi="Arial" w:cs="Arial"/>
                <w:bCs/>
                <w:iCs/>
                <w:szCs w:val="24"/>
                <w:u w:val="single"/>
              </w:rPr>
            </w:pPr>
          </w:p>
        </w:tc>
      </w:tr>
      <w:tr w:rsidR="00215D64" w:rsidRPr="00215D64" w14:paraId="70894956" w14:textId="77777777" w:rsidTr="00215D64">
        <w:tc>
          <w:tcPr>
            <w:tcW w:w="2168" w:type="dxa"/>
            <w:tcBorders>
              <w:top w:val="single" w:sz="4" w:space="0" w:color="auto"/>
              <w:left w:val="single" w:sz="4" w:space="0" w:color="auto"/>
              <w:bottom w:val="single" w:sz="4" w:space="0" w:color="auto"/>
              <w:right w:val="single" w:sz="4" w:space="0" w:color="auto"/>
            </w:tcBorders>
            <w:hideMark/>
          </w:tcPr>
          <w:p w14:paraId="4CE3B73C" w14:textId="77777777" w:rsidR="00215D64" w:rsidRPr="00215D64" w:rsidRDefault="00215D64">
            <w:pPr>
              <w:tabs>
                <w:tab w:val="left" w:pos="567"/>
              </w:tabs>
              <w:spacing w:after="0"/>
              <w:rPr>
                <w:rFonts w:ascii="Arial" w:eastAsia="Calibri" w:hAnsi="Arial" w:cs="Arial"/>
                <w:bCs/>
                <w:iCs/>
                <w:szCs w:val="24"/>
                <w:u w:val="single"/>
              </w:rPr>
            </w:pPr>
            <w:r w:rsidRPr="00215D64">
              <w:rPr>
                <w:rFonts w:ascii="Arial" w:eastAsia="Calibri" w:hAnsi="Arial" w:cs="Arial"/>
                <w:bCs/>
                <w:iCs/>
                <w:szCs w:val="24"/>
              </w:rPr>
              <w:t>Hazard ratio (95% CI)</w:t>
            </w:r>
          </w:p>
        </w:tc>
        <w:tc>
          <w:tcPr>
            <w:tcW w:w="4470" w:type="dxa"/>
            <w:gridSpan w:val="2"/>
            <w:tcBorders>
              <w:top w:val="single" w:sz="4" w:space="0" w:color="auto"/>
              <w:left w:val="single" w:sz="4" w:space="0" w:color="auto"/>
              <w:bottom w:val="single" w:sz="4" w:space="0" w:color="auto"/>
              <w:right w:val="single" w:sz="4" w:space="0" w:color="auto"/>
            </w:tcBorders>
            <w:hideMark/>
          </w:tcPr>
          <w:p w14:paraId="56F9545C" w14:textId="291D7B4A" w:rsidR="00215D64" w:rsidRPr="00215D64" w:rsidRDefault="00F00C4D">
            <w:pPr>
              <w:tabs>
                <w:tab w:val="left" w:pos="567"/>
              </w:tabs>
              <w:spacing w:after="0"/>
              <w:rPr>
                <w:rFonts w:ascii="Arial" w:eastAsia="Calibri" w:hAnsi="Arial" w:cs="Arial"/>
                <w:szCs w:val="20"/>
                <w:u w:val="single"/>
              </w:rPr>
            </w:pPr>
            <w:r>
              <w:rPr>
                <w:rFonts w:ascii="Arial" w:eastAsia="Calibri" w:hAnsi="Arial" w:cs="Arial"/>
              </w:rPr>
              <w:t xml:space="preserve"> </w:t>
            </w:r>
            <w:r w:rsidRPr="002D2D87">
              <w:rPr>
                <w:rFonts w:ascii="Arial" w:eastAsia="Calibri" w:hAnsi="Arial" w:cs="Arial"/>
                <w:bCs/>
                <w:iCs/>
                <w:szCs w:val="24"/>
              </w:rPr>
              <w:t>0.10 (0.04, 0.27)</w:t>
            </w:r>
          </w:p>
        </w:tc>
        <w:tc>
          <w:tcPr>
            <w:tcW w:w="2224" w:type="dxa"/>
            <w:tcBorders>
              <w:top w:val="single" w:sz="4" w:space="0" w:color="auto"/>
              <w:left w:val="single" w:sz="4" w:space="0" w:color="auto"/>
              <w:bottom w:val="single" w:sz="4" w:space="0" w:color="auto"/>
              <w:right w:val="single" w:sz="4" w:space="0" w:color="auto"/>
            </w:tcBorders>
            <w:hideMark/>
          </w:tcPr>
          <w:p w14:paraId="362625EA" w14:textId="3C6A8E2E" w:rsidR="00215D64" w:rsidRPr="00215D64" w:rsidRDefault="00B61E74">
            <w:pPr>
              <w:tabs>
                <w:tab w:val="left" w:pos="567"/>
              </w:tabs>
              <w:spacing w:after="0"/>
              <w:rPr>
                <w:rFonts w:ascii="Arial" w:eastAsia="Calibri" w:hAnsi="Arial" w:cs="Arial"/>
              </w:rPr>
            </w:pPr>
            <w:r w:rsidRPr="00215D64">
              <w:rPr>
                <w:rFonts w:ascii="Arial" w:eastAsia="Calibri" w:hAnsi="Arial" w:cs="Arial"/>
              </w:rPr>
              <w:t>P</w:t>
            </w:r>
            <w:r w:rsidR="00215D64" w:rsidRPr="00215D64">
              <w:rPr>
                <w:rFonts w:ascii="Arial" w:eastAsia="Calibri" w:hAnsi="Arial" w:cs="Arial"/>
              </w:rPr>
              <w:t>&lt;0.0001</w:t>
            </w:r>
          </w:p>
        </w:tc>
      </w:tr>
    </w:tbl>
    <w:p w14:paraId="387133F7" w14:textId="5059996C" w:rsidR="00C20CFE" w:rsidRDefault="002D2D87" w:rsidP="0025592D">
      <w:pPr>
        <w:tabs>
          <w:tab w:val="left" w:pos="567"/>
        </w:tabs>
        <w:spacing w:after="0" w:line="240" w:lineRule="auto"/>
        <w:ind w:left="144" w:hanging="144"/>
        <w:rPr>
          <w:rFonts w:ascii="Arial" w:hAnsi="Arial" w:cs="Arial"/>
          <w:noProof/>
          <w:sz w:val="20"/>
          <w:szCs w:val="20"/>
        </w:rPr>
      </w:pPr>
      <w:r>
        <w:rPr>
          <w:rFonts w:ascii="Arial" w:hAnsi="Arial" w:cs="Arial"/>
          <w:noProof/>
          <w:sz w:val="20"/>
          <w:szCs w:val="20"/>
          <w:vertAlign w:val="superscript"/>
        </w:rPr>
        <w:t>a</w:t>
      </w:r>
      <w:r w:rsidR="0025592D" w:rsidRPr="000C2333">
        <w:rPr>
          <w:rFonts w:ascii="Arial" w:hAnsi="Arial" w:cs="Arial"/>
          <w:noProof/>
          <w:sz w:val="20"/>
          <w:szCs w:val="20"/>
          <w:vertAlign w:val="superscript"/>
        </w:rPr>
        <w:t xml:space="preserve"> </w:t>
      </w:r>
      <w:r w:rsidR="0025592D" w:rsidRPr="000C2333">
        <w:rPr>
          <w:rFonts w:ascii="Arial" w:hAnsi="Arial" w:cs="Arial"/>
          <w:noProof/>
          <w:sz w:val="20"/>
          <w:szCs w:val="20"/>
        </w:rPr>
        <w:t xml:space="preserve">Following the primary analysis, extended retrospective virologic testing was performed to better characterize the timing of HIV-1 infections. As a result, 1 of the 4 HIV-1 incident infections in participants receiving APRETUDE was determined to be a prevalent infection. The original </w:t>
      </w:r>
      <w:r w:rsidR="0025592D" w:rsidRPr="000C2333">
        <w:rPr>
          <w:rFonts w:ascii="Arial" w:eastAsia="Calibri" w:hAnsi="Arial" w:cs="Arial"/>
          <w:sz w:val="20"/>
          <w:szCs w:val="20"/>
        </w:rPr>
        <w:t>hazard ratio</w:t>
      </w:r>
      <w:r w:rsidR="0025592D" w:rsidRPr="000C2333">
        <w:rPr>
          <w:rFonts w:ascii="Arial" w:hAnsi="Arial" w:cs="Arial"/>
          <w:noProof/>
          <w:sz w:val="20"/>
          <w:szCs w:val="20"/>
        </w:rPr>
        <w:t xml:space="preserve"> corrected for early stopping (95% CI) from the primary analysis is 0.12 (0.05, 0.31).</w:t>
      </w:r>
    </w:p>
    <w:p w14:paraId="1B83F658" w14:textId="77777777" w:rsidR="00AC06F0" w:rsidRPr="000C2333" w:rsidRDefault="00AC06F0" w:rsidP="0025592D">
      <w:pPr>
        <w:tabs>
          <w:tab w:val="left" w:pos="567"/>
        </w:tabs>
        <w:spacing w:after="0" w:line="240" w:lineRule="auto"/>
        <w:ind w:left="144" w:hanging="144"/>
        <w:rPr>
          <w:rFonts w:ascii="Arial" w:hAnsi="Arial" w:cs="Arial"/>
          <w:noProof/>
          <w:sz w:val="20"/>
          <w:szCs w:val="20"/>
        </w:rPr>
      </w:pPr>
    </w:p>
    <w:p w14:paraId="09DA0CA1" w14:textId="6D805C53" w:rsidR="00215D64" w:rsidRPr="00215D64" w:rsidRDefault="00215D64" w:rsidP="0030790C">
      <w:pPr>
        <w:keepNext/>
        <w:keepLines/>
        <w:tabs>
          <w:tab w:val="left" w:pos="567"/>
        </w:tabs>
        <w:spacing w:after="0"/>
        <w:rPr>
          <w:rFonts w:ascii="Arial" w:hAnsi="Arial" w:cs="Arial"/>
          <w:b/>
          <w:szCs w:val="24"/>
        </w:rPr>
      </w:pPr>
      <w:r w:rsidRPr="00215D64">
        <w:rPr>
          <w:rFonts w:ascii="Arial" w:hAnsi="Arial" w:cs="Arial"/>
          <w:b/>
          <w:szCs w:val="24"/>
        </w:rPr>
        <w:lastRenderedPageBreak/>
        <w:t xml:space="preserve">Figure 2. Cumulative Incidence of HIV Infections </w:t>
      </w:r>
      <w:r w:rsidR="005F654C">
        <w:rPr>
          <w:rFonts w:ascii="Arial" w:hAnsi="Arial" w:cs="Arial"/>
          <w:b/>
          <w:szCs w:val="24"/>
        </w:rPr>
        <w:t>in HPTN 084</w:t>
      </w:r>
    </w:p>
    <w:p w14:paraId="09C29571" w14:textId="2CC7161A" w:rsidR="00215D64" w:rsidRDefault="00215D64" w:rsidP="0030790C">
      <w:pPr>
        <w:keepNext/>
        <w:keepLines/>
        <w:tabs>
          <w:tab w:val="left" w:pos="567"/>
        </w:tabs>
        <w:spacing w:after="0"/>
        <w:rPr>
          <w:iCs/>
          <w:szCs w:val="24"/>
          <w:u w:val="single"/>
        </w:rPr>
      </w:pPr>
    </w:p>
    <w:p w14:paraId="6CA7AF0C" w14:textId="0B3EC4BA" w:rsidR="005F654C" w:rsidRDefault="00C97DD7" w:rsidP="0030790C">
      <w:pPr>
        <w:keepNext/>
        <w:keepLines/>
        <w:tabs>
          <w:tab w:val="left" w:pos="567"/>
        </w:tabs>
        <w:spacing w:after="0"/>
        <w:rPr>
          <w:iCs/>
          <w:szCs w:val="24"/>
          <w:u w:val="single"/>
        </w:rPr>
      </w:pPr>
      <w:r w:rsidRPr="00551699">
        <w:rPr>
          <w:rFonts w:ascii="Times New Roman" w:hAnsi="Times New Roman" w:cs="Times New Roman"/>
          <w:noProof/>
          <w:sz w:val="24"/>
          <w:szCs w:val="24"/>
        </w:rPr>
        <w:drawing>
          <wp:inline distT="0" distB="0" distL="0" distR="0" wp14:anchorId="020DD057" wp14:editId="66FE58FE">
            <wp:extent cx="5676900" cy="384828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3732" cy="3852914"/>
                    </a:xfrm>
                    <a:prstGeom prst="rect">
                      <a:avLst/>
                    </a:prstGeom>
                    <a:noFill/>
                    <a:ln>
                      <a:noFill/>
                    </a:ln>
                  </pic:spPr>
                </pic:pic>
              </a:graphicData>
            </a:graphic>
          </wp:inline>
        </w:drawing>
      </w:r>
    </w:p>
    <w:p w14:paraId="0CB13E0F" w14:textId="77777777" w:rsidR="005F654C" w:rsidRDefault="005F654C" w:rsidP="0030790C">
      <w:pPr>
        <w:keepNext/>
        <w:keepLines/>
        <w:tabs>
          <w:tab w:val="left" w:pos="567"/>
        </w:tabs>
        <w:spacing w:after="0"/>
        <w:rPr>
          <w:iCs/>
          <w:szCs w:val="24"/>
          <w:u w:val="single"/>
        </w:rPr>
      </w:pPr>
    </w:p>
    <w:p w14:paraId="08EBB884" w14:textId="185FA5A5" w:rsidR="00215D64" w:rsidRPr="00215D64" w:rsidRDefault="005F654C" w:rsidP="0030790C">
      <w:pPr>
        <w:keepNext/>
        <w:keepLines/>
        <w:tabs>
          <w:tab w:val="left" w:pos="567"/>
        </w:tabs>
        <w:spacing w:after="0"/>
        <w:rPr>
          <w:rFonts w:ascii="Arial" w:hAnsi="Arial" w:cs="Arial"/>
          <w:szCs w:val="24"/>
        </w:rPr>
      </w:pPr>
      <w:r>
        <w:rPr>
          <w:rFonts w:ascii="Arial" w:hAnsi="Arial" w:cs="Arial"/>
          <w:szCs w:val="24"/>
        </w:rPr>
        <w:t>Results</w:t>
      </w:r>
      <w:r w:rsidR="00215D64" w:rsidRPr="00215D64">
        <w:rPr>
          <w:rFonts w:ascii="Arial" w:hAnsi="Arial" w:cs="Arial"/>
          <w:szCs w:val="24"/>
        </w:rPr>
        <w:t xml:space="preserve"> from pre-planned subgroup analyses were consistent with the overall protective effect, with a lower rate of incident HIV-1 infections observed for participants randomised to </w:t>
      </w:r>
      <w:r w:rsidR="009D006D">
        <w:rPr>
          <w:rFonts w:ascii="Arial" w:hAnsi="Arial" w:cs="Arial"/>
          <w:szCs w:val="24"/>
        </w:rPr>
        <w:t>APRETUDE</w:t>
      </w:r>
      <w:r w:rsidR="00215D64" w:rsidRPr="00215D64">
        <w:rPr>
          <w:rFonts w:ascii="Arial" w:hAnsi="Arial" w:cs="Arial"/>
          <w:szCs w:val="24"/>
        </w:rPr>
        <w:t xml:space="preserve"> compared with participants randomised to TDF/FTC (see Table </w:t>
      </w:r>
      <w:r w:rsidR="00A3151F">
        <w:rPr>
          <w:rFonts w:ascii="Arial" w:hAnsi="Arial" w:cs="Arial"/>
          <w:szCs w:val="24"/>
        </w:rPr>
        <w:t>10</w:t>
      </w:r>
      <w:r w:rsidR="00215D64" w:rsidRPr="00215D64">
        <w:rPr>
          <w:rFonts w:ascii="Arial" w:hAnsi="Arial" w:cs="Arial"/>
          <w:szCs w:val="24"/>
        </w:rPr>
        <w:t>).</w:t>
      </w:r>
    </w:p>
    <w:p w14:paraId="561256BA" w14:textId="77777777" w:rsidR="00215D64" w:rsidRPr="00215D64" w:rsidRDefault="00215D64" w:rsidP="00215D64">
      <w:pPr>
        <w:tabs>
          <w:tab w:val="left" w:pos="567"/>
        </w:tabs>
        <w:spacing w:after="0"/>
        <w:rPr>
          <w:rFonts w:ascii="Arial" w:hAnsi="Arial" w:cs="Arial"/>
          <w:szCs w:val="24"/>
          <w:u w:val="single"/>
        </w:rPr>
      </w:pPr>
    </w:p>
    <w:p w14:paraId="652BE59A" w14:textId="77777777" w:rsidR="00AC06F0" w:rsidRDefault="00AC06F0">
      <w:pPr>
        <w:rPr>
          <w:rFonts w:ascii="Arial" w:hAnsi="Arial" w:cs="Arial"/>
          <w:b/>
          <w:bCs/>
          <w:szCs w:val="24"/>
          <w:u w:val="single"/>
        </w:rPr>
      </w:pPr>
      <w:r>
        <w:rPr>
          <w:rFonts w:ascii="Arial" w:hAnsi="Arial" w:cs="Arial"/>
          <w:b/>
          <w:bCs/>
          <w:szCs w:val="24"/>
          <w:u w:val="single"/>
        </w:rPr>
        <w:br w:type="page"/>
      </w:r>
    </w:p>
    <w:p w14:paraId="1895EEF2" w14:textId="3052F97B" w:rsidR="00215D64" w:rsidRPr="00AC06F0" w:rsidRDefault="00215D64" w:rsidP="00215D64">
      <w:pPr>
        <w:tabs>
          <w:tab w:val="left" w:pos="567"/>
        </w:tabs>
        <w:spacing w:after="0"/>
        <w:rPr>
          <w:rFonts w:ascii="Arial" w:hAnsi="Arial" w:cs="Arial"/>
          <w:b/>
          <w:bCs/>
          <w:szCs w:val="24"/>
        </w:rPr>
      </w:pPr>
      <w:r w:rsidRPr="00AC06F0">
        <w:rPr>
          <w:rFonts w:ascii="Arial" w:hAnsi="Arial" w:cs="Arial"/>
          <w:b/>
          <w:bCs/>
          <w:szCs w:val="24"/>
        </w:rPr>
        <w:lastRenderedPageBreak/>
        <w:t xml:space="preserve">Table </w:t>
      </w:r>
      <w:r w:rsidR="00A3151F">
        <w:rPr>
          <w:rFonts w:ascii="Arial" w:hAnsi="Arial" w:cs="Arial"/>
          <w:b/>
          <w:bCs/>
          <w:szCs w:val="24"/>
        </w:rPr>
        <w:t>10</w:t>
      </w:r>
      <w:r w:rsidRPr="00AC06F0">
        <w:rPr>
          <w:rFonts w:ascii="Arial" w:hAnsi="Arial" w:cs="Arial"/>
          <w:b/>
          <w:bCs/>
          <w:szCs w:val="24"/>
        </w:rPr>
        <w:t xml:space="preserve"> </w:t>
      </w:r>
      <w:r w:rsidR="002D2D87" w:rsidRPr="002D2D87">
        <w:rPr>
          <w:rFonts w:ascii="Arial" w:hAnsi="Arial" w:cs="Arial"/>
          <w:b/>
          <w:bCs/>
        </w:rPr>
        <w:t>Rate of incident HIV-1 infection by subgroup in HPTN 084 (</w:t>
      </w:r>
      <w:proofErr w:type="spellStart"/>
      <w:r w:rsidR="002D2D87" w:rsidRPr="002D2D87">
        <w:rPr>
          <w:rFonts w:ascii="Arial" w:hAnsi="Arial" w:cs="Arial"/>
          <w:b/>
          <w:bCs/>
        </w:rPr>
        <w:t>mITT</w:t>
      </w:r>
      <w:proofErr w:type="spellEnd"/>
      <w:r w:rsidR="002D2D87" w:rsidRPr="002D2D87">
        <w:rPr>
          <w:rFonts w:ascii="Arial" w:hAnsi="Arial" w:cs="Arial"/>
          <w:b/>
          <w:bCs/>
        </w:rPr>
        <w:t>, extended retrospective virologic testing)</w:t>
      </w:r>
    </w:p>
    <w:p w14:paraId="029CD100" w14:textId="47A5ADB0" w:rsidR="00215D64" w:rsidRDefault="00215D64" w:rsidP="00215D64">
      <w:pPr>
        <w:tabs>
          <w:tab w:val="left" w:pos="567"/>
        </w:tabs>
        <w:spacing w:after="0"/>
        <w:rPr>
          <w:i/>
          <w:sz w:val="24"/>
          <w:szCs w:val="24"/>
          <w:lang w:val="en-GB" w:eastAsia="en-GB"/>
        </w:rPr>
      </w:pPr>
    </w:p>
    <w:tbl>
      <w:tblPr>
        <w:tblW w:w="887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59"/>
        <w:gridCol w:w="1560"/>
        <w:gridCol w:w="1559"/>
        <w:gridCol w:w="1559"/>
        <w:gridCol w:w="1276"/>
      </w:tblGrid>
      <w:tr w:rsidR="00DB655A" w:rsidRPr="0015447D" w14:paraId="34EEDEEE" w14:textId="77777777" w:rsidTr="00CF38B4">
        <w:trPr>
          <w:trHeight w:val="1070"/>
        </w:trPr>
        <w:tc>
          <w:tcPr>
            <w:tcW w:w="1366" w:type="dxa"/>
            <w:shd w:val="clear" w:color="auto" w:fill="auto"/>
            <w:vAlign w:val="bottom"/>
          </w:tcPr>
          <w:p w14:paraId="6209F45D" w14:textId="77777777" w:rsidR="00DB655A" w:rsidRPr="0015447D" w:rsidRDefault="00DB655A" w:rsidP="00F32B1E">
            <w:pPr>
              <w:keepNext/>
              <w:tabs>
                <w:tab w:val="left" w:pos="567"/>
              </w:tabs>
              <w:jc w:val="center"/>
              <w:rPr>
                <w:rFonts w:ascii="Arial" w:hAnsi="Arial" w:cs="Arial"/>
                <w:b/>
                <w:sz w:val="20"/>
                <w:szCs w:val="20"/>
              </w:rPr>
            </w:pPr>
            <w:r w:rsidRPr="0015447D">
              <w:rPr>
                <w:rFonts w:ascii="Arial" w:hAnsi="Arial" w:cs="Arial"/>
                <w:b/>
                <w:sz w:val="20"/>
                <w:szCs w:val="20"/>
              </w:rPr>
              <w:t>Subgroup</w:t>
            </w:r>
          </w:p>
        </w:tc>
        <w:tc>
          <w:tcPr>
            <w:tcW w:w="1559" w:type="dxa"/>
            <w:shd w:val="clear" w:color="auto" w:fill="auto"/>
            <w:vAlign w:val="bottom"/>
          </w:tcPr>
          <w:p w14:paraId="32F06EE6" w14:textId="0D7243E5" w:rsidR="00DB655A" w:rsidRPr="0015447D" w:rsidRDefault="005C29B4" w:rsidP="00F32B1E">
            <w:pPr>
              <w:keepNext/>
              <w:tabs>
                <w:tab w:val="left" w:pos="567"/>
              </w:tabs>
              <w:jc w:val="center"/>
              <w:rPr>
                <w:rFonts w:ascii="Arial" w:hAnsi="Arial" w:cs="Arial"/>
                <w:b/>
                <w:sz w:val="20"/>
                <w:szCs w:val="20"/>
              </w:rPr>
            </w:pPr>
            <w:r w:rsidRPr="0015447D">
              <w:rPr>
                <w:rFonts w:ascii="Arial" w:hAnsi="Arial" w:cs="Arial"/>
                <w:b/>
                <w:sz w:val="20"/>
                <w:szCs w:val="20"/>
              </w:rPr>
              <w:t>Cabotegravir</w:t>
            </w:r>
            <w:r w:rsidR="00DB655A" w:rsidRPr="0015447D">
              <w:rPr>
                <w:rFonts w:ascii="Arial" w:hAnsi="Arial" w:cs="Arial"/>
                <w:b/>
                <w:sz w:val="20"/>
                <w:szCs w:val="20"/>
              </w:rPr>
              <w:t xml:space="preserve"> Incidence per 100 Person-Years</w:t>
            </w:r>
          </w:p>
        </w:tc>
        <w:tc>
          <w:tcPr>
            <w:tcW w:w="1560" w:type="dxa"/>
            <w:vAlign w:val="bottom"/>
          </w:tcPr>
          <w:p w14:paraId="4CDB4E10" w14:textId="5B2BF5DF" w:rsidR="00DB655A" w:rsidRPr="0015447D" w:rsidRDefault="005C29B4" w:rsidP="00F32B1E">
            <w:pPr>
              <w:keepNext/>
              <w:tabs>
                <w:tab w:val="left" w:pos="567"/>
              </w:tabs>
              <w:jc w:val="center"/>
              <w:rPr>
                <w:rFonts w:ascii="Arial" w:hAnsi="Arial" w:cs="Arial"/>
                <w:b/>
                <w:sz w:val="20"/>
                <w:szCs w:val="20"/>
              </w:rPr>
            </w:pPr>
            <w:r w:rsidRPr="0015447D">
              <w:rPr>
                <w:rFonts w:ascii="Arial" w:hAnsi="Arial" w:cs="Arial"/>
                <w:b/>
                <w:sz w:val="20"/>
                <w:szCs w:val="20"/>
              </w:rPr>
              <w:t>Cabotegravir</w:t>
            </w:r>
            <w:r w:rsidR="00DB655A" w:rsidRPr="0015447D">
              <w:rPr>
                <w:rFonts w:ascii="Arial" w:hAnsi="Arial" w:cs="Arial"/>
                <w:b/>
                <w:sz w:val="20"/>
                <w:szCs w:val="20"/>
              </w:rPr>
              <w:t xml:space="preserve"> Person-Years</w:t>
            </w:r>
          </w:p>
        </w:tc>
        <w:tc>
          <w:tcPr>
            <w:tcW w:w="1559" w:type="dxa"/>
            <w:shd w:val="clear" w:color="auto" w:fill="auto"/>
            <w:vAlign w:val="bottom"/>
          </w:tcPr>
          <w:p w14:paraId="144E93DB" w14:textId="1DED53F6" w:rsidR="00DB655A" w:rsidRPr="0015447D" w:rsidRDefault="005C29B4" w:rsidP="00F32B1E">
            <w:pPr>
              <w:keepNext/>
              <w:tabs>
                <w:tab w:val="left" w:pos="567"/>
              </w:tabs>
              <w:jc w:val="center"/>
              <w:rPr>
                <w:rFonts w:ascii="Arial" w:hAnsi="Arial" w:cs="Arial"/>
                <w:b/>
                <w:sz w:val="20"/>
                <w:szCs w:val="20"/>
              </w:rPr>
            </w:pPr>
            <w:r w:rsidRPr="0015447D">
              <w:rPr>
                <w:rFonts w:ascii="Arial" w:hAnsi="Arial" w:cs="Arial"/>
                <w:b/>
                <w:sz w:val="20"/>
                <w:szCs w:val="20"/>
              </w:rPr>
              <w:t xml:space="preserve">TDF/FTC </w:t>
            </w:r>
            <w:r w:rsidR="00DB655A" w:rsidRPr="0015447D">
              <w:rPr>
                <w:rFonts w:ascii="Arial" w:hAnsi="Arial" w:cs="Arial"/>
                <w:b/>
                <w:sz w:val="20"/>
                <w:szCs w:val="20"/>
              </w:rPr>
              <w:t>Incidence per 100 Person-Years</w:t>
            </w:r>
          </w:p>
        </w:tc>
        <w:tc>
          <w:tcPr>
            <w:tcW w:w="1559" w:type="dxa"/>
            <w:vAlign w:val="bottom"/>
          </w:tcPr>
          <w:p w14:paraId="258AFC72" w14:textId="1D8EC533" w:rsidR="00DB655A" w:rsidRPr="0015447D" w:rsidRDefault="005C29B4" w:rsidP="00F32B1E">
            <w:pPr>
              <w:keepNext/>
              <w:tabs>
                <w:tab w:val="left" w:pos="567"/>
              </w:tabs>
              <w:jc w:val="center"/>
              <w:rPr>
                <w:rFonts w:ascii="Arial" w:hAnsi="Arial" w:cs="Arial"/>
                <w:b/>
                <w:sz w:val="20"/>
                <w:szCs w:val="20"/>
              </w:rPr>
            </w:pPr>
            <w:r w:rsidRPr="0015447D">
              <w:rPr>
                <w:rFonts w:ascii="Arial" w:hAnsi="Arial" w:cs="Arial"/>
                <w:b/>
                <w:sz w:val="20"/>
                <w:szCs w:val="20"/>
              </w:rPr>
              <w:t>TDF/FTC</w:t>
            </w:r>
            <w:r w:rsidR="00DB655A" w:rsidRPr="0015447D">
              <w:rPr>
                <w:rFonts w:ascii="Arial" w:hAnsi="Arial" w:cs="Arial"/>
                <w:b/>
                <w:sz w:val="20"/>
                <w:szCs w:val="20"/>
              </w:rPr>
              <w:t xml:space="preserve"> Person-Years</w:t>
            </w:r>
          </w:p>
        </w:tc>
        <w:tc>
          <w:tcPr>
            <w:tcW w:w="1276" w:type="dxa"/>
            <w:shd w:val="clear" w:color="auto" w:fill="auto"/>
            <w:vAlign w:val="bottom"/>
          </w:tcPr>
          <w:p w14:paraId="60036A9E" w14:textId="77777777" w:rsidR="00DB655A" w:rsidRPr="0015447D" w:rsidRDefault="00DB655A" w:rsidP="00F32B1E">
            <w:pPr>
              <w:keepNext/>
              <w:tabs>
                <w:tab w:val="left" w:pos="567"/>
              </w:tabs>
              <w:jc w:val="center"/>
              <w:rPr>
                <w:rFonts w:ascii="Arial" w:hAnsi="Arial" w:cs="Arial"/>
                <w:b/>
                <w:sz w:val="20"/>
                <w:szCs w:val="20"/>
              </w:rPr>
            </w:pPr>
            <w:r w:rsidRPr="0015447D">
              <w:rPr>
                <w:rFonts w:ascii="Arial" w:hAnsi="Arial" w:cs="Arial"/>
                <w:b/>
                <w:sz w:val="20"/>
                <w:szCs w:val="20"/>
              </w:rPr>
              <w:t xml:space="preserve">Hazard </w:t>
            </w:r>
          </w:p>
          <w:p w14:paraId="7E1E1AFE" w14:textId="77777777" w:rsidR="00DB655A" w:rsidRPr="0015447D" w:rsidRDefault="00DB655A" w:rsidP="00F32B1E">
            <w:pPr>
              <w:keepNext/>
              <w:tabs>
                <w:tab w:val="left" w:pos="567"/>
              </w:tabs>
              <w:jc w:val="center"/>
              <w:rPr>
                <w:rFonts w:ascii="Arial" w:hAnsi="Arial" w:cs="Arial"/>
                <w:b/>
                <w:sz w:val="20"/>
                <w:szCs w:val="20"/>
              </w:rPr>
            </w:pPr>
            <w:r w:rsidRPr="0015447D">
              <w:rPr>
                <w:rFonts w:ascii="Arial" w:hAnsi="Arial" w:cs="Arial"/>
                <w:b/>
                <w:sz w:val="20"/>
                <w:szCs w:val="20"/>
              </w:rPr>
              <w:t>Ratio</w:t>
            </w:r>
          </w:p>
          <w:p w14:paraId="63FE7C2E" w14:textId="77777777" w:rsidR="00DB655A" w:rsidRPr="0015447D" w:rsidRDefault="00DB655A" w:rsidP="00F32B1E">
            <w:pPr>
              <w:keepNext/>
              <w:tabs>
                <w:tab w:val="left" w:pos="567"/>
              </w:tabs>
              <w:jc w:val="center"/>
              <w:rPr>
                <w:rFonts w:ascii="Arial" w:hAnsi="Arial" w:cs="Arial"/>
                <w:b/>
                <w:sz w:val="20"/>
                <w:szCs w:val="20"/>
              </w:rPr>
            </w:pPr>
            <w:r w:rsidRPr="0015447D">
              <w:rPr>
                <w:rFonts w:ascii="Arial" w:hAnsi="Arial" w:cs="Arial"/>
                <w:b/>
                <w:sz w:val="20"/>
                <w:szCs w:val="20"/>
              </w:rPr>
              <w:t>(95% CI)</w:t>
            </w:r>
          </w:p>
        </w:tc>
      </w:tr>
      <w:tr w:rsidR="00DB655A" w:rsidRPr="0015447D" w14:paraId="6C7672F2" w14:textId="77777777" w:rsidTr="00CF38B4">
        <w:tc>
          <w:tcPr>
            <w:tcW w:w="1366" w:type="dxa"/>
            <w:shd w:val="clear" w:color="auto" w:fill="auto"/>
          </w:tcPr>
          <w:p w14:paraId="4AEB31B8" w14:textId="77777777" w:rsidR="00DB655A" w:rsidRPr="0015447D" w:rsidRDefault="00DB655A" w:rsidP="00F32B1E">
            <w:pPr>
              <w:keepNext/>
              <w:tabs>
                <w:tab w:val="left" w:pos="567"/>
              </w:tabs>
              <w:spacing w:after="0" w:line="240" w:lineRule="atLeast"/>
              <w:rPr>
                <w:rFonts w:ascii="Arial" w:hAnsi="Arial" w:cs="Arial"/>
                <w:b/>
                <w:sz w:val="20"/>
                <w:szCs w:val="20"/>
              </w:rPr>
            </w:pPr>
            <w:r w:rsidRPr="0015447D">
              <w:rPr>
                <w:rFonts w:ascii="Arial" w:hAnsi="Arial" w:cs="Arial"/>
                <w:b/>
                <w:sz w:val="20"/>
                <w:szCs w:val="20"/>
              </w:rPr>
              <w:t>Age</w:t>
            </w:r>
          </w:p>
        </w:tc>
        <w:tc>
          <w:tcPr>
            <w:tcW w:w="1559" w:type="dxa"/>
            <w:shd w:val="clear" w:color="auto" w:fill="auto"/>
          </w:tcPr>
          <w:p w14:paraId="3BDF30D8" w14:textId="77777777" w:rsidR="00DB655A" w:rsidRPr="0015447D" w:rsidRDefault="00DB655A" w:rsidP="00F32B1E">
            <w:pPr>
              <w:keepNext/>
              <w:tabs>
                <w:tab w:val="left" w:pos="567"/>
              </w:tabs>
              <w:spacing w:after="0" w:line="240" w:lineRule="atLeast"/>
              <w:jc w:val="center"/>
              <w:rPr>
                <w:rFonts w:ascii="Arial" w:hAnsi="Arial" w:cs="Arial"/>
                <w:sz w:val="20"/>
                <w:szCs w:val="20"/>
                <w:u w:val="single"/>
              </w:rPr>
            </w:pPr>
          </w:p>
        </w:tc>
        <w:tc>
          <w:tcPr>
            <w:tcW w:w="1560" w:type="dxa"/>
          </w:tcPr>
          <w:p w14:paraId="7C618F81" w14:textId="77777777" w:rsidR="00DB655A" w:rsidRPr="0015447D" w:rsidRDefault="00DB655A" w:rsidP="00F32B1E">
            <w:pPr>
              <w:keepNext/>
              <w:tabs>
                <w:tab w:val="left" w:pos="567"/>
              </w:tabs>
              <w:spacing w:after="0" w:line="240" w:lineRule="atLeast"/>
              <w:jc w:val="center"/>
              <w:rPr>
                <w:rFonts w:ascii="Arial" w:hAnsi="Arial" w:cs="Arial"/>
                <w:sz w:val="20"/>
                <w:szCs w:val="20"/>
                <w:u w:val="single"/>
              </w:rPr>
            </w:pPr>
          </w:p>
        </w:tc>
        <w:tc>
          <w:tcPr>
            <w:tcW w:w="1559" w:type="dxa"/>
            <w:shd w:val="clear" w:color="auto" w:fill="auto"/>
          </w:tcPr>
          <w:p w14:paraId="45CB3B2E" w14:textId="77777777" w:rsidR="00DB655A" w:rsidRPr="0015447D" w:rsidRDefault="00DB655A" w:rsidP="00F32B1E">
            <w:pPr>
              <w:keepNext/>
              <w:tabs>
                <w:tab w:val="left" w:pos="567"/>
              </w:tabs>
              <w:spacing w:after="0" w:line="240" w:lineRule="atLeast"/>
              <w:jc w:val="center"/>
              <w:rPr>
                <w:rFonts w:ascii="Arial" w:hAnsi="Arial" w:cs="Arial"/>
                <w:sz w:val="20"/>
                <w:szCs w:val="20"/>
                <w:u w:val="single"/>
              </w:rPr>
            </w:pPr>
          </w:p>
        </w:tc>
        <w:tc>
          <w:tcPr>
            <w:tcW w:w="1559" w:type="dxa"/>
          </w:tcPr>
          <w:p w14:paraId="20AA1C2B" w14:textId="77777777" w:rsidR="00DB655A" w:rsidRPr="0015447D" w:rsidRDefault="00DB655A" w:rsidP="00F32B1E">
            <w:pPr>
              <w:keepNext/>
              <w:tabs>
                <w:tab w:val="left" w:pos="567"/>
              </w:tabs>
              <w:spacing w:after="0" w:line="240" w:lineRule="atLeast"/>
              <w:jc w:val="center"/>
              <w:rPr>
                <w:rFonts w:ascii="Arial" w:hAnsi="Arial" w:cs="Arial"/>
                <w:sz w:val="20"/>
                <w:szCs w:val="20"/>
                <w:u w:val="single"/>
              </w:rPr>
            </w:pPr>
          </w:p>
        </w:tc>
        <w:tc>
          <w:tcPr>
            <w:tcW w:w="1276" w:type="dxa"/>
            <w:shd w:val="clear" w:color="auto" w:fill="auto"/>
          </w:tcPr>
          <w:p w14:paraId="390769E6" w14:textId="77777777" w:rsidR="00DB655A" w:rsidRPr="0015447D" w:rsidRDefault="00DB655A" w:rsidP="00F32B1E">
            <w:pPr>
              <w:keepNext/>
              <w:tabs>
                <w:tab w:val="left" w:pos="567"/>
              </w:tabs>
              <w:spacing w:after="0" w:line="240" w:lineRule="atLeast"/>
              <w:rPr>
                <w:rFonts w:ascii="Arial" w:hAnsi="Arial" w:cs="Arial"/>
                <w:sz w:val="20"/>
                <w:szCs w:val="20"/>
                <w:u w:val="single"/>
              </w:rPr>
            </w:pPr>
          </w:p>
        </w:tc>
      </w:tr>
      <w:tr w:rsidR="00DB655A" w:rsidRPr="0015447D" w14:paraId="291DD5FC" w14:textId="77777777" w:rsidTr="00CF38B4">
        <w:tc>
          <w:tcPr>
            <w:tcW w:w="1366" w:type="dxa"/>
            <w:shd w:val="clear" w:color="auto" w:fill="auto"/>
          </w:tcPr>
          <w:p w14:paraId="17249851" w14:textId="77777777" w:rsidR="00DB655A" w:rsidRPr="0015447D" w:rsidRDefault="00DB655A" w:rsidP="00F32B1E">
            <w:pPr>
              <w:keepNext/>
              <w:tabs>
                <w:tab w:val="left" w:pos="567"/>
              </w:tabs>
              <w:spacing w:after="0" w:line="240" w:lineRule="atLeast"/>
              <w:rPr>
                <w:rFonts w:ascii="Arial" w:hAnsi="Arial" w:cs="Arial"/>
                <w:sz w:val="20"/>
                <w:szCs w:val="20"/>
              </w:rPr>
            </w:pPr>
            <w:r w:rsidRPr="0015447D">
              <w:rPr>
                <w:rFonts w:ascii="Arial" w:hAnsi="Arial" w:cs="Arial"/>
                <w:sz w:val="20"/>
                <w:szCs w:val="20"/>
              </w:rPr>
              <w:t>&lt;25 years</w:t>
            </w:r>
          </w:p>
        </w:tc>
        <w:tc>
          <w:tcPr>
            <w:tcW w:w="1559" w:type="dxa"/>
            <w:shd w:val="clear" w:color="auto" w:fill="auto"/>
          </w:tcPr>
          <w:p w14:paraId="71F40C34" w14:textId="77777777" w:rsidR="00DB655A" w:rsidRPr="0015447D" w:rsidRDefault="00DB655A" w:rsidP="00F32B1E">
            <w:pPr>
              <w:keepNext/>
              <w:tabs>
                <w:tab w:val="left" w:pos="567"/>
              </w:tabs>
              <w:spacing w:after="0" w:line="240" w:lineRule="atLeast"/>
              <w:jc w:val="center"/>
              <w:rPr>
                <w:rFonts w:ascii="Arial" w:hAnsi="Arial" w:cs="Arial"/>
                <w:sz w:val="20"/>
                <w:szCs w:val="20"/>
                <w:u w:val="single"/>
              </w:rPr>
            </w:pPr>
            <w:r w:rsidRPr="0015447D">
              <w:rPr>
                <w:rFonts w:ascii="Arial" w:hAnsi="Arial" w:cs="Arial"/>
                <w:sz w:val="20"/>
                <w:szCs w:val="20"/>
              </w:rPr>
              <w:t>0.23</w:t>
            </w:r>
          </w:p>
        </w:tc>
        <w:tc>
          <w:tcPr>
            <w:tcW w:w="1560" w:type="dxa"/>
          </w:tcPr>
          <w:p w14:paraId="3A850A3F" w14:textId="77777777" w:rsidR="00DB655A" w:rsidRPr="0015447D" w:rsidRDefault="00DB655A" w:rsidP="00F32B1E">
            <w:pPr>
              <w:keepNext/>
              <w:tabs>
                <w:tab w:val="left" w:pos="567"/>
              </w:tabs>
              <w:spacing w:after="0" w:line="240" w:lineRule="atLeast"/>
              <w:jc w:val="center"/>
              <w:rPr>
                <w:rFonts w:ascii="Arial" w:hAnsi="Arial" w:cs="Arial"/>
                <w:sz w:val="20"/>
                <w:szCs w:val="20"/>
              </w:rPr>
            </w:pPr>
            <w:r w:rsidRPr="0015447D">
              <w:rPr>
                <w:rFonts w:ascii="Arial" w:hAnsi="Arial" w:cs="Arial"/>
                <w:sz w:val="20"/>
                <w:szCs w:val="20"/>
              </w:rPr>
              <w:t>868</w:t>
            </w:r>
          </w:p>
        </w:tc>
        <w:tc>
          <w:tcPr>
            <w:tcW w:w="1559" w:type="dxa"/>
            <w:shd w:val="clear" w:color="auto" w:fill="auto"/>
          </w:tcPr>
          <w:p w14:paraId="1CE6E755" w14:textId="77777777" w:rsidR="00DB655A" w:rsidRPr="0015447D" w:rsidRDefault="00DB655A" w:rsidP="00F32B1E">
            <w:pPr>
              <w:keepNext/>
              <w:tabs>
                <w:tab w:val="left" w:pos="567"/>
              </w:tabs>
              <w:spacing w:after="0" w:line="240" w:lineRule="atLeast"/>
              <w:jc w:val="center"/>
              <w:rPr>
                <w:rFonts w:ascii="Arial" w:hAnsi="Arial" w:cs="Arial"/>
                <w:sz w:val="20"/>
                <w:szCs w:val="20"/>
                <w:u w:val="single"/>
              </w:rPr>
            </w:pPr>
            <w:r w:rsidRPr="0015447D">
              <w:rPr>
                <w:rFonts w:ascii="Arial" w:hAnsi="Arial" w:cs="Arial"/>
                <w:sz w:val="20"/>
                <w:szCs w:val="20"/>
              </w:rPr>
              <w:t>2.34</w:t>
            </w:r>
          </w:p>
        </w:tc>
        <w:tc>
          <w:tcPr>
            <w:tcW w:w="1559" w:type="dxa"/>
          </w:tcPr>
          <w:p w14:paraId="6145768D" w14:textId="77777777" w:rsidR="00DB655A" w:rsidRPr="0015447D" w:rsidRDefault="00DB655A" w:rsidP="00F32B1E">
            <w:pPr>
              <w:keepNext/>
              <w:adjustRightInd w:val="0"/>
              <w:spacing w:after="0" w:line="240" w:lineRule="atLeast"/>
              <w:jc w:val="center"/>
              <w:rPr>
                <w:rFonts w:ascii="Arial" w:hAnsi="Arial" w:cs="Arial"/>
                <w:sz w:val="20"/>
                <w:szCs w:val="20"/>
              </w:rPr>
            </w:pPr>
            <w:r w:rsidRPr="0015447D">
              <w:rPr>
                <w:rFonts w:ascii="Arial" w:hAnsi="Arial" w:cs="Arial"/>
                <w:sz w:val="20"/>
                <w:szCs w:val="20"/>
              </w:rPr>
              <w:t>853</w:t>
            </w:r>
          </w:p>
        </w:tc>
        <w:tc>
          <w:tcPr>
            <w:tcW w:w="1276" w:type="dxa"/>
            <w:shd w:val="clear" w:color="auto" w:fill="auto"/>
          </w:tcPr>
          <w:p w14:paraId="40E1F4C9" w14:textId="77777777" w:rsidR="00DB655A" w:rsidRPr="0015447D" w:rsidRDefault="00DB655A" w:rsidP="00F32B1E">
            <w:pPr>
              <w:keepNext/>
              <w:adjustRightInd w:val="0"/>
              <w:spacing w:after="0" w:line="240" w:lineRule="atLeast"/>
              <w:jc w:val="center"/>
              <w:rPr>
                <w:rFonts w:ascii="Arial" w:hAnsi="Arial" w:cs="Arial"/>
                <w:sz w:val="20"/>
                <w:szCs w:val="20"/>
              </w:rPr>
            </w:pPr>
            <w:r w:rsidRPr="0015447D">
              <w:rPr>
                <w:rFonts w:ascii="Arial" w:hAnsi="Arial" w:cs="Arial"/>
                <w:sz w:val="20"/>
                <w:szCs w:val="20"/>
              </w:rPr>
              <w:t>0.12</w:t>
            </w:r>
          </w:p>
          <w:p w14:paraId="37789CA2" w14:textId="77777777" w:rsidR="00DB655A" w:rsidRPr="0015447D" w:rsidRDefault="00DB655A" w:rsidP="00F32B1E">
            <w:pPr>
              <w:keepNext/>
              <w:adjustRightInd w:val="0"/>
              <w:spacing w:after="0" w:line="240" w:lineRule="atLeast"/>
              <w:jc w:val="center"/>
              <w:rPr>
                <w:rFonts w:ascii="Arial" w:hAnsi="Arial" w:cs="Arial"/>
                <w:sz w:val="20"/>
                <w:szCs w:val="20"/>
              </w:rPr>
            </w:pPr>
            <w:r w:rsidRPr="0015447D">
              <w:rPr>
                <w:rFonts w:ascii="Arial" w:hAnsi="Arial" w:cs="Arial"/>
                <w:sz w:val="20"/>
                <w:szCs w:val="20"/>
              </w:rPr>
              <w:t>(0.03, 0.46)</w:t>
            </w:r>
          </w:p>
        </w:tc>
      </w:tr>
      <w:tr w:rsidR="00DB655A" w:rsidRPr="0015447D" w14:paraId="0AB2D39F" w14:textId="77777777" w:rsidTr="00CF38B4">
        <w:tc>
          <w:tcPr>
            <w:tcW w:w="1366" w:type="dxa"/>
            <w:shd w:val="clear" w:color="auto" w:fill="auto"/>
          </w:tcPr>
          <w:p w14:paraId="78A6E3EF" w14:textId="77777777" w:rsidR="00DB655A" w:rsidRPr="0015447D" w:rsidRDefault="00DB655A" w:rsidP="00F32B1E">
            <w:pPr>
              <w:tabs>
                <w:tab w:val="left" w:pos="567"/>
              </w:tabs>
              <w:spacing w:after="0" w:line="240" w:lineRule="atLeast"/>
              <w:rPr>
                <w:rFonts w:ascii="Arial" w:hAnsi="Arial" w:cs="Arial"/>
                <w:sz w:val="20"/>
                <w:szCs w:val="20"/>
              </w:rPr>
            </w:pPr>
            <w:r w:rsidRPr="0015447D">
              <w:rPr>
                <w:rFonts w:ascii="Arial" w:hAnsi="Arial" w:cs="Arial"/>
                <w:sz w:val="20"/>
                <w:szCs w:val="20"/>
              </w:rPr>
              <w:t>≥25 years</w:t>
            </w:r>
          </w:p>
        </w:tc>
        <w:tc>
          <w:tcPr>
            <w:tcW w:w="1559" w:type="dxa"/>
            <w:shd w:val="clear" w:color="auto" w:fill="auto"/>
          </w:tcPr>
          <w:p w14:paraId="35833B4A" w14:textId="77777777" w:rsidR="00DB655A" w:rsidRPr="0015447D" w:rsidRDefault="00DB655A" w:rsidP="00F32B1E">
            <w:pPr>
              <w:tabs>
                <w:tab w:val="left" w:pos="567"/>
              </w:tabs>
              <w:spacing w:after="0" w:line="240" w:lineRule="atLeast"/>
              <w:jc w:val="center"/>
              <w:rPr>
                <w:rFonts w:ascii="Arial" w:hAnsi="Arial" w:cs="Arial"/>
                <w:sz w:val="20"/>
                <w:szCs w:val="20"/>
              </w:rPr>
            </w:pPr>
            <w:r w:rsidRPr="0015447D">
              <w:rPr>
                <w:rFonts w:ascii="Arial" w:hAnsi="Arial" w:cs="Arial"/>
                <w:sz w:val="20"/>
                <w:szCs w:val="20"/>
              </w:rPr>
              <w:t>0.09</w:t>
            </w:r>
          </w:p>
        </w:tc>
        <w:tc>
          <w:tcPr>
            <w:tcW w:w="1560" w:type="dxa"/>
          </w:tcPr>
          <w:p w14:paraId="06865C47" w14:textId="77777777" w:rsidR="00DB655A" w:rsidRPr="0015447D" w:rsidRDefault="00DB655A" w:rsidP="00F32B1E">
            <w:pPr>
              <w:tabs>
                <w:tab w:val="left" w:pos="567"/>
              </w:tabs>
              <w:spacing w:after="0" w:line="240" w:lineRule="atLeast"/>
              <w:jc w:val="center"/>
              <w:rPr>
                <w:rFonts w:ascii="Arial" w:hAnsi="Arial" w:cs="Arial"/>
                <w:sz w:val="20"/>
                <w:szCs w:val="20"/>
              </w:rPr>
            </w:pPr>
            <w:r w:rsidRPr="0015447D">
              <w:rPr>
                <w:rFonts w:ascii="Arial" w:hAnsi="Arial" w:cs="Arial"/>
                <w:sz w:val="20"/>
                <w:szCs w:val="20"/>
              </w:rPr>
              <w:t>1,093</w:t>
            </w:r>
          </w:p>
        </w:tc>
        <w:tc>
          <w:tcPr>
            <w:tcW w:w="1559" w:type="dxa"/>
            <w:shd w:val="clear" w:color="auto" w:fill="auto"/>
          </w:tcPr>
          <w:p w14:paraId="6B8ED3D3" w14:textId="77777777" w:rsidR="00DB655A" w:rsidRPr="0015447D" w:rsidRDefault="00DB655A" w:rsidP="00F32B1E">
            <w:pPr>
              <w:tabs>
                <w:tab w:val="left" w:pos="567"/>
              </w:tabs>
              <w:spacing w:after="0" w:line="240" w:lineRule="atLeast"/>
              <w:jc w:val="center"/>
              <w:rPr>
                <w:rFonts w:ascii="Arial" w:hAnsi="Arial" w:cs="Arial"/>
                <w:sz w:val="20"/>
                <w:szCs w:val="20"/>
              </w:rPr>
            </w:pPr>
            <w:r w:rsidRPr="0015447D">
              <w:rPr>
                <w:rFonts w:ascii="Arial" w:hAnsi="Arial" w:cs="Arial"/>
                <w:sz w:val="20"/>
                <w:szCs w:val="20"/>
              </w:rPr>
              <w:t>1.46</w:t>
            </w:r>
          </w:p>
        </w:tc>
        <w:tc>
          <w:tcPr>
            <w:tcW w:w="1559" w:type="dxa"/>
          </w:tcPr>
          <w:p w14:paraId="61614328" w14:textId="77777777" w:rsidR="00DB655A" w:rsidRPr="0015447D" w:rsidRDefault="00DB655A" w:rsidP="00F32B1E">
            <w:pPr>
              <w:adjustRightInd w:val="0"/>
              <w:spacing w:after="0" w:line="240" w:lineRule="atLeast"/>
              <w:jc w:val="center"/>
              <w:rPr>
                <w:rFonts w:ascii="Arial" w:hAnsi="Arial" w:cs="Arial"/>
                <w:sz w:val="20"/>
                <w:szCs w:val="20"/>
              </w:rPr>
            </w:pPr>
            <w:r w:rsidRPr="0015447D">
              <w:rPr>
                <w:rFonts w:ascii="Arial" w:hAnsi="Arial" w:cs="Arial"/>
                <w:sz w:val="20"/>
                <w:szCs w:val="20"/>
              </w:rPr>
              <w:t>1,093</w:t>
            </w:r>
          </w:p>
        </w:tc>
        <w:tc>
          <w:tcPr>
            <w:tcW w:w="1276" w:type="dxa"/>
            <w:shd w:val="clear" w:color="auto" w:fill="auto"/>
          </w:tcPr>
          <w:p w14:paraId="6B5A38F5" w14:textId="77777777" w:rsidR="00DB655A" w:rsidRPr="0015447D" w:rsidRDefault="00DB655A" w:rsidP="00F32B1E">
            <w:pPr>
              <w:adjustRightInd w:val="0"/>
              <w:spacing w:after="0" w:line="240" w:lineRule="atLeast"/>
              <w:jc w:val="center"/>
              <w:rPr>
                <w:rFonts w:ascii="Arial" w:hAnsi="Arial" w:cs="Arial"/>
                <w:sz w:val="20"/>
                <w:szCs w:val="20"/>
              </w:rPr>
            </w:pPr>
            <w:r w:rsidRPr="0015447D">
              <w:rPr>
                <w:rFonts w:ascii="Arial" w:hAnsi="Arial" w:cs="Arial"/>
                <w:sz w:val="20"/>
                <w:szCs w:val="20"/>
              </w:rPr>
              <w:t>0.09</w:t>
            </w:r>
          </w:p>
          <w:p w14:paraId="7F4810A0" w14:textId="77777777" w:rsidR="00DB655A" w:rsidRPr="0015447D" w:rsidRDefault="00DB655A" w:rsidP="00F32B1E">
            <w:pPr>
              <w:adjustRightInd w:val="0"/>
              <w:spacing w:after="0" w:line="240" w:lineRule="atLeast"/>
              <w:jc w:val="center"/>
              <w:rPr>
                <w:rFonts w:ascii="Arial" w:hAnsi="Arial" w:cs="Arial"/>
                <w:sz w:val="20"/>
                <w:szCs w:val="20"/>
              </w:rPr>
            </w:pPr>
            <w:r w:rsidRPr="0015447D">
              <w:rPr>
                <w:rFonts w:ascii="Arial" w:hAnsi="Arial" w:cs="Arial"/>
                <w:sz w:val="20"/>
                <w:szCs w:val="20"/>
              </w:rPr>
              <w:t>(0.02, 0.49)</w:t>
            </w:r>
          </w:p>
        </w:tc>
      </w:tr>
      <w:tr w:rsidR="00DB655A" w:rsidRPr="0015447D" w14:paraId="5BB734EB" w14:textId="77777777" w:rsidTr="00CF38B4">
        <w:tc>
          <w:tcPr>
            <w:tcW w:w="1366" w:type="dxa"/>
            <w:shd w:val="clear" w:color="auto" w:fill="auto"/>
          </w:tcPr>
          <w:p w14:paraId="096D3A3B" w14:textId="77777777" w:rsidR="00DB655A" w:rsidRPr="0015447D" w:rsidRDefault="00DB655A" w:rsidP="00F32B1E">
            <w:pPr>
              <w:keepNext/>
              <w:tabs>
                <w:tab w:val="left" w:pos="567"/>
              </w:tabs>
              <w:spacing w:after="0" w:line="240" w:lineRule="atLeast"/>
              <w:rPr>
                <w:rFonts w:ascii="Arial" w:hAnsi="Arial" w:cs="Arial"/>
                <w:b/>
                <w:sz w:val="20"/>
                <w:szCs w:val="20"/>
              </w:rPr>
            </w:pPr>
            <w:r w:rsidRPr="0015447D">
              <w:rPr>
                <w:rFonts w:ascii="Arial" w:hAnsi="Arial" w:cs="Arial"/>
                <w:b/>
                <w:sz w:val="20"/>
                <w:szCs w:val="20"/>
              </w:rPr>
              <w:t>Body Mass Index</w:t>
            </w:r>
          </w:p>
        </w:tc>
        <w:tc>
          <w:tcPr>
            <w:tcW w:w="1559" w:type="dxa"/>
            <w:shd w:val="clear" w:color="auto" w:fill="auto"/>
          </w:tcPr>
          <w:p w14:paraId="3E5F9724" w14:textId="77777777" w:rsidR="00DB655A" w:rsidRPr="0015447D" w:rsidRDefault="00DB655A" w:rsidP="00F32B1E">
            <w:pPr>
              <w:keepNext/>
              <w:tabs>
                <w:tab w:val="left" w:pos="567"/>
              </w:tabs>
              <w:spacing w:after="0" w:line="240" w:lineRule="atLeast"/>
              <w:jc w:val="center"/>
              <w:rPr>
                <w:rFonts w:ascii="Arial" w:hAnsi="Arial" w:cs="Arial"/>
                <w:sz w:val="20"/>
                <w:szCs w:val="20"/>
                <w:u w:val="single"/>
              </w:rPr>
            </w:pPr>
          </w:p>
        </w:tc>
        <w:tc>
          <w:tcPr>
            <w:tcW w:w="1560" w:type="dxa"/>
          </w:tcPr>
          <w:p w14:paraId="74361246" w14:textId="77777777" w:rsidR="00DB655A" w:rsidRPr="0015447D" w:rsidRDefault="00DB655A" w:rsidP="00F32B1E">
            <w:pPr>
              <w:keepNext/>
              <w:tabs>
                <w:tab w:val="left" w:pos="567"/>
              </w:tabs>
              <w:spacing w:after="0" w:line="240" w:lineRule="atLeast"/>
              <w:jc w:val="center"/>
              <w:rPr>
                <w:rFonts w:ascii="Arial" w:hAnsi="Arial" w:cs="Arial"/>
                <w:sz w:val="20"/>
                <w:szCs w:val="20"/>
                <w:u w:val="single"/>
              </w:rPr>
            </w:pPr>
          </w:p>
        </w:tc>
        <w:tc>
          <w:tcPr>
            <w:tcW w:w="1559" w:type="dxa"/>
            <w:shd w:val="clear" w:color="auto" w:fill="auto"/>
          </w:tcPr>
          <w:p w14:paraId="5967EB3C" w14:textId="77777777" w:rsidR="00DB655A" w:rsidRPr="0015447D" w:rsidRDefault="00DB655A" w:rsidP="00F32B1E">
            <w:pPr>
              <w:keepNext/>
              <w:tabs>
                <w:tab w:val="left" w:pos="567"/>
              </w:tabs>
              <w:spacing w:after="0" w:line="240" w:lineRule="atLeast"/>
              <w:jc w:val="center"/>
              <w:rPr>
                <w:rFonts w:ascii="Arial" w:hAnsi="Arial" w:cs="Arial"/>
                <w:sz w:val="20"/>
                <w:szCs w:val="20"/>
                <w:u w:val="single"/>
              </w:rPr>
            </w:pPr>
          </w:p>
        </w:tc>
        <w:tc>
          <w:tcPr>
            <w:tcW w:w="1559" w:type="dxa"/>
          </w:tcPr>
          <w:p w14:paraId="02B8348B" w14:textId="77777777" w:rsidR="00DB655A" w:rsidRPr="0015447D" w:rsidRDefault="00DB655A" w:rsidP="00F32B1E">
            <w:pPr>
              <w:keepNext/>
              <w:tabs>
                <w:tab w:val="left" w:pos="567"/>
              </w:tabs>
              <w:spacing w:after="0" w:line="240" w:lineRule="atLeast"/>
              <w:jc w:val="center"/>
              <w:rPr>
                <w:rFonts w:ascii="Arial" w:hAnsi="Arial" w:cs="Arial"/>
                <w:sz w:val="20"/>
                <w:szCs w:val="20"/>
                <w:u w:val="single"/>
              </w:rPr>
            </w:pPr>
          </w:p>
        </w:tc>
        <w:tc>
          <w:tcPr>
            <w:tcW w:w="1276" w:type="dxa"/>
            <w:shd w:val="clear" w:color="auto" w:fill="auto"/>
          </w:tcPr>
          <w:p w14:paraId="6FC46081" w14:textId="77777777" w:rsidR="00DB655A" w:rsidRPr="0015447D" w:rsidRDefault="00DB655A" w:rsidP="00F32B1E">
            <w:pPr>
              <w:keepNext/>
              <w:tabs>
                <w:tab w:val="left" w:pos="567"/>
              </w:tabs>
              <w:spacing w:after="0" w:line="240" w:lineRule="atLeast"/>
              <w:jc w:val="center"/>
              <w:rPr>
                <w:rFonts w:ascii="Arial" w:hAnsi="Arial" w:cs="Arial"/>
                <w:sz w:val="20"/>
                <w:szCs w:val="20"/>
                <w:u w:val="single"/>
              </w:rPr>
            </w:pPr>
          </w:p>
        </w:tc>
      </w:tr>
      <w:tr w:rsidR="00DB655A" w:rsidRPr="0015447D" w14:paraId="44760C59" w14:textId="77777777" w:rsidTr="00CF38B4">
        <w:tc>
          <w:tcPr>
            <w:tcW w:w="1366" w:type="dxa"/>
            <w:shd w:val="clear" w:color="auto" w:fill="auto"/>
          </w:tcPr>
          <w:p w14:paraId="1E75F61D" w14:textId="77777777" w:rsidR="00DB655A" w:rsidRPr="0015447D" w:rsidRDefault="00DB655A" w:rsidP="00F32B1E">
            <w:pPr>
              <w:keepNext/>
              <w:tabs>
                <w:tab w:val="left" w:pos="567"/>
              </w:tabs>
              <w:spacing w:after="0" w:line="240" w:lineRule="atLeast"/>
              <w:rPr>
                <w:rFonts w:ascii="Arial" w:hAnsi="Arial" w:cs="Arial"/>
                <w:sz w:val="20"/>
                <w:szCs w:val="20"/>
              </w:rPr>
            </w:pPr>
            <w:r w:rsidRPr="0015447D">
              <w:rPr>
                <w:rFonts w:ascii="Arial" w:hAnsi="Arial" w:cs="Arial"/>
                <w:sz w:val="20"/>
                <w:szCs w:val="20"/>
              </w:rPr>
              <w:t>&lt;30</w:t>
            </w:r>
          </w:p>
        </w:tc>
        <w:tc>
          <w:tcPr>
            <w:tcW w:w="1559" w:type="dxa"/>
            <w:shd w:val="clear" w:color="auto" w:fill="auto"/>
          </w:tcPr>
          <w:p w14:paraId="2E6F68BD" w14:textId="77777777" w:rsidR="00DB655A" w:rsidRPr="0015447D" w:rsidRDefault="00DB655A" w:rsidP="00F32B1E">
            <w:pPr>
              <w:keepNext/>
              <w:tabs>
                <w:tab w:val="left" w:pos="567"/>
              </w:tabs>
              <w:spacing w:after="0" w:line="240" w:lineRule="atLeast"/>
              <w:jc w:val="center"/>
              <w:rPr>
                <w:rFonts w:ascii="Arial" w:hAnsi="Arial" w:cs="Arial"/>
                <w:sz w:val="20"/>
                <w:szCs w:val="20"/>
                <w:u w:val="single"/>
              </w:rPr>
            </w:pPr>
            <w:r w:rsidRPr="0015447D">
              <w:rPr>
                <w:rFonts w:ascii="Arial" w:hAnsi="Arial" w:cs="Arial"/>
                <w:sz w:val="20"/>
                <w:szCs w:val="20"/>
              </w:rPr>
              <w:t>0.22</w:t>
            </w:r>
          </w:p>
        </w:tc>
        <w:tc>
          <w:tcPr>
            <w:tcW w:w="1560" w:type="dxa"/>
          </w:tcPr>
          <w:p w14:paraId="0311E8F7" w14:textId="77777777" w:rsidR="00DB655A" w:rsidRPr="0015447D" w:rsidRDefault="00DB655A" w:rsidP="00F32B1E">
            <w:pPr>
              <w:keepNext/>
              <w:tabs>
                <w:tab w:val="left" w:pos="567"/>
              </w:tabs>
              <w:spacing w:after="0" w:line="240" w:lineRule="atLeast"/>
              <w:jc w:val="center"/>
              <w:rPr>
                <w:rFonts w:ascii="Arial" w:hAnsi="Arial" w:cs="Arial"/>
                <w:sz w:val="20"/>
                <w:szCs w:val="20"/>
              </w:rPr>
            </w:pPr>
            <w:r w:rsidRPr="0015447D">
              <w:rPr>
                <w:rFonts w:ascii="Arial" w:hAnsi="Arial" w:cs="Arial"/>
                <w:sz w:val="20"/>
                <w:szCs w:val="20"/>
              </w:rPr>
              <w:t>1,385</w:t>
            </w:r>
          </w:p>
        </w:tc>
        <w:tc>
          <w:tcPr>
            <w:tcW w:w="1559" w:type="dxa"/>
            <w:shd w:val="clear" w:color="auto" w:fill="auto"/>
          </w:tcPr>
          <w:p w14:paraId="6122F816" w14:textId="77777777" w:rsidR="00DB655A" w:rsidRPr="0015447D" w:rsidRDefault="00DB655A" w:rsidP="00F32B1E">
            <w:pPr>
              <w:keepNext/>
              <w:tabs>
                <w:tab w:val="left" w:pos="567"/>
              </w:tabs>
              <w:spacing w:after="0" w:line="240" w:lineRule="atLeast"/>
              <w:jc w:val="center"/>
              <w:rPr>
                <w:rFonts w:ascii="Arial" w:hAnsi="Arial" w:cs="Arial"/>
                <w:sz w:val="20"/>
                <w:szCs w:val="20"/>
                <w:u w:val="single"/>
              </w:rPr>
            </w:pPr>
            <w:r w:rsidRPr="0015447D">
              <w:rPr>
                <w:rFonts w:ascii="Arial" w:hAnsi="Arial" w:cs="Arial"/>
                <w:sz w:val="20"/>
                <w:szCs w:val="20"/>
              </w:rPr>
              <w:t>1.88</w:t>
            </w:r>
          </w:p>
        </w:tc>
        <w:tc>
          <w:tcPr>
            <w:tcW w:w="1559" w:type="dxa"/>
          </w:tcPr>
          <w:p w14:paraId="15945238" w14:textId="77777777" w:rsidR="00DB655A" w:rsidRPr="0015447D" w:rsidRDefault="00DB655A" w:rsidP="00F32B1E">
            <w:pPr>
              <w:keepNext/>
              <w:tabs>
                <w:tab w:val="left" w:pos="567"/>
              </w:tabs>
              <w:spacing w:after="0" w:line="240" w:lineRule="atLeast"/>
              <w:jc w:val="center"/>
              <w:rPr>
                <w:rFonts w:ascii="Arial" w:hAnsi="Arial" w:cs="Arial"/>
                <w:sz w:val="20"/>
                <w:szCs w:val="20"/>
              </w:rPr>
            </w:pPr>
            <w:r w:rsidRPr="0015447D">
              <w:rPr>
                <w:rFonts w:ascii="Arial" w:hAnsi="Arial" w:cs="Arial"/>
                <w:sz w:val="20"/>
                <w:szCs w:val="20"/>
              </w:rPr>
              <w:t>1,435</w:t>
            </w:r>
          </w:p>
        </w:tc>
        <w:tc>
          <w:tcPr>
            <w:tcW w:w="1276" w:type="dxa"/>
            <w:shd w:val="clear" w:color="auto" w:fill="auto"/>
          </w:tcPr>
          <w:p w14:paraId="7622D9E0" w14:textId="77777777" w:rsidR="00DB655A" w:rsidRPr="0015447D" w:rsidRDefault="00DB655A" w:rsidP="00F32B1E">
            <w:pPr>
              <w:keepNext/>
              <w:tabs>
                <w:tab w:val="left" w:pos="567"/>
              </w:tabs>
              <w:spacing w:after="0" w:line="240" w:lineRule="atLeast"/>
              <w:jc w:val="center"/>
              <w:rPr>
                <w:rFonts w:ascii="Arial" w:hAnsi="Arial" w:cs="Arial"/>
                <w:sz w:val="20"/>
                <w:szCs w:val="20"/>
              </w:rPr>
            </w:pPr>
            <w:r w:rsidRPr="0015447D">
              <w:rPr>
                <w:rFonts w:ascii="Arial" w:hAnsi="Arial" w:cs="Arial"/>
                <w:sz w:val="20"/>
                <w:szCs w:val="20"/>
              </w:rPr>
              <w:t>0.12</w:t>
            </w:r>
          </w:p>
          <w:p w14:paraId="320D54AC" w14:textId="77777777" w:rsidR="00DB655A" w:rsidRPr="0015447D" w:rsidRDefault="00DB655A" w:rsidP="00F32B1E">
            <w:pPr>
              <w:keepNext/>
              <w:tabs>
                <w:tab w:val="left" w:pos="567"/>
              </w:tabs>
              <w:spacing w:after="0" w:line="240" w:lineRule="atLeast"/>
              <w:jc w:val="center"/>
              <w:rPr>
                <w:rFonts w:ascii="Arial" w:hAnsi="Arial" w:cs="Arial"/>
                <w:sz w:val="20"/>
                <w:szCs w:val="20"/>
                <w:u w:val="single"/>
              </w:rPr>
            </w:pPr>
            <w:r w:rsidRPr="0015447D">
              <w:rPr>
                <w:rFonts w:ascii="Arial" w:hAnsi="Arial" w:cs="Arial"/>
                <w:sz w:val="20"/>
                <w:szCs w:val="20"/>
              </w:rPr>
              <w:t>(0.04, 0.38)</w:t>
            </w:r>
          </w:p>
        </w:tc>
      </w:tr>
      <w:tr w:rsidR="00DB655A" w:rsidRPr="0015447D" w14:paraId="2D1FA83A" w14:textId="77777777" w:rsidTr="00CF38B4">
        <w:tc>
          <w:tcPr>
            <w:tcW w:w="1366" w:type="dxa"/>
            <w:shd w:val="clear" w:color="auto" w:fill="auto"/>
          </w:tcPr>
          <w:p w14:paraId="7FC47F34" w14:textId="77777777" w:rsidR="00DB655A" w:rsidRPr="0015447D" w:rsidRDefault="00DB655A" w:rsidP="00F32B1E">
            <w:pPr>
              <w:tabs>
                <w:tab w:val="left" w:pos="567"/>
              </w:tabs>
              <w:spacing w:after="0" w:line="240" w:lineRule="atLeast"/>
              <w:rPr>
                <w:rFonts w:ascii="Arial" w:hAnsi="Arial" w:cs="Arial"/>
                <w:sz w:val="20"/>
                <w:szCs w:val="20"/>
              </w:rPr>
            </w:pPr>
            <w:r w:rsidRPr="0015447D">
              <w:rPr>
                <w:rFonts w:ascii="Arial" w:hAnsi="Arial" w:cs="Arial"/>
                <w:sz w:val="20"/>
                <w:szCs w:val="20"/>
              </w:rPr>
              <w:t>≥30</w:t>
            </w:r>
          </w:p>
        </w:tc>
        <w:tc>
          <w:tcPr>
            <w:tcW w:w="1559" w:type="dxa"/>
            <w:shd w:val="clear" w:color="auto" w:fill="auto"/>
          </w:tcPr>
          <w:p w14:paraId="3050FC08" w14:textId="77777777" w:rsidR="00DB655A" w:rsidRPr="0015447D" w:rsidRDefault="00DB655A" w:rsidP="00F32B1E">
            <w:pPr>
              <w:tabs>
                <w:tab w:val="left" w:pos="567"/>
              </w:tabs>
              <w:spacing w:after="0" w:line="240" w:lineRule="atLeast"/>
              <w:jc w:val="center"/>
              <w:rPr>
                <w:rFonts w:ascii="Arial" w:hAnsi="Arial" w:cs="Arial"/>
                <w:sz w:val="20"/>
                <w:szCs w:val="20"/>
              </w:rPr>
            </w:pPr>
            <w:r w:rsidRPr="0015447D">
              <w:rPr>
                <w:rFonts w:ascii="Arial" w:hAnsi="Arial" w:cs="Arial"/>
                <w:sz w:val="20"/>
                <w:szCs w:val="20"/>
              </w:rPr>
              <w:t>0.00</w:t>
            </w:r>
          </w:p>
        </w:tc>
        <w:tc>
          <w:tcPr>
            <w:tcW w:w="1560" w:type="dxa"/>
          </w:tcPr>
          <w:p w14:paraId="2DE1886A" w14:textId="77777777" w:rsidR="00DB655A" w:rsidRPr="0015447D" w:rsidRDefault="00DB655A" w:rsidP="00F32B1E">
            <w:pPr>
              <w:tabs>
                <w:tab w:val="left" w:pos="567"/>
              </w:tabs>
              <w:spacing w:after="0" w:line="240" w:lineRule="atLeast"/>
              <w:jc w:val="center"/>
              <w:rPr>
                <w:rFonts w:ascii="Arial" w:hAnsi="Arial" w:cs="Arial"/>
                <w:sz w:val="20"/>
                <w:szCs w:val="20"/>
              </w:rPr>
            </w:pPr>
            <w:r w:rsidRPr="0015447D">
              <w:rPr>
                <w:rFonts w:ascii="Arial" w:hAnsi="Arial" w:cs="Arial"/>
                <w:sz w:val="20"/>
                <w:szCs w:val="20"/>
              </w:rPr>
              <w:t>575</w:t>
            </w:r>
          </w:p>
        </w:tc>
        <w:tc>
          <w:tcPr>
            <w:tcW w:w="1559" w:type="dxa"/>
            <w:shd w:val="clear" w:color="auto" w:fill="auto"/>
          </w:tcPr>
          <w:p w14:paraId="403B0540" w14:textId="77777777" w:rsidR="00DB655A" w:rsidRPr="0015447D" w:rsidRDefault="00DB655A" w:rsidP="00F32B1E">
            <w:pPr>
              <w:tabs>
                <w:tab w:val="left" w:pos="567"/>
              </w:tabs>
              <w:spacing w:after="0" w:line="240" w:lineRule="atLeast"/>
              <w:jc w:val="center"/>
              <w:rPr>
                <w:rFonts w:ascii="Arial" w:hAnsi="Arial" w:cs="Arial"/>
                <w:sz w:val="20"/>
                <w:szCs w:val="20"/>
              </w:rPr>
            </w:pPr>
            <w:r w:rsidRPr="0015447D">
              <w:rPr>
                <w:rFonts w:ascii="Arial" w:hAnsi="Arial" w:cs="Arial"/>
                <w:sz w:val="20"/>
                <w:szCs w:val="20"/>
              </w:rPr>
              <w:t>1.76</w:t>
            </w:r>
          </w:p>
        </w:tc>
        <w:tc>
          <w:tcPr>
            <w:tcW w:w="1559" w:type="dxa"/>
          </w:tcPr>
          <w:p w14:paraId="334551AD" w14:textId="77777777" w:rsidR="00DB655A" w:rsidRPr="0015447D" w:rsidRDefault="00DB655A" w:rsidP="00F32B1E">
            <w:pPr>
              <w:tabs>
                <w:tab w:val="left" w:pos="567"/>
              </w:tabs>
              <w:spacing w:after="0" w:line="240" w:lineRule="atLeast"/>
              <w:jc w:val="center"/>
              <w:rPr>
                <w:rFonts w:ascii="Arial" w:hAnsi="Arial" w:cs="Arial"/>
                <w:sz w:val="20"/>
                <w:szCs w:val="20"/>
              </w:rPr>
            </w:pPr>
            <w:r w:rsidRPr="0015447D">
              <w:rPr>
                <w:rFonts w:ascii="Arial" w:hAnsi="Arial" w:cs="Arial"/>
                <w:sz w:val="20"/>
                <w:szCs w:val="20"/>
              </w:rPr>
              <w:t>511</w:t>
            </w:r>
          </w:p>
        </w:tc>
        <w:tc>
          <w:tcPr>
            <w:tcW w:w="1276" w:type="dxa"/>
            <w:shd w:val="clear" w:color="auto" w:fill="auto"/>
          </w:tcPr>
          <w:p w14:paraId="055B2322" w14:textId="77777777" w:rsidR="00DB655A" w:rsidRPr="0015447D" w:rsidRDefault="00DB655A" w:rsidP="00F32B1E">
            <w:pPr>
              <w:tabs>
                <w:tab w:val="left" w:pos="567"/>
              </w:tabs>
              <w:spacing w:after="0" w:line="240" w:lineRule="atLeast"/>
              <w:jc w:val="center"/>
              <w:rPr>
                <w:rFonts w:ascii="Arial" w:hAnsi="Arial" w:cs="Arial"/>
                <w:sz w:val="20"/>
                <w:szCs w:val="20"/>
              </w:rPr>
            </w:pPr>
            <w:r w:rsidRPr="0015447D">
              <w:rPr>
                <w:rFonts w:ascii="Arial" w:hAnsi="Arial" w:cs="Arial"/>
                <w:sz w:val="20"/>
                <w:szCs w:val="20"/>
              </w:rPr>
              <w:t>0.04</w:t>
            </w:r>
          </w:p>
          <w:p w14:paraId="145F7531" w14:textId="77777777" w:rsidR="00DB655A" w:rsidRPr="0015447D" w:rsidRDefault="00DB655A" w:rsidP="00F32B1E">
            <w:pPr>
              <w:tabs>
                <w:tab w:val="left" w:pos="567"/>
              </w:tabs>
              <w:spacing w:after="0" w:line="240" w:lineRule="atLeast"/>
              <w:jc w:val="center"/>
              <w:rPr>
                <w:rFonts w:ascii="Arial" w:hAnsi="Arial" w:cs="Arial"/>
                <w:sz w:val="20"/>
                <w:szCs w:val="20"/>
              </w:rPr>
            </w:pPr>
            <w:r w:rsidRPr="0015447D">
              <w:rPr>
                <w:rFonts w:ascii="Arial" w:hAnsi="Arial" w:cs="Arial"/>
                <w:sz w:val="20"/>
                <w:szCs w:val="20"/>
              </w:rPr>
              <w:t>(0.00, 0.93)</w:t>
            </w:r>
          </w:p>
        </w:tc>
      </w:tr>
    </w:tbl>
    <w:p w14:paraId="3A0507FD" w14:textId="6E104096" w:rsidR="00DB655A" w:rsidRDefault="00DB655A" w:rsidP="00215D64">
      <w:pPr>
        <w:tabs>
          <w:tab w:val="left" w:pos="567"/>
        </w:tabs>
        <w:spacing w:after="0"/>
        <w:rPr>
          <w:i/>
          <w:sz w:val="24"/>
          <w:szCs w:val="24"/>
          <w:lang w:val="en-GB" w:eastAsia="en-GB"/>
        </w:rPr>
      </w:pPr>
    </w:p>
    <w:p w14:paraId="008AA5DE" w14:textId="77777777" w:rsidR="00DB655A" w:rsidRDefault="00DB655A" w:rsidP="00215D64">
      <w:pPr>
        <w:tabs>
          <w:tab w:val="left" w:pos="567"/>
        </w:tabs>
        <w:spacing w:after="0"/>
        <w:rPr>
          <w:i/>
          <w:sz w:val="24"/>
          <w:szCs w:val="24"/>
          <w:lang w:val="en-GB" w:eastAsia="en-GB"/>
        </w:rPr>
      </w:pPr>
    </w:p>
    <w:p w14:paraId="31B398A7" w14:textId="75CE0D56" w:rsidR="002D2D87" w:rsidRPr="001200B8" w:rsidRDefault="002D2D87" w:rsidP="001200B8">
      <w:pPr>
        <w:spacing w:after="240" w:line="240" w:lineRule="auto"/>
        <w:outlineLvl w:val="0"/>
        <w:rPr>
          <w:rFonts w:ascii="Arial" w:eastAsia="Times New Roman" w:hAnsi="Arial" w:cs="Arial"/>
          <w:bCs/>
          <w:i/>
          <w:iCs/>
          <w:lang w:val="en-GB" w:eastAsia="x-none"/>
        </w:rPr>
      </w:pPr>
      <w:r w:rsidRPr="001200B8">
        <w:rPr>
          <w:rFonts w:ascii="Arial" w:eastAsia="Times New Roman" w:hAnsi="Arial" w:cs="Arial"/>
          <w:bCs/>
          <w:i/>
          <w:iCs/>
          <w:lang w:val="en-GB" w:eastAsia="x-none"/>
        </w:rPr>
        <w:t>Adolescents</w:t>
      </w:r>
      <w:r w:rsidR="0013564B">
        <w:rPr>
          <w:rFonts w:ascii="Arial" w:eastAsia="Times New Roman" w:hAnsi="Arial" w:cs="Arial"/>
          <w:bCs/>
          <w:i/>
          <w:iCs/>
          <w:lang w:val="en-GB" w:eastAsia="x-none"/>
        </w:rPr>
        <w:fldChar w:fldCharType="begin"/>
      </w:r>
      <w:r w:rsidR="0013564B">
        <w:rPr>
          <w:rFonts w:ascii="Arial" w:eastAsia="Times New Roman" w:hAnsi="Arial" w:cs="Arial"/>
          <w:bCs/>
          <w:i/>
          <w:iCs/>
          <w:lang w:val="en-GB" w:eastAsia="x-none"/>
        </w:rPr>
        <w:instrText xml:space="preserve"> DOCVARIABLE vault_nd_318d797e-bcb8-455d-8c2f-8c38b1480f1e \* MERGEFORMAT </w:instrText>
      </w:r>
      <w:r w:rsidR="0013564B">
        <w:rPr>
          <w:rFonts w:ascii="Arial" w:eastAsia="Times New Roman" w:hAnsi="Arial" w:cs="Arial"/>
          <w:bCs/>
          <w:i/>
          <w:iCs/>
          <w:lang w:val="en-GB" w:eastAsia="x-none"/>
        </w:rPr>
        <w:fldChar w:fldCharType="separate"/>
      </w:r>
      <w:r w:rsidR="0013564B">
        <w:rPr>
          <w:rFonts w:ascii="Arial" w:eastAsia="Times New Roman" w:hAnsi="Arial" w:cs="Arial"/>
          <w:bCs/>
          <w:i/>
          <w:iCs/>
          <w:lang w:val="en-GB" w:eastAsia="x-none"/>
        </w:rPr>
        <w:t xml:space="preserve"> </w:t>
      </w:r>
      <w:r w:rsidR="0013564B">
        <w:rPr>
          <w:rFonts w:ascii="Arial" w:eastAsia="Times New Roman" w:hAnsi="Arial" w:cs="Arial"/>
          <w:bCs/>
          <w:i/>
          <w:iCs/>
          <w:lang w:val="en-GB" w:eastAsia="x-none"/>
        </w:rPr>
        <w:fldChar w:fldCharType="end"/>
      </w:r>
    </w:p>
    <w:p w14:paraId="37111931" w14:textId="0545FF9C" w:rsidR="00A10E00" w:rsidRDefault="00A10E00" w:rsidP="00A10E00">
      <w:pPr>
        <w:rPr>
          <w:rFonts w:ascii="Arial" w:eastAsia="MS Mincho" w:hAnsi="Arial" w:cs="Arial"/>
        </w:rPr>
      </w:pPr>
      <w:r w:rsidRPr="005727AC">
        <w:rPr>
          <w:rFonts w:ascii="Arial" w:eastAsia="MS Mincho" w:hAnsi="Arial" w:cs="Arial"/>
        </w:rPr>
        <w:t xml:space="preserve">The safety and effectiveness of APRETUDE for HIV-1 </w:t>
      </w:r>
      <w:proofErr w:type="spellStart"/>
      <w:r w:rsidRPr="005727AC">
        <w:rPr>
          <w:rFonts w:ascii="Arial" w:eastAsia="MS Mincho" w:hAnsi="Arial" w:cs="Arial"/>
        </w:rPr>
        <w:t>PrEP</w:t>
      </w:r>
      <w:proofErr w:type="spellEnd"/>
      <w:r w:rsidRPr="005727AC">
        <w:rPr>
          <w:rFonts w:ascii="Arial" w:eastAsia="MS Mincho" w:hAnsi="Arial" w:cs="Arial"/>
        </w:rPr>
        <w:t xml:space="preserve"> in at-risk adolescents</w:t>
      </w:r>
      <w:r w:rsidR="001F5B2E">
        <w:rPr>
          <w:rFonts w:ascii="Arial" w:eastAsia="MS Mincho" w:hAnsi="Arial" w:cs="Arial"/>
        </w:rPr>
        <w:t xml:space="preserve"> </w:t>
      </w:r>
      <w:r w:rsidR="001F5B2E" w:rsidRPr="001F5B2E">
        <w:rPr>
          <w:rFonts w:ascii="Arial" w:eastAsia="MS Mincho" w:hAnsi="Arial" w:cs="Arial"/>
        </w:rPr>
        <w:t>aged 12 years and older and</w:t>
      </w:r>
      <w:r w:rsidRPr="005727AC">
        <w:rPr>
          <w:rFonts w:ascii="Arial" w:eastAsia="MS Mincho" w:hAnsi="Arial" w:cs="Arial"/>
        </w:rPr>
        <w:t xml:space="preserve"> weighing at least 35 kg is supported by data from 2 adequate and well-controlled trials of APRETUDE for HIV-1 </w:t>
      </w:r>
      <w:proofErr w:type="spellStart"/>
      <w:r w:rsidRPr="005727AC">
        <w:rPr>
          <w:rFonts w:ascii="Arial" w:eastAsia="MS Mincho" w:hAnsi="Arial" w:cs="Arial"/>
        </w:rPr>
        <w:t>PrEP</w:t>
      </w:r>
      <w:proofErr w:type="spellEnd"/>
      <w:r w:rsidRPr="005727AC">
        <w:rPr>
          <w:rFonts w:ascii="Arial" w:eastAsia="MS Mincho" w:hAnsi="Arial" w:cs="Arial"/>
        </w:rPr>
        <w:t xml:space="preserve"> in adults with additional safety and pharmacokinetic data from studies in HIV-1 infected adults who were administered CABENUVA</w:t>
      </w:r>
      <w:r w:rsidR="001200B8" w:rsidRPr="005727AC">
        <w:rPr>
          <w:rFonts w:ascii="Arial" w:eastAsia="MS Mincho" w:hAnsi="Arial" w:cs="Arial"/>
        </w:rPr>
        <w:t xml:space="preserve"> (cabotegravir and </w:t>
      </w:r>
      <w:proofErr w:type="spellStart"/>
      <w:r w:rsidR="001200B8" w:rsidRPr="005727AC">
        <w:rPr>
          <w:rFonts w:ascii="Arial" w:eastAsia="MS Mincho" w:hAnsi="Arial" w:cs="Arial"/>
        </w:rPr>
        <w:t>rilpivirine</w:t>
      </w:r>
      <w:proofErr w:type="spellEnd"/>
      <w:r w:rsidR="001200B8" w:rsidRPr="005727AC">
        <w:rPr>
          <w:rFonts w:ascii="Arial" w:eastAsia="MS Mincho" w:hAnsi="Arial" w:cs="Arial"/>
        </w:rPr>
        <w:t xml:space="preserve"> prolonged release suspensions for injection</w:t>
      </w:r>
      <w:r w:rsidR="001200B8" w:rsidRPr="005727AC">
        <w:t>)</w:t>
      </w:r>
      <w:r w:rsidRPr="005727AC">
        <w:rPr>
          <w:rFonts w:ascii="Arial" w:eastAsia="MS Mincho" w:hAnsi="Arial" w:cs="Arial"/>
        </w:rPr>
        <w:t xml:space="preserve">, and in HIV-1 infected paediatric subjects who were administered separate components of CABENUVA in addition to their current antiretroviral therapy </w:t>
      </w:r>
      <w:r w:rsidR="00122CC1" w:rsidRPr="005727AC">
        <w:rPr>
          <w:rFonts w:ascii="Arial" w:eastAsia="MS Mincho" w:hAnsi="Arial" w:cs="Arial"/>
        </w:rPr>
        <w:t>(</w:t>
      </w:r>
      <w:r w:rsidRPr="005727AC">
        <w:rPr>
          <w:rFonts w:ascii="Arial" w:eastAsia="MS Mincho" w:hAnsi="Arial" w:cs="Arial"/>
        </w:rPr>
        <w:t xml:space="preserve">see </w:t>
      </w:r>
      <w:r w:rsidR="00122CC1" w:rsidRPr="005727AC">
        <w:rPr>
          <w:rFonts w:ascii="Arial" w:eastAsia="MS Mincho" w:hAnsi="Arial" w:cs="Arial"/>
        </w:rPr>
        <w:t>section 4.2 DOSE AND METHOD OF ADMINISTRATION, section 4.8 ADVERSE EFFECTS, section 5.2 PHARMACOKINETIC PROPERTIES).</w:t>
      </w:r>
      <w:r w:rsidR="00122CC1">
        <w:rPr>
          <w:rFonts w:ascii="Arial" w:eastAsia="MS Mincho" w:hAnsi="Arial" w:cs="Arial"/>
        </w:rPr>
        <w:t xml:space="preserve"> </w:t>
      </w:r>
    </w:p>
    <w:p w14:paraId="3341D90B" w14:textId="35A26083"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PHARMACOKINETIC PROPERTIES </w:t>
      </w:r>
      <w:r w:rsidR="003332D9">
        <w:rPr>
          <w:rFonts w:ascii="Arial" w:hAnsi="Arial" w:cs="Arial"/>
          <w:smallCaps w:val="0"/>
        </w:rPr>
        <w:fldChar w:fldCharType="begin"/>
      </w:r>
      <w:r w:rsidR="003332D9">
        <w:rPr>
          <w:rFonts w:ascii="Arial" w:hAnsi="Arial" w:cs="Arial"/>
          <w:smallCaps w:val="0"/>
        </w:rPr>
        <w:instrText xml:space="preserve"> DOCVARIABLE VAULT_ND_43bd0b46-0c74-4b01-963a-9c0434e63e48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53085028" w14:textId="0F3DCCD5" w:rsidR="00F83CAF" w:rsidRPr="00804630" w:rsidRDefault="00804630" w:rsidP="00804630">
      <w:pPr>
        <w:pStyle w:val="Heading3"/>
        <w:spacing w:before="0" w:after="120"/>
        <w:ind w:left="0"/>
        <w:rPr>
          <w:rFonts w:ascii="Arial" w:hAnsi="Arial" w:cs="Arial"/>
          <w:b w:val="0"/>
          <w:bCs w:val="0"/>
          <w:u w:val="single"/>
        </w:rPr>
      </w:pPr>
      <w:r>
        <w:rPr>
          <w:rFonts w:ascii="Arial" w:hAnsi="Arial" w:cs="Arial"/>
          <w:b w:val="0"/>
          <w:bCs w:val="0"/>
          <w:u w:val="single"/>
        </w:rPr>
        <w:t>F</w:t>
      </w:r>
      <w:r w:rsidR="00517C66" w:rsidRPr="00804630">
        <w:rPr>
          <w:rFonts w:ascii="Arial" w:hAnsi="Arial" w:cs="Arial"/>
          <w:b w:val="0"/>
          <w:bCs w:val="0"/>
          <w:u w:val="single"/>
        </w:rPr>
        <w:t>ilm-coated tablets</w:t>
      </w:r>
      <w:r w:rsidR="003332D9">
        <w:rPr>
          <w:rFonts w:ascii="Arial" w:hAnsi="Arial" w:cs="Arial"/>
          <w:b w:val="0"/>
          <w:bCs w:val="0"/>
          <w:u w:val="single"/>
        </w:rPr>
        <w:fldChar w:fldCharType="begin"/>
      </w:r>
      <w:r w:rsidR="003332D9">
        <w:rPr>
          <w:rFonts w:ascii="Arial" w:hAnsi="Arial" w:cs="Arial"/>
          <w:b w:val="0"/>
          <w:bCs w:val="0"/>
          <w:u w:val="single"/>
        </w:rPr>
        <w:instrText xml:space="preserve"> DOCVARIABLE vault_nd_38ec5bda-7377-48e0-9ba3-09c28b879d89 \* MERGEFORMAT </w:instrText>
      </w:r>
      <w:r w:rsidR="003332D9">
        <w:rPr>
          <w:rFonts w:ascii="Arial" w:hAnsi="Arial" w:cs="Arial"/>
          <w:b w:val="0"/>
          <w:bCs w:val="0"/>
          <w:u w:val="single"/>
        </w:rPr>
        <w:fldChar w:fldCharType="separate"/>
      </w:r>
      <w:r w:rsidR="003332D9">
        <w:rPr>
          <w:rFonts w:ascii="Arial" w:hAnsi="Arial" w:cs="Arial"/>
          <w:b w:val="0"/>
          <w:bCs w:val="0"/>
          <w:u w:val="single"/>
        </w:rPr>
        <w:t xml:space="preserve"> </w:t>
      </w:r>
      <w:r w:rsidR="003332D9">
        <w:rPr>
          <w:rFonts w:ascii="Arial" w:hAnsi="Arial" w:cs="Arial"/>
          <w:b w:val="0"/>
          <w:bCs w:val="0"/>
          <w:u w:val="single"/>
        </w:rPr>
        <w:fldChar w:fldCharType="end"/>
      </w:r>
    </w:p>
    <w:p w14:paraId="107FC275" w14:textId="513DAAC0" w:rsidR="00517C66" w:rsidRPr="00804630" w:rsidRDefault="00804630" w:rsidP="00517C66">
      <w:pPr>
        <w:rPr>
          <w:rFonts w:ascii="Arial" w:hAnsi="Arial" w:cs="Arial"/>
          <w:lang w:val="en-GB"/>
        </w:rPr>
      </w:pPr>
      <w:r w:rsidRPr="00804630">
        <w:rPr>
          <w:rFonts w:ascii="Arial" w:hAnsi="Arial" w:cs="Arial"/>
          <w:lang w:val="en-GB"/>
        </w:rPr>
        <w:t xml:space="preserve">Cabotegravir pharmacokinetics is similar between healthy and HIV-infected subjects. The PK variability of cabotegravir is moderate to high. In Phase I studies in healthy subjects, between-subject </w:t>
      </w:r>
      <w:proofErr w:type="spellStart"/>
      <w:r w:rsidRPr="00804630">
        <w:rPr>
          <w:rFonts w:ascii="Arial" w:hAnsi="Arial" w:cs="Arial"/>
          <w:lang w:val="en-GB"/>
        </w:rPr>
        <w:t>CVb</w:t>
      </w:r>
      <w:proofErr w:type="spellEnd"/>
      <w:r w:rsidRPr="00804630">
        <w:rPr>
          <w:rFonts w:ascii="Arial" w:hAnsi="Arial" w:cs="Arial"/>
          <w:lang w:val="en-GB"/>
        </w:rPr>
        <w:t xml:space="preserve">% for AUC, </w:t>
      </w:r>
      <w:proofErr w:type="spellStart"/>
      <w:r w:rsidRPr="00804630">
        <w:rPr>
          <w:rFonts w:ascii="Arial" w:hAnsi="Arial" w:cs="Arial"/>
          <w:lang w:val="en-GB"/>
        </w:rPr>
        <w:t>Cmax</w:t>
      </w:r>
      <w:proofErr w:type="spellEnd"/>
      <w:r w:rsidRPr="00804630">
        <w:rPr>
          <w:rFonts w:ascii="Arial" w:hAnsi="Arial" w:cs="Arial"/>
          <w:lang w:val="en-GB"/>
        </w:rPr>
        <w:t>, and Ctau ranged from 34 to 91% across healthy subject studies. Within-subject variability (</w:t>
      </w:r>
      <w:proofErr w:type="spellStart"/>
      <w:r w:rsidRPr="00804630">
        <w:rPr>
          <w:rFonts w:ascii="Arial" w:hAnsi="Arial" w:cs="Arial"/>
          <w:lang w:val="en-GB"/>
        </w:rPr>
        <w:t>CVw</w:t>
      </w:r>
      <w:proofErr w:type="spellEnd"/>
      <w:r w:rsidRPr="00804630">
        <w:rPr>
          <w:rFonts w:ascii="Arial" w:hAnsi="Arial" w:cs="Arial"/>
          <w:lang w:val="en-GB"/>
        </w:rPr>
        <w:t>%) is lower than between-subject variability</w:t>
      </w:r>
    </w:p>
    <w:p w14:paraId="028A5156" w14:textId="6AD01510" w:rsidR="00DF2073" w:rsidRDefault="00517C66" w:rsidP="00DF2073">
      <w:pPr>
        <w:pStyle w:val="Heading3"/>
        <w:ind w:left="0"/>
        <w:rPr>
          <w:rFonts w:ascii="Arial" w:hAnsi="Arial" w:cs="Arial"/>
          <w:b w:val="0"/>
          <w:bCs w:val="0"/>
          <w:u w:val="single"/>
        </w:rPr>
      </w:pPr>
      <w:r w:rsidRPr="00804630">
        <w:rPr>
          <w:rFonts w:ascii="Arial" w:hAnsi="Arial" w:cs="Arial"/>
          <w:b w:val="0"/>
          <w:bCs w:val="0"/>
          <w:u w:val="single"/>
        </w:rPr>
        <w:lastRenderedPageBreak/>
        <w:t>Prolonged-release suspension for injection</w:t>
      </w:r>
      <w:bookmarkStart w:id="15" w:name="_Hlk29497913"/>
      <w:r w:rsidR="003332D9">
        <w:rPr>
          <w:rFonts w:ascii="Arial" w:hAnsi="Arial" w:cs="Arial"/>
          <w:b w:val="0"/>
          <w:bCs w:val="0"/>
          <w:u w:val="single"/>
        </w:rPr>
        <w:fldChar w:fldCharType="begin"/>
      </w:r>
      <w:r w:rsidR="003332D9">
        <w:rPr>
          <w:rFonts w:ascii="Arial" w:hAnsi="Arial" w:cs="Arial"/>
          <w:b w:val="0"/>
          <w:bCs w:val="0"/>
          <w:u w:val="single"/>
        </w:rPr>
        <w:instrText xml:space="preserve"> DOCVARIABLE vault_nd_fdff5a92-e50c-4c87-9eb9-c44e8842ef55 \* MERGEFORMAT </w:instrText>
      </w:r>
      <w:r w:rsidR="003332D9">
        <w:rPr>
          <w:rFonts w:ascii="Arial" w:hAnsi="Arial" w:cs="Arial"/>
          <w:b w:val="0"/>
          <w:bCs w:val="0"/>
          <w:u w:val="single"/>
        </w:rPr>
        <w:fldChar w:fldCharType="separate"/>
      </w:r>
      <w:r w:rsidR="003332D9">
        <w:rPr>
          <w:rFonts w:ascii="Arial" w:hAnsi="Arial" w:cs="Arial"/>
          <w:b w:val="0"/>
          <w:bCs w:val="0"/>
          <w:u w:val="single"/>
        </w:rPr>
        <w:t xml:space="preserve"> </w:t>
      </w:r>
      <w:r w:rsidR="003332D9">
        <w:rPr>
          <w:rFonts w:ascii="Arial" w:hAnsi="Arial" w:cs="Arial"/>
          <w:b w:val="0"/>
          <w:bCs w:val="0"/>
          <w:u w:val="single"/>
        </w:rPr>
        <w:fldChar w:fldCharType="end"/>
      </w:r>
    </w:p>
    <w:p w14:paraId="2AE4A168" w14:textId="6BCE3D38" w:rsidR="00804630" w:rsidRPr="00DF2073" w:rsidRDefault="00804630" w:rsidP="00DF2073">
      <w:pPr>
        <w:pStyle w:val="Heading3"/>
        <w:ind w:left="0"/>
        <w:rPr>
          <w:rFonts w:ascii="Arial" w:hAnsi="Arial" w:cs="Arial"/>
          <w:b w:val="0"/>
          <w:bCs w:val="0"/>
          <w:u w:val="single"/>
        </w:rPr>
      </w:pPr>
      <w:r w:rsidRPr="00DF2073">
        <w:rPr>
          <w:rFonts w:ascii="Arial" w:eastAsia="SimSun" w:hAnsi="Arial" w:cs="Arial"/>
          <w:b w:val="0"/>
          <w:bCs w:val="0"/>
        </w:rPr>
        <w:t xml:space="preserve">Cabotegravir pharmacokinetics is similar between healthy and HIV-infected subjects. </w:t>
      </w:r>
      <w:r w:rsidRPr="00DF2073">
        <w:rPr>
          <w:rFonts w:ascii="Arial" w:eastAsia="MS Mincho" w:hAnsi="Arial" w:cs="Arial"/>
          <w:b w:val="0"/>
          <w:bCs w:val="0"/>
        </w:rPr>
        <w:t xml:space="preserve">The PK variability of cabotegravir is moderate to high. In HIV-infected subjects participating in Phase III studies, between-subject </w:t>
      </w:r>
      <w:proofErr w:type="spellStart"/>
      <w:r w:rsidRPr="00DF2073">
        <w:rPr>
          <w:rFonts w:ascii="Arial" w:eastAsia="MS Mincho" w:hAnsi="Arial" w:cs="Arial"/>
          <w:b w:val="0"/>
          <w:bCs w:val="0"/>
        </w:rPr>
        <w:t>CVb</w:t>
      </w:r>
      <w:proofErr w:type="spellEnd"/>
      <w:r w:rsidRPr="00DF2073">
        <w:rPr>
          <w:rFonts w:ascii="Arial" w:eastAsia="MS Mincho" w:hAnsi="Arial" w:cs="Arial"/>
          <w:b w:val="0"/>
          <w:bCs w:val="0"/>
        </w:rPr>
        <w:t xml:space="preserve">% for </w:t>
      </w:r>
      <w:r w:rsidRPr="00DF2073">
        <w:rPr>
          <w:rFonts w:ascii="Arial" w:hAnsi="Arial" w:cs="Arial"/>
          <w:b w:val="0"/>
          <w:bCs w:val="0"/>
        </w:rPr>
        <w:t>C</w:t>
      </w:r>
      <w:r w:rsidRPr="00DF2073">
        <w:rPr>
          <w:rFonts w:ascii="Arial" w:hAnsi="Arial" w:cs="Arial"/>
          <w:b w:val="0"/>
          <w:bCs w:val="0"/>
          <w:vertAlign w:val="subscript"/>
        </w:rPr>
        <w:t>tau</w:t>
      </w:r>
      <w:r w:rsidRPr="00DF2073">
        <w:rPr>
          <w:rFonts w:ascii="Arial" w:hAnsi="Arial" w:cs="Arial"/>
          <w:b w:val="0"/>
          <w:bCs w:val="0"/>
        </w:rPr>
        <w:t xml:space="preserve"> ranged from 39 to 48%. Higher between-subject variability ranging from 65 to 76% was observed with single dose administration of long-acting cabotegravir injection.</w:t>
      </w:r>
      <w:bookmarkEnd w:id="15"/>
      <w:r w:rsidR="003332D9">
        <w:rPr>
          <w:rFonts w:ascii="Arial" w:hAnsi="Arial" w:cs="Arial"/>
          <w:b w:val="0"/>
          <w:bCs w:val="0"/>
        </w:rPr>
        <w:fldChar w:fldCharType="begin"/>
      </w:r>
      <w:r w:rsidR="003332D9">
        <w:rPr>
          <w:rFonts w:ascii="Arial" w:hAnsi="Arial" w:cs="Arial"/>
          <w:b w:val="0"/>
          <w:bCs w:val="0"/>
        </w:rPr>
        <w:instrText xml:space="preserve"> DOCVARIABLE vault_nd_d351c41c-f0fd-4550-9461-47409cebc68a \* MERGEFORMAT </w:instrText>
      </w:r>
      <w:r w:rsidR="003332D9">
        <w:rPr>
          <w:rFonts w:ascii="Arial" w:hAnsi="Arial" w:cs="Arial"/>
          <w:b w:val="0"/>
          <w:bCs w:val="0"/>
        </w:rPr>
        <w:fldChar w:fldCharType="separate"/>
      </w:r>
      <w:r w:rsidR="003332D9">
        <w:rPr>
          <w:rFonts w:ascii="Arial" w:hAnsi="Arial" w:cs="Arial"/>
          <w:b w:val="0"/>
          <w:bCs w:val="0"/>
        </w:rPr>
        <w:t xml:space="preserve"> </w:t>
      </w:r>
      <w:r w:rsidR="003332D9">
        <w:rPr>
          <w:rFonts w:ascii="Arial" w:hAnsi="Arial" w:cs="Arial"/>
          <w:b w:val="0"/>
          <w:bCs w:val="0"/>
        </w:rPr>
        <w:fldChar w:fldCharType="end"/>
      </w:r>
    </w:p>
    <w:p w14:paraId="2010E102" w14:textId="7CE29AA5" w:rsidR="00804630" w:rsidRPr="00804630" w:rsidRDefault="00804630" w:rsidP="00804630">
      <w:pPr>
        <w:spacing w:before="240" w:after="0"/>
        <w:ind w:left="1440" w:hanging="1440"/>
        <w:rPr>
          <w:rFonts w:ascii="Arial" w:eastAsia="SimSun" w:hAnsi="Arial" w:cs="Arial"/>
          <w:b/>
          <w:bCs/>
        </w:rPr>
      </w:pPr>
      <w:bookmarkStart w:id="16" w:name="_Hlk37092428"/>
      <w:bookmarkStart w:id="17" w:name="_Hlk37092459"/>
      <w:r w:rsidRPr="00804630">
        <w:rPr>
          <w:rFonts w:ascii="Arial" w:eastAsia="SimSun" w:hAnsi="Arial" w:cs="Arial"/>
          <w:b/>
          <w:bCs/>
        </w:rPr>
        <w:t xml:space="preserve">Table </w:t>
      </w:r>
      <w:r w:rsidR="00CF38BD">
        <w:rPr>
          <w:rFonts w:ascii="Arial" w:eastAsia="SimSun" w:hAnsi="Arial" w:cs="Arial"/>
          <w:b/>
          <w:bCs/>
        </w:rPr>
        <w:t>1</w:t>
      </w:r>
      <w:r w:rsidR="00A3151F">
        <w:rPr>
          <w:rFonts w:ascii="Arial" w:eastAsia="SimSun" w:hAnsi="Arial" w:cs="Arial"/>
          <w:b/>
          <w:bCs/>
        </w:rPr>
        <w:t>1</w:t>
      </w:r>
      <w:r w:rsidRPr="00804630">
        <w:rPr>
          <w:rFonts w:ascii="Arial" w:eastAsia="SimSun" w:hAnsi="Arial" w:cs="Arial"/>
          <w:b/>
          <w:bCs/>
        </w:rPr>
        <w:t xml:space="preserve">. Pharmacokinetic parameters following cabotegravir orally once daily, and initiation and every </w:t>
      </w:r>
      <w:proofErr w:type="gramStart"/>
      <w:r w:rsidRPr="00804630">
        <w:rPr>
          <w:rFonts w:ascii="Arial" w:eastAsia="SimSun" w:hAnsi="Arial" w:cs="Arial"/>
          <w:b/>
          <w:bCs/>
        </w:rPr>
        <w:t>2 month</w:t>
      </w:r>
      <w:proofErr w:type="gramEnd"/>
      <w:r w:rsidRPr="00804630">
        <w:rPr>
          <w:rFonts w:ascii="Arial" w:eastAsia="SimSun" w:hAnsi="Arial" w:cs="Arial"/>
          <w:b/>
          <w:bCs/>
        </w:rPr>
        <w:t xml:space="preserve"> continuation intramuscular injections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745"/>
        <w:gridCol w:w="1711"/>
        <w:gridCol w:w="2092"/>
        <w:gridCol w:w="1955"/>
      </w:tblGrid>
      <w:tr w:rsidR="00804630" w:rsidRPr="00804630" w14:paraId="65570F4F" w14:textId="77777777" w:rsidTr="00804630">
        <w:trPr>
          <w:cantSplit/>
          <w:trHeight w:val="70"/>
        </w:trPr>
        <w:tc>
          <w:tcPr>
            <w:tcW w:w="839" w:type="pct"/>
            <w:vMerge w:val="restart"/>
            <w:tcBorders>
              <w:top w:val="single" w:sz="4" w:space="0" w:color="auto"/>
              <w:left w:val="single" w:sz="4" w:space="0" w:color="auto"/>
              <w:bottom w:val="single" w:sz="4" w:space="0" w:color="auto"/>
              <w:right w:val="single" w:sz="4" w:space="0" w:color="auto"/>
            </w:tcBorders>
            <w:vAlign w:val="bottom"/>
            <w:hideMark/>
          </w:tcPr>
          <w:p w14:paraId="4294D57B" w14:textId="77777777" w:rsidR="00804630" w:rsidRPr="00804630" w:rsidRDefault="00804630">
            <w:pPr>
              <w:pStyle w:val="tabletextNS"/>
              <w:keepNext/>
              <w:jc w:val="center"/>
              <w:rPr>
                <w:rFonts w:ascii="Arial" w:eastAsia="Times New Roman" w:hAnsi="Arial" w:cs="Arial"/>
                <w:b/>
                <w:sz w:val="22"/>
              </w:rPr>
            </w:pPr>
            <w:r w:rsidRPr="00804630">
              <w:rPr>
                <w:rFonts w:ascii="Arial" w:hAnsi="Arial" w:cs="Arial"/>
                <w:b/>
                <w:sz w:val="22"/>
              </w:rPr>
              <w:t>Dosing Phase</w:t>
            </w:r>
          </w:p>
        </w:tc>
        <w:tc>
          <w:tcPr>
            <w:tcW w:w="968" w:type="pct"/>
            <w:vMerge w:val="restart"/>
            <w:tcBorders>
              <w:top w:val="single" w:sz="4" w:space="0" w:color="auto"/>
              <w:left w:val="single" w:sz="4" w:space="0" w:color="auto"/>
              <w:bottom w:val="single" w:sz="4" w:space="0" w:color="auto"/>
              <w:right w:val="single" w:sz="4" w:space="0" w:color="auto"/>
            </w:tcBorders>
            <w:vAlign w:val="bottom"/>
            <w:hideMark/>
          </w:tcPr>
          <w:p w14:paraId="62CE9BA9" w14:textId="77777777" w:rsidR="00804630" w:rsidRPr="00804630" w:rsidRDefault="00804630">
            <w:pPr>
              <w:pStyle w:val="tabletextNS"/>
              <w:keepNext/>
              <w:jc w:val="center"/>
              <w:rPr>
                <w:rFonts w:ascii="Arial" w:hAnsi="Arial" w:cs="Arial"/>
                <w:b/>
                <w:sz w:val="22"/>
              </w:rPr>
            </w:pPr>
            <w:r w:rsidRPr="00804630">
              <w:rPr>
                <w:rFonts w:ascii="Arial" w:hAnsi="Arial" w:cs="Arial"/>
                <w:b/>
                <w:sz w:val="22"/>
              </w:rPr>
              <w:t>Dosage Regimen</w:t>
            </w:r>
          </w:p>
        </w:tc>
        <w:tc>
          <w:tcPr>
            <w:tcW w:w="3193" w:type="pct"/>
            <w:gridSpan w:val="3"/>
            <w:tcBorders>
              <w:top w:val="single" w:sz="4" w:space="0" w:color="auto"/>
              <w:left w:val="single" w:sz="4" w:space="0" w:color="auto"/>
              <w:bottom w:val="single" w:sz="4" w:space="0" w:color="auto"/>
              <w:right w:val="single" w:sz="4" w:space="0" w:color="auto"/>
            </w:tcBorders>
            <w:vAlign w:val="bottom"/>
            <w:hideMark/>
          </w:tcPr>
          <w:p w14:paraId="2B368347" w14:textId="77777777" w:rsidR="00804630" w:rsidRPr="00804630" w:rsidRDefault="00804630">
            <w:pPr>
              <w:pStyle w:val="tabletextNS"/>
              <w:keepNext/>
              <w:jc w:val="center"/>
              <w:rPr>
                <w:rFonts w:ascii="Arial" w:hAnsi="Arial" w:cs="Arial"/>
                <w:b/>
                <w:sz w:val="22"/>
              </w:rPr>
            </w:pPr>
            <w:r w:rsidRPr="00804630">
              <w:rPr>
                <w:rFonts w:ascii="Arial" w:hAnsi="Arial" w:cs="Arial"/>
                <w:b/>
                <w:sz w:val="22"/>
              </w:rPr>
              <w:t>Geometric Mean (5</w:t>
            </w:r>
            <w:r w:rsidRPr="00804630">
              <w:rPr>
                <w:rFonts w:ascii="Arial" w:hAnsi="Arial" w:cs="Arial"/>
                <w:b/>
                <w:sz w:val="22"/>
                <w:vertAlign w:val="superscript"/>
              </w:rPr>
              <w:t>th</w:t>
            </w:r>
            <w:r w:rsidRPr="00804630">
              <w:rPr>
                <w:rFonts w:ascii="Arial" w:hAnsi="Arial" w:cs="Arial"/>
                <w:b/>
                <w:sz w:val="22"/>
              </w:rPr>
              <w:t>, 95</w:t>
            </w:r>
            <w:r w:rsidRPr="00804630">
              <w:rPr>
                <w:rFonts w:ascii="Arial" w:hAnsi="Arial" w:cs="Arial"/>
                <w:b/>
                <w:sz w:val="22"/>
                <w:vertAlign w:val="superscript"/>
              </w:rPr>
              <w:t>th</w:t>
            </w:r>
            <w:r w:rsidRPr="00804630">
              <w:rPr>
                <w:rFonts w:ascii="Arial" w:hAnsi="Arial" w:cs="Arial"/>
                <w:b/>
                <w:sz w:val="22"/>
              </w:rPr>
              <w:t xml:space="preserve"> </w:t>
            </w:r>
            <w:proofErr w:type="gramStart"/>
            <w:r w:rsidRPr="00804630">
              <w:rPr>
                <w:rFonts w:ascii="Arial" w:hAnsi="Arial" w:cs="Arial"/>
                <w:b/>
                <w:sz w:val="22"/>
              </w:rPr>
              <w:t>Percentile)</w:t>
            </w:r>
            <w:r w:rsidRPr="00804630">
              <w:rPr>
                <w:rFonts w:ascii="Arial" w:hAnsi="Arial" w:cs="Arial"/>
                <w:b/>
                <w:sz w:val="22"/>
                <w:vertAlign w:val="superscript"/>
              </w:rPr>
              <w:t>a</w:t>
            </w:r>
            <w:proofErr w:type="gramEnd"/>
          </w:p>
        </w:tc>
      </w:tr>
      <w:tr w:rsidR="00804630" w:rsidRPr="00804630" w14:paraId="7F806119" w14:textId="77777777" w:rsidTr="00804630">
        <w:trPr>
          <w:cantSplit/>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F345B4" w14:textId="77777777" w:rsidR="00804630" w:rsidRPr="00804630" w:rsidRDefault="00804630">
            <w:pPr>
              <w:spacing w:after="0"/>
              <w:rPr>
                <w:rFonts w:ascii="Arial" w:hAnsi="Arial" w:cs="Arial"/>
                <w:b/>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5FBD5" w14:textId="77777777" w:rsidR="00804630" w:rsidRPr="00804630" w:rsidRDefault="00804630">
            <w:pPr>
              <w:spacing w:after="0"/>
              <w:rPr>
                <w:rFonts w:ascii="Arial" w:hAnsi="Arial" w:cs="Arial"/>
                <w:b/>
                <w:lang w:val="en-GB" w:eastAsia="en-GB"/>
              </w:rPr>
            </w:pPr>
          </w:p>
        </w:tc>
        <w:tc>
          <w:tcPr>
            <w:tcW w:w="949" w:type="pct"/>
            <w:tcBorders>
              <w:top w:val="single" w:sz="4" w:space="0" w:color="auto"/>
              <w:left w:val="single" w:sz="4" w:space="0" w:color="auto"/>
              <w:bottom w:val="single" w:sz="4" w:space="0" w:color="auto"/>
              <w:right w:val="single" w:sz="4" w:space="0" w:color="auto"/>
            </w:tcBorders>
            <w:vAlign w:val="bottom"/>
            <w:hideMark/>
          </w:tcPr>
          <w:p w14:paraId="085AF45F" w14:textId="77777777" w:rsidR="00804630" w:rsidRPr="00804630" w:rsidRDefault="00804630">
            <w:pPr>
              <w:pStyle w:val="tabletextNS"/>
              <w:keepNext/>
              <w:jc w:val="center"/>
              <w:rPr>
                <w:rFonts w:ascii="Arial" w:hAnsi="Arial" w:cs="Arial"/>
                <w:b/>
                <w:sz w:val="22"/>
              </w:rPr>
            </w:pPr>
            <w:r w:rsidRPr="00804630">
              <w:rPr>
                <w:rFonts w:ascii="Arial" w:hAnsi="Arial" w:cs="Arial"/>
                <w:b/>
                <w:sz w:val="22"/>
              </w:rPr>
              <w:t>AUC</w:t>
            </w:r>
            <w:r w:rsidRPr="00804630">
              <w:rPr>
                <w:rFonts w:ascii="Arial" w:hAnsi="Arial" w:cs="Arial"/>
                <w:b/>
                <w:sz w:val="22"/>
                <w:vertAlign w:val="subscript"/>
              </w:rPr>
              <w:t>(0-</w:t>
            </w:r>
            <w:proofErr w:type="gramStart"/>
            <w:r w:rsidRPr="00804630">
              <w:rPr>
                <w:rFonts w:ascii="Arial" w:hAnsi="Arial" w:cs="Arial"/>
                <w:b/>
                <w:sz w:val="22"/>
                <w:vertAlign w:val="subscript"/>
              </w:rPr>
              <w:t>tau)</w:t>
            </w:r>
            <w:r w:rsidRPr="00804630">
              <w:rPr>
                <w:rFonts w:ascii="Arial" w:hAnsi="Arial" w:cs="Arial"/>
                <w:b/>
                <w:sz w:val="22"/>
                <w:vertAlign w:val="superscript"/>
              </w:rPr>
              <w:t>b</w:t>
            </w:r>
            <w:proofErr w:type="gramEnd"/>
            <w:r w:rsidRPr="00804630">
              <w:rPr>
                <w:rFonts w:ascii="Arial" w:hAnsi="Arial" w:cs="Arial"/>
                <w:b/>
                <w:sz w:val="22"/>
              </w:rPr>
              <w:br/>
              <w:t>(µ•h/mL)</w:t>
            </w:r>
          </w:p>
        </w:tc>
        <w:tc>
          <w:tcPr>
            <w:tcW w:w="1160" w:type="pct"/>
            <w:tcBorders>
              <w:top w:val="single" w:sz="4" w:space="0" w:color="auto"/>
              <w:left w:val="single" w:sz="4" w:space="0" w:color="auto"/>
              <w:bottom w:val="single" w:sz="4" w:space="0" w:color="auto"/>
              <w:right w:val="single" w:sz="4" w:space="0" w:color="auto"/>
            </w:tcBorders>
            <w:vAlign w:val="bottom"/>
            <w:hideMark/>
          </w:tcPr>
          <w:p w14:paraId="245D99C2" w14:textId="77777777" w:rsidR="00804630" w:rsidRPr="00804630" w:rsidRDefault="00804630">
            <w:pPr>
              <w:pStyle w:val="tabletextNS"/>
              <w:keepNext/>
              <w:jc w:val="center"/>
              <w:rPr>
                <w:rFonts w:ascii="Arial" w:hAnsi="Arial" w:cs="Arial"/>
                <w:b/>
                <w:sz w:val="22"/>
              </w:rPr>
            </w:pPr>
            <w:proofErr w:type="spellStart"/>
            <w:r w:rsidRPr="00804630">
              <w:rPr>
                <w:rFonts w:ascii="Arial" w:hAnsi="Arial" w:cs="Arial"/>
                <w:b/>
                <w:sz w:val="22"/>
              </w:rPr>
              <w:t>C</w:t>
            </w:r>
            <w:r w:rsidRPr="00804630">
              <w:rPr>
                <w:rFonts w:ascii="Arial" w:hAnsi="Arial" w:cs="Arial"/>
                <w:b/>
                <w:sz w:val="22"/>
                <w:vertAlign w:val="subscript"/>
              </w:rPr>
              <w:t>max</w:t>
            </w:r>
            <w:proofErr w:type="spellEnd"/>
            <w:r w:rsidRPr="00804630">
              <w:rPr>
                <w:rFonts w:ascii="Arial" w:hAnsi="Arial" w:cs="Arial"/>
                <w:b/>
                <w:sz w:val="22"/>
              </w:rPr>
              <w:br/>
              <w:t>(µ/mL)</w:t>
            </w:r>
          </w:p>
        </w:tc>
        <w:tc>
          <w:tcPr>
            <w:tcW w:w="1084" w:type="pct"/>
            <w:tcBorders>
              <w:top w:val="single" w:sz="4" w:space="0" w:color="auto"/>
              <w:left w:val="single" w:sz="4" w:space="0" w:color="auto"/>
              <w:bottom w:val="single" w:sz="4" w:space="0" w:color="auto"/>
              <w:right w:val="single" w:sz="4" w:space="0" w:color="auto"/>
            </w:tcBorders>
            <w:vAlign w:val="bottom"/>
            <w:hideMark/>
          </w:tcPr>
          <w:p w14:paraId="35E078A0" w14:textId="77777777" w:rsidR="00804630" w:rsidRPr="00804630" w:rsidRDefault="00804630">
            <w:pPr>
              <w:pStyle w:val="tabletextNS"/>
              <w:keepNext/>
              <w:jc w:val="center"/>
              <w:rPr>
                <w:rFonts w:ascii="Arial" w:hAnsi="Arial" w:cs="Arial"/>
                <w:b/>
                <w:sz w:val="22"/>
              </w:rPr>
            </w:pPr>
            <w:r w:rsidRPr="00804630">
              <w:rPr>
                <w:rFonts w:ascii="Arial" w:hAnsi="Arial" w:cs="Arial"/>
                <w:b/>
                <w:sz w:val="22"/>
              </w:rPr>
              <w:t>C</w:t>
            </w:r>
            <w:r w:rsidRPr="00804630">
              <w:rPr>
                <w:rFonts w:ascii="Arial" w:hAnsi="Arial" w:cs="Arial"/>
                <w:b/>
                <w:sz w:val="22"/>
                <w:vertAlign w:val="subscript"/>
              </w:rPr>
              <w:t>tau</w:t>
            </w:r>
            <w:r w:rsidRPr="00804630">
              <w:rPr>
                <w:rFonts w:ascii="Arial" w:hAnsi="Arial" w:cs="Arial"/>
                <w:b/>
                <w:sz w:val="22"/>
              </w:rPr>
              <w:br/>
              <w:t>(µ/mL)</w:t>
            </w:r>
          </w:p>
        </w:tc>
      </w:tr>
      <w:tr w:rsidR="00804630" w:rsidRPr="00804630" w14:paraId="69CA30F9" w14:textId="77777777" w:rsidTr="00804630">
        <w:trPr>
          <w:cantSplit/>
          <w:trHeight w:val="217"/>
        </w:trPr>
        <w:tc>
          <w:tcPr>
            <w:tcW w:w="839" w:type="pct"/>
            <w:tcBorders>
              <w:top w:val="single" w:sz="4" w:space="0" w:color="auto"/>
              <w:left w:val="single" w:sz="4" w:space="0" w:color="auto"/>
              <w:bottom w:val="single" w:sz="4" w:space="0" w:color="auto"/>
              <w:right w:val="single" w:sz="4" w:space="0" w:color="auto"/>
            </w:tcBorders>
            <w:vAlign w:val="center"/>
            <w:hideMark/>
          </w:tcPr>
          <w:p w14:paraId="7B19E727" w14:textId="77777777" w:rsidR="00804630" w:rsidRPr="00804630" w:rsidRDefault="00804630">
            <w:pPr>
              <w:pStyle w:val="tabletextNS"/>
              <w:keepNext/>
              <w:jc w:val="center"/>
              <w:rPr>
                <w:rFonts w:ascii="Arial" w:hAnsi="Arial" w:cs="Arial"/>
                <w:sz w:val="22"/>
              </w:rPr>
            </w:pPr>
            <w:r w:rsidRPr="00804630">
              <w:rPr>
                <w:rFonts w:ascii="Arial" w:hAnsi="Arial" w:cs="Arial"/>
                <w:sz w:val="22"/>
              </w:rPr>
              <w:t>Oral lead-</w:t>
            </w:r>
            <w:proofErr w:type="spellStart"/>
            <w:r w:rsidRPr="00804630">
              <w:rPr>
                <w:rFonts w:ascii="Arial" w:hAnsi="Arial" w:cs="Arial"/>
                <w:sz w:val="22"/>
              </w:rPr>
              <w:t>in</w:t>
            </w:r>
            <w:r w:rsidRPr="00804630">
              <w:rPr>
                <w:rFonts w:ascii="Arial" w:hAnsi="Arial" w:cs="Arial"/>
                <w:sz w:val="22"/>
                <w:vertAlign w:val="superscript"/>
              </w:rPr>
              <w:t>c</w:t>
            </w:r>
            <w:proofErr w:type="spellEnd"/>
          </w:p>
        </w:tc>
        <w:tc>
          <w:tcPr>
            <w:tcW w:w="968" w:type="pct"/>
            <w:tcBorders>
              <w:top w:val="single" w:sz="4" w:space="0" w:color="auto"/>
              <w:left w:val="single" w:sz="4" w:space="0" w:color="auto"/>
              <w:bottom w:val="single" w:sz="4" w:space="0" w:color="auto"/>
              <w:right w:val="single" w:sz="4" w:space="0" w:color="auto"/>
            </w:tcBorders>
          </w:tcPr>
          <w:p w14:paraId="2BC5B2BD" w14:textId="77777777" w:rsidR="00804630" w:rsidRPr="00804630" w:rsidRDefault="00804630">
            <w:pPr>
              <w:pStyle w:val="tabletextNS"/>
              <w:keepNext/>
              <w:jc w:val="center"/>
              <w:rPr>
                <w:rFonts w:ascii="Arial" w:hAnsi="Arial" w:cs="Arial"/>
                <w:sz w:val="22"/>
              </w:rPr>
            </w:pPr>
            <w:r w:rsidRPr="00804630">
              <w:rPr>
                <w:rFonts w:ascii="Arial" w:hAnsi="Arial" w:cs="Arial"/>
                <w:sz w:val="22"/>
              </w:rPr>
              <w:t xml:space="preserve">30 mg </w:t>
            </w:r>
            <w:r w:rsidRPr="00804630">
              <w:rPr>
                <w:rFonts w:ascii="Arial" w:hAnsi="Arial" w:cs="Arial"/>
                <w:sz w:val="22"/>
              </w:rPr>
              <w:br/>
              <w:t>once daily</w:t>
            </w:r>
          </w:p>
          <w:p w14:paraId="5A66C1F8" w14:textId="77777777" w:rsidR="00804630" w:rsidRPr="00804630" w:rsidRDefault="00804630">
            <w:pPr>
              <w:pStyle w:val="tabletextNS"/>
              <w:keepNext/>
              <w:jc w:val="center"/>
              <w:rPr>
                <w:rFonts w:ascii="Arial" w:hAnsi="Arial" w:cs="Arial"/>
                <w:sz w:val="22"/>
              </w:rPr>
            </w:pPr>
          </w:p>
        </w:tc>
        <w:tc>
          <w:tcPr>
            <w:tcW w:w="949" w:type="pct"/>
            <w:tcBorders>
              <w:top w:val="single" w:sz="4" w:space="0" w:color="auto"/>
              <w:left w:val="single" w:sz="4" w:space="0" w:color="auto"/>
              <w:bottom w:val="single" w:sz="4" w:space="0" w:color="auto"/>
              <w:right w:val="single" w:sz="4" w:space="0" w:color="auto"/>
            </w:tcBorders>
            <w:hideMark/>
          </w:tcPr>
          <w:p w14:paraId="332C219C" w14:textId="77777777" w:rsidR="00804630" w:rsidRPr="00804630" w:rsidRDefault="00804630">
            <w:pPr>
              <w:pStyle w:val="GlobalSubmitTableCellCenter"/>
              <w:keepNext/>
              <w:keepLines w:val="0"/>
              <w:spacing w:before="0" w:after="0"/>
              <w:rPr>
                <w:rFonts w:ascii="Arial" w:hAnsi="Arial" w:cs="Arial"/>
                <w:sz w:val="22"/>
                <w:szCs w:val="22"/>
              </w:rPr>
            </w:pPr>
            <w:r w:rsidRPr="00804630">
              <w:rPr>
                <w:rFonts w:ascii="Arial" w:hAnsi="Arial" w:cs="Arial"/>
                <w:sz w:val="22"/>
                <w:szCs w:val="22"/>
              </w:rPr>
              <w:t>145</w:t>
            </w:r>
          </w:p>
          <w:p w14:paraId="3F122155" w14:textId="77777777" w:rsidR="00804630" w:rsidRPr="00804630" w:rsidRDefault="00804630">
            <w:pPr>
              <w:pStyle w:val="GlobalSubmitTableCellCenter"/>
              <w:keepNext/>
              <w:keepLines w:val="0"/>
              <w:spacing w:before="0" w:after="0"/>
              <w:rPr>
                <w:rFonts w:ascii="Arial" w:hAnsi="Arial" w:cs="Arial"/>
                <w:sz w:val="22"/>
                <w:szCs w:val="22"/>
              </w:rPr>
            </w:pPr>
            <w:r w:rsidRPr="00804630">
              <w:rPr>
                <w:rFonts w:ascii="Arial" w:hAnsi="Arial" w:cs="Arial"/>
                <w:sz w:val="22"/>
                <w:szCs w:val="22"/>
              </w:rPr>
              <w:t>(93.5, 224)</w:t>
            </w:r>
          </w:p>
        </w:tc>
        <w:tc>
          <w:tcPr>
            <w:tcW w:w="1160" w:type="pct"/>
            <w:tcBorders>
              <w:top w:val="single" w:sz="4" w:space="0" w:color="auto"/>
              <w:left w:val="single" w:sz="4" w:space="0" w:color="auto"/>
              <w:bottom w:val="single" w:sz="4" w:space="0" w:color="auto"/>
              <w:right w:val="single" w:sz="4" w:space="0" w:color="auto"/>
            </w:tcBorders>
            <w:hideMark/>
          </w:tcPr>
          <w:p w14:paraId="3595948B" w14:textId="77777777" w:rsidR="00804630" w:rsidRPr="00804630" w:rsidRDefault="00804630">
            <w:pPr>
              <w:pStyle w:val="GlobalSubmitTableCellCenter"/>
              <w:keepNext/>
              <w:keepLines w:val="0"/>
              <w:spacing w:before="0" w:after="0"/>
              <w:rPr>
                <w:rFonts w:ascii="Arial" w:hAnsi="Arial" w:cs="Arial"/>
                <w:sz w:val="22"/>
                <w:szCs w:val="22"/>
              </w:rPr>
            </w:pPr>
            <w:r w:rsidRPr="00804630">
              <w:rPr>
                <w:rFonts w:ascii="Arial" w:hAnsi="Arial" w:cs="Arial"/>
                <w:sz w:val="22"/>
                <w:szCs w:val="22"/>
              </w:rPr>
              <w:t>8.0</w:t>
            </w:r>
          </w:p>
          <w:p w14:paraId="46706A18" w14:textId="77777777" w:rsidR="00804630" w:rsidRPr="00804630" w:rsidRDefault="00804630">
            <w:pPr>
              <w:pStyle w:val="GlobalSubmitTableCellCenter"/>
              <w:keepNext/>
              <w:keepLines w:val="0"/>
              <w:spacing w:before="0" w:after="0"/>
              <w:rPr>
                <w:rFonts w:ascii="Arial" w:hAnsi="Arial" w:cs="Arial"/>
                <w:sz w:val="22"/>
                <w:szCs w:val="22"/>
              </w:rPr>
            </w:pPr>
            <w:r w:rsidRPr="00804630">
              <w:rPr>
                <w:rFonts w:ascii="Arial" w:hAnsi="Arial" w:cs="Arial"/>
                <w:sz w:val="22"/>
                <w:szCs w:val="22"/>
              </w:rPr>
              <w:t>(5.3, 11.9)</w:t>
            </w:r>
          </w:p>
        </w:tc>
        <w:tc>
          <w:tcPr>
            <w:tcW w:w="1084" w:type="pct"/>
            <w:tcBorders>
              <w:top w:val="single" w:sz="4" w:space="0" w:color="auto"/>
              <w:left w:val="single" w:sz="4" w:space="0" w:color="auto"/>
              <w:bottom w:val="single" w:sz="4" w:space="0" w:color="auto"/>
              <w:right w:val="single" w:sz="4" w:space="0" w:color="auto"/>
            </w:tcBorders>
            <w:hideMark/>
          </w:tcPr>
          <w:p w14:paraId="61A2ED23" w14:textId="77777777" w:rsidR="00804630" w:rsidRPr="00804630" w:rsidRDefault="00804630">
            <w:pPr>
              <w:pStyle w:val="GlobalSubmitTableCellCenter"/>
              <w:keepNext/>
              <w:keepLines w:val="0"/>
              <w:spacing w:before="0" w:after="0"/>
              <w:rPr>
                <w:rFonts w:ascii="Arial" w:hAnsi="Arial" w:cs="Arial"/>
                <w:sz w:val="22"/>
                <w:szCs w:val="22"/>
              </w:rPr>
            </w:pPr>
            <w:r w:rsidRPr="00804630">
              <w:rPr>
                <w:rFonts w:ascii="Arial" w:hAnsi="Arial" w:cs="Arial"/>
                <w:sz w:val="22"/>
                <w:szCs w:val="22"/>
              </w:rPr>
              <w:t>4.6</w:t>
            </w:r>
          </w:p>
          <w:p w14:paraId="4270506D" w14:textId="77777777" w:rsidR="00804630" w:rsidRPr="00804630" w:rsidRDefault="00804630">
            <w:pPr>
              <w:pStyle w:val="GlobalSubmitTableCellCenter"/>
              <w:keepNext/>
              <w:keepLines w:val="0"/>
              <w:spacing w:before="0" w:after="0"/>
              <w:rPr>
                <w:rFonts w:ascii="Arial" w:hAnsi="Arial" w:cs="Arial"/>
                <w:sz w:val="22"/>
                <w:szCs w:val="22"/>
              </w:rPr>
            </w:pPr>
            <w:r w:rsidRPr="00804630">
              <w:rPr>
                <w:rFonts w:ascii="Arial" w:hAnsi="Arial" w:cs="Arial"/>
                <w:sz w:val="22"/>
                <w:szCs w:val="22"/>
              </w:rPr>
              <w:t>(2.8, 7.5)</w:t>
            </w:r>
          </w:p>
        </w:tc>
      </w:tr>
      <w:tr w:rsidR="00804630" w:rsidRPr="00804630" w14:paraId="78650B66" w14:textId="77777777" w:rsidTr="00804630">
        <w:trPr>
          <w:cantSplit/>
          <w:trHeight w:val="217"/>
        </w:trPr>
        <w:tc>
          <w:tcPr>
            <w:tcW w:w="839" w:type="pct"/>
            <w:tcBorders>
              <w:top w:val="single" w:sz="4" w:space="0" w:color="auto"/>
              <w:left w:val="single" w:sz="4" w:space="0" w:color="auto"/>
              <w:bottom w:val="single" w:sz="4" w:space="0" w:color="auto"/>
              <w:right w:val="single" w:sz="4" w:space="0" w:color="auto"/>
            </w:tcBorders>
            <w:vAlign w:val="center"/>
            <w:hideMark/>
          </w:tcPr>
          <w:p w14:paraId="0CC5B653" w14:textId="77777777" w:rsidR="00804630" w:rsidRPr="00804630" w:rsidRDefault="00804630">
            <w:pPr>
              <w:pStyle w:val="tabletextNS"/>
              <w:keepNext/>
              <w:jc w:val="center"/>
              <w:rPr>
                <w:rFonts w:ascii="Arial" w:hAnsi="Arial" w:cs="Arial"/>
                <w:sz w:val="22"/>
              </w:rPr>
            </w:pPr>
            <w:r w:rsidRPr="00804630">
              <w:rPr>
                <w:rFonts w:ascii="Arial" w:hAnsi="Arial" w:cs="Arial"/>
                <w:sz w:val="22"/>
              </w:rPr>
              <w:t xml:space="preserve">Initial </w:t>
            </w:r>
            <w:proofErr w:type="spellStart"/>
            <w:r w:rsidRPr="00804630">
              <w:rPr>
                <w:rFonts w:ascii="Arial" w:hAnsi="Arial" w:cs="Arial"/>
                <w:sz w:val="22"/>
              </w:rPr>
              <w:t>injection</w:t>
            </w:r>
            <w:r w:rsidRPr="00804630">
              <w:rPr>
                <w:rFonts w:ascii="Arial" w:hAnsi="Arial" w:cs="Arial"/>
                <w:sz w:val="22"/>
                <w:vertAlign w:val="superscript"/>
              </w:rPr>
              <w:t>d</w:t>
            </w:r>
            <w:proofErr w:type="spellEnd"/>
          </w:p>
        </w:tc>
        <w:tc>
          <w:tcPr>
            <w:tcW w:w="968" w:type="pct"/>
            <w:tcBorders>
              <w:top w:val="single" w:sz="4" w:space="0" w:color="auto"/>
              <w:left w:val="single" w:sz="4" w:space="0" w:color="auto"/>
              <w:bottom w:val="single" w:sz="4" w:space="0" w:color="auto"/>
              <w:right w:val="single" w:sz="4" w:space="0" w:color="auto"/>
            </w:tcBorders>
            <w:vAlign w:val="center"/>
          </w:tcPr>
          <w:p w14:paraId="17F036EB" w14:textId="77777777" w:rsidR="00804630" w:rsidRPr="00804630" w:rsidRDefault="00804630">
            <w:pPr>
              <w:pStyle w:val="tabletextNS"/>
              <w:keepNext/>
              <w:jc w:val="center"/>
              <w:rPr>
                <w:rFonts w:ascii="Arial" w:hAnsi="Arial" w:cs="Arial"/>
                <w:sz w:val="22"/>
              </w:rPr>
            </w:pPr>
            <w:r w:rsidRPr="00804630">
              <w:rPr>
                <w:rFonts w:ascii="Arial" w:hAnsi="Arial" w:cs="Arial"/>
                <w:sz w:val="22"/>
              </w:rPr>
              <w:t>600 mg IM</w:t>
            </w:r>
            <w:r w:rsidRPr="00804630">
              <w:rPr>
                <w:rFonts w:ascii="Arial" w:hAnsi="Arial" w:cs="Arial"/>
                <w:sz w:val="22"/>
              </w:rPr>
              <w:br/>
              <w:t>Initial Dose</w:t>
            </w:r>
          </w:p>
          <w:p w14:paraId="757781A7" w14:textId="77777777" w:rsidR="00804630" w:rsidRPr="00804630" w:rsidRDefault="00804630">
            <w:pPr>
              <w:pStyle w:val="tabletextNS"/>
              <w:keepNext/>
              <w:jc w:val="center"/>
              <w:rPr>
                <w:rFonts w:ascii="Arial" w:hAnsi="Arial" w:cs="Arial"/>
                <w:sz w:val="22"/>
              </w:rPr>
            </w:pPr>
          </w:p>
        </w:tc>
        <w:tc>
          <w:tcPr>
            <w:tcW w:w="949" w:type="pct"/>
            <w:tcBorders>
              <w:top w:val="single" w:sz="4" w:space="0" w:color="auto"/>
              <w:left w:val="single" w:sz="4" w:space="0" w:color="auto"/>
              <w:bottom w:val="single" w:sz="4" w:space="0" w:color="auto"/>
              <w:right w:val="single" w:sz="4" w:space="0" w:color="auto"/>
            </w:tcBorders>
            <w:hideMark/>
          </w:tcPr>
          <w:p w14:paraId="04B5CAEC" w14:textId="77777777" w:rsidR="00804630" w:rsidRPr="00804630" w:rsidRDefault="00804630">
            <w:pPr>
              <w:pStyle w:val="GlobalSubmitTableCellCenter"/>
              <w:keepNext/>
              <w:keepLines w:val="0"/>
              <w:spacing w:before="0" w:after="0"/>
              <w:rPr>
                <w:rFonts w:ascii="Arial" w:hAnsi="Arial" w:cs="Arial"/>
                <w:sz w:val="22"/>
                <w:szCs w:val="22"/>
              </w:rPr>
            </w:pPr>
            <w:r w:rsidRPr="00804630">
              <w:rPr>
                <w:rFonts w:ascii="Arial" w:hAnsi="Arial" w:cs="Arial"/>
                <w:sz w:val="22"/>
                <w:szCs w:val="22"/>
              </w:rPr>
              <w:t>1591</w:t>
            </w:r>
          </w:p>
          <w:p w14:paraId="4D367EE6" w14:textId="77777777" w:rsidR="00804630" w:rsidRPr="00804630" w:rsidRDefault="00804630">
            <w:pPr>
              <w:pStyle w:val="GlobalSubmitTableCellCenter"/>
              <w:keepNext/>
              <w:keepLines w:val="0"/>
              <w:spacing w:before="0" w:after="0"/>
              <w:rPr>
                <w:rFonts w:ascii="Arial" w:hAnsi="Arial" w:cs="Arial"/>
                <w:sz w:val="22"/>
                <w:szCs w:val="22"/>
              </w:rPr>
            </w:pPr>
            <w:r w:rsidRPr="00804630">
              <w:rPr>
                <w:rFonts w:ascii="Arial" w:hAnsi="Arial" w:cs="Arial"/>
                <w:sz w:val="22"/>
                <w:szCs w:val="22"/>
              </w:rPr>
              <w:t>(714, 3245)</w:t>
            </w:r>
          </w:p>
        </w:tc>
        <w:tc>
          <w:tcPr>
            <w:tcW w:w="1160" w:type="pct"/>
            <w:tcBorders>
              <w:top w:val="single" w:sz="4" w:space="0" w:color="auto"/>
              <w:left w:val="single" w:sz="4" w:space="0" w:color="auto"/>
              <w:bottom w:val="single" w:sz="4" w:space="0" w:color="auto"/>
              <w:right w:val="single" w:sz="4" w:space="0" w:color="auto"/>
            </w:tcBorders>
            <w:hideMark/>
          </w:tcPr>
          <w:p w14:paraId="3EAF1C1D" w14:textId="77777777" w:rsidR="00804630" w:rsidRPr="00804630" w:rsidRDefault="00804630">
            <w:pPr>
              <w:pStyle w:val="GlobalSubmitTableCellCenter"/>
              <w:keepNext/>
              <w:keepLines w:val="0"/>
              <w:spacing w:before="0" w:after="0"/>
              <w:rPr>
                <w:rFonts w:ascii="Arial" w:hAnsi="Arial" w:cs="Arial"/>
                <w:sz w:val="22"/>
                <w:szCs w:val="22"/>
              </w:rPr>
            </w:pPr>
            <w:r w:rsidRPr="00804630">
              <w:rPr>
                <w:rFonts w:ascii="Arial" w:hAnsi="Arial" w:cs="Arial"/>
                <w:sz w:val="22"/>
                <w:szCs w:val="22"/>
              </w:rPr>
              <w:t>8.0</w:t>
            </w:r>
          </w:p>
          <w:p w14:paraId="5ED66737" w14:textId="77777777" w:rsidR="00804630" w:rsidRPr="00804630" w:rsidRDefault="00804630">
            <w:pPr>
              <w:pStyle w:val="GlobalSubmitTableCellCenter"/>
              <w:keepNext/>
              <w:keepLines w:val="0"/>
              <w:spacing w:before="0" w:after="0"/>
              <w:rPr>
                <w:rFonts w:ascii="Arial" w:hAnsi="Arial" w:cs="Arial"/>
                <w:sz w:val="22"/>
                <w:szCs w:val="22"/>
              </w:rPr>
            </w:pPr>
            <w:r w:rsidRPr="00804630">
              <w:rPr>
                <w:rFonts w:ascii="Arial" w:hAnsi="Arial" w:cs="Arial"/>
                <w:sz w:val="22"/>
                <w:szCs w:val="22"/>
              </w:rPr>
              <w:t>(5.3, 11.9)</w:t>
            </w:r>
          </w:p>
        </w:tc>
        <w:tc>
          <w:tcPr>
            <w:tcW w:w="1084" w:type="pct"/>
            <w:tcBorders>
              <w:top w:val="single" w:sz="4" w:space="0" w:color="auto"/>
              <w:left w:val="single" w:sz="4" w:space="0" w:color="auto"/>
              <w:bottom w:val="single" w:sz="4" w:space="0" w:color="auto"/>
              <w:right w:val="single" w:sz="4" w:space="0" w:color="auto"/>
            </w:tcBorders>
            <w:hideMark/>
          </w:tcPr>
          <w:p w14:paraId="62428B49" w14:textId="77777777" w:rsidR="00804630" w:rsidRPr="00804630" w:rsidRDefault="00804630">
            <w:pPr>
              <w:pStyle w:val="GlobalSubmitTableCellCenter"/>
              <w:keepNext/>
              <w:keepLines w:val="0"/>
              <w:spacing w:before="0" w:after="0"/>
              <w:rPr>
                <w:rFonts w:ascii="Arial" w:hAnsi="Arial" w:cs="Arial"/>
                <w:sz w:val="22"/>
                <w:szCs w:val="22"/>
              </w:rPr>
            </w:pPr>
            <w:r w:rsidRPr="00804630">
              <w:rPr>
                <w:rFonts w:ascii="Arial" w:hAnsi="Arial" w:cs="Arial"/>
                <w:sz w:val="22"/>
                <w:szCs w:val="22"/>
              </w:rPr>
              <w:t>1.5</w:t>
            </w:r>
          </w:p>
          <w:p w14:paraId="2DE65559" w14:textId="77777777" w:rsidR="00804630" w:rsidRPr="00804630" w:rsidRDefault="00804630">
            <w:pPr>
              <w:pStyle w:val="GlobalSubmitTableCellCenter"/>
              <w:keepNext/>
              <w:keepLines w:val="0"/>
              <w:spacing w:before="0" w:after="0"/>
              <w:rPr>
                <w:rFonts w:ascii="Arial" w:hAnsi="Arial" w:cs="Arial"/>
                <w:sz w:val="22"/>
                <w:szCs w:val="22"/>
              </w:rPr>
            </w:pPr>
            <w:r w:rsidRPr="00804630">
              <w:rPr>
                <w:rFonts w:ascii="Arial" w:hAnsi="Arial" w:cs="Arial"/>
                <w:sz w:val="22"/>
                <w:szCs w:val="22"/>
              </w:rPr>
              <w:t>(0.65, 2.9)</w:t>
            </w:r>
          </w:p>
        </w:tc>
      </w:tr>
      <w:tr w:rsidR="00804630" w:rsidRPr="00804630" w14:paraId="08E48106" w14:textId="77777777" w:rsidTr="00804630">
        <w:trPr>
          <w:cantSplit/>
          <w:trHeight w:val="217"/>
        </w:trPr>
        <w:tc>
          <w:tcPr>
            <w:tcW w:w="839" w:type="pct"/>
            <w:tcBorders>
              <w:top w:val="single" w:sz="4" w:space="0" w:color="auto"/>
              <w:left w:val="single" w:sz="4" w:space="0" w:color="auto"/>
              <w:bottom w:val="single" w:sz="4" w:space="0" w:color="auto"/>
              <w:right w:val="single" w:sz="4" w:space="0" w:color="auto"/>
            </w:tcBorders>
            <w:vAlign w:val="center"/>
            <w:hideMark/>
          </w:tcPr>
          <w:p w14:paraId="5773409D" w14:textId="77777777" w:rsidR="00804630" w:rsidRPr="00804630" w:rsidRDefault="00804630">
            <w:pPr>
              <w:pStyle w:val="tabletextNS"/>
              <w:keepNext/>
              <w:jc w:val="center"/>
              <w:rPr>
                <w:rFonts w:ascii="Arial" w:hAnsi="Arial" w:cs="Arial"/>
                <w:sz w:val="22"/>
              </w:rPr>
            </w:pPr>
            <w:r w:rsidRPr="00804630">
              <w:rPr>
                <w:rFonts w:ascii="Arial" w:hAnsi="Arial" w:cs="Arial"/>
                <w:sz w:val="22"/>
              </w:rPr>
              <w:t xml:space="preserve">Every 2-month </w:t>
            </w:r>
            <w:proofErr w:type="spellStart"/>
            <w:r w:rsidRPr="00804630">
              <w:rPr>
                <w:rFonts w:ascii="Arial" w:hAnsi="Arial" w:cs="Arial"/>
                <w:sz w:val="22"/>
              </w:rPr>
              <w:t>injection</w:t>
            </w:r>
            <w:r w:rsidRPr="00804630">
              <w:rPr>
                <w:rFonts w:ascii="Arial" w:hAnsi="Arial" w:cs="Arial"/>
                <w:sz w:val="22"/>
                <w:vertAlign w:val="superscript"/>
              </w:rPr>
              <w:t>e</w:t>
            </w:r>
            <w:proofErr w:type="spellEnd"/>
          </w:p>
        </w:tc>
        <w:tc>
          <w:tcPr>
            <w:tcW w:w="968" w:type="pct"/>
            <w:tcBorders>
              <w:top w:val="single" w:sz="4" w:space="0" w:color="auto"/>
              <w:left w:val="single" w:sz="4" w:space="0" w:color="auto"/>
              <w:bottom w:val="single" w:sz="4" w:space="0" w:color="auto"/>
              <w:right w:val="single" w:sz="4" w:space="0" w:color="auto"/>
            </w:tcBorders>
            <w:vAlign w:val="center"/>
            <w:hideMark/>
          </w:tcPr>
          <w:p w14:paraId="7B82AAE9" w14:textId="77777777" w:rsidR="00804630" w:rsidRPr="00804630" w:rsidRDefault="00804630">
            <w:pPr>
              <w:pStyle w:val="tabletextNS"/>
              <w:keepNext/>
              <w:jc w:val="center"/>
              <w:rPr>
                <w:rFonts w:ascii="Arial" w:hAnsi="Arial" w:cs="Arial"/>
                <w:sz w:val="22"/>
              </w:rPr>
            </w:pPr>
            <w:r w:rsidRPr="00804630">
              <w:rPr>
                <w:rFonts w:ascii="Arial" w:hAnsi="Arial" w:cs="Arial"/>
                <w:sz w:val="22"/>
              </w:rPr>
              <w:t>600 mg IM</w:t>
            </w:r>
            <w:r w:rsidRPr="00804630">
              <w:rPr>
                <w:rFonts w:ascii="Arial" w:hAnsi="Arial" w:cs="Arial"/>
                <w:sz w:val="22"/>
              </w:rPr>
              <w:br/>
              <w:t>Every 2-month</w:t>
            </w:r>
          </w:p>
        </w:tc>
        <w:tc>
          <w:tcPr>
            <w:tcW w:w="949" w:type="pct"/>
            <w:tcBorders>
              <w:top w:val="single" w:sz="4" w:space="0" w:color="auto"/>
              <w:left w:val="single" w:sz="4" w:space="0" w:color="auto"/>
              <w:bottom w:val="single" w:sz="4" w:space="0" w:color="auto"/>
              <w:right w:val="single" w:sz="4" w:space="0" w:color="auto"/>
            </w:tcBorders>
            <w:hideMark/>
          </w:tcPr>
          <w:p w14:paraId="5EE3B1B7" w14:textId="77777777" w:rsidR="00804630" w:rsidRPr="00804630" w:rsidRDefault="00804630">
            <w:pPr>
              <w:pStyle w:val="GlobalSubmitTableCellCenter"/>
              <w:keepNext/>
              <w:keepLines w:val="0"/>
              <w:rPr>
                <w:rFonts w:ascii="Arial" w:hAnsi="Arial" w:cs="Arial"/>
                <w:sz w:val="22"/>
                <w:szCs w:val="22"/>
                <w:lang w:val="en-GB"/>
              </w:rPr>
            </w:pPr>
            <w:r w:rsidRPr="00804630">
              <w:rPr>
                <w:rFonts w:ascii="Arial" w:hAnsi="Arial" w:cs="Arial"/>
                <w:sz w:val="22"/>
                <w:szCs w:val="22"/>
                <w:lang w:val="en-GB"/>
              </w:rPr>
              <w:t>3764</w:t>
            </w:r>
            <w:r w:rsidRPr="00804630">
              <w:rPr>
                <w:rFonts w:ascii="Arial" w:hAnsi="Arial" w:cs="Arial"/>
                <w:sz w:val="22"/>
                <w:szCs w:val="22"/>
                <w:lang w:val="en-GB"/>
              </w:rPr>
              <w:br/>
              <w:t>(2431, 5857)</w:t>
            </w:r>
          </w:p>
        </w:tc>
        <w:tc>
          <w:tcPr>
            <w:tcW w:w="1160" w:type="pct"/>
            <w:tcBorders>
              <w:top w:val="single" w:sz="4" w:space="0" w:color="auto"/>
              <w:left w:val="single" w:sz="4" w:space="0" w:color="auto"/>
              <w:bottom w:val="single" w:sz="4" w:space="0" w:color="auto"/>
              <w:right w:val="single" w:sz="4" w:space="0" w:color="auto"/>
            </w:tcBorders>
            <w:hideMark/>
          </w:tcPr>
          <w:p w14:paraId="6025AA19" w14:textId="77777777" w:rsidR="00804630" w:rsidRPr="00804630" w:rsidRDefault="00804630">
            <w:pPr>
              <w:keepNext/>
              <w:jc w:val="center"/>
              <w:rPr>
                <w:rFonts w:ascii="Arial" w:hAnsi="Arial" w:cs="Arial"/>
                <w:color w:val="000000"/>
                <w:lang w:val="en-GB"/>
              </w:rPr>
            </w:pPr>
            <w:r w:rsidRPr="00804630">
              <w:rPr>
                <w:rFonts w:ascii="Arial" w:hAnsi="Arial" w:cs="Arial"/>
                <w:color w:val="000000"/>
              </w:rPr>
              <w:t>4.0</w:t>
            </w:r>
            <w:r w:rsidRPr="00804630">
              <w:rPr>
                <w:rFonts w:ascii="Arial" w:hAnsi="Arial" w:cs="Arial"/>
                <w:color w:val="000000"/>
              </w:rPr>
              <w:br w:type="textWrapping" w:clear="all"/>
              <w:t>(2.3, 6.8)</w:t>
            </w:r>
          </w:p>
        </w:tc>
        <w:tc>
          <w:tcPr>
            <w:tcW w:w="1084" w:type="pct"/>
            <w:tcBorders>
              <w:top w:val="single" w:sz="4" w:space="0" w:color="auto"/>
              <w:left w:val="single" w:sz="4" w:space="0" w:color="auto"/>
              <w:bottom w:val="single" w:sz="4" w:space="0" w:color="auto"/>
              <w:right w:val="single" w:sz="4" w:space="0" w:color="auto"/>
            </w:tcBorders>
            <w:hideMark/>
          </w:tcPr>
          <w:p w14:paraId="1FFB5B26" w14:textId="77777777" w:rsidR="00804630" w:rsidRPr="00804630" w:rsidRDefault="00804630">
            <w:pPr>
              <w:keepNext/>
              <w:jc w:val="center"/>
              <w:rPr>
                <w:rFonts w:ascii="Arial" w:hAnsi="Arial" w:cs="Arial"/>
                <w:color w:val="000000"/>
              </w:rPr>
            </w:pPr>
            <w:r w:rsidRPr="00804630">
              <w:rPr>
                <w:rFonts w:ascii="Arial" w:hAnsi="Arial" w:cs="Arial"/>
                <w:color w:val="000000"/>
              </w:rPr>
              <w:t>1.6</w:t>
            </w:r>
            <w:r w:rsidRPr="00804630">
              <w:rPr>
                <w:rFonts w:ascii="Arial" w:hAnsi="Arial" w:cs="Arial"/>
                <w:color w:val="000000"/>
              </w:rPr>
              <w:br w:type="textWrapping" w:clear="all"/>
              <w:t>(0.8, 3.0)</w:t>
            </w:r>
          </w:p>
        </w:tc>
      </w:tr>
    </w:tbl>
    <w:p w14:paraId="413669D8" w14:textId="77777777" w:rsidR="00804630" w:rsidRPr="00AC06F0" w:rsidRDefault="00804630" w:rsidP="00804630">
      <w:pPr>
        <w:pStyle w:val="tablerefalpha"/>
        <w:numPr>
          <w:ilvl w:val="0"/>
          <w:numId w:val="0"/>
        </w:numPr>
        <w:tabs>
          <w:tab w:val="left" w:pos="720"/>
        </w:tabs>
        <w:ind w:left="144" w:hanging="144"/>
        <w:rPr>
          <w:rFonts w:ascii="Arial" w:hAnsi="Arial" w:cs="Arial"/>
          <w:sz w:val="20"/>
          <w:szCs w:val="20"/>
        </w:rPr>
      </w:pPr>
      <w:r w:rsidRPr="00804630">
        <w:rPr>
          <w:rFonts w:ascii="Arial" w:hAnsi="Arial" w:cs="Arial"/>
          <w:vertAlign w:val="superscript"/>
        </w:rPr>
        <w:t>a</w:t>
      </w:r>
      <w:r w:rsidRPr="00804630">
        <w:rPr>
          <w:rFonts w:ascii="Arial" w:hAnsi="Arial" w:cs="Arial"/>
        </w:rPr>
        <w:t xml:space="preserve"> </w:t>
      </w:r>
      <w:r w:rsidRPr="00AC06F0">
        <w:rPr>
          <w:rFonts w:ascii="Arial" w:hAnsi="Arial" w:cs="Arial"/>
          <w:sz w:val="20"/>
          <w:szCs w:val="20"/>
        </w:rPr>
        <w:t>Pharmacokinetic (PK) parameter values were based on individual post-hoc estimates from population PK models for patients in Phase III treatment studies of HIV treatment studies.</w:t>
      </w:r>
    </w:p>
    <w:p w14:paraId="5F8752D1" w14:textId="77777777" w:rsidR="00804630" w:rsidRPr="00AC06F0" w:rsidRDefault="00804630" w:rsidP="00804630">
      <w:pPr>
        <w:pStyle w:val="tablerefalpha"/>
        <w:numPr>
          <w:ilvl w:val="0"/>
          <w:numId w:val="0"/>
        </w:numPr>
        <w:tabs>
          <w:tab w:val="left" w:pos="720"/>
        </w:tabs>
        <w:ind w:left="144" w:hanging="144"/>
        <w:rPr>
          <w:rFonts w:ascii="Arial" w:hAnsi="Arial" w:cs="Arial"/>
          <w:sz w:val="20"/>
          <w:szCs w:val="20"/>
        </w:rPr>
      </w:pPr>
      <w:r w:rsidRPr="00AC06F0">
        <w:rPr>
          <w:rFonts w:ascii="Arial" w:hAnsi="Arial" w:cs="Arial"/>
          <w:sz w:val="20"/>
          <w:szCs w:val="20"/>
          <w:vertAlign w:val="superscript"/>
        </w:rPr>
        <w:t>b</w:t>
      </w:r>
      <w:r w:rsidRPr="00AC06F0">
        <w:rPr>
          <w:rFonts w:ascii="Arial" w:hAnsi="Arial" w:cs="Arial"/>
          <w:sz w:val="20"/>
          <w:szCs w:val="20"/>
          <w:vertAlign w:val="superscript"/>
        </w:rPr>
        <w:tab/>
      </w:r>
      <w:r w:rsidRPr="00AC06F0">
        <w:rPr>
          <w:rFonts w:ascii="Arial" w:hAnsi="Arial" w:cs="Arial"/>
          <w:sz w:val="20"/>
          <w:szCs w:val="20"/>
        </w:rPr>
        <w:t>tau is dosing interval: 24 hours for oral administration; 1 month for the initial injection and 2 months for every 2 months for IM injections of extended-release injectable suspension.</w:t>
      </w:r>
    </w:p>
    <w:p w14:paraId="6581037A" w14:textId="77777777" w:rsidR="00804630" w:rsidRPr="00AC06F0" w:rsidRDefault="00804630" w:rsidP="00804630">
      <w:pPr>
        <w:pStyle w:val="tablerefalpha"/>
        <w:numPr>
          <w:ilvl w:val="0"/>
          <w:numId w:val="0"/>
        </w:numPr>
        <w:tabs>
          <w:tab w:val="left" w:pos="720"/>
        </w:tabs>
        <w:ind w:left="144" w:hanging="144"/>
        <w:rPr>
          <w:rFonts w:ascii="Arial" w:hAnsi="Arial" w:cs="Arial"/>
          <w:sz w:val="20"/>
          <w:szCs w:val="20"/>
        </w:rPr>
      </w:pPr>
      <w:r w:rsidRPr="00AC06F0">
        <w:rPr>
          <w:rFonts w:ascii="Arial" w:hAnsi="Arial" w:cs="Arial"/>
          <w:sz w:val="20"/>
          <w:szCs w:val="20"/>
          <w:vertAlign w:val="superscript"/>
        </w:rPr>
        <w:t>c</w:t>
      </w:r>
      <w:r w:rsidRPr="00AC06F0">
        <w:rPr>
          <w:rFonts w:ascii="Arial" w:hAnsi="Arial" w:cs="Arial"/>
          <w:sz w:val="20"/>
          <w:szCs w:val="20"/>
        </w:rPr>
        <w:tab/>
        <w:t xml:space="preserve">Oral lead-in pharmacokinetic parameter values represent </w:t>
      </w:r>
      <w:proofErr w:type="gramStart"/>
      <w:r w:rsidRPr="00AC06F0">
        <w:rPr>
          <w:rFonts w:ascii="Arial" w:hAnsi="Arial" w:cs="Arial"/>
          <w:sz w:val="20"/>
          <w:szCs w:val="20"/>
        </w:rPr>
        <w:t>steady-state</w:t>
      </w:r>
      <w:proofErr w:type="gramEnd"/>
      <w:r w:rsidRPr="00AC06F0">
        <w:rPr>
          <w:rFonts w:ascii="Arial" w:hAnsi="Arial" w:cs="Arial"/>
          <w:sz w:val="20"/>
          <w:szCs w:val="20"/>
        </w:rPr>
        <w:t>.</w:t>
      </w:r>
    </w:p>
    <w:p w14:paraId="216F3A36" w14:textId="77777777" w:rsidR="00804630" w:rsidRPr="00AC06F0" w:rsidRDefault="00804630" w:rsidP="00804630">
      <w:pPr>
        <w:pStyle w:val="tablerefalpha"/>
        <w:numPr>
          <w:ilvl w:val="0"/>
          <w:numId w:val="0"/>
        </w:numPr>
        <w:tabs>
          <w:tab w:val="left" w:pos="720"/>
        </w:tabs>
        <w:ind w:left="144" w:hanging="144"/>
        <w:rPr>
          <w:rFonts w:ascii="Arial" w:hAnsi="Arial" w:cs="Arial"/>
          <w:sz w:val="20"/>
          <w:szCs w:val="20"/>
        </w:rPr>
      </w:pPr>
      <w:r w:rsidRPr="00AC06F0">
        <w:rPr>
          <w:rFonts w:ascii="Arial" w:hAnsi="Arial" w:cs="Arial"/>
          <w:sz w:val="20"/>
          <w:szCs w:val="20"/>
          <w:vertAlign w:val="superscript"/>
        </w:rPr>
        <w:t>d</w:t>
      </w:r>
      <w:r w:rsidRPr="00AC06F0">
        <w:rPr>
          <w:rFonts w:ascii="Arial" w:hAnsi="Arial" w:cs="Arial"/>
          <w:sz w:val="20"/>
          <w:szCs w:val="20"/>
          <w:vertAlign w:val="superscript"/>
        </w:rPr>
        <w:tab/>
      </w:r>
      <w:r w:rsidRPr="00AC06F0">
        <w:rPr>
          <w:rFonts w:ascii="Arial" w:hAnsi="Arial" w:cs="Arial"/>
          <w:sz w:val="20"/>
          <w:szCs w:val="20"/>
        </w:rPr>
        <w:t xml:space="preserve">Initial injection </w:t>
      </w:r>
      <w:proofErr w:type="spellStart"/>
      <w:r w:rsidRPr="00AC06F0">
        <w:rPr>
          <w:rFonts w:ascii="Arial" w:hAnsi="Arial" w:cs="Arial"/>
          <w:sz w:val="20"/>
          <w:szCs w:val="20"/>
        </w:rPr>
        <w:t>C</w:t>
      </w:r>
      <w:r w:rsidRPr="00AC06F0">
        <w:rPr>
          <w:rFonts w:ascii="Arial" w:hAnsi="Arial" w:cs="Arial"/>
          <w:sz w:val="20"/>
          <w:szCs w:val="20"/>
          <w:vertAlign w:val="subscript"/>
        </w:rPr>
        <w:t>max</w:t>
      </w:r>
      <w:proofErr w:type="spellEnd"/>
      <w:r w:rsidRPr="00AC06F0">
        <w:rPr>
          <w:rFonts w:ascii="Arial" w:hAnsi="Arial" w:cs="Arial"/>
          <w:sz w:val="20"/>
          <w:szCs w:val="20"/>
        </w:rPr>
        <w:t xml:space="preserve"> values primarily reflect oral dosing because the initial injection was administered on the same day as the last oral dose; however, the AUC</w:t>
      </w:r>
      <w:r w:rsidRPr="00AC06F0">
        <w:rPr>
          <w:rFonts w:ascii="Arial" w:hAnsi="Arial" w:cs="Arial"/>
          <w:sz w:val="20"/>
          <w:szCs w:val="20"/>
          <w:vertAlign w:val="subscript"/>
        </w:rPr>
        <w:t>(0-tau)</w:t>
      </w:r>
      <w:r w:rsidRPr="00AC06F0">
        <w:rPr>
          <w:rFonts w:ascii="Arial" w:hAnsi="Arial" w:cs="Arial"/>
          <w:sz w:val="20"/>
          <w:szCs w:val="20"/>
        </w:rPr>
        <w:t xml:space="preserve"> and C</w:t>
      </w:r>
      <w:r w:rsidRPr="00AC06F0">
        <w:rPr>
          <w:rFonts w:ascii="Arial" w:hAnsi="Arial" w:cs="Arial"/>
          <w:sz w:val="20"/>
          <w:szCs w:val="20"/>
          <w:vertAlign w:val="subscript"/>
        </w:rPr>
        <w:t>tau</w:t>
      </w:r>
      <w:r w:rsidRPr="00AC06F0">
        <w:rPr>
          <w:rFonts w:ascii="Arial" w:hAnsi="Arial" w:cs="Arial"/>
          <w:sz w:val="20"/>
          <w:szCs w:val="20"/>
        </w:rPr>
        <w:t xml:space="preserve"> values reflect the initial injection. When administered without oral lead-in to HIV infected recipients (n = 110), the observed cabotegravir geometric mean (5th, 95th percentile) </w:t>
      </w:r>
      <w:proofErr w:type="spellStart"/>
      <w:r w:rsidRPr="00AC06F0">
        <w:rPr>
          <w:rFonts w:ascii="Arial" w:hAnsi="Arial" w:cs="Arial"/>
          <w:sz w:val="20"/>
          <w:szCs w:val="20"/>
        </w:rPr>
        <w:t>C</w:t>
      </w:r>
      <w:r w:rsidRPr="00AC06F0">
        <w:rPr>
          <w:rFonts w:ascii="Arial" w:hAnsi="Arial" w:cs="Arial"/>
          <w:sz w:val="20"/>
          <w:szCs w:val="20"/>
          <w:vertAlign w:val="subscript"/>
        </w:rPr>
        <w:t>max</w:t>
      </w:r>
      <w:proofErr w:type="spellEnd"/>
      <w:r w:rsidRPr="00AC06F0">
        <w:rPr>
          <w:rFonts w:ascii="Arial" w:hAnsi="Arial" w:cs="Arial"/>
          <w:sz w:val="20"/>
          <w:szCs w:val="20"/>
        </w:rPr>
        <w:t xml:space="preserve"> (</w:t>
      </w:r>
      <w:proofErr w:type="gramStart"/>
      <w:r w:rsidRPr="00AC06F0">
        <w:rPr>
          <w:rFonts w:ascii="Arial" w:hAnsi="Arial" w:cs="Arial"/>
          <w:sz w:val="20"/>
          <w:szCs w:val="20"/>
        </w:rPr>
        <w:t>1 week</w:t>
      </w:r>
      <w:proofErr w:type="gramEnd"/>
      <w:r w:rsidRPr="00AC06F0">
        <w:rPr>
          <w:rFonts w:ascii="Arial" w:hAnsi="Arial" w:cs="Arial"/>
          <w:sz w:val="20"/>
          <w:szCs w:val="20"/>
        </w:rPr>
        <w:t xml:space="preserve"> post-initial injection) was 1.89 mcg/mL (0.438, 5.69) and C</w:t>
      </w:r>
      <w:r w:rsidRPr="00AC06F0">
        <w:rPr>
          <w:rFonts w:ascii="Arial" w:hAnsi="Arial" w:cs="Arial"/>
          <w:sz w:val="20"/>
          <w:szCs w:val="20"/>
          <w:vertAlign w:val="subscript"/>
        </w:rPr>
        <w:t>tau</w:t>
      </w:r>
      <w:r w:rsidRPr="00AC06F0">
        <w:rPr>
          <w:rFonts w:ascii="Arial" w:hAnsi="Arial" w:cs="Arial"/>
          <w:sz w:val="20"/>
          <w:szCs w:val="20"/>
        </w:rPr>
        <w:t xml:space="preserve"> was 1.43 mcg/mL (0.403, 3.90).</w:t>
      </w:r>
    </w:p>
    <w:p w14:paraId="2C253A6A" w14:textId="73F75574" w:rsidR="00F83CAF" w:rsidRPr="00AC06F0" w:rsidRDefault="00804630" w:rsidP="00804630">
      <w:pPr>
        <w:rPr>
          <w:rFonts w:ascii="Arial" w:eastAsia="MS Mincho" w:hAnsi="Arial" w:cs="Arial"/>
          <w:sz w:val="20"/>
          <w:szCs w:val="20"/>
        </w:rPr>
      </w:pPr>
      <w:proofErr w:type="gramStart"/>
      <w:r w:rsidRPr="00AC06F0">
        <w:rPr>
          <w:rFonts w:ascii="Arial" w:hAnsi="Arial" w:cs="Arial"/>
          <w:sz w:val="20"/>
          <w:szCs w:val="20"/>
          <w:vertAlign w:val="superscript"/>
        </w:rPr>
        <w:t xml:space="preserve">e </w:t>
      </w:r>
      <w:r w:rsidRPr="00AC06F0">
        <w:rPr>
          <w:rFonts w:ascii="Arial" w:hAnsi="Arial" w:cs="Arial"/>
          <w:color w:val="000000"/>
          <w:sz w:val="20"/>
          <w:szCs w:val="20"/>
        </w:rPr>
        <w:t xml:space="preserve"> Pharmacokinetic</w:t>
      </w:r>
      <w:proofErr w:type="gramEnd"/>
      <w:r w:rsidRPr="00AC06F0">
        <w:rPr>
          <w:rFonts w:ascii="Arial" w:hAnsi="Arial" w:cs="Arial"/>
          <w:color w:val="000000"/>
          <w:sz w:val="20"/>
          <w:szCs w:val="20"/>
        </w:rPr>
        <w:t xml:space="preserve"> parameter values represent steady state.</w:t>
      </w:r>
      <w:bookmarkEnd w:id="16"/>
      <w:bookmarkEnd w:id="17"/>
    </w:p>
    <w:p w14:paraId="003050CB" w14:textId="433B9B78" w:rsidR="001A3992" w:rsidRPr="00071855" w:rsidRDefault="001A3992" w:rsidP="001A3992">
      <w:pPr>
        <w:pStyle w:val="Heading3"/>
        <w:spacing w:before="0" w:after="120"/>
        <w:rPr>
          <w:rFonts w:ascii="Arial" w:hAnsi="Arial" w:cs="Arial"/>
        </w:rPr>
      </w:pPr>
      <w:r w:rsidRPr="00071855">
        <w:rPr>
          <w:rFonts w:ascii="Arial" w:hAnsi="Arial" w:cs="Arial"/>
        </w:rPr>
        <w:t>Absorption</w:t>
      </w:r>
      <w:r w:rsidR="003332D9">
        <w:rPr>
          <w:rFonts w:ascii="Arial" w:hAnsi="Arial" w:cs="Arial"/>
        </w:rPr>
        <w:fldChar w:fldCharType="begin"/>
      </w:r>
      <w:r w:rsidR="003332D9">
        <w:rPr>
          <w:rFonts w:ascii="Arial" w:hAnsi="Arial" w:cs="Arial"/>
        </w:rPr>
        <w:instrText xml:space="preserve"> DOCVARIABLE vault_nd_375cabb6-7f8b-44cb-9205-a9b66f734269 \* MERGEFORMAT </w:instrText>
      </w:r>
      <w:r w:rsidR="003332D9">
        <w:rPr>
          <w:rFonts w:ascii="Arial" w:hAnsi="Arial" w:cs="Arial"/>
        </w:rPr>
        <w:fldChar w:fldCharType="separate"/>
      </w:r>
      <w:r w:rsidR="003332D9">
        <w:rPr>
          <w:rFonts w:ascii="Arial" w:hAnsi="Arial" w:cs="Arial"/>
        </w:rPr>
        <w:t xml:space="preserve"> </w:t>
      </w:r>
      <w:r w:rsidR="003332D9">
        <w:rPr>
          <w:rFonts w:ascii="Arial" w:hAnsi="Arial" w:cs="Arial"/>
        </w:rPr>
        <w:fldChar w:fldCharType="end"/>
      </w:r>
    </w:p>
    <w:p w14:paraId="1DAB1BAE" w14:textId="77777777" w:rsidR="00DF2073" w:rsidRDefault="00804630" w:rsidP="00476AFF">
      <w:pPr>
        <w:rPr>
          <w:rFonts w:ascii="Arial" w:hAnsi="Arial" w:cs="Arial"/>
          <w:iCs/>
          <w:u w:val="single"/>
        </w:rPr>
      </w:pPr>
      <w:r w:rsidRPr="00804630">
        <w:rPr>
          <w:rFonts w:ascii="Arial" w:hAnsi="Arial" w:cs="Arial"/>
          <w:iCs/>
          <w:u w:val="single"/>
        </w:rPr>
        <w:t>Film-coated tablets</w:t>
      </w:r>
    </w:p>
    <w:p w14:paraId="018B7BF6" w14:textId="522CD9C4" w:rsidR="00476AFF" w:rsidRPr="00DF2073" w:rsidRDefault="00476AFF" w:rsidP="00476AFF">
      <w:pPr>
        <w:rPr>
          <w:rFonts w:ascii="Arial" w:hAnsi="Arial" w:cs="Arial"/>
          <w:iCs/>
          <w:u w:val="single"/>
        </w:rPr>
      </w:pPr>
      <w:r w:rsidRPr="00476AFF">
        <w:rPr>
          <w:rFonts w:ascii="Arial" w:eastAsia="MS Mincho" w:hAnsi="Arial" w:cs="Arial"/>
        </w:rPr>
        <w:t xml:space="preserve">Cabotegravir </w:t>
      </w:r>
      <w:r w:rsidRPr="00476AFF">
        <w:rPr>
          <w:rFonts w:ascii="Arial" w:eastAsia="MS Mincho" w:hAnsi="Arial" w:cs="Arial"/>
          <w:lang w:eastAsia="x-none"/>
        </w:rPr>
        <w:t xml:space="preserve">is rapidly absorbed following oral administration, with median </w:t>
      </w:r>
      <w:proofErr w:type="spellStart"/>
      <w:r w:rsidRPr="00476AFF">
        <w:rPr>
          <w:rFonts w:ascii="Arial" w:eastAsia="MS Mincho" w:hAnsi="Arial" w:cs="Arial"/>
          <w:lang w:eastAsia="x-none"/>
        </w:rPr>
        <w:t>T</w:t>
      </w:r>
      <w:r w:rsidRPr="00476AFF">
        <w:rPr>
          <w:rFonts w:ascii="Arial" w:eastAsia="MS Mincho" w:hAnsi="Arial" w:cs="Arial"/>
          <w:vertAlign w:val="subscript"/>
          <w:lang w:eastAsia="x-none"/>
        </w:rPr>
        <w:t>max</w:t>
      </w:r>
      <w:proofErr w:type="spellEnd"/>
      <w:r w:rsidRPr="00476AFF">
        <w:rPr>
          <w:rFonts w:ascii="Arial" w:eastAsia="MS Mincho" w:hAnsi="Arial" w:cs="Arial"/>
          <w:lang w:eastAsia="x-none"/>
        </w:rPr>
        <w:t xml:space="preserve"> at 3 hours post dose for tablet formulation.</w:t>
      </w:r>
      <w:r w:rsidRPr="00476AFF">
        <w:rPr>
          <w:rFonts w:ascii="Arial" w:hAnsi="Arial" w:cs="Arial"/>
        </w:rPr>
        <w:t xml:space="preserve"> The linearity of cabotegravir pharmacokinetics is dependent on dose and formulation. </w:t>
      </w:r>
      <w:r w:rsidRPr="00476AFF">
        <w:rPr>
          <w:rFonts w:ascii="Arial" w:eastAsia="MS Mincho" w:hAnsi="Arial" w:cs="Arial"/>
          <w:lang w:eastAsia="x-none"/>
        </w:rPr>
        <w:t xml:space="preserve">Following oral administration of tablet formulations, cabotegravir pharmacokinetics was dose-proportional to slightly less than proportional to dose from 5 mg to 60 mg. With once daily dosing, pharmacokinetic </w:t>
      </w:r>
      <w:proofErr w:type="gramStart"/>
      <w:r w:rsidRPr="00476AFF">
        <w:rPr>
          <w:rFonts w:ascii="Arial" w:eastAsia="MS Mincho" w:hAnsi="Arial" w:cs="Arial"/>
          <w:lang w:eastAsia="x-none"/>
        </w:rPr>
        <w:t>steady-state</w:t>
      </w:r>
      <w:proofErr w:type="gramEnd"/>
      <w:r w:rsidRPr="00476AFF">
        <w:rPr>
          <w:rFonts w:ascii="Arial" w:eastAsia="MS Mincho" w:hAnsi="Arial" w:cs="Arial"/>
          <w:lang w:eastAsia="x-none"/>
        </w:rPr>
        <w:t xml:space="preserve"> is achieved by 7 days.</w:t>
      </w:r>
    </w:p>
    <w:p w14:paraId="5F1F2C96" w14:textId="3A505A8C" w:rsidR="00476AFF" w:rsidRPr="00476AFF" w:rsidRDefault="00476AFF" w:rsidP="00476AFF">
      <w:pPr>
        <w:rPr>
          <w:rFonts w:ascii="Arial" w:eastAsia="MS Mincho" w:hAnsi="Arial" w:cs="Arial"/>
          <w:lang w:eastAsia="en-GB"/>
        </w:rPr>
      </w:pPr>
      <w:r w:rsidRPr="00476AFF">
        <w:rPr>
          <w:rFonts w:ascii="Arial" w:hAnsi="Arial" w:cs="Arial"/>
        </w:rPr>
        <w:t>Cabot</w:t>
      </w:r>
      <w:r w:rsidRPr="00476AFF">
        <w:rPr>
          <w:rFonts w:ascii="Arial" w:eastAsia="MS Mincho" w:hAnsi="Arial" w:cs="Arial"/>
        </w:rPr>
        <w:t>egravir may be administered with or without food. Food increased the extent of absorption of cabotegravir. Bioavailability of cabotegravir is independent of meal content: high fat meals increased cabotegravir AUC</w:t>
      </w:r>
      <w:r w:rsidRPr="00476AFF">
        <w:rPr>
          <w:rFonts w:ascii="Arial" w:eastAsia="MS Mincho" w:hAnsi="Arial" w:cs="Arial"/>
          <w:vertAlign w:val="subscript"/>
        </w:rPr>
        <w:t xml:space="preserve"> (0-</w:t>
      </w:r>
      <w:r w:rsidR="004A7D73" w:rsidRPr="00373E85">
        <w:rPr>
          <w:rFonts w:ascii="Arial" w:hAnsi="Arial" w:cs="Arial"/>
          <w:vertAlign w:val="subscript"/>
          <w:lang w:val="en"/>
        </w:rPr>
        <w:sym w:font="Symbol" w:char="F0A5"/>
      </w:r>
      <w:r w:rsidRPr="00476AFF">
        <w:rPr>
          <w:rFonts w:ascii="Arial" w:eastAsia="MS Mincho" w:hAnsi="Arial" w:cs="Arial"/>
          <w:vertAlign w:val="subscript"/>
        </w:rPr>
        <w:t>)</w:t>
      </w:r>
      <w:r w:rsidRPr="00476AFF">
        <w:rPr>
          <w:rFonts w:ascii="Arial" w:eastAsia="MS Mincho" w:hAnsi="Arial" w:cs="Arial"/>
        </w:rPr>
        <w:t xml:space="preserve"> by 14% and increased </w:t>
      </w:r>
      <w:proofErr w:type="spellStart"/>
      <w:r w:rsidRPr="00476AFF">
        <w:rPr>
          <w:rFonts w:ascii="Arial" w:eastAsia="MS Mincho" w:hAnsi="Arial" w:cs="Arial"/>
        </w:rPr>
        <w:t>C</w:t>
      </w:r>
      <w:r w:rsidRPr="00476AFF">
        <w:rPr>
          <w:rFonts w:ascii="Arial" w:eastAsia="MS Mincho" w:hAnsi="Arial" w:cs="Arial"/>
          <w:vertAlign w:val="subscript"/>
        </w:rPr>
        <w:t>max</w:t>
      </w:r>
      <w:proofErr w:type="spellEnd"/>
      <w:r w:rsidRPr="00476AFF">
        <w:rPr>
          <w:rFonts w:ascii="Arial" w:eastAsia="MS Mincho" w:hAnsi="Arial" w:cs="Arial"/>
        </w:rPr>
        <w:t xml:space="preserve"> by 14% relative to fasted conditions. These increases are not clinically significant.</w:t>
      </w:r>
    </w:p>
    <w:p w14:paraId="15DBDACB" w14:textId="69B447B5" w:rsidR="00804630" w:rsidRPr="00476AFF" w:rsidRDefault="00476AFF" w:rsidP="00071855">
      <w:pPr>
        <w:rPr>
          <w:rFonts w:ascii="Arial" w:eastAsia="Times New Roman" w:hAnsi="Arial" w:cs="Arial"/>
        </w:rPr>
      </w:pPr>
      <w:r w:rsidRPr="00476AFF">
        <w:rPr>
          <w:rFonts w:ascii="Arial" w:eastAsia="MS Mincho" w:hAnsi="Arial" w:cs="Arial"/>
        </w:rPr>
        <w:lastRenderedPageBreak/>
        <w:t>The absolute bioavailability of cabotegravir has not been established.</w:t>
      </w:r>
    </w:p>
    <w:p w14:paraId="4235B12A" w14:textId="1C35B4A0" w:rsidR="00DF2073" w:rsidRDefault="00804630" w:rsidP="00DF2073">
      <w:pPr>
        <w:pStyle w:val="Heading3"/>
        <w:ind w:left="0"/>
        <w:rPr>
          <w:rFonts w:ascii="Arial" w:hAnsi="Arial" w:cs="Arial"/>
          <w:b w:val="0"/>
          <w:bCs w:val="0"/>
          <w:u w:val="single"/>
        </w:rPr>
      </w:pPr>
      <w:r w:rsidRPr="00804630">
        <w:rPr>
          <w:rFonts w:ascii="Arial" w:hAnsi="Arial" w:cs="Arial"/>
          <w:b w:val="0"/>
          <w:bCs w:val="0"/>
          <w:u w:val="single"/>
        </w:rPr>
        <w:t>Prolonged-release suspension for injection</w:t>
      </w:r>
      <w:r w:rsidR="003332D9">
        <w:rPr>
          <w:rFonts w:ascii="Arial" w:hAnsi="Arial" w:cs="Arial"/>
          <w:b w:val="0"/>
          <w:bCs w:val="0"/>
          <w:u w:val="single"/>
        </w:rPr>
        <w:fldChar w:fldCharType="begin"/>
      </w:r>
      <w:r w:rsidR="003332D9">
        <w:rPr>
          <w:rFonts w:ascii="Arial" w:hAnsi="Arial" w:cs="Arial"/>
          <w:b w:val="0"/>
          <w:bCs w:val="0"/>
          <w:u w:val="single"/>
        </w:rPr>
        <w:instrText xml:space="preserve"> DOCVARIABLE vault_nd_b11a723f-69a0-4fdc-b684-096388251478 \* MERGEFORMAT </w:instrText>
      </w:r>
      <w:r w:rsidR="003332D9">
        <w:rPr>
          <w:rFonts w:ascii="Arial" w:hAnsi="Arial" w:cs="Arial"/>
          <w:b w:val="0"/>
          <w:bCs w:val="0"/>
          <w:u w:val="single"/>
        </w:rPr>
        <w:fldChar w:fldCharType="separate"/>
      </w:r>
      <w:r w:rsidR="003332D9">
        <w:rPr>
          <w:rFonts w:ascii="Arial" w:hAnsi="Arial" w:cs="Arial"/>
          <w:b w:val="0"/>
          <w:bCs w:val="0"/>
          <w:u w:val="single"/>
        </w:rPr>
        <w:t xml:space="preserve"> </w:t>
      </w:r>
      <w:r w:rsidR="003332D9">
        <w:rPr>
          <w:rFonts w:ascii="Arial" w:hAnsi="Arial" w:cs="Arial"/>
          <w:b w:val="0"/>
          <w:bCs w:val="0"/>
          <w:u w:val="single"/>
        </w:rPr>
        <w:fldChar w:fldCharType="end"/>
      </w:r>
    </w:p>
    <w:p w14:paraId="14E32A26" w14:textId="37AE7265" w:rsidR="00DF2073" w:rsidRPr="00DF2073" w:rsidRDefault="00DF2073" w:rsidP="00DF2073">
      <w:pPr>
        <w:pStyle w:val="Heading3"/>
        <w:ind w:left="0"/>
        <w:rPr>
          <w:rFonts w:ascii="Arial" w:hAnsi="Arial" w:cs="Arial"/>
          <w:b w:val="0"/>
          <w:bCs w:val="0"/>
          <w:u w:val="single"/>
        </w:rPr>
      </w:pPr>
      <w:r w:rsidRPr="00DF2073">
        <w:rPr>
          <w:rFonts w:ascii="Arial" w:hAnsi="Arial" w:cs="Arial"/>
          <w:b w:val="0"/>
          <w:bCs w:val="0"/>
        </w:rPr>
        <w:t xml:space="preserve">Cabotegravir injection exhibits absorption-limited pharmacokinetics because cabotegravir is slowly absorbed into the systemic circulation from the gluteal muscle resulting in sustained plasma concentrations. Following a single 600 mg intramuscular dose, plasma cabotegravir concentrations are detectable on the first day with median cabotegravir concentrations at 4 hours post dose of 0.290 </w:t>
      </w:r>
      <w:r w:rsidRPr="00DF2073">
        <w:rPr>
          <w:rFonts w:ascii="Arial" w:eastAsia="Symbol" w:hAnsi="Arial" w:cs="Arial"/>
          <w:b w:val="0"/>
          <w:bCs w:val="0"/>
        </w:rPr>
        <w:t>m</w:t>
      </w:r>
      <w:r w:rsidRPr="00DF2073">
        <w:rPr>
          <w:rFonts w:ascii="Arial" w:hAnsi="Arial" w:cs="Arial"/>
          <w:b w:val="0"/>
          <w:bCs w:val="0"/>
        </w:rPr>
        <w:t xml:space="preserve">g/mL, which is above </w:t>
      </w:r>
      <w:r w:rsidRPr="00DF2073">
        <w:rPr>
          <w:rFonts w:ascii="Arial" w:hAnsi="Arial" w:cs="Arial"/>
          <w:b w:val="0"/>
          <w:bCs w:val="0"/>
          <w:i/>
          <w:iCs/>
        </w:rPr>
        <w:t>in-vitro</w:t>
      </w:r>
      <w:r w:rsidRPr="00DF2073">
        <w:rPr>
          <w:rFonts w:ascii="Arial" w:hAnsi="Arial" w:cs="Arial"/>
          <w:b w:val="0"/>
          <w:bCs w:val="0"/>
        </w:rPr>
        <w:t xml:space="preserve"> PA-IC</w:t>
      </w:r>
      <w:r w:rsidRPr="004A7D73">
        <w:rPr>
          <w:rFonts w:ascii="Arial" w:hAnsi="Arial" w:cs="Arial"/>
          <w:b w:val="0"/>
          <w:bCs w:val="0"/>
          <w:vertAlign w:val="subscript"/>
        </w:rPr>
        <w:t>90</w:t>
      </w:r>
      <w:r w:rsidRPr="00DF2073">
        <w:rPr>
          <w:rFonts w:ascii="Arial" w:hAnsi="Arial" w:cs="Arial"/>
          <w:b w:val="0"/>
          <w:bCs w:val="0"/>
        </w:rPr>
        <w:t xml:space="preserve"> of 0.166 </w:t>
      </w:r>
      <w:r w:rsidRPr="00DF2073">
        <w:rPr>
          <w:rFonts w:ascii="Arial" w:eastAsia="Symbol" w:hAnsi="Arial" w:cs="Arial"/>
          <w:b w:val="0"/>
          <w:bCs w:val="0"/>
        </w:rPr>
        <w:t>m</w:t>
      </w:r>
      <w:r w:rsidRPr="00DF2073">
        <w:rPr>
          <w:rFonts w:ascii="Arial" w:hAnsi="Arial" w:cs="Arial"/>
          <w:b w:val="0"/>
          <w:bCs w:val="0"/>
        </w:rPr>
        <w:t>g/</w:t>
      </w:r>
      <w:proofErr w:type="gramStart"/>
      <w:r w:rsidRPr="00DF2073">
        <w:rPr>
          <w:rFonts w:ascii="Arial" w:hAnsi="Arial" w:cs="Arial"/>
          <w:b w:val="0"/>
          <w:bCs w:val="0"/>
        </w:rPr>
        <w:t>mL,</w:t>
      </w:r>
      <w:r w:rsidRPr="00DF2073">
        <w:rPr>
          <w:rFonts w:ascii="Arial" w:hAnsi="Arial" w:cs="Arial"/>
          <w:b w:val="0"/>
          <w:bCs w:val="0"/>
          <w:szCs w:val="24"/>
        </w:rPr>
        <w:t xml:space="preserve"> and</w:t>
      </w:r>
      <w:proofErr w:type="gramEnd"/>
      <w:r w:rsidRPr="00DF2073">
        <w:rPr>
          <w:rFonts w:ascii="Arial" w:hAnsi="Arial" w:cs="Arial"/>
          <w:b w:val="0"/>
          <w:bCs w:val="0"/>
          <w:szCs w:val="24"/>
        </w:rPr>
        <w:t xml:space="preserve"> reach maximum plasma concentration with a median </w:t>
      </w:r>
      <w:proofErr w:type="spellStart"/>
      <w:r w:rsidRPr="00DF2073">
        <w:rPr>
          <w:rFonts w:ascii="Arial" w:hAnsi="Arial" w:cs="Arial"/>
          <w:b w:val="0"/>
          <w:bCs w:val="0"/>
          <w:szCs w:val="24"/>
        </w:rPr>
        <w:t>T</w:t>
      </w:r>
      <w:r w:rsidRPr="00DF2073">
        <w:rPr>
          <w:rFonts w:ascii="Arial" w:hAnsi="Arial" w:cs="Arial"/>
          <w:b w:val="0"/>
          <w:bCs w:val="0"/>
          <w:szCs w:val="24"/>
          <w:vertAlign w:val="subscript"/>
        </w:rPr>
        <w:t>max</w:t>
      </w:r>
      <w:proofErr w:type="spellEnd"/>
      <w:r w:rsidRPr="00DF2073">
        <w:rPr>
          <w:rFonts w:ascii="Arial" w:hAnsi="Arial" w:cs="Arial"/>
          <w:b w:val="0"/>
          <w:bCs w:val="0"/>
          <w:szCs w:val="24"/>
        </w:rPr>
        <w:t xml:space="preserve"> of 7 days. </w:t>
      </w:r>
      <w:r w:rsidRPr="00DF2073">
        <w:rPr>
          <w:rFonts w:ascii="Arial" w:hAnsi="Arial" w:cs="Arial"/>
          <w:b w:val="0"/>
          <w:bCs w:val="0"/>
        </w:rPr>
        <w:t xml:space="preserve">Target concentrations are achieved following the initial IM injection (see Table </w:t>
      </w:r>
      <w:r w:rsidR="00C11DB5">
        <w:rPr>
          <w:rFonts w:ascii="Arial" w:hAnsi="Arial" w:cs="Arial"/>
          <w:b w:val="0"/>
          <w:bCs w:val="0"/>
        </w:rPr>
        <w:t>10</w:t>
      </w:r>
      <w:r w:rsidRPr="00DF2073">
        <w:rPr>
          <w:rFonts w:ascii="Arial" w:hAnsi="Arial" w:cs="Arial"/>
          <w:b w:val="0"/>
          <w:bCs w:val="0"/>
        </w:rPr>
        <w:t xml:space="preserve">). </w:t>
      </w:r>
      <w:r w:rsidRPr="00DF2073">
        <w:rPr>
          <w:rFonts w:ascii="Arial" w:hAnsi="Arial" w:cs="Arial"/>
          <w:b w:val="0"/>
          <w:bCs w:val="0"/>
          <w:szCs w:val="24"/>
        </w:rPr>
        <w:t>Cabotegravir has been detected in plasma up to 52 weeks or longer after administration of a single injection.</w:t>
      </w:r>
      <w:r w:rsidR="003332D9">
        <w:rPr>
          <w:rFonts w:ascii="Arial" w:hAnsi="Arial" w:cs="Arial"/>
          <w:b w:val="0"/>
          <w:bCs w:val="0"/>
          <w:szCs w:val="24"/>
        </w:rPr>
        <w:fldChar w:fldCharType="begin"/>
      </w:r>
      <w:r w:rsidR="003332D9">
        <w:rPr>
          <w:rFonts w:ascii="Arial" w:hAnsi="Arial" w:cs="Arial"/>
          <w:b w:val="0"/>
          <w:bCs w:val="0"/>
          <w:szCs w:val="24"/>
        </w:rPr>
        <w:instrText xml:space="preserve"> DOCVARIABLE vault_nd_39802827-a46b-4962-a933-4ff48340c2b7 \* MERGEFORMAT </w:instrText>
      </w:r>
      <w:r w:rsidR="003332D9">
        <w:rPr>
          <w:rFonts w:ascii="Arial" w:hAnsi="Arial" w:cs="Arial"/>
          <w:b w:val="0"/>
          <w:bCs w:val="0"/>
          <w:szCs w:val="24"/>
        </w:rPr>
        <w:fldChar w:fldCharType="separate"/>
      </w:r>
      <w:r w:rsidR="003332D9">
        <w:rPr>
          <w:rFonts w:ascii="Arial" w:hAnsi="Arial" w:cs="Arial"/>
          <w:b w:val="0"/>
          <w:bCs w:val="0"/>
          <w:szCs w:val="24"/>
        </w:rPr>
        <w:t xml:space="preserve"> </w:t>
      </w:r>
      <w:r w:rsidR="003332D9">
        <w:rPr>
          <w:rFonts w:ascii="Arial" w:hAnsi="Arial" w:cs="Arial"/>
          <w:b w:val="0"/>
          <w:bCs w:val="0"/>
          <w:szCs w:val="24"/>
        </w:rPr>
        <w:fldChar w:fldCharType="end"/>
      </w:r>
    </w:p>
    <w:p w14:paraId="7902DC77" w14:textId="68DB7885" w:rsidR="00476AFF" w:rsidRPr="00DF2073" w:rsidRDefault="00DF2073" w:rsidP="00071855">
      <w:pPr>
        <w:rPr>
          <w:rFonts w:ascii="Arial" w:hAnsi="Arial" w:cs="Arial"/>
        </w:rPr>
      </w:pPr>
      <w:r w:rsidRPr="00DF2073">
        <w:rPr>
          <w:rFonts w:ascii="Arial" w:hAnsi="Arial" w:cs="Arial"/>
        </w:rPr>
        <w:t>Plasma CAB exposure increases in proportion or slightly less than in proportion to dose following single and repeat IM injection of doses ranging from 100 to 800 mg.</w:t>
      </w:r>
    </w:p>
    <w:p w14:paraId="6138D0CD" w14:textId="5C5BF548" w:rsidR="001A3992" w:rsidRPr="00071855" w:rsidRDefault="001A3992" w:rsidP="001A3992">
      <w:pPr>
        <w:pStyle w:val="Heading3"/>
        <w:spacing w:before="0" w:after="120"/>
        <w:rPr>
          <w:rFonts w:ascii="Arial" w:hAnsi="Arial" w:cs="Arial"/>
        </w:rPr>
      </w:pPr>
      <w:r w:rsidRPr="00071855">
        <w:rPr>
          <w:rFonts w:ascii="Arial" w:hAnsi="Arial" w:cs="Arial"/>
        </w:rPr>
        <w:t>Distribution</w:t>
      </w:r>
      <w:r w:rsidR="003332D9">
        <w:rPr>
          <w:rFonts w:ascii="Arial" w:hAnsi="Arial" w:cs="Arial"/>
        </w:rPr>
        <w:fldChar w:fldCharType="begin"/>
      </w:r>
      <w:r w:rsidR="003332D9">
        <w:rPr>
          <w:rFonts w:ascii="Arial" w:hAnsi="Arial" w:cs="Arial"/>
        </w:rPr>
        <w:instrText xml:space="preserve"> DOCVARIABLE vault_nd_f7b30b57-d48c-4ba1-8e7d-190eabe6db04 \* MERGEFORMAT </w:instrText>
      </w:r>
      <w:r w:rsidR="003332D9">
        <w:rPr>
          <w:rFonts w:ascii="Arial" w:hAnsi="Arial" w:cs="Arial"/>
        </w:rPr>
        <w:fldChar w:fldCharType="separate"/>
      </w:r>
      <w:r w:rsidR="003332D9">
        <w:rPr>
          <w:rFonts w:ascii="Arial" w:hAnsi="Arial" w:cs="Arial"/>
        </w:rPr>
        <w:t xml:space="preserve"> </w:t>
      </w:r>
      <w:r w:rsidR="003332D9">
        <w:rPr>
          <w:rFonts w:ascii="Arial" w:hAnsi="Arial" w:cs="Arial"/>
        </w:rPr>
        <w:fldChar w:fldCharType="end"/>
      </w:r>
    </w:p>
    <w:p w14:paraId="18B46F33" w14:textId="77777777" w:rsidR="00615801" w:rsidRPr="00615801" w:rsidRDefault="00615801" w:rsidP="00615801">
      <w:pPr>
        <w:spacing w:after="240" w:line="240" w:lineRule="auto"/>
        <w:rPr>
          <w:rFonts w:ascii="Arial" w:eastAsia="Times New Roman" w:hAnsi="Arial" w:cs="Arial"/>
          <w:lang w:val="en-GB" w:eastAsia="en-GB"/>
        </w:rPr>
      </w:pPr>
      <w:r w:rsidRPr="00615801">
        <w:rPr>
          <w:rFonts w:ascii="Arial" w:eastAsia="Times New Roman" w:hAnsi="Arial" w:cs="Arial"/>
          <w:lang w:val="en-GB" w:eastAsia="en-GB"/>
        </w:rPr>
        <w:t xml:space="preserve">Cabotegravir is highly bound (approximately &gt;99%) to human plasma proteins, based on </w:t>
      </w:r>
      <w:r w:rsidRPr="00615801">
        <w:rPr>
          <w:rFonts w:ascii="Arial" w:eastAsia="Times New Roman" w:hAnsi="Arial" w:cs="Arial"/>
          <w:i/>
          <w:lang w:val="en-GB" w:eastAsia="en-GB"/>
        </w:rPr>
        <w:t>in vitro</w:t>
      </w:r>
      <w:r w:rsidRPr="00615801">
        <w:rPr>
          <w:rFonts w:ascii="Arial" w:eastAsia="Times New Roman" w:hAnsi="Arial" w:cs="Arial"/>
          <w:lang w:val="en-GB" w:eastAsia="en-GB"/>
        </w:rPr>
        <w:t xml:space="preserve"> data. Following administration of oral tablets, the mean apparent oral volume of distribution (</w:t>
      </w:r>
      <w:proofErr w:type="spellStart"/>
      <w:r w:rsidRPr="00615801">
        <w:rPr>
          <w:rFonts w:ascii="Arial" w:eastAsia="Times New Roman" w:hAnsi="Arial" w:cs="Arial"/>
          <w:lang w:val="en-GB" w:eastAsia="en-GB"/>
        </w:rPr>
        <w:t>Vz</w:t>
      </w:r>
      <w:proofErr w:type="spellEnd"/>
      <w:r w:rsidRPr="00615801">
        <w:rPr>
          <w:rFonts w:ascii="Arial" w:eastAsia="Times New Roman" w:hAnsi="Arial" w:cs="Arial"/>
          <w:lang w:val="en-GB" w:eastAsia="en-GB"/>
        </w:rPr>
        <w:t xml:space="preserve">/F) in plasma was 12.3 L. In humans, the estimate of plasma cabotegravir </w:t>
      </w:r>
      <w:proofErr w:type="spellStart"/>
      <w:r w:rsidRPr="00615801">
        <w:rPr>
          <w:rFonts w:ascii="Arial" w:eastAsia="Times New Roman" w:hAnsi="Arial" w:cs="Arial"/>
          <w:lang w:val="en-GB" w:eastAsia="en-GB"/>
        </w:rPr>
        <w:t>Vc</w:t>
      </w:r>
      <w:proofErr w:type="spellEnd"/>
      <w:r w:rsidRPr="00615801">
        <w:rPr>
          <w:rFonts w:ascii="Arial" w:eastAsia="Times New Roman" w:hAnsi="Arial" w:cs="Arial"/>
          <w:lang w:val="en-GB" w:eastAsia="en-GB"/>
        </w:rPr>
        <w:t xml:space="preserve">/F was 5.27 L and </w:t>
      </w:r>
      <w:proofErr w:type="spellStart"/>
      <w:r w:rsidRPr="00615801">
        <w:rPr>
          <w:rFonts w:ascii="Arial" w:eastAsia="Times New Roman" w:hAnsi="Arial" w:cs="Arial"/>
          <w:lang w:val="en-GB" w:eastAsia="en-GB"/>
        </w:rPr>
        <w:t>Vp</w:t>
      </w:r>
      <w:proofErr w:type="spellEnd"/>
      <w:r w:rsidRPr="00615801">
        <w:rPr>
          <w:rFonts w:ascii="Arial" w:eastAsia="Times New Roman" w:hAnsi="Arial" w:cs="Arial"/>
          <w:lang w:val="en-GB" w:eastAsia="en-GB"/>
        </w:rPr>
        <w:t>/F was 2.43 L. These volume estimates, along with the assumption of high F, suggest some distribution of cabotegravir to the extracellular space.</w:t>
      </w:r>
    </w:p>
    <w:p w14:paraId="5D1AC11B" w14:textId="77777777" w:rsidR="00615801" w:rsidRPr="00615801" w:rsidRDefault="00615801" w:rsidP="00615801">
      <w:pPr>
        <w:tabs>
          <w:tab w:val="num" w:pos="6282"/>
        </w:tabs>
        <w:spacing w:after="120" w:line="240" w:lineRule="auto"/>
        <w:rPr>
          <w:rFonts w:ascii="Arial" w:eastAsia="Times New Roman" w:hAnsi="Arial" w:cs="Arial"/>
          <w:bCs/>
          <w:lang w:val="en-GB" w:eastAsia="en-GB"/>
        </w:rPr>
      </w:pPr>
      <w:r w:rsidRPr="00615801">
        <w:rPr>
          <w:rFonts w:ascii="Arial" w:eastAsia="Times New Roman" w:hAnsi="Arial" w:cs="Arial"/>
          <w:lang w:val="en-GB" w:eastAsia="en-GB"/>
        </w:rPr>
        <w:t xml:space="preserve">Cabotegravir is present in the female and male genital tract, following a single 3 mL (600 mg) IM injection, as observed in a study in healthy participants (n=15). Median cabotegravir concentrations at Day 3 (the earliest tissue PK sample) were 0.49 </w:t>
      </w:r>
      <w:r w:rsidRPr="00615801">
        <w:rPr>
          <w:rFonts w:ascii="Arial" w:eastAsia="Symbol" w:hAnsi="Arial" w:cs="Arial"/>
          <w:lang w:val="en-GB" w:eastAsia="en-GB"/>
        </w:rPr>
        <w:t>m</w:t>
      </w:r>
      <w:r w:rsidRPr="00615801">
        <w:rPr>
          <w:rFonts w:ascii="Arial" w:eastAsia="Times New Roman" w:hAnsi="Arial" w:cs="Arial"/>
          <w:lang w:val="en-GB" w:eastAsia="en-GB"/>
        </w:rPr>
        <w:t xml:space="preserve">g/mL in cervical tissue, 0.29 </w:t>
      </w:r>
      <w:r w:rsidRPr="00615801">
        <w:rPr>
          <w:rFonts w:ascii="Arial" w:eastAsia="Symbol" w:hAnsi="Arial" w:cs="Arial"/>
          <w:lang w:val="en-GB" w:eastAsia="en-GB"/>
        </w:rPr>
        <w:t>m</w:t>
      </w:r>
      <w:r w:rsidRPr="00615801">
        <w:rPr>
          <w:rFonts w:ascii="Arial" w:eastAsia="Times New Roman" w:hAnsi="Arial" w:cs="Arial"/>
          <w:lang w:val="en-GB" w:eastAsia="en-GB"/>
        </w:rPr>
        <w:t xml:space="preserve">g/mL in cervicovaginal fluid, 0.37 </w:t>
      </w:r>
      <w:r w:rsidRPr="00615801">
        <w:rPr>
          <w:rFonts w:ascii="Arial" w:eastAsia="Symbol" w:hAnsi="Arial" w:cs="Arial"/>
          <w:lang w:val="en-GB" w:eastAsia="en-GB"/>
        </w:rPr>
        <w:t>m</w:t>
      </w:r>
      <w:r w:rsidRPr="00615801">
        <w:rPr>
          <w:rFonts w:ascii="Arial" w:eastAsia="Times New Roman" w:hAnsi="Arial" w:cs="Arial"/>
          <w:lang w:val="en-GB" w:eastAsia="en-GB"/>
        </w:rPr>
        <w:t xml:space="preserve">g/mL in vaginal tissue, 0.32 </w:t>
      </w:r>
      <w:r w:rsidRPr="00615801">
        <w:rPr>
          <w:rFonts w:ascii="Arial" w:eastAsia="Symbol" w:hAnsi="Arial" w:cs="Arial"/>
          <w:lang w:val="en-GB" w:eastAsia="en-GB"/>
        </w:rPr>
        <w:t>m</w:t>
      </w:r>
      <w:r w:rsidRPr="00615801">
        <w:rPr>
          <w:rFonts w:ascii="Arial" w:eastAsia="Times New Roman" w:hAnsi="Arial" w:cs="Arial"/>
          <w:lang w:val="en-GB" w:eastAsia="en-GB"/>
        </w:rPr>
        <w:t xml:space="preserve">g/mL in rectal tissue, and 0.69 </w:t>
      </w:r>
      <w:r w:rsidRPr="00615801">
        <w:rPr>
          <w:rFonts w:ascii="Arial" w:eastAsia="Symbol" w:hAnsi="Arial" w:cs="Arial"/>
          <w:lang w:val="en-GB" w:eastAsia="en-GB"/>
        </w:rPr>
        <w:t>m</w:t>
      </w:r>
      <w:r w:rsidRPr="00615801">
        <w:rPr>
          <w:rFonts w:ascii="Arial" w:eastAsia="Times New Roman" w:hAnsi="Arial" w:cs="Arial"/>
          <w:lang w:val="en-GB" w:eastAsia="en-GB"/>
        </w:rPr>
        <w:t xml:space="preserve">g/mL in rectal fluid, which are above the </w:t>
      </w:r>
      <w:r w:rsidRPr="00615801">
        <w:rPr>
          <w:rFonts w:ascii="Arial" w:eastAsia="Times New Roman" w:hAnsi="Arial" w:cs="Arial"/>
          <w:i/>
          <w:lang w:val="en-GB" w:eastAsia="en-GB"/>
        </w:rPr>
        <w:t>in vitro</w:t>
      </w:r>
      <w:r w:rsidRPr="00615801">
        <w:rPr>
          <w:rFonts w:ascii="Arial" w:eastAsia="Times New Roman" w:hAnsi="Arial" w:cs="Arial"/>
          <w:lang w:val="en-GB" w:eastAsia="en-GB"/>
        </w:rPr>
        <w:t xml:space="preserve"> PA-IC</w:t>
      </w:r>
      <w:r w:rsidRPr="004A7D73">
        <w:rPr>
          <w:rFonts w:ascii="Arial" w:eastAsia="Times New Roman" w:hAnsi="Arial" w:cs="Arial"/>
          <w:vertAlign w:val="subscript"/>
          <w:lang w:val="en-GB" w:eastAsia="en-GB"/>
        </w:rPr>
        <w:t>90</w:t>
      </w:r>
      <w:r w:rsidRPr="00615801">
        <w:rPr>
          <w:rFonts w:ascii="Arial" w:eastAsia="Times New Roman" w:hAnsi="Arial" w:cs="Arial"/>
          <w:lang w:val="en-GB" w:eastAsia="en-GB"/>
        </w:rPr>
        <w:t>.</w:t>
      </w:r>
    </w:p>
    <w:p w14:paraId="6BE624A6" w14:textId="327F5E01" w:rsidR="001A3992" w:rsidRPr="00071855" w:rsidRDefault="001A3992" w:rsidP="001A3992">
      <w:pPr>
        <w:pStyle w:val="Heading3"/>
        <w:spacing w:before="0" w:after="120"/>
        <w:rPr>
          <w:rFonts w:ascii="Arial" w:hAnsi="Arial" w:cs="Arial"/>
        </w:rPr>
      </w:pPr>
      <w:r w:rsidRPr="00071855">
        <w:rPr>
          <w:rFonts w:ascii="Arial" w:hAnsi="Arial" w:cs="Arial"/>
        </w:rPr>
        <w:t>Metabolism</w:t>
      </w:r>
      <w:r w:rsidR="003332D9">
        <w:rPr>
          <w:rFonts w:ascii="Arial" w:hAnsi="Arial" w:cs="Arial"/>
        </w:rPr>
        <w:fldChar w:fldCharType="begin"/>
      </w:r>
      <w:r w:rsidR="003332D9">
        <w:rPr>
          <w:rFonts w:ascii="Arial" w:hAnsi="Arial" w:cs="Arial"/>
        </w:rPr>
        <w:instrText xml:space="preserve"> DOCVARIABLE vault_nd_0fb34f10-9260-43aa-bffe-1976a6c62776 \* MERGEFORMAT </w:instrText>
      </w:r>
      <w:r w:rsidR="003332D9">
        <w:rPr>
          <w:rFonts w:ascii="Arial" w:hAnsi="Arial" w:cs="Arial"/>
        </w:rPr>
        <w:fldChar w:fldCharType="separate"/>
      </w:r>
      <w:r w:rsidR="003332D9">
        <w:rPr>
          <w:rFonts w:ascii="Arial" w:hAnsi="Arial" w:cs="Arial"/>
        </w:rPr>
        <w:t xml:space="preserve"> </w:t>
      </w:r>
      <w:r w:rsidR="003332D9">
        <w:rPr>
          <w:rFonts w:ascii="Arial" w:hAnsi="Arial" w:cs="Arial"/>
        </w:rPr>
        <w:fldChar w:fldCharType="end"/>
      </w:r>
    </w:p>
    <w:p w14:paraId="476BF983" w14:textId="77777777" w:rsidR="008C4A72" w:rsidRPr="008C4A72" w:rsidRDefault="008C4A72" w:rsidP="008C4A72">
      <w:pPr>
        <w:spacing w:after="120"/>
        <w:rPr>
          <w:rFonts w:ascii="Arial" w:hAnsi="Arial" w:cs="Arial"/>
        </w:rPr>
      </w:pPr>
      <w:r w:rsidRPr="008C4A72">
        <w:rPr>
          <w:rFonts w:ascii="Arial" w:eastAsia="MS Mincho" w:hAnsi="Arial" w:cs="Arial"/>
        </w:rPr>
        <w:t>Cabotegravir is primarily metabolised by UGT1A1 with a minor UGT1A9 component. Cabotegravir is the predominant circulating compound in plasma, representing &gt; 90% of plasma total radiocarbon. Following oral administration in humans, cabotegravir is primarily eliminated through metabolism; renal elimination of unchanged cabotegravir is low (&lt;1% of the dose).</w:t>
      </w:r>
      <w:r w:rsidRPr="008C4A72">
        <w:rPr>
          <w:rFonts w:ascii="Arial" w:hAnsi="Arial" w:cs="Arial"/>
        </w:rPr>
        <w:t xml:space="preserve"> Forty-seven percent of the total oral dose is excreted as unchanged cabotegravir in the faeces. </w:t>
      </w:r>
      <w:r w:rsidRPr="008C4A72">
        <w:rPr>
          <w:rFonts w:ascii="Arial" w:eastAsia="MS Mincho" w:hAnsi="Arial" w:cs="Arial"/>
        </w:rPr>
        <w:t xml:space="preserve">It is unknown if all or part of this is due to unabsorbed drug or biliary excretion of the </w:t>
      </w:r>
      <w:proofErr w:type="spellStart"/>
      <w:r w:rsidRPr="008C4A72">
        <w:rPr>
          <w:rFonts w:ascii="Arial" w:eastAsia="MS Mincho" w:hAnsi="Arial" w:cs="Arial"/>
        </w:rPr>
        <w:t>glucuronidate</w:t>
      </w:r>
      <w:proofErr w:type="spellEnd"/>
      <w:r w:rsidRPr="008C4A72">
        <w:rPr>
          <w:rFonts w:ascii="Arial" w:eastAsia="MS Mincho" w:hAnsi="Arial" w:cs="Arial"/>
        </w:rPr>
        <w:t xml:space="preserve"> conjugate, which can be further degraded to form the parent compound in the gut lumen. </w:t>
      </w:r>
      <w:r w:rsidRPr="008C4A72">
        <w:rPr>
          <w:rFonts w:ascii="Arial" w:hAnsi="Arial" w:cs="Arial"/>
        </w:rPr>
        <w:t xml:space="preserve">Cabotegravir was observed to be present in duodenal bile samples. The glucuronic acid metabolite was also present in some but not </w:t>
      </w:r>
      <w:proofErr w:type="gramStart"/>
      <w:r w:rsidRPr="008C4A72">
        <w:rPr>
          <w:rFonts w:ascii="Arial" w:hAnsi="Arial" w:cs="Arial"/>
        </w:rPr>
        <w:t>all of</w:t>
      </w:r>
      <w:proofErr w:type="gramEnd"/>
      <w:r w:rsidRPr="008C4A72">
        <w:rPr>
          <w:rFonts w:ascii="Arial" w:hAnsi="Arial" w:cs="Arial"/>
        </w:rPr>
        <w:t xml:space="preserve"> the duodenal bile samples. Twenty-seven percent of the total oral dose is excreted in the urine, primarily as a glucuronide metabolite (75% of urine radioactivity, 20% of total dose).</w:t>
      </w:r>
    </w:p>
    <w:p w14:paraId="1382CFBD" w14:textId="2C8612C7" w:rsidR="001A3992" w:rsidRDefault="001A3992" w:rsidP="00445D44">
      <w:pPr>
        <w:pStyle w:val="Heading3"/>
        <w:pageBreakBefore/>
        <w:spacing w:before="0" w:after="120"/>
        <w:rPr>
          <w:rFonts w:ascii="Arial" w:hAnsi="Arial" w:cs="Arial"/>
        </w:rPr>
      </w:pPr>
      <w:r w:rsidRPr="00071855">
        <w:rPr>
          <w:rFonts w:ascii="Arial" w:hAnsi="Arial" w:cs="Arial"/>
        </w:rPr>
        <w:lastRenderedPageBreak/>
        <w:t>Excretion</w:t>
      </w:r>
      <w:r w:rsidR="003332D9">
        <w:rPr>
          <w:rFonts w:ascii="Arial" w:hAnsi="Arial" w:cs="Arial"/>
        </w:rPr>
        <w:fldChar w:fldCharType="begin"/>
      </w:r>
      <w:r w:rsidR="003332D9">
        <w:rPr>
          <w:rFonts w:ascii="Arial" w:hAnsi="Arial" w:cs="Arial"/>
        </w:rPr>
        <w:instrText xml:space="preserve"> DOCVARIABLE vault_nd_e24a060a-8aaa-40d5-9f1f-ae606dd1ded1 \* MERGEFORMAT </w:instrText>
      </w:r>
      <w:r w:rsidR="003332D9">
        <w:rPr>
          <w:rFonts w:ascii="Arial" w:hAnsi="Arial" w:cs="Arial"/>
        </w:rPr>
        <w:fldChar w:fldCharType="separate"/>
      </w:r>
      <w:r w:rsidR="003332D9">
        <w:rPr>
          <w:rFonts w:ascii="Arial" w:hAnsi="Arial" w:cs="Arial"/>
        </w:rPr>
        <w:t xml:space="preserve"> </w:t>
      </w:r>
      <w:r w:rsidR="003332D9">
        <w:rPr>
          <w:rFonts w:ascii="Arial" w:hAnsi="Arial" w:cs="Arial"/>
        </w:rPr>
        <w:fldChar w:fldCharType="end"/>
      </w:r>
    </w:p>
    <w:p w14:paraId="56BA0778" w14:textId="728F36DD" w:rsidR="00CB094E" w:rsidRDefault="00CB094E" w:rsidP="00CB094E">
      <w:pPr>
        <w:rPr>
          <w:rFonts w:ascii="Arial" w:hAnsi="Arial" w:cs="Arial"/>
          <w:u w:val="single"/>
        </w:rPr>
      </w:pPr>
      <w:r w:rsidRPr="00CB094E">
        <w:rPr>
          <w:rFonts w:ascii="Arial" w:hAnsi="Arial" w:cs="Arial"/>
          <w:u w:val="single"/>
        </w:rPr>
        <w:t>Film-coated tablets</w:t>
      </w:r>
    </w:p>
    <w:p w14:paraId="7B38B01F" w14:textId="34896442" w:rsidR="00CB094E" w:rsidRPr="009C0F7E" w:rsidRDefault="009C0F7E" w:rsidP="00AC06F0">
      <w:pPr>
        <w:keepNext/>
        <w:keepLines/>
        <w:rPr>
          <w:rFonts w:ascii="Arial" w:hAnsi="Arial" w:cs="Arial"/>
        </w:rPr>
      </w:pPr>
      <w:r w:rsidRPr="009C0F7E">
        <w:rPr>
          <w:rFonts w:ascii="Arial" w:hAnsi="Arial" w:cs="Arial"/>
        </w:rPr>
        <w:t>C</w:t>
      </w:r>
      <w:r w:rsidRPr="009C0F7E">
        <w:rPr>
          <w:rFonts w:ascii="Arial" w:eastAsia="MS Mincho" w:hAnsi="Arial" w:cs="Arial"/>
          <w:lang w:eastAsia="x-none"/>
        </w:rPr>
        <w:t xml:space="preserve">abotegravir has a mean terminal </w:t>
      </w:r>
      <w:r w:rsidRPr="009C0F7E">
        <w:rPr>
          <w:rFonts w:ascii="Arial" w:hAnsi="Arial" w:cs="Arial"/>
        </w:rPr>
        <w:t xml:space="preserve">half-life of 41 h and an apparent clearance (CL/F) of </w:t>
      </w:r>
      <w:r w:rsidRPr="009C0F7E">
        <w:rPr>
          <w:rFonts w:ascii="Arial" w:eastAsia="Calibri" w:hAnsi="Arial" w:cs="Arial"/>
        </w:rPr>
        <w:t>0.</w:t>
      </w:r>
      <w:r w:rsidR="0094615D">
        <w:rPr>
          <w:rFonts w:ascii="Arial" w:eastAsia="Calibri" w:hAnsi="Arial" w:cs="Arial"/>
        </w:rPr>
        <w:t>21</w:t>
      </w:r>
      <w:r w:rsidR="00FC7D49">
        <w:rPr>
          <w:rFonts w:ascii="Arial" w:eastAsia="Calibri" w:hAnsi="Arial" w:cs="Arial"/>
        </w:rPr>
        <w:t> </w:t>
      </w:r>
      <w:r w:rsidRPr="009C0F7E">
        <w:rPr>
          <w:rFonts w:ascii="Arial" w:eastAsia="Calibri" w:hAnsi="Arial" w:cs="Arial"/>
        </w:rPr>
        <w:t>L per hour</w:t>
      </w:r>
      <w:r w:rsidR="00AC06F0">
        <w:rPr>
          <w:rFonts w:ascii="Arial" w:eastAsia="Calibri" w:hAnsi="Arial" w:cs="Arial"/>
        </w:rPr>
        <w:t xml:space="preserve"> </w:t>
      </w:r>
      <w:r w:rsidR="00E06DB1">
        <w:rPr>
          <w:rFonts w:ascii="Arial" w:eastAsia="Calibri" w:hAnsi="Arial" w:cs="Arial"/>
        </w:rPr>
        <w:t>observed following oral administration in healthy subjects</w:t>
      </w:r>
      <w:r w:rsidRPr="009C0F7E">
        <w:rPr>
          <w:rFonts w:ascii="Arial" w:hAnsi="Arial" w:cs="Arial"/>
        </w:rPr>
        <w:t>.</w:t>
      </w:r>
    </w:p>
    <w:p w14:paraId="210C5E6D" w14:textId="66FB9733" w:rsidR="00CB094E" w:rsidRDefault="00CB094E" w:rsidP="00CB094E">
      <w:pPr>
        <w:pStyle w:val="Heading3"/>
        <w:ind w:left="0"/>
        <w:rPr>
          <w:rFonts w:ascii="Arial" w:hAnsi="Arial" w:cs="Arial"/>
          <w:b w:val="0"/>
          <w:bCs w:val="0"/>
          <w:u w:val="single"/>
        </w:rPr>
      </w:pPr>
      <w:r w:rsidRPr="00804630">
        <w:rPr>
          <w:rFonts w:ascii="Arial" w:hAnsi="Arial" w:cs="Arial"/>
          <w:b w:val="0"/>
          <w:bCs w:val="0"/>
          <w:u w:val="single"/>
        </w:rPr>
        <w:t>Prolonged-release suspension for injection</w:t>
      </w:r>
      <w:r w:rsidR="003332D9">
        <w:rPr>
          <w:rFonts w:ascii="Arial" w:hAnsi="Arial" w:cs="Arial"/>
          <w:b w:val="0"/>
          <w:bCs w:val="0"/>
          <w:u w:val="single"/>
        </w:rPr>
        <w:fldChar w:fldCharType="begin"/>
      </w:r>
      <w:r w:rsidR="003332D9">
        <w:rPr>
          <w:rFonts w:ascii="Arial" w:hAnsi="Arial" w:cs="Arial"/>
          <w:b w:val="0"/>
          <w:bCs w:val="0"/>
          <w:u w:val="single"/>
        </w:rPr>
        <w:instrText xml:space="preserve"> DOCVARIABLE vault_nd_bc32716b-f5fe-4a44-88bf-f9deeca9aa33 \* MERGEFORMAT </w:instrText>
      </w:r>
      <w:r w:rsidR="003332D9">
        <w:rPr>
          <w:rFonts w:ascii="Arial" w:hAnsi="Arial" w:cs="Arial"/>
          <w:b w:val="0"/>
          <w:bCs w:val="0"/>
          <w:u w:val="single"/>
        </w:rPr>
        <w:fldChar w:fldCharType="separate"/>
      </w:r>
      <w:r w:rsidR="003332D9">
        <w:rPr>
          <w:rFonts w:ascii="Arial" w:hAnsi="Arial" w:cs="Arial"/>
          <w:b w:val="0"/>
          <w:bCs w:val="0"/>
          <w:u w:val="single"/>
        </w:rPr>
        <w:t xml:space="preserve"> </w:t>
      </w:r>
      <w:r w:rsidR="003332D9">
        <w:rPr>
          <w:rFonts w:ascii="Arial" w:hAnsi="Arial" w:cs="Arial"/>
          <w:b w:val="0"/>
          <w:bCs w:val="0"/>
          <w:u w:val="single"/>
        </w:rPr>
        <w:fldChar w:fldCharType="end"/>
      </w:r>
    </w:p>
    <w:p w14:paraId="193A7B70" w14:textId="4A66FA6D" w:rsidR="00E056BA" w:rsidRPr="00E056BA" w:rsidRDefault="00E056BA" w:rsidP="00E056BA">
      <w:pPr>
        <w:rPr>
          <w:rFonts w:ascii="Arial" w:hAnsi="Arial" w:cs="Arial"/>
        </w:rPr>
      </w:pPr>
      <w:r w:rsidRPr="00E056BA">
        <w:rPr>
          <w:rFonts w:ascii="Arial" w:eastAsia="MS Mincho" w:hAnsi="Arial" w:cs="Arial"/>
        </w:rPr>
        <w:t xml:space="preserve">Cabotegravir mean apparent terminal phase half-life is absorption-rate limited and is estimated to be 5.6 to 11.5 weeks after a </w:t>
      </w:r>
      <w:r w:rsidRPr="00E056BA">
        <w:rPr>
          <w:rFonts w:ascii="Arial" w:hAnsi="Arial" w:cs="Arial"/>
        </w:rPr>
        <w:t>single dose IM injection. The significantly longer apparent half-life compared to oral administration reflects absorption from the injection site into the systemic circulation. The apparent CL/F was 0.151 L/h.</w:t>
      </w:r>
    </w:p>
    <w:p w14:paraId="012B4427" w14:textId="62CB4E4F" w:rsidR="00CB094E" w:rsidRPr="00B34650" w:rsidRDefault="00B34650" w:rsidP="00B34650">
      <w:pPr>
        <w:pStyle w:val="Heading3"/>
        <w:ind w:left="0"/>
        <w:rPr>
          <w:rFonts w:ascii="Arial" w:hAnsi="Arial" w:cs="Arial"/>
        </w:rPr>
      </w:pPr>
      <w:r w:rsidRPr="00B34650">
        <w:rPr>
          <w:rFonts w:ascii="Arial" w:hAnsi="Arial" w:cs="Arial"/>
        </w:rPr>
        <w:t>Special patient populations</w:t>
      </w:r>
      <w:r w:rsidR="003332D9">
        <w:rPr>
          <w:rFonts w:ascii="Arial" w:hAnsi="Arial" w:cs="Arial"/>
        </w:rPr>
        <w:fldChar w:fldCharType="begin"/>
      </w:r>
      <w:r w:rsidR="003332D9">
        <w:rPr>
          <w:rFonts w:ascii="Arial" w:hAnsi="Arial" w:cs="Arial"/>
        </w:rPr>
        <w:instrText xml:space="preserve"> DOCVARIABLE vault_nd_be61391b-78f0-4e9e-a1cd-8537349a2fef \* MERGEFORMAT </w:instrText>
      </w:r>
      <w:r w:rsidR="003332D9">
        <w:rPr>
          <w:rFonts w:ascii="Arial" w:hAnsi="Arial" w:cs="Arial"/>
        </w:rPr>
        <w:fldChar w:fldCharType="separate"/>
      </w:r>
      <w:r w:rsidR="003332D9">
        <w:rPr>
          <w:rFonts w:ascii="Arial" w:hAnsi="Arial" w:cs="Arial"/>
        </w:rPr>
        <w:t xml:space="preserve"> </w:t>
      </w:r>
      <w:r w:rsidR="003332D9">
        <w:rPr>
          <w:rFonts w:ascii="Arial" w:hAnsi="Arial" w:cs="Arial"/>
        </w:rPr>
        <w:fldChar w:fldCharType="end"/>
      </w:r>
    </w:p>
    <w:p w14:paraId="08F94BBC" w14:textId="77777777" w:rsidR="007470DB" w:rsidRDefault="007470DB" w:rsidP="007470DB">
      <w:pPr>
        <w:pStyle w:val="NoNumHead4"/>
        <w:keepNext w:val="0"/>
        <w:rPr>
          <w:rFonts w:eastAsia="MS Mincho"/>
          <w:b w:val="0"/>
          <w:bCs w:val="0"/>
          <w:u w:val="single"/>
          <w:lang w:val="en-GB"/>
        </w:rPr>
      </w:pPr>
      <w:r w:rsidRPr="007470DB">
        <w:rPr>
          <w:rFonts w:eastAsia="MS Mincho"/>
          <w:b w:val="0"/>
          <w:bCs w:val="0"/>
          <w:u w:val="single"/>
          <w:lang w:val="en-GB"/>
        </w:rPr>
        <w:t>Gender</w:t>
      </w:r>
      <w:r w:rsidRPr="007470DB">
        <w:rPr>
          <w:rFonts w:eastAsia="MS Mincho"/>
          <w:b w:val="0"/>
          <w:bCs w:val="0"/>
          <w:u w:val="single"/>
          <w:lang w:val="en-GB"/>
        </w:rPr>
        <w:fldChar w:fldCharType="begin"/>
      </w:r>
      <w:r w:rsidRPr="007470DB">
        <w:rPr>
          <w:rFonts w:eastAsia="MS Mincho"/>
          <w:b w:val="0"/>
          <w:bCs w:val="0"/>
          <w:u w:val="single"/>
          <w:lang w:val="en-GB"/>
        </w:rPr>
        <w:instrText xml:space="preserve"> DOCVARIABLE vault_nd_a7fef017-6ce5-4be3-b3ec-52134b8e24cc \* MERGEFORMAT </w:instrText>
      </w:r>
      <w:r w:rsidRPr="007470DB">
        <w:rPr>
          <w:rFonts w:eastAsia="MS Mincho"/>
          <w:b w:val="0"/>
          <w:bCs w:val="0"/>
          <w:u w:val="single"/>
          <w:lang w:val="en-GB"/>
        </w:rPr>
        <w:fldChar w:fldCharType="separate"/>
      </w:r>
      <w:r w:rsidRPr="007470DB">
        <w:rPr>
          <w:rFonts w:eastAsia="MS Mincho"/>
          <w:b w:val="0"/>
          <w:bCs w:val="0"/>
          <w:u w:val="single"/>
          <w:lang w:val="en-GB"/>
        </w:rPr>
        <w:t xml:space="preserve"> </w:t>
      </w:r>
      <w:r w:rsidRPr="007470DB">
        <w:rPr>
          <w:rFonts w:eastAsia="MS Mincho"/>
          <w:b w:val="0"/>
          <w:bCs w:val="0"/>
          <w:u w:val="single"/>
          <w:lang w:val="en-GB"/>
        </w:rPr>
        <w:fldChar w:fldCharType="end"/>
      </w:r>
    </w:p>
    <w:p w14:paraId="1A2114E5" w14:textId="1F6564EC" w:rsidR="007470DB" w:rsidRPr="007470DB" w:rsidRDefault="007470DB" w:rsidP="007470DB">
      <w:pPr>
        <w:pStyle w:val="NoNumHead4"/>
        <w:keepNext w:val="0"/>
        <w:rPr>
          <w:rFonts w:eastAsia="MS Mincho"/>
          <w:b w:val="0"/>
          <w:bCs w:val="0"/>
          <w:u w:val="single"/>
          <w:lang w:val="en-GB"/>
        </w:rPr>
      </w:pPr>
      <w:r w:rsidRPr="007470DB">
        <w:rPr>
          <w:b w:val="0"/>
          <w:bCs w:val="0"/>
          <w:iCs/>
          <w:szCs w:val="24"/>
        </w:rPr>
        <w:t xml:space="preserve">Population pharmacokinetic analyses revealed no clinically relevant effect of gender on the exposure of cabotegravir. In addition, </w:t>
      </w:r>
      <w:bookmarkStart w:id="18" w:name="_Hlk70424184"/>
      <w:r w:rsidRPr="007470DB">
        <w:rPr>
          <w:rFonts w:eastAsia="MS Mincho"/>
          <w:b w:val="0"/>
          <w:bCs w:val="0"/>
          <w:szCs w:val="24"/>
        </w:rPr>
        <w:t>no clinically relevant differences in plasma cabotegravir concentrations were observed in the HPTN 083 study by gender, including in cisgender men and transgender women with or without cross-sex hormone therapy use.</w:t>
      </w:r>
      <w:bookmarkEnd w:id="18"/>
      <w:r w:rsidRPr="007470DB">
        <w:rPr>
          <w:b w:val="0"/>
          <w:bCs w:val="0"/>
          <w:iCs/>
          <w:szCs w:val="24"/>
        </w:rPr>
        <w:t xml:space="preserve"> Therefore, no dose adjustment is required on the basis of gender.</w:t>
      </w:r>
      <w:r w:rsidR="003332D9">
        <w:rPr>
          <w:b w:val="0"/>
          <w:bCs w:val="0"/>
          <w:iCs/>
          <w:szCs w:val="24"/>
        </w:rPr>
        <w:fldChar w:fldCharType="begin"/>
      </w:r>
      <w:r w:rsidR="003332D9">
        <w:rPr>
          <w:b w:val="0"/>
          <w:bCs w:val="0"/>
          <w:iCs/>
          <w:szCs w:val="24"/>
        </w:rPr>
        <w:instrText xml:space="preserve"> DOCVARIABLE vault_nd_2c36828e-523f-434e-8de4-5564a9422874 \* MERGEFORMAT </w:instrText>
      </w:r>
      <w:r w:rsidR="003332D9">
        <w:rPr>
          <w:b w:val="0"/>
          <w:bCs w:val="0"/>
          <w:iCs/>
          <w:szCs w:val="24"/>
        </w:rPr>
        <w:fldChar w:fldCharType="separate"/>
      </w:r>
      <w:r w:rsidR="003332D9">
        <w:rPr>
          <w:b w:val="0"/>
          <w:bCs w:val="0"/>
          <w:iCs/>
          <w:szCs w:val="24"/>
        </w:rPr>
        <w:t xml:space="preserve"> </w:t>
      </w:r>
      <w:r w:rsidR="003332D9">
        <w:rPr>
          <w:b w:val="0"/>
          <w:bCs w:val="0"/>
          <w:iCs/>
          <w:szCs w:val="24"/>
        </w:rPr>
        <w:fldChar w:fldCharType="end"/>
      </w:r>
    </w:p>
    <w:p w14:paraId="022B4A65" w14:textId="77777777" w:rsidR="007470DB" w:rsidRPr="007470DB" w:rsidRDefault="007470DB" w:rsidP="007470DB">
      <w:pPr>
        <w:pStyle w:val="NoNumHead4"/>
        <w:keepNext w:val="0"/>
        <w:rPr>
          <w:rFonts w:eastAsia="MS Mincho"/>
          <w:b w:val="0"/>
          <w:bCs w:val="0"/>
          <w:u w:val="single"/>
          <w:lang w:val="en-GB"/>
        </w:rPr>
      </w:pPr>
      <w:r w:rsidRPr="007470DB">
        <w:rPr>
          <w:rFonts w:eastAsia="MS Mincho"/>
          <w:b w:val="0"/>
          <w:bCs w:val="0"/>
          <w:u w:val="single"/>
          <w:lang w:val="en-GB"/>
        </w:rPr>
        <w:t>Race</w:t>
      </w:r>
      <w:r w:rsidRPr="007470DB">
        <w:rPr>
          <w:rFonts w:eastAsia="MS Mincho"/>
          <w:b w:val="0"/>
          <w:bCs w:val="0"/>
          <w:u w:val="single"/>
          <w:lang w:val="en-GB"/>
        </w:rPr>
        <w:fldChar w:fldCharType="begin"/>
      </w:r>
      <w:r w:rsidRPr="007470DB">
        <w:rPr>
          <w:rFonts w:eastAsia="MS Mincho"/>
          <w:b w:val="0"/>
          <w:bCs w:val="0"/>
          <w:u w:val="single"/>
          <w:lang w:val="en-GB"/>
        </w:rPr>
        <w:instrText xml:space="preserve"> DOCVARIABLE vault_nd_760be877-e8dd-4fc2-a69c-01ec85e45928 \* MERGEFORMAT </w:instrText>
      </w:r>
      <w:r w:rsidRPr="007470DB">
        <w:rPr>
          <w:rFonts w:eastAsia="MS Mincho"/>
          <w:b w:val="0"/>
          <w:bCs w:val="0"/>
          <w:u w:val="single"/>
          <w:lang w:val="en-GB"/>
        </w:rPr>
        <w:fldChar w:fldCharType="separate"/>
      </w:r>
      <w:r w:rsidRPr="007470DB">
        <w:rPr>
          <w:rFonts w:eastAsia="MS Mincho"/>
          <w:b w:val="0"/>
          <w:bCs w:val="0"/>
          <w:u w:val="single"/>
          <w:lang w:val="en-GB"/>
        </w:rPr>
        <w:t xml:space="preserve"> </w:t>
      </w:r>
      <w:r w:rsidRPr="007470DB">
        <w:rPr>
          <w:rFonts w:eastAsia="MS Mincho"/>
          <w:b w:val="0"/>
          <w:bCs w:val="0"/>
          <w:u w:val="single"/>
          <w:lang w:val="en-GB"/>
        </w:rPr>
        <w:fldChar w:fldCharType="end"/>
      </w:r>
    </w:p>
    <w:p w14:paraId="51D1B6D1" w14:textId="77777777" w:rsidR="007470DB" w:rsidRPr="007470DB" w:rsidRDefault="007470DB" w:rsidP="007470DB">
      <w:pPr>
        <w:rPr>
          <w:rFonts w:ascii="Arial" w:eastAsia="MS Mincho" w:hAnsi="Arial" w:cs="Arial"/>
          <w:lang w:val="en-GB"/>
        </w:rPr>
      </w:pPr>
      <w:r w:rsidRPr="007470DB">
        <w:rPr>
          <w:rFonts w:ascii="Arial" w:eastAsia="MS Mincho" w:hAnsi="Arial" w:cs="Arial"/>
        </w:rPr>
        <w:t xml:space="preserve">Population pharmacokinetic analyses revealed no clinically relevant effect of race on the exposure of cabotegravir, therefore no dosage adjustment is required </w:t>
      </w:r>
      <w:proofErr w:type="gramStart"/>
      <w:r w:rsidRPr="007470DB">
        <w:rPr>
          <w:rFonts w:ascii="Arial" w:eastAsia="MS Mincho" w:hAnsi="Arial" w:cs="Arial"/>
        </w:rPr>
        <w:t>on the basis of</w:t>
      </w:r>
      <w:proofErr w:type="gramEnd"/>
      <w:r w:rsidRPr="007470DB">
        <w:rPr>
          <w:rFonts w:ascii="Arial" w:eastAsia="MS Mincho" w:hAnsi="Arial" w:cs="Arial"/>
        </w:rPr>
        <w:t xml:space="preserve"> race.</w:t>
      </w:r>
    </w:p>
    <w:p w14:paraId="755F5D9F" w14:textId="77777777" w:rsidR="007470DB" w:rsidRPr="007470DB" w:rsidRDefault="007470DB" w:rsidP="007470DB">
      <w:pPr>
        <w:pStyle w:val="NoNumHead4"/>
        <w:keepNext w:val="0"/>
        <w:rPr>
          <w:rFonts w:eastAsia="MS Mincho"/>
          <w:b w:val="0"/>
          <w:bCs w:val="0"/>
          <w:u w:val="single"/>
          <w:lang w:val="en-GB"/>
        </w:rPr>
      </w:pPr>
      <w:r w:rsidRPr="007470DB">
        <w:rPr>
          <w:rFonts w:eastAsia="MS Mincho"/>
          <w:b w:val="0"/>
          <w:bCs w:val="0"/>
          <w:u w:val="single"/>
          <w:lang w:val="en-GB"/>
        </w:rPr>
        <w:t>BMI</w:t>
      </w:r>
      <w:r w:rsidRPr="007470DB">
        <w:rPr>
          <w:rFonts w:eastAsia="MS Mincho"/>
          <w:b w:val="0"/>
          <w:bCs w:val="0"/>
          <w:u w:val="single"/>
          <w:lang w:val="en-GB"/>
        </w:rPr>
        <w:fldChar w:fldCharType="begin"/>
      </w:r>
      <w:r w:rsidRPr="007470DB">
        <w:rPr>
          <w:rFonts w:eastAsia="MS Mincho"/>
          <w:b w:val="0"/>
          <w:bCs w:val="0"/>
          <w:u w:val="single"/>
          <w:lang w:val="en-GB"/>
        </w:rPr>
        <w:instrText xml:space="preserve"> DOCVARIABLE VAULT_ND_88955513-6d7c-4c98-90e2-d9e0bfb8fa1c \* MERGEFORMAT </w:instrText>
      </w:r>
      <w:r w:rsidRPr="007470DB">
        <w:rPr>
          <w:rFonts w:eastAsia="MS Mincho"/>
          <w:b w:val="0"/>
          <w:bCs w:val="0"/>
          <w:u w:val="single"/>
          <w:lang w:val="en-GB"/>
        </w:rPr>
        <w:fldChar w:fldCharType="separate"/>
      </w:r>
      <w:r w:rsidRPr="007470DB">
        <w:rPr>
          <w:rFonts w:eastAsia="MS Mincho"/>
          <w:b w:val="0"/>
          <w:bCs w:val="0"/>
          <w:u w:val="single"/>
          <w:lang w:val="en-GB"/>
        </w:rPr>
        <w:t xml:space="preserve"> </w:t>
      </w:r>
      <w:r w:rsidRPr="007470DB">
        <w:rPr>
          <w:rFonts w:eastAsia="MS Mincho"/>
          <w:b w:val="0"/>
          <w:bCs w:val="0"/>
          <w:u w:val="single"/>
          <w:lang w:val="en-GB"/>
        </w:rPr>
        <w:fldChar w:fldCharType="end"/>
      </w:r>
    </w:p>
    <w:p w14:paraId="4B7F39CB" w14:textId="184C65F6" w:rsidR="00CB094E" w:rsidRDefault="007470DB" w:rsidP="007470DB">
      <w:pPr>
        <w:rPr>
          <w:rFonts w:ascii="Arial" w:eastAsia="MS Mincho" w:hAnsi="Arial" w:cs="Arial"/>
          <w:b/>
          <w:bCs/>
        </w:rPr>
      </w:pPr>
      <w:r w:rsidRPr="007470DB">
        <w:rPr>
          <w:rFonts w:ascii="Arial" w:eastAsia="MS Mincho" w:hAnsi="Arial" w:cs="Arial"/>
        </w:rPr>
        <w:t xml:space="preserve">Population pharmacokinetic analyses revealed no clinically relevant effect of BMI on the exposure of cabotegravir, therefore no dose adjustment is required </w:t>
      </w:r>
      <w:proofErr w:type="gramStart"/>
      <w:r w:rsidRPr="007470DB">
        <w:rPr>
          <w:rFonts w:ascii="Arial" w:eastAsia="MS Mincho" w:hAnsi="Arial" w:cs="Arial"/>
        </w:rPr>
        <w:t>on the basis of</w:t>
      </w:r>
      <w:proofErr w:type="gramEnd"/>
      <w:r w:rsidRPr="007470DB">
        <w:rPr>
          <w:rFonts w:ascii="Arial" w:eastAsia="MS Mincho" w:hAnsi="Arial" w:cs="Arial"/>
        </w:rPr>
        <w:t xml:space="preserve"> BMI.</w:t>
      </w:r>
      <w:r w:rsidRPr="007470DB">
        <w:rPr>
          <w:rFonts w:ascii="Arial" w:eastAsia="MS Mincho" w:hAnsi="Arial" w:cs="Arial"/>
          <w:b/>
          <w:bCs/>
        </w:rPr>
        <w:fldChar w:fldCharType="begin"/>
      </w:r>
      <w:r w:rsidRPr="007470DB">
        <w:rPr>
          <w:rFonts w:ascii="Arial" w:eastAsia="MS Mincho" w:hAnsi="Arial" w:cs="Arial"/>
        </w:rPr>
        <w:instrText xml:space="preserve"> DOCVARIABLE vault_nd_7f619d2d-a78b-40a4-a639-c72d12bd9e9e \* MERGEFORMAT </w:instrText>
      </w:r>
      <w:r w:rsidRPr="007470DB">
        <w:rPr>
          <w:rFonts w:ascii="Arial" w:eastAsia="MS Mincho" w:hAnsi="Arial" w:cs="Arial"/>
          <w:b/>
          <w:bCs/>
        </w:rPr>
        <w:fldChar w:fldCharType="separate"/>
      </w:r>
      <w:r w:rsidRPr="007470DB">
        <w:rPr>
          <w:rFonts w:ascii="Arial" w:eastAsia="MS Mincho" w:hAnsi="Arial" w:cs="Arial"/>
        </w:rPr>
        <w:t xml:space="preserve"> </w:t>
      </w:r>
      <w:r w:rsidRPr="007470DB">
        <w:rPr>
          <w:rFonts w:ascii="Arial" w:eastAsia="MS Mincho" w:hAnsi="Arial" w:cs="Arial"/>
          <w:b/>
          <w:bCs/>
        </w:rPr>
        <w:fldChar w:fldCharType="end"/>
      </w:r>
    </w:p>
    <w:p w14:paraId="114FCDBF" w14:textId="5C54B298" w:rsidR="00306A2C" w:rsidRPr="00306A2C" w:rsidRDefault="00306A2C" w:rsidP="00217880">
      <w:pPr>
        <w:pStyle w:val="NoNumHead4"/>
        <w:keepNext w:val="0"/>
        <w:rPr>
          <w:rFonts w:eastAsia="MS Mincho"/>
          <w:b w:val="0"/>
          <w:bCs w:val="0"/>
          <w:u w:val="single"/>
          <w:lang w:val="en-GB"/>
        </w:rPr>
      </w:pPr>
      <w:r w:rsidRPr="00306A2C">
        <w:rPr>
          <w:rFonts w:eastAsia="MS Mincho"/>
          <w:b w:val="0"/>
          <w:bCs w:val="0"/>
          <w:u w:val="single"/>
          <w:lang w:val="en-GB"/>
        </w:rPr>
        <w:t>Adolescents</w:t>
      </w:r>
      <w:r w:rsidR="006E7665">
        <w:rPr>
          <w:rFonts w:eastAsia="MS Mincho"/>
          <w:b w:val="0"/>
          <w:bCs w:val="0"/>
          <w:u w:val="single"/>
          <w:lang w:val="en-GB"/>
        </w:rPr>
        <w:t xml:space="preserve"> (aged &gt; 12 years to &lt;18 years)</w:t>
      </w:r>
      <w:r w:rsidRPr="00306A2C">
        <w:rPr>
          <w:rFonts w:eastAsia="MS Mincho"/>
          <w:b w:val="0"/>
          <w:bCs w:val="0"/>
          <w:u w:val="single"/>
          <w:lang w:val="en-GB"/>
        </w:rPr>
        <w:fldChar w:fldCharType="begin"/>
      </w:r>
      <w:r w:rsidRPr="00306A2C">
        <w:rPr>
          <w:rFonts w:eastAsia="MS Mincho"/>
          <w:b w:val="0"/>
          <w:bCs w:val="0"/>
          <w:u w:val="single"/>
          <w:lang w:val="en-GB"/>
        </w:rPr>
        <w:instrText xml:space="preserve"> DOCVARIABLE vault_nd_653ebf63-9139-4a6a-98df-305e8de6c470 \* MERGEFORMAT </w:instrText>
      </w:r>
      <w:r w:rsidRPr="00306A2C">
        <w:rPr>
          <w:rFonts w:eastAsia="MS Mincho"/>
          <w:b w:val="0"/>
          <w:bCs w:val="0"/>
          <w:u w:val="single"/>
          <w:lang w:val="en-GB"/>
        </w:rPr>
        <w:fldChar w:fldCharType="separate"/>
      </w:r>
      <w:r w:rsidRPr="00306A2C">
        <w:rPr>
          <w:rFonts w:eastAsia="MS Mincho"/>
          <w:b w:val="0"/>
          <w:bCs w:val="0"/>
          <w:u w:val="single"/>
          <w:lang w:val="en-GB"/>
        </w:rPr>
        <w:t xml:space="preserve"> </w:t>
      </w:r>
      <w:r w:rsidRPr="00306A2C">
        <w:rPr>
          <w:rFonts w:eastAsia="MS Mincho"/>
          <w:b w:val="0"/>
          <w:bCs w:val="0"/>
          <w:u w:val="single"/>
          <w:lang w:val="en-GB"/>
        </w:rPr>
        <w:fldChar w:fldCharType="end"/>
      </w:r>
    </w:p>
    <w:p w14:paraId="3D94E4F7" w14:textId="77777777" w:rsidR="00306A2C" w:rsidRPr="00306A2C" w:rsidRDefault="00306A2C">
      <w:pPr>
        <w:pStyle w:val="NoNumHead4"/>
        <w:keepNext w:val="0"/>
        <w:rPr>
          <w:rFonts w:eastAsia="MS Mincho"/>
          <w:b w:val="0"/>
          <w:bCs w:val="0"/>
          <w:lang w:val="en-GB"/>
        </w:rPr>
      </w:pPr>
      <w:r w:rsidRPr="00306A2C">
        <w:rPr>
          <w:rFonts w:eastAsia="MS Mincho"/>
          <w:b w:val="0"/>
          <w:lang w:val="en-GB"/>
        </w:rPr>
        <w:t>Population pharmacokinetic analyses revealed no clinically relevant differences in exposure between the HIV-1 infected adolescent and HIV-1 infected and uninfected adult participants from the cabotegravir development programme, therefore, no dosage adjustment is needed for adolescents weighing ≥35 kg.</w:t>
      </w:r>
      <w:r w:rsidRPr="00306A2C">
        <w:rPr>
          <w:rFonts w:eastAsia="MS Mincho"/>
          <w:b w:val="0"/>
          <w:lang w:val="en-GB"/>
        </w:rPr>
        <w:fldChar w:fldCharType="begin"/>
      </w:r>
      <w:r w:rsidRPr="00306A2C">
        <w:rPr>
          <w:rFonts w:eastAsia="MS Mincho"/>
          <w:b w:val="0"/>
          <w:lang w:val="en-GB"/>
        </w:rPr>
        <w:instrText xml:space="preserve"> DOCVARIABLE vault_nd_456570ba-b73c-4787-b149-f5f3a61d0563 \* MERGEFORMAT </w:instrText>
      </w:r>
      <w:r w:rsidRPr="00306A2C">
        <w:rPr>
          <w:rFonts w:eastAsia="MS Mincho"/>
          <w:b w:val="0"/>
          <w:lang w:val="en-GB"/>
        </w:rPr>
        <w:fldChar w:fldCharType="separate"/>
      </w:r>
      <w:r w:rsidRPr="00306A2C">
        <w:rPr>
          <w:rFonts w:eastAsia="MS Mincho"/>
          <w:b w:val="0"/>
          <w:lang w:val="en-GB"/>
        </w:rPr>
        <w:t xml:space="preserve"> </w:t>
      </w:r>
      <w:r w:rsidRPr="00306A2C">
        <w:rPr>
          <w:rFonts w:eastAsia="MS Mincho"/>
          <w:b w:val="0"/>
          <w:lang w:val="en-GB"/>
        </w:rPr>
        <w:fldChar w:fldCharType="end"/>
      </w:r>
    </w:p>
    <w:p w14:paraId="433257C4" w14:textId="616005F2" w:rsidR="00306A2C" w:rsidRPr="00306A2C" w:rsidRDefault="00306A2C" w:rsidP="0045300A">
      <w:pPr>
        <w:keepNext/>
        <w:keepLines/>
        <w:spacing w:before="240" w:after="0"/>
        <w:ind w:left="1440" w:hanging="1440"/>
        <w:rPr>
          <w:rFonts w:ascii="Arial" w:eastAsia="MS Mincho" w:hAnsi="Arial" w:cs="Arial"/>
          <w:b/>
        </w:rPr>
      </w:pPr>
      <w:r w:rsidRPr="00306A2C">
        <w:rPr>
          <w:rFonts w:ascii="Arial" w:eastAsia="SimSun" w:hAnsi="Arial" w:cs="Arial"/>
          <w:b/>
        </w:rPr>
        <w:lastRenderedPageBreak/>
        <w:t xml:space="preserve">Table </w:t>
      </w:r>
      <w:r w:rsidR="00C11DB5">
        <w:rPr>
          <w:rFonts w:ascii="Arial" w:eastAsia="SimSun" w:hAnsi="Arial" w:cs="Arial"/>
          <w:b/>
        </w:rPr>
        <w:t>1</w:t>
      </w:r>
      <w:r w:rsidR="00A53B61">
        <w:rPr>
          <w:rFonts w:ascii="Arial" w:eastAsia="SimSun" w:hAnsi="Arial" w:cs="Arial"/>
          <w:b/>
        </w:rPr>
        <w:t>2</w:t>
      </w:r>
      <w:r w:rsidRPr="00306A2C">
        <w:rPr>
          <w:rFonts w:ascii="Arial" w:eastAsia="SimSun" w:hAnsi="Arial" w:cs="Arial"/>
          <w:b/>
        </w:rPr>
        <w:t xml:space="preserve">. </w:t>
      </w:r>
      <w:r w:rsidRPr="0045300A">
        <w:rPr>
          <w:rFonts w:ascii="Arial" w:eastAsia="SimSun" w:hAnsi="Arial" w:cs="Arial"/>
          <w:b/>
          <w:bCs/>
        </w:rPr>
        <w:t xml:space="preserve">Predicted pharmacokinetic parameters following cabotegravir orally once daily, and initiation and every </w:t>
      </w:r>
      <w:proofErr w:type="gramStart"/>
      <w:r w:rsidRPr="0045300A">
        <w:rPr>
          <w:rFonts w:ascii="Arial" w:eastAsia="SimSun" w:hAnsi="Arial" w:cs="Arial"/>
          <w:b/>
          <w:bCs/>
        </w:rPr>
        <w:t>2 month</w:t>
      </w:r>
      <w:proofErr w:type="gramEnd"/>
      <w:r w:rsidRPr="0045300A">
        <w:rPr>
          <w:rFonts w:ascii="Arial" w:eastAsia="SimSun" w:hAnsi="Arial" w:cs="Arial"/>
          <w:b/>
          <w:bCs/>
        </w:rPr>
        <w:t xml:space="preserve"> continuation intramuscular injections in Adolescent Participants aged 12 to less than 18 years (≥35</w:t>
      </w:r>
      <w:r w:rsidR="00C37027">
        <w:rPr>
          <w:rFonts w:ascii="Arial" w:eastAsia="SimSun" w:hAnsi="Arial" w:cs="Arial"/>
          <w:b/>
          <w:bCs/>
        </w:rPr>
        <w:t> </w:t>
      </w:r>
      <w:r w:rsidRPr="0045300A">
        <w:rPr>
          <w:rFonts w:ascii="Arial" w:eastAsia="SimSun" w:hAnsi="Arial" w:cs="Arial"/>
          <w:b/>
          <w:bCs/>
        </w:rPr>
        <w:t>kg)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745"/>
        <w:gridCol w:w="1711"/>
        <w:gridCol w:w="2092"/>
        <w:gridCol w:w="1955"/>
      </w:tblGrid>
      <w:tr w:rsidR="00306A2C" w:rsidRPr="00306A2C" w14:paraId="2AFCB450" w14:textId="77777777" w:rsidTr="00306A2C">
        <w:trPr>
          <w:cantSplit/>
          <w:trHeight w:val="70"/>
        </w:trPr>
        <w:tc>
          <w:tcPr>
            <w:tcW w:w="839" w:type="pct"/>
            <w:vMerge w:val="restart"/>
            <w:tcBorders>
              <w:top w:val="single" w:sz="4" w:space="0" w:color="auto"/>
              <w:left w:val="single" w:sz="4" w:space="0" w:color="auto"/>
              <w:bottom w:val="single" w:sz="4" w:space="0" w:color="auto"/>
              <w:right w:val="single" w:sz="4" w:space="0" w:color="auto"/>
            </w:tcBorders>
            <w:vAlign w:val="bottom"/>
            <w:hideMark/>
          </w:tcPr>
          <w:p w14:paraId="7D5DD2D7" w14:textId="77777777" w:rsidR="00306A2C" w:rsidRPr="00306A2C" w:rsidRDefault="00306A2C" w:rsidP="0002771E">
            <w:pPr>
              <w:pStyle w:val="tabletextNS"/>
              <w:keepNext/>
              <w:keepLines/>
              <w:jc w:val="center"/>
              <w:rPr>
                <w:rFonts w:ascii="Arial" w:eastAsia="Times New Roman" w:hAnsi="Arial" w:cs="Arial"/>
                <w:b/>
                <w:sz w:val="22"/>
              </w:rPr>
            </w:pPr>
            <w:r w:rsidRPr="00306A2C">
              <w:rPr>
                <w:rFonts w:ascii="Arial" w:hAnsi="Arial" w:cs="Arial"/>
                <w:b/>
                <w:sz w:val="22"/>
              </w:rPr>
              <w:t>Dosing Phase</w:t>
            </w:r>
          </w:p>
        </w:tc>
        <w:tc>
          <w:tcPr>
            <w:tcW w:w="968" w:type="pct"/>
            <w:vMerge w:val="restart"/>
            <w:tcBorders>
              <w:top w:val="single" w:sz="4" w:space="0" w:color="auto"/>
              <w:left w:val="single" w:sz="4" w:space="0" w:color="auto"/>
              <w:bottom w:val="single" w:sz="4" w:space="0" w:color="auto"/>
              <w:right w:val="single" w:sz="4" w:space="0" w:color="auto"/>
            </w:tcBorders>
            <w:vAlign w:val="bottom"/>
            <w:hideMark/>
          </w:tcPr>
          <w:p w14:paraId="136E7DBD" w14:textId="77777777" w:rsidR="00306A2C" w:rsidRPr="00306A2C" w:rsidRDefault="00306A2C" w:rsidP="0002771E">
            <w:pPr>
              <w:pStyle w:val="tabletextNS"/>
              <w:keepNext/>
              <w:keepLines/>
              <w:jc w:val="center"/>
              <w:rPr>
                <w:rFonts w:ascii="Arial" w:hAnsi="Arial" w:cs="Arial"/>
                <w:b/>
                <w:sz w:val="22"/>
              </w:rPr>
            </w:pPr>
            <w:r w:rsidRPr="00306A2C">
              <w:rPr>
                <w:rFonts w:ascii="Arial" w:hAnsi="Arial" w:cs="Arial"/>
                <w:b/>
                <w:sz w:val="22"/>
              </w:rPr>
              <w:t>Dosage Regimen</w:t>
            </w:r>
          </w:p>
        </w:tc>
        <w:tc>
          <w:tcPr>
            <w:tcW w:w="3193" w:type="pct"/>
            <w:gridSpan w:val="3"/>
            <w:tcBorders>
              <w:top w:val="single" w:sz="4" w:space="0" w:color="auto"/>
              <w:left w:val="single" w:sz="4" w:space="0" w:color="auto"/>
              <w:bottom w:val="single" w:sz="4" w:space="0" w:color="auto"/>
              <w:right w:val="single" w:sz="4" w:space="0" w:color="auto"/>
            </w:tcBorders>
            <w:vAlign w:val="bottom"/>
            <w:hideMark/>
          </w:tcPr>
          <w:p w14:paraId="10DA8A6A" w14:textId="77777777" w:rsidR="00306A2C" w:rsidRPr="00306A2C" w:rsidRDefault="00306A2C" w:rsidP="0002771E">
            <w:pPr>
              <w:pStyle w:val="tabletextNS"/>
              <w:keepNext/>
              <w:keepLines/>
              <w:jc w:val="center"/>
              <w:rPr>
                <w:rFonts w:ascii="Arial" w:hAnsi="Arial" w:cs="Arial"/>
                <w:b/>
                <w:sz w:val="22"/>
              </w:rPr>
            </w:pPr>
            <w:r w:rsidRPr="00306A2C">
              <w:rPr>
                <w:rFonts w:ascii="Arial" w:hAnsi="Arial" w:cs="Arial"/>
                <w:b/>
                <w:sz w:val="22"/>
              </w:rPr>
              <w:t>Geometric Mean (5</w:t>
            </w:r>
            <w:r w:rsidRPr="00306A2C">
              <w:rPr>
                <w:rFonts w:ascii="Arial" w:hAnsi="Arial" w:cs="Arial"/>
                <w:b/>
                <w:sz w:val="22"/>
                <w:vertAlign w:val="superscript"/>
              </w:rPr>
              <w:t>th</w:t>
            </w:r>
            <w:r w:rsidRPr="00306A2C">
              <w:rPr>
                <w:rFonts w:ascii="Arial" w:hAnsi="Arial" w:cs="Arial"/>
                <w:b/>
                <w:sz w:val="22"/>
              </w:rPr>
              <w:t>, 95</w:t>
            </w:r>
            <w:r w:rsidRPr="00306A2C">
              <w:rPr>
                <w:rFonts w:ascii="Arial" w:hAnsi="Arial" w:cs="Arial"/>
                <w:b/>
                <w:sz w:val="22"/>
                <w:vertAlign w:val="superscript"/>
              </w:rPr>
              <w:t>th</w:t>
            </w:r>
            <w:r w:rsidRPr="00306A2C">
              <w:rPr>
                <w:rFonts w:ascii="Arial" w:hAnsi="Arial" w:cs="Arial"/>
                <w:b/>
                <w:sz w:val="22"/>
              </w:rPr>
              <w:t xml:space="preserve"> </w:t>
            </w:r>
            <w:proofErr w:type="gramStart"/>
            <w:r w:rsidRPr="00306A2C">
              <w:rPr>
                <w:rFonts w:ascii="Arial" w:hAnsi="Arial" w:cs="Arial"/>
                <w:b/>
                <w:sz w:val="22"/>
              </w:rPr>
              <w:t>Percentile)</w:t>
            </w:r>
            <w:r w:rsidRPr="00306A2C">
              <w:rPr>
                <w:rFonts w:ascii="Arial" w:hAnsi="Arial" w:cs="Arial"/>
                <w:b/>
                <w:sz w:val="22"/>
                <w:vertAlign w:val="superscript"/>
              </w:rPr>
              <w:t>a</w:t>
            </w:r>
            <w:proofErr w:type="gramEnd"/>
          </w:p>
        </w:tc>
      </w:tr>
      <w:tr w:rsidR="00306A2C" w:rsidRPr="00306A2C" w14:paraId="0AF6B808" w14:textId="77777777" w:rsidTr="00306A2C">
        <w:trPr>
          <w:cantSplit/>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E368E" w14:textId="77777777" w:rsidR="00306A2C" w:rsidRPr="00306A2C" w:rsidRDefault="00306A2C" w:rsidP="003817BE">
            <w:pPr>
              <w:keepNext/>
              <w:keepLines/>
              <w:spacing w:after="0"/>
              <w:rPr>
                <w:rFonts w:ascii="Arial" w:hAnsi="Arial" w:cs="Arial"/>
                <w:b/>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FC917" w14:textId="77777777" w:rsidR="00306A2C" w:rsidRPr="00306A2C" w:rsidRDefault="00306A2C" w:rsidP="003817BE">
            <w:pPr>
              <w:keepNext/>
              <w:keepLines/>
              <w:spacing w:after="0"/>
              <w:rPr>
                <w:rFonts w:ascii="Arial" w:hAnsi="Arial" w:cs="Arial"/>
                <w:b/>
                <w:lang w:val="en-GB" w:eastAsia="en-GB"/>
              </w:rPr>
            </w:pPr>
          </w:p>
        </w:tc>
        <w:tc>
          <w:tcPr>
            <w:tcW w:w="949" w:type="pct"/>
            <w:tcBorders>
              <w:top w:val="single" w:sz="4" w:space="0" w:color="auto"/>
              <w:left w:val="single" w:sz="4" w:space="0" w:color="auto"/>
              <w:bottom w:val="single" w:sz="4" w:space="0" w:color="auto"/>
              <w:right w:val="single" w:sz="4" w:space="0" w:color="auto"/>
            </w:tcBorders>
            <w:vAlign w:val="bottom"/>
            <w:hideMark/>
          </w:tcPr>
          <w:p w14:paraId="6FF25995" w14:textId="77777777" w:rsidR="00306A2C" w:rsidRPr="00306A2C" w:rsidRDefault="00306A2C" w:rsidP="0002771E">
            <w:pPr>
              <w:pStyle w:val="tabletextNS"/>
              <w:keepNext/>
              <w:keepLines/>
              <w:jc w:val="center"/>
              <w:rPr>
                <w:rFonts w:ascii="Arial" w:hAnsi="Arial" w:cs="Arial"/>
                <w:b/>
                <w:sz w:val="22"/>
              </w:rPr>
            </w:pPr>
            <w:r w:rsidRPr="00306A2C">
              <w:rPr>
                <w:rFonts w:ascii="Arial" w:hAnsi="Arial" w:cs="Arial"/>
                <w:b/>
                <w:sz w:val="22"/>
              </w:rPr>
              <w:t>AUC</w:t>
            </w:r>
            <w:r w:rsidRPr="00306A2C">
              <w:rPr>
                <w:rFonts w:ascii="Arial" w:hAnsi="Arial" w:cs="Arial"/>
                <w:b/>
                <w:sz w:val="22"/>
                <w:vertAlign w:val="subscript"/>
              </w:rPr>
              <w:t>(0-</w:t>
            </w:r>
            <w:proofErr w:type="gramStart"/>
            <w:r w:rsidRPr="00306A2C">
              <w:rPr>
                <w:rFonts w:ascii="Arial" w:hAnsi="Arial" w:cs="Arial"/>
                <w:b/>
                <w:sz w:val="22"/>
                <w:vertAlign w:val="subscript"/>
              </w:rPr>
              <w:t>tau)</w:t>
            </w:r>
            <w:r w:rsidRPr="00306A2C">
              <w:rPr>
                <w:rFonts w:ascii="Arial" w:hAnsi="Arial" w:cs="Arial"/>
                <w:b/>
                <w:sz w:val="22"/>
                <w:vertAlign w:val="superscript"/>
              </w:rPr>
              <w:t>b</w:t>
            </w:r>
            <w:proofErr w:type="gramEnd"/>
            <w:r w:rsidRPr="00306A2C">
              <w:rPr>
                <w:rFonts w:ascii="Arial" w:hAnsi="Arial" w:cs="Arial"/>
                <w:b/>
                <w:sz w:val="22"/>
              </w:rPr>
              <w:br/>
              <w:t>(µ</w:t>
            </w:r>
            <w:proofErr w:type="spellStart"/>
            <w:r w:rsidRPr="00306A2C">
              <w:rPr>
                <w:rFonts w:ascii="Arial" w:hAnsi="Arial" w:cs="Arial"/>
                <w:b/>
                <w:sz w:val="22"/>
              </w:rPr>
              <w:t>g•h</w:t>
            </w:r>
            <w:proofErr w:type="spellEnd"/>
            <w:r w:rsidRPr="00306A2C">
              <w:rPr>
                <w:rFonts w:ascii="Arial" w:hAnsi="Arial" w:cs="Arial"/>
                <w:b/>
                <w:sz w:val="22"/>
              </w:rPr>
              <w:t>/mL)</w:t>
            </w:r>
          </w:p>
        </w:tc>
        <w:tc>
          <w:tcPr>
            <w:tcW w:w="1160" w:type="pct"/>
            <w:tcBorders>
              <w:top w:val="single" w:sz="4" w:space="0" w:color="auto"/>
              <w:left w:val="single" w:sz="4" w:space="0" w:color="auto"/>
              <w:bottom w:val="single" w:sz="4" w:space="0" w:color="auto"/>
              <w:right w:val="single" w:sz="4" w:space="0" w:color="auto"/>
            </w:tcBorders>
            <w:vAlign w:val="bottom"/>
            <w:hideMark/>
          </w:tcPr>
          <w:p w14:paraId="3F63AE5A" w14:textId="77777777" w:rsidR="00306A2C" w:rsidRPr="00306A2C" w:rsidRDefault="00306A2C" w:rsidP="0002771E">
            <w:pPr>
              <w:pStyle w:val="tabletextNS"/>
              <w:keepNext/>
              <w:keepLines/>
              <w:jc w:val="center"/>
              <w:rPr>
                <w:rFonts w:ascii="Arial" w:hAnsi="Arial" w:cs="Arial"/>
                <w:b/>
                <w:sz w:val="22"/>
              </w:rPr>
            </w:pPr>
            <w:proofErr w:type="spellStart"/>
            <w:r w:rsidRPr="00306A2C">
              <w:rPr>
                <w:rFonts w:ascii="Arial" w:hAnsi="Arial" w:cs="Arial"/>
                <w:b/>
                <w:sz w:val="22"/>
              </w:rPr>
              <w:t>C</w:t>
            </w:r>
            <w:r w:rsidRPr="00306A2C">
              <w:rPr>
                <w:rFonts w:ascii="Arial" w:hAnsi="Arial" w:cs="Arial"/>
                <w:b/>
                <w:sz w:val="22"/>
                <w:vertAlign w:val="subscript"/>
              </w:rPr>
              <w:t>max</w:t>
            </w:r>
            <w:proofErr w:type="spellEnd"/>
            <w:r w:rsidRPr="00306A2C">
              <w:rPr>
                <w:rFonts w:ascii="Arial" w:hAnsi="Arial" w:cs="Arial"/>
                <w:b/>
                <w:sz w:val="22"/>
              </w:rPr>
              <w:br/>
              <w:t>(µg/mL)</w:t>
            </w:r>
          </w:p>
        </w:tc>
        <w:tc>
          <w:tcPr>
            <w:tcW w:w="1084" w:type="pct"/>
            <w:tcBorders>
              <w:top w:val="single" w:sz="4" w:space="0" w:color="auto"/>
              <w:left w:val="single" w:sz="4" w:space="0" w:color="auto"/>
              <w:bottom w:val="single" w:sz="4" w:space="0" w:color="auto"/>
              <w:right w:val="single" w:sz="4" w:space="0" w:color="auto"/>
            </w:tcBorders>
            <w:vAlign w:val="bottom"/>
            <w:hideMark/>
          </w:tcPr>
          <w:p w14:paraId="6E248B09" w14:textId="77777777" w:rsidR="00306A2C" w:rsidRPr="00306A2C" w:rsidRDefault="00306A2C" w:rsidP="0002771E">
            <w:pPr>
              <w:pStyle w:val="tabletextNS"/>
              <w:keepNext/>
              <w:keepLines/>
              <w:jc w:val="center"/>
              <w:rPr>
                <w:rFonts w:ascii="Arial" w:hAnsi="Arial" w:cs="Arial"/>
                <w:b/>
                <w:sz w:val="22"/>
              </w:rPr>
            </w:pPr>
            <w:r w:rsidRPr="00306A2C">
              <w:rPr>
                <w:rFonts w:ascii="Arial" w:hAnsi="Arial" w:cs="Arial"/>
                <w:b/>
                <w:sz w:val="22"/>
              </w:rPr>
              <w:t>C</w:t>
            </w:r>
            <w:r w:rsidRPr="00306A2C">
              <w:rPr>
                <w:rFonts w:ascii="Arial" w:hAnsi="Arial" w:cs="Arial"/>
                <w:b/>
                <w:sz w:val="22"/>
                <w:vertAlign w:val="subscript"/>
              </w:rPr>
              <w:t>tau</w:t>
            </w:r>
            <w:r w:rsidRPr="00306A2C">
              <w:rPr>
                <w:rFonts w:ascii="Arial" w:hAnsi="Arial" w:cs="Arial"/>
                <w:b/>
                <w:sz w:val="22"/>
              </w:rPr>
              <w:br/>
              <w:t>(µg/mL)</w:t>
            </w:r>
          </w:p>
        </w:tc>
      </w:tr>
      <w:tr w:rsidR="00306A2C" w:rsidRPr="00306A2C" w14:paraId="1360FEFF" w14:textId="77777777" w:rsidTr="00306A2C">
        <w:trPr>
          <w:cantSplit/>
          <w:trHeight w:val="217"/>
        </w:trPr>
        <w:tc>
          <w:tcPr>
            <w:tcW w:w="839" w:type="pct"/>
            <w:tcBorders>
              <w:top w:val="single" w:sz="4" w:space="0" w:color="auto"/>
              <w:left w:val="single" w:sz="4" w:space="0" w:color="auto"/>
              <w:bottom w:val="single" w:sz="4" w:space="0" w:color="auto"/>
              <w:right w:val="single" w:sz="4" w:space="0" w:color="auto"/>
            </w:tcBorders>
            <w:vAlign w:val="center"/>
            <w:hideMark/>
          </w:tcPr>
          <w:p w14:paraId="35FEC3C7" w14:textId="77777777" w:rsidR="00306A2C" w:rsidRPr="00306A2C" w:rsidRDefault="00306A2C" w:rsidP="0002771E">
            <w:pPr>
              <w:pStyle w:val="tabletextNS"/>
              <w:keepNext/>
              <w:keepLines/>
              <w:jc w:val="center"/>
              <w:rPr>
                <w:rFonts w:ascii="Arial" w:hAnsi="Arial" w:cs="Arial"/>
                <w:sz w:val="22"/>
              </w:rPr>
            </w:pPr>
            <w:r w:rsidRPr="00306A2C">
              <w:rPr>
                <w:rFonts w:ascii="Arial" w:hAnsi="Arial" w:cs="Arial"/>
                <w:sz w:val="22"/>
              </w:rPr>
              <w:t>Oral lead-</w:t>
            </w:r>
            <w:proofErr w:type="spellStart"/>
            <w:r w:rsidRPr="00306A2C">
              <w:rPr>
                <w:rFonts w:ascii="Arial" w:hAnsi="Arial" w:cs="Arial"/>
                <w:sz w:val="22"/>
              </w:rPr>
              <w:t>in</w:t>
            </w:r>
            <w:r w:rsidRPr="00306A2C">
              <w:rPr>
                <w:rFonts w:ascii="Arial" w:hAnsi="Arial" w:cs="Arial"/>
                <w:sz w:val="22"/>
                <w:vertAlign w:val="superscript"/>
              </w:rPr>
              <w:t>c</w:t>
            </w:r>
            <w:proofErr w:type="spellEnd"/>
          </w:p>
        </w:tc>
        <w:tc>
          <w:tcPr>
            <w:tcW w:w="968" w:type="pct"/>
            <w:tcBorders>
              <w:top w:val="single" w:sz="4" w:space="0" w:color="auto"/>
              <w:left w:val="single" w:sz="4" w:space="0" w:color="auto"/>
              <w:bottom w:val="single" w:sz="4" w:space="0" w:color="auto"/>
              <w:right w:val="single" w:sz="4" w:space="0" w:color="auto"/>
            </w:tcBorders>
            <w:hideMark/>
          </w:tcPr>
          <w:p w14:paraId="09A97DF7" w14:textId="77777777" w:rsidR="00306A2C" w:rsidRPr="00306A2C" w:rsidRDefault="00306A2C" w:rsidP="0002771E">
            <w:pPr>
              <w:pStyle w:val="tabletextNS"/>
              <w:keepNext/>
              <w:keepLines/>
              <w:jc w:val="center"/>
              <w:rPr>
                <w:rFonts w:ascii="Arial" w:hAnsi="Arial" w:cs="Arial"/>
                <w:sz w:val="22"/>
              </w:rPr>
            </w:pPr>
            <w:r w:rsidRPr="00306A2C">
              <w:rPr>
                <w:rFonts w:ascii="Arial" w:hAnsi="Arial" w:cs="Arial"/>
                <w:sz w:val="22"/>
              </w:rPr>
              <w:t xml:space="preserve">30 mg </w:t>
            </w:r>
            <w:r w:rsidRPr="00306A2C">
              <w:rPr>
                <w:rFonts w:ascii="Arial" w:hAnsi="Arial" w:cs="Arial"/>
                <w:sz w:val="22"/>
              </w:rPr>
              <w:br/>
              <w:t>once daily</w:t>
            </w:r>
          </w:p>
        </w:tc>
        <w:tc>
          <w:tcPr>
            <w:tcW w:w="949" w:type="pct"/>
            <w:tcBorders>
              <w:top w:val="single" w:sz="4" w:space="0" w:color="auto"/>
              <w:left w:val="single" w:sz="4" w:space="0" w:color="auto"/>
              <w:bottom w:val="single" w:sz="4" w:space="0" w:color="auto"/>
              <w:right w:val="single" w:sz="4" w:space="0" w:color="auto"/>
            </w:tcBorders>
            <w:vAlign w:val="center"/>
            <w:hideMark/>
          </w:tcPr>
          <w:p w14:paraId="465229F2" w14:textId="77777777" w:rsidR="00306A2C" w:rsidRPr="00306A2C" w:rsidRDefault="00306A2C" w:rsidP="0002771E">
            <w:pPr>
              <w:pStyle w:val="tabletextNS"/>
              <w:keepNext/>
              <w:keepLines/>
              <w:jc w:val="center"/>
              <w:rPr>
                <w:rFonts w:ascii="Arial" w:hAnsi="Arial" w:cs="Arial"/>
                <w:sz w:val="22"/>
              </w:rPr>
            </w:pPr>
            <w:r w:rsidRPr="00306A2C">
              <w:rPr>
                <w:rFonts w:ascii="Arial" w:hAnsi="Arial" w:cs="Arial"/>
                <w:sz w:val="22"/>
              </w:rPr>
              <w:t>193</w:t>
            </w:r>
            <w:r w:rsidRPr="00306A2C">
              <w:rPr>
                <w:rFonts w:ascii="Arial" w:hAnsi="Arial" w:cs="Arial"/>
                <w:sz w:val="22"/>
              </w:rPr>
              <w:br/>
              <w:t>(106, 346)</w:t>
            </w:r>
          </w:p>
        </w:tc>
        <w:tc>
          <w:tcPr>
            <w:tcW w:w="1160" w:type="pct"/>
            <w:tcBorders>
              <w:top w:val="single" w:sz="4" w:space="0" w:color="auto"/>
              <w:left w:val="single" w:sz="4" w:space="0" w:color="auto"/>
              <w:bottom w:val="single" w:sz="4" w:space="0" w:color="auto"/>
              <w:right w:val="single" w:sz="4" w:space="0" w:color="auto"/>
            </w:tcBorders>
            <w:vAlign w:val="center"/>
            <w:hideMark/>
          </w:tcPr>
          <w:p w14:paraId="5920121D" w14:textId="77777777" w:rsidR="00306A2C" w:rsidRPr="00306A2C" w:rsidRDefault="00306A2C" w:rsidP="0002771E">
            <w:pPr>
              <w:pStyle w:val="tabletextNS"/>
              <w:keepNext/>
              <w:keepLines/>
              <w:jc w:val="center"/>
              <w:rPr>
                <w:rFonts w:ascii="Arial" w:hAnsi="Arial" w:cs="Arial"/>
                <w:sz w:val="22"/>
              </w:rPr>
            </w:pPr>
            <w:r w:rsidRPr="00306A2C">
              <w:rPr>
                <w:rFonts w:ascii="Arial" w:hAnsi="Arial" w:cs="Arial"/>
                <w:sz w:val="22"/>
              </w:rPr>
              <w:t>14.4</w:t>
            </w:r>
            <w:r w:rsidRPr="00306A2C">
              <w:rPr>
                <w:rFonts w:ascii="Arial" w:hAnsi="Arial" w:cs="Arial"/>
                <w:sz w:val="22"/>
              </w:rPr>
              <w:br/>
              <w:t>(8.02,25.5)</w:t>
            </w:r>
          </w:p>
        </w:tc>
        <w:tc>
          <w:tcPr>
            <w:tcW w:w="1084" w:type="pct"/>
            <w:tcBorders>
              <w:top w:val="single" w:sz="4" w:space="0" w:color="auto"/>
              <w:left w:val="single" w:sz="4" w:space="0" w:color="auto"/>
              <w:bottom w:val="single" w:sz="4" w:space="0" w:color="auto"/>
              <w:right w:val="single" w:sz="4" w:space="0" w:color="auto"/>
            </w:tcBorders>
            <w:vAlign w:val="center"/>
            <w:hideMark/>
          </w:tcPr>
          <w:p w14:paraId="3E63BD46" w14:textId="77777777" w:rsidR="00306A2C" w:rsidRPr="00306A2C" w:rsidRDefault="00306A2C" w:rsidP="0002771E">
            <w:pPr>
              <w:pStyle w:val="tabletextNS"/>
              <w:keepNext/>
              <w:keepLines/>
              <w:jc w:val="center"/>
              <w:rPr>
                <w:rFonts w:ascii="Arial" w:hAnsi="Arial" w:cs="Arial"/>
                <w:sz w:val="22"/>
              </w:rPr>
            </w:pPr>
            <w:r w:rsidRPr="00306A2C">
              <w:rPr>
                <w:rFonts w:ascii="Arial" w:hAnsi="Arial" w:cs="Arial"/>
                <w:sz w:val="22"/>
              </w:rPr>
              <w:t>5.79</w:t>
            </w:r>
            <w:r w:rsidRPr="00306A2C">
              <w:rPr>
                <w:rFonts w:ascii="Arial" w:hAnsi="Arial" w:cs="Arial"/>
                <w:sz w:val="22"/>
              </w:rPr>
              <w:br/>
              <w:t>(2.48,12.6)</w:t>
            </w:r>
          </w:p>
        </w:tc>
      </w:tr>
      <w:tr w:rsidR="00306A2C" w:rsidRPr="00306A2C" w14:paraId="53FC5C5B" w14:textId="77777777" w:rsidTr="00306A2C">
        <w:trPr>
          <w:cantSplit/>
          <w:trHeight w:val="217"/>
        </w:trPr>
        <w:tc>
          <w:tcPr>
            <w:tcW w:w="839" w:type="pct"/>
            <w:tcBorders>
              <w:top w:val="single" w:sz="4" w:space="0" w:color="auto"/>
              <w:left w:val="single" w:sz="4" w:space="0" w:color="auto"/>
              <w:bottom w:val="single" w:sz="4" w:space="0" w:color="auto"/>
              <w:right w:val="single" w:sz="4" w:space="0" w:color="auto"/>
            </w:tcBorders>
            <w:vAlign w:val="center"/>
            <w:hideMark/>
          </w:tcPr>
          <w:p w14:paraId="0B234AF1" w14:textId="77777777" w:rsidR="00306A2C" w:rsidRPr="00306A2C" w:rsidRDefault="00306A2C" w:rsidP="0002771E">
            <w:pPr>
              <w:pStyle w:val="tabletextNS"/>
              <w:keepNext/>
              <w:keepLines/>
              <w:jc w:val="center"/>
              <w:rPr>
                <w:rFonts w:ascii="Arial" w:hAnsi="Arial" w:cs="Arial"/>
                <w:sz w:val="22"/>
              </w:rPr>
            </w:pPr>
            <w:r w:rsidRPr="00306A2C">
              <w:rPr>
                <w:rFonts w:ascii="Arial" w:hAnsi="Arial" w:cs="Arial"/>
                <w:sz w:val="22"/>
              </w:rPr>
              <w:t xml:space="preserve">Initial </w:t>
            </w:r>
            <w:proofErr w:type="spellStart"/>
            <w:r w:rsidRPr="00306A2C">
              <w:rPr>
                <w:rFonts w:ascii="Arial" w:hAnsi="Arial" w:cs="Arial"/>
                <w:sz w:val="22"/>
              </w:rPr>
              <w:t>injection</w:t>
            </w:r>
            <w:r w:rsidRPr="00306A2C">
              <w:rPr>
                <w:rFonts w:ascii="Arial" w:hAnsi="Arial" w:cs="Arial"/>
                <w:sz w:val="22"/>
                <w:vertAlign w:val="superscript"/>
              </w:rPr>
              <w:t>d</w:t>
            </w:r>
            <w:proofErr w:type="spellEnd"/>
          </w:p>
        </w:tc>
        <w:tc>
          <w:tcPr>
            <w:tcW w:w="968" w:type="pct"/>
            <w:tcBorders>
              <w:top w:val="single" w:sz="4" w:space="0" w:color="auto"/>
              <w:left w:val="single" w:sz="4" w:space="0" w:color="auto"/>
              <w:bottom w:val="single" w:sz="4" w:space="0" w:color="auto"/>
              <w:right w:val="single" w:sz="4" w:space="0" w:color="auto"/>
            </w:tcBorders>
            <w:vAlign w:val="center"/>
            <w:hideMark/>
          </w:tcPr>
          <w:p w14:paraId="63FEABE8" w14:textId="77777777" w:rsidR="00306A2C" w:rsidRPr="00306A2C" w:rsidRDefault="00306A2C" w:rsidP="0002771E">
            <w:pPr>
              <w:pStyle w:val="tabletextNS"/>
              <w:keepNext/>
              <w:keepLines/>
              <w:jc w:val="center"/>
              <w:rPr>
                <w:rFonts w:ascii="Arial" w:hAnsi="Arial" w:cs="Arial"/>
                <w:sz w:val="22"/>
              </w:rPr>
            </w:pPr>
            <w:r w:rsidRPr="00306A2C">
              <w:rPr>
                <w:rFonts w:ascii="Arial" w:hAnsi="Arial" w:cs="Arial"/>
                <w:sz w:val="22"/>
              </w:rPr>
              <w:t>600 mg IM</w:t>
            </w:r>
            <w:r w:rsidRPr="00306A2C">
              <w:rPr>
                <w:rFonts w:ascii="Arial" w:hAnsi="Arial" w:cs="Arial"/>
                <w:sz w:val="22"/>
              </w:rPr>
              <w:br/>
              <w:t>Initial Dose</w:t>
            </w:r>
          </w:p>
        </w:tc>
        <w:tc>
          <w:tcPr>
            <w:tcW w:w="949" w:type="pct"/>
            <w:tcBorders>
              <w:top w:val="single" w:sz="4" w:space="0" w:color="auto"/>
              <w:left w:val="single" w:sz="4" w:space="0" w:color="auto"/>
              <w:bottom w:val="single" w:sz="4" w:space="0" w:color="auto"/>
              <w:right w:val="single" w:sz="4" w:space="0" w:color="auto"/>
            </w:tcBorders>
            <w:vAlign w:val="center"/>
            <w:hideMark/>
          </w:tcPr>
          <w:p w14:paraId="3C15D180" w14:textId="77777777" w:rsidR="00306A2C" w:rsidRPr="00306A2C" w:rsidRDefault="00306A2C" w:rsidP="0002771E">
            <w:pPr>
              <w:pStyle w:val="tabletextNS"/>
              <w:keepNext/>
              <w:keepLines/>
              <w:jc w:val="center"/>
              <w:rPr>
                <w:rFonts w:ascii="Arial" w:hAnsi="Arial" w:cs="Arial"/>
                <w:sz w:val="22"/>
              </w:rPr>
            </w:pPr>
            <w:r w:rsidRPr="00306A2C">
              <w:rPr>
                <w:rFonts w:ascii="Arial" w:hAnsi="Arial" w:cs="Arial"/>
                <w:sz w:val="22"/>
              </w:rPr>
              <w:t>2123</w:t>
            </w:r>
            <w:r w:rsidRPr="00306A2C">
              <w:rPr>
                <w:rFonts w:ascii="Arial" w:hAnsi="Arial" w:cs="Arial"/>
                <w:sz w:val="22"/>
              </w:rPr>
              <w:br/>
              <w:t>(881, 4938)</w:t>
            </w:r>
          </w:p>
        </w:tc>
        <w:tc>
          <w:tcPr>
            <w:tcW w:w="1160" w:type="pct"/>
            <w:tcBorders>
              <w:top w:val="single" w:sz="4" w:space="0" w:color="auto"/>
              <w:left w:val="single" w:sz="4" w:space="0" w:color="auto"/>
              <w:bottom w:val="single" w:sz="4" w:space="0" w:color="auto"/>
              <w:right w:val="single" w:sz="4" w:space="0" w:color="auto"/>
            </w:tcBorders>
            <w:vAlign w:val="center"/>
            <w:hideMark/>
          </w:tcPr>
          <w:p w14:paraId="2C12FCC2" w14:textId="77777777" w:rsidR="00306A2C" w:rsidRPr="00306A2C" w:rsidRDefault="00306A2C" w:rsidP="0002771E">
            <w:pPr>
              <w:pStyle w:val="tabletextNS"/>
              <w:keepNext/>
              <w:keepLines/>
              <w:jc w:val="center"/>
              <w:rPr>
                <w:rFonts w:ascii="Arial" w:hAnsi="Arial" w:cs="Arial"/>
                <w:sz w:val="22"/>
              </w:rPr>
            </w:pPr>
            <w:r w:rsidRPr="00306A2C">
              <w:rPr>
                <w:rFonts w:ascii="Arial" w:hAnsi="Arial" w:cs="Arial"/>
                <w:sz w:val="22"/>
              </w:rPr>
              <w:t>11.2</w:t>
            </w:r>
            <w:r w:rsidRPr="00306A2C">
              <w:rPr>
                <w:rFonts w:ascii="Arial" w:hAnsi="Arial" w:cs="Arial"/>
                <w:sz w:val="22"/>
              </w:rPr>
              <w:br/>
              <w:t>(5.63,21.5)</w:t>
            </w:r>
          </w:p>
        </w:tc>
        <w:tc>
          <w:tcPr>
            <w:tcW w:w="1084" w:type="pct"/>
            <w:tcBorders>
              <w:top w:val="single" w:sz="4" w:space="0" w:color="auto"/>
              <w:left w:val="single" w:sz="4" w:space="0" w:color="auto"/>
              <w:bottom w:val="single" w:sz="4" w:space="0" w:color="auto"/>
              <w:right w:val="single" w:sz="4" w:space="0" w:color="auto"/>
            </w:tcBorders>
            <w:vAlign w:val="center"/>
            <w:hideMark/>
          </w:tcPr>
          <w:p w14:paraId="6F776F79" w14:textId="77777777" w:rsidR="00306A2C" w:rsidRPr="00306A2C" w:rsidRDefault="00306A2C" w:rsidP="0002771E">
            <w:pPr>
              <w:pStyle w:val="tabletextNS"/>
              <w:keepNext/>
              <w:keepLines/>
              <w:jc w:val="center"/>
              <w:rPr>
                <w:rFonts w:ascii="Arial" w:hAnsi="Arial" w:cs="Arial"/>
                <w:sz w:val="22"/>
              </w:rPr>
            </w:pPr>
            <w:r w:rsidRPr="00306A2C">
              <w:rPr>
                <w:rFonts w:ascii="Arial" w:hAnsi="Arial" w:cs="Arial"/>
                <w:sz w:val="22"/>
              </w:rPr>
              <w:t>1.84</w:t>
            </w:r>
            <w:r w:rsidRPr="00306A2C">
              <w:rPr>
                <w:rFonts w:ascii="Arial" w:hAnsi="Arial" w:cs="Arial"/>
                <w:sz w:val="22"/>
              </w:rPr>
              <w:br/>
              <w:t>(0.64,4.52)</w:t>
            </w:r>
          </w:p>
        </w:tc>
      </w:tr>
      <w:tr w:rsidR="00306A2C" w:rsidRPr="00306A2C" w14:paraId="6524561F" w14:textId="77777777" w:rsidTr="00306A2C">
        <w:trPr>
          <w:cantSplit/>
          <w:trHeight w:val="217"/>
        </w:trPr>
        <w:tc>
          <w:tcPr>
            <w:tcW w:w="839" w:type="pct"/>
            <w:tcBorders>
              <w:top w:val="single" w:sz="4" w:space="0" w:color="auto"/>
              <w:left w:val="single" w:sz="4" w:space="0" w:color="auto"/>
              <w:bottom w:val="single" w:sz="4" w:space="0" w:color="auto"/>
              <w:right w:val="single" w:sz="4" w:space="0" w:color="auto"/>
            </w:tcBorders>
            <w:vAlign w:val="center"/>
            <w:hideMark/>
          </w:tcPr>
          <w:p w14:paraId="13700260" w14:textId="77777777" w:rsidR="00306A2C" w:rsidRPr="00306A2C" w:rsidRDefault="00306A2C">
            <w:pPr>
              <w:pStyle w:val="tabletextNS"/>
              <w:keepNext/>
              <w:jc w:val="center"/>
              <w:rPr>
                <w:rFonts w:ascii="Arial" w:hAnsi="Arial" w:cs="Arial"/>
                <w:sz w:val="22"/>
              </w:rPr>
            </w:pPr>
            <w:r w:rsidRPr="00306A2C">
              <w:rPr>
                <w:rFonts w:ascii="Arial" w:hAnsi="Arial" w:cs="Arial"/>
                <w:sz w:val="22"/>
              </w:rPr>
              <w:t xml:space="preserve">Every 2-month </w:t>
            </w:r>
            <w:proofErr w:type="spellStart"/>
            <w:r w:rsidRPr="00306A2C">
              <w:rPr>
                <w:rFonts w:ascii="Arial" w:hAnsi="Arial" w:cs="Arial"/>
                <w:sz w:val="22"/>
              </w:rPr>
              <w:t>injection</w:t>
            </w:r>
            <w:r w:rsidRPr="00306A2C">
              <w:rPr>
                <w:rFonts w:ascii="Arial" w:hAnsi="Arial" w:cs="Arial"/>
                <w:sz w:val="22"/>
                <w:vertAlign w:val="superscript"/>
              </w:rPr>
              <w:t>e</w:t>
            </w:r>
            <w:proofErr w:type="spellEnd"/>
          </w:p>
        </w:tc>
        <w:tc>
          <w:tcPr>
            <w:tcW w:w="968" w:type="pct"/>
            <w:tcBorders>
              <w:top w:val="single" w:sz="4" w:space="0" w:color="auto"/>
              <w:left w:val="single" w:sz="4" w:space="0" w:color="auto"/>
              <w:bottom w:val="single" w:sz="4" w:space="0" w:color="auto"/>
              <w:right w:val="single" w:sz="4" w:space="0" w:color="auto"/>
            </w:tcBorders>
            <w:vAlign w:val="center"/>
            <w:hideMark/>
          </w:tcPr>
          <w:p w14:paraId="4B17E541" w14:textId="77777777" w:rsidR="00306A2C" w:rsidRPr="00306A2C" w:rsidRDefault="00306A2C">
            <w:pPr>
              <w:pStyle w:val="tabletextNS"/>
              <w:keepNext/>
              <w:jc w:val="center"/>
              <w:rPr>
                <w:rFonts w:ascii="Arial" w:hAnsi="Arial" w:cs="Arial"/>
                <w:sz w:val="22"/>
              </w:rPr>
            </w:pPr>
            <w:r w:rsidRPr="00306A2C">
              <w:rPr>
                <w:rFonts w:ascii="Arial" w:hAnsi="Arial" w:cs="Arial"/>
                <w:sz w:val="22"/>
              </w:rPr>
              <w:t>600 mg IM</w:t>
            </w:r>
            <w:r w:rsidRPr="00306A2C">
              <w:rPr>
                <w:rFonts w:ascii="Arial" w:hAnsi="Arial" w:cs="Arial"/>
                <w:sz w:val="22"/>
              </w:rPr>
              <w:br/>
              <w:t>Every 2-month</w:t>
            </w:r>
          </w:p>
        </w:tc>
        <w:tc>
          <w:tcPr>
            <w:tcW w:w="949" w:type="pct"/>
            <w:tcBorders>
              <w:top w:val="single" w:sz="4" w:space="0" w:color="auto"/>
              <w:left w:val="single" w:sz="4" w:space="0" w:color="auto"/>
              <w:bottom w:val="single" w:sz="4" w:space="0" w:color="auto"/>
              <w:right w:val="single" w:sz="4" w:space="0" w:color="auto"/>
            </w:tcBorders>
            <w:vAlign w:val="center"/>
            <w:hideMark/>
          </w:tcPr>
          <w:p w14:paraId="6EC2DA48" w14:textId="77777777" w:rsidR="00306A2C" w:rsidRPr="00306A2C" w:rsidRDefault="00306A2C">
            <w:pPr>
              <w:pStyle w:val="tabletextNS"/>
              <w:jc w:val="center"/>
              <w:rPr>
                <w:rFonts w:ascii="Arial" w:hAnsi="Arial" w:cs="Arial"/>
                <w:sz w:val="22"/>
              </w:rPr>
            </w:pPr>
            <w:r w:rsidRPr="00306A2C">
              <w:rPr>
                <w:rFonts w:ascii="Arial" w:hAnsi="Arial" w:cs="Arial"/>
                <w:sz w:val="22"/>
              </w:rPr>
              <w:t>4871</w:t>
            </w:r>
            <w:r w:rsidRPr="00306A2C">
              <w:rPr>
                <w:rFonts w:ascii="Arial" w:hAnsi="Arial" w:cs="Arial"/>
                <w:sz w:val="22"/>
              </w:rPr>
              <w:br/>
              <w:t>(2827, 8232)</w:t>
            </w:r>
          </w:p>
        </w:tc>
        <w:tc>
          <w:tcPr>
            <w:tcW w:w="1160" w:type="pct"/>
            <w:tcBorders>
              <w:top w:val="single" w:sz="4" w:space="0" w:color="auto"/>
              <w:left w:val="single" w:sz="4" w:space="0" w:color="auto"/>
              <w:bottom w:val="single" w:sz="4" w:space="0" w:color="auto"/>
              <w:right w:val="single" w:sz="4" w:space="0" w:color="auto"/>
            </w:tcBorders>
            <w:vAlign w:val="center"/>
            <w:hideMark/>
          </w:tcPr>
          <w:p w14:paraId="443CFD08" w14:textId="77777777" w:rsidR="00306A2C" w:rsidRPr="00306A2C" w:rsidRDefault="00306A2C">
            <w:pPr>
              <w:pStyle w:val="tabletextNS"/>
              <w:jc w:val="center"/>
              <w:rPr>
                <w:rFonts w:ascii="Arial" w:hAnsi="Arial" w:cs="Arial"/>
                <w:color w:val="000000"/>
                <w:sz w:val="22"/>
              </w:rPr>
            </w:pPr>
            <w:r w:rsidRPr="00306A2C">
              <w:rPr>
                <w:rFonts w:ascii="Arial" w:hAnsi="Arial" w:cs="Arial"/>
                <w:sz w:val="22"/>
              </w:rPr>
              <w:t>7.23</w:t>
            </w:r>
            <w:r w:rsidRPr="00306A2C">
              <w:rPr>
                <w:rFonts w:ascii="Arial" w:hAnsi="Arial" w:cs="Arial"/>
                <w:sz w:val="22"/>
              </w:rPr>
              <w:br/>
              <w:t>(3.76,14.1)</w:t>
            </w:r>
          </w:p>
        </w:tc>
        <w:tc>
          <w:tcPr>
            <w:tcW w:w="1084" w:type="pct"/>
            <w:tcBorders>
              <w:top w:val="single" w:sz="4" w:space="0" w:color="auto"/>
              <w:left w:val="single" w:sz="4" w:space="0" w:color="auto"/>
              <w:bottom w:val="single" w:sz="4" w:space="0" w:color="auto"/>
              <w:right w:val="single" w:sz="4" w:space="0" w:color="auto"/>
            </w:tcBorders>
            <w:vAlign w:val="center"/>
            <w:hideMark/>
          </w:tcPr>
          <w:p w14:paraId="72C405ED" w14:textId="77777777" w:rsidR="00306A2C" w:rsidRPr="00306A2C" w:rsidRDefault="00306A2C">
            <w:pPr>
              <w:pStyle w:val="tabletextNS"/>
              <w:jc w:val="center"/>
              <w:rPr>
                <w:rFonts w:ascii="Arial" w:hAnsi="Arial" w:cs="Arial"/>
                <w:color w:val="000000"/>
                <w:sz w:val="22"/>
              </w:rPr>
            </w:pPr>
            <w:r w:rsidRPr="00306A2C">
              <w:rPr>
                <w:rFonts w:ascii="Arial" w:hAnsi="Arial" w:cs="Arial"/>
                <w:sz w:val="22"/>
              </w:rPr>
              <w:t>2.01</w:t>
            </w:r>
            <w:r w:rsidRPr="00306A2C">
              <w:rPr>
                <w:rFonts w:ascii="Arial" w:hAnsi="Arial" w:cs="Arial"/>
                <w:sz w:val="22"/>
              </w:rPr>
              <w:br/>
              <w:t>(0.64,4.73)</w:t>
            </w:r>
          </w:p>
        </w:tc>
      </w:tr>
    </w:tbl>
    <w:p w14:paraId="3E08DB5F" w14:textId="77777777" w:rsidR="00306A2C" w:rsidRPr="00C37027" w:rsidRDefault="00306A2C" w:rsidP="00306A2C">
      <w:pPr>
        <w:pStyle w:val="tablerefalpha"/>
        <w:numPr>
          <w:ilvl w:val="0"/>
          <w:numId w:val="0"/>
        </w:numPr>
        <w:tabs>
          <w:tab w:val="left" w:pos="720"/>
        </w:tabs>
        <w:ind w:left="144" w:hanging="144"/>
        <w:rPr>
          <w:rFonts w:ascii="Arial" w:hAnsi="Arial" w:cs="Arial"/>
          <w:sz w:val="20"/>
          <w:szCs w:val="20"/>
        </w:rPr>
      </w:pPr>
      <w:r w:rsidRPr="00C37027">
        <w:rPr>
          <w:rFonts w:ascii="Arial" w:hAnsi="Arial" w:cs="Arial"/>
          <w:sz w:val="20"/>
          <w:szCs w:val="20"/>
          <w:vertAlign w:val="superscript"/>
        </w:rPr>
        <w:t>a</w:t>
      </w:r>
      <w:r w:rsidRPr="00C37027">
        <w:rPr>
          <w:rFonts w:ascii="Arial" w:hAnsi="Arial" w:cs="Arial"/>
          <w:sz w:val="20"/>
          <w:szCs w:val="20"/>
        </w:rPr>
        <w:t xml:space="preserve"> Pharmacokinetic (PK) parameter values were based on population PK model simulations in a virtual HIV-1 infected adolescent population weighing 35-156 kg.</w:t>
      </w:r>
    </w:p>
    <w:p w14:paraId="74D4ABDE" w14:textId="77777777" w:rsidR="00306A2C" w:rsidRPr="00C37027" w:rsidRDefault="00306A2C" w:rsidP="00306A2C">
      <w:pPr>
        <w:pStyle w:val="tablerefalpha"/>
        <w:numPr>
          <w:ilvl w:val="0"/>
          <w:numId w:val="0"/>
        </w:numPr>
        <w:tabs>
          <w:tab w:val="left" w:pos="720"/>
        </w:tabs>
        <w:ind w:left="144" w:hanging="144"/>
        <w:rPr>
          <w:rFonts w:ascii="Arial" w:hAnsi="Arial" w:cs="Arial"/>
          <w:sz w:val="20"/>
          <w:szCs w:val="20"/>
        </w:rPr>
      </w:pPr>
      <w:r w:rsidRPr="00C37027">
        <w:rPr>
          <w:rFonts w:ascii="Arial" w:hAnsi="Arial" w:cs="Arial"/>
          <w:sz w:val="20"/>
          <w:szCs w:val="20"/>
          <w:vertAlign w:val="superscript"/>
        </w:rPr>
        <w:t>b</w:t>
      </w:r>
      <w:r w:rsidRPr="00C37027">
        <w:rPr>
          <w:rFonts w:ascii="Arial" w:hAnsi="Arial" w:cs="Arial"/>
          <w:sz w:val="20"/>
          <w:szCs w:val="20"/>
          <w:vertAlign w:val="superscript"/>
        </w:rPr>
        <w:tab/>
      </w:r>
      <w:r w:rsidRPr="00C37027">
        <w:rPr>
          <w:rFonts w:ascii="Arial" w:hAnsi="Arial" w:cs="Arial"/>
          <w:sz w:val="20"/>
          <w:szCs w:val="20"/>
        </w:rPr>
        <w:t>tau is dosing interval: 24 hours for oral administration; 1 month for the initial injection, 2 months for every 2 months for IM injections of extended-release injectable suspension.</w:t>
      </w:r>
    </w:p>
    <w:p w14:paraId="1DD2541E" w14:textId="77777777" w:rsidR="00306A2C" w:rsidRPr="00C37027" w:rsidRDefault="00306A2C" w:rsidP="00306A2C">
      <w:pPr>
        <w:pStyle w:val="tablerefalpha"/>
        <w:numPr>
          <w:ilvl w:val="0"/>
          <w:numId w:val="0"/>
        </w:numPr>
        <w:tabs>
          <w:tab w:val="left" w:pos="720"/>
        </w:tabs>
        <w:ind w:left="144" w:hanging="144"/>
        <w:rPr>
          <w:rFonts w:ascii="Arial" w:hAnsi="Arial" w:cs="Arial"/>
          <w:sz w:val="20"/>
          <w:szCs w:val="20"/>
        </w:rPr>
      </w:pPr>
      <w:r w:rsidRPr="00C37027">
        <w:rPr>
          <w:rFonts w:ascii="Arial" w:hAnsi="Arial" w:cs="Arial"/>
          <w:sz w:val="20"/>
          <w:szCs w:val="20"/>
          <w:vertAlign w:val="superscript"/>
        </w:rPr>
        <w:t>c</w:t>
      </w:r>
      <w:r w:rsidRPr="00C37027">
        <w:rPr>
          <w:rFonts w:ascii="Arial" w:hAnsi="Arial" w:cs="Arial"/>
          <w:sz w:val="20"/>
          <w:szCs w:val="20"/>
        </w:rPr>
        <w:tab/>
        <w:t xml:space="preserve">Oral lead-in pharmacokinetic parameter values represent </w:t>
      </w:r>
      <w:proofErr w:type="gramStart"/>
      <w:r w:rsidRPr="00C37027">
        <w:rPr>
          <w:rFonts w:ascii="Arial" w:hAnsi="Arial" w:cs="Arial"/>
          <w:sz w:val="20"/>
          <w:szCs w:val="20"/>
        </w:rPr>
        <w:t>steady-state</w:t>
      </w:r>
      <w:proofErr w:type="gramEnd"/>
      <w:r w:rsidRPr="00C37027">
        <w:rPr>
          <w:rFonts w:ascii="Arial" w:hAnsi="Arial" w:cs="Arial"/>
          <w:sz w:val="20"/>
          <w:szCs w:val="20"/>
        </w:rPr>
        <w:t>.</w:t>
      </w:r>
    </w:p>
    <w:p w14:paraId="28F1CF1A" w14:textId="77777777" w:rsidR="00306A2C" w:rsidRPr="00C37027" w:rsidRDefault="00306A2C" w:rsidP="00306A2C">
      <w:pPr>
        <w:pStyle w:val="tablerefalpha"/>
        <w:numPr>
          <w:ilvl w:val="0"/>
          <w:numId w:val="0"/>
        </w:numPr>
        <w:tabs>
          <w:tab w:val="left" w:pos="720"/>
        </w:tabs>
        <w:ind w:left="144" w:hanging="144"/>
        <w:rPr>
          <w:rFonts w:ascii="Arial" w:hAnsi="Arial" w:cs="Arial"/>
          <w:sz w:val="20"/>
          <w:szCs w:val="20"/>
        </w:rPr>
      </w:pPr>
      <w:r w:rsidRPr="00C37027">
        <w:rPr>
          <w:rFonts w:ascii="Arial" w:hAnsi="Arial" w:cs="Arial"/>
          <w:sz w:val="20"/>
          <w:szCs w:val="20"/>
          <w:vertAlign w:val="superscript"/>
        </w:rPr>
        <w:t>d</w:t>
      </w:r>
      <w:r w:rsidRPr="00C37027">
        <w:rPr>
          <w:rFonts w:ascii="Arial" w:hAnsi="Arial" w:cs="Arial"/>
          <w:sz w:val="20"/>
          <w:szCs w:val="20"/>
          <w:vertAlign w:val="superscript"/>
        </w:rPr>
        <w:tab/>
      </w:r>
      <w:r w:rsidRPr="00C37027">
        <w:rPr>
          <w:rFonts w:ascii="Arial" w:hAnsi="Arial" w:cs="Arial"/>
          <w:sz w:val="20"/>
          <w:szCs w:val="20"/>
        </w:rPr>
        <w:t xml:space="preserve">Initial injection </w:t>
      </w:r>
      <w:proofErr w:type="spellStart"/>
      <w:r w:rsidRPr="00C37027">
        <w:rPr>
          <w:rFonts w:ascii="Arial" w:hAnsi="Arial" w:cs="Arial"/>
          <w:sz w:val="20"/>
          <w:szCs w:val="20"/>
        </w:rPr>
        <w:t>C</w:t>
      </w:r>
      <w:r w:rsidRPr="00C37027">
        <w:rPr>
          <w:rFonts w:ascii="Arial" w:hAnsi="Arial" w:cs="Arial"/>
          <w:sz w:val="20"/>
          <w:szCs w:val="20"/>
          <w:vertAlign w:val="subscript"/>
        </w:rPr>
        <w:t>max</w:t>
      </w:r>
      <w:proofErr w:type="spellEnd"/>
      <w:r w:rsidRPr="00C37027">
        <w:rPr>
          <w:rFonts w:ascii="Arial" w:hAnsi="Arial" w:cs="Arial"/>
          <w:sz w:val="20"/>
          <w:szCs w:val="20"/>
        </w:rPr>
        <w:t xml:space="preserve"> values primarily reflect oral dosing because the initial injection was administered on the same day as the last oral dose; however, the AUC</w:t>
      </w:r>
      <w:r w:rsidRPr="00C37027">
        <w:rPr>
          <w:rFonts w:ascii="Arial" w:hAnsi="Arial" w:cs="Arial"/>
          <w:sz w:val="20"/>
          <w:szCs w:val="20"/>
          <w:vertAlign w:val="subscript"/>
        </w:rPr>
        <w:t>(0-tau)</w:t>
      </w:r>
      <w:r w:rsidRPr="00C37027">
        <w:rPr>
          <w:rFonts w:ascii="Arial" w:hAnsi="Arial" w:cs="Arial"/>
          <w:sz w:val="20"/>
          <w:szCs w:val="20"/>
        </w:rPr>
        <w:t xml:space="preserve"> and C</w:t>
      </w:r>
      <w:r w:rsidRPr="00C37027">
        <w:rPr>
          <w:rFonts w:ascii="Arial" w:hAnsi="Arial" w:cs="Arial"/>
          <w:sz w:val="20"/>
          <w:szCs w:val="20"/>
          <w:vertAlign w:val="subscript"/>
        </w:rPr>
        <w:t>tau</w:t>
      </w:r>
      <w:r w:rsidRPr="00C37027">
        <w:rPr>
          <w:rFonts w:ascii="Arial" w:hAnsi="Arial" w:cs="Arial"/>
          <w:sz w:val="20"/>
          <w:szCs w:val="20"/>
        </w:rPr>
        <w:t xml:space="preserve"> values reflect the initial injection. </w:t>
      </w:r>
    </w:p>
    <w:p w14:paraId="5FA2E7DE" w14:textId="77777777" w:rsidR="00306A2C" w:rsidRPr="00C37027" w:rsidRDefault="00306A2C" w:rsidP="00306A2C">
      <w:pPr>
        <w:rPr>
          <w:rFonts w:ascii="Arial" w:hAnsi="Arial" w:cs="Arial"/>
          <w:color w:val="000000"/>
          <w:sz w:val="20"/>
          <w:szCs w:val="20"/>
        </w:rPr>
      </w:pPr>
      <w:proofErr w:type="gramStart"/>
      <w:r w:rsidRPr="00C37027">
        <w:rPr>
          <w:rFonts w:ascii="Arial" w:hAnsi="Arial" w:cs="Arial"/>
          <w:sz w:val="20"/>
          <w:szCs w:val="20"/>
          <w:vertAlign w:val="superscript"/>
        </w:rPr>
        <w:t xml:space="preserve">e </w:t>
      </w:r>
      <w:r w:rsidRPr="00C37027">
        <w:rPr>
          <w:rFonts w:ascii="Arial" w:hAnsi="Arial" w:cs="Arial"/>
          <w:color w:val="000000"/>
          <w:sz w:val="20"/>
          <w:szCs w:val="20"/>
        </w:rPr>
        <w:t xml:space="preserve"> Pharmacokinetic</w:t>
      </w:r>
      <w:proofErr w:type="gramEnd"/>
      <w:r w:rsidRPr="00C37027">
        <w:rPr>
          <w:rFonts w:ascii="Arial" w:hAnsi="Arial" w:cs="Arial"/>
          <w:color w:val="000000"/>
          <w:sz w:val="20"/>
          <w:szCs w:val="20"/>
        </w:rPr>
        <w:t xml:space="preserve"> parameter values represent steady state.</w:t>
      </w:r>
    </w:p>
    <w:p w14:paraId="07A61E2C" w14:textId="77777777" w:rsidR="00306A2C" w:rsidRPr="00306A2C" w:rsidRDefault="00306A2C" w:rsidP="00306A2C">
      <w:pPr>
        <w:pStyle w:val="NoNumHead4"/>
        <w:keepNext w:val="0"/>
        <w:rPr>
          <w:rFonts w:eastAsia="MS Mincho"/>
          <w:b w:val="0"/>
          <w:bCs w:val="0"/>
          <w:u w:val="single"/>
          <w:lang w:val="en-GB"/>
        </w:rPr>
      </w:pPr>
      <w:r w:rsidRPr="00306A2C">
        <w:rPr>
          <w:rFonts w:eastAsia="MS Mincho"/>
          <w:b w:val="0"/>
          <w:bCs w:val="0"/>
          <w:u w:val="single"/>
          <w:lang w:val="en-GB"/>
        </w:rPr>
        <w:t>Children</w:t>
      </w:r>
      <w:r w:rsidRPr="00306A2C">
        <w:rPr>
          <w:rFonts w:eastAsia="MS Mincho"/>
          <w:b w:val="0"/>
          <w:bCs w:val="0"/>
          <w:u w:val="single"/>
          <w:lang w:val="en-GB"/>
        </w:rPr>
        <w:fldChar w:fldCharType="begin"/>
      </w:r>
      <w:r w:rsidRPr="00306A2C">
        <w:rPr>
          <w:rFonts w:eastAsia="MS Mincho"/>
          <w:b w:val="0"/>
          <w:bCs w:val="0"/>
          <w:u w:val="single"/>
          <w:lang w:val="en-GB"/>
        </w:rPr>
        <w:instrText xml:space="preserve"> DOCVARIABLE vault_nd_fbbcc3e6-d25a-40a3-b17b-db179c70a971 \* MERGEFORMAT </w:instrText>
      </w:r>
      <w:r w:rsidRPr="00306A2C">
        <w:rPr>
          <w:rFonts w:eastAsia="MS Mincho"/>
          <w:b w:val="0"/>
          <w:bCs w:val="0"/>
          <w:u w:val="single"/>
          <w:lang w:val="en-GB"/>
        </w:rPr>
        <w:fldChar w:fldCharType="separate"/>
      </w:r>
      <w:r w:rsidRPr="00306A2C">
        <w:rPr>
          <w:rFonts w:eastAsia="MS Mincho"/>
          <w:b w:val="0"/>
          <w:bCs w:val="0"/>
          <w:u w:val="single"/>
          <w:lang w:val="en-GB"/>
        </w:rPr>
        <w:t xml:space="preserve"> </w:t>
      </w:r>
      <w:r w:rsidRPr="00306A2C">
        <w:rPr>
          <w:rFonts w:eastAsia="MS Mincho"/>
          <w:b w:val="0"/>
          <w:bCs w:val="0"/>
          <w:u w:val="single"/>
          <w:lang w:val="en-GB"/>
        </w:rPr>
        <w:fldChar w:fldCharType="end"/>
      </w:r>
    </w:p>
    <w:p w14:paraId="0AE02E64" w14:textId="37A6F313" w:rsidR="00306A2C" w:rsidRPr="00306A2C" w:rsidRDefault="00306A2C" w:rsidP="00306A2C">
      <w:pPr>
        <w:rPr>
          <w:rFonts w:ascii="Arial" w:eastAsia="MS Mincho" w:hAnsi="Arial" w:cs="Arial"/>
          <w:lang w:val="en-GB"/>
        </w:rPr>
      </w:pPr>
      <w:r w:rsidRPr="00306A2C">
        <w:rPr>
          <w:rFonts w:ascii="Arial" w:hAnsi="Arial" w:cs="Arial"/>
        </w:rPr>
        <w:t>The pharmacokinetics and dosing recommendations of cabotegravir in children less than 12 years of age or 35 kg or less have not been established.</w:t>
      </w:r>
    </w:p>
    <w:p w14:paraId="556072D7" w14:textId="77777777" w:rsidR="00306A2C" w:rsidRPr="00306A2C" w:rsidRDefault="00306A2C" w:rsidP="00306A2C">
      <w:pPr>
        <w:pStyle w:val="NoNumHead4"/>
        <w:keepNext w:val="0"/>
        <w:rPr>
          <w:rFonts w:eastAsia="MS Mincho"/>
          <w:b w:val="0"/>
          <w:bCs w:val="0"/>
          <w:u w:val="single"/>
          <w:lang w:val="en-GB"/>
        </w:rPr>
      </w:pPr>
      <w:r w:rsidRPr="00306A2C">
        <w:rPr>
          <w:rFonts w:eastAsia="MS Mincho"/>
          <w:b w:val="0"/>
          <w:bCs w:val="0"/>
          <w:u w:val="single"/>
          <w:lang w:val="en-GB"/>
        </w:rPr>
        <w:t>Elderly</w:t>
      </w:r>
      <w:r w:rsidRPr="00306A2C">
        <w:rPr>
          <w:rFonts w:eastAsia="MS Mincho"/>
          <w:b w:val="0"/>
          <w:bCs w:val="0"/>
          <w:u w:val="single"/>
          <w:lang w:val="en-GB"/>
        </w:rPr>
        <w:fldChar w:fldCharType="begin"/>
      </w:r>
      <w:r w:rsidRPr="00306A2C">
        <w:rPr>
          <w:rFonts w:eastAsia="MS Mincho"/>
          <w:b w:val="0"/>
          <w:bCs w:val="0"/>
          <w:u w:val="single"/>
          <w:lang w:val="en-GB"/>
        </w:rPr>
        <w:instrText xml:space="preserve"> DOCVARIABLE vault_nd_e8b3b971-a9bb-4714-9e95-6f884afeab0c \* MERGEFORMAT </w:instrText>
      </w:r>
      <w:r w:rsidRPr="00306A2C">
        <w:rPr>
          <w:rFonts w:eastAsia="MS Mincho"/>
          <w:b w:val="0"/>
          <w:bCs w:val="0"/>
          <w:u w:val="single"/>
          <w:lang w:val="en-GB"/>
        </w:rPr>
        <w:fldChar w:fldCharType="separate"/>
      </w:r>
      <w:r w:rsidRPr="00306A2C">
        <w:rPr>
          <w:rFonts w:eastAsia="MS Mincho"/>
          <w:b w:val="0"/>
          <w:bCs w:val="0"/>
          <w:u w:val="single"/>
          <w:lang w:val="en-GB"/>
        </w:rPr>
        <w:t xml:space="preserve"> </w:t>
      </w:r>
      <w:r w:rsidRPr="00306A2C">
        <w:rPr>
          <w:rFonts w:eastAsia="MS Mincho"/>
          <w:b w:val="0"/>
          <w:bCs w:val="0"/>
          <w:u w:val="single"/>
          <w:lang w:val="en-GB"/>
        </w:rPr>
        <w:fldChar w:fldCharType="end"/>
      </w:r>
    </w:p>
    <w:p w14:paraId="70228B01" w14:textId="05997621" w:rsidR="00306A2C" w:rsidRPr="00306A2C" w:rsidRDefault="00306A2C" w:rsidP="00306A2C">
      <w:pPr>
        <w:rPr>
          <w:rFonts w:ascii="Arial" w:eastAsia="MS Mincho" w:hAnsi="Arial" w:cs="Arial"/>
          <w:lang w:val="en-GB"/>
        </w:rPr>
      </w:pPr>
      <w:r w:rsidRPr="00306A2C">
        <w:rPr>
          <w:rFonts w:ascii="Arial" w:eastAsia="MS Mincho" w:hAnsi="Arial" w:cs="Arial"/>
        </w:rPr>
        <w:t>Population pharmacokinetic analysis of cabotegravir revealed no clinically relevant effect of age on cabotegravir exposure.</w:t>
      </w:r>
    </w:p>
    <w:p w14:paraId="783B8A97" w14:textId="4450E645" w:rsidR="00306A2C" w:rsidRPr="00306A2C" w:rsidRDefault="00306A2C" w:rsidP="00306A2C">
      <w:pPr>
        <w:rPr>
          <w:rFonts w:ascii="Arial" w:eastAsia="Times New Roman" w:hAnsi="Arial" w:cs="Arial"/>
        </w:rPr>
      </w:pPr>
      <w:r w:rsidRPr="00306A2C">
        <w:rPr>
          <w:rFonts w:ascii="Arial" w:eastAsia="MS Mincho" w:hAnsi="Arial" w:cs="Arial"/>
        </w:rPr>
        <w:t>Pharmacokinetic data for cabotegravir in subjects of &gt;65 years old are limited.</w:t>
      </w:r>
    </w:p>
    <w:p w14:paraId="55C79197" w14:textId="77777777" w:rsidR="00F528F4" w:rsidRPr="00F528F4" w:rsidRDefault="00F528F4" w:rsidP="00F528F4">
      <w:pPr>
        <w:pStyle w:val="NoNumHead4"/>
        <w:keepNext w:val="0"/>
        <w:rPr>
          <w:rFonts w:eastAsia="MS Mincho"/>
          <w:b w:val="0"/>
          <w:bCs w:val="0"/>
          <w:u w:val="single"/>
          <w:lang w:val="en-GB"/>
        </w:rPr>
      </w:pPr>
      <w:r w:rsidRPr="00F528F4">
        <w:rPr>
          <w:rFonts w:eastAsia="MS Mincho"/>
          <w:b w:val="0"/>
          <w:bCs w:val="0"/>
          <w:u w:val="single"/>
          <w:lang w:val="en-GB"/>
        </w:rPr>
        <w:t>Renal impairment</w:t>
      </w:r>
      <w:r w:rsidRPr="00F528F4">
        <w:rPr>
          <w:rFonts w:eastAsia="MS Mincho"/>
          <w:b w:val="0"/>
          <w:bCs w:val="0"/>
          <w:u w:val="single"/>
          <w:lang w:val="en-GB"/>
        </w:rPr>
        <w:fldChar w:fldCharType="begin"/>
      </w:r>
      <w:r w:rsidRPr="00F528F4">
        <w:rPr>
          <w:rFonts w:eastAsia="MS Mincho"/>
          <w:b w:val="0"/>
          <w:bCs w:val="0"/>
          <w:u w:val="single"/>
          <w:lang w:val="en-GB"/>
        </w:rPr>
        <w:instrText xml:space="preserve"> DOCVARIABLE vault_nd_93d3c25c-ce48-4eba-a7cf-9b9f91123cf7 \* MERGEFORMAT </w:instrText>
      </w:r>
      <w:r w:rsidRPr="00F528F4">
        <w:rPr>
          <w:rFonts w:eastAsia="MS Mincho"/>
          <w:b w:val="0"/>
          <w:bCs w:val="0"/>
          <w:u w:val="single"/>
          <w:lang w:val="en-GB"/>
        </w:rPr>
        <w:fldChar w:fldCharType="separate"/>
      </w:r>
      <w:r w:rsidRPr="00F528F4">
        <w:rPr>
          <w:rFonts w:eastAsia="MS Mincho"/>
          <w:b w:val="0"/>
          <w:bCs w:val="0"/>
          <w:u w:val="single"/>
          <w:lang w:val="en-GB"/>
        </w:rPr>
        <w:t xml:space="preserve"> </w:t>
      </w:r>
      <w:r w:rsidRPr="00F528F4">
        <w:rPr>
          <w:rFonts w:eastAsia="MS Mincho"/>
          <w:b w:val="0"/>
          <w:bCs w:val="0"/>
          <w:u w:val="single"/>
          <w:lang w:val="en-GB"/>
        </w:rPr>
        <w:fldChar w:fldCharType="end"/>
      </w:r>
    </w:p>
    <w:p w14:paraId="642938A0" w14:textId="77777777" w:rsidR="00F528F4" w:rsidRPr="00F528F4" w:rsidRDefault="00F528F4" w:rsidP="00F528F4">
      <w:pPr>
        <w:rPr>
          <w:rFonts w:ascii="Arial" w:eastAsia="Times New Roman" w:hAnsi="Arial" w:cs="Arial"/>
          <w:lang w:val="en-GB"/>
        </w:rPr>
      </w:pPr>
      <w:r w:rsidRPr="00F528F4">
        <w:rPr>
          <w:rFonts w:ascii="Arial" w:hAnsi="Arial" w:cs="Arial"/>
        </w:rPr>
        <w:t>No clinically important pharmacokinetic differences between subjects with severe renal impairment (</w:t>
      </w:r>
      <w:proofErr w:type="spellStart"/>
      <w:r w:rsidRPr="00F528F4">
        <w:rPr>
          <w:rFonts w:ascii="Arial" w:hAnsi="Arial" w:cs="Arial"/>
        </w:rPr>
        <w:t>CrCL</w:t>
      </w:r>
      <w:proofErr w:type="spellEnd"/>
      <w:r w:rsidRPr="00F528F4">
        <w:rPr>
          <w:rFonts w:ascii="Arial" w:hAnsi="Arial" w:cs="Arial"/>
        </w:rPr>
        <w:t xml:space="preserve"> &lt;30 mL/min and not on dialysis) and matching healthy subjects were observed. No dosage adjustment is necessary for individuals with mild to severe renal impairment (not on dialysis). Cabotegravir has not been studied in individuals on dialysis.</w:t>
      </w:r>
    </w:p>
    <w:p w14:paraId="1C6E4C1C" w14:textId="77777777" w:rsidR="00F528F4" w:rsidRPr="00F528F4" w:rsidRDefault="00F528F4" w:rsidP="00F528F4">
      <w:pPr>
        <w:pStyle w:val="NoNumHead4"/>
        <w:keepNext w:val="0"/>
        <w:rPr>
          <w:rFonts w:eastAsia="MS Mincho"/>
          <w:b w:val="0"/>
          <w:bCs w:val="0"/>
          <w:u w:val="single"/>
          <w:lang w:val="en-GB"/>
        </w:rPr>
      </w:pPr>
      <w:r w:rsidRPr="00F528F4">
        <w:rPr>
          <w:rFonts w:eastAsia="MS Mincho"/>
          <w:b w:val="0"/>
          <w:bCs w:val="0"/>
          <w:u w:val="single"/>
          <w:lang w:val="en-GB"/>
        </w:rPr>
        <w:t>Hepatic impairment</w:t>
      </w:r>
      <w:r w:rsidRPr="00F528F4">
        <w:rPr>
          <w:rFonts w:eastAsia="MS Mincho"/>
          <w:b w:val="0"/>
          <w:bCs w:val="0"/>
          <w:u w:val="single"/>
          <w:lang w:val="en-GB"/>
        </w:rPr>
        <w:fldChar w:fldCharType="begin"/>
      </w:r>
      <w:r w:rsidRPr="00F528F4">
        <w:rPr>
          <w:rFonts w:eastAsia="MS Mincho"/>
          <w:b w:val="0"/>
          <w:bCs w:val="0"/>
          <w:u w:val="single"/>
          <w:lang w:val="en-GB"/>
        </w:rPr>
        <w:instrText xml:space="preserve"> DOCVARIABLE vault_nd_c2bcf830-b7ee-441c-b2a9-0d9c1d709e88 \* MERGEFORMAT </w:instrText>
      </w:r>
      <w:r w:rsidRPr="00F528F4">
        <w:rPr>
          <w:rFonts w:eastAsia="MS Mincho"/>
          <w:b w:val="0"/>
          <w:bCs w:val="0"/>
          <w:u w:val="single"/>
          <w:lang w:val="en-GB"/>
        </w:rPr>
        <w:fldChar w:fldCharType="separate"/>
      </w:r>
      <w:r w:rsidRPr="00F528F4">
        <w:rPr>
          <w:rFonts w:eastAsia="MS Mincho"/>
          <w:b w:val="0"/>
          <w:bCs w:val="0"/>
          <w:u w:val="single"/>
          <w:lang w:val="en-GB"/>
        </w:rPr>
        <w:t xml:space="preserve"> </w:t>
      </w:r>
      <w:r w:rsidRPr="00F528F4">
        <w:rPr>
          <w:rFonts w:eastAsia="MS Mincho"/>
          <w:b w:val="0"/>
          <w:bCs w:val="0"/>
          <w:u w:val="single"/>
          <w:lang w:val="en-GB"/>
        </w:rPr>
        <w:fldChar w:fldCharType="end"/>
      </w:r>
    </w:p>
    <w:p w14:paraId="4E6A9CEC" w14:textId="77777777" w:rsidR="00F528F4" w:rsidRPr="00F528F4" w:rsidRDefault="00F528F4" w:rsidP="00F528F4">
      <w:pPr>
        <w:rPr>
          <w:rFonts w:ascii="Arial" w:eastAsia="Times New Roman" w:hAnsi="Arial" w:cs="Arial"/>
          <w:bCs/>
          <w:lang w:val="en-GB"/>
        </w:rPr>
      </w:pPr>
      <w:r w:rsidRPr="00F528F4">
        <w:rPr>
          <w:rFonts w:ascii="Arial" w:hAnsi="Arial" w:cs="Arial"/>
          <w:bCs/>
        </w:rPr>
        <w:t xml:space="preserve">No clinically important pharmacokinetic differences between subjects with moderate hepatic impairment and matching healthy subjects were observed. No dosage adjustment is necessary for individuals with mild to moderate hepatic impairment (Child-Pugh Score A or </w:t>
      </w:r>
      <w:r w:rsidRPr="00F528F4">
        <w:rPr>
          <w:rFonts w:ascii="Arial" w:hAnsi="Arial" w:cs="Arial"/>
          <w:bCs/>
        </w:rPr>
        <w:lastRenderedPageBreak/>
        <w:t>B). The effect of severe hepatic impairment (Child-Pugh Score C) on the pharmacokinetics of cabotegravir has not been studied.</w:t>
      </w:r>
    </w:p>
    <w:p w14:paraId="6B12DFE6" w14:textId="77777777" w:rsidR="00F528F4" w:rsidRPr="00F528F4" w:rsidRDefault="00F528F4" w:rsidP="00F528F4">
      <w:pPr>
        <w:rPr>
          <w:rFonts w:ascii="Arial" w:hAnsi="Arial" w:cs="Arial"/>
          <w:u w:val="single"/>
        </w:rPr>
      </w:pPr>
      <w:r w:rsidRPr="00F528F4">
        <w:rPr>
          <w:rFonts w:ascii="Arial" w:hAnsi="Arial" w:cs="Arial"/>
          <w:u w:val="single"/>
        </w:rPr>
        <w:t>HBV and HCV Infected Individuals</w:t>
      </w:r>
    </w:p>
    <w:p w14:paraId="4E247669" w14:textId="77777777" w:rsidR="00F528F4" w:rsidRPr="00F528F4" w:rsidRDefault="00F528F4" w:rsidP="00F528F4">
      <w:pPr>
        <w:rPr>
          <w:rFonts w:ascii="Arial" w:eastAsia="MS Mincho" w:hAnsi="Arial" w:cs="Arial"/>
        </w:rPr>
      </w:pPr>
      <w:r w:rsidRPr="00F528F4">
        <w:rPr>
          <w:rFonts w:ascii="Arial" w:eastAsia="MS Mincho" w:hAnsi="Arial" w:cs="Arial"/>
        </w:rPr>
        <w:t xml:space="preserve">There are no data for the use of cabotegravir in subjects with HBV and HCV infection in </w:t>
      </w:r>
      <w:proofErr w:type="spellStart"/>
      <w:r w:rsidRPr="00F528F4">
        <w:rPr>
          <w:rFonts w:ascii="Arial" w:eastAsia="MS Mincho" w:hAnsi="Arial" w:cs="Arial"/>
        </w:rPr>
        <w:t>PrEP</w:t>
      </w:r>
      <w:proofErr w:type="spellEnd"/>
      <w:r w:rsidRPr="00F528F4">
        <w:rPr>
          <w:rFonts w:ascii="Arial" w:eastAsia="MS Mincho" w:hAnsi="Arial" w:cs="Arial"/>
        </w:rPr>
        <w:t xml:space="preserve"> studies.</w:t>
      </w:r>
    </w:p>
    <w:p w14:paraId="67DF7DB9" w14:textId="77777777" w:rsidR="00F528F4" w:rsidRPr="00F528F4" w:rsidRDefault="00F528F4" w:rsidP="00F528F4">
      <w:pPr>
        <w:spacing w:before="120"/>
        <w:outlineLvl w:val="0"/>
        <w:rPr>
          <w:rFonts w:ascii="Arial" w:eastAsia="MS Mincho" w:hAnsi="Arial" w:cs="Arial"/>
          <w:u w:val="single"/>
          <w:lang w:eastAsia="x-none"/>
        </w:rPr>
      </w:pPr>
      <w:bookmarkStart w:id="19" w:name="_Hlk5126971"/>
      <w:r w:rsidRPr="00F528F4">
        <w:rPr>
          <w:rFonts w:ascii="Arial" w:eastAsia="MS Mincho" w:hAnsi="Arial" w:cs="Arial"/>
          <w:u w:val="single"/>
          <w:lang w:val="x-none" w:eastAsia="x-none"/>
        </w:rPr>
        <w:t>Polymorphisms in Drug Metabolising Enzymes</w:t>
      </w:r>
      <w:r w:rsidRPr="00F528F4">
        <w:rPr>
          <w:rFonts w:ascii="Arial" w:hAnsi="Arial" w:cs="Arial"/>
          <w:u w:val="single"/>
        </w:rPr>
        <w:fldChar w:fldCharType="begin"/>
      </w:r>
      <w:r w:rsidRPr="00F528F4">
        <w:rPr>
          <w:rFonts w:ascii="Arial" w:eastAsia="MS Mincho" w:hAnsi="Arial" w:cs="Arial"/>
          <w:u w:val="single"/>
          <w:lang w:val="x-none" w:eastAsia="x-none"/>
        </w:rPr>
        <w:instrText xml:space="preserve"> DOCVARIABLE vault_nd_ef8a2fe0-513f-4e16-8535-53456580bb0c \* MERGEFORMAT </w:instrText>
      </w:r>
      <w:r w:rsidRPr="00F528F4">
        <w:rPr>
          <w:rFonts w:ascii="Arial" w:hAnsi="Arial" w:cs="Arial"/>
          <w:u w:val="single"/>
        </w:rPr>
        <w:fldChar w:fldCharType="separate"/>
      </w:r>
      <w:r w:rsidRPr="00F528F4">
        <w:rPr>
          <w:rFonts w:ascii="Arial" w:eastAsia="MS Mincho" w:hAnsi="Arial" w:cs="Arial"/>
          <w:u w:val="single"/>
          <w:lang w:val="x-none" w:eastAsia="x-none"/>
        </w:rPr>
        <w:t xml:space="preserve"> </w:t>
      </w:r>
      <w:r w:rsidRPr="00F528F4">
        <w:rPr>
          <w:rFonts w:ascii="Arial" w:hAnsi="Arial" w:cs="Arial"/>
          <w:u w:val="single"/>
        </w:rPr>
        <w:fldChar w:fldCharType="end"/>
      </w:r>
    </w:p>
    <w:p w14:paraId="45F0498F" w14:textId="4FA3CD33" w:rsidR="00306A2C" w:rsidRPr="00F528F4" w:rsidRDefault="00F528F4" w:rsidP="007470DB">
      <w:pPr>
        <w:rPr>
          <w:rFonts w:ascii="Arial" w:eastAsia="Times New Roman" w:hAnsi="Arial" w:cs="Arial"/>
          <w:lang w:eastAsia="en-GB"/>
        </w:rPr>
      </w:pPr>
      <w:r w:rsidRPr="00F528F4">
        <w:rPr>
          <w:rFonts w:ascii="Arial" w:eastAsia="MS Mincho" w:hAnsi="Arial" w:cs="Arial"/>
        </w:rPr>
        <w:t xml:space="preserve">In a meta-analysis of healthy and HIV-infected subjects, HIV-infected subjects with UGT1A1 genotypes conferring poor cabotegravir metabolism had a </w:t>
      </w:r>
      <w:r w:rsidRPr="00F528F4">
        <w:rPr>
          <w:rFonts w:ascii="Arial" w:hAnsi="Arial" w:cs="Arial"/>
        </w:rPr>
        <w:t xml:space="preserve">1.2-fold increase in mean steady-state cabotegravir AUC, </w:t>
      </w:r>
      <w:proofErr w:type="spellStart"/>
      <w:r w:rsidRPr="00F528F4">
        <w:rPr>
          <w:rFonts w:ascii="Arial" w:hAnsi="Arial" w:cs="Arial"/>
        </w:rPr>
        <w:t>C</w:t>
      </w:r>
      <w:r w:rsidRPr="00F528F4">
        <w:rPr>
          <w:rFonts w:ascii="Arial" w:hAnsi="Arial" w:cs="Arial"/>
          <w:vertAlign w:val="subscript"/>
        </w:rPr>
        <w:t>max</w:t>
      </w:r>
      <w:proofErr w:type="spellEnd"/>
      <w:r w:rsidRPr="00F528F4">
        <w:rPr>
          <w:rFonts w:ascii="Arial" w:hAnsi="Arial" w:cs="Arial"/>
        </w:rPr>
        <w:t>, and C</w:t>
      </w:r>
      <w:r w:rsidRPr="00F528F4">
        <w:rPr>
          <w:rFonts w:ascii="Arial" w:hAnsi="Arial" w:cs="Arial"/>
          <w:vertAlign w:val="subscript"/>
        </w:rPr>
        <w:t>tau</w:t>
      </w:r>
      <w:r w:rsidRPr="00F528F4">
        <w:rPr>
          <w:rFonts w:ascii="Arial" w:hAnsi="Arial" w:cs="Arial"/>
        </w:rPr>
        <w:t xml:space="preserve"> following cabotegravir injection vs. 1.38-fold mean increase following oral cabotegravir administration.</w:t>
      </w:r>
      <w:r w:rsidRPr="00F528F4">
        <w:rPr>
          <w:rFonts w:ascii="Arial" w:eastAsia="MS Mincho" w:hAnsi="Arial" w:cs="Arial"/>
        </w:rPr>
        <w:t xml:space="preserve"> This was </w:t>
      </w:r>
      <w:proofErr w:type="gramStart"/>
      <w:r w:rsidRPr="00F528F4">
        <w:rPr>
          <w:rFonts w:ascii="Arial" w:hAnsi="Arial" w:cs="Arial"/>
        </w:rPr>
        <w:t>similar to</w:t>
      </w:r>
      <w:proofErr w:type="gramEnd"/>
      <w:r w:rsidRPr="00F528F4">
        <w:rPr>
          <w:rFonts w:ascii="Arial" w:hAnsi="Arial" w:cs="Arial"/>
        </w:rPr>
        <w:t xml:space="preserve"> 1.3- to 1.5-fold mean increase in steady-state cabotegravir, cabotegravir AUC, </w:t>
      </w:r>
      <w:proofErr w:type="spellStart"/>
      <w:r w:rsidRPr="00F528F4">
        <w:rPr>
          <w:rFonts w:ascii="Arial" w:hAnsi="Arial" w:cs="Arial"/>
        </w:rPr>
        <w:t>C</w:t>
      </w:r>
      <w:r w:rsidRPr="00F528F4">
        <w:rPr>
          <w:rFonts w:ascii="Arial" w:hAnsi="Arial" w:cs="Arial"/>
          <w:vertAlign w:val="subscript"/>
        </w:rPr>
        <w:t>max</w:t>
      </w:r>
      <w:proofErr w:type="spellEnd"/>
      <w:r w:rsidRPr="00F528F4">
        <w:rPr>
          <w:rFonts w:ascii="Arial" w:hAnsi="Arial" w:cs="Arial"/>
        </w:rPr>
        <w:t>, and C</w:t>
      </w:r>
      <w:r w:rsidRPr="00F528F4">
        <w:rPr>
          <w:rFonts w:ascii="Arial" w:hAnsi="Arial" w:cs="Arial"/>
          <w:vertAlign w:val="subscript"/>
        </w:rPr>
        <w:t>tau</w:t>
      </w:r>
      <w:r w:rsidRPr="00F528F4">
        <w:rPr>
          <w:rFonts w:ascii="Arial" w:hAnsi="Arial" w:cs="Arial"/>
        </w:rPr>
        <w:t xml:space="preserve"> observed following oral cabotegravir in healthy and HIV infected subjects combined. These differences are not considered clinically relevant</w:t>
      </w:r>
      <w:r w:rsidRPr="00F528F4">
        <w:rPr>
          <w:rStyle w:val="hilighti"/>
          <w:rFonts w:ascii="Arial" w:hAnsi="Arial" w:cs="Arial"/>
        </w:rPr>
        <w:t xml:space="preserve">. </w:t>
      </w:r>
      <w:r w:rsidRPr="00F528F4">
        <w:rPr>
          <w:rFonts w:ascii="Arial" w:hAnsi="Arial" w:cs="Arial"/>
        </w:rPr>
        <w:t xml:space="preserve">Polymorphisms in UGT1A9 were not associated with differences in the pharmacokinetics of cabotegravir, therefore, no dose adjustment is required in subjects with either UGT1A1 or UGT1A9 </w:t>
      </w:r>
      <w:r w:rsidRPr="00F528F4">
        <w:rPr>
          <w:rFonts w:ascii="Arial" w:eastAsia="MS Mincho" w:hAnsi="Arial" w:cs="Arial"/>
        </w:rPr>
        <w:t>polymorphisms.</w:t>
      </w:r>
      <w:bookmarkEnd w:id="19"/>
    </w:p>
    <w:p w14:paraId="658743D5" w14:textId="442732A8"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PRECLINICAL SAFETY DATA</w:t>
      </w:r>
      <w:r w:rsidR="003332D9">
        <w:rPr>
          <w:rFonts w:ascii="Arial" w:hAnsi="Arial" w:cs="Arial"/>
          <w:smallCaps w:val="0"/>
        </w:rPr>
        <w:fldChar w:fldCharType="begin"/>
      </w:r>
      <w:r w:rsidR="003332D9">
        <w:rPr>
          <w:rFonts w:ascii="Arial" w:hAnsi="Arial" w:cs="Arial"/>
          <w:smallCaps w:val="0"/>
        </w:rPr>
        <w:instrText xml:space="preserve"> DOCVARIABLE VAULT_ND_128b78a2-2d77-471e-8727-e0f5b6acc33a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1142370C" w14:textId="381FDE89" w:rsidR="001A3992" w:rsidRPr="00071855" w:rsidRDefault="001A3992" w:rsidP="001A3992">
      <w:pPr>
        <w:pStyle w:val="Heading3"/>
        <w:spacing w:before="0" w:after="120"/>
        <w:rPr>
          <w:rFonts w:ascii="Arial" w:hAnsi="Arial" w:cs="Arial"/>
        </w:rPr>
      </w:pPr>
      <w:r w:rsidRPr="00071855">
        <w:rPr>
          <w:rFonts w:ascii="Arial" w:hAnsi="Arial" w:cs="Arial"/>
        </w:rPr>
        <w:t>Genotoxicity</w:t>
      </w:r>
      <w:r w:rsidR="003332D9">
        <w:rPr>
          <w:rFonts w:ascii="Arial" w:hAnsi="Arial" w:cs="Arial"/>
        </w:rPr>
        <w:fldChar w:fldCharType="begin"/>
      </w:r>
      <w:r w:rsidR="003332D9">
        <w:rPr>
          <w:rFonts w:ascii="Arial" w:hAnsi="Arial" w:cs="Arial"/>
        </w:rPr>
        <w:instrText xml:space="preserve"> DOCVARIABLE vault_nd_8afd9412-fafd-4be0-8b4d-827c2d357ecc \* MERGEFORMAT </w:instrText>
      </w:r>
      <w:r w:rsidR="003332D9">
        <w:rPr>
          <w:rFonts w:ascii="Arial" w:hAnsi="Arial" w:cs="Arial"/>
        </w:rPr>
        <w:fldChar w:fldCharType="separate"/>
      </w:r>
      <w:r w:rsidR="003332D9">
        <w:rPr>
          <w:rFonts w:ascii="Arial" w:hAnsi="Arial" w:cs="Arial"/>
        </w:rPr>
        <w:t xml:space="preserve"> </w:t>
      </w:r>
      <w:r w:rsidR="003332D9">
        <w:rPr>
          <w:rFonts w:ascii="Arial" w:hAnsi="Arial" w:cs="Arial"/>
        </w:rPr>
        <w:fldChar w:fldCharType="end"/>
      </w:r>
    </w:p>
    <w:p w14:paraId="6A2AD3DF" w14:textId="1525AFC5" w:rsidR="001D1C95" w:rsidRPr="001D1C95" w:rsidRDefault="001D1C95" w:rsidP="001D1C95">
      <w:pPr>
        <w:rPr>
          <w:rFonts w:ascii="Arial" w:hAnsi="Arial" w:cs="Arial"/>
        </w:rPr>
      </w:pPr>
      <w:r w:rsidRPr="001D1C95">
        <w:rPr>
          <w:rFonts w:ascii="Arial" w:eastAsia="MS Mincho" w:hAnsi="Arial" w:cs="Arial"/>
        </w:rPr>
        <w:t xml:space="preserve">Cabotegravir was not mutagenic or clastogenic using </w:t>
      </w:r>
      <w:r w:rsidRPr="001D1C95">
        <w:rPr>
          <w:rFonts w:ascii="Arial" w:eastAsia="MS Mincho" w:hAnsi="Arial" w:cs="Arial"/>
          <w:i/>
        </w:rPr>
        <w:t>in vitro</w:t>
      </w:r>
      <w:r w:rsidRPr="001D1C95">
        <w:rPr>
          <w:rFonts w:ascii="Arial" w:eastAsia="MS Mincho" w:hAnsi="Arial" w:cs="Arial"/>
        </w:rPr>
        <w:t xml:space="preserve"> tests in bacteria and cultured mammalian cells, and an </w:t>
      </w:r>
      <w:r w:rsidRPr="001D1C95">
        <w:rPr>
          <w:rFonts w:ascii="Arial" w:eastAsia="MS Mincho" w:hAnsi="Arial" w:cs="Arial"/>
          <w:i/>
        </w:rPr>
        <w:t>in vivo</w:t>
      </w:r>
      <w:r w:rsidRPr="001D1C95">
        <w:rPr>
          <w:rFonts w:ascii="Arial" w:eastAsia="MS Mincho" w:hAnsi="Arial" w:cs="Arial"/>
        </w:rPr>
        <w:t xml:space="preserve"> rodent micronucleus assay. </w:t>
      </w:r>
    </w:p>
    <w:p w14:paraId="0DD221B4" w14:textId="32A25E66" w:rsidR="001A3992" w:rsidRDefault="001A3992" w:rsidP="001A3992">
      <w:pPr>
        <w:pStyle w:val="Heading3"/>
        <w:spacing w:before="0" w:after="120"/>
        <w:rPr>
          <w:rFonts w:ascii="Arial" w:hAnsi="Arial" w:cs="Arial"/>
          <w:lang w:val="en-US"/>
        </w:rPr>
      </w:pPr>
      <w:proofErr w:type="spellStart"/>
      <w:r w:rsidRPr="00071855">
        <w:rPr>
          <w:rFonts w:ascii="Arial" w:hAnsi="Arial" w:cs="Arial"/>
        </w:rPr>
        <w:t>Carcin</w:t>
      </w:r>
      <w:r w:rsidRPr="00071855">
        <w:rPr>
          <w:rFonts w:ascii="Arial" w:hAnsi="Arial" w:cs="Arial"/>
          <w:lang w:val="en-US"/>
        </w:rPr>
        <w:t>ogenicity</w:t>
      </w:r>
      <w:proofErr w:type="spellEnd"/>
      <w:r w:rsidR="003332D9">
        <w:rPr>
          <w:rFonts w:ascii="Arial" w:hAnsi="Arial" w:cs="Arial"/>
          <w:lang w:val="en-US"/>
        </w:rPr>
        <w:fldChar w:fldCharType="begin"/>
      </w:r>
      <w:r w:rsidR="003332D9">
        <w:rPr>
          <w:rFonts w:ascii="Arial" w:hAnsi="Arial" w:cs="Arial"/>
          <w:lang w:val="en-US"/>
        </w:rPr>
        <w:instrText xml:space="preserve"> DOCVARIABLE vault_nd_6bfa6180-319e-47dd-b66f-c042c3798176 \* MERGEFORMAT </w:instrText>
      </w:r>
      <w:r w:rsidR="003332D9">
        <w:rPr>
          <w:rFonts w:ascii="Arial" w:hAnsi="Arial" w:cs="Arial"/>
          <w:lang w:val="en-US"/>
        </w:rPr>
        <w:fldChar w:fldCharType="separate"/>
      </w:r>
      <w:r w:rsidR="003332D9">
        <w:rPr>
          <w:rFonts w:ascii="Arial" w:hAnsi="Arial" w:cs="Arial"/>
          <w:lang w:val="en-US"/>
        </w:rPr>
        <w:t xml:space="preserve"> </w:t>
      </w:r>
      <w:r w:rsidR="003332D9">
        <w:rPr>
          <w:rFonts w:ascii="Arial" w:hAnsi="Arial" w:cs="Arial"/>
          <w:lang w:val="en-US"/>
        </w:rPr>
        <w:fldChar w:fldCharType="end"/>
      </w:r>
    </w:p>
    <w:p w14:paraId="6D69ABE4" w14:textId="4B92F757" w:rsidR="00A86014" w:rsidRPr="006C2C4C" w:rsidRDefault="00F7451C" w:rsidP="006C2C4C">
      <w:pPr>
        <w:rPr>
          <w:rFonts w:ascii="Arial" w:eastAsia="MS Mincho" w:hAnsi="Arial" w:cs="Arial"/>
        </w:rPr>
      </w:pPr>
      <w:r w:rsidRPr="006C2C4C">
        <w:rPr>
          <w:rFonts w:ascii="Arial" w:eastAsia="MS Mincho" w:hAnsi="Arial" w:cs="Arial"/>
        </w:rPr>
        <w:t>Cabotegravir was not carcinogenic in long term oral studies in the mouse and rat</w:t>
      </w:r>
      <w:r w:rsidR="00CC04CF" w:rsidRPr="006C2C4C">
        <w:rPr>
          <w:rFonts w:ascii="Arial" w:eastAsia="MS Mincho" w:hAnsi="Arial" w:cs="Arial"/>
        </w:rPr>
        <w:t xml:space="preserve"> at doses resulting in up to 7–8 and 26 times, respectively (75 mg/kg/day in male mice and rats and 35 mg/kg/day in female mice), the maximum AUC in patients</w:t>
      </w:r>
      <w:r w:rsidRPr="006C2C4C">
        <w:rPr>
          <w:rFonts w:ascii="Arial" w:eastAsia="MS Mincho" w:hAnsi="Arial" w:cs="Arial"/>
        </w:rPr>
        <w:t>.</w:t>
      </w:r>
    </w:p>
    <w:p w14:paraId="78950E84" w14:textId="02329245" w:rsidR="001A3992" w:rsidRPr="0013564B" w:rsidRDefault="001A3992" w:rsidP="00445D44">
      <w:pPr>
        <w:pStyle w:val="Heading1"/>
        <w:pageBreakBefore/>
        <w:spacing w:before="0" w:after="120"/>
        <w:ind w:left="431" w:hanging="431"/>
        <w:rPr>
          <w:rFonts w:ascii="Arial" w:hAnsi="Arial" w:cs="Arial"/>
          <w:lang w:val="en-US"/>
        </w:rPr>
      </w:pPr>
      <w:r w:rsidRPr="0013564B">
        <w:rPr>
          <w:rFonts w:ascii="Arial" w:hAnsi="Arial" w:cs="Arial"/>
          <w:lang w:val="en-US"/>
        </w:rPr>
        <w:lastRenderedPageBreak/>
        <w:t>Pharmaceutical particulars</w:t>
      </w:r>
      <w:r w:rsidR="003332D9" w:rsidRPr="0013564B">
        <w:rPr>
          <w:rFonts w:ascii="Arial" w:hAnsi="Arial" w:cs="Arial"/>
          <w:lang w:val="en-US"/>
        </w:rPr>
        <w:fldChar w:fldCharType="begin"/>
      </w:r>
      <w:r w:rsidR="003332D9" w:rsidRPr="0013564B">
        <w:rPr>
          <w:rFonts w:ascii="Arial" w:hAnsi="Arial" w:cs="Arial"/>
          <w:lang w:val="en-US"/>
        </w:rPr>
        <w:instrText xml:space="preserve"> DOCVARIABLE VAULT_ND_08b9e53a-f20b-4b03-9b01-5366902f814b \* MERGEFORMAT </w:instrText>
      </w:r>
      <w:r w:rsidR="003332D9" w:rsidRPr="0013564B">
        <w:rPr>
          <w:rFonts w:ascii="Arial" w:hAnsi="Arial" w:cs="Arial"/>
          <w:lang w:val="en-US"/>
        </w:rPr>
        <w:fldChar w:fldCharType="separate"/>
      </w:r>
      <w:r w:rsidR="003332D9" w:rsidRPr="0013564B">
        <w:rPr>
          <w:rFonts w:ascii="Arial" w:hAnsi="Arial" w:cs="Arial"/>
          <w:lang w:val="en-US"/>
        </w:rPr>
        <w:t xml:space="preserve"> </w:t>
      </w:r>
      <w:r w:rsidR="003332D9" w:rsidRPr="0013564B">
        <w:rPr>
          <w:rFonts w:ascii="Arial" w:hAnsi="Arial" w:cs="Arial"/>
          <w:lang w:val="en-US"/>
        </w:rPr>
        <w:fldChar w:fldCharType="end"/>
      </w:r>
    </w:p>
    <w:p w14:paraId="095AC55C" w14:textId="6D169776"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LIST OF EXCIPIENTS</w:t>
      </w:r>
      <w:r w:rsidR="003332D9">
        <w:rPr>
          <w:rFonts w:ascii="Arial" w:hAnsi="Arial" w:cs="Arial"/>
          <w:smallCaps w:val="0"/>
        </w:rPr>
        <w:fldChar w:fldCharType="begin"/>
      </w:r>
      <w:r w:rsidR="003332D9">
        <w:rPr>
          <w:rFonts w:ascii="Arial" w:hAnsi="Arial" w:cs="Arial"/>
          <w:smallCaps w:val="0"/>
        </w:rPr>
        <w:instrText xml:space="preserve"> DOCVARIABLE VAULT_ND_64386a05-565b-48de-9d60-5cbfa3242f62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4C322F1A" w14:textId="46131C69" w:rsidR="006115D9" w:rsidRPr="006115D9" w:rsidRDefault="006115D9" w:rsidP="006E595D">
      <w:pPr>
        <w:rPr>
          <w:rFonts w:ascii="Arial" w:hAnsi="Arial" w:cs="Arial"/>
          <w:u w:val="single"/>
          <w:lang w:val="en"/>
        </w:rPr>
      </w:pPr>
      <w:r w:rsidRPr="006115D9">
        <w:rPr>
          <w:rFonts w:ascii="Arial" w:hAnsi="Arial" w:cs="Arial"/>
          <w:u w:val="single"/>
          <w:lang w:val="en"/>
        </w:rPr>
        <w:t>Film-coated tablets</w:t>
      </w:r>
    </w:p>
    <w:p w14:paraId="3787F069" w14:textId="77777777" w:rsidR="006115D9" w:rsidRPr="0066460B" w:rsidRDefault="006115D9" w:rsidP="006115D9">
      <w:pPr>
        <w:keepNext/>
        <w:tabs>
          <w:tab w:val="left" w:pos="720"/>
        </w:tabs>
        <w:spacing w:after="0"/>
        <w:rPr>
          <w:rFonts w:ascii="Arial" w:hAnsi="Arial" w:cs="Arial"/>
          <w:lang w:val="en"/>
        </w:rPr>
      </w:pPr>
      <w:bookmarkStart w:id="20" w:name="_Hlk527998038"/>
      <w:r w:rsidRPr="0066460B">
        <w:rPr>
          <w:rFonts w:ascii="Arial" w:hAnsi="Arial" w:cs="Arial"/>
          <w:lang w:val="en"/>
        </w:rPr>
        <w:t xml:space="preserve">Lactose </w:t>
      </w:r>
      <w:r>
        <w:rPr>
          <w:rFonts w:ascii="Arial" w:hAnsi="Arial" w:cs="Arial"/>
          <w:lang w:val="en"/>
        </w:rPr>
        <w:t>m</w:t>
      </w:r>
      <w:r w:rsidRPr="0066460B">
        <w:rPr>
          <w:rFonts w:ascii="Arial" w:hAnsi="Arial" w:cs="Arial"/>
          <w:lang w:val="en"/>
        </w:rPr>
        <w:t>onohydrate</w:t>
      </w:r>
    </w:p>
    <w:p w14:paraId="751EB233" w14:textId="77777777" w:rsidR="006115D9" w:rsidRPr="0066460B" w:rsidRDefault="006115D9" w:rsidP="006115D9">
      <w:pPr>
        <w:keepNext/>
        <w:tabs>
          <w:tab w:val="left" w:pos="720"/>
        </w:tabs>
        <w:spacing w:after="0"/>
        <w:rPr>
          <w:rFonts w:ascii="Arial" w:hAnsi="Arial" w:cs="Arial"/>
          <w:lang w:val="en"/>
        </w:rPr>
      </w:pPr>
      <w:r w:rsidRPr="0066460B">
        <w:rPr>
          <w:rFonts w:ascii="Arial" w:hAnsi="Arial" w:cs="Arial"/>
          <w:lang w:val="en"/>
        </w:rPr>
        <w:t>Microc</w:t>
      </w:r>
      <w:r>
        <w:rPr>
          <w:rFonts w:ascii="Arial" w:hAnsi="Arial" w:cs="Arial"/>
          <w:lang w:val="en"/>
        </w:rPr>
        <w:t>r</w:t>
      </w:r>
      <w:r w:rsidRPr="0066460B">
        <w:rPr>
          <w:rFonts w:ascii="Arial" w:hAnsi="Arial" w:cs="Arial"/>
          <w:lang w:val="en"/>
        </w:rPr>
        <w:t xml:space="preserve">ystalline </w:t>
      </w:r>
      <w:r>
        <w:rPr>
          <w:rFonts w:ascii="Arial" w:hAnsi="Arial" w:cs="Arial"/>
          <w:lang w:val="en"/>
        </w:rPr>
        <w:t>c</w:t>
      </w:r>
      <w:r w:rsidRPr="0066460B">
        <w:rPr>
          <w:rFonts w:ascii="Arial" w:hAnsi="Arial" w:cs="Arial"/>
          <w:lang w:val="en"/>
        </w:rPr>
        <w:t>ellulose</w:t>
      </w:r>
    </w:p>
    <w:p w14:paraId="35A7485D" w14:textId="77777777" w:rsidR="006115D9" w:rsidRDefault="006115D9" w:rsidP="006115D9">
      <w:pPr>
        <w:keepNext/>
        <w:tabs>
          <w:tab w:val="left" w:pos="720"/>
        </w:tabs>
        <w:spacing w:after="0"/>
        <w:rPr>
          <w:rFonts w:ascii="Arial" w:hAnsi="Arial" w:cs="Arial"/>
          <w:lang w:val="en"/>
        </w:rPr>
      </w:pPr>
      <w:r w:rsidRPr="0066460B">
        <w:rPr>
          <w:rFonts w:ascii="Arial" w:hAnsi="Arial" w:cs="Arial"/>
          <w:lang w:val="en"/>
        </w:rPr>
        <w:t>Hypromellose</w:t>
      </w:r>
    </w:p>
    <w:p w14:paraId="6D8FD8BF" w14:textId="77777777" w:rsidR="006115D9" w:rsidRDefault="006115D9" w:rsidP="006115D9">
      <w:pPr>
        <w:keepNext/>
        <w:tabs>
          <w:tab w:val="left" w:pos="720"/>
        </w:tabs>
        <w:spacing w:after="0"/>
        <w:rPr>
          <w:rFonts w:ascii="Arial" w:hAnsi="Arial" w:cs="Arial"/>
          <w:lang w:val="en"/>
        </w:rPr>
      </w:pPr>
      <w:r w:rsidRPr="0066460B">
        <w:rPr>
          <w:rFonts w:ascii="Arial" w:hAnsi="Arial" w:cs="Arial"/>
          <w:lang w:val="en"/>
        </w:rPr>
        <w:t xml:space="preserve">Sodium </w:t>
      </w:r>
      <w:r>
        <w:rPr>
          <w:rFonts w:ascii="Arial" w:hAnsi="Arial" w:cs="Arial"/>
          <w:lang w:val="en"/>
        </w:rPr>
        <w:t>s</w:t>
      </w:r>
      <w:r w:rsidRPr="0066460B">
        <w:rPr>
          <w:rFonts w:ascii="Arial" w:hAnsi="Arial" w:cs="Arial"/>
          <w:lang w:val="en"/>
        </w:rPr>
        <w:t xml:space="preserve">tarch </w:t>
      </w:r>
      <w:r>
        <w:rPr>
          <w:rFonts w:ascii="Arial" w:hAnsi="Arial" w:cs="Arial"/>
          <w:lang w:val="en"/>
        </w:rPr>
        <w:t>g</w:t>
      </w:r>
      <w:r w:rsidRPr="0066460B">
        <w:rPr>
          <w:rFonts w:ascii="Arial" w:hAnsi="Arial" w:cs="Arial"/>
          <w:lang w:val="en"/>
        </w:rPr>
        <w:t>lycolate</w:t>
      </w:r>
      <w:r>
        <w:rPr>
          <w:rFonts w:ascii="Arial" w:hAnsi="Arial" w:cs="Arial"/>
          <w:lang w:val="en"/>
        </w:rPr>
        <w:t xml:space="preserve"> Type A</w:t>
      </w:r>
    </w:p>
    <w:p w14:paraId="427B03BC" w14:textId="77777777" w:rsidR="006115D9" w:rsidRPr="0066460B" w:rsidRDefault="006115D9" w:rsidP="006115D9">
      <w:pPr>
        <w:keepNext/>
        <w:tabs>
          <w:tab w:val="left" w:pos="720"/>
        </w:tabs>
        <w:spacing w:after="0"/>
        <w:rPr>
          <w:rFonts w:ascii="Arial" w:hAnsi="Arial" w:cs="Arial"/>
          <w:lang w:val="en"/>
        </w:rPr>
      </w:pPr>
      <w:r w:rsidRPr="0066460B">
        <w:rPr>
          <w:rFonts w:ascii="Arial" w:hAnsi="Arial" w:cs="Arial"/>
          <w:lang w:val="en"/>
        </w:rPr>
        <w:t xml:space="preserve">Magnesium </w:t>
      </w:r>
      <w:r>
        <w:rPr>
          <w:rFonts w:ascii="Arial" w:hAnsi="Arial" w:cs="Arial"/>
          <w:lang w:val="en"/>
        </w:rPr>
        <w:t>s</w:t>
      </w:r>
      <w:r w:rsidRPr="0066460B">
        <w:rPr>
          <w:rFonts w:ascii="Arial" w:hAnsi="Arial" w:cs="Arial"/>
          <w:lang w:val="en"/>
        </w:rPr>
        <w:t>tearate</w:t>
      </w:r>
    </w:p>
    <w:p w14:paraId="044B0FF4" w14:textId="77777777" w:rsidR="006115D9" w:rsidRPr="0066460B" w:rsidRDefault="006115D9" w:rsidP="006115D9">
      <w:pPr>
        <w:keepNext/>
        <w:tabs>
          <w:tab w:val="left" w:pos="720"/>
        </w:tabs>
        <w:spacing w:after="0"/>
        <w:rPr>
          <w:rFonts w:ascii="Arial" w:hAnsi="Arial" w:cs="Arial"/>
          <w:lang w:val="en"/>
        </w:rPr>
      </w:pPr>
      <w:r w:rsidRPr="0066460B">
        <w:rPr>
          <w:rFonts w:ascii="Arial" w:hAnsi="Arial" w:cs="Arial"/>
          <w:lang w:val="en"/>
        </w:rPr>
        <w:t xml:space="preserve">Titanium </w:t>
      </w:r>
      <w:r>
        <w:rPr>
          <w:rFonts w:ascii="Arial" w:hAnsi="Arial" w:cs="Arial"/>
          <w:lang w:val="en"/>
        </w:rPr>
        <w:t>d</w:t>
      </w:r>
      <w:r w:rsidRPr="0066460B">
        <w:rPr>
          <w:rFonts w:ascii="Arial" w:hAnsi="Arial" w:cs="Arial"/>
          <w:lang w:val="en"/>
        </w:rPr>
        <w:t xml:space="preserve">ioxide </w:t>
      </w:r>
    </w:p>
    <w:p w14:paraId="4EAFB026" w14:textId="77777777" w:rsidR="006115D9" w:rsidRPr="0066460B" w:rsidRDefault="006115D9" w:rsidP="006115D9">
      <w:pPr>
        <w:keepNext/>
        <w:tabs>
          <w:tab w:val="left" w:pos="720"/>
        </w:tabs>
        <w:rPr>
          <w:rFonts w:ascii="Arial" w:hAnsi="Arial" w:cs="Arial"/>
          <w:lang w:val="en"/>
        </w:rPr>
      </w:pPr>
      <w:r w:rsidRPr="0066460B">
        <w:rPr>
          <w:rFonts w:ascii="Arial" w:hAnsi="Arial" w:cs="Arial"/>
          <w:lang w:val="en"/>
        </w:rPr>
        <w:t>Macrogol</w:t>
      </w:r>
      <w:bookmarkEnd w:id="20"/>
      <w:r>
        <w:rPr>
          <w:rFonts w:ascii="Arial" w:hAnsi="Arial" w:cs="Arial"/>
          <w:lang w:val="en"/>
        </w:rPr>
        <w:t xml:space="preserve"> </w:t>
      </w:r>
    </w:p>
    <w:p w14:paraId="1A9CB9D4" w14:textId="77777777" w:rsidR="00AF4AC4" w:rsidRPr="00D65787" w:rsidRDefault="00AF4AC4" w:rsidP="00AF4AC4">
      <w:pPr>
        <w:keepNext/>
        <w:tabs>
          <w:tab w:val="left" w:pos="720"/>
        </w:tabs>
        <w:rPr>
          <w:rFonts w:ascii="Arial" w:hAnsi="Arial" w:cs="Arial"/>
          <w:u w:val="single"/>
          <w:lang w:val="en"/>
        </w:rPr>
      </w:pPr>
      <w:r>
        <w:rPr>
          <w:rFonts w:ascii="Arial" w:hAnsi="Arial" w:cs="Arial"/>
          <w:u w:val="single"/>
          <w:lang w:val="en"/>
        </w:rPr>
        <w:t>Cabotegravir</w:t>
      </w:r>
      <w:r w:rsidRPr="00D65787">
        <w:rPr>
          <w:rFonts w:ascii="Arial" w:hAnsi="Arial" w:cs="Arial"/>
          <w:u w:val="single"/>
          <w:lang w:val="en"/>
        </w:rPr>
        <w:t xml:space="preserve"> </w:t>
      </w:r>
      <w:r>
        <w:rPr>
          <w:rFonts w:ascii="Arial" w:hAnsi="Arial" w:cs="Arial"/>
          <w:u w:val="single"/>
          <w:lang w:val="en"/>
        </w:rPr>
        <w:t>prolonged-release suspension for i</w:t>
      </w:r>
      <w:r w:rsidRPr="00D65787">
        <w:rPr>
          <w:rFonts w:ascii="Arial" w:hAnsi="Arial" w:cs="Arial"/>
          <w:u w:val="single"/>
          <w:lang w:val="en"/>
        </w:rPr>
        <w:t>njection</w:t>
      </w:r>
    </w:p>
    <w:p w14:paraId="0991A7CD" w14:textId="77777777" w:rsidR="00AF4AC4" w:rsidRPr="0066460B" w:rsidRDefault="00AF4AC4" w:rsidP="00AF4AC4">
      <w:pPr>
        <w:keepNext/>
        <w:tabs>
          <w:tab w:val="left" w:pos="720"/>
        </w:tabs>
        <w:spacing w:after="0"/>
        <w:rPr>
          <w:rFonts w:ascii="Arial" w:hAnsi="Arial" w:cs="Arial"/>
          <w:lang w:val="en"/>
        </w:rPr>
      </w:pPr>
      <w:r w:rsidRPr="0066460B">
        <w:rPr>
          <w:rFonts w:ascii="Arial" w:hAnsi="Arial" w:cs="Arial"/>
          <w:lang w:val="en"/>
        </w:rPr>
        <w:t xml:space="preserve">Mannitol </w:t>
      </w:r>
    </w:p>
    <w:p w14:paraId="33DF1646" w14:textId="77777777" w:rsidR="00AF4AC4" w:rsidRPr="0066460B" w:rsidRDefault="00AF4AC4" w:rsidP="00AF4AC4">
      <w:pPr>
        <w:keepNext/>
        <w:tabs>
          <w:tab w:val="left" w:pos="720"/>
        </w:tabs>
        <w:spacing w:after="0"/>
        <w:rPr>
          <w:rFonts w:ascii="Arial" w:hAnsi="Arial" w:cs="Arial"/>
          <w:lang w:val="en"/>
        </w:rPr>
      </w:pPr>
      <w:r w:rsidRPr="0066460B">
        <w:rPr>
          <w:rFonts w:ascii="Arial" w:hAnsi="Arial" w:cs="Arial"/>
          <w:lang w:val="en"/>
        </w:rPr>
        <w:t>Polysorbate 20</w:t>
      </w:r>
    </w:p>
    <w:p w14:paraId="10665B1E" w14:textId="77777777" w:rsidR="00AF4AC4" w:rsidRPr="0066460B" w:rsidRDefault="00AF4AC4" w:rsidP="00AF4AC4">
      <w:pPr>
        <w:keepNext/>
        <w:tabs>
          <w:tab w:val="left" w:pos="720"/>
        </w:tabs>
        <w:spacing w:after="0"/>
        <w:rPr>
          <w:rFonts w:ascii="Arial" w:hAnsi="Arial" w:cs="Arial"/>
          <w:lang w:val="en"/>
        </w:rPr>
      </w:pPr>
      <w:r w:rsidRPr="0066460B">
        <w:rPr>
          <w:rFonts w:ascii="Arial" w:hAnsi="Arial" w:cs="Arial"/>
          <w:lang w:val="en"/>
        </w:rPr>
        <w:t xml:space="preserve">Macrogol 3350 </w:t>
      </w:r>
    </w:p>
    <w:p w14:paraId="6635C308" w14:textId="3444F808" w:rsidR="006115D9" w:rsidRPr="00AF4AC4" w:rsidRDefault="00AF4AC4" w:rsidP="00AF4AC4">
      <w:pPr>
        <w:keepNext/>
        <w:tabs>
          <w:tab w:val="left" w:pos="720"/>
        </w:tabs>
        <w:rPr>
          <w:rFonts w:ascii="Arial" w:hAnsi="Arial" w:cs="Arial"/>
          <w:lang w:val="en"/>
        </w:rPr>
      </w:pPr>
      <w:r w:rsidRPr="0066460B">
        <w:rPr>
          <w:rFonts w:ascii="Arial" w:hAnsi="Arial" w:cs="Arial"/>
          <w:lang w:val="en"/>
        </w:rPr>
        <w:t>Water for injections</w:t>
      </w:r>
    </w:p>
    <w:p w14:paraId="36FD9879" w14:textId="61F36A37"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INCOMPATIBILITIES</w:t>
      </w:r>
      <w:r w:rsidR="003332D9">
        <w:rPr>
          <w:rFonts w:ascii="Arial" w:hAnsi="Arial" w:cs="Arial"/>
          <w:smallCaps w:val="0"/>
        </w:rPr>
        <w:fldChar w:fldCharType="begin"/>
      </w:r>
      <w:r w:rsidR="003332D9">
        <w:rPr>
          <w:rFonts w:ascii="Arial" w:hAnsi="Arial" w:cs="Arial"/>
          <w:smallCaps w:val="0"/>
        </w:rPr>
        <w:instrText xml:space="preserve"> DOCVARIABLE VAULT_ND_948e99cb-7bd2-41dd-8145-28dc53f4bc7c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59F50DF5" w14:textId="75935491" w:rsidR="005B2812" w:rsidRPr="009D5F8D" w:rsidRDefault="009D5F8D" w:rsidP="005B2812">
      <w:pPr>
        <w:rPr>
          <w:rFonts w:ascii="Arial" w:hAnsi="Arial" w:cs="Arial"/>
          <w:lang w:val="en"/>
        </w:rPr>
      </w:pPr>
      <w:r w:rsidRPr="002E5A93">
        <w:rPr>
          <w:rFonts w:ascii="Arial" w:hAnsi="Arial" w:cs="Arial"/>
          <w:lang w:val="en"/>
        </w:rPr>
        <w:t>In the absence of compatibility studies cabotegravir injection must not be mixed with other medicinal products</w:t>
      </w:r>
    </w:p>
    <w:p w14:paraId="292551C9" w14:textId="7EA6ED15"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SHELF LIFE</w:t>
      </w:r>
      <w:r w:rsidR="003332D9">
        <w:rPr>
          <w:rFonts w:ascii="Arial" w:hAnsi="Arial" w:cs="Arial"/>
          <w:smallCaps w:val="0"/>
        </w:rPr>
        <w:fldChar w:fldCharType="begin"/>
      </w:r>
      <w:r w:rsidR="003332D9">
        <w:rPr>
          <w:rFonts w:ascii="Arial" w:hAnsi="Arial" w:cs="Arial"/>
          <w:smallCaps w:val="0"/>
        </w:rPr>
        <w:instrText xml:space="preserve"> DOCVARIABLE VAULT_ND_bac850d2-fb8e-4de3-8bad-cb039df6089f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17BF676F" w14:textId="1951C2D7" w:rsidR="005B2812" w:rsidRDefault="005B2812" w:rsidP="005B2812">
      <w:pPr>
        <w:rPr>
          <w:rFonts w:ascii="Arial" w:hAnsi="Arial" w:cs="Arial"/>
          <w:lang w:val="en"/>
        </w:rPr>
      </w:pPr>
      <w:r w:rsidRPr="00071855">
        <w:rPr>
          <w:rFonts w:ascii="Arial" w:hAnsi="Arial" w:cs="Arial"/>
          <w:lang w:val="en"/>
        </w:rPr>
        <w:t xml:space="preserve">In Australia, information on the shelf life can be found on the public summary of the Australian Register of Therapeutic Goods (ARTG). The expiry date can be found on the packaging. </w:t>
      </w:r>
    </w:p>
    <w:p w14:paraId="20B65752" w14:textId="77777777" w:rsidR="00A13785" w:rsidRPr="00EE79AC" w:rsidRDefault="00A13785" w:rsidP="00A13785">
      <w:pPr>
        <w:rPr>
          <w:rFonts w:ascii="Arial" w:hAnsi="Arial" w:cs="Arial"/>
          <w:u w:val="single"/>
          <w:lang w:val="en"/>
        </w:rPr>
      </w:pPr>
      <w:r w:rsidRPr="00EE79AC">
        <w:rPr>
          <w:rFonts w:ascii="Arial" w:hAnsi="Arial" w:cs="Arial"/>
          <w:u w:val="single"/>
          <w:lang w:val="en"/>
        </w:rPr>
        <w:t xml:space="preserve">In use shelf life: </w:t>
      </w:r>
    </w:p>
    <w:p w14:paraId="70AC6547" w14:textId="5F9FFE5D" w:rsidR="00A13785" w:rsidRPr="00A13785" w:rsidRDefault="00A13785" w:rsidP="005B2812">
      <w:pPr>
        <w:rPr>
          <w:rFonts w:ascii="Arial" w:hAnsi="Arial" w:cs="Arial"/>
          <w:lang w:val="en"/>
        </w:rPr>
      </w:pPr>
      <w:r w:rsidRPr="00EE79AC">
        <w:rPr>
          <w:rFonts w:ascii="Arial" w:hAnsi="Arial" w:cs="Arial"/>
          <w:lang w:val="en"/>
        </w:rPr>
        <w:t>Once the suspension has been drawn into the syringe, the injection should be used as soon as possible, but may be stored for up to 2 hours</w:t>
      </w:r>
      <w:r w:rsidR="00181E46" w:rsidRPr="00EE79AC">
        <w:rPr>
          <w:rFonts w:ascii="Arial" w:hAnsi="Arial" w:cs="Arial"/>
          <w:lang w:val="en"/>
        </w:rPr>
        <w:t xml:space="preserve"> at room temperature</w:t>
      </w:r>
      <w:r w:rsidRPr="00EE79AC">
        <w:rPr>
          <w:rFonts w:ascii="Arial" w:hAnsi="Arial" w:cs="Arial"/>
          <w:lang w:val="en"/>
        </w:rPr>
        <w:t>. If 2 hours are exceeded, the medication, syringe and needle must be discarded.</w:t>
      </w:r>
    </w:p>
    <w:p w14:paraId="24EFD7E1" w14:textId="464D31FF"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SPECIAL PRECAUTIONS FOR STORAGE</w:t>
      </w:r>
      <w:r w:rsidR="003332D9">
        <w:rPr>
          <w:rFonts w:ascii="Arial" w:hAnsi="Arial" w:cs="Arial"/>
          <w:smallCaps w:val="0"/>
        </w:rPr>
        <w:fldChar w:fldCharType="begin"/>
      </w:r>
      <w:r w:rsidR="003332D9">
        <w:rPr>
          <w:rFonts w:ascii="Arial" w:hAnsi="Arial" w:cs="Arial"/>
          <w:smallCaps w:val="0"/>
        </w:rPr>
        <w:instrText xml:space="preserve"> DOCVARIABLE VAULT_ND_aa77750d-447c-4c2e-b31a-3c61718efb1a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27D7A2F8" w14:textId="77777777" w:rsidR="007547DB" w:rsidRDefault="007547DB" w:rsidP="007547DB">
      <w:pPr>
        <w:rPr>
          <w:rFonts w:ascii="Arial" w:hAnsi="Arial" w:cs="Arial"/>
          <w:lang w:val="en"/>
        </w:rPr>
      </w:pPr>
      <w:r>
        <w:rPr>
          <w:rFonts w:ascii="Arial" w:hAnsi="Arial" w:cs="Arial"/>
          <w:lang w:val="en"/>
        </w:rPr>
        <w:t xml:space="preserve">Store below 30°C. </w:t>
      </w:r>
    </w:p>
    <w:p w14:paraId="1693C822" w14:textId="77777777" w:rsidR="007547DB" w:rsidRPr="002E5A93" w:rsidRDefault="007547DB" w:rsidP="007547DB">
      <w:pPr>
        <w:rPr>
          <w:rFonts w:ascii="Arial" w:hAnsi="Arial" w:cs="Arial"/>
          <w:lang w:val="en"/>
        </w:rPr>
      </w:pPr>
      <w:r w:rsidRPr="002E5A93">
        <w:rPr>
          <w:rFonts w:ascii="Arial" w:hAnsi="Arial" w:cs="Arial"/>
          <w:lang w:val="en"/>
        </w:rPr>
        <w:t>Do not freeze.</w:t>
      </w:r>
    </w:p>
    <w:p w14:paraId="5E14AD27" w14:textId="0A6C0F38" w:rsidR="005B2812" w:rsidRPr="00071855" w:rsidRDefault="00071855" w:rsidP="00445D44">
      <w:pPr>
        <w:pStyle w:val="Heading2"/>
        <w:pageBreakBefore/>
        <w:spacing w:before="0" w:after="120"/>
        <w:ind w:left="578" w:hanging="578"/>
        <w:rPr>
          <w:rFonts w:ascii="Arial" w:hAnsi="Arial" w:cs="Arial"/>
          <w:smallCaps w:val="0"/>
        </w:rPr>
      </w:pPr>
      <w:r w:rsidRPr="00071855">
        <w:rPr>
          <w:rFonts w:ascii="Arial" w:hAnsi="Arial" w:cs="Arial"/>
          <w:smallCaps w:val="0"/>
        </w:rPr>
        <w:lastRenderedPageBreak/>
        <w:t xml:space="preserve">NATURE AND CONTENTS OF CONTAINER </w:t>
      </w:r>
      <w:r w:rsidR="003332D9">
        <w:rPr>
          <w:rFonts w:ascii="Arial" w:hAnsi="Arial" w:cs="Arial"/>
          <w:smallCaps w:val="0"/>
        </w:rPr>
        <w:fldChar w:fldCharType="begin"/>
      </w:r>
      <w:r w:rsidR="003332D9">
        <w:rPr>
          <w:rFonts w:ascii="Arial" w:hAnsi="Arial" w:cs="Arial"/>
          <w:smallCaps w:val="0"/>
        </w:rPr>
        <w:instrText xml:space="preserve"> DOCVARIABLE VAULT_ND_6d3ec71a-4516-4396-982a-a82027a31f36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4A34EEF4" w14:textId="258D46FD" w:rsidR="00727AF4" w:rsidRPr="00727AF4" w:rsidRDefault="00727AF4" w:rsidP="00727AF4">
      <w:pPr>
        <w:rPr>
          <w:rFonts w:ascii="Arial" w:hAnsi="Arial" w:cs="Arial"/>
          <w:u w:val="single"/>
          <w:lang w:val="en"/>
        </w:rPr>
      </w:pPr>
      <w:r w:rsidRPr="00727AF4">
        <w:rPr>
          <w:rFonts w:ascii="Arial" w:hAnsi="Arial" w:cs="Arial"/>
          <w:u w:val="single"/>
          <w:lang w:val="en"/>
        </w:rPr>
        <w:t>Film-coated tablets</w:t>
      </w:r>
    </w:p>
    <w:p w14:paraId="29F0334E" w14:textId="6027A257" w:rsidR="00727AF4" w:rsidRPr="002E5A93" w:rsidRDefault="00244AE8" w:rsidP="00727AF4">
      <w:pPr>
        <w:rPr>
          <w:rFonts w:ascii="Arial" w:hAnsi="Arial" w:cs="Arial"/>
          <w:lang w:val="en"/>
        </w:rPr>
      </w:pPr>
      <w:r>
        <w:rPr>
          <w:rFonts w:ascii="Arial" w:hAnsi="Arial" w:cs="Arial"/>
          <w:lang w:val="en"/>
        </w:rPr>
        <w:t>APRETUDE</w:t>
      </w:r>
      <w:r w:rsidR="00727AF4" w:rsidRPr="002E5A93">
        <w:rPr>
          <w:rFonts w:ascii="Arial" w:hAnsi="Arial" w:cs="Arial"/>
          <w:lang w:val="en"/>
        </w:rPr>
        <w:t xml:space="preserve"> tablets are supplied in HDPE (high density polyethylene) bottles </w:t>
      </w:r>
      <w:r w:rsidR="00727AF4">
        <w:rPr>
          <w:rFonts w:ascii="Arial" w:hAnsi="Arial" w:cs="Arial"/>
          <w:lang w:val="en"/>
        </w:rPr>
        <w:t xml:space="preserve">with a polypropylene </w:t>
      </w:r>
      <w:r w:rsidR="00727AF4" w:rsidRPr="002E5A93">
        <w:rPr>
          <w:rFonts w:ascii="Arial" w:hAnsi="Arial" w:cs="Arial"/>
          <w:lang w:val="en"/>
        </w:rPr>
        <w:t>child-resistant closure</w:t>
      </w:r>
      <w:r w:rsidR="00727AF4">
        <w:rPr>
          <w:rFonts w:ascii="Arial" w:hAnsi="Arial" w:cs="Arial"/>
          <w:lang w:val="en"/>
        </w:rPr>
        <w:t xml:space="preserve"> and a polyethylene faced induction heat seal-liner. Each bottle contains 30 tablets</w:t>
      </w:r>
      <w:r w:rsidR="00211714">
        <w:rPr>
          <w:rFonts w:ascii="Arial" w:hAnsi="Arial" w:cs="Arial"/>
          <w:lang w:val="en"/>
        </w:rPr>
        <w:t>.</w:t>
      </w:r>
    </w:p>
    <w:p w14:paraId="4EC94E0C" w14:textId="77777777" w:rsidR="009F57E5" w:rsidRDefault="00727AF4" w:rsidP="00A86014">
      <w:pPr>
        <w:keepNext/>
        <w:keepLines/>
        <w:rPr>
          <w:rFonts w:ascii="Arial" w:hAnsi="Arial" w:cs="Arial"/>
          <w:u w:val="single"/>
          <w:lang w:val="en"/>
        </w:rPr>
      </w:pPr>
      <w:r w:rsidRPr="00727AF4">
        <w:rPr>
          <w:rFonts w:ascii="Arial" w:hAnsi="Arial" w:cs="Arial"/>
          <w:u w:val="single"/>
          <w:lang w:val="en"/>
        </w:rPr>
        <w:t>Prolonged-release suspension for injection</w:t>
      </w:r>
    </w:p>
    <w:p w14:paraId="7A3D981A" w14:textId="5B71E381" w:rsidR="002C7FB1" w:rsidRDefault="00244AE8" w:rsidP="00A86014">
      <w:pPr>
        <w:keepNext/>
        <w:keepLines/>
        <w:autoSpaceDE w:val="0"/>
        <w:autoSpaceDN w:val="0"/>
        <w:adjustRightInd w:val="0"/>
        <w:spacing w:after="0" w:line="240" w:lineRule="auto"/>
        <w:rPr>
          <w:rFonts w:ascii="Arial" w:hAnsi="Arial" w:cs="Arial"/>
          <w:lang w:val="en"/>
        </w:rPr>
      </w:pPr>
      <w:r>
        <w:rPr>
          <w:rFonts w:ascii="Arial" w:hAnsi="Arial" w:cs="Arial"/>
          <w:lang w:val="en"/>
        </w:rPr>
        <w:t>APRETUDE</w:t>
      </w:r>
      <w:r w:rsidR="002C7FB1">
        <w:rPr>
          <w:rFonts w:ascii="Arial" w:hAnsi="Arial" w:cs="Arial"/>
          <w:lang w:val="en"/>
        </w:rPr>
        <w:t xml:space="preserve"> injection is supplied in a T</w:t>
      </w:r>
      <w:r w:rsidR="002C7FB1" w:rsidRPr="00CA13F8">
        <w:rPr>
          <w:rFonts w:ascii="Arial" w:hAnsi="Arial" w:cs="Arial"/>
          <w:lang w:val="en"/>
        </w:rPr>
        <w:t xml:space="preserve">ype I clear glass vial, sealed with </w:t>
      </w:r>
      <w:proofErr w:type="spellStart"/>
      <w:r w:rsidR="002C7FB1" w:rsidRPr="00CA13F8">
        <w:rPr>
          <w:rFonts w:ascii="Arial" w:hAnsi="Arial" w:cs="Arial"/>
          <w:lang w:val="en"/>
        </w:rPr>
        <w:t>bromobutyl</w:t>
      </w:r>
      <w:proofErr w:type="spellEnd"/>
      <w:r w:rsidR="002C7FB1" w:rsidRPr="00CA13F8">
        <w:rPr>
          <w:rFonts w:ascii="Arial" w:hAnsi="Arial" w:cs="Arial"/>
          <w:lang w:val="en"/>
        </w:rPr>
        <w:t xml:space="preserve"> rubber stopper and an aluminum </w:t>
      </w:r>
      <w:proofErr w:type="spellStart"/>
      <w:r w:rsidR="002C7FB1" w:rsidRPr="00CA13F8">
        <w:rPr>
          <w:rFonts w:ascii="Arial" w:hAnsi="Arial" w:cs="Arial"/>
          <w:lang w:val="en"/>
        </w:rPr>
        <w:t>overseal</w:t>
      </w:r>
      <w:proofErr w:type="spellEnd"/>
      <w:r w:rsidR="002C7FB1" w:rsidRPr="00CA13F8">
        <w:rPr>
          <w:rFonts w:ascii="Arial" w:hAnsi="Arial" w:cs="Arial"/>
          <w:lang w:val="en"/>
        </w:rPr>
        <w:t xml:space="preserve"> with a removeable plastic cap.</w:t>
      </w:r>
      <w:r w:rsidR="00977268">
        <w:rPr>
          <w:rFonts w:ascii="Arial" w:hAnsi="Arial" w:cs="Arial"/>
          <w:lang w:val="en"/>
        </w:rPr>
        <w:t xml:space="preserve"> Supplied as </w:t>
      </w:r>
      <w:r w:rsidR="00211714">
        <w:rPr>
          <w:rFonts w:ascii="Arial" w:hAnsi="Arial" w:cs="Arial"/>
          <w:lang w:val="en"/>
        </w:rPr>
        <w:t>a single</w:t>
      </w:r>
      <w:r w:rsidR="00977268">
        <w:rPr>
          <w:rFonts w:ascii="Arial" w:hAnsi="Arial" w:cs="Arial"/>
          <w:lang w:val="en"/>
        </w:rPr>
        <w:t xml:space="preserve"> </w:t>
      </w:r>
      <w:r w:rsidR="00211714">
        <w:rPr>
          <w:rFonts w:ascii="Arial" w:hAnsi="Arial" w:cs="Arial"/>
          <w:lang w:val="en"/>
        </w:rPr>
        <w:t xml:space="preserve">3 mL </w:t>
      </w:r>
      <w:r w:rsidR="00977268">
        <w:rPr>
          <w:rFonts w:ascii="Arial" w:hAnsi="Arial" w:cs="Arial"/>
          <w:lang w:val="en"/>
        </w:rPr>
        <w:t xml:space="preserve">vial or 25 </w:t>
      </w:r>
      <w:r w:rsidR="00211714">
        <w:rPr>
          <w:rFonts w:ascii="Arial" w:hAnsi="Arial" w:cs="Arial"/>
          <w:lang w:val="en"/>
        </w:rPr>
        <w:t xml:space="preserve">x 3 mL </w:t>
      </w:r>
      <w:r w:rsidR="00977268">
        <w:rPr>
          <w:rFonts w:ascii="Arial" w:hAnsi="Arial" w:cs="Arial"/>
          <w:lang w:val="en"/>
        </w:rPr>
        <w:t>vial</w:t>
      </w:r>
      <w:r w:rsidR="00211714">
        <w:rPr>
          <w:rFonts w:ascii="Arial" w:hAnsi="Arial" w:cs="Arial"/>
          <w:lang w:val="en"/>
        </w:rPr>
        <w:t>s.</w:t>
      </w:r>
    </w:p>
    <w:p w14:paraId="761A333C" w14:textId="77777777" w:rsidR="00505242" w:rsidRDefault="00505242" w:rsidP="00A86014">
      <w:pPr>
        <w:keepNext/>
        <w:keepLines/>
        <w:autoSpaceDE w:val="0"/>
        <w:autoSpaceDN w:val="0"/>
        <w:adjustRightInd w:val="0"/>
        <w:spacing w:after="0" w:line="240" w:lineRule="auto"/>
        <w:rPr>
          <w:rFonts w:ascii="Arial" w:hAnsi="Arial" w:cs="Arial"/>
          <w:i/>
          <w:iCs/>
          <w:lang w:val="en"/>
        </w:rPr>
      </w:pPr>
    </w:p>
    <w:p w14:paraId="70464EB6" w14:textId="06939C36" w:rsidR="00071855" w:rsidRPr="006E595D" w:rsidRDefault="006E595D" w:rsidP="006E595D">
      <w:pPr>
        <w:jc w:val="both"/>
        <w:rPr>
          <w:rFonts w:ascii="Arial" w:hAnsi="Arial" w:cs="Arial"/>
          <w:color w:val="0000FF"/>
        </w:rPr>
      </w:pPr>
      <w:r w:rsidRPr="00E8070F">
        <w:rPr>
          <w:rFonts w:ascii="Arial" w:hAnsi="Arial" w:cs="Arial"/>
        </w:rPr>
        <w:t xml:space="preserve">Not all </w:t>
      </w:r>
      <w:r>
        <w:rPr>
          <w:rFonts w:ascii="Arial" w:hAnsi="Arial" w:cs="Arial"/>
        </w:rPr>
        <w:t>pack sizes</w:t>
      </w:r>
      <w:r w:rsidRPr="00E8070F">
        <w:rPr>
          <w:rFonts w:ascii="Arial" w:hAnsi="Arial" w:cs="Arial"/>
        </w:rPr>
        <w:t xml:space="preserve"> may</w:t>
      </w:r>
      <w:r>
        <w:rPr>
          <w:rFonts w:ascii="Arial" w:hAnsi="Arial" w:cs="Arial"/>
        </w:rPr>
        <w:t xml:space="preserve"> </w:t>
      </w:r>
      <w:r w:rsidRPr="00E8070F">
        <w:rPr>
          <w:rFonts w:ascii="Arial" w:hAnsi="Arial" w:cs="Arial"/>
        </w:rPr>
        <w:t xml:space="preserve">be </w:t>
      </w:r>
      <w:r>
        <w:rPr>
          <w:rFonts w:ascii="Arial" w:hAnsi="Arial" w:cs="Arial"/>
        </w:rPr>
        <w:t>distributed in Australia.</w:t>
      </w:r>
      <w:r w:rsidRPr="0095734D">
        <w:rPr>
          <w:rFonts w:ascii="Arial" w:hAnsi="Arial" w:cs="Arial"/>
          <w:color w:val="0000FF"/>
        </w:rPr>
        <w:t xml:space="preserve"> </w:t>
      </w:r>
    </w:p>
    <w:p w14:paraId="54467DF9" w14:textId="04EACBC9"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SPECIAL PRECAUTIONS FOR DISPOSAL</w:t>
      </w:r>
      <w:r w:rsidR="003332D9">
        <w:rPr>
          <w:rFonts w:ascii="Arial" w:hAnsi="Arial" w:cs="Arial"/>
          <w:smallCaps w:val="0"/>
        </w:rPr>
        <w:fldChar w:fldCharType="begin"/>
      </w:r>
      <w:r w:rsidR="003332D9">
        <w:rPr>
          <w:rFonts w:ascii="Arial" w:hAnsi="Arial" w:cs="Arial"/>
          <w:smallCaps w:val="0"/>
        </w:rPr>
        <w:instrText xml:space="preserve"> DOCVARIABLE VAULT_ND_e9df9905-2afe-44ce-afa3-b4b61b6db46b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1DD38A18" w14:textId="77777777" w:rsidR="008F1F15" w:rsidRDefault="005B2812" w:rsidP="005B2812">
      <w:pPr>
        <w:rPr>
          <w:rFonts w:ascii="Arial" w:hAnsi="Arial" w:cs="Arial"/>
          <w:lang w:val="en"/>
        </w:rPr>
      </w:pPr>
      <w:r w:rsidRPr="00071855">
        <w:rPr>
          <w:rFonts w:ascii="Arial" w:hAnsi="Arial" w:cs="Arial"/>
          <w:lang w:val="en"/>
        </w:rPr>
        <w:t xml:space="preserve">In Australia, any unused medicine or waste material should be disposed of by taking to your local pharmacy. </w:t>
      </w:r>
    </w:p>
    <w:p w14:paraId="687C0D47" w14:textId="67DC7BD0" w:rsidR="005B2812" w:rsidRPr="008F1F15" w:rsidRDefault="008F1F15" w:rsidP="008F1F15">
      <w:pPr>
        <w:rPr>
          <w:rFonts w:ascii="Arial" w:hAnsi="Arial" w:cs="Arial"/>
          <w:lang w:val="en"/>
        </w:rPr>
      </w:pPr>
      <w:r w:rsidRPr="002E5A93">
        <w:rPr>
          <w:rFonts w:ascii="Arial" w:hAnsi="Arial" w:cs="Arial"/>
          <w:lang w:val="en"/>
        </w:rPr>
        <w:t xml:space="preserve">Full instructions for use and handling of </w:t>
      </w:r>
      <w:r w:rsidR="00244AE8">
        <w:rPr>
          <w:rFonts w:ascii="Arial" w:hAnsi="Arial" w:cs="Arial"/>
          <w:lang w:val="en"/>
        </w:rPr>
        <w:t>APRETUDE</w:t>
      </w:r>
      <w:r>
        <w:rPr>
          <w:rFonts w:ascii="Arial" w:hAnsi="Arial" w:cs="Arial"/>
          <w:lang w:val="en"/>
        </w:rPr>
        <w:t xml:space="preserve"> prolonged-release suspension for injection</w:t>
      </w:r>
      <w:r w:rsidRPr="002E5A93">
        <w:rPr>
          <w:rFonts w:ascii="Arial" w:hAnsi="Arial" w:cs="Arial"/>
          <w:lang w:val="en"/>
        </w:rPr>
        <w:t xml:space="preserve"> </w:t>
      </w:r>
      <w:r>
        <w:rPr>
          <w:rFonts w:ascii="Arial" w:hAnsi="Arial" w:cs="Arial"/>
          <w:lang w:val="en"/>
        </w:rPr>
        <w:t>is</w:t>
      </w:r>
      <w:r w:rsidRPr="002E5A93">
        <w:rPr>
          <w:rFonts w:ascii="Arial" w:hAnsi="Arial" w:cs="Arial"/>
          <w:lang w:val="en"/>
        </w:rPr>
        <w:t xml:space="preserve"> provided in the Instructions for Use</w:t>
      </w:r>
      <w:r>
        <w:rPr>
          <w:rFonts w:ascii="Arial" w:hAnsi="Arial" w:cs="Arial"/>
          <w:lang w:val="en"/>
        </w:rPr>
        <w:t xml:space="preserve"> included as a package insert.</w:t>
      </w:r>
    </w:p>
    <w:p w14:paraId="7A164ADC" w14:textId="094416AA"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PHYSICOCHEMICAL PROPERTIES</w:t>
      </w:r>
      <w:r w:rsidR="003332D9">
        <w:rPr>
          <w:rFonts w:ascii="Arial" w:hAnsi="Arial" w:cs="Arial"/>
          <w:smallCaps w:val="0"/>
        </w:rPr>
        <w:fldChar w:fldCharType="begin"/>
      </w:r>
      <w:r w:rsidR="003332D9">
        <w:rPr>
          <w:rFonts w:ascii="Arial" w:hAnsi="Arial" w:cs="Arial"/>
          <w:smallCaps w:val="0"/>
        </w:rPr>
        <w:instrText xml:space="preserve"> DOCVARIABLE VAULT_ND_9f2ed195-a22f-428a-bf1a-4c80c5c590b4 \* MERGEFORMAT </w:instrText>
      </w:r>
      <w:r w:rsidR="003332D9">
        <w:rPr>
          <w:rFonts w:ascii="Arial" w:hAnsi="Arial" w:cs="Arial"/>
          <w:smallCaps w:val="0"/>
        </w:rPr>
        <w:fldChar w:fldCharType="separate"/>
      </w:r>
      <w:r w:rsidR="003332D9">
        <w:rPr>
          <w:rFonts w:ascii="Arial" w:hAnsi="Arial" w:cs="Arial"/>
          <w:smallCaps w:val="0"/>
        </w:rPr>
        <w:t xml:space="preserve"> </w:t>
      </w:r>
      <w:r w:rsidR="003332D9">
        <w:rPr>
          <w:rFonts w:ascii="Arial" w:hAnsi="Arial" w:cs="Arial"/>
          <w:smallCaps w:val="0"/>
        </w:rPr>
        <w:fldChar w:fldCharType="end"/>
      </w:r>
    </w:p>
    <w:p w14:paraId="2DD4409A" w14:textId="77777777" w:rsidR="00F833B7" w:rsidRPr="00095967" w:rsidRDefault="00F833B7" w:rsidP="00F833B7">
      <w:pPr>
        <w:pStyle w:val="Heading3"/>
        <w:spacing w:before="0" w:after="120"/>
        <w:rPr>
          <w:rFonts w:ascii="Arial" w:hAnsi="Arial" w:cs="Arial"/>
          <w:lang w:val="en-US"/>
        </w:rPr>
      </w:pPr>
      <w:r w:rsidRPr="00095967">
        <w:rPr>
          <w:rFonts w:ascii="Arial" w:hAnsi="Arial" w:cs="Arial"/>
          <w:lang w:val="en-US"/>
        </w:rPr>
        <w:t>Cabotegravir</w:t>
      </w:r>
      <w:r>
        <w:rPr>
          <w:rFonts w:ascii="Arial" w:hAnsi="Arial" w:cs="Arial"/>
          <w:lang w:val="en-US"/>
        </w:rPr>
        <w:t xml:space="preserve"> sodium</w:t>
      </w:r>
      <w:r>
        <w:rPr>
          <w:rFonts w:ascii="Arial" w:hAnsi="Arial" w:cs="Arial"/>
          <w:lang w:val="en-US"/>
        </w:rPr>
        <w:fldChar w:fldCharType="begin"/>
      </w:r>
      <w:r>
        <w:rPr>
          <w:rFonts w:ascii="Arial" w:hAnsi="Arial" w:cs="Arial"/>
          <w:lang w:val="en-US"/>
        </w:rPr>
        <w:instrText xml:space="preserve"> DOCVARIABLE vault_nd_ab4357b9-9173-4f53-bc9c-f265ba542a97 \* MERGEFORMAT </w:instrText>
      </w:r>
      <w:r>
        <w:rPr>
          <w:rFonts w:ascii="Arial" w:hAnsi="Arial" w:cs="Arial"/>
          <w:lang w:val="en-US"/>
        </w:rPr>
        <w:fldChar w:fldCharType="separate"/>
      </w:r>
      <w:r>
        <w:rPr>
          <w:rFonts w:ascii="Arial" w:hAnsi="Arial" w:cs="Arial"/>
          <w:lang w:val="en-US"/>
        </w:rPr>
        <w:t xml:space="preserve"> </w:t>
      </w:r>
      <w:r>
        <w:rPr>
          <w:rFonts w:ascii="Arial" w:hAnsi="Arial" w:cs="Arial"/>
          <w:lang w:val="en-US"/>
        </w:rPr>
        <w:fldChar w:fldCharType="end"/>
      </w:r>
    </w:p>
    <w:p w14:paraId="42BF229F" w14:textId="77777777" w:rsidR="00F833B7" w:rsidRPr="00BC19A4" w:rsidRDefault="00F833B7" w:rsidP="00F833B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rPr>
      </w:pPr>
      <w:r w:rsidRPr="00BC19A4">
        <w:rPr>
          <w:rFonts w:ascii="Arial" w:hAnsi="Arial" w:cs="Arial"/>
          <w:lang w:val="en-CA"/>
        </w:rPr>
        <w:t>Chemical name:</w:t>
      </w:r>
      <w:r w:rsidRPr="00142574">
        <w:t xml:space="preserve"> </w:t>
      </w:r>
      <w:r>
        <w:rPr>
          <w:rFonts w:ascii="Arial" w:hAnsi="Arial" w:cs="Arial"/>
          <w:lang w:val="en-CA"/>
        </w:rPr>
        <w:t>s</w:t>
      </w:r>
      <w:r w:rsidRPr="00142574">
        <w:rPr>
          <w:rFonts w:ascii="Arial" w:hAnsi="Arial" w:cs="Arial"/>
          <w:lang w:val="en-CA"/>
        </w:rPr>
        <w:t>odium (3S,11aR)-N-[(2,4-</w:t>
      </w:r>
      <w:proofErr w:type="gramStart"/>
      <w:r w:rsidRPr="00142574">
        <w:rPr>
          <w:rFonts w:ascii="Arial" w:hAnsi="Arial" w:cs="Arial"/>
          <w:lang w:val="en-CA"/>
        </w:rPr>
        <w:t>difluorophenyl)methyl</w:t>
      </w:r>
      <w:proofErr w:type="gramEnd"/>
      <w:r w:rsidRPr="00142574">
        <w:rPr>
          <w:rFonts w:ascii="Arial" w:hAnsi="Arial" w:cs="Arial"/>
          <w:lang w:val="en-CA"/>
        </w:rPr>
        <w:t>]-6-hydroxy-3-methyl-5,7-dioxo-2,3,5,7,11,11a-hexahydro[1,3]oxazolo[3,2-a]pyrido [1,2-d]pyrazine-8-carboxamide</w:t>
      </w:r>
      <w:r w:rsidRPr="00BC19A4">
        <w:rPr>
          <w:rFonts w:ascii="Arial" w:hAnsi="Arial" w:cs="Arial"/>
          <w:lang w:val="en-CA"/>
        </w:rPr>
        <w:t xml:space="preserve">  </w:t>
      </w:r>
    </w:p>
    <w:p w14:paraId="399FFCF6" w14:textId="77777777" w:rsidR="00F833B7" w:rsidRPr="00950732" w:rsidRDefault="00F833B7" w:rsidP="00F833B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rPr>
      </w:pPr>
      <w:r w:rsidRPr="00BC19A4">
        <w:rPr>
          <w:rFonts w:ascii="Arial" w:hAnsi="Arial" w:cs="Arial"/>
          <w:lang w:val="en-CA"/>
        </w:rPr>
        <w:t xml:space="preserve">Molecular formula: </w:t>
      </w:r>
      <w:r w:rsidRPr="00950732">
        <w:rPr>
          <w:rFonts w:ascii="Arial" w:hAnsi="Arial" w:cs="Arial"/>
          <w:lang w:val="en-CA"/>
        </w:rPr>
        <w:t>C</w:t>
      </w:r>
      <w:r w:rsidRPr="00950732">
        <w:rPr>
          <w:rFonts w:ascii="Arial" w:hAnsi="Arial" w:cs="Arial"/>
          <w:vertAlign w:val="subscript"/>
          <w:lang w:val="en-CA"/>
        </w:rPr>
        <w:t>19</w:t>
      </w:r>
      <w:r w:rsidRPr="00950732">
        <w:rPr>
          <w:rFonts w:ascii="Arial" w:hAnsi="Arial" w:cs="Arial"/>
          <w:lang w:val="en-CA"/>
        </w:rPr>
        <w:t>H</w:t>
      </w:r>
      <w:r w:rsidRPr="00950732">
        <w:rPr>
          <w:rFonts w:ascii="Arial" w:hAnsi="Arial" w:cs="Arial"/>
          <w:vertAlign w:val="subscript"/>
          <w:lang w:val="en-CA"/>
        </w:rPr>
        <w:t>16</w:t>
      </w:r>
      <w:r w:rsidRPr="00950732">
        <w:rPr>
          <w:rFonts w:ascii="Arial" w:hAnsi="Arial" w:cs="Arial"/>
          <w:lang w:val="en-CA"/>
        </w:rPr>
        <w:t>F</w:t>
      </w:r>
      <w:r w:rsidRPr="00950732">
        <w:rPr>
          <w:rFonts w:ascii="Arial" w:hAnsi="Arial" w:cs="Arial"/>
          <w:vertAlign w:val="subscript"/>
          <w:lang w:val="en-CA"/>
        </w:rPr>
        <w:t>2</w:t>
      </w:r>
      <w:r w:rsidRPr="00950732">
        <w:rPr>
          <w:rFonts w:ascii="Arial" w:hAnsi="Arial" w:cs="Arial"/>
          <w:lang w:val="en-CA"/>
        </w:rPr>
        <w:t>N</w:t>
      </w:r>
      <w:r w:rsidRPr="00950732">
        <w:rPr>
          <w:rFonts w:ascii="Arial" w:hAnsi="Arial" w:cs="Arial"/>
          <w:vertAlign w:val="subscript"/>
          <w:lang w:val="en-CA"/>
        </w:rPr>
        <w:t>3</w:t>
      </w:r>
      <w:r w:rsidRPr="00950732">
        <w:rPr>
          <w:rFonts w:ascii="Arial" w:hAnsi="Arial" w:cs="Arial"/>
          <w:lang w:val="en-CA"/>
        </w:rPr>
        <w:t>NaO</w:t>
      </w:r>
      <w:r w:rsidRPr="00950732">
        <w:rPr>
          <w:rFonts w:ascii="Arial" w:hAnsi="Arial" w:cs="Arial"/>
          <w:vertAlign w:val="subscript"/>
          <w:lang w:val="en-CA"/>
        </w:rPr>
        <w:t>5</w:t>
      </w:r>
    </w:p>
    <w:p w14:paraId="49B842FB" w14:textId="77777777" w:rsidR="00F833B7" w:rsidRPr="00950732" w:rsidRDefault="00F833B7" w:rsidP="00F833B7">
      <w:pPr>
        <w:widowControl w:val="0"/>
        <w:tabs>
          <w:tab w:val="left" w:pos="-144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920"/>
          <w:tab w:val="left" w:pos="8640"/>
          <w:tab w:val="left" w:pos="9360"/>
          <w:tab w:val="left" w:pos="10080"/>
        </w:tabs>
        <w:rPr>
          <w:rFonts w:ascii="Arial" w:hAnsi="Arial" w:cs="Arial"/>
          <w:lang w:val="en-CA"/>
        </w:rPr>
      </w:pPr>
      <w:r>
        <w:rPr>
          <w:rFonts w:ascii="Arial" w:hAnsi="Arial" w:cs="Arial"/>
          <w:lang w:val="en-CA"/>
        </w:rPr>
        <w:t>M</w:t>
      </w:r>
      <w:r w:rsidRPr="00BC19A4">
        <w:rPr>
          <w:rFonts w:ascii="Arial" w:hAnsi="Arial" w:cs="Arial"/>
          <w:lang w:val="en-CA"/>
        </w:rPr>
        <w:t xml:space="preserve">olecular </w:t>
      </w:r>
      <w:r>
        <w:rPr>
          <w:rFonts w:ascii="Arial" w:hAnsi="Arial" w:cs="Arial"/>
          <w:lang w:val="en-CA"/>
        </w:rPr>
        <w:t xml:space="preserve">weight: </w:t>
      </w:r>
      <w:r w:rsidRPr="00950732">
        <w:rPr>
          <w:rFonts w:ascii="Arial" w:hAnsi="Arial" w:cs="Arial"/>
          <w:lang w:val="en-CA"/>
        </w:rPr>
        <w:t>427.33 g/mol</w:t>
      </w:r>
    </w:p>
    <w:p w14:paraId="3CEE7A50" w14:textId="77777777" w:rsidR="00F833B7" w:rsidRPr="00095967" w:rsidRDefault="00F833B7" w:rsidP="00F833B7">
      <w:pPr>
        <w:rPr>
          <w:rFonts w:ascii="Arial" w:hAnsi="Arial" w:cs="Arial"/>
          <w:lang w:val="en"/>
        </w:rPr>
      </w:pPr>
      <w:r w:rsidRPr="00095967">
        <w:rPr>
          <w:rFonts w:ascii="Arial" w:hAnsi="Arial" w:cs="Arial"/>
          <w:lang w:val="en"/>
        </w:rPr>
        <w:t>Chemical structure</w:t>
      </w:r>
    </w:p>
    <w:p w14:paraId="23D734D1" w14:textId="77777777" w:rsidR="00F833B7" w:rsidRPr="00095967" w:rsidRDefault="00F833B7" w:rsidP="00F833B7">
      <w:pPr>
        <w:rPr>
          <w:rFonts w:ascii="Arial" w:hAnsi="Arial" w:cs="Arial"/>
          <w:lang w:val="en"/>
        </w:rPr>
      </w:pPr>
      <w:r w:rsidRPr="00F94D45">
        <w:rPr>
          <w:noProof/>
        </w:rPr>
        <w:drawing>
          <wp:inline distT="0" distB="0" distL="0" distR="0" wp14:anchorId="580AF9DC" wp14:editId="3820505A">
            <wp:extent cx="230505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800100"/>
                    </a:xfrm>
                    <a:prstGeom prst="rect">
                      <a:avLst/>
                    </a:prstGeom>
                    <a:noFill/>
                    <a:ln>
                      <a:noFill/>
                    </a:ln>
                  </pic:spPr>
                </pic:pic>
              </a:graphicData>
            </a:graphic>
          </wp:inline>
        </w:drawing>
      </w:r>
    </w:p>
    <w:p w14:paraId="12120308" w14:textId="77777777" w:rsidR="00F833B7" w:rsidRDefault="00F833B7" w:rsidP="00F833B7">
      <w:pPr>
        <w:rPr>
          <w:rFonts w:ascii="Arial" w:hAnsi="Arial" w:cs="Arial"/>
          <w:lang w:val="en"/>
        </w:rPr>
      </w:pPr>
      <w:r w:rsidRPr="00095967">
        <w:rPr>
          <w:rFonts w:ascii="Arial" w:hAnsi="Arial" w:cs="Arial"/>
          <w:lang w:val="en"/>
        </w:rPr>
        <w:t>CAS number</w:t>
      </w:r>
      <w:r>
        <w:rPr>
          <w:rFonts w:ascii="Arial" w:hAnsi="Arial" w:cs="Arial"/>
          <w:lang w:val="en"/>
        </w:rPr>
        <w:t>: 1051375-13-3</w:t>
      </w:r>
    </w:p>
    <w:p w14:paraId="200EE38D" w14:textId="77777777" w:rsidR="00356D34" w:rsidRPr="00095967" w:rsidRDefault="00356D34" w:rsidP="00356D34">
      <w:pPr>
        <w:pStyle w:val="Heading3"/>
        <w:spacing w:before="0" w:after="120"/>
        <w:rPr>
          <w:rFonts w:ascii="Arial" w:hAnsi="Arial" w:cs="Arial"/>
          <w:lang w:val="en-US"/>
        </w:rPr>
      </w:pPr>
      <w:r w:rsidRPr="00095967">
        <w:rPr>
          <w:rFonts w:ascii="Arial" w:hAnsi="Arial" w:cs="Arial"/>
          <w:lang w:val="en-US"/>
        </w:rPr>
        <w:t>Cabotegravir</w:t>
      </w:r>
      <w:r>
        <w:rPr>
          <w:rFonts w:ascii="Arial" w:hAnsi="Arial" w:cs="Arial"/>
          <w:lang w:val="en-US"/>
        </w:rPr>
        <w:fldChar w:fldCharType="begin"/>
      </w:r>
      <w:r>
        <w:rPr>
          <w:rFonts w:ascii="Arial" w:hAnsi="Arial" w:cs="Arial"/>
          <w:lang w:val="en-US"/>
        </w:rPr>
        <w:instrText xml:space="preserve"> DOCVARIABLE vault_nd_422cb373-775e-4ff7-b6a8-0ddc2e1c6136 \* MERGEFORMAT </w:instrText>
      </w:r>
      <w:r>
        <w:rPr>
          <w:rFonts w:ascii="Arial" w:hAnsi="Arial" w:cs="Arial"/>
          <w:lang w:val="en-US"/>
        </w:rPr>
        <w:fldChar w:fldCharType="separate"/>
      </w:r>
      <w:r>
        <w:rPr>
          <w:rFonts w:ascii="Arial" w:hAnsi="Arial" w:cs="Arial"/>
          <w:lang w:val="en-US"/>
        </w:rPr>
        <w:t xml:space="preserve"> </w:t>
      </w:r>
      <w:r>
        <w:rPr>
          <w:rFonts w:ascii="Arial" w:hAnsi="Arial" w:cs="Arial"/>
          <w:lang w:val="en-US"/>
        </w:rPr>
        <w:fldChar w:fldCharType="end"/>
      </w:r>
    </w:p>
    <w:p w14:paraId="763C52BD" w14:textId="77777777" w:rsidR="00356D34" w:rsidRPr="00BC19A4" w:rsidRDefault="00356D34" w:rsidP="00356D3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rPr>
      </w:pPr>
      <w:r w:rsidRPr="00BC19A4">
        <w:rPr>
          <w:rFonts w:ascii="Arial" w:hAnsi="Arial" w:cs="Arial"/>
          <w:lang w:val="en-CA"/>
        </w:rPr>
        <w:t>Chemical name:</w:t>
      </w:r>
      <w:r>
        <w:rPr>
          <w:rFonts w:ascii="Arial" w:hAnsi="Arial" w:cs="Arial"/>
          <w:lang w:val="en-CA"/>
        </w:rPr>
        <w:t xml:space="preserve"> (</w:t>
      </w:r>
      <w:r w:rsidRPr="00142574">
        <w:rPr>
          <w:rFonts w:ascii="Arial" w:hAnsi="Arial" w:cs="Arial"/>
          <w:lang w:val="en-CA"/>
        </w:rPr>
        <w:t>3S,11aR)-N-[(2,4-</w:t>
      </w:r>
      <w:proofErr w:type="gramStart"/>
      <w:r w:rsidRPr="00142574">
        <w:rPr>
          <w:rFonts w:ascii="Arial" w:hAnsi="Arial" w:cs="Arial"/>
          <w:lang w:val="en-CA"/>
        </w:rPr>
        <w:t>Difluorophenyl)methyl</w:t>
      </w:r>
      <w:proofErr w:type="gramEnd"/>
      <w:r w:rsidRPr="00142574">
        <w:rPr>
          <w:rFonts w:ascii="Arial" w:hAnsi="Arial" w:cs="Arial"/>
          <w:lang w:val="en-CA"/>
        </w:rPr>
        <w:t>]-6-hydroxy-3-methyl-5,7-dioxo-2,3,5,7,11,11a-hexahydro[1,3]oxazolo[3,2-a]pyrido[1,2-d]pyrazine-8-carboxamide</w:t>
      </w:r>
      <w:r w:rsidRPr="00BC19A4">
        <w:rPr>
          <w:rFonts w:ascii="Arial" w:hAnsi="Arial" w:cs="Arial"/>
          <w:lang w:val="en-CA"/>
        </w:rPr>
        <w:t xml:space="preserve">  </w:t>
      </w:r>
    </w:p>
    <w:p w14:paraId="033F178C" w14:textId="77777777" w:rsidR="00356D34" w:rsidRPr="00950732" w:rsidRDefault="00356D34" w:rsidP="00356D3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rPr>
      </w:pPr>
      <w:r w:rsidRPr="00BC19A4">
        <w:rPr>
          <w:rFonts w:ascii="Arial" w:hAnsi="Arial" w:cs="Arial"/>
          <w:lang w:val="en-CA"/>
        </w:rPr>
        <w:t>Molecular formula</w:t>
      </w:r>
      <w:r w:rsidRPr="00950732">
        <w:rPr>
          <w:rFonts w:ascii="Arial" w:hAnsi="Arial" w:cs="Arial"/>
          <w:lang w:val="en-CA"/>
        </w:rPr>
        <w:t>: C</w:t>
      </w:r>
      <w:r w:rsidRPr="00950732">
        <w:rPr>
          <w:rFonts w:ascii="Arial" w:hAnsi="Arial" w:cs="Arial"/>
          <w:vertAlign w:val="subscript"/>
          <w:lang w:val="en-CA"/>
        </w:rPr>
        <w:t>19</w:t>
      </w:r>
      <w:r w:rsidRPr="00950732">
        <w:rPr>
          <w:rFonts w:ascii="Arial" w:hAnsi="Arial" w:cs="Arial"/>
          <w:lang w:val="en-CA"/>
        </w:rPr>
        <w:t>H</w:t>
      </w:r>
      <w:r w:rsidRPr="00950732">
        <w:rPr>
          <w:rFonts w:ascii="Arial" w:hAnsi="Arial" w:cs="Arial"/>
          <w:vertAlign w:val="subscript"/>
          <w:lang w:val="en-CA"/>
        </w:rPr>
        <w:t>17</w:t>
      </w:r>
      <w:r w:rsidRPr="00950732">
        <w:rPr>
          <w:rFonts w:ascii="Arial" w:hAnsi="Arial" w:cs="Arial"/>
          <w:lang w:val="en-CA"/>
        </w:rPr>
        <w:t>F</w:t>
      </w:r>
      <w:r w:rsidRPr="00950732">
        <w:rPr>
          <w:rFonts w:ascii="Arial" w:hAnsi="Arial" w:cs="Arial"/>
          <w:vertAlign w:val="subscript"/>
          <w:lang w:val="en-CA"/>
        </w:rPr>
        <w:t>2</w:t>
      </w:r>
      <w:r w:rsidRPr="00950732">
        <w:rPr>
          <w:rFonts w:ascii="Arial" w:hAnsi="Arial" w:cs="Arial"/>
          <w:lang w:val="en-CA"/>
        </w:rPr>
        <w:t>N</w:t>
      </w:r>
      <w:r w:rsidRPr="00950732">
        <w:rPr>
          <w:rFonts w:ascii="Arial" w:hAnsi="Arial" w:cs="Arial"/>
          <w:vertAlign w:val="subscript"/>
          <w:lang w:val="en-CA"/>
        </w:rPr>
        <w:t>3</w:t>
      </w:r>
      <w:r w:rsidRPr="00950732">
        <w:rPr>
          <w:rFonts w:ascii="Arial" w:hAnsi="Arial" w:cs="Arial"/>
          <w:lang w:val="en-CA"/>
        </w:rPr>
        <w:t>O</w:t>
      </w:r>
      <w:r w:rsidRPr="00950732">
        <w:rPr>
          <w:rFonts w:ascii="Arial" w:hAnsi="Arial" w:cs="Arial"/>
          <w:vertAlign w:val="subscript"/>
          <w:lang w:val="en-CA"/>
        </w:rPr>
        <w:t>5</w:t>
      </w:r>
    </w:p>
    <w:p w14:paraId="26770524" w14:textId="77777777" w:rsidR="00356D34" w:rsidRPr="00950732" w:rsidRDefault="00356D34" w:rsidP="00356D34">
      <w:pPr>
        <w:widowControl w:val="0"/>
        <w:tabs>
          <w:tab w:val="left" w:pos="-144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920"/>
          <w:tab w:val="left" w:pos="8640"/>
          <w:tab w:val="left" w:pos="9360"/>
          <w:tab w:val="left" w:pos="10080"/>
        </w:tabs>
        <w:rPr>
          <w:rFonts w:ascii="Arial" w:hAnsi="Arial" w:cs="Arial"/>
          <w:lang w:val="en-CA"/>
        </w:rPr>
      </w:pPr>
      <w:r>
        <w:rPr>
          <w:rFonts w:ascii="Arial" w:hAnsi="Arial" w:cs="Arial"/>
          <w:lang w:val="en-CA"/>
        </w:rPr>
        <w:lastRenderedPageBreak/>
        <w:t xml:space="preserve">Molecular weight: </w:t>
      </w:r>
      <w:r w:rsidRPr="00950732">
        <w:rPr>
          <w:rFonts w:ascii="Arial" w:hAnsi="Arial" w:cs="Arial"/>
          <w:lang w:val="en-CA"/>
        </w:rPr>
        <w:t>405.35 g/mol</w:t>
      </w:r>
    </w:p>
    <w:p w14:paraId="3F0D0129" w14:textId="77777777" w:rsidR="00356D34" w:rsidRPr="00095967" w:rsidRDefault="00356D34" w:rsidP="00356D34">
      <w:pPr>
        <w:rPr>
          <w:rFonts w:ascii="Arial" w:hAnsi="Arial" w:cs="Arial"/>
          <w:lang w:val="en"/>
        </w:rPr>
      </w:pPr>
      <w:r w:rsidRPr="00095967">
        <w:rPr>
          <w:rFonts w:ascii="Arial" w:hAnsi="Arial" w:cs="Arial"/>
          <w:lang w:val="en"/>
        </w:rPr>
        <w:t>Chemical structure</w:t>
      </w:r>
    </w:p>
    <w:p w14:paraId="70F24C85" w14:textId="77777777" w:rsidR="00356D34" w:rsidRDefault="00356D34" w:rsidP="00356D34">
      <w:pPr>
        <w:rPr>
          <w:rFonts w:ascii="Arial" w:hAnsi="Arial" w:cs="Arial"/>
          <w:lang w:val="en"/>
        </w:rPr>
      </w:pPr>
      <w:r w:rsidRPr="00950732">
        <w:rPr>
          <w:noProof/>
        </w:rPr>
        <w:drawing>
          <wp:inline distT="0" distB="0" distL="0" distR="0" wp14:anchorId="31072CFB" wp14:editId="7B55792A">
            <wp:extent cx="2352675" cy="876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2675" cy="876300"/>
                    </a:xfrm>
                    <a:prstGeom prst="rect">
                      <a:avLst/>
                    </a:prstGeom>
                    <a:noFill/>
                    <a:ln>
                      <a:noFill/>
                    </a:ln>
                  </pic:spPr>
                </pic:pic>
              </a:graphicData>
            </a:graphic>
          </wp:inline>
        </w:drawing>
      </w:r>
    </w:p>
    <w:p w14:paraId="1A6E8739" w14:textId="77777777" w:rsidR="00356D34" w:rsidRDefault="00356D34" w:rsidP="00356D34">
      <w:pPr>
        <w:rPr>
          <w:rFonts w:ascii="Arial" w:hAnsi="Arial" w:cs="Arial"/>
          <w:lang w:val="en"/>
        </w:rPr>
      </w:pPr>
      <w:r w:rsidRPr="00095967">
        <w:rPr>
          <w:rFonts w:ascii="Arial" w:hAnsi="Arial" w:cs="Arial"/>
          <w:lang w:val="en"/>
        </w:rPr>
        <w:t>CAS number</w:t>
      </w:r>
      <w:r>
        <w:rPr>
          <w:rFonts w:ascii="Arial" w:hAnsi="Arial" w:cs="Arial"/>
          <w:lang w:val="en"/>
        </w:rPr>
        <w:t>: 1051375-10-0</w:t>
      </w:r>
    </w:p>
    <w:p w14:paraId="4442D39B" w14:textId="30C547E4" w:rsidR="001A3992" w:rsidRPr="00356D34" w:rsidRDefault="00356D34" w:rsidP="00356D34">
      <w:pPr>
        <w:rPr>
          <w:rFonts w:ascii="Arial" w:hAnsi="Arial" w:cs="Arial"/>
        </w:rPr>
      </w:pPr>
      <w:r w:rsidRPr="00D669EB">
        <w:rPr>
          <w:rFonts w:ascii="Arial" w:hAnsi="Arial" w:cs="Arial"/>
        </w:rPr>
        <w:t>Cabotegravir is a white to almost white solid.</w:t>
      </w:r>
    </w:p>
    <w:p w14:paraId="540211B8" w14:textId="20D632A0" w:rsidR="001A3992" w:rsidRPr="0013564B" w:rsidRDefault="001A3992" w:rsidP="001A3992">
      <w:pPr>
        <w:pStyle w:val="Heading1"/>
        <w:spacing w:before="0" w:after="120"/>
        <w:rPr>
          <w:rFonts w:ascii="Arial" w:hAnsi="Arial" w:cs="Arial"/>
          <w:lang w:val="en-US"/>
        </w:rPr>
      </w:pPr>
      <w:r w:rsidRPr="0013564B">
        <w:rPr>
          <w:rFonts w:ascii="Arial" w:hAnsi="Arial" w:cs="Arial"/>
          <w:lang w:val="en-US"/>
        </w:rPr>
        <w:t>Medicine schedule (Poisons Standard)</w:t>
      </w:r>
      <w:r w:rsidR="003332D9" w:rsidRPr="0013564B">
        <w:rPr>
          <w:rFonts w:ascii="Arial" w:hAnsi="Arial" w:cs="Arial"/>
          <w:lang w:val="en-US"/>
        </w:rPr>
        <w:fldChar w:fldCharType="begin"/>
      </w:r>
      <w:r w:rsidR="003332D9" w:rsidRPr="0013564B">
        <w:rPr>
          <w:rFonts w:ascii="Arial" w:hAnsi="Arial" w:cs="Arial"/>
          <w:lang w:val="en-US"/>
        </w:rPr>
        <w:instrText xml:space="preserve"> DOCVARIABLE VAULT_ND_67a6cbe9-6a0c-4bcf-989c-6eaad594a5d9 \* MERGEFORMAT </w:instrText>
      </w:r>
      <w:r w:rsidR="003332D9" w:rsidRPr="0013564B">
        <w:rPr>
          <w:rFonts w:ascii="Arial" w:hAnsi="Arial" w:cs="Arial"/>
          <w:lang w:val="en-US"/>
        </w:rPr>
        <w:fldChar w:fldCharType="separate"/>
      </w:r>
      <w:r w:rsidR="003332D9" w:rsidRPr="0013564B">
        <w:rPr>
          <w:rFonts w:ascii="Arial" w:hAnsi="Arial" w:cs="Arial"/>
          <w:lang w:val="en-US"/>
        </w:rPr>
        <w:t xml:space="preserve"> </w:t>
      </w:r>
      <w:r w:rsidR="003332D9" w:rsidRPr="0013564B">
        <w:rPr>
          <w:rFonts w:ascii="Arial" w:hAnsi="Arial" w:cs="Arial"/>
          <w:lang w:val="en-US"/>
        </w:rPr>
        <w:fldChar w:fldCharType="end"/>
      </w:r>
    </w:p>
    <w:p w14:paraId="6E6EA7C4" w14:textId="1F964839" w:rsidR="00071855" w:rsidRPr="006E595D" w:rsidRDefault="006E595D" w:rsidP="006E595D">
      <w:pPr>
        <w:spacing w:after="240"/>
        <w:jc w:val="both"/>
        <w:rPr>
          <w:rFonts w:ascii="Arial" w:hAnsi="Arial" w:cs="Arial"/>
          <w:color w:val="000000"/>
        </w:rPr>
      </w:pPr>
      <w:r w:rsidRPr="00571510">
        <w:rPr>
          <w:rFonts w:ascii="Arial" w:hAnsi="Arial" w:cs="Arial"/>
          <w:color w:val="000000"/>
        </w:rPr>
        <w:t>Schedule 4 – Prescription Only Medicine</w:t>
      </w:r>
      <w:r>
        <w:rPr>
          <w:rFonts w:ascii="Arial" w:hAnsi="Arial" w:cs="Arial"/>
          <w:color w:val="000000"/>
        </w:rPr>
        <w:t xml:space="preserve"> </w:t>
      </w:r>
    </w:p>
    <w:p w14:paraId="262707EF" w14:textId="08B082F6" w:rsidR="00285173" w:rsidRPr="0013564B" w:rsidRDefault="001A3992" w:rsidP="00285173">
      <w:pPr>
        <w:pStyle w:val="Heading1"/>
        <w:spacing w:before="0" w:after="120"/>
        <w:rPr>
          <w:rFonts w:ascii="Arial" w:hAnsi="Arial" w:cs="Arial"/>
          <w:lang w:val="en-US"/>
        </w:rPr>
      </w:pPr>
      <w:r w:rsidRPr="0013564B">
        <w:rPr>
          <w:rFonts w:ascii="Arial" w:hAnsi="Arial" w:cs="Arial"/>
          <w:lang w:val="en-US"/>
        </w:rPr>
        <w:t>Sponsor</w:t>
      </w:r>
      <w:r w:rsidR="003332D9" w:rsidRPr="0013564B">
        <w:rPr>
          <w:rFonts w:ascii="Arial" w:hAnsi="Arial" w:cs="Arial"/>
          <w:lang w:val="en-US"/>
        </w:rPr>
        <w:fldChar w:fldCharType="begin"/>
      </w:r>
      <w:r w:rsidR="003332D9" w:rsidRPr="0013564B">
        <w:rPr>
          <w:rFonts w:ascii="Arial" w:hAnsi="Arial" w:cs="Arial"/>
          <w:lang w:val="en-US"/>
        </w:rPr>
        <w:instrText xml:space="preserve"> DOCVARIABLE VAULT_ND_621a913c-ef36-479a-a94d-306f38772b92 \* MERGEFORMAT </w:instrText>
      </w:r>
      <w:r w:rsidR="003332D9" w:rsidRPr="0013564B">
        <w:rPr>
          <w:rFonts w:ascii="Arial" w:hAnsi="Arial" w:cs="Arial"/>
          <w:lang w:val="en-US"/>
        </w:rPr>
        <w:fldChar w:fldCharType="separate"/>
      </w:r>
      <w:r w:rsidR="003332D9" w:rsidRPr="0013564B">
        <w:rPr>
          <w:rFonts w:ascii="Arial" w:hAnsi="Arial" w:cs="Arial"/>
          <w:lang w:val="en-US"/>
        </w:rPr>
        <w:t xml:space="preserve"> </w:t>
      </w:r>
      <w:r w:rsidR="003332D9" w:rsidRPr="0013564B">
        <w:rPr>
          <w:rFonts w:ascii="Arial" w:hAnsi="Arial" w:cs="Arial"/>
          <w:lang w:val="en-US"/>
        </w:rPr>
        <w:fldChar w:fldCharType="end"/>
      </w:r>
    </w:p>
    <w:p w14:paraId="0DE8061D" w14:textId="77777777" w:rsidR="00622066" w:rsidRPr="008F4ADC" w:rsidRDefault="00622066" w:rsidP="00622066">
      <w:pPr>
        <w:spacing w:after="120" w:line="240" w:lineRule="auto"/>
        <w:jc w:val="both"/>
        <w:rPr>
          <w:rFonts w:ascii="Arial" w:hAnsi="Arial" w:cs="Arial"/>
          <w:color w:val="000000"/>
        </w:rPr>
      </w:pPr>
      <w:proofErr w:type="spellStart"/>
      <w:r w:rsidRPr="008F4ADC">
        <w:rPr>
          <w:rFonts w:ascii="Arial" w:hAnsi="Arial" w:cs="Arial"/>
          <w:color w:val="000000"/>
        </w:rPr>
        <w:t>ViiV</w:t>
      </w:r>
      <w:proofErr w:type="spellEnd"/>
      <w:r w:rsidRPr="008F4ADC">
        <w:rPr>
          <w:rFonts w:ascii="Arial" w:hAnsi="Arial" w:cs="Arial"/>
          <w:color w:val="000000"/>
        </w:rPr>
        <w:t xml:space="preserve"> Healthcare Pty Ltd</w:t>
      </w:r>
    </w:p>
    <w:p w14:paraId="193F4D1F" w14:textId="77777777" w:rsidR="00622066" w:rsidRPr="008F4ADC" w:rsidRDefault="00622066" w:rsidP="00622066">
      <w:pPr>
        <w:spacing w:after="120" w:line="240" w:lineRule="auto"/>
        <w:jc w:val="both"/>
        <w:rPr>
          <w:rFonts w:ascii="Arial" w:hAnsi="Arial" w:cs="Arial"/>
          <w:color w:val="000000"/>
        </w:rPr>
      </w:pPr>
      <w:r w:rsidRPr="008F4ADC">
        <w:rPr>
          <w:rFonts w:ascii="Arial" w:hAnsi="Arial" w:cs="Arial"/>
          <w:color w:val="000000"/>
        </w:rPr>
        <w:t xml:space="preserve">Level 4, 436 Johnston Street, </w:t>
      </w:r>
    </w:p>
    <w:p w14:paraId="2C7E55C9" w14:textId="77777777" w:rsidR="00622066" w:rsidRPr="008F4ADC" w:rsidRDefault="00622066" w:rsidP="00622066">
      <w:pPr>
        <w:spacing w:after="240"/>
        <w:jc w:val="both"/>
        <w:rPr>
          <w:rFonts w:ascii="Arial" w:hAnsi="Arial" w:cs="Arial"/>
          <w:color w:val="000000"/>
        </w:rPr>
      </w:pPr>
      <w:r w:rsidRPr="008F4ADC">
        <w:rPr>
          <w:rFonts w:ascii="Arial" w:hAnsi="Arial" w:cs="Arial"/>
          <w:color w:val="000000"/>
        </w:rPr>
        <w:t>Abbotsford, Victoria, 3067</w:t>
      </w:r>
    </w:p>
    <w:p w14:paraId="05ADCA5A" w14:textId="101D98C8" w:rsidR="00285173" w:rsidRPr="0013564B" w:rsidRDefault="00285173" w:rsidP="00285173">
      <w:pPr>
        <w:pStyle w:val="Heading1"/>
        <w:spacing w:before="0" w:after="120"/>
        <w:rPr>
          <w:rFonts w:ascii="Arial" w:hAnsi="Arial" w:cs="Arial"/>
          <w:lang w:val="en-US"/>
        </w:rPr>
      </w:pPr>
      <w:r w:rsidRPr="0013564B">
        <w:rPr>
          <w:rFonts w:ascii="Arial" w:hAnsi="Arial" w:cs="Arial"/>
          <w:lang w:val="en-US"/>
        </w:rPr>
        <w:t xml:space="preserve">Date of first approval </w:t>
      </w:r>
      <w:r w:rsidR="003332D9" w:rsidRPr="0013564B">
        <w:rPr>
          <w:rFonts w:ascii="Arial" w:hAnsi="Arial" w:cs="Arial"/>
          <w:lang w:val="en-US"/>
        </w:rPr>
        <w:fldChar w:fldCharType="begin"/>
      </w:r>
      <w:r w:rsidR="003332D9" w:rsidRPr="0013564B">
        <w:rPr>
          <w:rFonts w:ascii="Arial" w:hAnsi="Arial" w:cs="Arial"/>
          <w:lang w:val="en-US"/>
        </w:rPr>
        <w:instrText xml:space="preserve"> DOCVARIABLE VAULT_ND_aba49120-0c7f-45f1-97ca-c6ec28c717a0 \* MERGEFORMAT </w:instrText>
      </w:r>
      <w:r w:rsidR="003332D9" w:rsidRPr="0013564B">
        <w:rPr>
          <w:rFonts w:ascii="Arial" w:hAnsi="Arial" w:cs="Arial"/>
          <w:lang w:val="en-US"/>
        </w:rPr>
        <w:fldChar w:fldCharType="separate"/>
      </w:r>
      <w:r w:rsidR="003332D9" w:rsidRPr="0013564B">
        <w:rPr>
          <w:rFonts w:ascii="Arial" w:hAnsi="Arial" w:cs="Arial"/>
          <w:lang w:val="en-US"/>
        </w:rPr>
        <w:t xml:space="preserve"> </w:t>
      </w:r>
      <w:r w:rsidR="003332D9" w:rsidRPr="0013564B">
        <w:rPr>
          <w:rFonts w:ascii="Arial" w:hAnsi="Arial" w:cs="Arial"/>
          <w:lang w:val="en-US"/>
        </w:rPr>
        <w:fldChar w:fldCharType="end"/>
      </w:r>
    </w:p>
    <w:p w14:paraId="7738995C" w14:textId="5BA319EB" w:rsidR="00071855" w:rsidRPr="00CC7273" w:rsidRDefault="006C47A4" w:rsidP="00071855">
      <w:pPr>
        <w:rPr>
          <w:rFonts w:ascii="Arial" w:hAnsi="Arial" w:cs="Arial"/>
          <w:color w:val="000000"/>
        </w:rPr>
      </w:pPr>
      <w:r>
        <w:rPr>
          <w:rFonts w:ascii="Arial" w:hAnsi="Arial" w:cs="Arial"/>
          <w:color w:val="000000"/>
        </w:rPr>
        <w:t>11 August 2022</w:t>
      </w:r>
    </w:p>
    <w:p w14:paraId="5160673D" w14:textId="668A2279" w:rsidR="00285173" w:rsidRPr="0013564B" w:rsidRDefault="00285173" w:rsidP="00285173">
      <w:pPr>
        <w:pStyle w:val="Heading1"/>
        <w:spacing w:before="0" w:after="120"/>
        <w:rPr>
          <w:rFonts w:ascii="Arial" w:hAnsi="Arial" w:cs="Arial"/>
          <w:lang w:val="en-US"/>
        </w:rPr>
      </w:pPr>
      <w:r w:rsidRPr="0013564B">
        <w:rPr>
          <w:rFonts w:ascii="Arial" w:hAnsi="Arial" w:cs="Arial"/>
          <w:lang w:val="en-US"/>
        </w:rPr>
        <w:t>Date of revision</w:t>
      </w:r>
      <w:r w:rsidR="003332D9" w:rsidRPr="0013564B">
        <w:rPr>
          <w:rFonts w:ascii="Arial" w:hAnsi="Arial" w:cs="Arial"/>
          <w:lang w:val="en-US"/>
        </w:rPr>
        <w:fldChar w:fldCharType="begin"/>
      </w:r>
      <w:r w:rsidR="003332D9" w:rsidRPr="0013564B">
        <w:rPr>
          <w:rFonts w:ascii="Arial" w:hAnsi="Arial" w:cs="Arial"/>
          <w:lang w:val="en-US"/>
        </w:rPr>
        <w:instrText xml:space="preserve"> DOCVARIABLE VAULT_ND_46d668dc-8023-440b-a7df-fba60d69031d \* MERGEFORMAT </w:instrText>
      </w:r>
      <w:r w:rsidR="003332D9" w:rsidRPr="0013564B">
        <w:rPr>
          <w:rFonts w:ascii="Arial" w:hAnsi="Arial" w:cs="Arial"/>
          <w:lang w:val="en-US"/>
        </w:rPr>
        <w:fldChar w:fldCharType="separate"/>
      </w:r>
      <w:r w:rsidR="003332D9" w:rsidRPr="0013564B">
        <w:rPr>
          <w:rFonts w:ascii="Arial" w:hAnsi="Arial" w:cs="Arial"/>
          <w:lang w:val="en-US"/>
        </w:rPr>
        <w:t xml:space="preserve"> </w:t>
      </w:r>
      <w:r w:rsidR="003332D9" w:rsidRPr="0013564B">
        <w:rPr>
          <w:rFonts w:ascii="Arial" w:hAnsi="Arial" w:cs="Arial"/>
          <w:lang w:val="en-US"/>
        </w:rPr>
        <w:fldChar w:fldCharType="end"/>
      </w:r>
    </w:p>
    <w:p w14:paraId="387E069A" w14:textId="6625037C" w:rsidR="00285173" w:rsidRPr="006B1AA7" w:rsidRDefault="006B1AA7" w:rsidP="006B1AA7">
      <w:pPr>
        <w:rPr>
          <w:rFonts w:ascii="Arial" w:hAnsi="Arial" w:cs="Arial"/>
          <w:color w:val="000000"/>
        </w:rPr>
      </w:pPr>
      <w:r w:rsidRPr="006B1AA7">
        <w:rPr>
          <w:rFonts w:ascii="Arial" w:hAnsi="Arial" w:cs="Arial"/>
          <w:color w:val="000000"/>
        </w:rPr>
        <w:t>Not applicable</w:t>
      </w:r>
    </w:p>
    <w:p w14:paraId="447EF955" w14:textId="77777777" w:rsidR="006B1AA7" w:rsidRPr="006B1AA7" w:rsidRDefault="006B1AA7" w:rsidP="006B1AA7">
      <w:pPr>
        <w:rPr>
          <w:rFonts w:ascii="Arial" w:hAnsi="Arial" w:cs="Arial"/>
          <w:i/>
          <w:color w:val="FF0000"/>
        </w:rPr>
      </w:pPr>
    </w:p>
    <w:p w14:paraId="55D006BA" w14:textId="77777777" w:rsidR="006E595D" w:rsidRPr="006B1AA7" w:rsidRDefault="006E595D" w:rsidP="006E595D">
      <w:pPr>
        <w:spacing w:after="240"/>
        <w:jc w:val="both"/>
        <w:rPr>
          <w:rFonts w:ascii="Arial" w:hAnsi="Arial" w:cs="Arial"/>
        </w:rPr>
      </w:pPr>
      <w:r w:rsidRPr="006B1AA7">
        <w:rPr>
          <w:rFonts w:ascii="Arial" w:hAnsi="Arial" w:cs="Arial"/>
        </w:rPr>
        <w:t>Version 1.0</w:t>
      </w:r>
    </w:p>
    <w:p w14:paraId="289F0409" w14:textId="1086BD3F" w:rsidR="006E595D" w:rsidRPr="006B1AA7" w:rsidRDefault="006E595D" w:rsidP="006E595D">
      <w:pPr>
        <w:spacing w:after="240"/>
        <w:jc w:val="both"/>
        <w:rPr>
          <w:rFonts w:ascii="Arial" w:hAnsi="Arial" w:cs="Arial"/>
        </w:rPr>
      </w:pPr>
      <w:r w:rsidRPr="00E116C7">
        <w:rPr>
          <w:rFonts w:ascii="Arial" w:hAnsi="Arial" w:cs="Arial"/>
        </w:rPr>
        <w:t>Tra</w:t>
      </w:r>
      <w:r w:rsidRPr="006B1AA7">
        <w:rPr>
          <w:rFonts w:ascii="Arial" w:hAnsi="Arial" w:cs="Arial"/>
        </w:rPr>
        <w:t>demarks are owned by or licensed to the</w:t>
      </w:r>
      <w:r w:rsidR="006B1AA7" w:rsidRPr="006B1AA7">
        <w:rPr>
          <w:rFonts w:ascii="Arial" w:hAnsi="Arial" w:cs="Arial"/>
        </w:rPr>
        <w:t xml:space="preserve"> </w:t>
      </w:r>
      <w:proofErr w:type="spellStart"/>
      <w:r w:rsidRPr="006B1AA7">
        <w:rPr>
          <w:rFonts w:ascii="Arial" w:hAnsi="Arial" w:cs="Arial"/>
        </w:rPr>
        <w:t>ViiV</w:t>
      </w:r>
      <w:proofErr w:type="spellEnd"/>
      <w:r w:rsidR="00EC1110" w:rsidRPr="006B1AA7">
        <w:rPr>
          <w:rFonts w:ascii="Arial" w:hAnsi="Arial" w:cs="Arial"/>
        </w:rPr>
        <w:t xml:space="preserve"> Healthcare</w:t>
      </w:r>
      <w:r w:rsidRPr="006B1AA7">
        <w:rPr>
          <w:rFonts w:ascii="Arial" w:hAnsi="Arial" w:cs="Arial"/>
        </w:rPr>
        <w:t xml:space="preserve"> group of companies.</w:t>
      </w:r>
    </w:p>
    <w:p w14:paraId="776A8769" w14:textId="1B26398B" w:rsidR="006E595D" w:rsidRPr="00622066" w:rsidRDefault="006E595D" w:rsidP="00622066">
      <w:pPr>
        <w:spacing w:after="240"/>
        <w:jc w:val="both"/>
        <w:rPr>
          <w:rFonts w:ascii="Arial" w:hAnsi="Arial" w:cs="Arial"/>
          <w:color w:val="000000"/>
        </w:rPr>
      </w:pPr>
      <w:r w:rsidRPr="006B1AA7">
        <w:rPr>
          <w:rFonts w:ascii="Arial" w:hAnsi="Arial" w:cs="Arial"/>
        </w:rPr>
        <w:t xml:space="preserve">© </w:t>
      </w:r>
      <w:r w:rsidR="006B1AA7" w:rsidRPr="006B1AA7">
        <w:rPr>
          <w:rFonts w:ascii="Arial" w:hAnsi="Arial" w:cs="Arial"/>
        </w:rPr>
        <w:t>202</w:t>
      </w:r>
      <w:r w:rsidR="00D156D7">
        <w:rPr>
          <w:rFonts w:ascii="Arial" w:hAnsi="Arial" w:cs="Arial"/>
        </w:rPr>
        <w:t>2</w:t>
      </w:r>
      <w:r w:rsidR="006B1AA7" w:rsidRPr="006B1AA7">
        <w:rPr>
          <w:rFonts w:ascii="Arial" w:hAnsi="Arial" w:cs="Arial"/>
        </w:rPr>
        <w:t xml:space="preserve"> </w:t>
      </w:r>
      <w:proofErr w:type="spellStart"/>
      <w:r w:rsidRPr="006B1AA7">
        <w:rPr>
          <w:rFonts w:ascii="Arial" w:hAnsi="Arial" w:cs="Arial"/>
        </w:rPr>
        <w:t>ViiV</w:t>
      </w:r>
      <w:proofErr w:type="spellEnd"/>
      <w:r w:rsidR="00EC1110" w:rsidRPr="006B1AA7">
        <w:rPr>
          <w:rFonts w:ascii="Arial" w:hAnsi="Arial" w:cs="Arial"/>
        </w:rPr>
        <w:t xml:space="preserve"> Healthcare</w:t>
      </w:r>
      <w:r w:rsidRPr="006B1AA7">
        <w:rPr>
          <w:rFonts w:ascii="Arial" w:hAnsi="Arial" w:cs="Arial"/>
        </w:rPr>
        <w:t xml:space="preserve"> </w:t>
      </w:r>
      <w:r w:rsidRPr="00E116C7">
        <w:rPr>
          <w:rFonts w:ascii="Arial" w:hAnsi="Arial" w:cs="Arial"/>
          <w:color w:val="000000"/>
        </w:rPr>
        <w:t>group of companies</w:t>
      </w:r>
      <w:r>
        <w:rPr>
          <w:rFonts w:ascii="Arial" w:hAnsi="Arial" w:cs="Arial"/>
          <w:color w:val="000000"/>
        </w:rPr>
        <w:t xml:space="preserve"> or its licensor</w:t>
      </w:r>
      <w:r w:rsidRPr="00E116C7">
        <w:rPr>
          <w:rFonts w:ascii="Arial" w:hAnsi="Arial" w:cs="Arial"/>
          <w:color w:val="000000"/>
        </w:rPr>
        <w:t>.</w:t>
      </w:r>
    </w:p>
    <w:sectPr w:rsidR="006E595D" w:rsidRPr="00622066" w:rsidSect="00445D44">
      <w:headerReference w:type="default" r:id="rId17"/>
      <w:footerReference w:type="defaul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87507" w14:textId="77777777" w:rsidR="00D73F7E" w:rsidRDefault="00D73F7E" w:rsidP="001A3992">
      <w:pPr>
        <w:spacing w:after="0" w:line="240" w:lineRule="auto"/>
      </w:pPr>
      <w:r>
        <w:separator/>
      </w:r>
    </w:p>
  </w:endnote>
  <w:endnote w:type="continuationSeparator" w:id="0">
    <w:p w14:paraId="58F05F57" w14:textId="77777777" w:rsidR="00D73F7E" w:rsidRDefault="00D73F7E"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rFonts w:ascii="Arial" w:hAnsi="Arial" w:cs="Arial"/>
        <w:noProof/>
        <w:sz w:val="20"/>
        <w:szCs w:val="20"/>
      </w:rPr>
    </w:sdtEndPr>
    <w:sdtContent>
      <w:p w14:paraId="0D12FDAC" w14:textId="77777777" w:rsidR="00BE64CC" w:rsidRPr="008F4ADC" w:rsidRDefault="00BE64CC" w:rsidP="00A00329">
        <w:pPr>
          <w:pStyle w:val="Footer"/>
          <w:jc w:val="right"/>
          <w:rPr>
            <w:rFonts w:ascii="Arial" w:hAnsi="Arial" w:cs="Arial"/>
            <w:sz w:val="20"/>
            <w:szCs w:val="20"/>
          </w:rPr>
        </w:pPr>
        <w:r w:rsidRPr="008F4ADC">
          <w:rPr>
            <w:rFonts w:ascii="Arial" w:hAnsi="Arial" w:cs="Arial"/>
            <w:sz w:val="20"/>
            <w:szCs w:val="20"/>
          </w:rPr>
          <w:fldChar w:fldCharType="begin"/>
        </w:r>
        <w:r w:rsidRPr="008F4ADC">
          <w:rPr>
            <w:rFonts w:ascii="Arial" w:hAnsi="Arial" w:cs="Arial"/>
            <w:sz w:val="20"/>
            <w:szCs w:val="20"/>
          </w:rPr>
          <w:instrText xml:space="preserve"> PAGE   \* MERGEFORMAT </w:instrText>
        </w:r>
        <w:r w:rsidRPr="008F4ADC">
          <w:rPr>
            <w:rFonts w:ascii="Arial" w:hAnsi="Arial" w:cs="Arial"/>
            <w:sz w:val="20"/>
            <w:szCs w:val="20"/>
          </w:rPr>
          <w:fldChar w:fldCharType="separate"/>
        </w:r>
        <w:r>
          <w:rPr>
            <w:rFonts w:ascii="Arial" w:hAnsi="Arial" w:cs="Arial"/>
            <w:noProof/>
            <w:sz w:val="20"/>
            <w:szCs w:val="20"/>
          </w:rPr>
          <w:t>3</w:t>
        </w:r>
        <w:r w:rsidRPr="008F4ADC">
          <w:rPr>
            <w:rFonts w:ascii="Arial" w:hAnsi="Arial" w:cs="Arial"/>
            <w:noProof/>
            <w:sz w:val="20"/>
            <w:szCs w:val="20"/>
          </w:rPr>
          <w:fldChar w:fldCharType="end"/>
        </w:r>
      </w:p>
    </w:sdtContent>
  </w:sdt>
  <w:p w14:paraId="4AC0740A" w14:textId="77777777" w:rsidR="004F5120" w:rsidRDefault="004F51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7C11E" w14:textId="77777777" w:rsidR="00D73F7E" w:rsidRDefault="00D73F7E" w:rsidP="001A3992">
      <w:pPr>
        <w:spacing w:after="0" w:line="240" w:lineRule="auto"/>
      </w:pPr>
      <w:r>
        <w:separator/>
      </w:r>
    </w:p>
  </w:footnote>
  <w:footnote w:type="continuationSeparator" w:id="0">
    <w:p w14:paraId="44C909BF" w14:textId="77777777" w:rsidR="00D73F7E" w:rsidRDefault="00D73F7E"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shd w:val="clear" w:color="auto" w:fill="E4F2E0"/>
      <w:tblLook w:val="04A0" w:firstRow="1" w:lastRow="0" w:firstColumn="1" w:lastColumn="0" w:noHBand="0" w:noVBand="1"/>
    </w:tblPr>
    <w:tblGrid>
      <w:gridCol w:w="8720"/>
    </w:tblGrid>
    <w:tr w:rsidR="00BF38C2" w:rsidRPr="00BF38C2" w14:paraId="2D79878D" w14:textId="77777777" w:rsidTr="009C4CD8">
      <w:tc>
        <w:tcPr>
          <w:tcW w:w="8720" w:type="dxa"/>
          <w:shd w:val="clear" w:color="auto" w:fill="E4F2E0"/>
        </w:tcPr>
        <w:p w14:paraId="014E21F6" w14:textId="1DCB60C9" w:rsidR="00BF38C2" w:rsidRPr="00BF38C2" w:rsidRDefault="00BF38C2" w:rsidP="00BF38C2">
          <w:pPr>
            <w:spacing w:before="180" w:after="180" w:line="240" w:lineRule="atLeast"/>
            <w:rPr>
              <w:rFonts w:ascii="Cambria" w:hAnsi="Cambria" w:cs="Times New Roman"/>
              <w:b/>
              <w:sz w:val="18"/>
              <w:szCs w:val="18"/>
            </w:rPr>
          </w:pPr>
          <w:r w:rsidRPr="00BF38C2">
            <w:rPr>
              <w:rFonts w:ascii="Cambria" w:hAnsi="Cambria" w:cs="Times New Roman"/>
              <w:b/>
              <w:sz w:val="18"/>
              <w:szCs w:val="18"/>
            </w:rPr>
            <w:t xml:space="preserve">Attachment 1: Product information for </w:t>
          </w:r>
          <w:proofErr w:type="spellStart"/>
          <w:r w:rsidRPr="00BF38C2">
            <w:rPr>
              <w:rFonts w:ascii="Cambria" w:hAnsi="Cambria" w:cs="Times New Roman"/>
              <w:b/>
              <w:sz w:val="18"/>
              <w:szCs w:val="18"/>
            </w:rPr>
            <w:t>AusPAR</w:t>
          </w:r>
          <w:proofErr w:type="spellEnd"/>
          <w:r w:rsidRPr="00BF38C2">
            <w:rPr>
              <w:rFonts w:ascii="Cambria" w:hAnsi="Cambria" w:cs="Times New Roman"/>
              <w:b/>
              <w:sz w:val="18"/>
              <w:szCs w:val="18"/>
            </w:rPr>
            <w:t xml:space="preserve"> - </w:t>
          </w:r>
          <w:proofErr w:type="spellStart"/>
          <w:r w:rsidRPr="00BF38C2">
            <w:rPr>
              <w:rFonts w:ascii="Cambria" w:hAnsi="Cambria" w:cs="Times New Roman"/>
              <w:b/>
              <w:sz w:val="18"/>
              <w:szCs w:val="18"/>
            </w:rPr>
            <w:t>Apretude</w:t>
          </w:r>
          <w:proofErr w:type="spellEnd"/>
          <w:r w:rsidRPr="00BF38C2">
            <w:rPr>
              <w:rFonts w:ascii="Cambria" w:hAnsi="Cambria" w:cs="Times New Roman"/>
              <w:b/>
              <w:sz w:val="18"/>
              <w:szCs w:val="18"/>
            </w:rPr>
            <w:t xml:space="preserve"> - cabotegravir - </w:t>
          </w:r>
          <w:proofErr w:type="spellStart"/>
          <w:r w:rsidRPr="00BF38C2">
            <w:rPr>
              <w:rFonts w:ascii="Cambria" w:hAnsi="Cambria" w:cs="Times New Roman"/>
              <w:b/>
              <w:sz w:val="18"/>
              <w:szCs w:val="18"/>
            </w:rPr>
            <w:t>ViiV</w:t>
          </w:r>
          <w:proofErr w:type="spellEnd"/>
          <w:r w:rsidRPr="00BF38C2">
            <w:rPr>
              <w:rFonts w:ascii="Cambria" w:hAnsi="Cambria" w:cs="Times New Roman"/>
              <w:b/>
              <w:sz w:val="18"/>
              <w:szCs w:val="18"/>
            </w:rPr>
            <w:t xml:space="preserve"> Healthcare Pty Ltd - PM-2021-04853-1-2</w:t>
          </w:r>
          <w:r w:rsidRPr="00BF38C2">
            <w:rPr>
              <w:rFonts w:ascii="Cambria" w:hAnsi="Cambria" w:cs="Times New Roman"/>
              <w:b/>
              <w:sz w:val="18"/>
              <w:szCs w:val="18"/>
            </w:rPr>
            <w:t xml:space="preserve"> </w:t>
          </w:r>
          <w:r w:rsidRPr="00BF38C2">
            <w:rPr>
              <w:rFonts w:ascii="Cambria" w:hAnsi="Cambria" w:cs="Times New Roman"/>
              <w:b/>
              <w:sz w:val="18"/>
              <w:szCs w:val="18"/>
            </w:rPr>
            <w:t xml:space="preserve">Final 23 November 2022. This is the Product Information that was approved with the submission described in this </w:t>
          </w:r>
          <w:proofErr w:type="spellStart"/>
          <w:r w:rsidRPr="00BF38C2">
            <w:rPr>
              <w:rFonts w:ascii="Cambria" w:hAnsi="Cambria" w:cs="Times New Roman"/>
              <w:b/>
              <w:sz w:val="18"/>
              <w:szCs w:val="18"/>
            </w:rPr>
            <w:t>AusPAR</w:t>
          </w:r>
          <w:proofErr w:type="spellEnd"/>
          <w:r w:rsidRPr="00BF38C2">
            <w:rPr>
              <w:rFonts w:ascii="Cambria" w:hAnsi="Cambria" w:cs="Times New Roman"/>
              <w:b/>
              <w:sz w:val="18"/>
              <w:szCs w:val="18"/>
            </w:rPr>
            <w:t>. It may have been superseded. For the most recent PI, please refer to the TGA website at &lt;</w:t>
          </w:r>
          <w:hyperlink r:id="rId1" w:history="1">
            <w:r w:rsidRPr="00854133">
              <w:rPr>
                <w:rStyle w:val="Hyperlink"/>
                <w:rFonts w:ascii="Cambria" w:hAnsi="Cambria" w:cs="Times New Roman"/>
                <w:b/>
                <w:sz w:val="18"/>
                <w:szCs w:val="18"/>
              </w:rPr>
              <w:t>https://www.tga.gov.au/products/australian-register-therapeutic-goods-artg/product-information-one</w:t>
            </w:r>
          </w:hyperlink>
          <w:r>
            <w:rPr>
              <w:rFonts w:ascii="Cambria" w:hAnsi="Cambria" w:cs="Times New Roman"/>
              <w:b/>
              <w:sz w:val="18"/>
              <w:szCs w:val="18"/>
            </w:rPr>
            <w:t>&gt;</w:t>
          </w:r>
        </w:p>
      </w:tc>
    </w:tr>
  </w:tbl>
  <w:p w14:paraId="0B3EFC20" w14:textId="2BDDF3CB" w:rsidR="00BF38C2" w:rsidRPr="00BF38C2" w:rsidRDefault="00BF38C2" w:rsidP="00BF3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C088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7894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8490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FECF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B0B2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AAEE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6250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900F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6EF006"/>
    <w:lvl w:ilvl="0">
      <w:start w:val="1"/>
      <w:numFmt w:val="decimal"/>
      <w:pStyle w:val="ListNumber"/>
      <w:lvlText w:val="%1."/>
      <w:lvlJc w:val="left"/>
      <w:pPr>
        <w:tabs>
          <w:tab w:val="num" w:pos="360"/>
        </w:tabs>
        <w:ind w:left="360" w:hanging="360"/>
      </w:pPr>
    </w:lvl>
  </w:abstractNum>
  <w:abstractNum w:abstractNumId="9" w15:restartNumberingAfterBreak="0">
    <w:nsid w:val="01001C29"/>
    <w:multiLevelType w:val="hybridMultilevel"/>
    <w:tmpl w:val="EA96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B7736B"/>
    <w:multiLevelType w:val="hybridMultilevel"/>
    <w:tmpl w:val="7AAE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F372B7"/>
    <w:multiLevelType w:val="hybridMultilevel"/>
    <w:tmpl w:val="4CB65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A76B3E"/>
    <w:multiLevelType w:val="hybridMultilevel"/>
    <w:tmpl w:val="F5DA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16"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0D4508"/>
    <w:multiLevelType w:val="hybridMultilevel"/>
    <w:tmpl w:val="213E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76866"/>
    <w:multiLevelType w:val="hybridMultilevel"/>
    <w:tmpl w:val="8354C88E"/>
    <w:lvl w:ilvl="0" w:tplc="A4B64B42">
      <w:start w:val="4"/>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1E5160"/>
    <w:multiLevelType w:val="hybridMultilevel"/>
    <w:tmpl w:val="4078D10E"/>
    <w:lvl w:ilvl="0" w:tplc="7C343BB6">
      <w:start w:val="9"/>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9E06D3"/>
    <w:multiLevelType w:val="multilevel"/>
    <w:tmpl w:val="E6FC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332797"/>
    <w:multiLevelType w:val="multilevel"/>
    <w:tmpl w:val="0C090025"/>
    <w:lvl w:ilvl="0">
      <w:start w:val="1"/>
      <w:numFmt w:val="decimal"/>
      <w:pStyle w:val="Heading1"/>
      <w:lvlText w:val="%1"/>
      <w:lvlJc w:val="left"/>
      <w:pPr>
        <w:ind w:left="1425"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10"/>
  </w:num>
  <w:num w:numId="4">
    <w:abstractNumId w:val="20"/>
  </w:num>
  <w:num w:numId="5">
    <w:abstractNumId w:val="27"/>
  </w:num>
  <w:num w:numId="6">
    <w:abstractNumId w:val="25"/>
  </w:num>
  <w:num w:numId="7">
    <w:abstractNumId w:val="22"/>
  </w:num>
  <w:num w:numId="8">
    <w:abstractNumId w:val="26"/>
  </w:num>
  <w:num w:numId="9">
    <w:abstractNumId w:val="16"/>
  </w:num>
  <w:num w:numId="10">
    <w:abstractNumId w:val="21"/>
  </w:num>
  <w:num w:numId="11">
    <w:abstractNumId w:val="24"/>
  </w:num>
  <w:num w:numId="12">
    <w:abstractNumId w:val="24"/>
  </w:num>
  <w:num w:numId="13">
    <w:abstractNumId w:val="24"/>
  </w:num>
  <w:num w:numId="14">
    <w:abstractNumId w:val="24"/>
  </w:num>
  <w:num w:numId="15">
    <w:abstractNumId w:val="24"/>
  </w:num>
  <w:num w:numId="16">
    <w:abstractNumId w:val="24"/>
  </w:num>
  <w:num w:numId="17">
    <w:abstractNumId w:val="24"/>
  </w:num>
  <w:num w:numId="18">
    <w:abstractNumId w:val="24"/>
  </w:num>
  <w:num w:numId="19">
    <w:abstractNumId w:val="24"/>
  </w:num>
  <w:num w:numId="20">
    <w:abstractNumId w:val="24"/>
  </w:num>
  <w:num w:numId="21">
    <w:abstractNumId w:val="24"/>
  </w:num>
  <w:num w:numId="22">
    <w:abstractNumId w:val="24"/>
  </w:num>
  <w:num w:numId="23">
    <w:abstractNumId w:val="24"/>
  </w:num>
  <w:num w:numId="24">
    <w:abstractNumId w:val="24"/>
  </w:num>
  <w:num w:numId="25">
    <w:abstractNumId w:val="24"/>
  </w:num>
  <w:num w:numId="26">
    <w:abstractNumId w:val="24"/>
  </w:num>
  <w:num w:numId="27">
    <w:abstractNumId w:val="24"/>
  </w:num>
  <w:num w:numId="28">
    <w:abstractNumId w:val="24"/>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1"/>
  </w:num>
  <w:num w:numId="39">
    <w:abstractNumId w:val="12"/>
  </w:num>
  <w:num w:numId="40">
    <w:abstractNumId w:val="14"/>
  </w:num>
  <w:num w:numId="41">
    <w:abstractNumId w:val="15"/>
    <w:lvlOverride w:ilvl="0">
      <w:startOverride w:val="1"/>
    </w:lvlOverride>
  </w:num>
  <w:num w:numId="42">
    <w:abstractNumId w:val="23"/>
  </w:num>
  <w:num w:numId="43">
    <w:abstractNumId w:val="17"/>
  </w:num>
  <w:num w:numId="44">
    <w:abstractNumId w:val="9"/>
  </w:num>
  <w:num w:numId="45">
    <w:abstractNumId w:val="18"/>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8b9e53a-f20b-4b03-9b01-5366902f814b" w:val=" "/>
    <w:docVar w:name="VAULT_ND_0fa1357d-406c-4729-94a0-7be5b26e5894" w:val=" "/>
    <w:docVar w:name="vault_nd_0fb34f10-9260-43aa-bffe-1976a6c62776" w:val=" "/>
    <w:docVar w:name="VAULT_ND_128b78a2-2d77-471e-8727-e0f5b6acc33a" w:val=" "/>
    <w:docVar w:name="vault_nd_1a8bcdf6-4adf-4528-a443-f9a52e69cc4d" w:val=" "/>
    <w:docVar w:name="vault_nd_2c36828e-523f-434e-8de4-5564a9422874" w:val=" "/>
    <w:docVar w:name="vault_nd_318d797e-bcb8-455d-8c2f-8c38b1480f1e" w:val=" "/>
    <w:docVar w:name="VAULT_ND_31f2ff03-079b-4b71-b695-6655d58169d1" w:val=" "/>
    <w:docVar w:name="vault_nd_34b315fb-9efa-4191-a939-50c2e6e35670" w:val=" "/>
    <w:docVar w:name="vault_nd_36215fc8-5a9e-4f98-865c-834ad5471179" w:val=" "/>
    <w:docVar w:name="vault_nd_375cabb6-7f8b-44cb-9205-a9b66f734269" w:val=" "/>
    <w:docVar w:name="vault_nd_38ec5bda-7377-48e0-9ba3-09c28b879d89" w:val=" "/>
    <w:docVar w:name="vault_nd_39802827-a46b-4962-a933-4ff48340c2b7" w:val=" "/>
    <w:docVar w:name="vault_nd_3e496cdc-7d5c-4a27-90e6-b8ccbea0165d" w:val=" "/>
    <w:docVar w:name="VAULT_ND_43bd0b46-0c74-4b01-963a-9c0434e63e48" w:val=" "/>
    <w:docVar w:name="VAULT_ND_46d668dc-8023-440b-a7df-fba60d69031d" w:val=" "/>
    <w:docVar w:name="VAULT_ND_54116ed5-1788-414f-9929-1aa78f43b7db" w:val=" "/>
    <w:docVar w:name="VAULT_ND_55880362-e5a8-4b1c-b4a3-2d9918106a51" w:val=" "/>
    <w:docVar w:name="vault_nd_56eb7c18-2236-42e2-835a-6e10e39d084c" w:val=" "/>
    <w:docVar w:name="VAULT_ND_59785292-7030-4c57-a63c-9a2786941962" w:val=" "/>
    <w:docVar w:name="VAULT_ND_5d01ab34-7d79-47ac-9c20-f0b01da3f779" w:val=" "/>
    <w:docVar w:name="VAULT_ND_5edba1db-5b19-4ea2-97fc-e5dcf7c60807" w:val=" "/>
    <w:docVar w:name="VAULT_ND_621a913c-ef36-479a-a94d-306f38772b92" w:val=" "/>
    <w:docVar w:name="VAULT_ND_64386a05-565b-48de-9d60-5cbfa3242f62" w:val=" "/>
    <w:docVar w:name="VAULT_ND_67a6cbe9-6a0c-4bcf-989c-6eaad594a5d9" w:val=" "/>
    <w:docVar w:name="VAULT_ND_682391ad-92a5-44f5-b60d-6fda9107f91e" w:val=" "/>
    <w:docVar w:name="vault_nd_6a057850-6276-4385-925f-fb66e93ecb68" w:val=" "/>
    <w:docVar w:name="vault_nd_6bfa6180-319e-47dd-b66f-c042c3798176" w:val=" "/>
    <w:docVar w:name="VAULT_ND_6d3ec71a-4516-4396-982a-a82027a31f36" w:val=" "/>
    <w:docVar w:name="VAULT_ND_72b4a430-26b4-4a04-99de-c5d31514e27a" w:val=" "/>
    <w:docVar w:name="vault_nd_732c2aa8-a516-4f5b-8e03-01dc438a0167" w:val=" "/>
    <w:docVar w:name="VAULT_ND_7c004bb3-8eaf-4fc5-90e9-a5826635fcd5" w:val=" "/>
    <w:docVar w:name="vault_nd_7c1f1823-e946-4f35-9931-4856ba8be517" w:val=" "/>
    <w:docVar w:name="VAULT_ND_89b8fef1-8200-4378-8e7f-d5b01fcd7c58" w:val=" "/>
    <w:docVar w:name="vault_nd_8afd9412-fafd-4be0-8b4d-827c2d357ecc" w:val=" "/>
    <w:docVar w:name="VAULT_ND_8b9ad6ce-a488-4088-ae14-930be2e62f52" w:val=" "/>
    <w:docVar w:name="VAULT_ND_948e99cb-7bd2-41dd-8145-28dc53f4bc7c" w:val=" "/>
    <w:docVar w:name="vault_nd_9731c981-6ccc-441e-855f-353c911f3784" w:val=" "/>
    <w:docVar w:name="vault_nd_98614ea2-dd21-4698-99bf-387501ce00ed" w:val=" "/>
    <w:docVar w:name="VAULT_ND_9f2ed195-a22f-428a-bf1a-4c80c5c590b4" w:val=" "/>
    <w:docVar w:name="VAULT_ND_a13ffc31-c438-4e84-b39b-0a5c1ce83e8e" w:val=" "/>
    <w:docVar w:name="vault_nd_a4945f0e-2cca-4884-a379-9d361451d6b8" w:val=" "/>
    <w:docVar w:name="vault_nd_a8175f52-b50f-4c10-ac9b-4ce861d6eae8" w:val=" "/>
    <w:docVar w:name="VAULT_ND_aa77750d-447c-4c2e-b31a-3c61718efb1a" w:val=" "/>
    <w:docVar w:name="VAULT_ND_aba49120-0c7f-45f1-97ca-c6ec28c717a0" w:val=" "/>
    <w:docVar w:name="vault_nd_b11a723f-69a0-4fdc-b684-096388251478" w:val=" "/>
    <w:docVar w:name="vault_nd_b62edc8c-ae8f-47b7-a896-3550aee67c4e" w:val=" "/>
    <w:docVar w:name="VAULT_ND_b73d185b-fe50-4964-896e-f4ea8f5a95fa" w:val=" "/>
    <w:docVar w:name="VAULT_ND_bac850d2-fb8e-4de3-8bad-cb039df6089f" w:val=" "/>
    <w:docVar w:name="vault_nd_bc32716b-f5fe-4a44-88bf-f9deeca9aa33" w:val=" "/>
    <w:docVar w:name="vault_nd_be61391b-78f0-4e9e-a1cd-8537349a2fef" w:val=" "/>
    <w:docVar w:name="vault_nd_c1ec328a-17b3-415e-96e3-7fba4995e798" w:val=" "/>
    <w:docVar w:name="vault_nd_c204fb61-a32a-4e31-9864-562356cc0bd5" w:val=" "/>
    <w:docVar w:name="VAULT_ND_c359ff91-be61-42f9-896b-b99d1d523f73" w:val=" "/>
    <w:docVar w:name="vault_nd_d024b3c1-7f45-42b4-857b-fc0c6d1771cc" w:val=" "/>
    <w:docVar w:name="vault_nd_d351c41c-f0fd-4550-9461-47409cebc68a" w:val=" "/>
    <w:docVar w:name="vault_nd_dd6b347e-b969-4669-bb09-f26997cffc4d" w:val=" "/>
    <w:docVar w:name="vault_nd_e1f4cda3-7013-4dca-858c-bdf64b75ce79" w:val=" "/>
    <w:docVar w:name="vault_nd_e24a060a-8aaa-40d5-9f1f-ae606dd1ded1" w:val=" "/>
    <w:docVar w:name="VAULT_ND_e8ec7266-d1b2-4361-9421-78f3b4a96097" w:val=" "/>
    <w:docVar w:name="VAULT_ND_e9df9905-2afe-44ce-afa3-b4b61b6db46b" w:val=" "/>
    <w:docVar w:name="vault_nd_ec115056-997b-44e7-805d-ecb69e1df3ec" w:val=" "/>
    <w:docVar w:name="VAULT_ND_ee155746-b74b-4224-9fb9-dffab776acc2" w:val=" "/>
    <w:docVar w:name="VAULT_ND_eea23601-b86e-428a-b30e-4616b0a534f3" w:val=" "/>
    <w:docVar w:name="vault_nd_f7b30b57-d48c-4ba1-8e7d-190eabe6db04" w:val=" "/>
    <w:docVar w:name="vault_nd_f99abde9-f675-4654-ba21-68e3e1db03da" w:val=" "/>
    <w:docVar w:name="VAULT_ND_fc412fe7-602b-485b-aaaf-170565984241" w:val=" "/>
    <w:docVar w:name="vault_nd_fdff5a92-e50c-4c87-9eb9-c44e8842ef55" w:val=" "/>
  </w:docVars>
  <w:rsids>
    <w:rsidRoot w:val="001A3992"/>
    <w:rsid w:val="00001519"/>
    <w:rsid w:val="00002CCE"/>
    <w:rsid w:val="00004DB2"/>
    <w:rsid w:val="00012CA2"/>
    <w:rsid w:val="00016B02"/>
    <w:rsid w:val="00016EC5"/>
    <w:rsid w:val="0002606D"/>
    <w:rsid w:val="0002771E"/>
    <w:rsid w:val="00032E53"/>
    <w:rsid w:val="00035A69"/>
    <w:rsid w:val="00042302"/>
    <w:rsid w:val="00042E69"/>
    <w:rsid w:val="000437DB"/>
    <w:rsid w:val="00045FCF"/>
    <w:rsid w:val="00050187"/>
    <w:rsid w:val="0005042F"/>
    <w:rsid w:val="00052596"/>
    <w:rsid w:val="00052EDE"/>
    <w:rsid w:val="0005790A"/>
    <w:rsid w:val="000611B4"/>
    <w:rsid w:val="00071855"/>
    <w:rsid w:val="00071973"/>
    <w:rsid w:val="000747B9"/>
    <w:rsid w:val="00080682"/>
    <w:rsid w:val="000830A6"/>
    <w:rsid w:val="000845BD"/>
    <w:rsid w:val="0008665B"/>
    <w:rsid w:val="000958BD"/>
    <w:rsid w:val="00097B08"/>
    <w:rsid w:val="000A70BF"/>
    <w:rsid w:val="000C2333"/>
    <w:rsid w:val="000D0BFE"/>
    <w:rsid w:val="000D6730"/>
    <w:rsid w:val="000E4860"/>
    <w:rsid w:val="000E7B1F"/>
    <w:rsid w:val="000F1F41"/>
    <w:rsid w:val="000F311D"/>
    <w:rsid w:val="000F42C3"/>
    <w:rsid w:val="000F4766"/>
    <w:rsid w:val="000F49F0"/>
    <w:rsid w:val="000F61D0"/>
    <w:rsid w:val="001009B0"/>
    <w:rsid w:val="00100A28"/>
    <w:rsid w:val="0010537F"/>
    <w:rsid w:val="0010560B"/>
    <w:rsid w:val="00106D47"/>
    <w:rsid w:val="00111429"/>
    <w:rsid w:val="00111460"/>
    <w:rsid w:val="00111604"/>
    <w:rsid w:val="00111919"/>
    <w:rsid w:val="00111FCF"/>
    <w:rsid w:val="00114CB4"/>
    <w:rsid w:val="001152E5"/>
    <w:rsid w:val="001153EB"/>
    <w:rsid w:val="0011590A"/>
    <w:rsid w:val="001200B8"/>
    <w:rsid w:val="00120E95"/>
    <w:rsid w:val="00122482"/>
    <w:rsid w:val="00122CC1"/>
    <w:rsid w:val="001302C4"/>
    <w:rsid w:val="001313CB"/>
    <w:rsid w:val="001321BE"/>
    <w:rsid w:val="001330B1"/>
    <w:rsid w:val="0013564B"/>
    <w:rsid w:val="00136C52"/>
    <w:rsid w:val="00137343"/>
    <w:rsid w:val="00140686"/>
    <w:rsid w:val="00146DB6"/>
    <w:rsid w:val="00147792"/>
    <w:rsid w:val="00150ADD"/>
    <w:rsid w:val="001541FF"/>
    <w:rsid w:val="0015447D"/>
    <w:rsid w:val="00157DAF"/>
    <w:rsid w:val="00160575"/>
    <w:rsid w:val="00165321"/>
    <w:rsid w:val="00167EB1"/>
    <w:rsid w:val="00171D5B"/>
    <w:rsid w:val="001728E4"/>
    <w:rsid w:val="00175322"/>
    <w:rsid w:val="00181E46"/>
    <w:rsid w:val="00187501"/>
    <w:rsid w:val="00190AF8"/>
    <w:rsid w:val="00191106"/>
    <w:rsid w:val="00193F06"/>
    <w:rsid w:val="0019760B"/>
    <w:rsid w:val="00197763"/>
    <w:rsid w:val="00197EC9"/>
    <w:rsid w:val="001A3992"/>
    <w:rsid w:val="001A40F7"/>
    <w:rsid w:val="001B274C"/>
    <w:rsid w:val="001B595F"/>
    <w:rsid w:val="001C31CF"/>
    <w:rsid w:val="001C594F"/>
    <w:rsid w:val="001C5BE9"/>
    <w:rsid w:val="001D1C95"/>
    <w:rsid w:val="001D2492"/>
    <w:rsid w:val="001D67F4"/>
    <w:rsid w:val="001D7D40"/>
    <w:rsid w:val="001E3868"/>
    <w:rsid w:val="001F1A43"/>
    <w:rsid w:val="001F5B2E"/>
    <w:rsid w:val="001F6C1F"/>
    <w:rsid w:val="00200D3C"/>
    <w:rsid w:val="00211714"/>
    <w:rsid w:val="002127C4"/>
    <w:rsid w:val="00213C93"/>
    <w:rsid w:val="00215D64"/>
    <w:rsid w:val="00217880"/>
    <w:rsid w:val="00224AE5"/>
    <w:rsid w:val="00225A76"/>
    <w:rsid w:val="0023296F"/>
    <w:rsid w:val="00234588"/>
    <w:rsid w:val="002347BA"/>
    <w:rsid w:val="00241002"/>
    <w:rsid w:val="00244AE8"/>
    <w:rsid w:val="00247C06"/>
    <w:rsid w:val="0025592D"/>
    <w:rsid w:val="00256B76"/>
    <w:rsid w:val="00262BDE"/>
    <w:rsid w:val="00267244"/>
    <w:rsid w:val="00271545"/>
    <w:rsid w:val="00275094"/>
    <w:rsid w:val="00275406"/>
    <w:rsid w:val="00275984"/>
    <w:rsid w:val="00275BDA"/>
    <w:rsid w:val="002766F4"/>
    <w:rsid w:val="00283458"/>
    <w:rsid w:val="00285173"/>
    <w:rsid w:val="002858B5"/>
    <w:rsid w:val="00286285"/>
    <w:rsid w:val="002A6193"/>
    <w:rsid w:val="002B0867"/>
    <w:rsid w:val="002B0936"/>
    <w:rsid w:val="002B7C67"/>
    <w:rsid w:val="002C0F14"/>
    <w:rsid w:val="002C266F"/>
    <w:rsid w:val="002C3787"/>
    <w:rsid w:val="002C5D37"/>
    <w:rsid w:val="002C7FB1"/>
    <w:rsid w:val="002D12F2"/>
    <w:rsid w:val="002D2D87"/>
    <w:rsid w:val="002D7B18"/>
    <w:rsid w:val="002E277D"/>
    <w:rsid w:val="002F02F9"/>
    <w:rsid w:val="002F30BF"/>
    <w:rsid w:val="002F5E12"/>
    <w:rsid w:val="002F75B3"/>
    <w:rsid w:val="00306A2C"/>
    <w:rsid w:val="0030790C"/>
    <w:rsid w:val="00312F57"/>
    <w:rsid w:val="00313EF9"/>
    <w:rsid w:val="00314E6B"/>
    <w:rsid w:val="0031646A"/>
    <w:rsid w:val="003202DA"/>
    <w:rsid w:val="00330ADC"/>
    <w:rsid w:val="00330EA1"/>
    <w:rsid w:val="003332D9"/>
    <w:rsid w:val="00341522"/>
    <w:rsid w:val="00344BD2"/>
    <w:rsid w:val="00345D64"/>
    <w:rsid w:val="00347A05"/>
    <w:rsid w:val="00356D34"/>
    <w:rsid w:val="003630A5"/>
    <w:rsid w:val="00363C96"/>
    <w:rsid w:val="003647BC"/>
    <w:rsid w:val="00365D88"/>
    <w:rsid w:val="00372C40"/>
    <w:rsid w:val="00375DF3"/>
    <w:rsid w:val="00375FD8"/>
    <w:rsid w:val="003808AE"/>
    <w:rsid w:val="003817BE"/>
    <w:rsid w:val="00386F70"/>
    <w:rsid w:val="00392D4B"/>
    <w:rsid w:val="003A730E"/>
    <w:rsid w:val="003B2EB3"/>
    <w:rsid w:val="003B40BF"/>
    <w:rsid w:val="003B4332"/>
    <w:rsid w:val="003B46D7"/>
    <w:rsid w:val="003C19B7"/>
    <w:rsid w:val="003C21F1"/>
    <w:rsid w:val="003C2CB9"/>
    <w:rsid w:val="003C79A1"/>
    <w:rsid w:val="003D3090"/>
    <w:rsid w:val="003D319D"/>
    <w:rsid w:val="003D329D"/>
    <w:rsid w:val="003D65CC"/>
    <w:rsid w:val="003D65F5"/>
    <w:rsid w:val="003E707B"/>
    <w:rsid w:val="003E772B"/>
    <w:rsid w:val="003E7B82"/>
    <w:rsid w:val="003F0B3C"/>
    <w:rsid w:val="003F0F71"/>
    <w:rsid w:val="00400807"/>
    <w:rsid w:val="004015D7"/>
    <w:rsid w:val="004021AC"/>
    <w:rsid w:val="004041F0"/>
    <w:rsid w:val="00407CF5"/>
    <w:rsid w:val="004119F4"/>
    <w:rsid w:val="00415797"/>
    <w:rsid w:val="0042089B"/>
    <w:rsid w:val="00427DBB"/>
    <w:rsid w:val="00427DFF"/>
    <w:rsid w:val="00431ACD"/>
    <w:rsid w:val="00431D18"/>
    <w:rsid w:val="00432C99"/>
    <w:rsid w:val="00435193"/>
    <w:rsid w:val="00440825"/>
    <w:rsid w:val="00444D3A"/>
    <w:rsid w:val="00445D44"/>
    <w:rsid w:val="00451B30"/>
    <w:rsid w:val="00451EAA"/>
    <w:rsid w:val="0045300A"/>
    <w:rsid w:val="00456A92"/>
    <w:rsid w:val="00475C7D"/>
    <w:rsid w:val="004761B6"/>
    <w:rsid w:val="00476AFF"/>
    <w:rsid w:val="00477D84"/>
    <w:rsid w:val="004815C3"/>
    <w:rsid w:val="00484824"/>
    <w:rsid w:val="0048618B"/>
    <w:rsid w:val="0048684D"/>
    <w:rsid w:val="00487382"/>
    <w:rsid w:val="0049111B"/>
    <w:rsid w:val="00494047"/>
    <w:rsid w:val="00497DD1"/>
    <w:rsid w:val="004A2E70"/>
    <w:rsid w:val="004A4C33"/>
    <w:rsid w:val="004A71C7"/>
    <w:rsid w:val="004A7D73"/>
    <w:rsid w:val="004B1107"/>
    <w:rsid w:val="004B11B0"/>
    <w:rsid w:val="004B3864"/>
    <w:rsid w:val="004B6B19"/>
    <w:rsid w:val="004C1AD5"/>
    <w:rsid w:val="004C3F37"/>
    <w:rsid w:val="004C6E44"/>
    <w:rsid w:val="004C7193"/>
    <w:rsid w:val="004D1D16"/>
    <w:rsid w:val="004E01D6"/>
    <w:rsid w:val="004E0908"/>
    <w:rsid w:val="004E2D87"/>
    <w:rsid w:val="004E4653"/>
    <w:rsid w:val="004F1F8F"/>
    <w:rsid w:val="004F3147"/>
    <w:rsid w:val="004F5120"/>
    <w:rsid w:val="00505242"/>
    <w:rsid w:val="005055E0"/>
    <w:rsid w:val="00510BEA"/>
    <w:rsid w:val="005113D5"/>
    <w:rsid w:val="0051260A"/>
    <w:rsid w:val="00512808"/>
    <w:rsid w:val="00514C31"/>
    <w:rsid w:val="005159FC"/>
    <w:rsid w:val="00515B02"/>
    <w:rsid w:val="00517C66"/>
    <w:rsid w:val="00524593"/>
    <w:rsid w:val="00526921"/>
    <w:rsid w:val="00531DE8"/>
    <w:rsid w:val="005324AF"/>
    <w:rsid w:val="00533C4E"/>
    <w:rsid w:val="00534314"/>
    <w:rsid w:val="00534954"/>
    <w:rsid w:val="005358B4"/>
    <w:rsid w:val="005361FA"/>
    <w:rsid w:val="005431B0"/>
    <w:rsid w:val="00545C1B"/>
    <w:rsid w:val="005501FC"/>
    <w:rsid w:val="005519A7"/>
    <w:rsid w:val="00553A9F"/>
    <w:rsid w:val="00553EAA"/>
    <w:rsid w:val="00554567"/>
    <w:rsid w:val="0055693E"/>
    <w:rsid w:val="005614BC"/>
    <w:rsid w:val="00561F0B"/>
    <w:rsid w:val="00565A39"/>
    <w:rsid w:val="005727AC"/>
    <w:rsid w:val="00573430"/>
    <w:rsid w:val="00580D51"/>
    <w:rsid w:val="00582B2F"/>
    <w:rsid w:val="00582C97"/>
    <w:rsid w:val="00586FD8"/>
    <w:rsid w:val="00591E08"/>
    <w:rsid w:val="00593033"/>
    <w:rsid w:val="005947FA"/>
    <w:rsid w:val="00597E64"/>
    <w:rsid w:val="005A787C"/>
    <w:rsid w:val="005B0B7C"/>
    <w:rsid w:val="005B0B87"/>
    <w:rsid w:val="005B2812"/>
    <w:rsid w:val="005B5764"/>
    <w:rsid w:val="005B688B"/>
    <w:rsid w:val="005B764A"/>
    <w:rsid w:val="005C29B4"/>
    <w:rsid w:val="005C3762"/>
    <w:rsid w:val="005C50DC"/>
    <w:rsid w:val="005C79FD"/>
    <w:rsid w:val="005D3398"/>
    <w:rsid w:val="005D4BB5"/>
    <w:rsid w:val="005D5BF2"/>
    <w:rsid w:val="005E033F"/>
    <w:rsid w:val="005E6136"/>
    <w:rsid w:val="005E6A91"/>
    <w:rsid w:val="005E7D2E"/>
    <w:rsid w:val="005E7E3E"/>
    <w:rsid w:val="005F5040"/>
    <w:rsid w:val="005F654C"/>
    <w:rsid w:val="006013B8"/>
    <w:rsid w:val="006018AE"/>
    <w:rsid w:val="00605149"/>
    <w:rsid w:val="00607982"/>
    <w:rsid w:val="006112FC"/>
    <w:rsid w:val="006115D9"/>
    <w:rsid w:val="00613B36"/>
    <w:rsid w:val="00615801"/>
    <w:rsid w:val="00615A94"/>
    <w:rsid w:val="00617434"/>
    <w:rsid w:val="00622066"/>
    <w:rsid w:val="006223B4"/>
    <w:rsid w:val="00630D17"/>
    <w:rsid w:val="00632F19"/>
    <w:rsid w:val="0063475A"/>
    <w:rsid w:val="00641F77"/>
    <w:rsid w:val="00646636"/>
    <w:rsid w:val="00647B70"/>
    <w:rsid w:val="00650814"/>
    <w:rsid w:val="00653D75"/>
    <w:rsid w:val="006614FC"/>
    <w:rsid w:val="00662677"/>
    <w:rsid w:val="00664F17"/>
    <w:rsid w:val="00666FCC"/>
    <w:rsid w:val="0066769B"/>
    <w:rsid w:val="00670666"/>
    <w:rsid w:val="006709AF"/>
    <w:rsid w:val="006777C4"/>
    <w:rsid w:val="006842B0"/>
    <w:rsid w:val="006842C7"/>
    <w:rsid w:val="00684E4C"/>
    <w:rsid w:val="00686E72"/>
    <w:rsid w:val="006A017E"/>
    <w:rsid w:val="006B1602"/>
    <w:rsid w:val="006B1AA7"/>
    <w:rsid w:val="006C1FCA"/>
    <w:rsid w:val="006C2C4C"/>
    <w:rsid w:val="006C47A4"/>
    <w:rsid w:val="006C6EC5"/>
    <w:rsid w:val="006D5D3A"/>
    <w:rsid w:val="006E0CA4"/>
    <w:rsid w:val="006E276B"/>
    <w:rsid w:val="006E595D"/>
    <w:rsid w:val="006E758F"/>
    <w:rsid w:val="006E7665"/>
    <w:rsid w:val="006F03A2"/>
    <w:rsid w:val="006F672A"/>
    <w:rsid w:val="007000FB"/>
    <w:rsid w:val="00700210"/>
    <w:rsid w:val="007007A6"/>
    <w:rsid w:val="0070159E"/>
    <w:rsid w:val="007024A8"/>
    <w:rsid w:val="00702523"/>
    <w:rsid w:val="00703409"/>
    <w:rsid w:val="00705015"/>
    <w:rsid w:val="0070565A"/>
    <w:rsid w:val="00707C12"/>
    <w:rsid w:val="007110D2"/>
    <w:rsid w:val="00714327"/>
    <w:rsid w:val="0072488B"/>
    <w:rsid w:val="00724E5D"/>
    <w:rsid w:val="00727AF4"/>
    <w:rsid w:val="00732E70"/>
    <w:rsid w:val="0073397F"/>
    <w:rsid w:val="00733B99"/>
    <w:rsid w:val="007374D5"/>
    <w:rsid w:val="00737A7B"/>
    <w:rsid w:val="00744720"/>
    <w:rsid w:val="007470DB"/>
    <w:rsid w:val="0075075A"/>
    <w:rsid w:val="00750949"/>
    <w:rsid w:val="0075116B"/>
    <w:rsid w:val="0075399A"/>
    <w:rsid w:val="007547DB"/>
    <w:rsid w:val="00754A69"/>
    <w:rsid w:val="00754B7C"/>
    <w:rsid w:val="007650A8"/>
    <w:rsid w:val="00766BBF"/>
    <w:rsid w:val="00767165"/>
    <w:rsid w:val="00767563"/>
    <w:rsid w:val="00771969"/>
    <w:rsid w:val="007726A7"/>
    <w:rsid w:val="007737EB"/>
    <w:rsid w:val="00776B2C"/>
    <w:rsid w:val="00776C75"/>
    <w:rsid w:val="00776D1B"/>
    <w:rsid w:val="007802B7"/>
    <w:rsid w:val="00786D22"/>
    <w:rsid w:val="00787A93"/>
    <w:rsid w:val="00792EB5"/>
    <w:rsid w:val="00795657"/>
    <w:rsid w:val="007A3136"/>
    <w:rsid w:val="007A45D0"/>
    <w:rsid w:val="007A6A77"/>
    <w:rsid w:val="007B16F7"/>
    <w:rsid w:val="007B1A9B"/>
    <w:rsid w:val="007B205D"/>
    <w:rsid w:val="007B3D05"/>
    <w:rsid w:val="007B574E"/>
    <w:rsid w:val="007C3D9E"/>
    <w:rsid w:val="007C48DC"/>
    <w:rsid w:val="007C500F"/>
    <w:rsid w:val="007C66C8"/>
    <w:rsid w:val="007C6EA6"/>
    <w:rsid w:val="007D3AF2"/>
    <w:rsid w:val="007D4CF0"/>
    <w:rsid w:val="007D6146"/>
    <w:rsid w:val="007D68B2"/>
    <w:rsid w:val="007D7CBC"/>
    <w:rsid w:val="007F33C4"/>
    <w:rsid w:val="00804630"/>
    <w:rsid w:val="00805321"/>
    <w:rsid w:val="00807236"/>
    <w:rsid w:val="00814756"/>
    <w:rsid w:val="00814B68"/>
    <w:rsid w:val="00820EA3"/>
    <w:rsid w:val="0082283B"/>
    <w:rsid w:val="00825D02"/>
    <w:rsid w:val="0082729B"/>
    <w:rsid w:val="0082781F"/>
    <w:rsid w:val="008316AA"/>
    <w:rsid w:val="00837E1E"/>
    <w:rsid w:val="008406C8"/>
    <w:rsid w:val="00852DAE"/>
    <w:rsid w:val="008630F8"/>
    <w:rsid w:val="00864C81"/>
    <w:rsid w:val="0086717C"/>
    <w:rsid w:val="0087415F"/>
    <w:rsid w:val="008841A6"/>
    <w:rsid w:val="0089211C"/>
    <w:rsid w:val="00892D51"/>
    <w:rsid w:val="0089497A"/>
    <w:rsid w:val="00895C29"/>
    <w:rsid w:val="008A7A16"/>
    <w:rsid w:val="008B3753"/>
    <w:rsid w:val="008B41DA"/>
    <w:rsid w:val="008C4A72"/>
    <w:rsid w:val="008D5C17"/>
    <w:rsid w:val="008D73B2"/>
    <w:rsid w:val="008E32C0"/>
    <w:rsid w:val="008F1F15"/>
    <w:rsid w:val="008F4ADC"/>
    <w:rsid w:val="009001CB"/>
    <w:rsid w:val="00902C03"/>
    <w:rsid w:val="00903222"/>
    <w:rsid w:val="00903C8C"/>
    <w:rsid w:val="00903DB0"/>
    <w:rsid w:val="00903DD4"/>
    <w:rsid w:val="00904817"/>
    <w:rsid w:val="00905FE6"/>
    <w:rsid w:val="0090699F"/>
    <w:rsid w:val="00914D30"/>
    <w:rsid w:val="00915B6A"/>
    <w:rsid w:val="00916CE3"/>
    <w:rsid w:val="009179D0"/>
    <w:rsid w:val="0092138E"/>
    <w:rsid w:val="009243A6"/>
    <w:rsid w:val="00933135"/>
    <w:rsid w:val="0093493B"/>
    <w:rsid w:val="00936AD7"/>
    <w:rsid w:val="0094615D"/>
    <w:rsid w:val="009468DE"/>
    <w:rsid w:val="00950FCF"/>
    <w:rsid w:val="00960CD5"/>
    <w:rsid w:val="00964718"/>
    <w:rsid w:val="00965330"/>
    <w:rsid w:val="00967F32"/>
    <w:rsid w:val="00971DB6"/>
    <w:rsid w:val="00973FE3"/>
    <w:rsid w:val="00974434"/>
    <w:rsid w:val="00977268"/>
    <w:rsid w:val="0097758D"/>
    <w:rsid w:val="00983D55"/>
    <w:rsid w:val="00984443"/>
    <w:rsid w:val="00992C1D"/>
    <w:rsid w:val="00993C48"/>
    <w:rsid w:val="00996F1F"/>
    <w:rsid w:val="00996FA6"/>
    <w:rsid w:val="00997FB1"/>
    <w:rsid w:val="009A7658"/>
    <w:rsid w:val="009B1657"/>
    <w:rsid w:val="009B2B7B"/>
    <w:rsid w:val="009B387A"/>
    <w:rsid w:val="009C0F7E"/>
    <w:rsid w:val="009C34E8"/>
    <w:rsid w:val="009C562B"/>
    <w:rsid w:val="009D006D"/>
    <w:rsid w:val="009D1C78"/>
    <w:rsid w:val="009D3C57"/>
    <w:rsid w:val="009D4427"/>
    <w:rsid w:val="009D48CB"/>
    <w:rsid w:val="009D5F8D"/>
    <w:rsid w:val="009E161D"/>
    <w:rsid w:val="009E7D99"/>
    <w:rsid w:val="009F149D"/>
    <w:rsid w:val="009F1EB2"/>
    <w:rsid w:val="009F57E5"/>
    <w:rsid w:val="00A00329"/>
    <w:rsid w:val="00A05841"/>
    <w:rsid w:val="00A06544"/>
    <w:rsid w:val="00A07398"/>
    <w:rsid w:val="00A10E00"/>
    <w:rsid w:val="00A12FF3"/>
    <w:rsid w:val="00A13785"/>
    <w:rsid w:val="00A168B3"/>
    <w:rsid w:val="00A242D8"/>
    <w:rsid w:val="00A245C1"/>
    <w:rsid w:val="00A2509B"/>
    <w:rsid w:val="00A26561"/>
    <w:rsid w:val="00A26F1D"/>
    <w:rsid w:val="00A3151F"/>
    <w:rsid w:val="00A33F08"/>
    <w:rsid w:val="00A42C7C"/>
    <w:rsid w:val="00A43F60"/>
    <w:rsid w:val="00A447FE"/>
    <w:rsid w:val="00A47931"/>
    <w:rsid w:val="00A53B61"/>
    <w:rsid w:val="00A54045"/>
    <w:rsid w:val="00A5459B"/>
    <w:rsid w:val="00A55451"/>
    <w:rsid w:val="00A56C20"/>
    <w:rsid w:val="00A61443"/>
    <w:rsid w:val="00A639EE"/>
    <w:rsid w:val="00A64655"/>
    <w:rsid w:val="00A70048"/>
    <w:rsid w:val="00A71587"/>
    <w:rsid w:val="00A76199"/>
    <w:rsid w:val="00A769B8"/>
    <w:rsid w:val="00A776B8"/>
    <w:rsid w:val="00A80F9C"/>
    <w:rsid w:val="00A85D3B"/>
    <w:rsid w:val="00A85DA0"/>
    <w:rsid w:val="00A86014"/>
    <w:rsid w:val="00A87157"/>
    <w:rsid w:val="00A97A2E"/>
    <w:rsid w:val="00AA7A6D"/>
    <w:rsid w:val="00AB1024"/>
    <w:rsid w:val="00AC06F0"/>
    <w:rsid w:val="00AD508D"/>
    <w:rsid w:val="00AD6591"/>
    <w:rsid w:val="00AE3007"/>
    <w:rsid w:val="00AE6AAD"/>
    <w:rsid w:val="00AF238D"/>
    <w:rsid w:val="00AF3A82"/>
    <w:rsid w:val="00AF4AC4"/>
    <w:rsid w:val="00B01F0C"/>
    <w:rsid w:val="00B03990"/>
    <w:rsid w:val="00B05309"/>
    <w:rsid w:val="00B123D9"/>
    <w:rsid w:val="00B24FA7"/>
    <w:rsid w:val="00B32AC6"/>
    <w:rsid w:val="00B34650"/>
    <w:rsid w:val="00B363E8"/>
    <w:rsid w:val="00B425BC"/>
    <w:rsid w:val="00B51F97"/>
    <w:rsid w:val="00B55564"/>
    <w:rsid w:val="00B55844"/>
    <w:rsid w:val="00B56D95"/>
    <w:rsid w:val="00B61E74"/>
    <w:rsid w:val="00B656B6"/>
    <w:rsid w:val="00B7163E"/>
    <w:rsid w:val="00B717D5"/>
    <w:rsid w:val="00B71F91"/>
    <w:rsid w:val="00B80BB3"/>
    <w:rsid w:val="00B82B0C"/>
    <w:rsid w:val="00B836AF"/>
    <w:rsid w:val="00B84C95"/>
    <w:rsid w:val="00B868A2"/>
    <w:rsid w:val="00B92412"/>
    <w:rsid w:val="00B96CB0"/>
    <w:rsid w:val="00BA3DE8"/>
    <w:rsid w:val="00BA64CC"/>
    <w:rsid w:val="00BA7189"/>
    <w:rsid w:val="00BB1647"/>
    <w:rsid w:val="00BB3A12"/>
    <w:rsid w:val="00BB594F"/>
    <w:rsid w:val="00BC5D45"/>
    <w:rsid w:val="00BC6463"/>
    <w:rsid w:val="00BD1769"/>
    <w:rsid w:val="00BD26BB"/>
    <w:rsid w:val="00BD6A63"/>
    <w:rsid w:val="00BD6CB1"/>
    <w:rsid w:val="00BE288C"/>
    <w:rsid w:val="00BE2A26"/>
    <w:rsid w:val="00BE6035"/>
    <w:rsid w:val="00BE64CC"/>
    <w:rsid w:val="00BE6DCB"/>
    <w:rsid w:val="00BF0292"/>
    <w:rsid w:val="00BF2137"/>
    <w:rsid w:val="00BF272F"/>
    <w:rsid w:val="00BF2FC5"/>
    <w:rsid w:val="00BF38C2"/>
    <w:rsid w:val="00BF5CBF"/>
    <w:rsid w:val="00BF65BD"/>
    <w:rsid w:val="00BF7E70"/>
    <w:rsid w:val="00C0424B"/>
    <w:rsid w:val="00C04C75"/>
    <w:rsid w:val="00C0565C"/>
    <w:rsid w:val="00C05AEC"/>
    <w:rsid w:val="00C10A1F"/>
    <w:rsid w:val="00C11DB5"/>
    <w:rsid w:val="00C12402"/>
    <w:rsid w:val="00C12839"/>
    <w:rsid w:val="00C13D85"/>
    <w:rsid w:val="00C14D19"/>
    <w:rsid w:val="00C14D34"/>
    <w:rsid w:val="00C2035D"/>
    <w:rsid w:val="00C20CFE"/>
    <w:rsid w:val="00C25B3F"/>
    <w:rsid w:val="00C3012B"/>
    <w:rsid w:val="00C319F3"/>
    <w:rsid w:val="00C32465"/>
    <w:rsid w:val="00C327ED"/>
    <w:rsid w:val="00C33F79"/>
    <w:rsid w:val="00C37027"/>
    <w:rsid w:val="00C4038D"/>
    <w:rsid w:val="00C40919"/>
    <w:rsid w:val="00C42892"/>
    <w:rsid w:val="00C42D58"/>
    <w:rsid w:val="00C45C4A"/>
    <w:rsid w:val="00C520EB"/>
    <w:rsid w:val="00C602FD"/>
    <w:rsid w:val="00C6444A"/>
    <w:rsid w:val="00C645EF"/>
    <w:rsid w:val="00C65960"/>
    <w:rsid w:val="00C7588A"/>
    <w:rsid w:val="00C764AD"/>
    <w:rsid w:val="00C82570"/>
    <w:rsid w:val="00C85B02"/>
    <w:rsid w:val="00C86044"/>
    <w:rsid w:val="00C87BFF"/>
    <w:rsid w:val="00C913DD"/>
    <w:rsid w:val="00C93CA2"/>
    <w:rsid w:val="00C95DF4"/>
    <w:rsid w:val="00C97DD7"/>
    <w:rsid w:val="00CA0ED9"/>
    <w:rsid w:val="00CB05C1"/>
    <w:rsid w:val="00CB094E"/>
    <w:rsid w:val="00CC04CF"/>
    <w:rsid w:val="00CC3169"/>
    <w:rsid w:val="00CC326C"/>
    <w:rsid w:val="00CC7273"/>
    <w:rsid w:val="00CD7765"/>
    <w:rsid w:val="00CD7BEB"/>
    <w:rsid w:val="00CD7CBC"/>
    <w:rsid w:val="00CE4400"/>
    <w:rsid w:val="00CE57B0"/>
    <w:rsid w:val="00CE7817"/>
    <w:rsid w:val="00CF38B4"/>
    <w:rsid w:val="00CF38BD"/>
    <w:rsid w:val="00D00AAC"/>
    <w:rsid w:val="00D01AFF"/>
    <w:rsid w:val="00D1181D"/>
    <w:rsid w:val="00D14E0F"/>
    <w:rsid w:val="00D156D7"/>
    <w:rsid w:val="00D215B6"/>
    <w:rsid w:val="00D22A43"/>
    <w:rsid w:val="00D241CD"/>
    <w:rsid w:val="00D2507B"/>
    <w:rsid w:val="00D272EA"/>
    <w:rsid w:val="00D3102B"/>
    <w:rsid w:val="00D33249"/>
    <w:rsid w:val="00D334B0"/>
    <w:rsid w:val="00D3364D"/>
    <w:rsid w:val="00D40FCB"/>
    <w:rsid w:val="00D42068"/>
    <w:rsid w:val="00D433F6"/>
    <w:rsid w:val="00D55DCE"/>
    <w:rsid w:val="00D562A5"/>
    <w:rsid w:val="00D60A26"/>
    <w:rsid w:val="00D6128C"/>
    <w:rsid w:val="00D6547D"/>
    <w:rsid w:val="00D65FD7"/>
    <w:rsid w:val="00D67860"/>
    <w:rsid w:val="00D70C9F"/>
    <w:rsid w:val="00D72B6D"/>
    <w:rsid w:val="00D73F7E"/>
    <w:rsid w:val="00D7513B"/>
    <w:rsid w:val="00D75584"/>
    <w:rsid w:val="00D80826"/>
    <w:rsid w:val="00D84844"/>
    <w:rsid w:val="00D8718F"/>
    <w:rsid w:val="00D9397B"/>
    <w:rsid w:val="00D9499C"/>
    <w:rsid w:val="00D96604"/>
    <w:rsid w:val="00DA0AFF"/>
    <w:rsid w:val="00DA2362"/>
    <w:rsid w:val="00DA6454"/>
    <w:rsid w:val="00DB28A8"/>
    <w:rsid w:val="00DB43B7"/>
    <w:rsid w:val="00DB655A"/>
    <w:rsid w:val="00DC018B"/>
    <w:rsid w:val="00DC0B98"/>
    <w:rsid w:val="00DC5855"/>
    <w:rsid w:val="00DD000F"/>
    <w:rsid w:val="00DD147C"/>
    <w:rsid w:val="00DD68C8"/>
    <w:rsid w:val="00DD77B6"/>
    <w:rsid w:val="00DD7FCC"/>
    <w:rsid w:val="00DE2FF1"/>
    <w:rsid w:val="00DE3970"/>
    <w:rsid w:val="00DF2073"/>
    <w:rsid w:val="00DF2871"/>
    <w:rsid w:val="00DF30B1"/>
    <w:rsid w:val="00DF6897"/>
    <w:rsid w:val="00E0009E"/>
    <w:rsid w:val="00E01DD6"/>
    <w:rsid w:val="00E02814"/>
    <w:rsid w:val="00E03A08"/>
    <w:rsid w:val="00E056BA"/>
    <w:rsid w:val="00E06648"/>
    <w:rsid w:val="00E06DB1"/>
    <w:rsid w:val="00E07B36"/>
    <w:rsid w:val="00E173A9"/>
    <w:rsid w:val="00E2092D"/>
    <w:rsid w:val="00E22A97"/>
    <w:rsid w:val="00E24DB6"/>
    <w:rsid w:val="00E26823"/>
    <w:rsid w:val="00E304D3"/>
    <w:rsid w:val="00E30F89"/>
    <w:rsid w:val="00E32CA6"/>
    <w:rsid w:val="00E373A1"/>
    <w:rsid w:val="00E42B91"/>
    <w:rsid w:val="00E42BF9"/>
    <w:rsid w:val="00E43B1C"/>
    <w:rsid w:val="00E45BE7"/>
    <w:rsid w:val="00E50E0C"/>
    <w:rsid w:val="00E51666"/>
    <w:rsid w:val="00E56BB9"/>
    <w:rsid w:val="00E617A8"/>
    <w:rsid w:val="00E66E5D"/>
    <w:rsid w:val="00E67252"/>
    <w:rsid w:val="00E70350"/>
    <w:rsid w:val="00E74A56"/>
    <w:rsid w:val="00E7624E"/>
    <w:rsid w:val="00E76A52"/>
    <w:rsid w:val="00E77873"/>
    <w:rsid w:val="00E80B31"/>
    <w:rsid w:val="00E85182"/>
    <w:rsid w:val="00E86173"/>
    <w:rsid w:val="00E864BD"/>
    <w:rsid w:val="00E92C14"/>
    <w:rsid w:val="00E9324A"/>
    <w:rsid w:val="00E936FD"/>
    <w:rsid w:val="00E95E50"/>
    <w:rsid w:val="00E96A5C"/>
    <w:rsid w:val="00EA03EB"/>
    <w:rsid w:val="00EB22AF"/>
    <w:rsid w:val="00EB3789"/>
    <w:rsid w:val="00EB6F04"/>
    <w:rsid w:val="00EC028A"/>
    <w:rsid w:val="00EC1110"/>
    <w:rsid w:val="00EC1B8F"/>
    <w:rsid w:val="00EC3892"/>
    <w:rsid w:val="00ED1042"/>
    <w:rsid w:val="00ED257E"/>
    <w:rsid w:val="00ED3C76"/>
    <w:rsid w:val="00ED4936"/>
    <w:rsid w:val="00ED49A9"/>
    <w:rsid w:val="00ED65AE"/>
    <w:rsid w:val="00ED7308"/>
    <w:rsid w:val="00EE01DC"/>
    <w:rsid w:val="00EE161E"/>
    <w:rsid w:val="00EE1991"/>
    <w:rsid w:val="00EE305C"/>
    <w:rsid w:val="00EE591B"/>
    <w:rsid w:val="00EE79AC"/>
    <w:rsid w:val="00EF3C1B"/>
    <w:rsid w:val="00EF4AE1"/>
    <w:rsid w:val="00F00B42"/>
    <w:rsid w:val="00F00C4D"/>
    <w:rsid w:val="00F02400"/>
    <w:rsid w:val="00F05735"/>
    <w:rsid w:val="00F16454"/>
    <w:rsid w:val="00F21C22"/>
    <w:rsid w:val="00F239FA"/>
    <w:rsid w:val="00F2429E"/>
    <w:rsid w:val="00F24551"/>
    <w:rsid w:val="00F26459"/>
    <w:rsid w:val="00F32B1E"/>
    <w:rsid w:val="00F3365A"/>
    <w:rsid w:val="00F37CA9"/>
    <w:rsid w:val="00F40A23"/>
    <w:rsid w:val="00F5032B"/>
    <w:rsid w:val="00F528F4"/>
    <w:rsid w:val="00F52FB4"/>
    <w:rsid w:val="00F57FD2"/>
    <w:rsid w:val="00F64EBD"/>
    <w:rsid w:val="00F660C2"/>
    <w:rsid w:val="00F70E3E"/>
    <w:rsid w:val="00F739E5"/>
    <w:rsid w:val="00F74116"/>
    <w:rsid w:val="00F7451C"/>
    <w:rsid w:val="00F80A98"/>
    <w:rsid w:val="00F833B7"/>
    <w:rsid w:val="00F83CAF"/>
    <w:rsid w:val="00F85650"/>
    <w:rsid w:val="00F86853"/>
    <w:rsid w:val="00F86DC6"/>
    <w:rsid w:val="00F9033E"/>
    <w:rsid w:val="00FA2EA7"/>
    <w:rsid w:val="00FA33AD"/>
    <w:rsid w:val="00FB248B"/>
    <w:rsid w:val="00FB7BEA"/>
    <w:rsid w:val="00FC0A14"/>
    <w:rsid w:val="00FC1C5C"/>
    <w:rsid w:val="00FC480E"/>
    <w:rsid w:val="00FC50B8"/>
    <w:rsid w:val="00FC7BF7"/>
    <w:rsid w:val="00FC7D49"/>
    <w:rsid w:val="00FD2F49"/>
    <w:rsid w:val="00FD31E3"/>
    <w:rsid w:val="00FD6D1E"/>
    <w:rsid w:val="00FE539D"/>
    <w:rsid w:val="00FE7E46"/>
    <w:rsid w:val="00FF5BE5"/>
    <w:rsid w:val="00FF656D"/>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8231BD9"/>
  <w15:docId w15:val="{4B1AF6D6-D220-4564-A51A-1C28A0A0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ind w:left="432"/>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semiHidden/>
    <w:unhideWhenUsed/>
    <w:rsid w:val="001A3992"/>
    <w:rPr>
      <w:sz w:val="16"/>
      <w:szCs w:val="16"/>
    </w:rPr>
  </w:style>
  <w:style w:type="paragraph" w:styleId="CommentText">
    <w:name w:val="annotation text"/>
    <w:aliases w:val="Annotationtext,Comment Text Char2 Char,Comment Text Char1 Char Char,Comment Text Char Char Char Char,Comment Text Char Char1 Char,Comment Text Char Char"/>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Comment Text Char2 Char Char,Comment Text Char1 Char Char Char,Comment Text Char Char Char Char Char,Comment Text Char Char1 Char Char,Comment Text Char Char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Bibliography">
    <w:name w:val="Bibliography"/>
    <w:basedOn w:val="Normal"/>
    <w:next w:val="Normal"/>
    <w:uiPriority w:val="37"/>
    <w:semiHidden/>
    <w:unhideWhenUsed/>
    <w:rsid w:val="00071855"/>
  </w:style>
  <w:style w:type="paragraph" w:styleId="BlockText">
    <w:name w:val="Block Text"/>
    <w:basedOn w:val="Normal"/>
    <w:uiPriority w:val="99"/>
    <w:semiHidden/>
    <w:unhideWhenUsed/>
    <w:rsid w:val="0007185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71855"/>
    <w:pPr>
      <w:spacing w:after="120"/>
    </w:pPr>
  </w:style>
  <w:style w:type="character" w:customStyle="1" w:styleId="BodyTextChar">
    <w:name w:val="Body Text Char"/>
    <w:basedOn w:val="DefaultParagraphFont"/>
    <w:link w:val="BodyText"/>
    <w:uiPriority w:val="99"/>
    <w:semiHidden/>
    <w:rsid w:val="00071855"/>
  </w:style>
  <w:style w:type="paragraph" w:styleId="BodyText2">
    <w:name w:val="Body Text 2"/>
    <w:basedOn w:val="Normal"/>
    <w:link w:val="BodyText2Char"/>
    <w:uiPriority w:val="99"/>
    <w:semiHidden/>
    <w:unhideWhenUsed/>
    <w:rsid w:val="00071855"/>
    <w:pPr>
      <w:spacing w:after="120" w:line="480" w:lineRule="auto"/>
    </w:pPr>
  </w:style>
  <w:style w:type="character" w:customStyle="1" w:styleId="BodyText2Char">
    <w:name w:val="Body Text 2 Char"/>
    <w:basedOn w:val="DefaultParagraphFont"/>
    <w:link w:val="BodyText2"/>
    <w:uiPriority w:val="99"/>
    <w:semiHidden/>
    <w:rsid w:val="00071855"/>
  </w:style>
  <w:style w:type="paragraph" w:styleId="BodyText3">
    <w:name w:val="Body Text 3"/>
    <w:basedOn w:val="Normal"/>
    <w:link w:val="BodyText3Char"/>
    <w:uiPriority w:val="99"/>
    <w:semiHidden/>
    <w:unhideWhenUsed/>
    <w:rsid w:val="00071855"/>
    <w:pPr>
      <w:spacing w:after="120"/>
    </w:pPr>
    <w:rPr>
      <w:sz w:val="16"/>
      <w:szCs w:val="16"/>
    </w:rPr>
  </w:style>
  <w:style w:type="character" w:customStyle="1" w:styleId="BodyText3Char">
    <w:name w:val="Body Text 3 Char"/>
    <w:basedOn w:val="DefaultParagraphFont"/>
    <w:link w:val="BodyText3"/>
    <w:uiPriority w:val="99"/>
    <w:semiHidden/>
    <w:rsid w:val="00071855"/>
    <w:rPr>
      <w:sz w:val="16"/>
      <w:szCs w:val="16"/>
    </w:rPr>
  </w:style>
  <w:style w:type="paragraph" w:styleId="BodyTextFirstIndent">
    <w:name w:val="Body Text First Indent"/>
    <w:basedOn w:val="BodyText"/>
    <w:link w:val="BodyTextFirstIndentChar"/>
    <w:uiPriority w:val="99"/>
    <w:semiHidden/>
    <w:unhideWhenUsed/>
    <w:rsid w:val="00071855"/>
    <w:pPr>
      <w:spacing w:after="200"/>
      <w:ind w:firstLine="360"/>
    </w:pPr>
  </w:style>
  <w:style w:type="character" w:customStyle="1" w:styleId="BodyTextFirstIndentChar">
    <w:name w:val="Body Text First Indent Char"/>
    <w:basedOn w:val="BodyTextChar"/>
    <w:link w:val="BodyTextFirstIndent"/>
    <w:uiPriority w:val="99"/>
    <w:semiHidden/>
    <w:rsid w:val="00071855"/>
  </w:style>
  <w:style w:type="paragraph" w:styleId="BodyTextIndent">
    <w:name w:val="Body Text Indent"/>
    <w:basedOn w:val="Normal"/>
    <w:link w:val="BodyTextIndentChar"/>
    <w:uiPriority w:val="99"/>
    <w:semiHidden/>
    <w:unhideWhenUsed/>
    <w:rsid w:val="00071855"/>
    <w:pPr>
      <w:spacing w:after="120"/>
      <w:ind w:left="283"/>
    </w:pPr>
  </w:style>
  <w:style w:type="character" w:customStyle="1" w:styleId="BodyTextIndentChar">
    <w:name w:val="Body Text Indent Char"/>
    <w:basedOn w:val="DefaultParagraphFont"/>
    <w:link w:val="BodyTextIndent"/>
    <w:uiPriority w:val="99"/>
    <w:semiHidden/>
    <w:rsid w:val="00071855"/>
  </w:style>
  <w:style w:type="paragraph" w:styleId="BodyTextFirstIndent2">
    <w:name w:val="Body Text First Indent 2"/>
    <w:basedOn w:val="BodyTextIndent"/>
    <w:link w:val="BodyTextFirstIndent2Char"/>
    <w:uiPriority w:val="99"/>
    <w:semiHidden/>
    <w:unhideWhenUsed/>
    <w:rsid w:val="0007185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71855"/>
  </w:style>
  <w:style w:type="paragraph" w:styleId="BodyTextIndent2">
    <w:name w:val="Body Text Indent 2"/>
    <w:basedOn w:val="Normal"/>
    <w:link w:val="BodyTextIndent2Char"/>
    <w:uiPriority w:val="99"/>
    <w:semiHidden/>
    <w:unhideWhenUsed/>
    <w:rsid w:val="00071855"/>
    <w:pPr>
      <w:spacing w:after="120" w:line="480" w:lineRule="auto"/>
      <w:ind w:left="283"/>
    </w:pPr>
  </w:style>
  <w:style w:type="character" w:customStyle="1" w:styleId="BodyTextIndent2Char">
    <w:name w:val="Body Text Indent 2 Char"/>
    <w:basedOn w:val="DefaultParagraphFont"/>
    <w:link w:val="BodyTextIndent2"/>
    <w:uiPriority w:val="99"/>
    <w:semiHidden/>
    <w:rsid w:val="00071855"/>
  </w:style>
  <w:style w:type="paragraph" w:styleId="BodyTextIndent3">
    <w:name w:val="Body Text Indent 3"/>
    <w:basedOn w:val="Normal"/>
    <w:link w:val="BodyTextIndent3Char"/>
    <w:uiPriority w:val="99"/>
    <w:semiHidden/>
    <w:unhideWhenUsed/>
    <w:rsid w:val="000718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71855"/>
    <w:rPr>
      <w:sz w:val="16"/>
      <w:szCs w:val="16"/>
    </w:rPr>
  </w:style>
  <w:style w:type="paragraph" w:styleId="Caption">
    <w:name w:val="caption"/>
    <w:basedOn w:val="Normal"/>
    <w:next w:val="Normal"/>
    <w:uiPriority w:val="35"/>
    <w:semiHidden/>
    <w:unhideWhenUsed/>
    <w:qFormat/>
    <w:rsid w:val="0007185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071855"/>
    <w:pPr>
      <w:spacing w:after="0" w:line="240" w:lineRule="auto"/>
      <w:ind w:left="4252"/>
    </w:pPr>
  </w:style>
  <w:style w:type="character" w:customStyle="1" w:styleId="ClosingChar">
    <w:name w:val="Closing Char"/>
    <w:basedOn w:val="DefaultParagraphFont"/>
    <w:link w:val="Closing"/>
    <w:uiPriority w:val="99"/>
    <w:semiHidden/>
    <w:rsid w:val="00071855"/>
  </w:style>
  <w:style w:type="paragraph" w:styleId="CommentSubject">
    <w:name w:val="annotation subject"/>
    <w:basedOn w:val="CommentText"/>
    <w:next w:val="CommentText"/>
    <w:link w:val="CommentSubjectChar"/>
    <w:uiPriority w:val="99"/>
    <w:semiHidden/>
    <w:unhideWhenUsed/>
    <w:rsid w:val="00071855"/>
    <w:rPr>
      <w:rFonts w:asciiTheme="minorHAnsi" w:hAnsiTheme="minorHAnsi"/>
      <w:b/>
      <w:bCs/>
    </w:rPr>
  </w:style>
  <w:style w:type="character" w:customStyle="1" w:styleId="CommentSubjectChar">
    <w:name w:val="Comment Subject Char"/>
    <w:basedOn w:val="CommentTextChar"/>
    <w:link w:val="CommentSubject"/>
    <w:uiPriority w:val="99"/>
    <w:semiHidden/>
    <w:rsid w:val="00071855"/>
    <w:rPr>
      <w:rFonts w:ascii="Cambria" w:hAnsi="Cambria"/>
      <w:b/>
      <w:bCs/>
      <w:sz w:val="20"/>
      <w:szCs w:val="20"/>
    </w:rPr>
  </w:style>
  <w:style w:type="paragraph" w:styleId="Date">
    <w:name w:val="Date"/>
    <w:basedOn w:val="Normal"/>
    <w:next w:val="Normal"/>
    <w:link w:val="DateChar"/>
    <w:uiPriority w:val="99"/>
    <w:semiHidden/>
    <w:unhideWhenUsed/>
    <w:rsid w:val="00071855"/>
  </w:style>
  <w:style w:type="character" w:customStyle="1" w:styleId="DateChar">
    <w:name w:val="Date Char"/>
    <w:basedOn w:val="DefaultParagraphFont"/>
    <w:link w:val="Date"/>
    <w:uiPriority w:val="99"/>
    <w:semiHidden/>
    <w:rsid w:val="00071855"/>
  </w:style>
  <w:style w:type="paragraph" w:styleId="DocumentMap">
    <w:name w:val="Document Map"/>
    <w:basedOn w:val="Normal"/>
    <w:link w:val="DocumentMapChar"/>
    <w:uiPriority w:val="99"/>
    <w:semiHidden/>
    <w:unhideWhenUsed/>
    <w:rsid w:val="0007185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1855"/>
    <w:rPr>
      <w:rFonts w:ascii="Segoe UI" w:hAnsi="Segoe UI" w:cs="Segoe UI"/>
      <w:sz w:val="16"/>
      <w:szCs w:val="16"/>
    </w:rPr>
  </w:style>
  <w:style w:type="paragraph" w:styleId="E-mailSignature">
    <w:name w:val="E-mail Signature"/>
    <w:basedOn w:val="Normal"/>
    <w:link w:val="E-mailSignatureChar"/>
    <w:uiPriority w:val="99"/>
    <w:semiHidden/>
    <w:unhideWhenUsed/>
    <w:rsid w:val="00071855"/>
    <w:pPr>
      <w:spacing w:after="0" w:line="240" w:lineRule="auto"/>
    </w:pPr>
  </w:style>
  <w:style w:type="character" w:customStyle="1" w:styleId="E-mailSignatureChar">
    <w:name w:val="E-mail Signature Char"/>
    <w:basedOn w:val="DefaultParagraphFont"/>
    <w:link w:val="E-mailSignature"/>
    <w:uiPriority w:val="99"/>
    <w:semiHidden/>
    <w:rsid w:val="00071855"/>
  </w:style>
  <w:style w:type="paragraph" w:styleId="EndnoteText">
    <w:name w:val="endnote text"/>
    <w:basedOn w:val="Normal"/>
    <w:link w:val="EndnoteTextChar"/>
    <w:uiPriority w:val="99"/>
    <w:semiHidden/>
    <w:unhideWhenUsed/>
    <w:rsid w:val="000718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1855"/>
    <w:rPr>
      <w:sz w:val="20"/>
      <w:szCs w:val="20"/>
    </w:rPr>
  </w:style>
  <w:style w:type="paragraph" w:styleId="EnvelopeAddress">
    <w:name w:val="envelope address"/>
    <w:basedOn w:val="Normal"/>
    <w:uiPriority w:val="99"/>
    <w:semiHidden/>
    <w:unhideWhenUsed/>
    <w:rsid w:val="0007185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1855"/>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071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855"/>
  </w:style>
  <w:style w:type="paragraph" w:styleId="HTMLAddress">
    <w:name w:val="HTML Address"/>
    <w:basedOn w:val="Normal"/>
    <w:link w:val="HTMLAddressChar"/>
    <w:uiPriority w:val="99"/>
    <w:semiHidden/>
    <w:unhideWhenUsed/>
    <w:rsid w:val="00071855"/>
    <w:pPr>
      <w:spacing w:after="0" w:line="240" w:lineRule="auto"/>
    </w:pPr>
    <w:rPr>
      <w:i/>
      <w:iCs/>
    </w:rPr>
  </w:style>
  <w:style w:type="character" w:customStyle="1" w:styleId="HTMLAddressChar">
    <w:name w:val="HTML Address Char"/>
    <w:basedOn w:val="DefaultParagraphFont"/>
    <w:link w:val="HTMLAddress"/>
    <w:uiPriority w:val="99"/>
    <w:semiHidden/>
    <w:rsid w:val="00071855"/>
    <w:rPr>
      <w:i/>
      <w:iCs/>
    </w:rPr>
  </w:style>
  <w:style w:type="paragraph" w:styleId="HTMLPreformatted">
    <w:name w:val="HTML Preformatted"/>
    <w:basedOn w:val="Normal"/>
    <w:link w:val="HTMLPreformattedChar"/>
    <w:uiPriority w:val="99"/>
    <w:semiHidden/>
    <w:unhideWhenUsed/>
    <w:rsid w:val="0007185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71855"/>
    <w:rPr>
      <w:rFonts w:ascii="Consolas" w:hAnsi="Consolas" w:cs="Consolas"/>
      <w:sz w:val="20"/>
      <w:szCs w:val="20"/>
    </w:rPr>
  </w:style>
  <w:style w:type="paragraph" w:styleId="Index1">
    <w:name w:val="index 1"/>
    <w:basedOn w:val="Normal"/>
    <w:next w:val="Normal"/>
    <w:autoRedefine/>
    <w:uiPriority w:val="99"/>
    <w:semiHidden/>
    <w:unhideWhenUsed/>
    <w:rsid w:val="00071855"/>
    <w:pPr>
      <w:spacing w:after="0" w:line="240" w:lineRule="auto"/>
      <w:ind w:left="220" w:hanging="220"/>
    </w:pPr>
  </w:style>
  <w:style w:type="paragraph" w:styleId="Index2">
    <w:name w:val="index 2"/>
    <w:basedOn w:val="Normal"/>
    <w:next w:val="Normal"/>
    <w:autoRedefine/>
    <w:uiPriority w:val="99"/>
    <w:semiHidden/>
    <w:unhideWhenUsed/>
    <w:rsid w:val="00071855"/>
    <w:pPr>
      <w:spacing w:after="0" w:line="240" w:lineRule="auto"/>
      <w:ind w:left="440" w:hanging="220"/>
    </w:pPr>
  </w:style>
  <w:style w:type="paragraph" w:styleId="Index3">
    <w:name w:val="index 3"/>
    <w:basedOn w:val="Normal"/>
    <w:next w:val="Normal"/>
    <w:autoRedefine/>
    <w:uiPriority w:val="99"/>
    <w:semiHidden/>
    <w:unhideWhenUsed/>
    <w:rsid w:val="00071855"/>
    <w:pPr>
      <w:spacing w:after="0" w:line="240" w:lineRule="auto"/>
      <w:ind w:left="660" w:hanging="220"/>
    </w:pPr>
  </w:style>
  <w:style w:type="paragraph" w:styleId="Index4">
    <w:name w:val="index 4"/>
    <w:basedOn w:val="Normal"/>
    <w:next w:val="Normal"/>
    <w:autoRedefine/>
    <w:uiPriority w:val="99"/>
    <w:semiHidden/>
    <w:unhideWhenUsed/>
    <w:rsid w:val="00071855"/>
    <w:pPr>
      <w:spacing w:after="0" w:line="240" w:lineRule="auto"/>
      <w:ind w:left="880" w:hanging="220"/>
    </w:pPr>
  </w:style>
  <w:style w:type="paragraph" w:styleId="Index5">
    <w:name w:val="index 5"/>
    <w:basedOn w:val="Normal"/>
    <w:next w:val="Normal"/>
    <w:autoRedefine/>
    <w:uiPriority w:val="99"/>
    <w:semiHidden/>
    <w:unhideWhenUsed/>
    <w:rsid w:val="00071855"/>
    <w:pPr>
      <w:spacing w:after="0" w:line="240" w:lineRule="auto"/>
      <w:ind w:left="1100" w:hanging="220"/>
    </w:pPr>
  </w:style>
  <w:style w:type="paragraph" w:styleId="Index6">
    <w:name w:val="index 6"/>
    <w:basedOn w:val="Normal"/>
    <w:next w:val="Normal"/>
    <w:autoRedefine/>
    <w:uiPriority w:val="99"/>
    <w:semiHidden/>
    <w:unhideWhenUsed/>
    <w:rsid w:val="00071855"/>
    <w:pPr>
      <w:spacing w:after="0" w:line="240" w:lineRule="auto"/>
      <w:ind w:left="1320" w:hanging="220"/>
    </w:pPr>
  </w:style>
  <w:style w:type="paragraph" w:styleId="Index7">
    <w:name w:val="index 7"/>
    <w:basedOn w:val="Normal"/>
    <w:next w:val="Normal"/>
    <w:autoRedefine/>
    <w:uiPriority w:val="99"/>
    <w:semiHidden/>
    <w:unhideWhenUsed/>
    <w:rsid w:val="00071855"/>
    <w:pPr>
      <w:spacing w:after="0" w:line="240" w:lineRule="auto"/>
      <w:ind w:left="1540" w:hanging="220"/>
    </w:pPr>
  </w:style>
  <w:style w:type="paragraph" w:styleId="Index8">
    <w:name w:val="index 8"/>
    <w:basedOn w:val="Normal"/>
    <w:next w:val="Normal"/>
    <w:autoRedefine/>
    <w:uiPriority w:val="99"/>
    <w:semiHidden/>
    <w:unhideWhenUsed/>
    <w:rsid w:val="00071855"/>
    <w:pPr>
      <w:spacing w:after="0" w:line="240" w:lineRule="auto"/>
      <w:ind w:left="1760" w:hanging="220"/>
    </w:pPr>
  </w:style>
  <w:style w:type="paragraph" w:styleId="Index9">
    <w:name w:val="index 9"/>
    <w:basedOn w:val="Normal"/>
    <w:next w:val="Normal"/>
    <w:autoRedefine/>
    <w:uiPriority w:val="99"/>
    <w:semiHidden/>
    <w:unhideWhenUsed/>
    <w:rsid w:val="00071855"/>
    <w:pPr>
      <w:spacing w:after="0" w:line="240" w:lineRule="auto"/>
      <w:ind w:left="1980" w:hanging="220"/>
    </w:pPr>
  </w:style>
  <w:style w:type="paragraph" w:styleId="IndexHeading">
    <w:name w:val="index heading"/>
    <w:basedOn w:val="Normal"/>
    <w:next w:val="Index1"/>
    <w:uiPriority w:val="99"/>
    <w:semiHidden/>
    <w:unhideWhenUsed/>
    <w:rsid w:val="000718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718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1855"/>
    <w:rPr>
      <w:i/>
      <w:iCs/>
      <w:color w:val="4F81BD" w:themeColor="accent1"/>
    </w:rPr>
  </w:style>
  <w:style w:type="paragraph" w:styleId="List">
    <w:name w:val="List"/>
    <w:basedOn w:val="Normal"/>
    <w:uiPriority w:val="99"/>
    <w:semiHidden/>
    <w:unhideWhenUsed/>
    <w:rsid w:val="00071855"/>
    <w:pPr>
      <w:ind w:left="283" w:hanging="283"/>
      <w:contextualSpacing/>
    </w:pPr>
  </w:style>
  <w:style w:type="paragraph" w:styleId="List2">
    <w:name w:val="List 2"/>
    <w:basedOn w:val="Normal"/>
    <w:uiPriority w:val="99"/>
    <w:semiHidden/>
    <w:unhideWhenUsed/>
    <w:rsid w:val="00071855"/>
    <w:pPr>
      <w:ind w:left="566" w:hanging="283"/>
      <w:contextualSpacing/>
    </w:pPr>
  </w:style>
  <w:style w:type="paragraph" w:styleId="List3">
    <w:name w:val="List 3"/>
    <w:basedOn w:val="Normal"/>
    <w:uiPriority w:val="99"/>
    <w:semiHidden/>
    <w:unhideWhenUsed/>
    <w:rsid w:val="00071855"/>
    <w:pPr>
      <w:ind w:left="849" w:hanging="283"/>
      <w:contextualSpacing/>
    </w:pPr>
  </w:style>
  <w:style w:type="paragraph" w:styleId="List4">
    <w:name w:val="List 4"/>
    <w:basedOn w:val="Normal"/>
    <w:uiPriority w:val="99"/>
    <w:semiHidden/>
    <w:unhideWhenUsed/>
    <w:rsid w:val="00071855"/>
    <w:pPr>
      <w:ind w:left="1132" w:hanging="283"/>
      <w:contextualSpacing/>
    </w:pPr>
  </w:style>
  <w:style w:type="paragraph" w:styleId="List5">
    <w:name w:val="List 5"/>
    <w:basedOn w:val="Normal"/>
    <w:uiPriority w:val="99"/>
    <w:semiHidden/>
    <w:unhideWhenUsed/>
    <w:rsid w:val="00071855"/>
    <w:pPr>
      <w:ind w:left="1415" w:hanging="283"/>
      <w:contextualSpacing/>
    </w:pPr>
  </w:style>
  <w:style w:type="paragraph" w:styleId="ListBullet2">
    <w:name w:val="List Bullet 2"/>
    <w:basedOn w:val="Normal"/>
    <w:uiPriority w:val="99"/>
    <w:semiHidden/>
    <w:unhideWhenUsed/>
    <w:rsid w:val="00071855"/>
    <w:pPr>
      <w:numPr>
        <w:numId w:val="29"/>
      </w:numPr>
      <w:contextualSpacing/>
    </w:pPr>
  </w:style>
  <w:style w:type="paragraph" w:styleId="ListBullet3">
    <w:name w:val="List Bullet 3"/>
    <w:basedOn w:val="Normal"/>
    <w:uiPriority w:val="99"/>
    <w:semiHidden/>
    <w:unhideWhenUsed/>
    <w:rsid w:val="00071855"/>
    <w:pPr>
      <w:numPr>
        <w:numId w:val="30"/>
      </w:numPr>
      <w:contextualSpacing/>
    </w:pPr>
  </w:style>
  <w:style w:type="paragraph" w:styleId="ListBullet4">
    <w:name w:val="List Bullet 4"/>
    <w:basedOn w:val="Normal"/>
    <w:uiPriority w:val="99"/>
    <w:semiHidden/>
    <w:unhideWhenUsed/>
    <w:rsid w:val="00071855"/>
    <w:pPr>
      <w:numPr>
        <w:numId w:val="31"/>
      </w:numPr>
      <w:contextualSpacing/>
    </w:pPr>
  </w:style>
  <w:style w:type="paragraph" w:styleId="ListBullet5">
    <w:name w:val="List Bullet 5"/>
    <w:basedOn w:val="Normal"/>
    <w:uiPriority w:val="99"/>
    <w:semiHidden/>
    <w:unhideWhenUsed/>
    <w:rsid w:val="00071855"/>
    <w:pPr>
      <w:numPr>
        <w:numId w:val="32"/>
      </w:numPr>
      <w:contextualSpacing/>
    </w:pPr>
  </w:style>
  <w:style w:type="paragraph" w:styleId="ListContinue">
    <w:name w:val="List Continue"/>
    <w:basedOn w:val="Normal"/>
    <w:uiPriority w:val="99"/>
    <w:semiHidden/>
    <w:unhideWhenUsed/>
    <w:rsid w:val="00071855"/>
    <w:pPr>
      <w:spacing w:after="120"/>
      <w:ind w:left="283"/>
      <w:contextualSpacing/>
    </w:pPr>
  </w:style>
  <w:style w:type="paragraph" w:styleId="ListContinue2">
    <w:name w:val="List Continue 2"/>
    <w:basedOn w:val="Normal"/>
    <w:uiPriority w:val="99"/>
    <w:semiHidden/>
    <w:unhideWhenUsed/>
    <w:rsid w:val="00071855"/>
    <w:pPr>
      <w:spacing w:after="120"/>
      <w:ind w:left="566"/>
      <w:contextualSpacing/>
    </w:pPr>
  </w:style>
  <w:style w:type="paragraph" w:styleId="ListContinue3">
    <w:name w:val="List Continue 3"/>
    <w:basedOn w:val="Normal"/>
    <w:uiPriority w:val="99"/>
    <w:semiHidden/>
    <w:unhideWhenUsed/>
    <w:rsid w:val="00071855"/>
    <w:pPr>
      <w:spacing w:after="120"/>
      <w:ind w:left="849"/>
      <w:contextualSpacing/>
    </w:pPr>
  </w:style>
  <w:style w:type="paragraph" w:styleId="ListContinue4">
    <w:name w:val="List Continue 4"/>
    <w:basedOn w:val="Normal"/>
    <w:uiPriority w:val="99"/>
    <w:semiHidden/>
    <w:unhideWhenUsed/>
    <w:rsid w:val="00071855"/>
    <w:pPr>
      <w:spacing w:after="120"/>
      <w:ind w:left="1132"/>
      <w:contextualSpacing/>
    </w:pPr>
  </w:style>
  <w:style w:type="paragraph" w:styleId="ListContinue5">
    <w:name w:val="List Continue 5"/>
    <w:basedOn w:val="Normal"/>
    <w:uiPriority w:val="99"/>
    <w:semiHidden/>
    <w:unhideWhenUsed/>
    <w:rsid w:val="00071855"/>
    <w:pPr>
      <w:spacing w:after="120"/>
      <w:ind w:left="1415"/>
      <w:contextualSpacing/>
    </w:pPr>
  </w:style>
  <w:style w:type="paragraph" w:styleId="ListNumber">
    <w:name w:val="List Number"/>
    <w:basedOn w:val="Normal"/>
    <w:uiPriority w:val="99"/>
    <w:semiHidden/>
    <w:unhideWhenUsed/>
    <w:rsid w:val="00071855"/>
    <w:pPr>
      <w:numPr>
        <w:numId w:val="33"/>
      </w:numPr>
      <w:contextualSpacing/>
    </w:pPr>
  </w:style>
  <w:style w:type="paragraph" w:styleId="ListNumber2">
    <w:name w:val="List Number 2"/>
    <w:basedOn w:val="Normal"/>
    <w:uiPriority w:val="99"/>
    <w:semiHidden/>
    <w:unhideWhenUsed/>
    <w:rsid w:val="00071855"/>
    <w:pPr>
      <w:numPr>
        <w:numId w:val="34"/>
      </w:numPr>
      <w:contextualSpacing/>
    </w:pPr>
  </w:style>
  <w:style w:type="paragraph" w:styleId="ListNumber3">
    <w:name w:val="List Number 3"/>
    <w:basedOn w:val="Normal"/>
    <w:uiPriority w:val="99"/>
    <w:semiHidden/>
    <w:unhideWhenUsed/>
    <w:rsid w:val="00071855"/>
    <w:pPr>
      <w:numPr>
        <w:numId w:val="35"/>
      </w:numPr>
      <w:contextualSpacing/>
    </w:pPr>
  </w:style>
  <w:style w:type="paragraph" w:styleId="ListNumber4">
    <w:name w:val="List Number 4"/>
    <w:basedOn w:val="Normal"/>
    <w:uiPriority w:val="99"/>
    <w:semiHidden/>
    <w:unhideWhenUsed/>
    <w:rsid w:val="00071855"/>
    <w:pPr>
      <w:numPr>
        <w:numId w:val="36"/>
      </w:numPr>
      <w:contextualSpacing/>
    </w:pPr>
  </w:style>
  <w:style w:type="paragraph" w:styleId="ListNumber5">
    <w:name w:val="List Number 5"/>
    <w:basedOn w:val="Normal"/>
    <w:uiPriority w:val="99"/>
    <w:semiHidden/>
    <w:unhideWhenUsed/>
    <w:rsid w:val="00071855"/>
    <w:pPr>
      <w:numPr>
        <w:numId w:val="37"/>
      </w:numPr>
      <w:contextualSpacing/>
    </w:pPr>
  </w:style>
  <w:style w:type="paragraph" w:styleId="MacroText">
    <w:name w:val="macro"/>
    <w:link w:val="MacroTextChar"/>
    <w:uiPriority w:val="99"/>
    <w:semiHidden/>
    <w:unhideWhenUsed/>
    <w:rsid w:val="0007185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71855"/>
    <w:rPr>
      <w:rFonts w:ascii="Consolas" w:hAnsi="Consolas" w:cs="Consolas"/>
      <w:sz w:val="20"/>
      <w:szCs w:val="20"/>
    </w:rPr>
  </w:style>
  <w:style w:type="paragraph" w:styleId="MessageHeader">
    <w:name w:val="Message Header"/>
    <w:basedOn w:val="Normal"/>
    <w:link w:val="MessageHeaderChar"/>
    <w:uiPriority w:val="99"/>
    <w:semiHidden/>
    <w:unhideWhenUsed/>
    <w:rsid w:val="000718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1855"/>
    <w:rPr>
      <w:rFonts w:asciiTheme="majorHAnsi" w:eastAsiaTheme="majorEastAsia" w:hAnsiTheme="majorHAnsi" w:cstheme="majorBidi"/>
      <w:sz w:val="24"/>
      <w:szCs w:val="24"/>
      <w:shd w:val="pct20" w:color="auto" w:fill="auto"/>
    </w:rPr>
  </w:style>
  <w:style w:type="paragraph" w:styleId="NoSpacing">
    <w:name w:val="No Spacing"/>
    <w:uiPriority w:val="1"/>
    <w:qFormat/>
    <w:rsid w:val="00071855"/>
    <w:pPr>
      <w:spacing w:after="0" w:line="240" w:lineRule="auto"/>
    </w:pPr>
  </w:style>
  <w:style w:type="paragraph" w:styleId="NormalWeb">
    <w:name w:val="Normal (Web)"/>
    <w:basedOn w:val="Normal"/>
    <w:uiPriority w:val="99"/>
    <w:unhideWhenUsed/>
    <w:rsid w:val="00071855"/>
    <w:rPr>
      <w:rFonts w:ascii="Times New Roman" w:hAnsi="Times New Roman" w:cs="Times New Roman"/>
      <w:sz w:val="24"/>
      <w:szCs w:val="24"/>
    </w:rPr>
  </w:style>
  <w:style w:type="paragraph" w:styleId="NormalIndent">
    <w:name w:val="Normal Indent"/>
    <w:basedOn w:val="Normal"/>
    <w:uiPriority w:val="99"/>
    <w:semiHidden/>
    <w:unhideWhenUsed/>
    <w:rsid w:val="00071855"/>
    <w:pPr>
      <w:ind w:left="720"/>
    </w:pPr>
  </w:style>
  <w:style w:type="paragraph" w:styleId="NoteHeading">
    <w:name w:val="Note Heading"/>
    <w:basedOn w:val="Normal"/>
    <w:next w:val="Normal"/>
    <w:link w:val="NoteHeadingChar"/>
    <w:uiPriority w:val="99"/>
    <w:semiHidden/>
    <w:unhideWhenUsed/>
    <w:rsid w:val="00071855"/>
    <w:pPr>
      <w:spacing w:after="0" w:line="240" w:lineRule="auto"/>
    </w:pPr>
  </w:style>
  <w:style w:type="character" w:customStyle="1" w:styleId="NoteHeadingChar">
    <w:name w:val="Note Heading Char"/>
    <w:basedOn w:val="DefaultParagraphFont"/>
    <w:link w:val="NoteHeading"/>
    <w:uiPriority w:val="99"/>
    <w:semiHidden/>
    <w:rsid w:val="00071855"/>
  </w:style>
  <w:style w:type="paragraph" w:styleId="PlainText">
    <w:name w:val="Plain Text"/>
    <w:basedOn w:val="Normal"/>
    <w:link w:val="PlainTextChar"/>
    <w:uiPriority w:val="99"/>
    <w:semiHidden/>
    <w:unhideWhenUsed/>
    <w:rsid w:val="000718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71855"/>
    <w:rPr>
      <w:rFonts w:ascii="Consolas" w:hAnsi="Consolas" w:cs="Consolas"/>
      <w:sz w:val="21"/>
      <w:szCs w:val="21"/>
    </w:rPr>
  </w:style>
  <w:style w:type="paragraph" w:styleId="Quote">
    <w:name w:val="Quote"/>
    <w:basedOn w:val="Normal"/>
    <w:next w:val="Normal"/>
    <w:link w:val="QuoteChar"/>
    <w:uiPriority w:val="29"/>
    <w:qFormat/>
    <w:rsid w:val="000718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855"/>
    <w:rPr>
      <w:i/>
      <w:iCs/>
      <w:color w:val="404040" w:themeColor="text1" w:themeTint="BF"/>
    </w:rPr>
  </w:style>
  <w:style w:type="paragraph" w:styleId="Salutation">
    <w:name w:val="Salutation"/>
    <w:basedOn w:val="Normal"/>
    <w:next w:val="Normal"/>
    <w:link w:val="SalutationChar"/>
    <w:uiPriority w:val="99"/>
    <w:semiHidden/>
    <w:unhideWhenUsed/>
    <w:rsid w:val="00071855"/>
  </w:style>
  <w:style w:type="character" w:customStyle="1" w:styleId="SalutationChar">
    <w:name w:val="Salutation Char"/>
    <w:basedOn w:val="DefaultParagraphFont"/>
    <w:link w:val="Salutation"/>
    <w:uiPriority w:val="99"/>
    <w:semiHidden/>
    <w:rsid w:val="00071855"/>
  </w:style>
  <w:style w:type="paragraph" w:styleId="Signature">
    <w:name w:val="Signature"/>
    <w:basedOn w:val="Normal"/>
    <w:link w:val="SignatureChar"/>
    <w:uiPriority w:val="99"/>
    <w:semiHidden/>
    <w:unhideWhenUsed/>
    <w:rsid w:val="00071855"/>
    <w:pPr>
      <w:spacing w:after="0" w:line="240" w:lineRule="auto"/>
      <w:ind w:left="4252"/>
    </w:pPr>
  </w:style>
  <w:style w:type="character" w:customStyle="1" w:styleId="SignatureChar">
    <w:name w:val="Signature Char"/>
    <w:basedOn w:val="DefaultParagraphFont"/>
    <w:link w:val="Signature"/>
    <w:uiPriority w:val="99"/>
    <w:semiHidden/>
    <w:rsid w:val="00071855"/>
  </w:style>
  <w:style w:type="paragraph" w:styleId="Subtitle">
    <w:name w:val="Subtitle"/>
    <w:basedOn w:val="Normal"/>
    <w:next w:val="Normal"/>
    <w:link w:val="SubtitleChar"/>
    <w:uiPriority w:val="11"/>
    <w:qFormat/>
    <w:rsid w:val="0007185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185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71855"/>
    <w:pPr>
      <w:spacing w:after="0"/>
      <w:ind w:left="220" w:hanging="220"/>
    </w:pPr>
  </w:style>
  <w:style w:type="paragraph" w:styleId="TableofFigures">
    <w:name w:val="table of figures"/>
    <w:basedOn w:val="Normal"/>
    <w:next w:val="Normal"/>
    <w:uiPriority w:val="99"/>
    <w:semiHidden/>
    <w:unhideWhenUsed/>
    <w:rsid w:val="00071855"/>
    <w:pPr>
      <w:spacing w:after="0"/>
    </w:pPr>
  </w:style>
  <w:style w:type="paragraph" w:styleId="Title">
    <w:name w:val="Title"/>
    <w:basedOn w:val="Normal"/>
    <w:next w:val="Normal"/>
    <w:link w:val="TitleChar"/>
    <w:uiPriority w:val="10"/>
    <w:qFormat/>
    <w:rsid w:val="000718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85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7185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71855"/>
    <w:pPr>
      <w:spacing w:after="100"/>
    </w:pPr>
  </w:style>
  <w:style w:type="paragraph" w:styleId="TOC2">
    <w:name w:val="toc 2"/>
    <w:basedOn w:val="Normal"/>
    <w:next w:val="Normal"/>
    <w:autoRedefine/>
    <w:uiPriority w:val="39"/>
    <w:semiHidden/>
    <w:unhideWhenUsed/>
    <w:rsid w:val="00071855"/>
    <w:pPr>
      <w:spacing w:after="100"/>
      <w:ind w:left="220"/>
    </w:pPr>
  </w:style>
  <w:style w:type="paragraph" w:styleId="TOC3">
    <w:name w:val="toc 3"/>
    <w:basedOn w:val="Normal"/>
    <w:next w:val="Normal"/>
    <w:autoRedefine/>
    <w:uiPriority w:val="39"/>
    <w:semiHidden/>
    <w:unhideWhenUsed/>
    <w:rsid w:val="00071855"/>
    <w:pPr>
      <w:spacing w:after="100"/>
      <w:ind w:left="440"/>
    </w:pPr>
  </w:style>
  <w:style w:type="paragraph" w:styleId="TOC4">
    <w:name w:val="toc 4"/>
    <w:basedOn w:val="Normal"/>
    <w:next w:val="Normal"/>
    <w:autoRedefine/>
    <w:uiPriority w:val="39"/>
    <w:semiHidden/>
    <w:unhideWhenUsed/>
    <w:rsid w:val="00071855"/>
    <w:pPr>
      <w:spacing w:after="100"/>
      <w:ind w:left="660"/>
    </w:pPr>
  </w:style>
  <w:style w:type="paragraph" w:styleId="TOC5">
    <w:name w:val="toc 5"/>
    <w:basedOn w:val="Normal"/>
    <w:next w:val="Normal"/>
    <w:autoRedefine/>
    <w:uiPriority w:val="39"/>
    <w:semiHidden/>
    <w:unhideWhenUsed/>
    <w:rsid w:val="00071855"/>
    <w:pPr>
      <w:spacing w:after="100"/>
      <w:ind w:left="880"/>
    </w:pPr>
  </w:style>
  <w:style w:type="paragraph" w:styleId="TOC6">
    <w:name w:val="toc 6"/>
    <w:basedOn w:val="Normal"/>
    <w:next w:val="Normal"/>
    <w:autoRedefine/>
    <w:uiPriority w:val="39"/>
    <w:semiHidden/>
    <w:unhideWhenUsed/>
    <w:rsid w:val="00071855"/>
    <w:pPr>
      <w:spacing w:after="100"/>
      <w:ind w:left="1100"/>
    </w:pPr>
  </w:style>
  <w:style w:type="paragraph" w:styleId="TOC7">
    <w:name w:val="toc 7"/>
    <w:basedOn w:val="Normal"/>
    <w:next w:val="Normal"/>
    <w:autoRedefine/>
    <w:uiPriority w:val="39"/>
    <w:semiHidden/>
    <w:unhideWhenUsed/>
    <w:rsid w:val="00071855"/>
    <w:pPr>
      <w:spacing w:after="100"/>
      <w:ind w:left="1320"/>
    </w:pPr>
  </w:style>
  <w:style w:type="paragraph" w:styleId="TOC8">
    <w:name w:val="toc 8"/>
    <w:basedOn w:val="Normal"/>
    <w:next w:val="Normal"/>
    <w:autoRedefine/>
    <w:uiPriority w:val="39"/>
    <w:semiHidden/>
    <w:unhideWhenUsed/>
    <w:rsid w:val="00071855"/>
    <w:pPr>
      <w:spacing w:after="100"/>
      <w:ind w:left="1540"/>
    </w:pPr>
  </w:style>
  <w:style w:type="paragraph" w:styleId="TOC9">
    <w:name w:val="toc 9"/>
    <w:basedOn w:val="Normal"/>
    <w:next w:val="Normal"/>
    <w:autoRedefine/>
    <w:uiPriority w:val="39"/>
    <w:semiHidden/>
    <w:unhideWhenUsed/>
    <w:rsid w:val="00071855"/>
    <w:pPr>
      <w:spacing w:after="100"/>
      <w:ind w:left="1760"/>
    </w:pPr>
  </w:style>
  <w:style w:type="paragraph" w:styleId="TOCHeading">
    <w:name w:val="TOC Heading"/>
    <w:basedOn w:val="Heading1"/>
    <w:next w:val="Normal"/>
    <w:uiPriority w:val="39"/>
    <w:semiHidden/>
    <w:unhideWhenUsed/>
    <w:qFormat/>
    <w:rsid w:val="00071855"/>
    <w:pPr>
      <w:numPr>
        <w:numId w:val="0"/>
      </w:numPr>
      <w:spacing w:before="240"/>
      <w:outlineLvl w:val="9"/>
    </w:pPr>
    <w:rPr>
      <w:b w:val="0"/>
      <w:bCs w:val="0"/>
      <w:caps w:val="0"/>
      <w:color w:val="365F91" w:themeColor="accent1" w:themeShade="BF"/>
      <w:sz w:val="32"/>
      <w:szCs w:val="32"/>
    </w:rPr>
  </w:style>
  <w:style w:type="character" w:styleId="HTMLTypewriter">
    <w:name w:val="HTML Typewriter"/>
    <w:basedOn w:val="DefaultParagraphFont"/>
    <w:uiPriority w:val="99"/>
    <w:semiHidden/>
    <w:unhideWhenUsed/>
    <w:rsid w:val="006E595D"/>
    <w:rPr>
      <w:rFonts w:ascii="Courier New" w:eastAsia="Calibri" w:hAnsi="Courier New" w:cs="Courier New" w:hint="default"/>
      <w:sz w:val="20"/>
      <w:szCs w:val="20"/>
    </w:rPr>
  </w:style>
  <w:style w:type="paragraph" w:customStyle="1" w:styleId="NoNumHead2">
    <w:name w:val="NoNum:Head2"/>
    <w:basedOn w:val="Normal"/>
    <w:next w:val="Normal"/>
    <w:link w:val="NoNumHead2Char"/>
    <w:rsid w:val="007A45D0"/>
    <w:pPr>
      <w:keepNext/>
      <w:spacing w:before="120" w:after="240" w:line="240" w:lineRule="auto"/>
      <w:outlineLvl w:val="0"/>
    </w:pPr>
    <w:rPr>
      <w:rFonts w:ascii="Arial" w:eastAsia="Times New Roman" w:hAnsi="Arial" w:cs="Times New Roman"/>
      <w:b/>
      <w:bCs/>
      <w:sz w:val="26"/>
      <w:szCs w:val="26"/>
      <w:lang w:val="x-none" w:eastAsia="x-none"/>
    </w:rPr>
  </w:style>
  <w:style w:type="paragraph" w:customStyle="1" w:styleId="NoNumHead3">
    <w:name w:val="NoNum:Head3"/>
    <w:basedOn w:val="NoNumHead2"/>
    <w:next w:val="Normal"/>
    <w:uiPriority w:val="99"/>
    <w:rsid w:val="007A45D0"/>
    <w:rPr>
      <w:sz w:val="24"/>
      <w:szCs w:val="24"/>
    </w:rPr>
  </w:style>
  <w:style w:type="character" w:customStyle="1" w:styleId="NoNumHead2Char">
    <w:name w:val="NoNum:Head2 Char"/>
    <w:link w:val="NoNumHead2"/>
    <w:rsid w:val="007A45D0"/>
    <w:rPr>
      <w:rFonts w:ascii="Arial" w:eastAsia="Times New Roman" w:hAnsi="Arial" w:cs="Times New Roman"/>
      <w:b/>
      <w:bCs/>
      <w:sz w:val="26"/>
      <w:szCs w:val="26"/>
      <w:lang w:val="x-none" w:eastAsia="x-none"/>
    </w:rPr>
  </w:style>
  <w:style w:type="character" w:customStyle="1" w:styleId="CSIchar">
    <w:name w:val="CSIchar"/>
    <w:qFormat/>
    <w:rsid w:val="001153EB"/>
    <w:rPr>
      <w:bdr w:val="none" w:sz="0" w:space="0" w:color="auto"/>
      <w:shd w:val="clear" w:color="auto" w:fill="CCCCCC"/>
    </w:rPr>
  </w:style>
  <w:style w:type="character" w:customStyle="1" w:styleId="CSI">
    <w:name w:val="CSI"/>
    <w:uiPriority w:val="1"/>
    <w:qFormat/>
    <w:rsid w:val="005E7D2E"/>
    <w:rPr>
      <w:bdr w:val="none" w:sz="0" w:space="0" w:color="auto"/>
      <w:shd w:val="clear" w:color="auto" w:fill="BFBFBF"/>
    </w:rPr>
  </w:style>
  <w:style w:type="paragraph" w:customStyle="1" w:styleId="listssp">
    <w:name w:val="list:ssp"/>
    <w:basedOn w:val="Normal"/>
    <w:rsid w:val="00524593"/>
    <w:pPr>
      <w:spacing w:after="0" w:line="240" w:lineRule="auto"/>
    </w:pPr>
    <w:rPr>
      <w:rFonts w:ascii="Times New Roman" w:eastAsia="Times New Roman" w:hAnsi="Times New Roman" w:cs="Times New Roman"/>
      <w:sz w:val="24"/>
      <w:szCs w:val="20"/>
      <w:lang w:val="en-GB" w:eastAsia="en-GB"/>
    </w:rPr>
  </w:style>
  <w:style w:type="character" w:customStyle="1" w:styleId="LBLLevel3">
    <w:name w:val="LBLLevel 3"/>
    <w:rsid w:val="00271545"/>
    <w:rPr>
      <w:rFonts w:ascii="Arial" w:hAnsi="Arial"/>
      <w:u w:val="single"/>
    </w:rPr>
  </w:style>
  <w:style w:type="paragraph" w:customStyle="1" w:styleId="captiontable">
    <w:name w:val="caption:table"/>
    <w:basedOn w:val="Normal"/>
    <w:next w:val="Normal"/>
    <w:link w:val="captiontableChar"/>
    <w:rsid w:val="00004DB2"/>
    <w:pPr>
      <w:keepNext/>
      <w:spacing w:after="240" w:line="240" w:lineRule="auto"/>
      <w:ind w:left="1440" w:hanging="1440"/>
    </w:pPr>
    <w:rPr>
      <w:rFonts w:ascii="Arial" w:eastAsia="Times New Roman" w:hAnsi="Arial" w:cs="Times New Roman"/>
      <w:b/>
      <w:bCs/>
      <w:lang w:val="x-none" w:eastAsia="x-none"/>
    </w:rPr>
  </w:style>
  <w:style w:type="character" w:customStyle="1" w:styleId="captiontableChar">
    <w:name w:val="caption:table Char"/>
    <w:link w:val="captiontable"/>
    <w:rsid w:val="00004DB2"/>
    <w:rPr>
      <w:rFonts w:ascii="Arial" w:eastAsia="Times New Roman" w:hAnsi="Arial" w:cs="Times New Roman"/>
      <w:b/>
      <w:bCs/>
      <w:lang w:val="x-none" w:eastAsia="x-none"/>
    </w:rPr>
  </w:style>
  <w:style w:type="paragraph" w:customStyle="1" w:styleId="NoNumHead5">
    <w:name w:val="NoNum:Head5"/>
    <w:basedOn w:val="Normal"/>
    <w:next w:val="Normal"/>
    <w:rsid w:val="002B7C67"/>
    <w:pPr>
      <w:keepNext/>
      <w:spacing w:after="240" w:line="240" w:lineRule="auto"/>
      <w:outlineLvl w:val="0"/>
    </w:pPr>
    <w:rPr>
      <w:rFonts w:ascii="Arial" w:eastAsia="Times New Roman" w:hAnsi="Arial" w:cs="Times New Roman"/>
      <w:b/>
      <w:bCs/>
      <w:i/>
      <w:iCs/>
      <w:lang w:val="x-none" w:eastAsia="x-none"/>
    </w:rPr>
  </w:style>
  <w:style w:type="character" w:customStyle="1" w:styleId="tabletextNSChar">
    <w:name w:val="table:textNS Char"/>
    <w:link w:val="tabletextNS"/>
    <w:locked/>
    <w:rsid w:val="00804630"/>
    <w:rPr>
      <w:rFonts w:ascii="Arial Narrow" w:hAnsi="Arial Narrow" w:cs="Arial Narrow"/>
      <w:sz w:val="24"/>
      <w:lang w:val="en-GB" w:eastAsia="en-GB"/>
    </w:rPr>
  </w:style>
  <w:style w:type="paragraph" w:customStyle="1" w:styleId="tabletextNS">
    <w:name w:val="table:textNS"/>
    <w:basedOn w:val="Normal"/>
    <w:link w:val="tabletextNSChar"/>
    <w:qFormat/>
    <w:rsid w:val="00804630"/>
    <w:pPr>
      <w:spacing w:after="0" w:line="240" w:lineRule="auto"/>
    </w:pPr>
    <w:rPr>
      <w:rFonts w:ascii="Arial Narrow" w:hAnsi="Arial Narrow" w:cs="Arial Narrow"/>
      <w:sz w:val="24"/>
      <w:lang w:val="en-GB" w:eastAsia="en-GB"/>
    </w:rPr>
  </w:style>
  <w:style w:type="character" w:customStyle="1" w:styleId="tablerefalphaChar">
    <w:name w:val="table:ref (alpha) Char"/>
    <w:link w:val="tablerefalpha"/>
    <w:locked/>
    <w:rsid w:val="00804630"/>
    <w:rPr>
      <w:rFonts w:ascii="Arial Narrow" w:hAnsi="Arial Narrow" w:cs="Arial Narrow"/>
      <w:lang w:val="en-GB" w:eastAsia="en-GB"/>
    </w:rPr>
  </w:style>
  <w:style w:type="paragraph" w:customStyle="1" w:styleId="tablerefalpha">
    <w:name w:val="table:ref (alpha)"/>
    <w:basedOn w:val="Normal"/>
    <w:link w:val="tablerefalphaChar"/>
    <w:rsid w:val="00804630"/>
    <w:pPr>
      <w:numPr>
        <w:numId w:val="41"/>
      </w:numPr>
      <w:spacing w:after="0" w:line="240" w:lineRule="auto"/>
    </w:pPr>
    <w:rPr>
      <w:rFonts w:ascii="Arial Narrow" w:hAnsi="Arial Narrow" w:cs="Arial Narrow"/>
      <w:lang w:val="en-GB" w:eastAsia="en-GB"/>
    </w:rPr>
  </w:style>
  <w:style w:type="paragraph" w:customStyle="1" w:styleId="GlobalSubmitTableCellCenter">
    <w:name w:val="GlobalSubmit Table Cell Center"/>
    <w:basedOn w:val="Normal"/>
    <w:rsid w:val="00804630"/>
    <w:pPr>
      <w:keepLines/>
      <w:spacing w:before="40" w:after="80" w:line="240" w:lineRule="auto"/>
      <w:jc w:val="center"/>
    </w:pPr>
    <w:rPr>
      <w:rFonts w:ascii="Arial Narrow" w:eastAsia="Arial Unicode MS" w:hAnsi="Arial Narrow" w:cs="Times New Roman"/>
      <w:sz w:val="20"/>
      <w:szCs w:val="24"/>
      <w:lang w:val="en-US" w:eastAsia="zh-TW"/>
    </w:rPr>
  </w:style>
  <w:style w:type="character" w:customStyle="1" w:styleId="NoNumHead4Char">
    <w:name w:val="NoNum:Head4 Char"/>
    <w:link w:val="NoNumHead4"/>
    <w:locked/>
    <w:rsid w:val="007470DB"/>
    <w:rPr>
      <w:rFonts w:ascii="Arial" w:hAnsi="Arial" w:cs="Arial"/>
      <w:b/>
      <w:bCs/>
      <w:lang w:val="x-none" w:eastAsia="x-none"/>
    </w:rPr>
  </w:style>
  <w:style w:type="paragraph" w:customStyle="1" w:styleId="NoNumHead4">
    <w:name w:val="NoNum:Head4"/>
    <w:basedOn w:val="Normal"/>
    <w:next w:val="Normal"/>
    <w:link w:val="NoNumHead4Char"/>
    <w:rsid w:val="007470DB"/>
    <w:pPr>
      <w:keepNext/>
      <w:spacing w:before="120" w:after="240" w:line="240" w:lineRule="auto"/>
      <w:outlineLvl w:val="0"/>
    </w:pPr>
    <w:rPr>
      <w:rFonts w:ascii="Arial" w:hAnsi="Arial" w:cs="Arial"/>
      <w:b/>
      <w:bCs/>
      <w:lang w:val="x-none" w:eastAsia="x-none"/>
    </w:rPr>
  </w:style>
  <w:style w:type="character" w:customStyle="1" w:styleId="hilighti">
    <w:name w:val="hilighti"/>
    <w:rsid w:val="00F528F4"/>
  </w:style>
  <w:style w:type="paragraph" w:styleId="Revision">
    <w:name w:val="Revision"/>
    <w:hidden/>
    <w:uiPriority w:val="99"/>
    <w:semiHidden/>
    <w:rsid w:val="00F2429E"/>
    <w:pPr>
      <w:spacing w:after="0" w:line="240" w:lineRule="auto"/>
    </w:pPr>
  </w:style>
  <w:style w:type="table" w:customStyle="1" w:styleId="TableGrid1">
    <w:name w:val="Table Grid1"/>
    <w:basedOn w:val="TableNormal"/>
    <w:next w:val="TableGrid"/>
    <w:uiPriority w:val="59"/>
    <w:rsid w:val="00BF38C2"/>
    <w:pPr>
      <w:spacing w:after="0" w:line="240" w:lineRule="auto"/>
    </w:pPr>
    <w:rPr>
      <w:rFonts w:eastAsia="Cambria"/>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 w:type="table" w:styleId="TableGrid">
    <w:name w:val="Table Grid"/>
    <w:basedOn w:val="TableNormal"/>
    <w:uiPriority w:val="59"/>
    <w:rsid w:val="00BF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3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0304">
      <w:bodyDiv w:val="1"/>
      <w:marLeft w:val="0"/>
      <w:marRight w:val="0"/>
      <w:marTop w:val="0"/>
      <w:marBottom w:val="0"/>
      <w:divBdr>
        <w:top w:val="none" w:sz="0" w:space="0" w:color="auto"/>
        <w:left w:val="none" w:sz="0" w:space="0" w:color="auto"/>
        <w:bottom w:val="none" w:sz="0" w:space="0" w:color="auto"/>
        <w:right w:val="none" w:sz="0" w:space="0" w:color="auto"/>
      </w:divBdr>
    </w:div>
    <w:div w:id="157506489">
      <w:bodyDiv w:val="1"/>
      <w:marLeft w:val="0"/>
      <w:marRight w:val="0"/>
      <w:marTop w:val="0"/>
      <w:marBottom w:val="0"/>
      <w:divBdr>
        <w:top w:val="none" w:sz="0" w:space="0" w:color="auto"/>
        <w:left w:val="none" w:sz="0" w:space="0" w:color="auto"/>
        <w:bottom w:val="none" w:sz="0" w:space="0" w:color="auto"/>
        <w:right w:val="none" w:sz="0" w:space="0" w:color="auto"/>
      </w:divBdr>
    </w:div>
    <w:div w:id="180555620">
      <w:bodyDiv w:val="1"/>
      <w:marLeft w:val="0"/>
      <w:marRight w:val="0"/>
      <w:marTop w:val="0"/>
      <w:marBottom w:val="0"/>
      <w:divBdr>
        <w:top w:val="none" w:sz="0" w:space="0" w:color="auto"/>
        <w:left w:val="none" w:sz="0" w:space="0" w:color="auto"/>
        <w:bottom w:val="none" w:sz="0" w:space="0" w:color="auto"/>
        <w:right w:val="none" w:sz="0" w:space="0" w:color="auto"/>
      </w:divBdr>
    </w:div>
    <w:div w:id="195042185">
      <w:bodyDiv w:val="1"/>
      <w:marLeft w:val="0"/>
      <w:marRight w:val="0"/>
      <w:marTop w:val="0"/>
      <w:marBottom w:val="0"/>
      <w:divBdr>
        <w:top w:val="none" w:sz="0" w:space="0" w:color="auto"/>
        <w:left w:val="none" w:sz="0" w:space="0" w:color="auto"/>
        <w:bottom w:val="none" w:sz="0" w:space="0" w:color="auto"/>
        <w:right w:val="none" w:sz="0" w:space="0" w:color="auto"/>
      </w:divBdr>
    </w:div>
    <w:div w:id="257297328">
      <w:bodyDiv w:val="1"/>
      <w:marLeft w:val="0"/>
      <w:marRight w:val="0"/>
      <w:marTop w:val="0"/>
      <w:marBottom w:val="0"/>
      <w:divBdr>
        <w:top w:val="none" w:sz="0" w:space="0" w:color="auto"/>
        <w:left w:val="none" w:sz="0" w:space="0" w:color="auto"/>
        <w:bottom w:val="none" w:sz="0" w:space="0" w:color="auto"/>
        <w:right w:val="none" w:sz="0" w:space="0" w:color="auto"/>
      </w:divBdr>
    </w:div>
    <w:div w:id="265114581">
      <w:bodyDiv w:val="1"/>
      <w:marLeft w:val="0"/>
      <w:marRight w:val="0"/>
      <w:marTop w:val="0"/>
      <w:marBottom w:val="0"/>
      <w:divBdr>
        <w:top w:val="none" w:sz="0" w:space="0" w:color="auto"/>
        <w:left w:val="none" w:sz="0" w:space="0" w:color="auto"/>
        <w:bottom w:val="none" w:sz="0" w:space="0" w:color="auto"/>
        <w:right w:val="none" w:sz="0" w:space="0" w:color="auto"/>
      </w:divBdr>
    </w:div>
    <w:div w:id="338121023">
      <w:bodyDiv w:val="1"/>
      <w:marLeft w:val="0"/>
      <w:marRight w:val="0"/>
      <w:marTop w:val="0"/>
      <w:marBottom w:val="0"/>
      <w:divBdr>
        <w:top w:val="none" w:sz="0" w:space="0" w:color="auto"/>
        <w:left w:val="none" w:sz="0" w:space="0" w:color="auto"/>
        <w:bottom w:val="none" w:sz="0" w:space="0" w:color="auto"/>
        <w:right w:val="none" w:sz="0" w:space="0" w:color="auto"/>
      </w:divBdr>
    </w:div>
    <w:div w:id="380984585">
      <w:bodyDiv w:val="1"/>
      <w:marLeft w:val="0"/>
      <w:marRight w:val="0"/>
      <w:marTop w:val="0"/>
      <w:marBottom w:val="0"/>
      <w:divBdr>
        <w:top w:val="none" w:sz="0" w:space="0" w:color="auto"/>
        <w:left w:val="none" w:sz="0" w:space="0" w:color="auto"/>
        <w:bottom w:val="none" w:sz="0" w:space="0" w:color="auto"/>
        <w:right w:val="none" w:sz="0" w:space="0" w:color="auto"/>
      </w:divBdr>
    </w:div>
    <w:div w:id="427433061">
      <w:bodyDiv w:val="1"/>
      <w:marLeft w:val="0"/>
      <w:marRight w:val="0"/>
      <w:marTop w:val="0"/>
      <w:marBottom w:val="0"/>
      <w:divBdr>
        <w:top w:val="none" w:sz="0" w:space="0" w:color="auto"/>
        <w:left w:val="none" w:sz="0" w:space="0" w:color="auto"/>
        <w:bottom w:val="none" w:sz="0" w:space="0" w:color="auto"/>
        <w:right w:val="none" w:sz="0" w:space="0" w:color="auto"/>
      </w:divBdr>
    </w:div>
    <w:div w:id="503397099">
      <w:bodyDiv w:val="1"/>
      <w:marLeft w:val="0"/>
      <w:marRight w:val="0"/>
      <w:marTop w:val="0"/>
      <w:marBottom w:val="0"/>
      <w:divBdr>
        <w:top w:val="none" w:sz="0" w:space="0" w:color="auto"/>
        <w:left w:val="none" w:sz="0" w:space="0" w:color="auto"/>
        <w:bottom w:val="none" w:sz="0" w:space="0" w:color="auto"/>
        <w:right w:val="none" w:sz="0" w:space="0" w:color="auto"/>
      </w:divBdr>
    </w:div>
    <w:div w:id="505556574">
      <w:bodyDiv w:val="1"/>
      <w:marLeft w:val="0"/>
      <w:marRight w:val="0"/>
      <w:marTop w:val="0"/>
      <w:marBottom w:val="0"/>
      <w:divBdr>
        <w:top w:val="none" w:sz="0" w:space="0" w:color="auto"/>
        <w:left w:val="none" w:sz="0" w:space="0" w:color="auto"/>
        <w:bottom w:val="none" w:sz="0" w:space="0" w:color="auto"/>
        <w:right w:val="none" w:sz="0" w:space="0" w:color="auto"/>
      </w:divBdr>
    </w:div>
    <w:div w:id="514266733">
      <w:bodyDiv w:val="1"/>
      <w:marLeft w:val="0"/>
      <w:marRight w:val="0"/>
      <w:marTop w:val="0"/>
      <w:marBottom w:val="0"/>
      <w:divBdr>
        <w:top w:val="none" w:sz="0" w:space="0" w:color="auto"/>
        <w:left w:val="none" w:sz="0" w:space="0" w:color="auto"/>
        <w:bottom w:val="none" w:sz="0" w:space="0" w:color="auto"/>
        <w:right w:val="none" w:sz="0" w:space="0" w:color="auto"/>
      </w:divBdr>
    </w:div>
    <w:div w:id="576793050">
      <w:bodyDiv w:val="1"/>
      <w:marLeft w:val="0"/>
      <w:marRight w:val="0"/>
      <w:marTop w:val="0"/>
      <w:marBottom w:val="0"/>
      <w:divBdr>
        <w:top w:val="none" w:sz="0" w:space="0" w:color="auto"/>
        <w:left w:val="none" w:sz="0" w:space="0" w:color="auto"/>
        <w:bottom w:val="none" w:sz="0" w:space="0" w:color="auto"/>
        <w:right w:val="none" w:sz="0" w:space="0" w:color="auto"/>
      </w:divBdr>
    </w:div>
    <w:div w:id="591938084">
      <w:bodyDiv w:val="1"/>
      <w:marLeft w:val="0"/>
      <w:marRight w:val="0"/>
      <w:marTop w:val="0"/>
      <w:marBottom w:val="0"/>
      <w:divBdr>
        <w:top w:val="none" w:sz="0" w:space="0" w:color="auto"/>
        <w:left w:val="none" w:sz="0" w:space="0" w:color="auto"/>
        <w:bottom w:val="none" w:sz="0" w:space="0" w:color="auto"/>
        <w:right w:val="none" w:sz="0" w:space="0" w:color="auto"/>
      </w:divBdr>
    </w:div>
    <w:div w:id="638416773">
      <w:bodyDiv w:val="1"/>
      <w:marLeft w:val="0"/>
      <w:marRight w:val="0"/>
      <w:marTop w:val="0"/>
      <w:marBottom w:val="0"/>
      <w:divBdr>
        <w:top w:val="none" w:sz="0" w:space="0" w:color="auto"/>
        <w:left w:val="none" w:sz="0" w:space="0" w:color="auto"/>
        <w:bottom w:val="none" w:sz="0" w:space="0" w:color="auto"/>
        <w:right w:val="none" w:sz="0" w:space="0" w:color="auto"/>
      </w:divBdr>
    </w:div>
    <w:div w:id="673217939">
      <w:bodyDiv w:val="1"/>
      <w:marLeft w:val="0"/>
      <w:marRight w:val="0"/>
      <w:marTop w:val="0"/>
      <w:marBottom w:val="0"/>
      <w:divBdr>
        <w:top w:val="none" w:sz="0" w:space="0" w:color="auto"/>
        <w:left w:val="none" w:sz="0" w:space="0" w:color="auto"/>
        <w:bottom w:val="none" w:sz="0" w:space="0" w:color="auto"/>
        <w:right w:val="none" w:sz="0" w:space="0" w:color="auto"/>
      </w:divBdr>
    </w:div>
    <w:div w:id="821967098">
      <w:bodyDiv w:val="1"/>
      <w:marLeft w:val="0"/>
      <w:marRight w:val="0"/>
      <w:marTop w:val="0"/>
      <w:marBottom w:val="0"/>
      <w:divBdr>
        <w:top w:val="none" w:sz="0" w:space="0" w:color="auto"/>
        <w:left w:val="none" w:sz="0" w:space="0" w:color="auto"/>
        <w:bottom w:val="none" w:sz="0" w:space="0" w:color="auto"/>
        <w:right w:val="none" w:sz="0" w:space="0" w:color="auto"/>
      </w:divBdr>
    </w:div>
    <w:div w:id="919020310">
      <w:bodyDiv w:val="1"/>
      <w:marLeft w:val="0"/>
      <w:marRight w:val="0"/>
      <w:marTop w:val="0"/>
      <w:marBottom w:val="0"/>
      <w:divBdr>
        <w:top w:val="none" w:sz="0" w:space="0" w:color="auto"/>
        <w:left w:val="none" w:sz="0" w:space="0" w:color="auto"/>
        <w:bottom w:val="none" w:sz="0" w:space="0" w:color="auto"/>
        <w:right w:val="none" w:sz="0" w:space="0" w:color="auto"/>
      </w:divBdr>
    </w:div>
    <w:div w:id="999507136">
      <w:bodyDiv w:val="1"/>
      <w:marLeft w:val="0"/>
      <w:marRight w:val="0"/>
      <w:marTop w:val="0"/>
      <w:marBottom w:val="0"/>
      <w:divBdr>
        <w:top w:val="none" w:sz="0" w:space="0" w:color="auto"/>
        <w:left w:val="none" w:sz="0" w:space="0" w:color="auto"/>
        <w:bottom w:val="none" w:sz="0" w:space="0" w:color="auto"/>
        <w:right w:val="none" w:sz="0" w:space="0" w:color="auto"/>
      </w:divBdr>
    </w:div>
    <w:div w:id="1000813215">
      <w:bodyDiv w:val="1"/>
      <w:marLeft w:val="0"/>
      <w:marRight w:val="0"/>
      <w:marTop w:val="0"/>
      <w:marBottom w:val="0"/>
      <w:divBdr>
        <w:top w:val="none" w:sz="0" w:space="0" w:color="auto"/>
        <w:left w:val="none" w:sz="0" w:space="0" w:color="auto"/>
        <w:bottom w:val="none" w:sz="0" w:space="0" w:color="auto"/>
        <w:right w:val="none" w:sz="0" w:space="0" w:color="auto"/>
      </w:divBdr>
    </w:div>
    <w:div w:id="1023557862">
      <w:bodyDiv w:val="1"/>
      <w:marLeft w:val="0"/>
      <w:marRight w:val="0"/>
      <w:marTop w:val="0"/>
      <w:marBottom w:val="0"/>
      <w:divBdr>
        <w:top w:val="none" w:sz="0" w:space="0" w:color="auto"/>
        <w:left w:val="none" w:sz="0" w:space="0" w:color="auto"/>
        <w:bottom w:val="none" w:sz="0" w:space="0" w:color="auto"/>
        <w:right w:val="none" w:sz="0" w:space="0" w:color="auto"/>
      </w:divBdr>
    </w:div>
    <w:div w:id="1037510017">
      <w:bodyDiv w:val="1"/>
      <w:marLeft w:val="0"/>
      <w:marRight w:val="0"/>
      <w:marTop w:val="0"/>
      <w:marBottom w:val="0"/>
      <w:divBdr>
        <w:top w:val="none" w:sz="0" w:space="0" w:color="auto"/>
        <w:left w:val="none" w:sz="0" w:space="0" w:color="auto"/>
        <w:bottom w:val="none" w:sz="0" w:space="0" w:color="auto"/>
        <w:right w:val="none" w:sz="0" w:space="0" w:color="auto"/>
      </w:divBdr>
    </w:div>
    <w:div w:id="1056465575">
      <w:bodyDiv w:val="1"/>
      <w:marLeft w:val="0"/>
      <w:marRight w:val="0"/>
      <w:marTop w:val="0"/>
      <w:marBottom w:val="0"/>
      <w:divBdr>
        <w:top w:val="none" w:sz="0" w:space="0" w:color="auto"/>
        <w:left w:val="none" w:sz="0" w:space="0" w:color="auto"/>
        <w:bottom w:val="none" w:sz="0" w:space="0" w:color="auto"/>
        <w:right w:val="none" w:sz="0" w:space="0" w:color="auto"/>
      </w:divBdr>
    </w:div>
    <w:div w:id="1058364071">
      <w:bodyDiv w:val="1"/>
      <w:marLeft w:val="0"/>
      <w:marRight w:val="0"/>
      <w:marTop w:val="0"/>
      <w:marBottom w:val="0"/>
      <w:divBdr>
        <w:top w:val="none" w:sz="0" w:space="0" w:color="auto"/>
        <w:left w:val="none" w:sz="0" w:space="0" w:color="auto"/>
        <w:bottom w:val="none" w:sz="0" w:space="0" w:color="auto"/>
        <w:right w:val="none" w:sz="0" w:space="0" w:color="auto"/>
      </w:divBdr>
    </w:div>
    <w:div w:id="1169246730">
      <w:bodyDiv w:val="1"/>
      <w:marLeft w:val="0"/>
      <w:marRight w:val="0"/>
      <w:marTop w:val="0"/>
      <w:marBottom w:val="0"/>
      <w:divBdr>
        <w:top w:val="none" w:sz="0" w:space="0" w:color="auto"/>
        <w:left w:val="none" w:sz="0" w:space="0" w:color="auto"/>
        <w:bottom w:val="none" w:sz="0" w:space="0" w:color="auto"/>
        <w:right w:val="none" w:sz="0" w:space="0" w:color="auto"/>
      </w:divBdr>
    </w:div>
    <w:div w:id="1247151319">
      <w:bodyDiv w:val="1"/>
      <w:marLeft w:val="0"/>
      <w:marRight w:val="0"/>
      <w:marTop w:val="0"/>
      <w:marBottom w:val="0"/>
      <w:divBdr>
        <w:top w:val="none" w:sz="0" w:space="0" w:color="auto"/>
        <w:left w:val="none" w:sz="0" w:space="0" w:color="auto"/>
        <w:bottom w:val="none" w:sz="0" w:space="0" w:color="auto"/>
        <w:right w:val="none" w:sz="0" w:space="0" w:color="auto"/>
      </w:divBdr>
    </w:div>
    <w:div w:id="1252005200">
      <w:bodyDiv w:val="1"/>
      <w:marLeft w:val="0"/>
      <w:marRight w:val="0"/>
      <w:marTop w:val="0"/>
      <w:marBottom w:val="0"/>
      <w:divBdr>
        <w:top w:val="none" w:sz="0" w:space="0" w:color="auto"/>
        <w:left w:val="none" w:sz="0" w:space="0" w:color="auto"/>
        <w:bottom w:val="none" w:sz="0" w:space="0" w:color="auto"/>
        <w:right w:val="none" w:sz="0" w:space="0" w:color="auto"/>
      </w:divBdr>
    </w:div>
    <w:div w:id="1261793413">
      <w:bodyDiv w:val="1"/>
      <w:marLeft w:val="0"/>
      <w:marRight w:val="0"/>
      <w:marTop w:val="0"/>
      <w:marBottom w:val="0"/>
      <w:divBdr>
        <w:top w:val="none" w:sz="0" w:space="0" w:color="auto"/>
        <w:left w:val="none" w:sz="0" w:space="0" w:color="auto"/>
        <w:bottom w:val="none" w:sz="0" w:space="0" w:color="auto"/>
        <w:right w:val="none" w:sz="0" w:space="0" w:color="auto"/>
      </w:divBdr>
    </w:div>
    <w:div w:id="1270504533">
      <w:bodyDiv w:val="1"/>
      <w:marLeft w:val="0"/>
      <w:marRight w:val="0"/>
      <w:marTop w:val="0"/>
      <w:marBottom w:val="0"/>
      <w:divBdr>
        <w:top w:val="none" w:sz="0" w:space="0" w:color="auto"/>
        <w:left w:val="none" w:sz="0" w:space="0" w:color="auto"/>
        <w:bottom w:val="none" w:sz="0" w:space="0" w:color="auto"/>
        <w:right w:val="none" w:sz="0" w:space="0" w:color="auto"/>
      </w:divBdr>
    </w:div>
    <w:div w:id="1275945319">
      <w:bodyDiv w:val="1"/>
      <w:marLeft w:val="0"/>
      <w:marRight w:val="0"/>
      <w:marTop w:val="0"/>
      <w:marBottom w:val="0"/>
      <w:divBdr>
        <w:top w:val="none" w:sz="0" w:space="0" w:color="auto"/>
        <w:left w:val="none" w:sz="0" w:space="0" w:color="auto"/>
        <w:bottom w:val="none" w:sz="0" w:space="0" w:color="auto"/>
        <w:right w:val="none" w:sz="0" w:space="0" w:color="auto"/>
      </w:divBdr>
    </w:div>
    <w:div w:id="1278633434">
      <w:bodyDiv w:val="1"/>
      <w:marLeft w:val="0"/>
      <w:marRight w:val="0"/>
      <w:marTop w:val="0"/>
      <w:marBottom w:val="0"/>
      <w:divBdr>
        <w:top w:val="none" w:sz="0" w:space="0" w:color="auto"/>
        <w:left w:val="none" w:sz="0" w:space="0" w:color="auto"/>
        <w:bottom w:val="none" w:sz="0" w:space="0" w:color="auto"/>
        <w:right w:val="none" w:sz="0" w:space="0" w:color="auto"/>
      </w:divBdr>
    </w:div>
    <w:div w:id="1314290041">
      <w:bodyDiv w:val="1"/>
      <w:marLeft w:val="0"/>
      <w:marRight w:val="0"/>
      <w:marTop w:val="0"/>
      <w:marBottom w:val="0"/>
      <w:divBdr>
        <w:top w:val="none" w:sz="0" w:space="0" w:color="auto"/>
        <w:left w:val="none" w:sz="0" w:space="0" w:color="auto"/>
        <w:bottom w:val="none" w:sz="0" w:space="0" w:color="auto"/>
        <w:right w:val="none" w:sz="0" w:space="0" w:color="auto"/>
      </w:divBdr>
    </w:div>
    <w:div w:id="1319118983">
      <w:bodyDiv w:val="1"/>
      <w:marLeft w:val="0"/>
      <w:marRight w:val="0"/>
      <w:marTop w:val="0"/>
      <w:marBottom w:val="0"/>
      <w:divBdr>
        <w:top w:val="none" w:sz="0" w:space="0" w:color="auto"/>
        <w:left w:val="none" w:sz="0" w:space="0" w:color="auto"/>
        <w:bottom w:val="none" w:sz="0" w:space="0" w:color="auto"/>
        <w:right w:val="none" w:sz="0" w:space="0" w:color="auto"/>
      </w:divBdr>
    </w:div>
    <w:div w:id="1358001498">
      <w:bodyDiv w:val="1"/>
      <w:marLeft w:val="0"/>
      <w:marRight w:val="0"/>
      <w:marTop w:val="0"/>
      <w:marBottom w:val="0"/>
      <w:divBdr>
        <w:top w:val="none" w:sz="0" w:space="0" w:color="auto"/>
        <w:left w:val="none" w:sz="0" w:space="0" w:color="auto"/>
        <w:bottom w:val="none" w:sz="0" w:space="0" w:color="auto"/>
        <w:right w:val="none" w:sz="0" w:space="0" w:color="auto"/>
      </w:divBdr>
    </w:div>
    <w:div w:id="1377851302">
      <w:bodyDiv w:val="1"/>
      <w:marLeft w:val="0"/>
      <w:marRight w:val="0"/>
      <w:marTop w:val="0"/>
      <w:marBottom w:val="0"/>
      <w:divBdr>
        <w:top w:val="none" w:sz="0" w:space="0" w:color="auto"/>
        <w:left w:val="none" w:sz="0" w:space="0" w:color="auto"/>
        <w:bottom w:val="none" w:sz="0" w:space="0" w:color="auto"/>
        <w:right w:val="none" w:sz="0" w:space="0" w:color="auto"/>
      </w:divBdr>
    </w:div>
    <w:div w:id="1476098612">
      <w:bodyDiv w:val="1"/>
      <w:marLeft w:val="0"/>
      <w:marRight w:val="0"/>
      <w:marTop w:val="0"/>
      <w:marBottom w:val="0"/>
      <w:divBdr>
        <w:top w:val="none" w:sz="0" w:space="0" w:color="auto"/>
        <w:left w:val="none" w:sz="0" w:space="0" w:color="auto"/>
        <w:bottom w:val="none" w:sz="0" w:space="0" w:color="auto"/>
        <w:right w:val="none" w:sz="0" w:space="0" w:color="auto"/>
      </w:divBdr>
    </w:div>
    <w:div w:id="1553536700">
      <w:bodyDiv w:val="1"/>
      <w:marLeft w:val="0"/>
      <w:marRight w:val="0"/>
      <w:marTop w:val="0"/>
      <w:marBottom w:val="0"/>
      <w:divBdr>
        <w:top w:val="none" w:sz="0" w:space="0" w:color="auto"/>
        <w:left w:val="none" w:sz="0" w:space="0" w:color="auto"/>
        <w:bottom w:val="none" w:sz="0" w:space="0" w:color="auto"/>
        <w:right w:val="none" w:sz="0" w:space="0" w:color="auto"/>
      </w:divBdr>
    </w:div>
    <w:div w:id="1619800862">
      <w:bodyDiv w:val="1"/>
      <w:marLeft w:val="0"/>
      <w:marRight w:val="0"/>
      <w:marTop w:val="0"/>
      <w:marBottom w:val="0"/>
      <w:divBdr>
        <w:top w:val="none" w:sz="0" w:space="0" w:color="auto"/>
        <w:left w:val="none" w:sz="0" w:space="0" w:color="auto"/>
        <w:bottom w:val="none" w:sz="0" w:space="0" w:color="auto"/>
        <w:right w:val="none" w:sz="0" w:space="0" w:color="auto"/>
      </w:divBdr>
    </w:div>
    <w:div w:id="1775318880">
      <w:bodyDiv w:val="1"/>
      <w:marLeft w:val="0"/>
      <w:marRight w:val="0"/>
      <w:marTop w:val="0"/>
      <w:marBottom w:val="0"/>
      <w:divBdr>
        <w:top w:val="none" w:sz="0" w:space="0" w:color="auto"/>
        <w:left w:val="none" w:sz="0" w:space="0" w:color="auto"/>
        <w:bottom w:val="none" w:sz="0" w:space="0" w:color="auto"/>
        <w:right w:val="none" w:sz="0" w:space="0" w:color="auto"/>
      </w:divBdr>
    </w:div>
    <w:div w:id="1805346144">
      <w:bodyDiv w:val="1"/>
      <w:marLeft w:val="0"/>
      <w:marRight w:val="0"/>
      <w:marTop w:val="0"/>
      <w:marBottom w:val="0"/>
      <w:divBdr>
        <w:top w:val="none" w:sz="0" w:space="0" w:color="auto"/>
        <w:left w:val="none" w:sz="0" w:space="0" w:color="auto"/>
        <w:bottom w:val="none" w:sz="0" w:space="0" w:color="auto"/>
        <w:right w:val="none" w:sz="0" w:space="0" w:color="auto"/>
      </w:divBdr>
    </w:div>
    <w:div w:id="1955751481">
      <w:bodyDiv w:val="1"/>
      <w:marLeft w:val="0"/>
      <w:marRight w:val="0"/>
      <w:marTop w:val="0"/>
      <w:marBottom w:val="0"/>
      <w:divBdr>
        <w:top w:val="none" w:sz="0" w:space="0" w:color="auto"/>
        <w:left w:val="none" w:sz="0" w:space="0" w:color="auto"/>
        <w:bottom w:val="none" w:sz="0" w:space="0" w:color="auto"/>
        <w:right w:val="none" w:sz="0" w:space="0" w:color="auto"/>
      </w:divBdr>
    </w:div>
    <w:div w:id="2009020688">
      <w:bodyDiv w:val="1"/>
      <w:marLeft w:val="0"/>
      <w:marRight w:val="0"/>
      <w:marTop w:val="0"/>
      <w:marBottom w:val="0"/>
      <w:divBdr>
        <w:top w:val="none" w:sz="0" w:space="0" w:color="auto"/>
        <w:left w:val="none" w:sz="0" w:space="0" w:color="auto"/>
        <w:bottom w:val="none" w:sz="0" w:space="0" w:color="auto"/>
        <w:right w:val="none" w:sz="0" w:space="0" w:color="auto"/>
      </w:divBdr>
    </w:div>
    <w:div w:id="211917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0F9BCA22A44543A836D48EB5D07BAB" ma:contentTypeVersion="6" ma:contentTypeDescription="Create a new document." ma:contentTypeScope="" ma:versionID="56978c654d62564549e0822c8d661991">
  <xsd:schema xmlns:xsd="http://www.w3.org/2001/XMLSchema" xmlns:xs="http://www.w3.org/2001/XMLSchema" xmlns:p="http://schemas.microsoft.com/office/2006/metadata/properties" xmlns:ns2="9ab13f10-ea91-4ae4-b716-2fc6226f5bbf" xmlns:ns3="53bfddcd-ed87-4e2f-848a-2186ccceec32" targetNamespace="http://schemas.microsoft.com/office/2006/metadata/properties" ma:root="true" ma:fieldsID="81795db273f20e320021e9782f386117" ns2:_="" ns3:_="">
    <xsd:import namespace="9ab13f10-ea91-4ae4-b716-2fc6226f5bbf"/>
    <xsd:import namespace="53bfddcd-ed87-4e2f-848a-2186ccceec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13f10-ea91-4ae4-b716-2fc6226f5b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ddcd-ed87-4e2f-848a-2186ccceec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ab13f10-ea91-4ae4-b716-2fc6226f5bbf">
      <UserInfo>
        <DisplayName>Fraser Drummond</DisplayName>
        <AccountId>3845</AccountId>
        <AccountType/>
      </UserInfo>
      <UserInfo>
        <DisplayName>Jason Leung</DisplayName>
        <AccountId>643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458D8-3D67-4C27-BB68-A4C69E59B97B}">
  <ds:schemaRefs>
    <ds:schemaRef ds:uri="http://schemas.microsoft.com/sharepoint/v3/contenttype/forms"/>
  </ds:schemaRefs>
</ds:datastoreItem>
</file>

<file path=customXml/itemProps2.xml><?xml version="1.0" encoding="utf-8"?>
<ds:datastoreItem xmlns:ds="http://schemas.openxmlformats.org/officeDocument/2006/customXml" ds:itemID="{A40B1C8D-5013-4D1F-B986-FE7B5BD26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13f10-ea91-4ae4-b716-2fc6226f5bbf"/>
    <ds:schemaRef ds:uri="53bfddcd-ed87-4e2f-848a-2186cccee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FEA9C-B8DB-4F36-9444-C4E1B486CC6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3bfddcd-ed87-4e2f-848a-2186ccceec32"/>
    <ds:schemaRef ds:uri="http://purl.org/dc/terms/"/>
    <ds:schemaRef ds:uri="http://schemas.openxmlformats.org/package/2006/metadata/core-properties"/>
    <ds:schemaRef ds:uri="9ab13f10-ea91-4ae4-b716-2fc6226f5bbf"/>
    <ds:schemaRef ds:uri="http://www.w3.org/XML/1998/namespace"/>
  </ds:schemaRefs>
</ds:datastoreItem>
</file>

<file path=customXml/itemProps4.xml><?xml version="1.0" encoding="utf-8"?>
<ds:datastoreItem xmlns:ds="http://schemas.openxmlformats.org/officeDocument/2006/customXml" ds:itemID="{F03652A3-7EA5-405B-8011-7D23D41F4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8931</Words>
  <Characters>59418</Characters>
  <Application>Microsoft Office Word</Application>
  <DocSecurity>0</DocSecurity>
  <Lines>1237</Lines>
  <Paragraphs>542</Paragraphs>
  <ScaleCrop>false</ScaleCrop>
  <HeadingPairs>
    <vt:vector size="2" baseType="variant">
      <vt:variant>
        <vt:lpstr>Title</vt:lpstr>
      </vt:variant>
      <vt:variant>
        <vt:i4>1</vt:i4>
      </vt:variant>
    </vt:vector>
  </HeadingPairs>
  <TitlesOfParts>
    <vt:vector size="1" baseType="lpstr">
      <vt:lpstr>AusPAR Attachment 1: Product Information for Apretude</vt:lpstr>
    </vt:vector>
  </TitlesOfParts>
  <Company/>
  <LinksUpToDate>false</LinksUpToDate>
  <CharactersWithSpaces>67807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Apretude</dc:title>
  <dc:creator>ViiV Healthcare Pty Ltd</dc:creator>
  <cp:keywords/>
  <cp:lastModifiedBy>PITKIN, Brendan</cp:lastModifiedBy>
  <cp:revision>5</cp:revision>
  <cp:lastPrinted>2022-08-12T05:35:00Z</cp:lastPrinted>
  <dcterms:created xsi:type="dcterms:W3CDTF">2022-10-18T04:08:00Z</dcterms:created>
  <dcterms:modified xsi:type="dcterms:W3CDTF">2022-12-08T00:38:00Z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0x010100A80F9BCA22A44543A836D48EB5D07BAB</vt:lpwstr>
  </property>
</Properties>
</file>