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04ABD">
        <w:tc>
          <w:tcPr>
            <w:tcW w:w="8720" w:type="dxa"/>
          </w:tcPr>
          <w:p w14:paraId="158C7559" w14:textId="5377AB09" w:rsidR="0025660C" w:rsidRPr="00077548" w:rsidRDefault="00597B50" w:rsidP="00E04ABD">
            <w:pPr>
              <w:pStyle w:val="Title"/>
            </w:pPr>
            <w:r w:rsidRPr="00597B50">
              <w:t>Notice of final decision to amend (or not amend) the current Poisons Standard</w:t>
            </w:r>
          </w:p>
        </w:tc>
      </w:tr>
      <w:tr w:rsidR="0025660C" w14:paraId="3393FE2A" w14:textId="77777777" w:rsidTr="00E04ABD">
        <w:trPr>
          <w:trHeight w:val="810"/>
        </w:trPr>
        <w:tc>
          <w:tcPr>
            <w:tcW w:w="8720" w:type="dxa"/>
          </w:tcPr>
          <w:p w14:paraId="38D3E20E" w14:textId="6FFA547A" w:rsidR="0025660C" w:rsidRPr="00077548" w:rsidRDefault="00574233" w:rsidP="00E04ABD">
            <w:pPr>
              <w:pStyle w:val="Subtitle"/>
              <w:tabs>
                <w:tab w:val="left" w:pos="5310"/>
              </w:tabs>
              <w:ind w:left="0"/>
            </w:pPr>
            <w:r>
              <w:t>15 November 2022</w:t>
            </w: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017E73AB" w:rsidR="007907BF" w:rsidRDefault="007907BF" w:rsidP="007907BF">
      <w:pPr>
        <w:pStyle w:val="LegalCopy"/>
      </w:pPr>
      <w:r w:rsidRPr="009401F6">
        <w:t>© Commonwealth of Australia 20</w:t>
      </w:r>
      <w:r>
        <w:t>2</w:t>
      </w:r>
      <w:r w:rsidR="005130F1">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9" w:displacedByCustomXml="next"/>
    <w:bookmarkStart w:id="1" w:name="_Toc328388475" w:displacedByCustomXml="next"/>
    <w:bookmarkStart w:id="2" w:name="_Toc323740418" w:displacedByCustomXml="next"/>
    <w:sdt>
      <w:sdtPr>
        <w:rPr>
          <w:rFonts w:ascii="Arial" w:hAnsi="Arial"/>
          <w:b/>
        </w:rPr>
        <w:id w:val="21514559"/>
        <w:docPartObj>
          <w:docPartGallery w:val="Table of Contents"/>
          <w:docPartUnique/>
        </w:docPartObj>
      </w:sdtPr>
      <w:sdtEndPr/>
      <w:sdtContent>
        <w:p w14:paraId="3D1C84C3" w14:textId="77777777" w:rsidR="00FA5482" w:rsidRDefault="0025660C">
          <w:pPr>
            <w:pStyle w:val="TOC2"/>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0A1E12F9" w14:textId="3D813312" w:rsidR="00FA5482" w:rsidRDefault="00FA5482">
          <w:pPr>
            <w:pStyle w:val="TOC2"/>
            <w:tabs>
              <w:tab w:val="left" w:pos="851"/>
            </w:tabs>
            <w:rPr>
              <w:rFonts w:asciiTheme="minorHAnsi" w:eastAsiaTheme="minorEastAsia" w:hAnsiTheme="minorHAnsi" w:cstheme="minorBidi"/>
              <w:noProof/>
              <w:szCs w:val="22"/>
              <w:lang w:eastAsia="en-AU"/>
            </w:rPr>
          </w:pPr>
          <w:hyperlink w:anchor="_Toc119415132" w:history="1">
            <w:r w:rsidRPr="00493533">
              <w:rPr>
                <w:rStyle w:val="Hyperlink"/>
                <w:noProof/>
              </w:rPr>
              <w:t>1</w:t>
            </w:r>
            <w:r>
              <w:rPr>
                <w:rFonts w:asciiTheme="minorHAnsi" w:eastAsiaTheme="minorEastAsia" w:hAnsiTheme="minorHAnsi" w:cstheme="minorBidi"/>
                <w:noProof/>
                <w:szCs w:val="22"/>
                <w:lang w:eastAsia="en-AU"/>
              </w:rPr>
              <w:tab/>
            </w:r>
            <w:r w:rsidRPr="00493533">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_Toc119415132 \h </w:instrText>
            </w:r>
            <w:r>
              <w:rPr>
                <w:noProof/>
                <w:webHidden/>
              </w:rPr>
            </w:r>
            <w:r>
              <w:rPr>
                <w:noProof/>
                <w:webHidden/>
              </w:rPr>
              <w:fldChar w:fldCharType="separate"/>
            </w:r>
            <w:r>
              <w:rPr>
                <w:noProof/>
                <w:webHidden/>
              </w:rPr>
              <w:t>4</w:t>
            </w:r>
            <w:r>
              <w:rPr>
                <w:noProof/>
                <w:webHidden/>
              </w:rPr>
              <w:fldChar w:fldCharType="end"/>
            </w:r>
          </w:hyperlink>
        </w:p>
        <w:p w14:paraId="3ECA7DAC" w14:textId="24CBD5FE" w:rsidR="00FA5482" w:rsidRDefault="00FA5482">
          <w:pPr>
            <w:pStyle w:val="TOC2"/>
            <w:tabs>
              <w:tab w:val="left" w:pos="851"/>
            </w:tabs>
            <w:rPr>
              <w:rFonts w:asciiTheme="minorHAnsi" w:eastAsiaTheme="minorEastAsia" w:hAnsiTheme="minorHAnsi" w:cstheme="minorBidi"/>
              <w:noProof/>
              <w:szCs w:val="22"/>
              <w:lang w:eastAsia="en-AU"/>
            </w:rPr>
          </w:pPr>
          <w:hyperlink w:anchor="_Toc119415133" w:history="1">
            <w:r w:rsidRPr="00493533">
              <w:rPr>
                <w:rStyle w:val="Hyperlink"/>
                <w:noProof/>
              </w:rPr>
              <w:t>2</w:t>
            </w:r>
            <w:r>
              <w:rPr>
                <w:rFonts w:asciiTheme="minorHAnsi" w:eastAsiaTheme="minorEastAsia" w:hAnsiTheme="minorHAnsi" w:cstheme="minorBidi"/>
                <w:noProof/>
                <w:szCs w:val="22"/>
                <w:lang w:eastAsia="en-AU"/>
              </w:rPr>
              <w:tab/>
            </w:r>
            <w:r w:rsidRPr="00493533">
              <w:rPr>
                <w:rStyle w:val="Hyperlink"/>
                <w:noProof/>
              </w:rPr>
              <w:t>Final decisions on a proposed amendment referred to the Advisory Committee on Medicines and Chemicals Scheduling in joint session (Joint ACMS-ACCS #29, November 2021)</w:t>
            </w:r>
            <w:r>
              <w:rPr>
                <w:noProof/>
                <w:webHidden/>
              </w:rPr>
              <w:tab/>
            </w:r>
            <w:r>
              <w:rPr>
                <w:noProof/>
                <w:webHidden/>
              </w:rPr>
              <w:fldChar w:fldCharType="begin"/>
            </w:r>
            <w:r>
              <w:rPr>
                <w:noProof/>
                <w:webHidden/>
              </w:rPr>
              <w:instrText xml:space="preserve"> PAGEREF _Toc119415133 \h </w:instrText>
            </w:r>
            <w:r>
              <w:rPr>
                <w:noProof/>
                <w:webHidden/>
              </w:rPr>
            </w:r>
            <w:r>
              <w:rPr>
                <w:noProof/>
                <w:webHidden/>
              </w:rPr>
              <w:fldChar w:fldCharType="separate"/>
            </w:r>
            <w:r>
              <w:rPr>
                <w:noProof/>
                <w:webHidden/>
              </w:rPr>
              <w:t>4</w:t>
            </w:r>
            <w:r>
              <w:rPr>
                <w:noProof/>
                <w:webHidden/>
              </w:rPr>
              <w:fldChar w:fldCharType="end"/>
            </w:r>
          </w:hyperlink>
        </w:p>
        <w:p w14:paraId="7944178E" w14:textId="49E3F2E3" w:rsidR="00FA5482" w:rsidRDefault="00FA5482">
          <w:pPr>
            <w:pStyle w:val="TOC3"/>
            <w:tabs>
              <w:tab w:val="left" w:pos="1701"/>
            </w:tabs>
            <w:rPr>
              <w:rFonts w:asciiTheme="minorHAnsi" w:eastAsiaTheme="minorEastAsia" w:hAnsiTheme="minorHAnsi" w:cstheme="minorBidi"/>
              <w:noProof/>
              <w:sz w:val="22"/>
              <w:szCs w:val="22"/>
              <w:lang w:eastAsia="en-AU"/>
            </w:rPr>
          </w:pPr>
          <w:hyperlink w:anchor="_Toc119415134" w:history="1">
            <w:r w:rsidRPr="00493533">
              <w:rPr>
                <w:rStyle w:val="Hyperlink"/>
                <w:noProof/>
              </w:rPr>
              <w:t>2.1</w:t>
            </w:r>
            <w:r>
              <w:rPr>
                <w:rFonts w:asciiTheme="minorHAnsi" w:eastAsiaTheme="minorEastAsia" w:hAnsiTheme="minorHAnsi" w:cstheme="minorBidi"/>
                <w:noProof/>
                <w:sz w:val="22"/>
                <w:szCs w:val="22"/>
                <w:lang w:eastAsia="en-AU"/>
              </w:rPr>
              <w:tab/>
            </w:r>
            <w:r w:rsidRPr="00493533">
              <w:rPr>
                <w:rStyle w:val="Hyperlink"/>
                <w:noProof/>
              </w:rPr>
              <w:t>Final decision in relation to cannabis and tetrahydrocannabinols</w:t>
            </w:r>
            <w:r>
              <w:rPr>
                <w:noProof/>
                <w:webHidden/>
              </w:rPr>
              <w:tab/>
            </w:r>
            <w:r>
              <w:rPr>
                <w:noProof/>
                <w:webHidden/>
              </w:rPr>
              <w:fldChar w:fldCharType="begin"/>
            </w:r>
            <w:r>
              <w:rPr>
                <w:noProof/>
                <w:webHidden/>
              </w:rPr>
              <w:instrText xml:space="preserve"> PAGEREF _Toc119415134 \h </w:instrText>
            </w:r>
            <w:r>
              <w:rPr>
                <w:noProof/>
                <w:webHidden/>
              </w:rPr>
            </w:r>
            <w:r>
              <w:rPr>
                <w:noProof/>
                <w:webHidden/>
              </w:rPr>
              <w:fldChar w:fldCharType="separate"/>
            </w:r>
            <w:r>
              <w:rPr>
                <w:noProof/>
                <w:webHidden/>
              </w:rPr>
              <w:t>4</w:t>
            </w:r>
            <w:r>
              <w:rPr>
                <w:noProof/>
                <w:webHidden/>
              </w:rPr>
              <w:fldChar w:fldCharType="end"/>
            </w:r>
          </w:hyperlink>
        </w:p>
        <w:p w14:paraId="7DF331EE" w14:textId="07E8ED1B" w:rsidR="0025660C" w:rsidRDefault="008D3724" w:rsidP="008D3724">
          <w:pPr>
            <w:pStyle w:val="NonTOCheading2"/>
          </w:pPr>
          <w:r>
            <w:rPr>
              <w:sz w:val="32"/>
            </w:rPr>
            <w:fldChar w:fldCharType="end"/>
          </w:r>
        </w:p>
      </w:sdtContent>
    </w:sdt>
    <w:p w14:paraId="3445656D" w14:textId="1ED10CB2" w:rsidR="0025660C" w:rsidRPr="00BC2009" w:rsidRDefault="00597B50" w:rsidP="00BC2009">
      <w:pPr>
        <w:pStyle w:val="Heading2"/>
        <w:pageBreakBefore/>
        <w:ind w:left="431" w:hanging="431"/>
      </w:pPr>
      <w:bookmarkStart w:id="3" w:name="_Toc119415132"/>
      <w:bookmarkEnd w:id="2"/>
      <w:bookmarkEnd w:id="1"/>
      <w:bookmarkEnd w:id="0"/>
      <w:r w:rsidRPr="00597B50">
        <w:lastRenderedPageBreak/>
        <w:t>Notice of final decisions to amend (or not amend) the current Poisons Standard</w:t>
      </w:r>
      <w:bookmarkEnd w:id="3"/>
    </w:p>
    <w:p w14:paraId="6885013C" w14:textId="668F1D36" w:rsidR="00597B50" w:rsidRDefault="00597B50">
      <w:r>
        <w:t xml:space="preserve">This web publication constitutes a notice for the purposes of </w:t>
      </w:r>
      <w:r w:rsidRPr="005130F1">
        <w:t xml:space="preserve">regulation 42ZCZS of the </w:t>
      </w:r>
      <w:r w:rsidRPr="000D3475">
        <w:rPr>
          <w:iCs/>
        </w:rPr>
        <w:t>Therapeutic Goods Regulations 1990</w:t>
      </w:r>
      <w:r w:rsidR="00FB2577">
        <w:rPr>
          <w:iCs/>
        </w:rPr>
        <w:t xml:space="preserve"> (</w:t>
      </w:r>
      <w:proofErr w:type="spellStart"/>
      <w:r w:rsidR="00FB2577">
        <w:rPr>
          <w:iCs/>
        </w:rPr>
        <w:t>Cth</w:t>
      </w:r>
      <w:proofErr w:type="spellEnd"/>
      <w:r w:rsidR="00FB2577">
        <w:rPr>
          <w:iCs/>
        </w:rPr>
        <w:t>)</w:t>
      </w:r>
      <w:r w:rsidRPr="005130F1">
        <w:rPr>
          <w:i/>
        </w:rPr>
        <w:t xml:space="preserve"> </w:t>
      </w:r>
      <w:r w:rsidRPr="005130F1">
        <w:t xml:space="preserve">(the </w:t>
      </w:r>
      <w:r w:rsidRPr="005130F1">
        <w:rPr>
          <w:b/>
        </w:rPr>
        <w:t>Regulations</w:t>
      </w:r>
      <w:r w:rsidRPr="005130F1">
        <w:t>). In accordance with regulation 42ZCZS, this notice publishes:</w:t>
      </w:r>
    </w:p>
    <w:p w14:paraId="518D5BAC" w14:textId="2E56FFD0" w:rsidR="00597B50" w:rsidRPr="005130F1" w:rsidRDefault="00597B50">
      <w:pPr>
        <w:pStyle w:val="ListBullet"/>
      </w:pPr>
      <w:r>
        <w:t>the decision made by a delegate</w:t>
      </w:r>
      <w:r w:rsidR="00A53DC8">
        <w:rPr>
          <w:rStyle w:val="FootnoteReference"/>
        </w:rPr>
        <w:footnoteReference w:id="1"/>
      </w:r>
      <w:r w:rsidR="00FB2577">
        <w:t xml:space="preserve"> </w:t>
      </w:r>
      <w:r w:rsidRPr="00A53DC8">
        <w:t>of</w:t>
      </w:r>
      <w:r>
        <w:t xml:space="preserve"> the Secretary </w:t>
      </w:r>
      <w:r w:rsidR="00C44C22">
        <w:t xml:space="preserve">of the Department of Health and Aged Care (the </w:t>
      </w:r>
      <w:r w:rsidR="00C44C22" w:rsidRPr="00A53DC8">
        <w:rPr>
          <w:b/>
          <w:bCs/>
        </w:rPr>
        <w:t>Delegate</w:t>
      </w:r>
      <w:r w:rsidR="00C44C22">
        <w:t xml:space="preserve">) </w:t>
      </w:r>
      <w:r>
        <w:t xml:space="preserve">pursuant to regulation </w:t>
      </w:r>
      <w:proofErr w:type="gramStart"/>
      <w:r>
        <w:t>42</w:t>
      </w:r>
      <w:r w:rsidRPr="005130F1">
        <w:t>ZCZ</w:t>
      </w:r>
      <w:r w:rsidR="005130F1">
        <w:t>R</w:t>
      </w:r>
      <w:r w:rsidRPr="005130F1">
        <w:t>;</w:t>
      </w:r>
      <w:proofErr w:type="gramEnd"/>
    </w:p>
    <w:p w14:paraId="3702BF82" w14:textId="3613CB91" w:rsidR="00597B50" w:rsidRPr="005130F1" w:rsidRDefault="00597B50">
      <w:pPr>
        <w:pStyle w:val="ListBullet"/>
      </w:pPr>
      <w:r w:rsidRPr="005130F1">
        <w:t xml:space="preserve">the reasons for the final decision; and </w:t>
      </w:r>
    </w:p>
    <w:p w14:paraId="50C52661" w14:textId="6238242F" w:rsidR="00ED5D05" w:rsidRDefault="00597B50" w:rsidP="00FA5482">
      <w:pPr>
        <w:pStyle w:val="ListBullet"/>
      </w:pPr>
      <w:r w:rsidRPr="005130F1">
        <w:t>the date of effect of th</w:t>
      </w:r>
      <w:r w:rsidR="005130F1" w:rsidRPr="005130F1">
        <w:t>e</w:t>
      </w:r>
      <w:r w:rsidRPr="005130F1">
        <w:t xml:space="preserve"> decision</w:t>
      </w:r>
      <w:r>
        <w:t>.</w:t>
      </w:r>
    </w:p>
    <w:p w14:paraId="07CFC5F4" w14:textId="603AF29A" w:rsidR="00F41DCE" w:rsidRPr="00F41DCE" w:rsidRDefault="00F41DCE" w:rsidP="00E951D8">
      <w:pPr>
        <w:pStyle w:val="Heading2"/>
      </w:pPr>
      <w:bookmarkStart w:id="4" w:name="_Toc119415133"/>
      <w:r>
        <w:t>Final</w:t>
      </w:r>
      <w:r w:rsidRPr="00FA029A">
        <w:t xml:space="preserve"> decisions on </w:t>
      </w:r>
      <w:r w:rsidR="005130F1">
        <w:t xml:space="preserve">a </w:t>
      </w:r>
      <w:r w:rsidRPr="00FA029A">
        <w:t xml:space="preserve">proposed amendment referred to the </w:t>
      </w:r>
      <w:r w:rsidRPr="00F41DCE">
        <w:t>Advisory Committee on Medicines and Chemicals Scheduling in jo</w:t>
      </w:r>
      <w:r>
        <w:t>int session (Joint ACMS-ACCS #</w:t>
      </w:r>
      <w:r w:rsidR="005130F1">
        <w:t>29</w:t>
      </w:r>
      <w:r>
        <w:t xml:space="preserve">, </w:t>
      </w:r>
      <w:r w:rsidR="005130F1">
        <w:t>November</w:t>
      </w:r>
      <w:r>
        <w:t xml:space="preserve"> 20</w:t>
      </w:r>
      <w:r w:rsidR="005130F1">
        <w:t>21</w:t>
      </w:r>
      <w:r w:rsidRPr="00F41DCE">
        <w:t>)</w:t>
      </w:r>
      <w:bookmarkEnd w:id="4"/>
    </w:p>
    <w:p w14:paraId="7DE25B22" w14:textId="77777777" w:rsidR="005130F1" w:rsidRPr="00B5540A" w:rsidRDefault="005130F1" w:rsidP="005130F1">
      <w:pPr>
        <w:pStyle w:val="Heading3"/>
        <w:ind w:left="426" w:hanging="426"/>
      </w:pPr>
      <w:bookmarkStart w:id="5" w:name="_Toc119415134"/>
      <w:r w:rsidRPr="00B5540A">
        <w:t>Final decision in relation to cannabis and tetrahydrocannabinols</w:t>
      </w:r>
      <w:bookmarkEnd w:id="5"/>
    </w:p>
    <w:p w14:paraId="6FCF1844" w14:textId="77777777" w:rsidR="005130F1" w:rsidRDefault="005130F1" w:rsidP="005130F1">
      <w:pPr>
        <w:pStyle w:val="Heading5"/>
      </w:pPr>
      <w:r>
        <w:t>Proposal</w:t>
      </w:r>
    </w:p>
    <w:p w14:paraId="76E2DEB6" w14:textId="5B9AADFC" w:rsidR="005130F1" w:rsidRPr="00615498" w:rsidRDefault="005130F1" w:rsidP="005130F1">
      <w:pPr>
        <w:spacing w:before="0" w:after="0" w:line="240" w:lineRule="auto"/>
      </w:pPr>
      <w:r w:rsidRPr="00615498">
        <w:t xml:space="preserve">The applicant proposed </w:t>
      </w:r>
      <w:r w:rsidR="00C44C22">
        <w:t xml:space="preserve">amendments </w:t>
      </w:r>
      <w:r w:rsidRPr="00615498">
        <w:t>to the existing</w:t>
      </w:r>
      <w:r w:rsidR="003F55CC" w:rsidRPr="003F55CC">
        <w:t xml:space="preserve"> </w:t>
      </w:r>
      <w:r w:rsidR="003F55CC">
        <w:t>entries for cannabis and tetrahydrocannabinols (THCs) in</w:t>
      </w:r>
      <w:r w:rsidR="00C44C22">
        <w:t>:</w:t>
      </w:r>
      <w:r w:rsidRPr="00615498">
        <w:t xml:space="preserve"> </w:t>
      </w:r>
      <w:r w:rsidR="00C44C22">
        <w:t>(</w:t>
      </w:r>
      <w:proofErr w:type="spellStart"/>
      <w:r w:rsidR="00C44C22">
        <w:t>i</w:t>
      </w:r>
      <w:proofErr w:type="spellEnd"/>
      <w:r w:rsidR="00C44C22">
        <w:t xml:space="preserve">) </w:t>
      </w:r>
      <w:r>
        <w:t>Schedule 8</w:t>
      </w:r>
      <w:r w:rsidR="003F55CC">
        <w:t>,</w:t>
      </w:r>
      <w:r>
        <w:t xml:space="preserve"> to allow prescription of these substances for veterinary use, except for use in animals bred for human consumption</w:t>
      </w:r>
      <w:r w:rsidR="00C44C22">
        <w:t xml:space="preserve">; and (ii) </w:t>
      </w:r>
      <w:r>
        <w:t>Appendix D</w:t>
      </w:r>
      <w:r w:rsidR="003F55CC">
        <w:t>,</w:t>
      </w:r>
      <w:r>
        <w:t xml:space="preserve"> to restrict any possession of these substances, other than in accordance with a prescription (the </w:t>
      </w:r>
      <w:r w:rsidRPr="00B5540A">
        <w:rPr>
          <w:b/>
          <w:bCs/>
        </w:rPr>
        <w:t>Proposal</w:t>
      </w:r>
      <w:r>
        <w:t>). Currently, therapeutic use of cannabis and THCs is restricted to human use only, except for the Schedule 4 (prescription only) entry for cannabidiol (CBD).</w:t>
      </w:r>
    </w:p>
    <w:p w14:paraId="7886EF9D" w14:textId="58117E1A" w:rsidR="005130F1" w:rsidRPr="008036B7" w:rsidRDefault="005130F1" w:rsidP="005130F1">
      <w:pPr>
        <w:pStyle w:val="Heading5"/>
      </w:pPr>
      <w:r>
        <w:t>Final decision</w:t>
      </w:r>
    </w:p>
    <w:p w14:paraId="6BA351D8" w14:textId="70E142B5" w:rsidR="005130F1" w:rsidRPr="00615498" w:rsidRDefault="005130F1" w:rsidP="005130F1">
      <w:r w:rsidRPr="00615498">
        <w:t>Pursuant to regulation 42ZCZR of the Regulations,</w:t>
      </w:r>
      <w:r>
        <w:t xml:space="preserve"> and after assembling further information</w:t>
      </w:r>
      <w:r w:rsidR="00C44C22">
        <w:t xml:space="preserve">, </w:t>
      </w:r>
      <w:r>
        <w:t xml:space="preserve">the </w:t>
      </w:r>
      <w:r w:rsidRPr="000D3475">
        <w:t>Delegate</w:t>
      </w:r>
      <w:r w:rsidRPr="00C44C22">
        <w:t xml:space="preserve"> </w:t>
      </w:r>
      <w:r w:rsidRPr="00615498">
        <w:t>has made a final decision</w:t>
      </w:r>
      <w:r>
        <w:t xml:space="preserve"> </w:t>
      </w:r>
      <w:r w:rsidRPr="00615498">
        <w:t xml:space="preserve">to </w:t>
      </w:r>
      <w:r>
        <w:t xml:space="preserve">confirm </w:t>
      </w:r>
      <w:r w:rsidRPr="00615498">
        <w:t xml:space="preserve">the interim decision </w:t>
      </w:r>
      <w:r>
        <w:t>to</w:t>
      </w:r>
      <w:r w:rsidRPr="00615498">
        <w:t xml:space="preserve"> </w:t>
      </w:r>
      <w:r>
        <w:t xml:space="preserve">not amend </w:t>
      </w:r>
      <w:r w:rsidRPr="00615498">
        <w:t xml:space="preserve">the </w:t>
      </w:r>
      <w:r>
        <w:t>Poisons Standard</w:t>
      </w:r>
      <w:r w:rsidRPr="00615498" w:rsidDel="00924C1F">
        <w:t xml:space="preserve"> </w:t>
      </w:r>
      <w:r>
        <w:t>in relation to cannabis and tetrahydrocannabinols.</w:t>
      </w:r>
    </w:p>
    <w:p w14:paraId="7387B663" w14:textId="0CC901D5" w:rsidR="005130F1" w:rsidRDefault="005130F1" w:rsidP="005130F1">
      <w:pPr>
        <w:pStyle w:val="Heading5"/>
      </w:pPr>
      <w:r>
        <w:t>Materials considered</w:t>
      </w:r>
    </w:p>
    <w:p w14:paraId="386CFBF6" w14:textId="77777777" w:rsidR="005130F1" w:rsidRPr="00615498" w:rsidRDefault="005130F1" w:rsidP="005130F1">
      <w:r w:rsidRPr="00615498">
        <w:t>In making this final decision, the Delegate considered the following material:</w:t>
      </w:r>
    </w:p>
    <w:p w14:paraId="480AD9EB" w14:textId="77777777" w:rsidR="005130F1" w:rsidRPr="00615498" w:rsidRDefault="005130F1" w:rsidP="005130F1">
      <w:pPr>
        <w:pStyle w:val="ListBullet"/>
      </w:pPr>
      <w:r w:rsidRPr="00615498">
        <w:t xml:space="preserve">The </w:t>
      </w:r>
      <w:hyperlink r:id="rId12" w:history="1">
        <w:r w:rsidRPr="009753FC">
          <w:rPr>
            <w:rStyle w:val="Hyperlink"/>
          </w:rPr>
          <w:t>application</w:t>
        </w:r>
      </w:hyperlink>
      <w:r>
        <w:t xml:space="preserve"> </w:t>
      </w:r>
      <w:r w:rsidRPr="00615498">
        <w:t xml:space="preserve">to amend the current Poisons Standard with respect to </w:t>
      </w:r>
      <w:r>
        <w:t>cannabis and tetrahydrocannabinols</w:t>
      </w:r>
      <w:r w:rsidRPr="00615498">
        <w:t xml:space="preserve"> (the </w:t>
      </w:r>
      <w:r w:rsidRPr="00615498">
        <w:rPr>
          <w:b/>
          <w:bCs/>
        </w:rPr>
        <w:t>Application</w:t>
      </w:r>
      <w:r w:rsidRPr="00615498">
        <w:t>);</w:t>
      </w:r>
    </w:p>
    <w:p w14:paraId="6356E622" w14:textId="39EA6995" w:rsidR="005130F1" w:rsidRPr="00615498" w:rsidRDefault="005130F1" w:rsidP="005130F1">
      <w:pPr>
        <w:pStyle w:val="ListBullet"/>
      </w:pPr>
      <w:r w:rsidRPr="00615498">
        <w:t xml:space="preserve">The </w:t>
      </w:r>
      <w:r>
        <w:t xml:space="preserve">116 </w:t>
      </w:r>
      <w:hyperlink r:id="rId13" w:history="1">
        <w:r w:rsidRPr="00B5540A">
          <w:rPr>
            <w:rStyle w:val="Hyperlink"/>
          </w:rPr>
          <w:t>public submissions</w:t>
        </w:r>
      </w:hyperlink>
      <w:r>
        <w:t xml:space="preserve"> </w:t>
      </w:r>
      <w:r w:rsidRPr="00615498">
        <w:t xml:space="preserve">received in response to the </w:t>
      </w:r>
      <w:hyperlink r:id="rId14" w:history="1">
        <w:r w:rsidRPr="00B5540A">
          <w:rPr>
            <w:rStyle w:val="Hyperlink"/>
          </w:rPr>
          <w:t>pre-meeting consultation</w:t>
        </w:r>
      </w:hyperlink>
      <w:r w:rsidRPr="00615498">
        <w:t xml:space="preserve"> under regulation 42ZCZK of the Regulations</w:t>
      </w:r>
      <w:r>
        <w:t>, including 35 written submissions;</w:t>
      </w:r>
    </w:p>
    <w:p w14:paraId="17C7976C" w14:textId="77777777" w:rsidR="005130F1" w:rsidRPr="00615498" w:rsidRDefault="005130F1" w:rsidP="005130F1">
      <w:pPr>
        <w:pStyle w:val="ListBullet"/>
      </w:pPr>
      <w:r w:rsidRPr="00615498">
        <w:t xml:space="preserve">The advice received from the </w:t>
      </w:r>
      <w:r>
        <w:t>29</w:t>
      </w:r>
      <w:r w:rsidRPr="00615498">
        <w:rPr>
          <w:vertAlign w:val="superscript"/>
        </w:rPr>
        <w:t>th</w:t>
      </w:r>
      <w:r w:rsidRPr="00615498">
        <w:t xml:space="preserve"> meeting of the </w:t>
      </w:r>
      <w:r>
        <w:t xml:space="preserve">Advisory Committees on Medicines and Chemicals Scheduling in joint session </w:t>
      </w:r>
      <w:r w:rsidRPr="00615498">
        <w:t>(the</w:t>
      </w:r>
      <w:r w:rsidRPr="00615498">
        <w:rPr>
          <w:b/>
          <w:bCs/>
        </w:rPr>
        <w:t xml:space="preserve"> Committee</w:t>
      </w:r>
      <w:proofErr w:type="gramStart"/>
      <w:r w:rsidRPr="00615498">
        <w:t>);</w:t>
      </w:r>
      <w:proofErr w:type="gramEnd"/>
    </w:p>
    <w:p w14:paraId="5F08C161" w14:textId="77777777" w:rsidR="005130F1" w:rsidRPr="00615498" w:rsidRDefault="005130F1" w:rsidP="005130F1">
      <w:pPr>
        <w:pStyle w:val="ListBullet"/>
      </w:pPr>
      <w:r w:rsidRPr="00615498">
        <w:lastRenderedPageBreak/>
        <w:t xml:space="preserve">The </w:t>
      </w:r>
      <w:r>
        <w:t>30</w:t>
      </w:r>
      <w:r w:rsidRPr="00615498">
        <w:t xml:space="preserve"> </w:t>
      </w:r>
      <w:hyperlink r:id="rId15" w:history="1">
        <w:r w:rsidRPr="00185E17">
          <w:rPr>
            <w:rStyle w:val="Hyperlink"/>
          </w:rPr>
          <w:t>public submissions</w:t>
        </w:r>
        <w:bookmarkStart w:id="6" w:name="_Hlk101266328"/>
      </w:hyperlink>
      <w:r w:rsidRPr="00615498">
        <w:t xml:space="preserve">, including </w:t>
      </w:r>
      <w:r>
        <w:t>16</w:t>
      </w:r>
      <w:r w:rsidRPr="00615498">
        <w:t xml:space="preserve"> written submissions, received in response to the </w:t>
      </w:r>
      <w:hyperlink r:id="rId16" w:history="1">
        <w:r w:rsidRPr="00185E17">
          <w:rPr>
            <w:rStyle w:val="Hyperlink"/>
          </w:rPr>
          <w:t>interim decision consultation</w:t>
        </w:r>
      </w:hyperlink>
      <w:r w:rsidRPr="00615498">
        <w:t xml:space="preserve"> </w:t>
      </w:r>
      <w:bookmarkEnd w:id="6"/>
      <w:r w:rsidRPr="00615498">
        <w:t>under regulation 42ZCZP of the Regulations</w:t>
      </w:r>
      <w:r>
        <w:t xml:space="preserve"> (the </w:t>
      </w:r>
      <w:r w:rsidRPr="00E1183B">
        <w:rPr>
          <w:b/>
          <w:bCs/>
        </w:rPr>
        <w:t>Submissions</w:t>
      </w:r>
      <w:r>
        <w:t>)</w:t>
      </w:r>
      <w:r w:rsidRPr="00615498">
        <w:t>;</w:t>
      </w:r>
    </w:p>
    <w:p w14:paraId="6DEF9A73" w14:textId="77777777" w:rsidR="005130F1" w:rsidRPr="00615498" w:rsidRDefault="005130F1" w:rsidP="005130F1">
      <w:pPr>
        <w:pStyle w:val="ListBullet"/>
      </w:pPr>
      <w:r w:rsidRPr="00615498">
        <w:t>Subsection 52</w:t>
      </w:r>
      <w:proofErr w:type="gramStart"/>
      <w:r w:rsidRPr="00615498">
        <w:t>E(</w:t>
      </w:r>
      <w:proofErr w:type="gramEnd"/>
      <w:r w:rsidRPr="00615498">
        <w:t xml:space="preserve">1) of </w:t>
      </w:r>
      <w:r w:rsidRPr="00615498">
        <w:rPr>
          <w:i/>
        </w:rPr>
        <w:t>the Therapeutic Goods Act 1989</w:t>
      </w:r>
      <w:r w:rsidRPr="00615498">
        <w:rPr>
          <w:iCs/>
        </w:rPr>
        <w:t xml:space="preserve"> (</w:t>
      </w:r>
      <w:proofErr w:type="spellStart"/>
      <w:r w:rsidRPr="00615498">
        <w:rPr>
          <w:iCs/>
        </w:rPr>
        <w:t>Cth</w:t>
      </w:r>
      <w:proofErr w:type="spellEnd"/>
      <w:r w:rsidRPr="00615498">
        <w:rPr>
          <w:iCs/>
        </w:rPr>
        <w:t xml:space="preserve">) (the </w:t>
      </w:r>
      <w:r w:rsidRPr="00615498">
        <w:rPr>
          <w:b/>
          <w:bCs/>
          <w:iCs/>
        </w:rPr>
        <w:t>Act</w:t>
      </w:r>
      <w:r w:rsidRPr="00615498">
        <w:rPr>
          <w:iCs/>
        </w:rPr>
        <w:t>)</w:t>
      </w:r>
      <w:r w:rsidRPr="00615498">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1C05236B" w14:textId="77777777" w:rsidR="005130F1" w:rsidRPr="00615498" w:rsidRDefault="005130F1" w:rsidP="005130F1">
      <w:pPr>
        <w:pStyle w:val="ListBullet"/>
      </w:pPr>
      <w:r w:rsidRPr="00615498">
        <w:t xml:space="preserve">The </w:t>
      </w:r>
      <w:hyperlink r:id="rId17" w:history="1">
        <w:r w:rsidRPr="00615498">
          <w:rPr>
            <w:rStyle w:val="Hyperlink"/>
          </w:rPr>
          <w:t>Scheduling Policy Framework</w:t>
        </w:r>
      </w:hyperlink>
      <w:r w:rsidRPr="00615498">
        <w:t xml:space="preserve"> 2018 (the </w:t>
      </w:r>
      <w:r w:rsidRPr="00615498">
        <w:rPr>
          <w:b/>
          <w:bCs/>
        </w:rPr>
        <w:t>SPF</w:t>
      </w:r>
      <w:r w:rsidRPr="00615498">
        <w:t>), pursuant to paragraph 52E(2)(a) of the Act;</w:t>
      </w:r>
    </w:p>
    <w:p w14:paraId="0C2C7A3E" w14:textId="77777777" w:rsidR="005130F1" w:rsidRPr="00615498" w:rsidRDefault="005130F1" w:rsidP="005130F1">
      <w:pPr>
        <w:pStyle w:val="ListBullet"/>
      </w:pPr>
      <w:r w:rsidRPr="00615498">
        <w:t xml:space="preserve">The </w:t>
      </w:r>
      <w:hyperlink r:id="rId18" w:history="1">
        <w:r w:rsidRPr="00615498">
          <w:rPr>
            <w:rStyle w:val="Hyperlink"/>
          </w:rPr>
          <w:t>Scheduling handbook: Guidance for amending the Poisons Standard</w:t>
        </w:r>
      </w:hyperlink>
      <w:r>
        <w:t>; and</w:t>
      </w:r>
    </w:p>
    <w:p w14:paraId="215A631C" w14:textId="40B8A659" w:rsidR="005130F1" w:rsidRDefault="005130F1" w:rsidP="005130F1">
      <w:pPr>
        <w:pStyle w:val="ListBullet"/>
      </w:pPr>
      <w:r>
        <w:t>I</w:t>
      </w:r>
      <w:r w:rsidRPr="009274BC">
        <w:t>nformation regarding regulation of cannabis and tetrahydrocannabinols received from States and Territories.</w:t>
      </w:r>
    </w:p>
    <w:p w14:paraId="2398E0B2" w14:textId="77777777" w:rsidR="005130F1" w:rsidRPr="00A7610D" w:rsidRDefault="005130F1" w:rsidP="005130F1">
      <w:pPr>
        <w:pStyle w:val="ListBullet"/>
        <w:numPr>
          <w:ilvl w:val="0"/>
          <w:numId w:val="0"/>
        </w:numPr>
        <w:rPr>
          <w:b/>
          <w:bCs/>
          <w:i/>
          <w:iCs/>
        </w:rPr>
      </w:pPr>
      <w:r w:rsidRPr="00A7610D">
        <w:rPr>
          <w:b/>
          <w:bCs/>
          <w:i/>
          <w:iCs/>
        </w:rPr>
        <w:t>Reasons for the final decision (including findings on material questions of fact)</w:t>
      </w:r>
    </w:p>
    <w:p w14:paraId="3AF0D6FE" w14:textId="06D27230" w:rsidR="005130F1" w:rsidRPr="009274BC" w:rsidRDefault="005130F1" w:rsidP="005130F1">
      <w:r w:rsidRPr="009274BC">
        <w:t>I have made a final decision to confirm my interim decision to not amend the current Poisons Standard with respect to cannabis and tetrahydrocannabinols</w:t>
      </w:r>
      <w:r>
        <w:t xml:space="preserve"> (THCs)</w:t>
      </w:r>
      <w:r w:rsidRPr="009274BC">
        <w:t>. My reasons for making the final decision are those set out in the interim decision with the following qualifications and additional observations.</w:t>
      </w:r>
    </w:p>
    <w:p w14:paraId="4474AF4E" w14:textId="52734459" w:rsidR="005130F1" w:rsidRDefault="005130F1" w:rsidP="005130F1">
      <w:pPr>
        <w:pStyle w:val="ListBullet2"/>
        <w:numPr>
          <w:ilvl w:val="0"/>
          <w:numId w:val="0"/>
        </w:numPr>
      </w:pPr>
      <w:r w:rsidRPr="006F7C65">
        <w:t xml:space="preserve">I have considered the </w:t>
      </w:r>
      <w:r>
        <w:t>S</w:t>
      </w:r>
      <w:r w:rsidRPr="006F7C65">
        <w:t>ubmissions</w:t>
      </w:r>
      <w:r>
        <w:t xml:space="preserve"> and </w:t>
      </w:r>
      <w:r w:rsidRPr="006F7C65">
        <w:t xml:space="preserve">note that </w:t>
      </w:r>
      <w:r>
        <w:t xml:space="preserve">there were </w:t>
      </w:r>
      <w:r w:rsidRPr="006F7C65">
        <w:t>1</w:t>
      </w:r>
      <w:r>
        <w:t>4</w:t>
      </w:r>
      <w:r w:rsidRPr="006F7C65">
        <w:t xml:space="preserve"> </w:t>
      </w:r>
      <w:r>
        <w:t>written submissions expressing opposition to the interim decision</w:t>
      </w:r>
      <w:r w:rsidRPr="006F7C65">
        <w:t xml:space="preserve">, </w:t>
      </w:r>
      <w:r>
        <w:t>with</w:t>
      </w:r>
      <w:r w:rsidRPr="006F7C65">
        <w:t xml:space="preserve"> </w:t>
      </w:r>
      <w:r>
        <w:t>one</w:t>
      </w:r>
      <w:r w:rsidRPr="006F7C65">
        <w:t xml:space="preserve"> </w:t>
      </w:r>
      <w:r>
        <w:t xml:space="preserve">submission in </w:t>
      </w:r>
      <w:r w:rsidRPr="006F7C65">
        <w:t>support</w:t>
      </w:r>
      <w:r>
        <w:t>.</w:t>
      </w:r>
      <w:r>
        <w:rPr>
          <w:rStyle w:val="FootnoteReference"/>
        </w:rPr>
        <w:footnoteReference w:id="2"/>
      </w:r>
      <w:r w:rsidRPr="006F7C65">
        <w:t xml:space="preserve"> Several of the written submissions </w:t>
      </w:r>
      <w:r>
        <w:t xml:space="preserve">included </w:t>
      </w:r>
      <w:r w:rsidRPr="006F7C65">
        <w:t>discuss</w:t>
      </w:r>
      <w:r>
        <w:t>ions</w:t>
      </w:r>
      <w:r w:rsidRPr="006F7C65">
        <w:t xml:space="preserve"> </w:t>
      </w:r>
      <w:r>
        <w:t xml:space="preserve">of personal </w:t>
      </w:r>
      <w:r w:rsidRPr="006F7C65">
        <w:t>experiences with medicinal cannabis and</w:t>
      </w:r>
      <w:r>
        <w:t xml:space="preserve"> detailed</w:t>
      </w:r>
      <w:r w:rsidRPr="006F7C65">
        <w:t xml:space="preserve"> the positive effects</w:t>
      </w:r>
      <w:r>
        <w:t>.</w:t>
      </w:r>
      <w:r w:rsidRPr="006F7C65">
        <w:t xml:space="preserve"> </w:t>
      </w:r>
      <w:r>
        <w:t>H</w:t>
      </w:r>
      <w:r w:rsidRPr="006F7C65">
        <w:t>owever, the</w:t>
      </w:r>
      <w:r>
        <w:t>se submissions</w:t>
      </w:r>
      <w:r w:rsidRPr="006F7C65">
        <w:t xml:space="preserve"> did not </w:t>
      </w:r>
      <w:r>
        <w:t xml:space="preserve">address </w:t>
      </w:r>
      <w:r w:rsidRPr="006F7C65">
        <w:t xml:space="preserve">safety concerns </w:t>
      </w:r>
      <w:r>
        <w:t>or the</w:t>
      </w:r>
      <w:r w:rsidRPr="006F7C65">
        <w:t xml:space="preserve"> lack of evidence of therapeutic value for </w:t>
      </w:r>
      <w:r>
        <w:t xml:space="preserve">use of these substances in </w:t>
      </w:r>
      <w:r w:rsidRPr="006F7C65">
        <w:t>animals</w:t>
      </w:r>
      <w:r>
        <w:t>,</w:t>
      </w:r>
      <w:r w:rsidRPr="006F7C65">
        <w:t xml:space="preserve"> as </w:t>
      </w:r>
      <w:r>
        <w:t>outlin</w:t>
      </w:r>
      <w:r w:rsidRPr="006F7C65">
        <w:t>ed in the interim decision.</w:t>
      </w:r>
    </w:p>
    <w:p w14:paraId="4B7625CB" w14:textId="2B11EAEB" w:rsidR="005130F1" w:rsidRDefault="00B961DF" w:rsidP="005130F1">
      <w:pPr>
        <w:pStyle w:val="ListBullet2"/>
        <w:numPr>
          <w:ilvl w:val="0"/>
          <w:numId w:val="0"/>
        </w:numPr>
      </w:pPr>
      <w:r>
        <w:t>S</w:t>
      </w:r>
      <w:r w:rsidR="005130F1">
        <w:t xml:space="preserve">everal </w:t>
      </w:r>
      <w:r>
        <w:t xml:space="preserve">of the </w:t>
      </w:r>
      <w:r w:rsidR="005130F1">
        <w:t xml:space="preserve">Submissions stated that </w:t>
      </w:r>
      <w:r>
        <w:t xml:space="preserve">implementation of the Proposal </w:t>
      </w:r>
      <w:r w:rsidR="005130F1">
        <w:t xml:space="preserve">would expand the evidence base concerning the treatment of animals with cannabis and THCs by providing further avenues for research. </w:t>
      </w:r>
      <w:r w:rsidRPr="0083176A">
        <w:t xml:space="preserve">I acknowledge that </w:t>
      </w:r>
      <w:r w:rsidR="00F83983">
        <w:t>while</w:t>
      </w:r>
      <w:r w:rsidRPr="0083176A">
        <w:t xml:space="preserve"> research has been completed thus far</w:t>
      </w:r>
      <w:r w:rsidR="00F83983">
        <w:t>,</w:t>
      </w:r>
      <w:r w:rsidRPr="0083176A">
        <w:t xml:space="preserve"> </w:t>
      </w:r>
      <w:r w:rsidR="0011352F">
        <w:t xml:space="preserve">more evidence of the therapeutic benefits in veterinary use is needed. </w:t>
      </w:r>
      <w:r>
        <w:t xml:space="preserve">However, </w:t>
      </w:r>
      <w:r w:rsidR="005130F1" w:rsidRPr="0083176A">
        <w:t xml:space="preserve">I am of the view that </w:t>
      </w:r>
      <w:r>
        <w:t>further clinical studies on animals,</w:t>
      </w:r>
      <w:r w:rsidRPr="00B961DF">
        <w:t xml:space="preserve"> </w:t>
      </w:r>
      <w:r w:rsidRPr="00467404">
        <w:t>with larger population sizes and varying doses</w:t>
      </w:r>
      <w:r>
        <w:t>,</w:t>
      </w:r>
      <w:r w:rsidRPr="00467404">
        <w:t xml:space="preserve"> </w:t>
      </w:r>
      <w:r w:rsidR="005130F1" w:rsidRPr="00467404">
        <w:t>should be pursued under the current scheduling</w:t>
      </w:r>
      <w:r>
        <w:t xml:space="preserve"> because</w:t>
      </w:r>
      <w:r w:rsidRPr="00467404">
        <w:t xml:space="preserve"> allow</w:t>
      </w:r>
      <w:r>
        <w:t>ing</w:t>
      </w:r>
      <w:r w:rsidRPr="00467404">
        <w:t xml:space="preserve"> </w:t>
      </w:r>
      <w:r>
        <w:t xml:space="preserve">these substances to be prescribed </w:t>
      </w:r>
      <w:r w:rsidRPr="00467404">
        <w:t xml:space="preserve">for veterinary use </w:t>
      </w:r>
      <w:r>
        <w:t xml:space="preserve">through a Schedule 8 entry </w:t>
      </w:r>
      <w:r w:rsidRPr="0083176A">
        <w:t>would be premature and</w:t>
      </w:r>
      <w:r w:rsidRPr="00467404">
        <w:t xml:space="preserve"> not consistent</w:t>
      </w:r>
      <w:r w:rsidRPr="0083176A">
        <w:t xml:space="preserve"> with the SPF factors.</w:t>
      </w:r>
    </w:p>
    <w:p w14:paraId="0E94AA26" w14:textId="696DF204" w:rsidR="005130F1" w:rsidRDefault="005130F1" w:rsidP="005130F1">
      <w:pPr>
        <w:pStyle w:val="ListBullet2"/>
        <w:numPr>
          <w:ilvl w:val="0"/>
          <w:numId w:val="0"/>
        </w:numPr>
      </w:pPr>
      <w:r>
        <w:t xml:space="preserve">The accessibility of medications that are used in veterinary practice through ‘off-label’ provisions was cited again in the Submissions as supporting evidence for the down-scheduling of cannabis and THCs. Cannabinoid medications such as </w:t>
      </w:r>
      <w:proofErr w:type="spellStart"/>
      <w:r>
        <w:t>Epidyolex</w:t>
      </w:r>
      <w:proofErr w:type="spellEnd"/>
      <w:r>
        <w:t xml:space="preserve"> are claimed to be currently prescribed off-label for the treatment of animals. However, given the largely unknown safety and efficacy of these treatments for veterinary use, the off-label use does not provide a compelling reason consistent with the scheduling factors for Schedule 8 to amend the Poisons Standard with regards to cannabis and THCs.</w:t>
      </w:r>
    </w:p>
    <w:p w14:paraId="78503FA1" w14:textId="798A10EF" w:rsidR="005130F1" w:rsidRDefault="005130F1" w:rsidP="005130F1">
      <w:pPr>
        <w:pStyle w:val="ListBullet2"/>
        <w:numPr>
          <w:ilvl w:val="0"/>
          <w:numId w:val="0"/>
        </w:numPr>
      </w:pPr>
      <w:r>
        <w:t xml:space="preserve">I find that there is insufficient evidence for the argument that providing veterinary access will help mitigate inadvertent marijuana exposure to animals and children. Currently, any cannabis products that are being accidentally ingested are most likely intended for human consumption, </w:t>
      </w:r>
      <w:r>
        <w:lastRenderedPageBreak/>
        <w:t>and the addition of veterinary access to products containing cannabis and THCs has the potential to increase the number of adverse events related to accidental ingestion.</w:t>
      </w:r>
    </w:p>
    <w:p w14:paraId="39A5FCCC" w14:textId="47DCB7F5" w:rsidR="005130F1" w:rsidRDefault="005130F1" w:rsidP="005130F1">
      <w:pPr>
        <w:pStyle w:val="ListBullet2"/>
        <w:numPr>
          <w:ilvl w:val="0"/>
          <w:numId w:val="0"/>
        </w:numPr>
      </w:pPr>
      <w:r>
        <w:t xml:space="preserve">I acknowledge that, despite being </w:t>
      </w:r>
      <w:r w:rsidR="0011352F">
        <w:t xml:space="preserve">provided for </w:t>
      </w:r>
      <w:r>
        <w:t xml:space="preserve">in Schedule 8 of the Poisons Standard, human therapeutic use of these substances still involves some titration and adjustment of doses. However, human patients </w:t>
      </w:r>
      <w:proofErr w:type="gramStart"/>
      <w:r>
        <w:t>are able to</w:t>
      </w:r>
      <w:proofErr w:type="gramEnd"/>
      <w:r>
        <w:t xml:space="preserve"> communicate about tolerance, effectiveness and any discomfort experienced with varying doses. Attempting to establish tolerance in different animal species by relying on behavioural observations outside of a clinical setting is not an accurate or safe method of establishing therapeutic doses. As mentioned previously, cannabis and THCs are available for supply in research settings and as such, the potential to establish further evidence of safety and efficacy for veterinary use can be obtained without implementing the proposed amendment.</w:t>
      </w:r>
    </w:p>
    <w:p w14:paraId="2FDFFAF2" w14:textId="5F6DF2EB" w:rsidR="005130F1" w:rsidRPr="00E1183B" w:rsidRDefault="005130F1" w:rsidP="005130F1">
      <w:pPr>
        <w:pStyle w:val="ListBullet"/>
        <w:numPr>
          <w:ilvl w:val="0"/>
          <w:numId w:val="0"/>
        </w:numPr>
      </w:pPr>
      <w:bookmarkStart w:id="7" w:name="_Hlk112666311"/>
      <w:r w:rsidRPr="00E1183B">
        <w:t xml:space="preserve">While the </w:t>
      </w:r>
      <w:r>
        <w:t xml:space="preserve">Poisons </w:t>
      </w:r>
      <w:r w:rsidRPr="00E1183B">
        <w:t xml:space="preserve">Standard sets </w:t>
      </w:r>
      <w:r>
        <w:t>some</w:t>
      </w:r>
      <w:r w:rsidRPr="00E1183B">
        <w:t xml:space="preserve"> level of control on the availability of medicines and poisons, the</w:t>
      </w:r>
      <w:r>
        <w:t xml:space="preserve"> specific</w:t>
      </w:r>
      <w:r w:rsidRPr="00E1183B">
        <w:t xml:space="preserve"> requirements regarding access, prescription, storage, administration, disposal, and possession are </w:t>
      </w:r>
      <w:r>
        <w:t>established</w:t>
      </w:r>
      <w:r w:rsidRPr="00E1183B">
        <w:t xml:space="preserve"> through </w:t>
      </w:r>
      <w:r>
        <w:t xml:space="preserve">the </w:t>
      </w:r>
      <w:r w:rsidRPr="00E1183B">
        <w:t>relevant legislation</w:t>
      </w:r>
      <w:r>
        <w:t xml:space="preserve"> in each S</w:t>
      </w:r>
      <w:r w:rsidRPr="00E1183B">
        <w:t xml:space="preserve">tate and </w:t>
      </w:r>
      <w:r>
        <w:t>T</w:t>
      </w:r>
      <w:r w:rsidRPr="00E1183B">
        <w:t xml:space="preserve">erritory. </w:t>
      </w:r>
      <w:r>
        <w:t xml:space="preserve">I therefore sought information </w:t>
      </w:r>
      <w:r w:rsidRPr="00E1183B">
        <w:t>from the</w:t>
      </w:r>
      <w:r>
        <w:t xml:space="preserve"> health authorities in each</w:t>
      </w:r>
      <w:r w:rsidRPr="00E1183B">
        <w:t xml:space="preserve"> State and Territor</w:t>
      </w:r>
      <w:r>
        <w:t>y regarding the practical effects of implementing the Proposal</w:t>
      </w:r>
      <w:r w:rsidRPr="00E1183B">
        <w:t xml:space="preserve">. </w:t>
      </w:r>
      <w:bookmarkStart w:id="8" w:name="_Hlk118126843"/>
      <w:r w:rsidR="00F83983" w:rsidRPr="00F83983">
        <w:t xml:space="preserve">Advice received indicated that access to the substances for the purpose of veterinary research </w:t>
      </w:r>
      <w:r w:rsidR="00D04ABE">
        <w:t xml:space="preserve">is already possible, </w:t>
      </w:r>
      <w:r w:rsidR="00F83983" w:rsidRPr="00F83983">
        <w:t xml:space="preserve">and therefore, </w:t>
      </w:r>
      <w:r w:rsidR="00D04ABE">
        <w:t xml:space="preserve">there are no issues </w:t>
      </w:r>
      <w:r w:rsidR="00F83983" w:rsidRPr="00F83983">
        <w:t xml:space="preserve">with access </w:t>
      </w:r>
      <w:r w:rsidR="00D04ABE">
        <w:t xml:space="preserve">for this purpose </w:t>
      </w:r>
      <w:r w:rsidR="00F83983" w:rsidRPr="00F83983">
        <w:t>under the current Schedule.</w:t>
      </w:r>
      <w:r w:rsidR="00F83983">
        <w:t xml:space="preserve"> </w:t>
      </w:r>
      <w:r>
        <w:t>T</w:t>
      </w:r>
      <w:r w:rsidRPr="00E1183B">
        <w:t>h</w:t>
      </w:r>
      <w:r>
        <w:t>is</w:t>
      </w:r>
      <w:r w:rsidRPr="00E1183B">
        <w:t xml:space="preserve"> information supports my </w:t>
      </w:r>
      <w:r>
        <w:t xml:space="preserve">final </w:t>
      </w:r>
      <w:r w:rsidRPr="00E1183B">
        <w:t xml:space="preserve">decision </w:t>
      </w:r>
      <w:r>
        <w:t>to not amend the Poisons Standard in relation to cannabis and THCs</w:t>
      </w:r>
      <w:r w:rsidRPr="00E1183B">
        <w:t>.</w:t>
      </w:r>
    </w:p>
    <w:bookmarkEnd w:id="7"/>
    <w:bookmarkEnd w:id="8"/>
    <w:p w14:paraId="3EAAF1C7" w14:textId="76CE3256" w:rsidR="005130F1" w:rsidRDefault="005130F1" w:rsidP="005130F1">
      <w:pPr>
        <w:pStyle w:val="ListBullet2"/>
        <w:numPr>
          <w:ilvl w:val="0"/>
          <w:numId w:val="0"/>
        </w:numPr>
      </w:pPr>
      <w:r w:rsidRPr="00B375C9">
        <w:t xml:space="preserve">While I acknowledge the </w:t>
      </w:r>
      <w:r>
        <w:t xml:space="preserve">current evidence for the </w:t>
      </w:r>
      <w:r w:rsidRPr="00B375C9">
        <w:t>potential benefit</w:t>
      </w:r>
      <w:r>
        <w:t>s</w:t>
      </w:r>
      <w:r w:rsidRPr="00B375C9">
        <w:t xml:space="preserve"> </w:t>
      </w:r>
      <w:r>
        <w:t>of the veterinary use of these substances</w:t>
      </w:r>
      <w:r w:rsidRPr="00B375C9">
        <w:t xml:space="preserve">, I </w:t>
      </w:r>
      <w:r>
        <w:t>consider</w:t>
      </w:r>
      <w:r w:rsidRPr="00B375C9">
        <w:t xml:space="preserve"> the</w:t>
      </w:r>
      <w:r>
        <w:t>se benefits to be presently outweighed by the</w:t>
      </w:r>
      <w:r w:rsidRPr="00B375C9">
        <w:t xml:space="preserve"> </w:t>
      </w:r>
      <w:r>
        <w:t xml:space="preserve">associated risks </w:t>
      </w:r>
      <w:r w:rsidRPr="00B375C9">
        <w:t>set out in the interim decision.</w:t>
      </w:r>
      <w:r>
        <w:t xml:space="preserve"> I agree with the expressed need for alternative pain relief for animals and that the use of cannabis and THCs has the potential to provide this. However, given the current evidence of safety and efficacy of these substances in a veterinary setting, the current scheduling remains appropriate for cannabis and THCs. </w:t>
      </w:r>
      <w:r w:rsidR="0011352F">
        <w:t xml:space="preserve">A change to the scheduling of these substances may be appropriate </w:t>
      </w:r>
      <w:r>
        <w:t xml:space="preserve">should additional relevant evidence </w:t>
      </w:r>
      <w:r w:rsidR="0011352F">
        <w:t>emerge</w:t>
      </w:r>
      <w:r>
        <w:t>.</w:t>
      </w:r>
    </w:p>
    <w:sectPr w:rsidR="005130F1" w:rsidSect="003A48A2">
      <w:headerReference w:type="default" r:id="rId19"/>
      <w:footerReference w:type="default" r:id="rId20"/>
      <w:headerReference w:type="first" r:id="rId21"/>
      <w:footerReference w:type="first" r:id="rId22"/>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6C88" w14:textId="77777777" w:rsidR="003608FB" w:rsidRDefault="003608FB" w:rsidP="00C40A36">
      <w:pPr>
        <w:spacing w:after="0"/>
      </w:pPr>
      <w:r>
        <w:separator/>
      </w:r>
    </w:p>
  </w:endnote>
  <w:endnote w:type="continuationSeparator" w:id="0">
    <w:p w14:paraId="64DEC712" w14:textId="77777777" w:rsidR="003608FB" w:rsidRDefault="003608F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16F39822"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fldSimple w:instr=" NUMPAGES  ">
                <w:r w:rsidR="00ED6B23">
                  <w:rPr>
                    <w:noProof/>
                  </w:rPr>
                  <w:t>6</w:t>
                </w:r>
              </w:fldSimple>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11075AFF" w14:textId="77777777" w:rsidTr="00AE3703">
      <w:trPr>
        <w:trHeight w:val="423"/>
      </w:trPr>
      <w:tc>
        <w:tcPr>
          <w:tcW w:w="7338" w:type="dxa"/>
        </w:tcPr>
        <w:p w14:paraId="61B06247" w14:textId="3032690B" w:rsidR="00516E40" w:rsidRDefault="00516E40" w:rsidP="00516E40">
          <w:pPr>
            <w:pStyle w:val="Footer"/>
          </w:pPr>
          <w:r>
            <w:t>Delegate’s final decision and reasons for decision (</w:t>
          </w:r>
          <w:r w:rsidR="00E81BC9">
            <w:t>Joint ACMS-ACCS #</w:t>
          </w:r>
          <w:r w:rsidR="005130F1">
            <w:t>29</w:t>
          </w:r>
          <w:r w:rsidR="00E81BC9">
            <w:t>,</w:t>
          </w:r>
          <w:r>
            <w:t xml:space="preserve"> </w:t>
          </w:r>
          <w:r w:rsidR="005130F1">
            <w:t xml:space="preserve">November </w:t>
          </w:r>
          <w:r>
            <w:t>202</w:t>
          </w:r>
          <w:r w:rsidR="005130F1">
            <w:t>1</w:t>
          </w:r>
          <w:r>
            <w:t>)</w:t>
          </w:r>
        </w:p>
        <w:p w14:paraId="13E7B9DF" w14:textId="6D144BEE" w:rsidR="00E40BD2" w:rsidRPr="00257138" w:rsidRDefault="00E40BD2">
          <w:pPr>
            <w:pStyle w:val="Footer"/>
          </w:pPr>
          <w:r>
            <w:br/>
          </w:r>
        </w:p>
      </w:tc>
      <w:tc>
        <w:tcPr>
          <w:tcW w:w="1734" w:type="dxa"/>
        </w:tcPr>
        <w:sdt>
          <w:sdtPr>
            <w:id w:val="6788836"/>
            <w:docPartObj>
              <w:docPartGallery w:val="Page Numbers (Top of Page)"/>
              <w:docPartUnique/>
            </w:docPartObj>
          </w:sdtPr>
          <w:sdtEndPr/>
          <w:sdtContent>
            <w:p w14:paraId="3BD26206" w14:textId="7BDCABDC"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fldSimple w:instr=" NUMPAGES  ">
                <w:r w:rsidR="004B32D0">
                  <w:rPr>
                    <w:noProof/>
                  </w:rPr>
                  <w:t>14</w:t>
                </w:r>
              </w:fldSimple>
            </w:p>
          </w:sdtContent>
        </w:sdt>
      </w:tc>
    </w:tr>
  </w:tbl>
  <w:p w14:paraId="623AA1CE" w14:textId="77777777" w:rsidR="00E40BD2" w:rsidRPr="00826007" w:rsidRDefault="00E40BD2"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76052F65" w14:textId="77777777" w:rsidTr="002A7487">
      <w:trPr>
        <w:trHeight w:val="423"/>
      </w:trPr>
      <w:tc>
        <w:tcPr>
          <w:tcW w:w="7338" w:type="dxa"/>
        </w:tcPr>
        <w:p w14:paraId="668CDD90" w14:textId="77777777" w:rsidR="00E81BC9" w:rsidRDefault="00E81BC9" w:rsidP="00E81BC9">
          <w:pPr>
            <w:pStyle w:val="Footer"/>
          </w:pPr>
          <w:r>
            <w:t>Delegate’s final decisions and reasons for decisions (ACCS#XX, ACMS#, Joint ACMS-ACCS #XX, Month 2020)</w:t>
          </w:r>
        </w:p>
        <w:p w14:paraId="6A331473" w14:textId="632B3E3D" w:rsidR="00E40BD2" w:rsidRPr="00257138" w:rsidRDefault="00E81BC9">
          <w:pPr>
            <w:pStyle w:val="Footer"/>
          </w:pPr>
          <w:r>
            <w:t>[publication date]</w:t>
          </w:r>
          <w:r w:rsidR="00ED5D05">
            <w:br/>
          </w:r>
        </w:p>
      </w:tc>
      <w:tc>
        <w:tcPr>
          <w:tcW w:w="1734" w:type="dxa"/>
        </w:tcPr>
        <w:sdt>
          <w:sdtPr>
            <w:id w:val="5342774"/>
            <w:docPartObj>
              <w:docPartGallery w:val="Page Numbers (Top of Page)"/>
              <w:docPartUnique/>
            </w:docPartObj>
          </w:sdtPr>
          <w:sdtEndPr/>
          <w:sdtContent>
            <w:p w14:paraId="44A48167" w14:textId="6E064382"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fldSimple w:instr=" NUMPAGES  ">
                <w:r w:rsidR="004B32D0">
                  <w:rPr>
                    <w:noProof/>
                  </w:rPr>
                  <w:t>14</w:t>
                </w:r>
              </w:fldSimple>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F76F" w14:textId="77777777" w:rsidR="003608FB" w:rsidRDefault="003608FB" w:rsidP="00C40A36">
      <w:pPr>
        <w:spacing w:after="0"/>
      </w:pPr>
      <w:r>
        <w:separator/>
      </w:r>
    </w:p>
  </w:footnote>
  <w:footnote w:type="continuationSeparator" w:id="0">
    <w:p w14:paraId="7E37F9DE" w14:textId="77777777" w:rsidR="003608FB" w:rsidRDefault="003608FB" w:rsidP="00C40A36">
      <w:pPr>
        <w:spacing w:after="0"/>
      </w:pPr>
      <w:r>
        <w:continuationSeparator/>
      </w:r>
    </w:p>
  </w:footnote>
  <w:footnote w:id="1">
    <w:p w14:paraId="76BF7115" w14:textId="6B609DD2" w:rsidR="00A53DC8" w:rsidRDefault="00A53DC8">
      <w:pPr>
        <w:pStyle w:val="FootnoteText"/>
      </w:pPr>
      <w:r>
        <w:rPr>
          <w:rStyle w:val="FootnoteReference"/>
        </w:rPr>
        <w:footnoteRef/>
      </w:r>
      <w:r>
        <w:t xml:space="preserve"> For the purposes of s 52D of the </w:t>
      </w:r>
      <w:r>
        <w:rPr>
          <w:i/>
          <w:iCs/>
        </w:rPr>
        <w:t>Therapeutic Goods Act 1989</w:t>
      </w:r>
      <w:r>
        <w:t xml:space="preserve"> (</w:t>
      </w:r>
      <w:proofErr w:type="spellStart"/>
      <w:r>
        <w:t>Cth</w:t>
      </w:r>
      <w:proofErr w:type="spellEnd"/>
      <w:r>
        <w:t xml:space="preserve">). </w:t>
      </w:r>
    </w:p>
  </w:footnote>
  <w:footnote w:id="2">
    <w:p w14:paraId="3F0A2D4B" w14:textId="77777777" w:rsidR="005130F1" w:rsidRPr="00AC370C" w:rsidRDefault="005130F1" w:rsidP="005130F1">
      <w:pPr>
        <w:pStyle w:val="FootnoteText"/>
        <w:rPr>
          <w:sz w:val="18"/>
          <w:szCs w:val="18"/>
        </w:rPr>
      </w:pPr>
      <w:r w:rsidRPr="00AC370C">
        <w:rPr>
          <w:rStyle w:val="FootnoteReference"/>
          <w:sz w:val="18"/>
          <w:szCs w:val="18"/>
        </w:rPr>
        <w:footnoteRef/>
      </w:r>
      <w:r w:rsidRPr="00AC370C">
        <w:rPr>
          <w:sz w:val="18"/>
          <w:szCs w:val="18"/>
        </w:rPr>
        <w:t xml:space="preserve"> One written submission was received which did not express support or opposition to the interim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4CE" w14:textId="60332676" w:rsidR="00E40BD2" w:rsidRDefault="00E04ABD" w:rsidP="006E08B3">
    <w:pPr>
      <w:rPr>
        <w:noProof/>
      </w:rPr>
    </w:pPr>
    <w:r w:rsidRPr="00F3255D">
      <w:rPr>
        <w:noProof/>
        <w:lang w:eastAsia="en-AU"/>
      </w:rPr>
      <w:drawing>
        <wp:anchor distT="0" distB="0" distL="114300" distR="114300" simplePos="0" relativeHeight="251664384" behindDoc="0" locked="0" layoutInCell="1" allowOverlap="1" wp14:anchorId="25575D01" wp14:editId="60006046">
          <wp:simplePos x="0" y="0"/>
          <wp:positionH relativeFrom="column">
            <wp:posOffset>-194310</wp:posOffset>
          </wp:positionH>
          <wp:positionV relativeFrom="paragraph">
            <wp:posOffset>133350</wp:posOffset>
          </wp:positionV>
          <wp:extent cx="3524400" cy="8208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E47A24" w14:textId="29E36093" w:rsidR="00E40BD2" w:rsidRDefault="00317355" w:rsidP="006D03E5">
    <w:r>
      <w:rPr>
        <w:noProof/>
        <w:lang w:eastAsia="en-AU"/>
      </w:rPr>
      <w:drawing>
        <wp:anchor distT="0" distB="0" distL="114300" distR="114300" simplePos="0" relativeHeight="251666432" behindDoc="0" locked="0" layoutInCell="0" allowOverlap="1" wp14:anchorId="12FCA66C" wp14:editId="12C02F8A">
          <wp:simplePos x="0" y="0"/>
          <wp:positionH relativeFrom="column">
            <wp:posOffset>-900430</wp:posOffset>
          </wp:positionH>
          <wp:positionV relativeFrom="page">
            <wp:posOffset>4173220</wp:posOffset>
          </wp:positionV>
          <wp:extent cx="7599600" cy="2458800"/>
          <wp:effectExtent l="0" t="0" r="1905"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bottom w:val="single" w:sz="4" w:space="0" w:color="auto"/>
      </w:tblBorders>
      <w:tblCellMar>
        <w:left w:w="0" w:type="dxa"/>
        <w:right w:w="0" w:type="dxa"/>
      </w:tblCellMar>
      <w:tblLook w:val="04A0" w:firstRow="1" w:lastRow="0" w:firstColumn="1" w:lastColumn="0" w:noHBand="0" w:noVBand="1"/>
    </w:tblPr>
    <w:tblGrid>
      <w:gridCol w:w="4035"/>
      <w:gridCol w:w="5037"/>
    </w:tblGrid>
    <w:tr w:rsidR="00E40BD2" w:rsidRPr="00DA24C7" w14:paraId="7C724D59" w14:textId="77777777" w:rsidTr="00AE3703">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5037" w:type="dxa"/>
          <w:vAlign w:val="center"/>
        </w:tcPr>
        <w:p w14:paraId="3A7D855E" w14:textId="77777777" w:rsidR="00E40BD2" w:rsidRPr="000F5176" w:rsidRDefault="00E40BD2" w:rsidP="00AE3703">
          <w:pPr>
            <w:pStyle w:val="HeaderNoLine"/>
            <w:ind w:right="5"/>
            <w:rPr>
              <w:rStyle w:val="HeaderChar"/>
            </w:rPr>
          </w:pPr>
          <w:r w:rsidRPr="000F5176">
            <w:t>Therapeutic Goods Administration</w:t>
          </w:r>
        </w:p>
      </w:tc>
    </w:tr>
  </w:tbl>
  <w:p w14:paraId="480E463E" w14:textId="77777777" w:rsidR="00E40BD2" w:rsidRDefault="00E40BD2" w:rsidP="00101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7" w:type="dxa"/>
      <w:tblBorders>
        <w:bottom w:val="single" w:sz="4" w:space="0" w:color="auto"/>
      </w:tblBorders>
      <w:tblCellMar>
        <w:left w:w="0" w:type="dxa"/>
        <w:right w:w="0" w:type="dxa"/>
      </w:tblCellMar>
      <w:tblLook w:val="04A0" w:firstRow="1" w:lastRow="0" w:firstColumn="1" w:lastColumn="0" w:noHBand="0" w:noVBand="1"/>
    </w:tblPr>
    <w:tblGrid>
      <w:gridCol w:w="4186"/>
      <w:gridCol w:w="5041"/>
    </w:tblGrid>
    <w:tr w:rsidR="002A7487" w:rsidRPr="00DA24C7" w14:paraId="6195BDC9" w14:textId="77777777" w:rsidTr="00C22E8E">
      <w:trPr>
        <w:trHeight w:val="588"/>
      </w:trPr>
      <w:tc>
        <w:tcPr>
          <w:tcW w:w="4186" w:type="dxa"/>
          <w:vAlign w:val="center"/>
        </w:tcPr>
        <w:p w14:paraId="6180D540" w14:textId="7975D466" w:rsidR="002A7487" w:rsidRPr="00EB74A7" w:rsidRDefault="002A7487" w:rsidP="002A7487">
          <w:pPr>
            <w:spacing w:before="0" w:after="0"/>
            <w:rPr>
              <w:rStyle w:val="HeaderChar"/>
              <w:rFonts w:ascii="Arial" w:hAnsi="Arial" w:cs="Arial"/>
              <w:b/>
              <w:sz w:val="28"/>
              <w:szCs w:val="28"/>
            </w:rPr>
          </w:pPr>
          <w:bookmarkStart w:id="9" w:name="_Hlk109644329"/>
          <w:bookmarkStart w:id="10" w:name="_Hlk109644330"/>
        </w:p>
      </w:tc>
      <w:tc>
        <w:tcPr>
          <w:tcW w:w="5041" w:type="dxa"/>
          <w:vAlign w:val="center"/>
        </w:tcPr>
        <w:p w14:paraId="2681EE0A" w14:textId="77777777" w:rsidR="002A7487" w:rsidRPr="000F5176" w:rsidRDefault="002A7487" w:rsidP="002A7487">
          <w:pPr>
            <w:pStyle w:val="HeaderNoLine"/>
            <w:spacing w:before="0" w:after="0"/>
            <w:rPr>
              <w:rStyle w:val="HeaderChar"/>
            </w:rPr>
          </w:pPr>
          <w:bookmarkStart w:id="11" w:name="_Hlk109644399"/>
          <w:r w:rsidRPr="000F5176">
            <w:t>Therapeutic Goods Administration</w:t>
          </w:r>
          <w:bookmarkEnd w:id="11"/>
        </w:p>
      </w:tc>
    </w:tr>
    <w:bookmarkEnd w:id="9"/>
    <w:bookmarkEnd w:id="10"/>
  </w:tbl>
  <w:p w14:paraId="3D9C25A3" w14:textId="1D72ED11" w:rsidR="00E40BD2" w:rsidRDefault="00E40BD2" w:rsidP="004E576B">
    <w:pPr>
      <w:tabs>
        <w:tab w:val="left" w:pos="75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57877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79069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92F58"/>
    <w:multiLevelType w:val="hybridMultilevel"/>
    <w:tmpl w:val="231C4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255FAB"/>
    <w:multiLevelType w:val="hybridMultilevel"/>
    <w:tmpl w:val="627214FC"/>
    <w:lvl w:ilvl="0" w:tplc="E6E0DE3C">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666D4"/>
    <w:multiLevelType w:val="hybridMultilevel"/>
    <w:tmpl w:val="5F34CF6C"/>
    <w:lvl w:ilvl="0" w:tplc="068EF09E">
      <w:start w:val="1"/>
      <w:numFmt w:val="lowerRoman"/>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6DF3123"/>
    <w:multiLevelType w:val="hybridMultilevel"/>
    <w:tmpl w:val="50F2B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0034681"/>
    <w:multiLevelType w:val="hybridMultilevel"/>
    <w:tmpl w:val="FB3E1B4C"/>
    <w:lvl w:ilvl="0" w:tplc="985EB8B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17E0FF4"/>
    <w:multiLevelType w:val="multilevel"/>
    <w:tmpl w:val="1E4A77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C07C2A"/>
    <w:multiLevelType w:val="hybridMultilevel"/>
    <w:tmpl w:val="562E9400"/>
    <w:lvl w:ilvl="0" w:tplc="47D87E42">
      <w:start w:val="4"/>
      <w:numFmt w:val="lowerLetter"/>
      <w:lvlText w:val="%1)"/>
      <w:lvlJc w:val="left"/>
      <w:pPr>
        <w:ind w:left="108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3" w15:restartNumberingAfterBreak="0">
    <w:nsid w:val="2DA42FC5"/>
    <w:multiLevelType w:val="hybridMultilevel"/>
    <w:tmpl w:val="98D249B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34625B97"/>
    <w:multiLevelType w:val="hybridMultilevel"/>
    <w:tmpl w:val="17E8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AD004C"/>
    <w:multiLevelType w:val="hybridMultilevel"/>
    <w:tmpl w:val="FD86B702"/>
    <w:lvl w:ilvl="0" w:tplc="985EB8B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93860DD"/>
    <w:multiLevelType w:val="hybridMultilevel"/>
    <w:tmpl w:val="65DE5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A31774"/>
    <w:multiLevelType w:val="multilevel"/>
    <w:tmpl w:val="CD8A9CA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9"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177943"/>
    <w:multiLevelType w:val="hybridMultilevel"/>
    <w:tmpl w:val="B6CE8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1C1"/>
    <w:multiLevelType w:val="hybridMultilevel"/>
    <w:tmpl w:val="7A14CE1A"/>
    <w:lvl w:ilvl="0" w:tplc="84D0B40A">
      <w:numFmt w:val="bullet"/>
      <w:lvlText w:val="•"/>
      <w:lvlJc w:val="left"/>
      <w:pPr>
        <w:ind w:left="1080" w:hanging="720"/>
      </w:pPr>
      <w:rPr>
        <w:rFonts w:ascii="Cambria" w:eastAsia="Times New Roman" w:hAnsi="Cambria"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262ADC"/>
    <w:multiLevelType w:val="hybridMultilevel"/>
    <w:tmpl w:val="C4AED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C32A8"/>
    <w:multiLevelType w:val="hybridMultilevel"/>
    <w:tmpl w:val="3862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7556A0"/>
    <w:multiLevelType w:val="hybridMultilevel"/>
    <w:tmpl w:val="0838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58193B"/>
    <w:multiLevelType w:val="hybridMultilevel"/>
    <w:tmpl w:val="5CE08CFE"/>
    <w:lvl w:ilvl="0" w:tplc="76948FAC">
      <w:start w:val="1"/>
      <w:numFmt w:val="lowerLetter"/>
      <w:lvlText w:val="%1)"/>
      <w:lvlJc w:val="left"/>
      <w:pPr>
        <w:ind w:left="720" w:hanging="360"/>
      </w:pPr>
      <w:rPr>
        <w:rFonts w:ascii="Cambria" w:eastAsia="Cambria" w:hAnsi="Cambria" w:cs="Times New Roman"/>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E90EF7"/>
    <w:multiLevelType w:val="hybridMultilevel"/>
    <w:tmpl w:val="BBD4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2936B5"/>
    <w:multiLevelType w:val="hybridMultilevel"/>
    <w:tmpl w:val="F9D290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15:restartNumberingAfterBreak="0">
    <w:nsid w:val="568F7B6F"/>
    <w:multiLevelType w:val="hybridMultilevel"/>
    <w:tmpl w:val="A516C19E"/>
    <w:lvl w:ilvl="0" w:tplc="722A0E08">
      <w:start w:val="1"/>
      <w:numFmt w:val="lowerRoman"/>
      <w:lvlText w:val="%1)"/>
      <w:lvlJc w:val="left"/>
      <w:pPr>
        <w:ind w:left="1800" w:hanging="360"/>
      </w:pPr>
      <w:rPr>
        <w:rFonts w:hint="default"/>
        <w:b w:val="0"/>
        <w:color w:val="FF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5B0463CA"/>
    <w:multiLevelType w:val="hybridMultilevel"/>
    <w:tmpl w:val="04B04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F54C1F"/>
    <w:multiLevelType w:val="hybridMultilevel"/>
    <w:tmpl w:val="1728C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3566ED"/>
    <w:multiLevelType w:val="hybridMultilevel"/>
    <w:tmpl w:val="BA46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D86CF1"/>
    <w:multiLevelType w:val="hybridMultilevel"/>
    <w:tmpl w:val="6AC2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442C20"/>
    <w:multiLevelType w:val="hybridMultilevel"/>
    <w:tmpl w:val="E168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327364"/>
    <w:multiLevelType w:val="multilevel"/>
    <w:tmpl w:val="06869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6F9C1498"/>
    <w:multiLevelType w:val="hybridMultilevel"/>
    <w:tmpl w:val="6D864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6458F6"/>
    <w:multiLevelType w:val="hybridMultilevel"/>
    <w:tmpl w:val="5CBA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B545FB"/>
    <w:multiLevelType w:val="multilevel"/>
    <w:tmpl w:val="B9AC6BFA"/>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ascii="Cambria" w:eastAsia="Cambria" w:hAnsi="Cambria" w:cs="Times New Roman"/>
      </w:rPr>
    </w:lvl>
    <w:lvl w:ilvl="3">
      <w:start w:val="1"/>
      <w:numFmt w:val="lowerRoman"/>
      <w:lvlText w:val="%4)"/>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6"/>
  </w:num>
  <w:num w:numId="2">
    <w:abstractNumId w:val="3"/>
  </w:num>
  <w:num w:numId="3">
    <w:abstractNumId w:val="6"/>
  </w:num>
  <w:num w:numId="4">
    <w:abstractNumId w:val="3"/>
  </w:num>
  <w:num w:numId="5">
    <w:abstractNumId w:val="9"/>
  </w:num>
  <w:num w:numId="6">
    <w:abstractNumId w:val="30"/>
  </w:num>
  <w:num w:numId="7">
    <w:abstractNumId w:val="21"/>
  </w:num>
  <w:num w:numId="8">
    <w:abstractNumId w:val="31"/>
  </w:num>
  <w:num w:numId="9">
    <w:abstractNumId w:val="17"/>
  </w:num>
  <w:num w:numId="10">
    <w:abstractNumId w:val="20"/>
  </w:num>
  <w:num w:numId="11">
    <w:abstractNumId w:val="7"/>
  </w:num>
  <w:num w:numId="12">
    <w:abstractNumId w:val="29"/>
  </w:num>
  <w:num w:numId="13">
    <w:abstractNumId w:val="35"/>
  </w:num>
  <w:num w:numId="14">
    <w:abstractNumId w:val="36"/>
  </w:num>
  <w:num w:numId="15">
    <w:abstractNumId w:val="25"/>
  </w:num>
  <w:num w:numId="16">
    <w:abstractNumId w:val="14"/>
  </w:num>
  <w:num w:numId="17">
    <w:abstractNumId w:val="8"/>
  </w:num>
  <w:num w:numId="18">
    <w:abstractNumId w:val="12"/>
  </w:num>
  <w:num w:numId="19">
    <w:abstractNumId w:val="13"/>
  </w:num>
  <w:num w:numId="20">
    <w:abstractNumId w:val="5"/>
  </w:num>
  <w:num w:numId="21">
    <w:abstractNumId w:val="16"/>
  </w:num>
  <w:num w:numId="22">
    <w:abstractNumId w:val="10"/>
  </w:num>
  <w:num w:numId="23">
    <w:abstractNumId w:val="28"/>
  </w:num>
  <w:num w:numId="24">
    <w:abstractNumId w:val="23"/>
  </w:num>
  <w:num w:numId="25">
    <w:abstractNumId w:val="18"/>
  </w:num>
  <w:num w:numId="26">
    <w:abstractNumId w:val="37"/>
  </w:num>
  <w:num w:numId="27">
    <w:abstractNumId w:val="24"/>
  </w:num>
  <w:num w:numId="28">
    <w:abstractNumId w:val="15"/>
  </w:num>
  <w:num w:numId="29">
    <w:abstractNumId w:val="27"/>
  </w:num>
  <w:num w:numId="30">
    <w:abstractNumId w:val="2"/>
  </w:num>
  <w:num w:numId="31">
    <w:abstractNumId w:val="33"/>
  </w:num>
  <w:num w:numId="32">
    <w:abstractNumId w:val="22"/>
  </w:num>
  <w:num w:numId="33">
    <w:abstractNumId w:val="32"/>
  </w:num>
  <w:num w:numId="34">
    <w:abstractNumId w:val="14"/>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34"/>
  </w:num>
  <w:num w:numId="39">
    <w:abstractNumId w:val="11"/>
  </w:num>
  <w:num w:numId="40">
    <w:abstractNumId w:val="1"/>
  </w:num>
  <w:num w:numId="41">
    <w:abstractNumId w:val="0"/>
  </w:num>
  <w:num w:numId="42">
    <w:abstractNumId w:val="26"/>
  </w:num>
  <w:num w:numId="43">
    <w:abstractNumId w:val="19"/>
  </w:num>
  <w:num w:numId="4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23C6E"/>
    <w:rsid w:val="000246AE"/>
    <w:rsid w:val="00025266"/>
    <w:rsid w:val="00025C67"/>
    <w:rsid w:val="000335FC"/>
    <w:rsid w:val="00033F14"/>
    <w:rsid w:val="00041297"/>
    <w:rsid w:val="00042573"/>
    <w:rsid w:val="000465B5"/>
    <w:rsid w:val="0005081A"/>
    <w:rsid w:val="00052322"/>
    <w:rsid w:val="00053C6C"/>
    <w:rsid w:val="0005559E"/>
    <w:rsid w:val="00056156"/>
    <w:rsid w:val="00057FFC"/>
    <w:rsid w:val="00061765"/>
    <w:rsid w:val="0006427F"/>
    <w:rsid w:val="00065585"/>
    <w:rsid w:val="00065D1A"/>
    <w:rsid w:val="00072D02"/>
    <w:rsid w:val="00074EBD"/>
    <w:rsid w:val="000755F8"/>
    <w:rsid w:val="00077548"/>
    <w:rsid w:val="00077775"/>
    <w:rsid w:val="0008417D"/>
    <w:rsid w:val="00085DD5"/>
    <w:rsid w:val="000860B4"/>
    <w:rsid w:val="000869F6"/>
    <w:rsid w:val="00090471"/>
    <w:rsid w:val="000A56BE"/>
    <w:rsid w:val="000B0759"/>
    <w:rsid w:val="000B2A33"/>
    <w:rsid w:val="000B3532"/>
    <w:rsid w:val="000B3A75"/>
    <w:rsid w:val="000B56DE"/>
    <w:rsid w:val="000B7084"/>
    <w:rsid w:val="000C31F2"/>
    <w:rsid w:val="000C5F0B"/>
    <w:rsid w:val="000C6B99"/>
    <w:rsid w:val="000D0ABB"/>
    <w:rsid w:val="000D2B49"/>
    <w:rsid w:val="000D3475"/>
    <w:rsid w:val="000D391B"/>
    <w:rsid w:val="000D3D6D"/>
    <w:rsid w:val="000D45F7"/>
    <w:rsid w:val="000D4FC7"/>
    <w:rsid w:val="000F04C4"/>
    <w:rsid w:val="000F3A5D"/>
    <w:rsid w:val="000F4869"/>
    <w:rsid w:val="000F5176"/>
    <w:rsid w:val="000F5B42"/>
    <w:rsid w:val="000F6E6F"/>
    <w:rsid w:val="001003F2"/>
    <w:rsid w:val="00101762"/>
    <w:rsid w:val="0010601F"/>
    <w:rsid w:val="00106BF9"/>
    <w:rsid w:val="00110AE1"/>
    <w:rsid w:val="00110EA5"/>
    <w:rsid w:val="00112440"/>
    <w:rsid w:val="0011352F"/>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40FE3"/>
    <w:rsid w:val="0014197B"/>
    <w:rsid w:val="00143B58"/>
    <w:rsid w:val="001447CD"/>
    <w:rsid w:val="00150A66"/>
    <w:rsid w:val="001516B1"/>
    <w:rsid w:val="001525B4"/>
    <w:rsid w:val="00155651"/>
    <w:rsid w:val="00156316"/>
    <w:rsid w:val="00156847"/>
    <w:rsid w:val="00157601"/>
    <w:rsid w:val="001578C5"/>
    <w:rsid w:val="00161226"/>
    <w:rsid w:val="00165389"/>
    <w:rsid w:val="001653CE"/>
    <w:rsid w:val="00173C6A"/>
    <w:rsid w:val="0017693F"/>
    <w:rsid w:val="00176CB0"/>
    <w:rsid w:val="0018056A"/>
    <w:rsid w:val="0018110E"/>
    <w:rsid w:val="00181684"/>
    <w:rsid w:val="00182A4A"/>
    <w:rsid w:val="001843C6"/>
    <w:rsid w:val="001850E0"/>
    <w:rsid w:val="00185CE9"/>
    <w:rsid w:val="00186517"/>
    <w:rsid w:val="00193183"/>
    <w:rsid w:val="001A3925"/>
    <w:rsid w:val="001A525F"/>
    <w:rsid w:val="001A5FFE"/>
    <w:rsid w:val="001B09F9"/>
    <w:rsid w:val="001B0F8B"/>
    <w:rsid w:val="001B5CE3"/>
    <w:rsid w:val="001B6448"/>
    <w:rsid w:val="001C0D8C"/>
    <w:rsid w:val="001C2A9E"/>
    <w:rsid w:val="001C2D91"/>
    <w:rsid w:val="001C5266"/>
    <w:rsid w:val="001C7F0A"/>
    <w:rsid w:val="001E07CF"/>
    <w:rsid w:val="001E51C6"/>
    <w:rsid w:val="001E5555"/>
    <w:rsid w:val="001E59F1"/>
    <w:rsid w:val="001F04D7"/>
    <w:rsid w:val="001F32EC"/>
    <w:rsid w:val="001F49EB"/>
    <w:rsid w:val="001F6CBA"/>
    <w:rsid w:val="002001F1"/>
    <w:rsid w:val="0020028B"/>
    <w:rsid w:val="00200A9C"/>
    <w:rsid w:val="00201D4E"/>
    <w:rsid w:val="00202086"/>
    <w:rsid w:val="00204DF0"/>
    <w:rsid w:val="0020793B"/>
    <w:rsid w:val="002101CA"/>
    <w:rsid w:val="002147E0"/>
    <w:rsid w:val="00220B8A"/>
    <w:rsid w:val="002226DD"/>
    <w:rsid w:val="002257F3"/>
    <w:rsid w:val="0023267B"/>
    <w:rsid w:val="00233456"/>
    <w:rsid w:val="002339A5"/>
    <w:rsid w:val="00236140"/>
    <w:rsid w:val="00240781"/>
    <w:rsid w:val="00242707"/>
    <w:rsid w:val="002445F4"/>
    <w:rsid w:val="002458D4"/>
    <w:rsid w:val="00245CF3"/>
    <w:rsid w:val="00247223"/>
    <w:rsid w:val="0025120A"/>
    <w:rsid w:val="0025660C"/>
    <w:rsid w:val="00257138"/>
    <w:rsid w:val="00257848"/>
    <w:rsid w:val="00267925"/>
    <w:rsid w:val="0027084A"/>
    <w:rsid w:val="00275590"/>
    <w:rsid w:val="00286434"/>
    <w:rsid w:val="00286C59"/>
    <w:rsid w:val="002929C2"/>
    <w:rsid w:val="00292BB3"/>
    <w:rsid w:val="002942D1"/>
    <w:rsid w:val="002A0556"/>
    <w:rsid w:val="002A3961"/>
    <w:rsid w:val="002A5857"/>
    <w:rsid w:val="002A5F56"/>
    <w:rsid w:val="002A6E38"/>
    <w:rsid w:val="002A7487"/>
    <w:rsid w:val="002B0E0E"/>
    <w:rsid w:val="002B1638"/>
    <w:rsid w:val="002B3304"/>
    <w:rsid w:val="002C07AF"/>
    <w:rsid w:val="002C1418"/>
    <w:rsid w:val="002C383A"/>
    <w:rsid w:val="002C43C3"/>
    <w:rsid w:val="002C48BF"/>
    <w:rsid w:val="002C6D34"/>
    <w:rsid w:val="002D0B05"/>
    <w:rsid w:val="002E430E"/>
    <w:rsid w:val="002E4C9A"/>
    <w:rsid w:val="002E5C31"/>
    <w:rsid w:val="002E69BE"/>
    <w:rsid w:val="002F11F8"/>
    <w:rsid w:val="002F3F56"/>
    <w:rsid w:val="002F44B5"/>
    <w:rsid w:val="002F53E0"/>
    <w:rsid w:val="00302504"/>
    <w:rsid w:val="00303CBB"/>
    <w:rsid w:val="0030508C"/>
    <w:rsid w:val="003055BD"/>
    <w:rsid w:val="00311AC0"/>
    <w:rsid w:val="00314331"/>
    <w:rsid w:val="00316F8D"/>
    <w:rsid w:val="00317355"/>
    <w:rsid w:val="003208A0"/>
    <w:rsid w:val="003251D0"/>
    <w:rsid w:val="003261C8"/>
    <w:rsid w:val="00331DBB"/>
    <w:rsid w:val="00334439"/>
    <w:rsid w:val="00335BEC"/>
    <w:rsid w:val="003367E4"/>
    <w:rsid w:val="00343736"/>
    <w:rsid w:val="003521E8"/>
    <w:rsid w:val="00352A2E"/>
    <w:rsid w:val="00353AC2"/>
    <w:rsid w:val="003555D7"/>
    <w:rsid w:val="00356F04"/>
    <w:rsid w:val="00360648"/>
    <w:rsid w:val="003608FB"/>
    <w:rsid w:val="00360DFD"/>
    <w:rsid w:val="00362473"/>
    <w:rsid w:val="00362F16"/>
    <w:rsid w:val="003662D5"/>
    <w:rsid w:val="003664BF"/>
    <w:rsid w:val="0036794C"/>
    <w:rsid w:val="0037036E"/>
    <w:rsid w:val="0037215C"/>
    <w:rsid w:val="003728F3"/>
    <w:rsid w:val="00373D31"/>
    <w:rsid w:val="0038110B"/>
    <w:rsid w:val="00386152"/>
    <w:rsid w:val="00390900"/>
    <w:rsid w:val="003964E2"/>
    <w:rsid w:val="003A0110"/>
    <w:rsid w:val="003A0B29"/>
    <w:rsid w:val="003A0B68"/>
    <w:rsid w:val="003A19BA"/>
    <w:rsid w:val="003A48A2"/>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E0E6A"/>
    <w:rsid w:val="003E1945"/>
    <w:rsid w:val="003E2889"/>
    <w:rsid w:val="003E3208"/>
    <w:rsid w:val="003E33D4"/>
    <w:rsid w:val="003E3CA3"/>
    <w:rsid w:val="003E7390"/>
    <w:rsid w:val="003F0B04"/>
    <w:rsid w:val="003F3092"/>
    <w:rsid w:val="003F3095"/>
    <w:rsid w:val="003F48DD"/>
    <w:rsid w:val="003F55CC"/>
    <w:rsid w:val="0040134E"/>
    <w:rsid w:val="00402EF6"/>
    <w:rsid w:val="00403ACE"/>
    <w:rsid w:val="00403D3E"/>
    <w:rsid w:val="00404AD5"/>
    <w:rsid w:val="0040598C"/>
    <w:rsid w:val="0040726C"/>
    <w:rsid w:val="004072A5"/>
    <w:rsid w:val="00411710"/>
    <w:rsid w:val="0041244F"/>
    <w:rsid w:val="00412E40"/>
    <w:rsid w:val="00414BA2"/>
    <w:rsid w:val="00416D08"/>
    <w:rsid w:val="00421B7E"/>
    <w:rsid w:val="00423F10"/>
    <w:rsid w:val="004247DA"/>
    <w:rsid w:val="004302D7"/>
    <w:rsid w:val="0043074F"/>
    <w:rsid w:val="00430AAA"/>
    <w:rsid w:val="00432CDD"/>
    <w:rsid w:val="00433211"/>
    <w:rsid w:val="00435B13"/>
    <w:rsid w:val="00436C41"/>
    <w:rsid w:val="004407B2"/>
    <w:rsid w:val="00440A2D"/>
    <w:rsid w:val="004422DF"/>
    <w:rsid w:val="004432FB"/>
    <w:rsid w:val="004446E3"/>
    <w:rsid w:val="004454B4"/>
    <w:rsid w:val="0044589C"/>
    <w:rsid w:val="0044722D"/>
    <w:rsid w:val="0044785B"/>
    <w:rsid w:val="00455ECA"/>
    <w:rsid w:val="004564A7"/>
    <w:rsid w:val="00457FE3"/>
    <w:rsid w:val="004617BF"/>
    <w:rsid w:val="004618AB"/>
    <w:rsid w:val="00461999"/>
    <w:rsid w:val="00464DFB"/>
    <w:rsid w:val="0046516E"/>
    <w:rsid w:val="004658BC"/>
    <w:rsid w:val="00470EC2"/>
    <w:rsid w:val="00472080"/>
    <w:rsid w:val="00484BAB"/>
    <w:rsid w:val="00485BFD"/>
    <w:rsid w:val="00487716"/>
    <w:rsid w:val="004923FF"/>
    <w:rsid w:val="00494E60"/>
    <w:rsid w:val="004970FD"/>
    <w:rsid w:val="004A2400"/>
    <w:rsid w:val="004A6F05"/>
    <w:rsid w:val="004B21D7"/>
    <w:rsid w:val="004B2BD3"/>
    <w:rsid w:val="004B32D0"/>
    <w:rsid w:val="004B545E"/>
    <w:rsid w:val="004B6701"/>
    <w:rsid w:val="004B7B76"/>
    <w:rsid w:val="004C0070"/>
    <w:rsid w:val="004C241F"/>
    <w:rsid w:val="004C3BFD"/>
    <w:rsid w:val="004C4791"/>
    <w:rsid w:val="004C60B4"/>
    <w:rsid w:val="004D51A6"/>
    <w:rsid w:val="004D6739"/>
    <w:rsid w:val="004D722C"/>
    <w:rsid w:val="004E5523"/>
    <w:rsid w:val="004E576B"/>
    <w:rsid w:val="004F0F38"/>
    <w:rsid w:val="004F4580"/>
    <w:rsid w:val="005009C0"/>
    <w:rsid w:val="00501179"/>
    <w:rsid w:val="00501921"/>
    <w:rsid w:val="00501CBA"/>
    <w:rsid w:val="005042C1"/>
    <w:rsid w:val="00506258"/>
    <w:rsid w:val="005130F1"/>
    <w:rsid w:val="005164BD"/>
    <w:rsid w:val="005168C9"/>
    <w:rsid w:val="00516E40"/>
    <w:rsid w:val="00520F6C"/>
    <w:rsid w:val="00521BEF"/>
    <w:rsid w:val="005220E5"/>
    <w:rsid w:val="005221E1"/>
    <w:rsid w:val="005274DA"/>
    <w:rsid w:val="005302F5"/>
    <w:rsid w:val="00530354"/>
    <w:rsid w:val="00533970"/>
    <w:rsid w:val="00534871"/>
    <w:rsid w:val="0053538C"/>
    <w:rsid w:val="0053781A"/>
    <w:rsid w:val="00541352"/>
    <w:rsid w:val="0054163A"/>
    <w:rsid w:val="005434C6"/>
    <w:rsid w:val="00543B39"/>
    <w:rsid w:val="00550096"/>
    <w:rsid w:val="00551F1D"/>
    <w:rsid w:val="00552DB2"/>
    <w:rsid w:val="005540F9"/>
    <w:rsid w:val="005576C9"/>
    <w:rsid w:val="00557FF9"/>
    <w:rsid w:val="00560BAF"/>
    <w:rsid w:val="00561B1B"/>
    <w:rsid w:val="005729B0"/>
    <w:rsid w:val="00574233"/>
    <w:rsid w:val="00575A6D"/>
    <w:rsid w:val="00576378"/>
    <w:rsid w:val="00577E38"/>
    <w:rsid w:val="005824DB"/>
    <w:rsid w:val="00585069"/>
    <w:rsid w:val="00585322"/>
    <w:rsid w:val="0058774D"/>
    <w:rsid w:val="00591975"/>
    <w:rsid w:val="00593AD1"/>
    <w:rsid w:val="005955CF"/>
    <w:rsid w:val="00597B50"/>
    <w:rsid w:val="005A1131"/>
    <w:rsid w:val="005A3F2F"/>
    <w:rsid w:val="005A5916"/>
    <w:rsid w:val="005A5A5E"/>
    <w:rsid w:val="005A6611"/>
    <w:rsid w:val="005B1DEF"/>
    <w:rsid w:val="005C03F2"/>
    <w:rsid w:val="005C0499"/>
    <w:rsid w:val="005C1D90"/>
    <w:rsid w:val="005C22EA"/>
    <w:rsid w:val="005C2732"/>
    <w:rsid w:val="005C2FB2"/>
    <w:rsid w:val="005C3414"/>
    <w:rsid w:val="005C5570"/>
    <w:rsid w:val="005C6864"/>
    <w:rsid w:val="005C6D87"/>
    <w:rsid w:val="005C79A4"/>
    <w:rsid w:val="005D060C"/>
    <w:rsid w:val="005D16DC"/>
    <w:rsid w:val="005D4E06"/>
    <w:rsid w:val="005D5442"/>
    <w:rsid w:val="005E1A89"/>
    <w:rsid w:val="005E3393"/>
    <w:rsid w:val="005E5885"/>
    <w:rsid w:val="005E6395"/>
    <w:rsid w:val="005F3EA0"/>
    <w:rsid w:val="00601594"/>
    <w:rsid w:val="00601FD3"/>
    <w:rsid w:val="0060581D"/>
    <w:rsid w:val="00612B30"/>
    <w:rsid w:val="006131AB"/>
    <w:rsid w:val="00613211"/>
    <w:rsid w:val="006132E8"/>
    <w:rsid w:val="006210F2"/>
    <w:rsid w:val="0062266E"/>
    <w:rsid w:val="00623676"/>
    <w:rsid w:val="006238C7"/>
    <w:rsid w:val="00632D4C"/>
    <w:rsid w:val="006352D8"/>
    <w:rsid w:val="006400CB"/>
    <w:rsid w:val="00640FC3"/>
    <w:rsid w:val="00642020"/>
    <w:rsid w:val="00650434"/>
    <w:rsid w:val="00651316"/>
    <w:rsid w:val="00652CEE"/>
    <w:rsid w:val="0065337B"/>
    <w:rsid w:val="0065419D"/>
    <w:rsid w:val="006604D8"/>
    <w:rsid w:val="00664A5B"/>
    <w:rsid w:val="006664CB"/>
    <w:rsid w:val="00667942"/>
    <w:rsid w:val="006733CD"/>
    <w:rsid w:val="00674BA2"/>
    <w:rsid w:val="00677050"/>
    <w:rsid w:val="006804A8"/>
    <w:rsid w:val="00680C08"/>
    <w:rsid w:val="0068543D"/>
    <w:rsid w:val="00686C19"/>
    <w:rsid w:val="0068741A"/>
    <w:rsid w:val="00691DBE"/>
    <w:rsid w:val="006931B1"/>
    <w:rsid w:val="006A15C0"/>
    <w:rsid w:val="006A1DC0"/>
    <w:rsid w:val="006A64F4"/>
    <w:rsid w:val="006A7FD9"/>
    <w:rsid w:val="006B1BCF"/>
    <w:rsid w:val="006B3B74"/>
    <w:rsid w:val="006B3CF2"/>
    <w:rsid w:val="006C0A51"/>
    <w:rsid w:val="006C1A83"/>
    <w:rsid w:val="006C1AD9"/>
    <w:rsid w:val="006C1F3B"/>
    <w:rsid w:val="006C3E2A"/>
    <w:rsid w:val="006C450D"/>
    <w:rsid w:val="006C57B7"/>
    <w:rsid w:val="006C642F"/>
    <w:rsid w:val="006D03E5"/>
    <w:rsid w:val="006D08C1"/>
    <w:rsid w:val="006D5D3E"/>
    <w:rsid w:val="006D6A23"/>
    <w:rsid w:val="006E08B3"/>
    <w:rsid w:val="006E5071"/>
    <w:rsid w:val="006E5916"/>
    <w:rsid w:val="006F01FE"/>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253D"/>
    <w:rsid w:val="0074429B"/>
    <w:rsid w:val="007477F8"/>
    <w:rsid w:val="00750368"/>
    <w:rsid w:val="007560C5"/>
    <w:rsid w:val="00756ABF"/>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2870"/>
    <w:rsid w:val="00783116"/>
    <w:rsid w:val="00784124"/>
    <w:rsid w:val="00785721"/>
    <w:rsid w:val="007907BF"/>
    <w:rsid w:val="00793A59"/>
    <w:rsid w:val="00794519"/>
    <w:rsid w:val="007954D4"/>
    <w:rsid w:val="00797C67"/>
    <w:rsid w:val="007A2162"/>
    <w:rsid w:val="007A2B0B"/>
    <w:rsid w:val="007A58C5"/>
    <w:rsid w:val="007B0412"/>
    <w:rsid w:val="007B0A15"/>
    <w:rsid w:val="007B1ED1"/>
    <w:rsid w:val="007B7F38"/>
    <w:rsid w:val="007C0F3D"/>
    <w:rsid w:val="007C1AF7"/>
    <w:rsid w:val="007D2CFA"/>
    <w:rsid w:val="007D31C7"/>
    <w:rsid w:val="007D404B"/>
    <w:rsid w:val="007D4385"/>
    <w:rsid w:val="007D64E5"/>
    <w:rsid w:val="007D7B54"/>
    <w:rsid w:val="007E29E1"/>
    <w:rsid w:val="007E3E3E"/>
    <w:rsid w:val="007E4DCE"/>
    <w:rsid w:val="007E662C"/>
    <w:rsid w:val="008030CD"/>
    <w:rsid w:val="00804357"/>
    <w:rsid w:val="0080449A"/>
    <w:rsid w:val="00811949"/>
    <w:rsid w:val="00812029"/>
    <w:rsid w:val="008122AC"/>
    <w:rsid w:val="00813E46"/>
    <w:rsid w:val="00817471"/>
    <w:rsid w:val="00821776"/>
    <w:rsid w:val="00826007"/>
    <w:rsid w:val="0082653E"/>
    <w:rsid w:val="008266E2"/>
    <w:rsid w:val="0083209C"/>
    <w:rsid w:val="008321F5"/>
    <w:rsid w:val="00832369"/>
    <w:rsid w:val="00832486"/>
    <w:rsid w:val="0083329F"/>
    <w:rsid w:val="00834660"/>
    <w:rsid w:val="008357ED"/>
    <w:rsid w:val="00836BC2"/>
    <w:rsid w:val="0084109D"/>
    <w:rsid w:val="008423DC"/>
    <w:rsid w:val="00846E23"/>
    <w:rsid w:val="0085641B"/>
    <w:rsid w:val="00857136"/>
    <w:rsid w:val="008617CA"/>
    <w:rsid w:val="008702B3"/>
    <w:rsid w:val="008707DF"/>
    <w:rsid w:val="00871E49"/>
    <w:rsid w:val="00872807"/>
    <w:rsid w:val="00876EAC"/>
    <w:rsid w:val="0088186A"/>
    <w:rsid w:val="00881EA0"/>
    <w:rsid w:val="0088496A"/>
    <w:rsid w:val="0088678E"/>
    <w:rsid w:val="0089392A"/>
    <w:rsid w:val="00893C5D"/>
    <w:rsid w:val="00896018"/>
    <w:rsid w:val="00896E1F"/>
    <w:rsid w:val="008A00FE"/>
    <w:rsid w:val="008A2B9D"/>
    <w:rsid w:val="008A2D18"/>
    <w:rsid w:val="008A5E0B"/>
    <w:rsid w:val="008A69D0"/>
    <w:rsid w:val="008A6A7F"/>
    <w:rsid w:val="008A6B96"/>
    <w:rsid w:val="008A6D59"/>
    <w:rsid w:val="008B0015"/>
    <w:rsid w:val="008B2B27"/>
    <w:rsid w:val="008B2BFC"/>
    <w:rsid w:val="008B4B03"/>
    <w:rsid w:val="008B596F"/>
    <w:rsid w:val="008B7C43"/>
    <w:rsid w:val="008C0C69"/>
    <w:rsid w:val="008C159F"/>
    <w:rsid w:val="008C1623"/>
    <w:rsid w:val="008C2B58"/>
    <w:rsid w:val="008C51A9"/>
    <w:rsid w:val="008C5225"/>
    <w:rsid w:val="008C7E46"/>
    <w:rsid w:val="008D0620"/>
    <w:rsid w:val="008D1287"/>
    <w:rsid w:val="008D3724"/>
    <w:rsid w:val="008D3FCE"/>
    <w:rsid w:val="008D67F7"/>
    <w:rsid w:val="008D7BD4"/>
    <w:rsid w:val="008E6463"/>
    <w:rsid w:val="008F1CCC"/>
    <w:rsid w:val="008F2967"/>
    <w:rsid w:val="008F2AD4"/>
    <w:rsid w:val="008F4A62"/>
    <w:rsid w:val="008F57B4"/>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30237"/>
    <w:rsid w:val="009310B4"/>
    <w:rsid w:val="0093749E"/>
    <w:rsid w:val="00942751"/>
    <w:rsid w:val="00943A3F"/>
    <w:rsid w:val="00944B14"/>
    <w:rsid w:val="00945041"/>
    <w:rsid w:val="009468C6"/>
    <w:rsid w:val="00951677"/>
    <w:rsid w:val="00952C3D"/>
    <w:rsid w:val="00953EA8"/>
    <w:rsid w:val="00955A46"/>
    <w:rsid w:val="009628B7"/>
    <w:rsid w:val="00963C08"/>
    <w:rsid w:val="00963C0D"/>
    <w:rsid w:val="00966970"/>
    <w:rsid w:val="00967C5A"/>
    <w:rsid w:val="00970367"/>
    <w:rsid w:val="009741DD"/>
    <w:rsid w:val="009752DD"/>
    <w:rsid w:val="00975379"/>
    <w:rsid w:val="00981AC6"/>
    <w:rsid w:val="00981D0A"/>
    <w:rsid w:val="009835B6"/>
    <w:rsid w:val="00984CAD"/>
    <w:rsid w:val="00987D65"/>
    <w:rsid w:val="009927F3"/>
    <w:rsid w:val="00993AB0"/>
    <w:rsid w:val="009945F4"/>
    <w:rsid w:val="009A190E"/>
    <w:rsid w:val="009A4825"/>
    <w:rsid w:val="009A4CED"/>
    <w:rsid w:val="009B00CC"/>
    <w:rsid w:val="009B1D12"/>
    <w:rsid w:val="009B20A0"/>
    <w:rsid w:val="009B223F"/>
    <w:rsid w:val="009B2B3C"/>
    <w:rsid w:val="009B3475"/>
    <w:rsid w:val="009B416B"/>
    <w:rsid w:val="009B6348"/>
    <w:rsid w:val="009C4BD5"/>
    <w:rsid w:val="009C54B7"/>
    <w:rsid w:val="009C5F04"/>
    <w:rsid w:val="009C683C"/>
    <w:rsid w:val="009D0801"/>
    <w:rsid w:val="009D0A6D"/>
    <w:rsid w:val="009D0DC8"/>
    <w:rsid w:val="009D2144"/>
    <w:rsid w:val="009D2E04"/>
    <w:rsid w:val="009D7B77"/>
    <w:rsid w:val="009E0BB0"/>
    <w:rsid w:val="009E37F8"/>
    <w:rsid w:val="009E3FBB"/>
    <w:rsid w:val="009F018D"/>
    <w:rsid w:val="009F01FD"/>
    <w:rsid w:val="009F207B"/>
    <w:rsid w:val="009F20E4"/>
    <w:rsid w:val="00A0156E"/>
    <w:rsid w:val="00A10C68"/>
    <w:rsid w:val="00A1235B"/>
    <w:rsid w:val="00A14DF7"/>
    <w:rsid w:val="00A22E19"/>
    <w:rsid w:val="00A27B10"/>
    <w:rsid w:val="00A31294"/>
    <w:rsid w:val="00A3246D"/>
    <w:rsid w:val="00A32C51"/>
    <w:rsid w:val="00A342E4"/>
    <w:rsid w:val="00A36E8D"/>
    <w:rsid w:val="00A36FA7"/>
    <w:rsid w:val="00A40944"/>
    <w:rsid w:val="00A41E88"/>
    <w:rsid w:val="00A46A96"/>
    <w:rsid w:val="00A47209"/>
    <w:rsid w:val="00A475B7"/>
    <w:rsid w:val="00A47AF7"/>
    <w:rsid w:val="00A47C3E"/>
    <w:rsid w:val="00A50226"/>
    <w:rsid w:val="00A50992"/>
    <w:rsid w:val="00A53DC8"/>
    <w:rsid w:val="00A60BAD"/>
    <w:rsid w:val="00A73339"/>
    <w:rsid w:val="00A737A1"/>
    <w:rsid w:val="00A73A8D"/>
    <w:rsid w:val="00A75017"/>
    <w:rsid w:val="00A77C79"/>
    <w:rsid w:val="00A8051A"/>
    <w:rsid w:val="00A806AE"/>
    <w:rsid w:val="00A8571D"/>
    <w:rsid w:val="00A87334"/>
    <w:rsid w:val="00A92E6D"/>
    <w:rsid w:val="00A934D5"/>
    <w:rsid w:val="00A957C4"/>
    <w:rsid w:val="00AA34FC"/>
    <w:rsid w:val="00AB201E"/>
    <w:rsid w:val="00AB3F92"/>
    <w:rsid w:val="00AB42C4"/>
    <w:rsid w:val="00AB581C"/>
    <w:rsid w:val="00AB5C96"/>
    <w:rsid w:val="00AC262B"/>
    <w:rsid w:val="00AC2B40"/>
    <w:rsid w:val="00AC2BB2"/>
    <w:rsid w:val="00AC2C3C"/>
    <w:rsid w:val="00AC2C51"/>
    <w:rsid w:val="00AC3BD9"/>
    <w:rsid w:val="00AC44FA"/>
    <w:rsid w:val="00AC54D1"/>
    <w:rsid w:val="00AC6EBE"/>
    <w:rsid w:val="00AD4722"/>
    <w:rsid w:val="00AD58C6"/>
    <w:rsid w:val="00AD7E78"/>
    <w:rsid w:val="00AE2270"/>
    <w:rsid w:val="00AE3703"/>
    <w:rsid w:val="00AE4205"/>
    <w:rsid w:val="00AE6155"/>
    <w:rsid w:val="00AE65EB"/>
    <w:rsid w:val="00AE670F"/>
    <w:rsid w:val="00AF1D94"/>
    <w:rsid w:val="00AF27F0"/>
    <w:rsid w:val="00AF316D"/>
    <w:rsid w:val="00AF3A8C"/>
    <w:rsid w:val="00AF60C5"/>
    <w:rsid w:val="00B009C6"/>
    <w:rsid w:val="00B01548"/>
    <w:rsid w:val="00B138BE"/>
    <w:rsid w:val="00B15AE2"/>
    <w:rsid w:val="00B15C1C"/>
    <w:rsid w:val="00B17A0B"/>
    <w:rsid w:val="00B17CB3"/>
    <w:rsid w:val="00B21D29"/>
    <w:rsid w:val="00B21FC5"/>
    <w:rsid w:val="00B25034"/>
    <w:rsid w:val="00B27B29"/>
    <w:rsid w:val="00B27EA3"/>
    <w:rsid w:val="00B325C7"/>
    <w:rsid w:val="00B33863"/>
    <w:rsid w:val="00B34F51"/>
    <w:rsid w:val="00B37D17"/>
    <w:rsid w:val="00B4175E"/>
    <w:rsid w:val="00B4454F"/>
    <w:rsid w:val="00B50EE7"/>
    <w:rsid w:val="00B510E1"/>
    <w:rsid w:val="00B54C25"/>
    <w:rsid w:val="00B55E71"/>
    <w:rsid w:val="00B57049"/>
    <w:rsid w:val="00B572B2"/>
    <w:rsid w:val="00B60801"/>
    <w:rsid w:val="00B617EA"/>
    <w:rsid w:val="00B6409A"/>
    <w:rsid w:val="00B6677B"/>
    <w:rsid w:val="00B71B18"/>
    <w:rsid w:val="00B7359B"/>
    <w:rsid w:val="00B7672F"/>
    <w:rsid w:val="00B76B91"/>
    <w:rsid w:val="00B83FC7"/>
    <w:rsid w:val="00B8473E"/>
    <w:rsid w:val="00B86F81"/>
    <w:rsid w:val="00B929EB"/>
    <w:rsid w:val="00B94276"/>
    <w:rsid w:val="00B94618"/>
    <w:rsid w:val="00B961DF"/>
    <w:rsid w:val="00B978A9"/>
    <w:rsid w:val="00BB0BD8"/>
    <w:rsid w:val="00BB538A"/>
    <w:rsid w:val="00BB6DFC"/>
    <w:rsid w:val="00BB7F56"/>
    <w:rsid w:val="00BC1CAB"/>
    <w:rsid w:val="00BC2009"/>
    <w:rsid w:val="00BC50DB"/>
    <w:rsid w:val="00BC526C"/>
    <w:rsid w:val="00BC5AC3"/>
    <w:rsid w:val="00BC5AE6"/>
    <w:rsid w:val="00BC622A"/>
    <w:rsid w:val="00BD48EC"/>
    <w:rsid w:val="00BE0A78"/>
    <w:rsid w:val="00BE79F0"/>
    <w:rsid w:val="00BF046D"/>
    <w:rsid w:val="00BF46E4"/>
    <w:rsid w:val="00BF5D04"/>
    <w:rsid w:val="00BF6D2F"/>
    <w:rsid w:val="00C007D3"/>
    <w:rsid w:val="00C019E6"/>
    <w:rsid w:val="00C0357E"/>
    <w:rsid w:val="00C1305B"/>
    <w:rsid w:val="00C13563"/>
    <w:rsid w:val="00C16CCE"/>
    <w:rsid w:val="00C17E00"/>
    <w:rsid w:val="00C22294"/>
    <w:rsid w:val="00C24035"/>
    <w:rsid w:val="00C25FC2"/>
    <w:rsid w:val="00C31D44"/>
    <w:rsid w:val="00C32A88"/>
    <w:rsid w:val="00C33FDE"/>
    <w:rsid w:val="00C3534F"/>
    <w:rsid w:val="00C3536F"/>
    <w:rsid w:val="00C364D5"/>
    <w:rsid w:val="00C36810"/>
    <w:rsid w:val="00C404A6"/>
    <w:rsid w:val="00C40A36"/>
    <w:rsid w:val="00C434EA"/>
    <w:rsid w:val="00C44419"/>
    <w:rsid w:val="00C44C22"/>
    <w:rsid w:val="00C45E7B"/>
    <w:rsid w:val="00C471B1"/>
    <w:rsid w:val="00C54222"/>
    <w:rsid w:val="00C55437"/>
    <w:rsid w:val="00C55C1A"/>
    <w:rsid w:val="00C6204C"/>
    <w:rsid w:val="00C6316B"/>
    <w:rsid w:val="00C634A9"/>
    <w:rsid w:val="00C6376F"/>
    <w:rsid w:val="00C651B1"/>
    <w:rsid w:val="00C669EE"/>
    <w:rsid w:val="00C67ADC"/>
    <w:rsid w:val="00C73315"/>
    <w:rsid w:val="00C741A3"/>
    <w:rsid w:val="00C74DD6"/>
    <w:rsid w:val="00C76E42"/>
    <w:rsid w:val="00C772FF"/>
    <w:rsid w:val="00C801AF"/>
    <w:rsid w:val="00C80256"/>
    <w:rsid w:val="00C81696"/>
    <w:rsid w:val="00C87CA5"/>
    <w:rsid w:val="00C93228"/>
    <w:rsid w:val="00C94239"/>
    <w:rsid w:val="00C95D76"/>
    <w:rsid w:val="00CA068B"/>
    <w:rsid w:val="00CA0F79"/>
    <w:rsid w:val="00CA3A38"/>
    <w:rsid w:val="00CA62E0"/>
    <w:rsid w:val="00CA7F35"/>
    <w:rsid w:val="00CB27FE"/>
    <w:rsid w:val="00CB6BC0"/>
    <w:rsid w:val="00CC1B7C"/>
    <w:rsid w:val="00CC314F"/>
    <w:rsid w:val="00CC50DE"/>
    <w:rsid w:val="00CC727F"/>
    <w:rsid w:val="00CD6EB8"/>
    <w:rsid w:val="00CE5BB0"/>
    <w:rsid w:val="00CE5E4B"/>
    <w:rsid w:val="00CF15C3"/>
    <w:rsid w:val="00CF2B6F"/>
    <w:rsid w:val="00CF3BC4"/>
    <w:rsid w:val="00CF6340"/>
    <w:rsid w:val="00D017ED"/>
    <w:rsid w:val="00D02AD9"/>
    <w:rsid w:val="00D04ABE"/>
    <w:rsid w:val="00D07496"/>
    <w:rsid w:val="00D07BFC"/>
    <w:rsid w:val="00D12D62"/>
    <w:rsid w:val="00D135F8"/>
    <w:rsid w:val="00D153B1"/>
    <w:rsid w:val="00D1617A"/>
    <w:rsid w:val="00D224FE"/>
    <w:rsid w:val="00D229BA"/>
    <w:rsid w:val="00D2375D"/>
    <w:rsid w:val="00D24C02"/>
    <w:rsid w:val="00D46E89"/>
    <w:rsid w:val="00D47415"/>
    <w:rsid w:val="00D51CD8"/>
    <w:rsid w:val="00D55A5F"/>
    <w:rsid w:val="00D624D6"/>
    <w:rsid w:val="00D63084"/>
    <w:rsid w:val="00D63F91"/>
    <w:rsid w:val="00D6493E"/>
    <w:rsid w:val="00D72783"/>
    <w:rsid w:val="00D73C01"/>
    <w:rsid w:val="00D74637"/>
    <w:rsid w:val="00D763E2"/>
    <w:rsid w:val="00D80DD3"/>
    <w:rsid w:val="00D82F24"/>
    <w:rsid w:val="00D834EE"/>
    <w:rsid w:val="00D84A25"/>
    <w:rsid w:val="00D855AE"/>
    <w:rsid w:val="00D86C12"/>
    <w:rsid w:val="00D87F31"/>
    <w:rsid w:val="00D97D00"/>
    <w:rsid w:val="00DA1124"/>
    <w:rsid w:val="00DA24C7"/>
    <w:rsid w:val="00DA2BE7"/>
    <w:rsid w:val="00DA3BFE"/>
    <w:rsid w:val="00DA5B9B"/>
    <w:rsid w:val="00DA7A0C"/>
    <w:rsid w:val="00DB33CF"/>
    <w:rsid w:val="00DB34F5"/>
    <w:rsid w:val="00DC38FE"/>
    <w:rsid w:val="00DC55B7"/>
    <w:rsid w:val="00DC7746"/>
    <w:rsid w:val="00DC79D6"/>
    <w:rsid w:val="00DC7EE4"/>
    <w:rsid w:val="00DD75A3"/>
    <w:rsid w:val="00DE02AE"/>
    <w:rsid w:val="00DE6A0C"/>
    <w:rsid w:val="00DE6C04"/>
    <w:rsid w:val="00DF1D7F"/>
    <w:rsid w:val="00DF2F50"/>
    <w:rsid w:val="00E02FB4"/>
    <w:rsid w:val="00E04ABD"/>
    <w:rsid w:val="00E05B04"/>
    <w:rsid w:val="00E06A1B"/>
    <w:rsid w:val="00E1165A"/>
    <w:rsid w:val="00E1340C"/>
    <w:rsid w:val="00E2020C"/>
    <w:rsid w:val="00E20571"/>
    <w:rsid w:val="00E207D9"/>
    <w:rsid w:val="00E21651"/>
    <w:rsid w:val="00E235F7"/>
    <w:rsid w:val="00E239D4"/>
    <w:rsid w:val="00E313A8"/>
    <w:rsid w:val="00E40B22"/>
    <w:rsid w:val="00E40BD2"/>
    <w:rsid w:val="00E41AD2"/>
    <w:rsid w:val="00E42068"/>
    <w:rsid w:val="00E4307C"/>
    <w:rsid w:val="00E4588F"/>
    <w:rsid w:val="00E46DA3"/>
    <w:rsid w:val="00E476C8"/>
    <w:rsid w:val="00E57B71"/>
    <w:rsid w:val="00E72FC4"/>
    <w:rsid w:val="00E81BC9"/>
    <w:rsid w:val="00E85439"/>
    <w:rsid w:val="00E85D5D"/>
    <w:rsid w:val="00E860E0"/>
    <w:rsid w:val="00E86A1F"/>
    <w:rsid w:val="00E8778C"/>
    <w:rsid w:val="00E9008E"/>
    <w:rsid w:val="00E951D8"/>
    <w:rsid w:val="00E9579B"/>
    <w:rsid w:val="00E97275"/>
    <w:rsid w:val="00EA0A0F"/>
    <w:rsid w:val="00EA16DE"/>
    <w:rsid w:val="00EA2090"/>
    <w:rsid w:val="00EA406B"/>
    <w:rsid w:val="00EA5776"/>
    <w:rsid w:val="00EB0798"/>
    <w:rsid w:val="00EB28AE"/>
    <w:rsid w:val="00EB2F97"/>
    <w:rsid w:val="00EB34F1"/>
    <w:rsid w:val="00EB40AD"/>
    <w:rsid w:val="00EB4571"/>
    <w:rsid w:val="00EB586E"/>
    <w:rsid w:val="00EB5FC8"/>
    <w:rsid w:val="00EB74A7"/>
    <w:rsid w:val="00EC384E"/>
    <w:rsid w:val="00EC4910"/>
    <w:rsid w:val="00EC580A"/>
    <w:rsid w:val="00ED29B9"/>
    <w:rsid w:val="00ED5A41"/>
    <w:rsid w:val="00ED5D05"/>
    <w:rsid w:val="00ED6B23"/>
    <w:rsid w:val="00EE00CA"/>
    <w:rsid w:val="00EE2CC3"/>
    <w:rsid w:val="00EE3577"/>
    <w:rsid w:val="00EF1963"/>
    <w:rsid w:val="00EF3C6A"/>
    <w:rsid w:val="00EF578B"/>
    <w:rsid w:val="00EF7B95"/>
    <w:rsid w:val="00F033EC"/>
    <w:rsid w:val="00F0438D"/>
    <w:rsid w:val="00F049A1"/>
    <w:rsid w:val="00F04F68"/>
    <w:rsid w:val="00F10A73"/>
    <w:rsid w:val="00F10BD8"/>
    <w:rsid w:val="00F12670"/>
    <w:rsid w:val="00F14B27"/>
    <w:rsid w:val="00F20118"/>
    <w:rsid w:val="00F23105"/>
    <w:rsid w:val="00F25577"/>
    <w:rsid w:val="00F2700C"/>
    <w:rsid w:val="00F3148D"/>
    <w:rsid w:val="00F32D36"/>
    <w:rsid w:val="00F3509E"/>
    <w:rsid w:val="00F35298"/>
    <w:rsid w:val="00F3529E"/>
    <w:rsid w:val="00F41DCE"/>
    <w:rsid w:val="00F443FD"/>
    <w:rsid w:val="00F46F9A"/>
    <w:rsid w:val="00F47D14"/>
    <w:rsid w:val="00F47E37"/>
    <w:rsid w:val="00F50ADC"/>
    <w:rsid w:val="00F50B5E"/>
    <w:rsid w:val="00F53E24"/>
    <w:rsid w:val="00F56D63"/>
    <w:rsid w:val="00F640B6"/>
    <w:rsid w:val="00F647EA"/>
    <w:rsid w:val="00F65B15"/>
    <w:rsid w:val="00F70540"/>
    <w:rsid w:val="00F76802"/>
    <w:rsid w:val="00F80E40"/>
    <w:rsid w:val="00F83983"/>
    <w:rsid w:val="00F91585"/>
    <w:rsid w:val="00F923D6"/>
    <w:rsid w:val="00F942E9"/>
    <w:rsid w:val="00F95CA6"/>
    <w:rsid w:val="00F9705F"/>
    <w:rsid w:val="00FA029A"/>
    <w:rsid w:val="00FA144A"/>
    <w:rsid w:val="00FA2018"/>
    <w:rsid w:val="00FA3338"/>
    <w:rsid w:val="00FA5482"/>
    <w:rsid w:val="00FA5B82"/>
    <w:rsid w:val="00FA639E"/>
    <w:rsid w:val="00FA7DF1"/>
    <w:rsid w:val="00FB1B89"/>
    <w:rsid w:val="00FB2577"/>
    <w:rsid w:val="00FB3817"/>
    <w:rsid w:val="00FC03C8"/>
    <w:rsid w:val="00FC25E4"/>
    <w:rsid w:val="00FC42B9"/>
    <w:rsid w:val="00FC4EF7"/>
    <w:rsid w:val="00FD56A0"/>
    <w:rsid w:val="00FD5947"/>
    <w:rsid w:val="00FD62E3"/>
    <w:rsid w:val="00FE1DEE"/>
    <w:rsid w:val="00FE705F"/>
    <w:rsid w:val="00FF01FE"/>
    <w:rsid w:val="00FF1448"/>
    <w:rsid w:val="00FF2126"/>
    <w:rsid w:val="00FF25D3"/>
    <w:rsid w:val="00FF417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16"/>
      </w:numPr>
    </w:pPr>
  </w:style>
  <w:style w:type="paragraph" w:customStyle="1" w:styleId="ListBulleti">
    <w:name w:val="List Bullet i)"/>
    <w:basedOn w:val="ListBullet"/>
    <w:uiPriority w:val="1"/>
    <w:qFormat/>
    <w:rsid w:val="005302F5"/>
    <w:pPr>
      <w:numPr>
        <w:numId w:val="1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tga.gov.au/tga/november_2021_acms_accs_joint/" TargetMode="External"/><Relationship Id="rId18"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tga.gov.au/resources/consultation/consultation-proposed-amendments-poisons-standard-accs-acms-and-joint-accsacms-meetings-november-2021" TargetMode="External"/><Relationship Id="rId17" Type="http://schemas.openxmlformats.org/officeDocument/2006/relationships/hyperlink" Target="https://www.tga.gov.au/publication/ahmac-scheduling-policy-framework-medicines-and-chemicals" TargetMode="External"/><Relationship Id="rId2" Type="http://schemas.openxmlformats.org/officeDocument/2006/relationships/numbering" Target="numbering.xml"/><Relationship Id="rId16" Type="http://schemas.openxmlformats.org/officeDocument/2006/relationships/hyperlink" Target="https://www.tga.gov.au/resources/publication/scheduling-decisions-interim/notice-interim-decisions-proposed-amendments-poisons-standard-acms-36-accs-32-joint-acms-accs-29-november-20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tions.tga.gov.au/tga/november_2021_interi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esources/consultation/consultation-proposed-amendments-poisons-standard-accs-acms-and-joint-accsacms-meetings-november-202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137</TotalTime>
  <Pages>6</Pages>
  <Words>1564</Words>
  <Characters>8670</Characters>
  <Application>Microsoft Office Word</Application>
  <DocSecurity>0</DocSecurity>
  <Lines>173</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dc:title>
  <dc:subject>Poisons standards regulation</dc:subject>
  <dc:creator>Therapeutic Goods Administration</dc:creator>
  <dc:description>template v1.4</dc:description>
  <cp:lastModifiedBy>KOLARIK-O'REILLY, Kristy</cp:lastModifiedBy>
  <cp:revision>13</cp:revision>
  <cp:lastPrinted>2020-05-01T05:17:00Z</cp:lastPrinted>
  <dcterms:created xsi:type="dcterms:W3CDTF">2022-10-19T11:12:00Z</dcterms:created>
  <dcterms:modified xsi:type="dcterms:W3CDTF">2022-11-15T03:33:00Z</dcterms:modified>
</cp:coreProperties>
</file>