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31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5660C" w14:paraId="487E857D" w14:textId="77777777" w:rsidTr="00E04ABD">
        <w:tc>
          <w:tcPr>
            <w:tcW w:w="8720" w:type="dxa"/>
          </w:tcPr>
          <w:p w14:paraId="158C7559" w14:textId="50EC184C" w:rsidR="0025660C" w:rsidRPr="00077548" w:rsidRDefault="00597B50" w:rsidP="00E04ABD">
            <w:pPr>
              <w:pStyle w:val="Title"/>
            </w:pPr>
            <w:r w:rsidRPr="00597B50">
              <w:t>Notice of final decisions to amend (or not amend) the current Poisons Standard</w:t>
            </w:r>
          </w:p>
        </w:tc>
      </w:tr>
      <w:tr w:rsidR="0025660C" w14:paraId="3393FE2A" w14:textId="77777777" w:rsidTr="00E04ABD">
        <w:trPr>
          <w:trHeight w:val="810"/>
        </w:trPr>
        <w:tc>
          <w:tcPr>
            <w:tcW w:w="8720" w:type="dxa"/>
          </w:tcPr>
          <w:p w14:paraId="38D3E20E" w14:textId="0AB93386" w:rsidR="0025660C" w:rsidRPr="00077548" w:rsidRDefault="002941C1" w:rsidP="00E04ABD">
            <w:pPr>
              <w:pStyle w:val="Subtitle"/>
              <w:tabs>
                <w:tab w:val="left" w:pos="5310"/>
              </w:tabs>
              <w:ind w:left="0"/>
            </w:pPr>
            <w:r>
              <w:t>18 November 2022</w:t>
            </w:r>
          </w:p>
        </w:tc>
      </w:tr>
    </w:tbl>
    <w:p w14:paraId="6D852DDD" w14:textId="7DFA52AC" w:rsidR="0025660C" w:rsidRDefault="0025660C" w:rsidP="0025660C">
      <w:pPr>
        <w:sectPr w:rsidR="0025660C" w:rsidSect="00E57B71">
          <w:headerReference w:type="default" r:id="rId8"/>
          <w:footerReference w:type="default" r:id="rId9"/>
          <w:headerReference w:type="first" r:id="rId10"/>
          <w:pgSz w:w="11906" w:h="16838" w:code="9"/>
          <w:pgMar w:top="1134" w:right="1418" w:bottom="1361" w:left="1418" w:header="851" w:footer="768" w:gutter="0"/>
          <w:cols w:space="708"/>
          <w:titlePg/>
          <w:docGrid w:linePitch="360"/>
        </w:sectPr>
      </w:pPr>
    </w:p>
    <w:p w14:paraId="30F6686F" w14:textId="02FB7BF9" w:rsidR="007907BF" w:rsidRPr="005D4EA1" w:rsidRDefault="007907BF" w:rsidP="007907BF">
      <w:pPr>
        <w:pStyle w:val="LegalSubheading"/>
        <w:pageBreakBefore/>
      </w:pPr>
      <w:r w:rsidRPr="00691723">
        <w:lastRenderedPageBreak/>
        <w:t>Copyright</w:t>
      </w:r>
    </w:p>
    <w:p w14:paraId="781131BA" w14:textId="2045CBAF" w:rsidR="007907BF" w:rsidRDefault="007907BF" w:rsidP="007907BF">
      <w:pPr>
        <w:pStyle w:val="LegalCopy"/>
      </w:pPr>
      <w:r w:rsidRPr="009401F6">
        <w:t>© Commonwealth of Australia 20</w:t>
      </w:r>
      <w:r w:rsidR="00112A8B">
        <w:t>22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1" w:history="1">
        <w:r w:rsidRPr="009401F6">
          <w:rPr>
            <w:rStyle w:val="Hyperlink"/>
            <w:rFonts w:cs="Arial"/>
          </w:rPr>
          <w:t>tga.copyright@tga.gov.au</w:t>
        </w:r>
      </w:hyperlink>
      <w:r w:rsidRPr="009401F6">
        <w:t>&gt;</w:t>
      </w:r>
    </w:p>
    <w:p w14:paraId="48F61410" w14:textId="22E93990" w:rsidR="0025660C" w:rsidRPr="00766888" w:rsidRDefault="00597B50" w:rsidP="00ED6B23">
      <w:pPr>
        <w:pStyle w:val="LegalCopy"/>
        <w:tabs>
          <w:tab w:val="clear" w:pos="4513"/>
          <w:tab w:val="clear" w:pos="9026"/>
          <w:tab w:val="left" w:pos="2027"/>
        </w:tabs>
        <w:spacing w:before="12000"/>
      </w:pPr>
      <w:r>
        <w:lastRenderedPageBreak/>
        <w:tab/>
      </w:r>
    </w:p>
    <w:bookmarkStart w:id="0" w:name="_Toc323740419" w:displacedByCustomXml="next"/>
    <w:bookmarkStart w:id="1" w:name="_Toc328388475" w:displacedByCustomXml="next"/>
    <w:bookmarkStart w:id="2" w:name="_Toc323740418" w:displacedByCustomXml="next"/>
    <w:sdt>
      <w:sdtPr>
        <w:rPr>
          <w:rFonts w:ascii="Arial" w:hAnsi="Arial"/>
          <w:b/>
        </w:rPr>
        <w:id w:val="21514559"/>
        <w:docPartObj>
          <w:docPartGallery w:val="Table of Contents"/>
          <w:docPartUnique/>
        </w:docPartObj>
      </w:sdtPr>
      <w:sdtEndPr/>
      <w:sdtContent>
        <w:p w14:paraId="2B521530" w14:textId="77777777" w:rsidR="005E6817" w:rsidRDefault="0025660C">
          <w:pPr>
            <w:pStyle w:val="TOC2"/>
            <w:tabs>
              <w:tab w:val="left" w:pos="851"/>
            </w:tabs>
            <w:rPr>
              <w:noProof/>
            </w:rPr>
          </w:pPr>
          <w:r w:rsidRPr="005D16DC">
            <w:rPr>
              <w:rFonts w:asciiTheme="majorHAnsi" w:hAnsiTheme="majorHAnsi" w:cstheme="majorHAnsi"/>
              <w:sz w:val="28"/>
              <w:szCs w:val="28"/>
            </w:rPr>
            <w:t>Contents</w:t>
          </w:r>
          <w:r w:rsidR="008D3724">
            <w:rPr>
              <w:sz w:val="32"/>
            </w:rPr>
            <w:fldChar w:fldCharType="begin"/>
          </w:r>
          <w:r w:rsidR="008D3724">
            <w:rPr>
              <w:sz w:val="32"/>
            </w:rPr>
            <w:instrText xml:space="preserve"> TOC \o "1-3" \h \z \u </w:instrText>
          </w:r>
          <w:r w:rsidR="008D3724">
            <w:rPr>
              <w:sz w:val="32"/>
            </w:rPr>
            <w:fldChar w:fldCharType="separate"/>
          </w:r>
        </w:p>
        <w:p w14:paraId="0703A16A" w14:textId="2ABF0A86" w:rsidR="005E6817" w:rsidRDefault="005E6817">
          <w:pPr>
            <w:pStyle w:val="TOC2"/>
            <w:tabs>
              <w:tab w:val="left" w:pos="851"/>
            </w:tabs>
            <w:rPr>
              <w:rFonts w:asciiTheme="minorHAnsi" w:eastAsiaTheme="minorEastAsia" w:hAnsiTheme="minorHAnsi" w:cstheme="minorBidi"/>
              <w:noProof/>
              <w:szCs w:val="22"/>
              <w:lang w:eastAsia="en-AU"/>
            </w:rPr>
          </w:pPr>
          <w:hyperlink w:anchor="_Toc119668031" w:history="1">
            <w:r w:rsidRPr="006C3BDA">
              <w:rPr>
                <w:rStyle w:val="Hyperlink"/>
                <w:noProof/>
              </w:rPr>
              <w:t>1</w:t>
            </w:r>
            <w:r>
              <w:rPr>
                <w:rFonts w:asciiTheme="minorHAnsi" w:eastAsiaTheme="minorEastAsia" w:hAnsiTheme="minorHAnsi" w:cstheme="minorBidi"/>
                <w:noProof/>
                <w:szCs w:val="22"/>
                <w:lang w:eastAsia="en-AU"/>
              </w:rPr>
              <w:tab/>
            </w:r>
            <w:r w:rsidRPr="006C3BDA">
              <w:rPr>
                <w:rStyle w:val="Hyperlink"/>
                <w:noProof/>
              </w:rPr>
              <w:t>Notice of final decisions to amend (or not amend) the current Poisons Standard</w:t>
            </w:r>
            <w:r>
              <w:rPr>
                <w:noProof/>
                <w:webHidden/>
              </w:rPr>
              <w:tab/>
            </w:r>
            <w:r>
              <w:rPr>
                <w:noProof/>
                <w:webHidden/>
              </w:rPr>
              <w:fldChar w:fldCharType="begin"/>
            </w:r>
            <w:r>
              <w:rPr>
                <w:noProof/>
                <w:webHidden/>
              </w:rPr>
              <w:instrText xml:space="preserve"> PAGEREF _Toc119668031 \h </w:instrText>
            </w:r>
            <w:r>
              <w:rPr>
                <w:noProof/>
                <w:webHidden/>
              </w:rPr>
            </w:r>
            <w:r>
              <w:rPr>
                <w:noProof/>
                <w:webHidden/>
              </w:rPr>
              <w:fldChar w:fldCharType="separate"/>
            </w:r>
            <w:r>
              <w:rPr>
                <w:noProof/>
                <w:webHidden/>
              </w:rPr>
              <w:t>4</w:t>
            </w:r>
            <w:r>
              <w:rPr>
                <w:noProof/>
                <w:webHidden/>
              </w:rPr>
              <w:fldChar w:fldCharType="end"/>
            </w:r>
          </w:hyperlink>
        </w:p>
        <w:p w14:paraId="31542438" w14:textId="30CFD1EE" w:rsidR="005E6817" w:rsidRDefault="005E6817">
          <w:pPr>
            <w:pStyle w:val="TOC2"/>
            <w:tabs>
              <w:tab w:val="left" w:pos="851"/>
            </w:tabs>
            <w:rPr>
              <w:rFonts w:asciiTheme="minorHAnsi" w:eastAsiaTheme="minorEastAsia" w:hAnsiTheme="minorHAnsi" w:cstheme="minorBidi"/>
              <w:noProof/>
              <w:szCs w:val="22"/>
              <w:lang w:eastAsia="en-AU"/>
            </w:rPr>
          </w:pPr>
          <w:hyperlink w:anchor="_Toc119668032" w:history="1">
            <w:r w:rsidRPr="006C3BDA">
              <w:rPr>
                <w:rStyle w:val="Hyperlink"/>
                <w:noProof/>
              </w:rPr>
              <w:t>2</w:t>
            </w:r>
            <w:r>
              <w:rPr>
                <w:rFonts w:asciiTheme="minorHAnsi" w:eastAsiaTheme="minorEastAsia" w:hAnsiTheme="minorHAnsi" w:cstheme="minorBidi"/>
                <w:noProof/>
                <w:szCs w:val="22"/>
                <w:lang w:eastAsia="en-AU"/>
              </w:rPr>
              <w:tab/>
            </w:r>
            <w:r w:rsidRPr="006C3BDA">
              <w:rPr>
                <w:rStyle w:val="Hyperlink"/>
                <w:noProof/>
              </w:rPr>
              <w:t>Final decisions on proposed amendments referred to the Advisory Committee on Medicines Scheduling (ACMS #37, March 2022)</w:t>
            </w:r>
            <w:r>
              <w:rPr>
                <w:noProof/>
                <w:webHidden/>
              </w:rPr>
              <w:tab/>
            </w:r>
            <w:r>
              <w:rPr>
                <w:noProof/>
                <w:webHidden/>
              </w:rPr>
              <w:fldChar w:fldCharType="begin"/>
            </w:r>
            <w:r>
              <w:rPr>
                <w:noProof/>
                <w:webHidden/>
              </w:rPr>
              <w:instrText xml:space="preserve"> PAGEREF _Toc119668032 \h </w:instrText>
            </w:r>
            <w:r>
              <w:rPr>
                <w:noProof/>
                <w:webHidden/>
              </w:rPr>
            </w:r>
            <w:r>
              <w:rPr>
                <w:noProof/>
                <w:webHidden/>
              </w:rPr>
              <w:fldChar w:fldCharType="separate"/>
            </w:r>
            <w:r>
              <w:rPr>
                <w:noProof/>
                <w:webHidden/>
              </w:rPr>
              <w:t>5</w:t>
            </w:r>
            <w:r>
              <w:rPr>
                <w:noProof/>
                <w:webHidden/>
              </w:rPr>
              <w:fldChar w:fldCharType="end"/>
            </w:r>
          </w:hyperlink>
        </w:p>
        <w:p w14:paraId="03FE417A" w14:textId="371FF297" w:rsidR="005E6817" w:rsidRDefault="005E6817">
          <w:pPr>
            <w:pStyle w:val="TOC3"/>
            <w:tabs>
              <w:tab w:val="left" w:pos="1701"/>
            </w:tabs>
            <w:rPr>
              <w:rFonts w:asciiTheme="minorHAnsi" w:eastAsiaTheme="minorEastAsia" w:hAnsiTheme="minorHAnsi" w:cstheme="minorBidi"/>
              <w:noProof/>
              <w:sz w:val="22"/>
              <w:szCs w:val="22"/>
              <w:lang w:eastAsia="en-AU"/>
            </w:rPr>
          </w:pPr>
          <w:hyperlink w:anchor="_Toc119668033" w:history="1">
            <w:r w:rsidRPr="006C3BDA">
              <w:rPr>
                <w:rStyle w:val="Hyperlink"/>
                <w:noProof/>
              </w:rPr>
              <w:t>2.1</w:t>
            </w:r>
            <w:r>
              <w:rPr>
                <w:rFonts w:asciiTheme="minorHAnsi" w:eastAsiaTheme="minorEastAsia" w:hAnsiTheme="minorHAnsi" w:cstheme="minorBidi"/>
                <w:noProof/>
                <w:sz w:val="22"/>
                <w:szCs w:val="22"/>
                <w:lang w:eastAsia="en-AU"/>
              </w:rPr>
              <w:tab/>
            </w:r>
            <w:r w:rsidRPr="006C3BDA">
              <w:rPr>
                <w:rStyle w:val="Hyperlink"/>
                <w:noProof/>
              </w:rPr>
              <w:t>Final decision in relation to azelastine and fluticasone propionate</w:t>
            </w:r>
            <w:r>
              <w:rPr>
                <w:noProof/>
                <w:webHidden/>
              </w:rPr>
              <w:tab/>
            </w:r>
            <w:r>
              <w:rPr>
                <w:noProof/>
                <w:webHidden/>
              </w:rPr>
              <w:fldChar w:fldCharType="begin"/>
            </w:r>
            <w:r>
              <w:rPr>
                <w:noProof/>
                <w:webHidden/>
              </w:rPr>
              <w:instrText xml:space="preserve"> PAGEREF _Toc119668033 \h </w:instrText>
            </w:r>
            <w:r>
              <w:rPr>
                <w:noProof/>
                <w:webHidden/>
              </w:rPr>
            </w:r>
            <w:r>
              <w:rPr>
                <w:noProof/>
                <w:webHidden/>
              </w:rPr>
              <w:fldChar w:fldCharType="separate"/>
            </w:r>
            <w:r>
              <w:rPr>
                <w:noProof/>
                <w:webHidden/>
              </w:rPr>
              <w:t>5</w:t>
            </w:r>
            <w:r>
              <w:rPr>
                <w:noProof/>
                <w:webHidden/>
              </w:rPr>
              <w:fldChar w:fldCharType="end"/>
            </w:r>
          </w:hyperlink>
        </w:p>
        <w:p w14:paraId="4C22A396" w14:textId="72136AA2" w:rsidR="005E6817" w:rsidRDefault="005E6817">
          <w:pPr>
            <w:pStyle w:val="TOC2"/>
            <w:tabs>
              <w:tab w:val="left" w:pos="851"/>
            </w:tabs>
            <w:rPr>
              <w:rFonts w:asciiTheme="minorHAnsi" w:eastAsiaTheme="minorEastAsia" w:hAnsiTheme="minorHAnsi" w:cstheme="minorBidi"/>
              <w:noProof/>
              <w:szCs w:val="22"/>
              <w:lang w:eastAsia="en-AU"/>
            </w:rPr>
          </w:pPr>
          <w:hyperlink w:anchor="_Toc119668034" w:history="1">
            <w:r w:rsidRPr="006C3BDA">
              <w:rPr>
                <w:rStyle w:val="Hyperlink"/>
                <w:noProof/>
              </w:rPr>
              <w:t>3</w:t>
            </w:r>
            <w:r>
              <w:rPr>
                <w:rFonts w:asciiTheme="minorHAnsi" w:eastAsiaTheme="minorEastAsia" w:hAnsiTheme="minorHAnsi" w:cstheme="minorBidi"/>
                <w:noProof/>
                <w:szCs w:val="22"/>
                <w:lang w:eastAsia="en-AU"/>
              </w:rPr>
              <w:tab/>
            </w:r>
            <w:r w:rsidRPr="006C3BDA">
              <w:rPr>
                <w:rStyle w:val="Hyperlink"/>
                <w:noProof/>
              </w:rPr>
              <w:t>Final decisions on proposed amendments referred to the Advisory Committees on Medicines and Chemicals Scheduling in joint session (Joint ACMS-ACCS meeting #30, March 2022)</w:t>
            </w:r>
            <w:r>
              <w:rPr>
                <w:noProof/>
                <w:webHidden/>
              </w:rPr>
              <w:tab/>
            </w:r>
            <w:r>
              <w:rPr>
                <w:noProof/>
                <w:webHidden/>
              </w:rPr>
              <w:fldChar w:fldCharType="begin"/>
            </w:r>
            <w:r>
              <w:rPr>
                <w:noProof/>
                <w:webHidden/>
              </w:rPr>
              <w:instrText xml:space="preserve"> PAGEREF _Toc119668034 \h </w:instrText>
            </w:r>
            <w:r>
              <w:rPr>
                <w:noProof/>
                <w:webHidden/>
              </w:rPr>
            </w:r>
            <w:r>
              <w:rPr>
                <w:noProof/>
                <w:webHidden/>
              </w:rPr>
              <w:fldChar w:fldCharType="separate"/>
            </w:r>
            <w:r>
              <w:rPr>
                <w:noProof/>
                <w:webHidden/>
              </w:rPr>
              <w:t>6</w:t>
            </w:r>
            <w:r>
              <w:rPr>
                <w:noProof/>
                <w:webHidden/>
              </w:rPr>
              <w:fldChar w:fldCharType="end"/>
            </w:r>
          </w:hyperlink>
        </w:p>
        <w:p w14:paraId="67EA8928" w14:textId="5A2C27ED" w:rsidR="005E6817" w:rsidRDefault="005E6817">
          <w:pPr>
            <w:pStyle w:val="TOC3"/>
            <w:tabs>
              <w:tab w:val="left" w:pos="1701"/>
            </w:tabs>
            <w:rPr>
              <w:rFonts w:asciiTheme="minorHAnsi" w:eastAsiaTheme="minorEastAsia" w:hAnsiTheme="minorHAnsi" w:cstheme="minorBidi"/>
              <w:noProof/>
              <w:sz w:val="22"/>
              <w:szCs w:val="22"/>
              <w:lang w:eastAsia="en-AU"/>
            </w:rPr>
          </w:pPr>
          <w:hyperlink w:anchor="_Toc119668035" w:history="1">
            <w:r w:rsidRPr="006C3BDA">
              <w:rPr>
                <w:rStyle w:val="Hyperlink"/>
                <w:noProof/>
              </w:rPr>
              <w:t>3.1</w:t>
            </w:r>
            <w:r>
              <w:rPr>
                <w:rFonts w:asciiTheme="minorHAnsi" w:eastAsiaTheme="minorEastAsia" w:hAnsiTheme="minorHAnsi" w:cstheme="minorBidi"/>
                <w:noProof/>
                <w:sz w:val="22"/>
                <w:szCs w:val="22"/>
                <w:lang w:eastAsia="en-AU"/>
              </w:rPr>
              <w:tab/>
            </w:r>
            <w:r w:rsidRPr="006C3BDA">
              <w:rPr>
                <w:rStyle w:val="Hyperlink"/>
                <w:noProof/>
              </w:rPr>
              <w:t>Final decision in relation to cannabis and tetrahydrocannabinols</w:t>
            </w:r>
            <w:r>
              <w:rPr>
                <w:noProof/>
                <w:webHidden/>
              </w:rPr>
              <w:tab/>
            </w:r>
            <w:r>
              <w:rPr>
                <w:noProof/>
                <w:webHidden/>
              </w:rPr>
              <w:fldChar w:fldCharType="begin"/>
            </w:r>
            <w:r>
              <w:rPr>
                <w:noProof/>
                <w:webHidden/>
              </w:rPr>
              <w:instrText xml:space="preserve"> PAGEREF _Toc119668035 \h </w:instrText>
            </w:r>
            <w:r>
              <w:rPr>
                <w:noProof/>
                <w:webHidden/>
              </w:rPr>
            </w:r>
            <w:r>
              <w:rPr>
                <w:noProof/>
                <w:webHidden/>
              </w:rPr>
              <w:fldChar w:fldCharType="separate"/>
            </w:r>
            <w:r>
              <w:rPr>
                <w:noProof/>
                <w:webHidden/>
              </w:rPr>
              <w:t>6</w:t>
            </w:r>
            <w:r>
              <w:rPr>
                <w:noProof/>
                <w:webHidden/>
              </w:rPr>
              <w:fldChar w:fldCharType="end"/>
            </w:r>
          </w:hyperlink>
        </w:p>
        <w:p w14:paraId="2B9CB14E" w14:textId="02333CB7" w:rsidR="005E6817" w:rsidRDefault="005E6817">
          <w:pPr>
            <w:pStyle w:val="TOC3"/>
            <w:tabs>
              <w:tab w:val="left" w:pos="1701"/>
            </w:tabs>
            <w:rPr>
              <w:rFonts w:asciiTheme="minorHAnsi" w:eastAsiaTheme="minorEastAsia" w:hAnsiTheme="minorHAnsi" w:cstheme="minorBidi"/>
              <w:noProof/>
              <w:sz w:val="22"/>
              <w:szCs w:val="22"/>
              <w:lang w:eastAsia="en-AU"/>
            </w:rPr>
          </w:pPr>
          <w:hyperlink w:anchor="_Toc119668036" w:history="1">
            <w:r w:rsidRPr="006C3BDA">
              <w:rPr>
                <w:rStyle w:val="Hyperlink"/>
                <w:noProof/>
              </w:rPr>
              <w:t>3.2</w:t>
            </w:r>
            <w:r>
              <w:rPr>
                <w:rFonts w:asciiTheme="minorHAnsi" w:eastAsiaTheme="minorEastAsia" w:hAnsiTheme="minorHAnsi" w:cstheme="minorBidi"/>
                <w:noProof/>
                <w:sz w:val="22"/>
                <w:szCs w:val="22"/>
                <w:lang w:eastAsia="en-AU"/>
              </w:rPr>
              <w:tab/>
            </w:r>
            <w:r w:rsidRPr="006C3BDA">
              <w:rPr>
                <w:rStyle w:val="Hyperlink"/>
                <w:noProof/>
              </w:rPr>
              <w:t>Final decision in relation to lead</w:t>
            </w:r>
            <w:r>
              <w:rPr>
                <w:noProof/>
                <w:webHidden/>
              </w:rPr>
              <w:tab/>
            </w:r>
            <w:r>
              <w:rPr>
                <w:noProof/>
                <w:webHidden/>
              </w:rPr>
              <w:fldChar w:fldCharType="begin"/>
            </w:r>
            <w:r>
              <w:rPr>
                <w:noProof/>
                <w:webHidden/>
              </w:rPr>
              <w:instrText xml:space="preserve"> PAGEREF _Toc119668036 \h </w:instrText>
            </w:r>
            <w:r>
              <w:rPr>
                <w:noProof/>
                <w:webHidden/>
              </w:rPr>
            </w:r>
            <w:r>
              <w:rPr>
                <w:noProof/>
                <w:webHidden/>
              </w:rPr>
              <w:fldChar w:fldCharType="separate"/>
            </w:r>
            <w:r>
              <w:rPr>
                <w:noProof/>
                <w:webHidden/>
              </w:rPr>
              <w:t>7</w:t>
            </w:r>
            <w:r>
              <w:rPr>
                <w:noProof/>
                <w:webHidden/>
              </w:rPr>
              <w:fldChar w:fldCharType="end"/>
            </w:r>
          </w:hyperlink>
        </w:p>
        <w:p w14:paraId="354AB4C9" w14:textId="4E229C08" w:rsidR="005E6817" w:rsidRDefault="005E6817">
          <w:pPr>
            <w:pStyle w:val="TOC3"/>
            <w:tabs>
              <w:tab w:val="left" w:pos="1701"/>
            </w:tabs>
            <w:rPr>
              <w:rFonts w:asciiTheme="minorHAnsi" w:eastAsiaTheme="minorEastAsia" w:hAnsiTheme="minorHAnsi" w:cstheme="minorBidi"/>
              <w:noProof/>
              <w:sz w:val="22"/>
              <w:szCs w:val="22"/>
              <w:lang w:eastAsia="en-AU"/>
            </w:rPr>
          </w:pPr>
          <w:hyperlink w:anchor="_Toc119668037" w:history="1">
            <w:r w:rsidRPr="006C3BDA">
              <w:rPr>
                <w:rStyle w:val="Hyperlink"/>
                <w:noProof/>
              </w:rPr>
              <w:t>3.3</w:t>
            </w:r>
            <w:r>
              <w:rPr>
                <w:rFonts w:asciiTheme="minorHAnsi" w:eastAsiaTheme="minorEastAsia" w:hAnsiTheme="minorHAnsi" w:cstheme="minorBidi"/>
                <w:noProof/>
                <w:sz w:val="22"/>
                <w:szCs w:val="22"/>
                <w:lang w:eastAsia="en-AU"/>
              </w:rPr>
              <w:tab/>
            </w:r>
            <w:r w:rsidRPr="006C3BDA">
              <w:rPr>
                <w:rStyle w:val="Hyperlink"/>
                <w:noProof/>
              </w:rPr>
              <w:t>Final decision in relation to meloxicam</w:t>
            </w:r>
            <w:r>
              <w:rPr>
                <w:noProof/>
                <w:webHidden/>
              </w:rPr>
              <w:tab/>
            </w:r>
            <w:r>
              <w:rPr>
                <w:noProof/>
                <w:webHidden/>
              </w:rPr>
              <w:fldChar w:fldCharType="begin"/>
            </w:r>
            <w:r>
              <w:rPr>
                <w:noProof/>
                <w:webHidden/>
              </w:rPr>
              <w:instrText xml:space="preserve"> PAGEREF _Toc119668037 \h </w:instrText>
            </w:r>
            <w:r>
              <w:rPr>
                <w:noProof/>
                <w:webHidden/>
              </w:rPr>
            </w:r>
            <w:r>
              <w:rPr>
                <w:noProof/>
                <w:webHidden/>
              </w:rPr>
              <w:fldChar w:fldCharType="separate"/>
            </w:r>
            <w:r>
              <w:rPr>
                <w:noProof/>
                <w:webHidden/>
              </w:rPr>
              <w:t>10</w:t>
            </w:r>
            <w:r>
              <w:rPr>
                <w:noProof/>
                <w:webHidden/>
              </w:rPr>
              <w:fldChar w:fldCharType="end"/>
            </w:r>
          </w:hyperlink>
        </w:p>
        <w:p w14:paraId="0E064662" w14:textId="7ED658EF" w:rsidR="005E6817" w:rsidRDefault="005E6817">
          <w:pPr>
            <w:pStyle w:val="TOC3"/>
            <w:tabs>
              <w:tab w:val="left" w:pos="1701"/>
            </w:tabs>
            <w:rPr>
              <w:rFonts w:asciiTheme="minorHAnsi" w:eastAsiaTheme="minorEastAsia" w:hAnsiTheme="minorHAnsi" w:cstheme="minorBidi"/>
              <w:noProof/>
              <w:sz w:val="22"/>
              <w:szCs w:val="22"/>
              <w:lang w:eastAsia="en-AU"/>
            </w:rPr>
          </w:pPr>
          <w:hyperlink w:anchor="_Toc119668038" w:history="1">
            <w:r w:rsidRPr="006C3BDA">
              <w:rPr>
                <w:rStyle w:val="Hyperlink"/>
                <w:noProof/>
              </w:rPr>
              <w:t>3.4</w:t>
            </w:r>
            <w:r>
              <w:rPr>
                <w:rFonts w:asciiTheme="minorHAnsi" w:eastAsiaTheme="minorEastAsia" w:hAnsiTheme="minorHAnsi" w:cstheme="minorBidi"/>
                <w:noProof/>
                <w:sz w:val="22"/>
                <w:szCs w:val="22"/>
                <w:lang w:eastAsia="en-AU"/>
              </w:rPr>
              <w:tab/>
            </w:r>
            <w:r w:rsidRPr="006C3BDA">
              <w:rPr>
                <w:rStyle w:val="Hyperlink"/>
                <w:noProof/>
              </w:rPr>
              <w:t>Final decision in relation to lidocaine</w:t>
            </w:r>
            <w:r>
              <w:rPr>
                <w:noProof/>
                <w:webHidden/>
              </w:rPr>
              <w:tab/>
            </w:r>
            <w:r>
              <w:rPr>
                <w:noProof/>
                <w:webHidden/>
              </w:rPr>
              <w:fldChar w:fldCharType="begin"/>
            </w:r>
            <w:r>
              <w:rPr>
                <w:noProof/>
                <w:webHidden/>
              </w:rPr>
              <w:instrText xml:space="preserve"> PAGEREF _Toc119668038 \h </w:instrText>
            </w:r>
            <w:r>
              <w:rPr>
                <w:noProof/>
                <w:webHidden/>
              </w:rPr>
            </w:r>
            <w:r>
              <w:rPr>
                <w:noProof/>
                <w:webHidden/>
              </w:rPr>
              <w:fldChar w:fldCharType="separate"/>
            </w:r>
            <w:r>
              <w:rPr>
                <w:noProof/>
                <w:webHidden/>
              </w:rPr>
              <w:t>12</w:t>
            </w:r>
            <w:r>
              <w:rPr>
                <w:noProof/>
                <w:webHidden/>
              </w:rPr>
              <w:fldChar w:fldCharType="end"/>
            </w:r>
          </w:hyperlink>
        </w:p>
        <w:p w14:paraId="21C6DC65" w14:textId="6B2CFBF6" w:rsidR="005E6817" w:rsidRDefault="005E6817">
          <w:pPr>
            <w:pStyle w:val="TOC2"/>
            <w:tabs>
              <w:tab w:val="left" w:pos="851"/>
            </w:tabs>
            <w:rPr>
              <w:rFonts w:asciiTheme="minorHAnsi" w:eastAsiaTheme="minorEastAsia" w:hAnsiTheme="minorHAnsi" w:cstheme="minorBidi"/>
              <w:noProof/>
              <w:szCs w:val="22"/>
              <w:lang w:eastAsia="en-AU"/>
            </w:rPr>
          </w:pPr>
          <w:hyperlink w:anchor="_Toc119668039" w:history="1">
            <w:r w:rsidRPr="006C3BDA">
              <w:rPr>
                <w:rStyle w:val="Hyperlink"/>
                <w:noProof/>
              </w:rPr>
              <w:t>4</w:t>
            </w:r>
            <w:r>
              <w:rPr>
                <w:rFonts w:asciiTheme="minorHAnsi" w:eastAsiaTheme="minorEastAsia" w:hAnsiTheme="minorHAnsi" w:cstheme="minorBidi"/>
                <w:noProof/>
                <w:szCs w:val="22"/>
                <w:lang w:eastAsia="en-AU"/>
              </w:rPr>
              <w:tab/>
            </w:r>
            <w:r w:rsidRPr="006C3BDA">
              <w:rPr>
                <w:rStyle w:val="Hyperlink"/>
                <w:noProof/>
              </w:rPr>
              <w:t>Final decisions on proposed amendments referred to the Advisory Committee on Chemicals Scheduling (ACCS #33, March 2022)</w:t>
            </w:r>
            <w:r>
              <w:rPr>
                <w:noProof/>
                <w:webHidden/>
              </w:rPr>
              <w:tab/>
            </w:r>
            <w:r>
              <w:rPr>
                <w:noProof/>
                <w:webHidden/>
              </w:rPr>
              <w:fldChar w:fldCharType="begin"/>
            </w:r>
            <w:r>
              <w:rPr>
                <w:noProof/>
                <w:webHidden/>
              </w:rPr>
              <w:instrText xml:space="preserve"> PAGEREF _Toc119668039 \h </w:instrText>
            </w:r>
            <w:r>
              <w:rPr>
                <w:noProof/>
                <w:webHidden/>
              </w:rPr>
            </w:r>
            <w:r>
              <w:rPr>
                <w:noProof/>
                <w:webHidden/>
              </w:rPr>
              <w:fldChar w:fldCharType="separate"/>
            </w:r>
            <w:r>
              <w:rPr>
                <w:noProof/>
                <w:webHidden/>
              </w:rPr>
              <w:t>13</w:t>
            </w:r>
            <w:r>
              <w:rPr>
                <w:noProof/>
                <w:webHidden/>
              </w:rPr>
              <w:fldChar w:fldCharType="end"/>
            </w:r>
          </w:hyperlink>
        </w:p>
        <w:p w14:paraId="6501CA68" w14:textId="266AAEA1" w:rsidR="005E6817" w:rsidRDefault="005E6817">
          <w:pPr>
            <w:pStyle w:val="TOC3"/>
            <w:rPr>
              <w:rFonts w:asciiTheme="minorHAnsi" w:eastAsiaTheme="minorEastAsia" w:hAnsiTheme="minorHAnsi" w:cstheme="minorBidi"/>
              <w:noProof/>
              <w:sz w:val="22"/>
              <w:szCs w:val="22"/>
              <w:lang w:eastAsia="en-AU"/>
            </w:rPr>
          </w:pPr>
          <w:hyperlink w:anchor="_Toc119668040" w:history="1">
            <w:r w:rsidRPr="006C3BDA">
              <w:rPr>
                <w:rStyle w:val="Hyperlink"/>
                <w:noProof/>
              </w:rPr>
              <w:t>4.1 Final decision in relation to flumioxazin</w:t>
            </w:r>
            <w:r>
              <w:rPr>
                <w:noProof/>
                <w:webHidden/>
              </w:rPr>
              <w:tab/>
            </w:r>
            <w:r>
              <w:rPr>
                <w:noProof/>
                <w:webHidden/>
              </w:rPr>
              <w:fldChar w:fldCharType="begin"/>
            </w:r>
            <w:r>
              <w:rPr>
                <w:noProof/>
                <w:webHidden/>
              </w:rPr>
              <w:instrText xml:space="preserve"> PAGEREF _Toc119668040 \h </w:instrText>
            </w:r>
            <w:r>
              <w:rPr>
                <w:noProof/>
                <w:webHidden/>
              </w:rPr>
            </w:r>
            <w:r>
              <w:rPr>
                <w:noProof/>
                <w:webHidden/>
              </w:rPr>
              <w:fldChar w:fldCharType="separate"/>
            </w:r>
            <w:r>
              <w:rPr>
                <w:noProof/>
                <w:webHidden/>
              </w:rPr>
              <w:t>13</w:t>
            </w:r>
            <w:r>
              <w:rPr>
                <w:noProof/>
                <w:webHidden/>
              </w:rPr>
              <w:fldChar w:fldCharType="end"/>
            </w:r>
          </w:hyperlink>
        </w:p>
        <w:p w14:paraId="7DF331EE" w14:textId="03E73DE3" w:rsidR="0025660C" w:rsidRDefault="008D3724" w:rsidP="008D3724">
          <w:pPr>
            <w:pStyle w:val="NonTOCheading2"/>
          </w:pPr>
          <w:r>
            <w:rPr>
              <w:sz w:val="32"/>
            </w:rPr>
            <w:fldChar w:fldCharType="end"/>
          </w:r>
        </w:p>
      </w:sdtContent>
    </w:sdt>
    <w:p w14:paraId="3445656D" w14:textId="540444A0" w:rsidR="0025660C" w:rsidRPr="00BC2009" w:rsidRDefault="00597B50" w:rsidP="00BC2009">
      <w:pPr>
        <w:pStyle w:val="Heading2"/>
        <w:pageBreakBefore/>
        <w:ind w:left="431" w:hanging="431"/>
      </w:pPr>
      <w:bookmarkStart w:id="3" w:name="_Toc119668031"/>
      <w:bookmarkEnd w:id="2"/>
      <w:bookmarkEnd w:id="1"/>
      <w:bookmarkEnd w:id="0"/>
      <w:r w:rsidRPr="00597B50">
        <w:lastRenderedPageBreak/>
        <w:t>Notice of final decisions to amend (or not amend) the current Poisons Standard</w:t>
      </w:r>
      <w:bookmarkEnd w:id="3"/>
      <w:r w:rsidRPr="00597B50">
        <w:t xml:space="preserve"> </w:t>
      </w:r>
    </w:p>
    <w:p w14:paraId="6885013C" w14:textId="3DF9C5BA" w:rsidR="00597B50" w:rsidRPr="00C85C3F" w:rsidRDefault="00597B50">
      <w:r w:rsidRPr="00C85C3F">
        <w:t>This web publication constitutes a notice for the purposes of regulation 42ZCZ</w:t>
      </w:r>
      <w:r w:rsidR="00B70D5B">
        <w:t>S</w:t>
      </w:r>
      <w:r w:rsidRPr="00C85C3F">
        <w:t xml:space="preserve"> of the </w:t>
      </w:r>
      <w:r w:rsidRPr="00A26B38">
        <w:rPr>
          <w:iCs/>
        </w:rPr>
        <w:t>Therapeutic Goods Regulations 1990</w:t>
      </w:r>
      <w:r w:rsidRPr="00C85C3F">
        <w:rPr>
          <w:i/>
        </w:rPr>
        <w:t xml:space="preserve"> </w:t>
      </w:r>
      <w:r w:rsidRPr="00C85C3F">
        <w:t xml:space="preserve">(the </w:t>
      </w:r>
      <w:r w:rsidRPr="00C85C3F">
        <w:rPr>
          <w:b/>
        </w:rPr>
        <w:t>Regulations</w:t>
      </w:r>
      <w:r w:rsidRPr="00C85C3F">
        <w:t>). In accordance with regulation</w:t>
      </w:r>
      <w:r w:rsidR="002E48A2" w:rsidRPr="00C85C3F">
        <w:t xml:space="preserve"> </w:t>
      </w:r>
      <w:r w:rsidRPr="00C85C3F">
        <w:t>42ZCZ</w:t>
      </w:r>
      <w:r w:rsidR="00B70D5B">
        <w:t>S</w:t>
      </w:r>
      <w:r w:rsidRPr="00C85C3F">
        <w:t>, this notice publishes:</w:t>
      </w:r>
    </w:p>
    <w:p w14:paraId="5B1F7834" w14:textId="103457E1" w:rsidR="006F067A" w:rsidRDefault="00597B50" w:rsidP="006F067A">
      <w:pPr>
        <w:pStyle w:val="ListBullet"/>
      </w:pPr>
      <w:r w:rsidRPr="00C85C3F">
        <w:t>the decision</w:t>
      </w:r>
      <w:r w:rsidR="00213C7D" w:rsidRPr="00C85C3F">
        <w:t>s</w:t>
      </w:r>
      <w:r w:rsidRPr="00C85C3F">
        <w:t xml:space="preserve"> made by a delegate</w:t>
      </w:r>
      <w:r w:rsidR="00A53DC8" w:rsidRPr="00C85C3F">
        <w:t xml:space="preserve"> </w:t>
      </w:r>
      <w:r w:rsidRPr="00C85C3F">
        <w:t xml:space="preserve">of the Secretary </w:t>
      </w:r>
      <w:r w:rsidR="002E48A2" w:rsidRPr="00C85C3F">
        <w:t xml:space="preserve">of the Department of Health and Aged Care </w:t>
      </w:r>
      <w:r w:rsidR="00E96A85" w:rsidRPr="00C85C3F">
        <w:t>(</w:t>
      </w:r>
      <w:r w:rsidR="002E48A2" w:rsidRPr="00C85C3F">
        <w:t xml:space="preserve">the </w:t>
      </w:r>
      <w:r w:rsidR="00365A98" w:rsidRPr="00C85C3F">
        <w:rPr>
          <w:b/>
          <w:bCs/>
        </w:rPr>
        <w:t>Delegate</w:t>
      </w:r>
      <w:r w:rsidR="002E48A2" w:rsidRPr="00C85C3F">
        <w:t xml:space="preserve">) </w:t>
      </w:r>
      <w:r w:rsidR="006F067A" w:rsidRPr="00C85C3F">
        <w:t xml:space="preserve">pursuant to regulation </w:t>
      </w:r>
      <w:proofErr w:type="gramStart"/>
      <w:r w:rsidR="006F067A" w:rsidRPr="00C85C3F">
        <w:t>42ZCZR;</w:t>
      </w:r>
      <w:proofErr w:type="gramEnd"/>
    </w:p>
    <w:p w14:paraId="16D0386E" w14:textId="7552CA93" w:rsidR="00B70D5B" w:rsidRDefault="00B70D5B" w:rsidP="006F067A">
      <w:pPr>
        <w:pStyle w:val="ListBullet"/>
      </w:pPr>
      <w:r w:rsidRPr="00B70D5B">
        <w:t>the reasons for those final decisions; and</w:t>
      </w:r>
    </w:p>
    <w:p w14:paraId="36D25351" w14:textId="7E565376" w:rsidR="0025742E" w:rsidRDefault="00B70D5B" w:rsidP="0025742E">
      <w:pPr>
        <w:pStyle w:val="ListBullet"/>
      </w:pPr>
      <w:r w:rsidRPr="00B70D5B">
        <w:t>the date of effect of those decisions</w:t>
      </w:r>
    </w:p>
    <w:p w14:paraId="50CCD000" w14:textId="77777777" w:rsidR="0025742E" w:rsidRDefault="0025742E">
      <w:pPr>
        <w:spacing w:before="0" w:after="0" w:line="240" w:lineRule="auto"/>
      </w:pPr>
      <w:r>
        <w:br w:type="page"/>
      </w:r>
    </w:p>
    <w:p w14:paraId="4214D372" w14:textId="595CB626" w:rsidR="00FA029A" w:rsidRPr="00FA029A" w:rsidRDefault="00F41DCE" w:rsidP="00E951D8">
      <w:pPr>
        <w:pStyle w:val="Heading2"/>
      </w:pPr>
      <w:bookmarkStart w:id="4" w:name="_Toc119668032"/>
      <w:r>
        <w:lastRenderedPageBreak/>
        <w:t>Final</w:t>
      </w:r>
      <w:r w:rsidR="00FA029A" w:rsidRPr="00FA029A">
        <w:t xml:space="preserve"> decisions on proposed amendments referred to the Advisory Committee o</w:t>
      </w:r>
      <w:r w:rsidR="00FA029A">
        <w:t>n Medicines Scheduling (ACMS #</w:t>
      </w:r>
      <w:r w:rsidR="002E48A2">
        <w:t>37</w:t>
      </w:r>
      <w:r w:rsidR="00FA029A">
        <w:t>, M</w:t>
      </w:r>
      <w:r w:rsidR="009A63FF">
        <w:t>arc</w:t>
      </w:r>
      <w:r w:rsidR="00FA029A">
        <w:t>h 20</w:t>
      </w:r>
      <w:r w:rsidR="002E48A2">
        <w:t>22</w:t>
      </w:r>
      <w:r w:rsidR="00FA029A" w:rsidRPr="00FA029A">
        <w:t>)</w:t>
      </w:r>
      <w:bookmarkEnd w:id="4"/>
    </w:p>
    <w:p w14:paraId="634356B8" w14:textId="77777777" w:rsidR="002E48A2" w:rsidRPr="00A44D7F" w:rsidRDefault="00F56D63" w:rsidP="002E48A2">
      <w:pPr>
        <w:pStyle w:val="Heading3"/>
        <w:ind w:left="709" w:hanging="709"/>
      </w:pPr>
      <w:bookmarkStart w:id="5" w:name="_Toc46325255"/>
      <w:bookmarkStart w:id="6" w:name="_Toc46325611"/>
      <w:bookmarkStart w:id="7" w:name="_Toc46327427"/>
      <w:bookmarkStart w:id="8" w:name="_Toc46412213"/>
      <w:bookmarkStart w:id="9" w:name="_Final_decision_in"/>
      <w:bookmarkStart w:id="10" w:name="_Toc46325256"/>
      <w:bookmarkStart w:id="11" w:name="_Toc46325612"/>
      <w:bookmarkStart w:id="12" w:name="_Toc46327428"/>
      <w:bookmarkStart w:id="13" w:name="_Toc46412214"/>
      <w:bookmarkStart w:id="14" w:name="_Toc46325257"/>
      <w:bookmarkStart w:id="15" w:name="_Toc46325613"/>
      <w:bookmarkStart w:id="16" w:name="_Toc46327429"/>
      <w:bookmarkStart w:id="17" w:name="_Toc46412215"/>
      <w:bookmarkStart w:id="18" w:name="_Toc46325258"/>
      <w:bookmarkStart w:id="19" w:name="_Toc46325614"/>
      <w:bookmarkStart w:id="20" w:name="_Toc46327430"/>
      <w:bookmarkStart w:id="21" w:name="_Toc46412216"/>
      <w:bookmarkStart w:id="22" w:name="_Toc46325259"/>
      <w:bookmarkStart w:id="23" w:name="_Toc46325615"/>
      <w:bookmarkStart w:id="24" w:name="_Toc46327431"/>
      <w:bookmarkStart w:id="25" w:name="_Toc46412217"/>
      <w:bookmarkStart w:id="26" w:name="_Final_decision_in_1"/>
      <w:bookmarkStart w:id="27" w:name="_Toc11966803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t xml:space="preserve">Final decision in relation to </w:t>
      </w:r>
      <w:r w:rsidR="002E48A2" w:rsidRPr="00A44D7F">
        <w:t>azelastine and fluticasone propionate</w:t>
      </w:r>
      <w:bookmarkEnd w:id="27"/>
    </w:p>
    <w:p w14:paraId="61990131" w14:textId="77777777" w:rsidR="002E48A2" w:rsidRPr="00957F5A" w:rsidRDefault="002E48A2" w:rsidP="009A63FF">
      <w:pPr>
        <w:pStyle w:val="Heading5"/>
      </w:pPr>
      <w:bookmarkStart w:id="28" w:name="_Toc111638200"/>
      <w:r w:rsidRPr="00957F5A">
        <w:t>Proposal</w:t>
      </w:r>
      <w:bookmarkEnd w:id="28"/>
    </w:p>
    <w:p w14:paraId="47494997" w14:textId="0561D9D2" w:rsidR="002E48A2" w:rsidRPr="002E48A2" w:rsidRDefault="002E48A2" w:rsidP="002E48A2">
      <w:r w:rsidRPr="00E82502">
        <w:t xml:space="preserve">The applicant proposed amendments to the current Schedule 2 Poison Standard entries for azelastine and fluticasone propionate to include additional specific entries for fixed-dose combination (FDC) products containing both these substances for use up to 6 months duration (the </w:t>
      </w:r>
      <w:r w:rsidRPr="00E82502">
        <w:rPr>
          <w:b/>
          <w:bCs/>
        </w:rPr>
        <w:t>Proposal</w:t>
      </w:r>
      <w:r w:rsidRPr="00E82502">
        <w:t>). The Proposal is made in the context that FDC products containing these substances that are not indicated for a limited period of use are currently included in the Australian Register of Therapeutic Goods (ARTG) as prescription-only medicines.</w:t>
      </w:r>
    </w:p>
    <w:p w14:paraId="61E0B426" w14:textId="2DE0299B" w:rsidR="00335BEC" w:rsidRPr="008036B7" w:rsidRDefault="00436C41" w:rsidP="00F41DCE">
      <w:pPr>
        <w:pStyle w:val="Heading5"/>
      </w:pPr>
      <w:r>
        <w:t xml:space="preserve">Final </w:t>
      </w:r>
      <w:r w:rsidR="00A53DC8">
        <w:t>d</w:t>
      </w:r>
      <w:r>
        <w:t>ecision</w:t>
      </w:r>
    </w:p>
    <w:p w14:paraId="549A1777" w14:textId="3881DF59" w:rsidR="00335BEC" w:rsidRPr="00335BEC" w:rsidRDefault="006E2967" w:rsidP="00335BEC">
      <w:r>
        <w:rPr>
          <w:iCs/>
        </w:rPr>
        <w:t xml:space="preserve">Pursuant to </w:t>
      </w:r>
      <w:r w:rsidRPr="00892408">
        <w:rPr>
          <w:iCs/>
        </w:rPr>
        <w:t>regulation 42ZCZ</w:t>
      </w:r>
      <w:r w:rsidR="00B70D5B">
        <w:rPr>
          <w:iCs/>
        </w:rPr>
        <w:t>R</w:t>
      </w:r>
      <w:r w:rsidRPr="00892408">
        <w:rPr>
          <w:iCs/>
        </w:rPr>
        <w:t xml:space="preserve"> of </w:t>
      </w:r>
      <w:r w:rsidR="004F545F">
        <w:rPr>
          <w:iCs/>
        </w:rPr>
        <w:t xml:space="preserve">the </w:t>
      </w:r>
      <w:r w:rsidRPr="00892408">
        <w:rPr>
          <w:iCs/>
        </w:rPr>
        <w:t xml:space="preserve">Therapeutic Goods Regulations 1990 (Cth) (the </w:t>
      </w:r>
      <w:r w:rsidRPr="006E2967">
        <w:rPr>
          <w:b/>
          <w:bCs/>
          <w:iCs/>
        </w:rPr>
        <w:t>Regulations</w:t>
      </w:r>
      <w:r w:rsidRPr="00892408">
        <w:rPr>
          <w:iCs/>
        </w:rPr>
        <w:t>),</w:t>
      </w:r>
      <w:r>
        <w:rPr>
          <w:b/>
          <w:bCs/>
          <w:i/>
          <w:iCs/>
        </w:rPr>
        <w:t xml:space="preserve"> </w:t>
      </w:r>
      <w:r w:rsidRPr="00892408">
        <w:rPr>
          <w:iCs/>
        </w:rPr>
        <w:t>a</w:t>
      </w:r>
      <w:r>
        <w:rPr>
          <w:iCs/>
        </w:rPr>
        <w:t xml:space="preserve"> </w:t>
      </w:r>
      <w:r w:rsidRPr="00892408">
        <w:rPr>
          <w:iCs/>
        </w:rPr>
        <w:t xml:space="preserve">delegate of the Secretary of the Department of Health and Aged Care (the </w:t>
      </w:r>
      <w:r w:rsidRPr="006E2967">
        <w:rPr>
          <w:b/>
          <w:bCs/>
          <w:iCs/>
        </w:rPr>
        <w:t>Delegate</w:t>
      </w:r>
      <w:r w:rsidRPr="00892408">
        <w:rPr>
          <w:iCs/>
        </w:rPr>
        <w:t>)</w:t>
      </w:r>
      <w:r>
        <w:rPr>
          <w:iCs/>
        </w:rPr>
        <w:t xml:space="preserve"> </w:t>
      </w:r>
      <w:r w:rsidR="00335BEC">
        <w:t xml:space="preserve">has made a final decision to </w:t>
      </w:r>
      <w:r w:rsidR="00516E40" w:rsidRPr="002E48A2">
        <w:t xml:space="preserve">not amend the current Poisons Standard in relation to </w:t>
      </w:r>
      <w:r w:rsidR="002E48A2" w:rsidRPr="00E82502">
        <w:t>azelastine and fluticasone</w:t>
      </w:r>
      <w:r w:rsidR="002E48A2">
        <w:t>.</w:t>
      </w:r>
    </w:p>
    <w:p w14:paraId="5D482910" w14:textId="73C349EA" w:rsidR="00436C41" w:rsidRDefault="00436C41" w:rsidP="00F41DCE">
      <w:pPr>
        <w:pStyle w:val="Heading5"/>
      </w:pPr>
      <w:r>
        <w:t xml:space="preserve">Materials considered </w:t>
      </w:r>
    </w:p>
    <w:p w14:paraId="348AF278" w14:textId="4E3E957E" w:rsidR="006A64F4" w:rsidRDefault="006A64F4" w:rsidP="006A64F4">
      <w:r>
        <w:t>In making this final decision, the Delegate considered the following material:</w:t>
      </w:r>
    </w:p>
    <w:p w14:paraId="53C8F47E" w14:textId="15EE1287" w:rsidR="00F31A20" w:rsidRDefault="00F31A20" w:rsidP="00F31A20">
      <w:pPr>
        <w:numPr>
          <w:ilvl w:val="0"/>
          <w:numId w:val="8"/>
        </w:numPr>
      </w:pPr>
      <w:r w:rsidRPr="00E82502">
        <w:t xml:space="preserve">The </w:t>
      </w:r>
      <w:hyperlink r:id="rId12" w:history="1">
        <w:r w:rsidRPr="00E82502">
          <w:rPr>
            <w:color w:val="0000FF"/>
            <w:u w:val="single"/>
          </w:rPr>
          <w:t>application</w:t>
        </w:r>
      </w:hyperlink>
      <w:r w:rsidRPr="00E82502">
        <w:t xml:space="preserve"> to amend the current Poisons Standard with respect to azelastine and fluticasone propionate (the </w:t>
      </w:r>
      <w:r w:rsidRPr="00E82502">
        <w:rPr>
          <w:b/>
          <w:bCs/>
        </w:rPr>
        <w:t>Application</w:t>
      </w:r>
      <w:r w:rsidRPr="00E82502">
        <w:t>)</w:t>
      </w:r>
      <w:r w:rsidR="00966187">
        <w:t>;</w:t>
      </w:r>
    </w:p>
    <w:p w14:paraId="44D12ABC" w14:textId="32235756" w:rsidR="005663B4" w:rsidRPr="00E82502" w:rsidRDefault="005663B4" w:rsidP="00BA7D66">
      <w:pPr>
        <w:pStyle w:val="ListBullet"/>
        <w:numPr>
          <w:ilvl w:val="0"/>
          <w:numId w:val="8"/>
        </w:numPr>
      </w:pPr>
      <w:r w:rsidRPr="005663B4">
        <w:rPr>
          <w:rFonts w:asciiTheme="minorHAnsi" w:hAnsiTheme="minorHAnsi"/>
        </w:rPr>
        <w:t>The</w:t>
      </w:r>
      <w:r w:rsidR="00A35A7B">
        <w:rPr>
          <w:rFonts w:asciiTheme="minorHAnsi" w:hAnsiTheme="minorHAnsi"/>
        </w:rPr>
        <w:t xml:space="preserve"> 25</w:t>
      </w:r>
      <w:r w:rsidRPr="005663B4">
        <w:rPr>
          <w:rFonts w:asciiTheme="minorHAnsi" w:hAnsiTheme="minorHAnsi"/>
        </w:rPr>
        <w:t xml:space="preserve"> </w:t>
      </w:r>
      <w:hyperlink r:id="rId13" w:history="1">
        <w:r w:rsidRPr="005663B4">
          <w:rPr>
            <w:rStyle w:val="Hyperlink"/>
            <w:rFonts w:asciiTheme="minorHAnsi" w:hAnsiTheme="minorHAnsi"/>
          </w:rPr>
          <w:t>public submissions</w:t>
        </w:r>
      </w:hyperlink>
      <w:r w:rsidRPr="005663B4">
        <w:rPr>
          <w:rFonts w:asciiTheme="minorHAnsi" w:hAnsiTheme="minorHAnsi"/>
        </w:rPr>
        <w:t xml:space="preserve"> received in response to the </w:t>
      </w:r>
      <w:hyperlink r:id="rId14" w:history="1">
        <w:r w:rsidRPr="005663B4">
          <w:rPr>
            <w:rStyle w:val="Hyperlink"/>
            <w:rFonts w:asciiTheme="minorHAnsi" w:hAnsiTheme="minorHAnsi"/>
          </w:rPr>
          <w:t>pre-meeting consultation</w:t>
        </w:r>
      </w:hyperlink>
      <w:r w:rsidRPr="005663B4">
        <w:rPr>
          <w:rFonts w:asciiTheme="minorHAnsi" w:hAnsiTheme="minorHAnsi"/>
        </w:rPr>
        <w:t xml:space="preserve"> under regulation 42ZCZK of the Regulations</w:t>
      </w:r>
      <w:r w:rsidR="00966187">
        <w:rPr>
          <w:rFonts w:asciiTheme="minorHAnsi" w:hAnsiTheme="minorHAnsi"/>
        </w:rPr>
        <w:t>;</w:t>
      </w:r>
      <w:r w:rsidRPr="005663B4">
        <w:rPr>
          <w:rFonts w:asciiTheme="minorHAnsi" w:hAnsiTheme="minorHAnsi"/>
        </w:rPr>
        <w:t xml:space="preserve"> </w:t>
      </w:r>
    </w:p>
    <w:p w14:paraId="5F587950" w14:textId="5D8FF5B0" w:rsidR="00F31A20" w:rsidRPr="00E82502" w:rsidRDefault="00F31A20" w:rsidP="00F31A20">
      <w:pPr>
        <w:numPr>
          <w:ilvl w:val="0"/>
          <w:numId w:val="8"/>
        </w:numPr>
        <w:ind w:left="357" w:hanging="357"/>
      </w:pPr>
      <w:r w:rsidRPr="00E82502">
        <w:t xml:space="preserve">The 5 </w:t>
      </w:r>
      <w:hyperlink r:id="rId15" w:history="1">
        <w:r w:rsidRPr="00E82502">
          <w:rPr>
            <w:color w:val="0000FF"/>
            <w:u w:val="single"/>
          </w:rPr>
          <w:t>public submissions</w:t>
        </w:r>
      </w:hyperlink>
      <w:r w:rsidRPr="00E82502">
        <w:t xml:space="preserve">, with 4 </w:t>
      </w:r>
      <w:r w:rsidR="00BC1E84">
        <w:t>written submissions</w:t>
      </w:r>
      <w:r w:rsidRPr="00E82502">
        <w:t>, received in response to the</w:t>
      </w:r>
      <w:hyperlink r:id="rId16" w:history="1">
        <w:r w:rsidRPr="00E82502">
          <w:rPr>
            <w:color w:val="0000FF"/>
            <w:u w:val="single"/>
          </w:rPr>
          <w:t xml:space="preserve"> </w:t>
        </w:r>
        <w:r w:rsidR="00BC1E84">
          <w:rPr>
            <w:color w:val="0000FF"/>
            <w:u w:val="single"/>
          </w:rPr>
          <w:t xml:space="preserve">Interim </w:t>
        </w:r>
        <w:r w:rsidR="00992DD3">
          <w:rPr>
            <w:color w:val="0000FF"/>
            <w:u w:val="single"/>
          </w:rPr>
          <w:t>d</w:t>
        </w:r>
        <w:r w:rsidR="00BC1E84">
          <w:rPr>
            <w:color w:val="0000FF"/>
            <w:u w:val="single"/>
          </w:rPr>
          <w:t>ecision</w:t>
        </w:r>
      </w:hyperlink>
      <w:r w:rsidR="00BC1E84">
        <w:rPr>
          <w:color w:val="0000FF"/>
          <w:u w:val="single"/>
        </w:rPr>
        <w:t xml:space="preserve"> </w:t>
      </w:r>
      <w:r w:rsidR="00992DD3">
        <w:rPr>
          <w:color w:val="0000FF"/>
          <w:u w:val="single"/>
        </w:rPr>
        <w:t>consultation</w:t>
      </w:r>
      <w:r w:rsidRPr="00E82502">
        <w:t xml:space="preserve"> under regulation 42ZCZ</w:t>
      </w:r>
      <w:r w:rsidR="00BC1E84">
        <w:t>P</w:t>
      </w:r>
      <w:r w:rsidRPr="00E82502">
        <w:t xml:space="preserve"> of the Regulations (the </w:t>
      </w:r>
      <w:r w:rsidRPr="00E82502">
        <w:rPr>
          <w:b/>
          <w:bCs/>
        </w:rPr>
        <w:t>Submissions</w:t>
      </w:r>
      <w:r w:rsidRPr="00E82502">
        <w:t>);</w:t>
      </w:r>
    </w:p>
    <w:p w14:paraId="6032CF59" w14:textId="7A1F4944" w:rsidR="00F31A20" w:rsidRPr="00E82502" w:rsidRDefault="00F31A20" w:rsidP="00F31A20">
      <w:pPr>
        <w:numPr>
          <w:ilvl w:val="0"/>
          <w:numId w:val="8"/>
        </w:numPr>
        <w:ind w:left="357" w:hanging="357"/>
      </w:pPr>
      <w:r w:rsidRPr="00E82502">
        <w:t>The advice received from the 37</w:t>
      </w:r>
      <w:r w:rsidRPr="00E82502">
        <w:rPr>
          <w:vertAlign w:val="superscript"/>
        </w:rPr>
        <w:t>th</w:t>
      </w:r>
      <w:r w:rsidRPr="00E82502">
        <w:t xml:space="preserve"> meeting of the Advisory Committee on Medicines Scheduling (the </w:t>
      </w:r>
      <w:r w:rsidRPr="00E82502">
        <w:rPr>
          <w:b/>
          <w:bCs/>
        </w:rPr>
        <w:t>Committee</w:t>
      </w:r>
      <w:proofErr w:type="gramStart"/>
      <w:r w:rsidRPr="00E82502">
        <w:t>)</w:t>
      </w:r>
      <w:r w:rsidR="00FF6DAF">
        <w:t>;</w:t>
      </w:r>
      <w:proofErr w:type="gramEnd"/>
    </w:p>
    <w:p w14:paraId="184968A5" w14:textId="77777777" w:rsidR="00F31A20" w:rsidRPr="00E82502" w:rsidRDefault="00F31A20" w:rsidP="00F31A20">
      <w:pPr>
        <w:numPr>
          <w:ilvl w:val="0"/>
          <w:numId w:val="8"/>
        </w:numPr>
        <w:ind w:left="357" w:hanging="357"/>
      </w:pPr>
      <w:r w:rsidRPr="00E82502">
        <w:t xml:space="preserve">Subsection 52E(1) of the </w:t>
      </w:r>
      <w:r w:rsidRPr="00E82502">
        <w:rPr>
          <w:i/>
        </w:rPr>
        <w:t>Therapeutic Goods Act 1989</w:t>
      </w:r>
      <w:r w:rsidRPr="00E82502">
        <w:rPr>
          <w:iCs/>
        </w:rPr>
        <w:t xml:space="preserve"> (Cth) (the </w:t>
      </w:r>
      <w:r w:rsidRPr="00E82502">
        <w:rPr>
          <w:b/>
          <w:bCs/>
          <w:iCs/>
        </w:rPr>
        <w:t>Act</w:t>
      </w:r>
      <w:r w:rsidRPr="00E82502">
        <w:rPr>
          <w:iCs/>
        </w:rPr>
        <w:t>)</w:t>
      </w:r>
      <w:r w:rsidRPr="00E82502">
        <w:rPr>
          <w:i/>
        </w:rPr>
        <w:t xml:space="preserve">, </w:t>
      </w:r>
      <w:r w:rsidRPr="00E82502">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53403737" w14:textId="74BAACBE" w:rsidR="00F31A20" w:rsidRPr="00E82502" w:rsidRDefault="00F31A20" w:rsidP="00F31A20">
      <w:pPr>
        <w:numPr>
          <w:ilvl w:val="0"/>
          <w:numId w:val="8"/>
        </w:numPr>
        <w:ind w:left="357" w:hanging="357"/>
      </w:pPr>
      <w:r w:rsidRPr="00E82502">
        <w:t xml:space="preserve">The </w:t>
      </w:r>
      <w:hyperlink r:id="rId17" w:history="1">
        <w:r w:rsidRPr="00E82502">
          <w:rPr>
            <w:color w:val="0000FF"/>
            <w:u w:val="single"/>
          </w:rPr>
          <w:t>Scheduling Policy Framework</w:t>
        </w:r>
      </w:hyperlink>
      <w:r w:rsidRPr="00E82502">
        <w:t xml:space="preserve"> 2018 (the </w:t>
      </w:r>
      <w:r w:rsidRPr="00E82502">
        <w:rPr>
          <w:b/>
          <w:bCs/>
        </w:rPr>
        <w:t>SPF</w:t>
      </w:r>
      <w:r w:rsidRPr="00E82502">
        <w:t>)</w:t>
      </w:r>
      <w:r w:rsidR="00784F14">
        <w:t xml:space="preserve">; </w:t>
      </w:r>
      <w:r w:rsidRPr="00E82502">
        <w:t>and</w:t>
      </w:r>
    </w:p>
    <w:p w14:paraId="61931870" w14:textId="77777777" w:rsidR="00F31A20" w:rsidRPr="00E82502" w:rsidRDefault="00F31A20" w:rsidP="00F31A20">
      <w:pPr>
        <w:numPr>
          <w:ilvl w:val="0"/>
          <w:numId w:val="8"/>
        </w:numPr>
        <w:ind w:left="357" w:hanging="357"/>
      </w:pPr>
      <w:r w:rsidRPr="00E82502">
        <w:t xml:space="preserve">The </w:t>
      </w:r>
      <w:hyperlink r:id="rId18" w:history="1">
        <w:r w:rsidRPr="00E82502">
          <w:rPr>
            <w:color w:val="0000FF"/>
            <w:u w:val="single"/>
          </w:rPr>
          <w:t>Scheduling handbook: Guidance for amending the Poisons Standard</w:t>
        </w:r>
      </w:hyperlink>
      <w:r w:rsidRPr="00E82502">
        <w:t>.</w:t>
      </w:r>
    </w:p>
    <w:p w14:paraId="70E59020" w14:textId="6A773F7F" w:rsidR="00436C41" w:rsidRDefault="00436C41" w:rsidP="00F41DCE">
      <w:pPr>
        <w:pStyle w:val="Heading5"/>
      </w:pPr>
      <w:r w:rsidRPr="00436C41">
        <w:t>Reasons for the final decision (including findings on material questions of fact)</w:t>
      </w:r>
    </w:p>
    <w:p w14:paraId="58AB9CA9" w14:textId="0BA8ED50" w:rsidR="00FD38E9" w:rsidRDefault="00BC1E84" w:rsidP="00BC1E84">
      <w:r w:rsidRPr="002A2ADB">
        <w:t xml:space="preserve">I have made a final decision to confirm my </w:t>
      </w:r>
      <w:hyperlink r:id="rId19" w:history="1">
        <w:r w:rsidRPr="00941597">
          <w:rPr>
            <w:rStyle w:val="Hyperlink"/>
          </w:rPr>
          <w:t>interim decision</w:t>
        </w:r>
      </w:hyperlink>
      <w:r w:rsidRPr="003F49C9">
        <w:rPr>
          <w:color w:val="0070C0"/>
        </w:rPr>
        <w:t xml:space="preserve"> </w:t>
      </w:r>
      <w:r w:rsidRPr="002A2ADB">
        <w:t xml:space="preserve">to not amend the current Poisons Standard with respect to azelastine and fluticasone propionate. My reasons for making </w:t>
      </w:r>
      <w:r w:rsidR="00FD38E9">
        <w:t>this</w:t>
      </w:r>
      <w:r w:rsidR="00FD38E9" w:rsidRPr="002A2ADB">
        <w:t xml:space="preserve"> </w:t>
      </w:r>
      <w:r w:rsidRPr="002A2ADB">
        <w:t>final decision are those set out in the interim decision.</w:t>
      </w:r>
    </w:p>
    <w:p w14:paraId="1D8F4F60" w14:textId="76D1542D" w:rsidR="004D0C78" w:rsidRDefault="00BC1E84" w:rsidP="004D0C78">
      <w:r w:rsidRPr="002A2ADB">
        <w:lastRenderedPageBreak/>
        <w:t>In making my final decision</w:t>
      </w:r>
      <w:r>
        <w:t xml:space="preserve">, </w:t>
      </w:r>
      <w:r w:rsidRPr="002A2ADB">
        <w:t xml:space="preserve">I have </w:t>
      </w:r>
      <w:proofErr w:type="gramStart"/>
      <w:r w:rsidRPr="002A2ADB">
        <w:t>taken into account</w:t>
      </w:r>
      <w:proofErr w:type="gramEnd"/>
      <w:r w:rsidRPr="002A2ADB">
        <w:t xml:space="preserve"> the </w:t>
      </w:r>
      <w:r w:rsidR="00FD38E9">
        <w:t>Submissions</w:t>
      </w:r>
      <w:r w:rsidR="00FD38E9" w:rsidRPr="00A22AD3">
        <w:t xml:space="preserve">, </w:t>
      </w:r>
      <w:r w:rsidRPr="00A22AD3">
        <w:t>2</w:t>
      </w:r>
      <w:r>
        <w:t xml:space="preserve"> </w:t>
      </w:r>
      <w:r w:rsidR="00FD38E9">
        <w:t xml:space="preserve">of which were </w:t>
      </w:r>
      <w:r>
        <w:t>fully supportive</w:t>
      </w:r>
      <w:r w:rsidR="001F02BC">
        <w:t xml:space="preserve"> of my interim decision</w:t>
      </w:r>
      <w:r>
        <w:t xml:space="preserve">, </w:t>
      </w:r>
      <w:r w:rsidRPr="00A22AD3">
        <w:t>2</w:t>
      </w:r>
      <w:r>
        <w:t xml:space="preserve"> partially supportive and </w:t>
      </w:r>
      <w:r w:rsidR="00966187">
        <w:t>one</w:t>
      </w:r>
      <w:r>
        <w:t xml:space="preserve"> opposed.</w:t>
      </w:r>
      <w:r w:rsidR="001F02BC">
        <w:t xml:space="preserve"> </w:t>
      </w:r>
      <w:r w:rsidR="00162D6B">
        <w:t xml:space="preserve">Of those responses that were not </w:t>
      </w:r>
      <w:r w:rsidR="004D0C78">
        <w:t xml:space="preserve">fully </w:t>
      </w:r>
      <w:r w:rsidR="00162D6B">
        <w:t xml:space="preserve">supportive, only the </w:t>
      </w:r>
      <w:r w:rsidR="00162D6B" w:rsidRPr="00A22AD3">
        <w:t>2</w:t>
      </w:r>
      <w:r w:rsidR="00162D6B">
        <w:t xml:space="preserve"> that were partially supportive were written; my consideration of the one response in opposition is limited to noting it</w:t>
      </w:r>
      <w:r w:rsidR="00966187">
        <w:t>,</w:t>
      </w:r>
      <w:r w:rsidR="00162D6B">
        <w:t xml:space="preserve"> due to the lack of a written component. </w:t>
      </w:r>
    </w:p>
    <w:p w14:paraId="42952480" w14:textId="77777777" w:rsidR="009436B9" w:rsidRDefault="004D0C78" w:rsidP="004D0C78">
      <w:r>
        <w:t>The</w:t>
      </w:r>
      <w:r w:rsidR="009436B9">
        <w:t xml:space="preserve"> </w:t>
      </w:r>
      <w:r w:rsidR="009436B9" w:rsidRPr="00A22AD3">
        <w:t>2</w:t>
      </w:r>
      <w:r>
        <w:t xml:space="preserve"> </w:t>
      </w:r>
      <w:r w:rsidR="009436B9">
        <w:t xml:space="preserve">expressions </w:t>
      </w:r>
      <w:r>
        <w:t xml:space="preserve">of partial support </w:t>
      </w:r>
      <w:r w:rsidR="009436B9">
        <w:t>were</w:t>
      </w:r>
      <w:r>
        <w:t xml:space="preserve"> indicated by survey buttons, with the written components of these submissions clarifying that the interim decision was not opposed </w:t>
      </w:r>
      <w:r w:rsidR="009436B9">
        <w:t>or</w:t>
      </w:r>
      <w:r>
        <w:t xml:space="preserve"> there were several reasons for supporting </w:t>
      </w:r>
      <w:r w:rsidR="009436B9">
        <w:t xml:space="preserve">the interim decision. These reasons included </w:t>
      </w:r>
      <w:r>
        <w:t xml:space="preserve">the </w:t>
      </w:r>
      <w:r w:rsidR="00162D6B">
        <w:t xml:space="preserve">potential for </w:t>
      </w:r>
      <w:r w:rsidR="001F02BC" w:rsidRPr="001F02BC">
        <w:t>misdiagnosis and associated misuse of the substance</w:t>
      </w:r>
      <w:r>
        <w:t>s</w:t>
      </w:r>
      <w:r w:rsidR="001F02BC" w:rsidRPr="001F02BC">
        <w:t>, leading to worsening of disease state and overlooking more severe illnesses such as pneumonia,</w:t>
      </w:r>
      <w:r w:rsidR="00162D6B">
        <w:t xml:space="preserve"> </w:t>
      </w:r>
      <w:r>
        <w:t>were the scheduling to be amended to permit Schedule 2 FDC products with open-ended durations of use</w:t>
      </w:r>
      <w:r w:rsidR="00162D6B">
        <w:t xml:space="preserve">. </w:t>
      </w:r>
    </w:p>
    <w:p w14:paraId="61C6B421" w14:textId="5C546CD6" w:rsidR="007A48F0" w:rsidRDefault="004D0C78">
      <w:r>
        <w:t xml:space="preserve">As such, the written comments lend weight to my interim decision </w:t>
      </w:r>
      <w:r w:rsidR="009436B9">
        <w:t xml:space="preserve">and there are no compelling reasons presented to depart from my interim decision. </w:t>
      </w:r>
      <w:r w:rsidR="00DA4044">
        <w:t xml:space="preserve">I have therefore made a final decision </w:t>
      </w:r>
      <w:r>
        <w:t xml:space="preserve">that affirms my interim decision to </w:t>
      </w:r>
      <w:r w:rsidR="00DA4044">
        <w:t>not amend the current Poisons Standard in relation to FDC products containing azelastine and fluticasone.</w:t>
      </w:r>
    </w:p>
    <w:p w14:paraId="3A97614F" w14:textId="232DD3B6" w:rsidR="00892408" w:rsidRDefault="00F41DCE" w:rsidP="00892408">
      <w:pPr>
        <w:pStyle w:val="Heading2"/>
        <w:ind w:hanging="720"/>
      </w:pPr>
      <w:bookmarkStart w:id="29" w:name="_Toc119668034"/>
      <w:r>
        <w:t>Final</w:t>
      </w:r>
      <w:r w:rsidRPr="00FA029A">
        <w:t xml:space="preserve"> </w:t>
      </w:r>
      <w:bookmarkStart w:id="30" w:name="_Toc47103709"/>
      <w:bookmarkStart w:id="31" w:name="_Toc60738374"/>
      <w:bookmarkStart w:id="32" w:name="_Toc111552383"/>
      <w:bookmarkStart w:id="33" w:name="_Toc111638205"/>
      <w:r w:rsidR="00892408" w:rsidRPr="00D72019">
        <w:t>decisions on proposed amendments referred to the Advisory Committee</w:t>
      </w:r>
      <w:r w:rsidR="00614196">
        <w:t>s</w:t>
      </w:r>
      <w:r w:rsidR="00892408" w:rsidRPr="00D72019">
        <w:t xml:space="preserve"> on Medicines and Chemicals Scheduling in joint session (Joint ACMS-ACCS </w:t>
      </w:r>
      <w:bookmarkEnd w:id="30"/>
      <w:bookmarkEnd w:id="31"/>
      <w:r w:rsidR="00892408">
        <w:t xml:space="preserve">meeting </w:t>
      </w:r>
      <w:r w:rsidR="00892408" w:rsidRPr="00CE46AC">
        <w:t>#</w:t>
      </w:r>
      <w:r w:rsidR="00892408">
        <w:t>30</w:t>
      </w:r>
      <w:r w:rsidR="00892408" w:rsidRPr="00CE46AC">
        <w:t xml:space="preserve">, </w:t>
      </w:r>
      <w:r w:rsidR="00892408">
        <w:t>March 2022</w:t>
      </w:r>
      <w:r w:rsidR="00892408" w:rsidRPr="00CE46AC">
        <w:t>)</w:t>
      </w:r>
      <w:bookmarkEnd w:id="32"/>
      <w:bookmarkEnd w:id="33"/>
      <w:bookmarkEnd w:id="29"/>
    </w:p>
    <w:p w14:paraId="221BDC9D" w14:textId="681F6F78" w:rsidR="00F41DCE" w:rsidRDefault="00F41DCE" w:rsidP="00892408">
      <w:pPr>
        <w:pStyle w:val="Heading3"/>
        <w:ind w:left="720" w:hanging="720"/>
      </w:pPr>
      <w:bookmarkStart w:id="34" w:name="_Toc119668035"/>
      <w:r>
        <w:t xml:space="preserve">Final decision in relation to </w:t>
      </w:r>
      <w:r w:rsidR="00892408">
        <w:t>cannabis and tetrahydrocannabinols</w:t>
      </w:r>
      <w:bookmarkEnd w:id="34"/>
    </w:p>
    <w:p w14:paraId="339094D6" w14:textId="77777777" w:rsidR="00E951D8" w:rsidRDefault="00E951D8" w:rsidP="00E951D8">
      <w:pPr>
        <w:pStyle w:val="Heading5"/>
      </w:pPr>
      <w:r>
        <w:t>Proposal</w:t>
      </w:r>
    </w:p>
    <w:p w14:paraId="79353AED" w14:textId="4F55DEFC" w:rsidR="00892408" w:rsidRDefault="00892408" w:rsidP="00892408">
      <w:pPr>
        <w:rPr>
          <w:szCs w:val="22"/>
        </w:rPr>
      </w:pPr>
      <w:r>
        <w:rPr>
          <w:szCs w:val="22"/>
        </w:rPr>
        <w:t xml:space="preserve">The applicant proposed the creation of new Schedule 7 and Appendix J entries for cannabis and tetrahydrocannabinols (THCs) for use specifically in analytical and scientific research (the </w:t>
      </w:r>
      <w:r>
        <w:rPr>
          <w:b/>
          <w:bCs/>
          <w:szCs w:val="22"/>
        </w:rPr>
        <w:t>Proposal</w:t>
      </w:r>
      <w:r>
        <w:rPr>
          <w:szCs w:val="22"/>
        </w:rPr>
        <w:t>). This would allow use of cannabis and its derivatives in research without the controls imposed under Schedule 9, which can include specific approval from State and Territory health departments.</w:t>
      </w:r>
    </w:p>
    <w:p w14:paraId="4A59833D" w14:textId="6AA4CCE8" w:rsidR="00892408" w:rsidRDefault="00F41DCE" w:rsidP="00892408">
      <w:pPr>
        <w:pStyle w:val="Heading5"/>
      </w:pPr>
      <w:r>
        <w:t xml:space="preserve">Final </w:t>
      </w:r>
      <w:r w:rsidR="00D12D62">
        <w:t>d</w:t>
      </w:r>
      <w:r>
        <w:t>ecision</w:t>
      </w:r>
    </w:p>
    <w:p w14:paraId="70A1F326" w14:textId="2C58494F" w:rsidR="00892408" w:rsidRDefault="00892408" w:rsidP="00892408">
      <w:pPr>
        <w:pStyle w:val="Heading5"/>
        <w:ind w:left="0" w:firstLine="0"/>
        <w:rPr>
          <w:b w:val="0"/>
          <w:bCs w:val="0"/>
          <w:i w:val="0"/>
          <w:iCs/>
        </w:rPr>
      </w:pPr>
      <w:r w:rsidRPr="00892408">
        <w:rPr>
          <w:b w:val="0"/>
          <w:bCs w:val="0"/>
          <w:i w:val="0"/>
          <w:iCs/>
        </w:rPr>
        <w:t>Pursuant to regulation 42ZCZ</w:t>
      </w:r>
      <w:r w:rsidR="004A4F2F">
        <w:rPr>
          <w:b w:val="0"/>
          <w:bCs w:val="0"/>
          <w:i w:val="0"/>
          <w:iCs/>
        </w:rPr>
        <w:t>R</w:t>
      </w:r>
      <w:r w:rsidRPr="00892408">
        <w:rPr>
          <w:b w:val="0"/>
          <w:bCs w:val="0"/>
          <w:i w:val="0"/>
          <w:iCs/>
        </w:rPr>
        <w:t xml:space="preserve"> of </w:t>
      </w:r>
      <w:r w:rsidR="004F545F">
        <w:rPr>
          <w:b w:val="0"/>
          <w:bCs w:val="0"/>
          <w:i w:val="0"/>
          <w:iCs/>
        </w:rPr>
        <w:t>the</w:t>
      </w:r>
      <w:r w:rsidR="00966187">
        <w:rPr>
          <w:b w:val="0"/>
          <w:bCs w:val="0"/>
          <w:i w:val="0"/>
          <w:iCs/>
        </w:rPr>
        <w:t xml:space="preserve"> </w:t>
      </w:r>
      <w:r w:rsidRPr="00892408">
        <w:rPr>
          <w:b w:val="0"/>
          <w:bCs w:val="0"/>
          <w:i w:val="0"/>
          <w:iCs/>
        </w:rPr>
        <w:t xml:space="preserve">Therapeutic Goods Regulations 1990 (Cth) (the </w:t>
      </w:r>
      <w:r w:rsidRPr="006E2967">
        <w:rPr>
          <w:i w:val="0"/>
          <w:iCs/>
        </w:rPr>
        <w:t>Regulations</w:t>
      </w:r>
      <w:r w:rsidRPr="00892408">
        <w:rPr>
          <w:b w:val="0"/>
          <w:bCs w:val="0"/>
          <w:i w:val="0"/>
          <w:iCs/>
        </w:rPr>
        <w:t>),</w:t>
      </w:r>
      <w:r w:rsidR="006E2967">
        <w:rPr>
          <w:b w:val="0"/>
          <w:bCs w:val="0"/>
          <w:i w:val="0"/>
          <w:iCs/>
        </w:rPr>
        <w:t xml:space="preserve"> </w:t>
      </w:r>
      <w:r w:rsidRPr="00892408">
        <w:rPr>
          <w:b w:val="0"/>
          <w:bCs w:val="0"/>
          <w:i w:val="0"/>
          <w:iCs/>
        </w:rPr>
        <w:t>a</w:t>
      </w:r>
      <w:r>
        <w:rPr>
          <w:b w:val="0"/>
          <w:bCs w:val="0"/>
          <w:i w:val="0"/>
          <w:iCs/>
        </w:rPr>
        <w:t xml:space="preserve"> </w:t>
      </w:r>
      <w:r w:rsidRPr="00892408">
        <w:rPr>
          <w:b w:val="0"/>
          <w:bCs w:val="0"/>
          <w:i w:val="0"/>
          <w:iCs/>
        </w:rPr>
        <w:t xml:space="preserve">delegate of the Secretary of the Department of Health and Aged Care (the </w:t>
      </w:r>
      <w:r w:rsidRPr="006E2967">
        <w:rPr>
          <w:i w:val="0"/>
          <w:iCs/>
        </w:rPr>
        <w:t>Delegate</w:t>
      </w:r>
      <w:r w:rsidRPr="00892408">
        <w:rPr>
          <w:b w:val="0"/>
          <w:bCs w:val="0"/>
          <w:i w:val="0"/>
          <w:iCs/>
        </w:rPr>
        <w:t xml:space="preserve">) </w:t>
      </w:r>
      <w:r w:rsidR="006E2967">
        <w:rPr>
          <w:b w:val="0"/>
          <w:bCs w:val="0"/>
          <w:i w:val="0"/>
          <w:iCs/>
        </w:rPr>
        <w:t xml:space="preserve">has </w:t>
      </w:r>
      <w:r w:rsidRPr="00892408">
        <w:rPr>
          <w:b w:val="0"/>
          <w:bCs w:val="0"/>
          <w:i w:val="0"/>
          <w:iCs/>
        </w:rPr>
        <w:t xml:space="preserve">made </w:t>
      </w:r>
      <w:r w:rsidR="00CC5948">
        <w:rPr>
          <w:b w:val="0"/>
          <w:bCs w:val="0"/>
          <w:i w:val="0"/>
          <w:iCs/>
        </w:rPr>
        <w:t>a final</w:t>
      </w:r>
      <w:r w:rsidRPr="00892408">
        <w:rPr>
          <w:b w:val="0"/>
          <w:bCs w:val="0"/>
          <w:i w:val="0"/>
          <w:iCs/>
        </w:rPr>
        <w:t xml:space="preserve"> decision to not amend the current Poisons Standard in relation to cannabis and THCs.</w:t>
      </w:r>
    </w:p>
    <w:p w14:paraId="04E27514" w14:textId="1B6AF0BB" w:rsidR="00F41DCE" w:rsidRPr="00892408" w:rsidRDefault="00F41DCE" w:rsidP="00892408">
      <w:pPr>
        <w:pStyle w:val="Heading5"/>
        <w:ind w:left="0" w:firstLine="0"/>
      </w:pPr>
      <w:r w:rsidRPr="00892408">
        <w:t xml:space="preserve">Materials considered </w:t>
      </w:r>
    </w:p>
    <w:p w14:paraId="7EB24259" w14:textId="77777777" w:rsidR="00F41DCE" w:rsidRDefault="00F41DCE" w:rsidP="00F41DCE">
      <w:r>
        <w:t>In making this final decision, the Delegate considered the following material:</w:t>
      </w:r>
    </w:p>
    <w:p w14:paraId="7F6F6965" w14:textId="0856C1EF" w:rsidR="00F31A20" w:rsidRDefault="00F31A20" w:rsidP="00F31A20">
      <w:pPr>
        <w:numPr>
          <w:ilvl w:val="0"/>
          <w:numId w:val="8"/>
        </w:numPr>
      </w:pPr>
      <w:r>
        <w:t xml:space="preserve">The </w:t>
      </w:r>
      <w:bookmarkStart w:id="35" w:name="_Hlk102645344"/>
      <w:r>
        <w:fldChar w:fldCharType="begin"/>
      </w:r>
      <w:r>
        <w:instrText xml:space="preserve"> HYPERLINK "https://www.tga.gov.au/sites/default/files/consultation-proposed-amendments-poisons-standard-accs-acms-and-joint-accsacms-meetings-march-2022.pdf" </w:instrText>
      </w:r>
      <w:r>
        <w:fldChar w:fldCharType="separate"/>
      </w:r>
      <w:r>
        <w:rPr>
          <w:rStyle w:val="Hyperlink"/>
        </w:rPr>
        <w:t>application</w:t>
      </w:r>
      <w:r>
        <w:fldChar w:fldCharType="end"/>
      </w:r>
      <w:bookmarkEnd w:id="35"/>
      <w:r>
        <w:t xml:space="preserve"> to amend the current Poisons Standard with respect to cannabis and THCs (the </w:t>
      </w:r>
      <w:r>
        <w:rPr>
          <w:b/>
          <w:bCs/>
        </w:rPr>
        <w:t>Application</w:t>
      </w:r>
      <w:r>
        <w:t>)</w:t>
      </w:r>
      <w:r w:rsidR="0026644F">
        <w:t>;</w:t>
      </w:r>
    </w:p>
    <w:p w14:paraId="017221F9" w14:textId="2FE9BA6F" w:rsidR="00992DD3" w:rsidRDefault="00992DD3" w:rsidP="00992DD3">
      <w:pPr>
        <w:numPr>
          <w:ilvl w:val="0"/>
          <w:numId w:val="8"/>
        </w:numPr>
        <w:ind w:left="357" w:hanging="357"/>
      </w:pPr>
      <w:r w:rsidRPr="00E82502">
        <w:t xml:space="preserve">The </w:t>
      </w:r>
      <w:r w:rsidR="00CD7613">
        <w:t>56</w:t>
      </w:r>
      <w:r w:rsidRPr="00E82502">
        <w:t xml:space="preserve"> </w:t>
      </w:r>
      <w:hyperlink r:id="rId20" w:history="1">
        <w:r w:rsidRPr="00E82502">
          <w:rPr>
            <w:color w:val="0000FF"/>
            <w:u w:val="single"/>
          </w:rPr>
          <w:t>public submissions</w:t>
        </w:r>
      </w:hyperlink>
      <w:r w:rsidRPr="00E82502">
        <w:t xml:space="preserve">, </w:t>
      </w:r>
      <w:r w:rsidR="00FF6DAF">
        <w:t>with</w:t>
      </w:r>
      <w:r w:rsidR="00FF6DAF" w:rsidRPr="00E82502" w:rsidDel="00FF6DAF">
        <w:t xml:space="preserve"> </w:t>
      </w:r>
      <w:r w:rsidRPr="00E82502">
        <w:t>4</w:t>
      </w:r>
      <w:r w:rsidR="001F3658">
        <w:t xml:space="preserve"> </w:t>
      </w:r>
      <w:r w:rsidR="00FF6DAF">
        <w:t>written submissions</w:t>
      </w:r>
      <w:r w:rsidRPr="00E82502">
        <w:t>, received in response to the</w:t>
      </w:r>
      <w:hyperlink r:id="rId21" w:history="1">
        <w:r w:rsidRPr="00E82502">
          <w:rPr>
            <w:color w:val="0000FF"/>
            <w:u w:val="single"/>
          </w:rPr>
          <w:t xml:space="preserve"> </w:t>
        </w:r>
        <w:r w:rsidR="00B31914">
          <w:rPr>
            <w:color w:val="0000FF"/>
            <w:u w:val="single"/>
          </w:rPr>
          <w:br/>
        </w:r>
        <w:r w:rsidRPr="00E82502">
          <w:rPr>
            <w:color w:val="0000FF"/>
            <w:u w:val="single"/>
          </w:rPr>
          <w:t>pre-meeting consultation</w:t>
        </w:r>
      </w:hyperlink>
      <w:r w:rsidRPr="00E82502">
        <w:t xml:space="preserve"> under regulation 42ZCZK of the Regulations (the </w:t>
      </w:r>
      <w:r w:rsidRPr="00E82502">
        <w:rPr>
          <w:b/>
          <w:bCs/>
        </w:rPr>
        <w:t>Submissions</w:t>
      </w:r>
      <w:r w:rsidRPr="00E82502">
        <w:t>);</w:t>
      </w:r>
    </w:p>
    <w:p w14:paraId="7A5EDDB1" w14:textId="4885F020" w:rsidR="00CD7613" w:rsidRPr="00E82502" w:rsidRDefault="00CD7613" w:rsidP="00CD7613">
      <w:pPr>
        <w:numPr>
          <w:ilvl w:val="0"/>
          <w:numId w:val="8"/>
        </w:numPr>
        <w:ind w:left="357" w:hanging="357"/>
      </w:pPr>
      <w:r w:rsidRPr="00E82502">
        <w:lastRenderedPageBreak/>
        <w:t>The 5</w:t>
      </w:r>
      <w:r w:rsidR="001F3658">
        <w:t xml:space="preserve"> </w:t>
      </w:r>
      <w:hyperlink r:id="rId22" w:history="1">
        <w:r w:rsidRPr="00E82502">
          <w:rPr>
            <w:color w:val="0000FF"/>
            <w:u w:val="single"/>
          </w:rPr>
          <w:t>public submissions</w:t>
        </w:r>
      </w:hyperlink>
      <w:r w:rsidRPr="00E82502">
        <w:t>, with four 4</w:t>
      </w:r>
      <w:r w:rsidR="001F3658">
        <w:t xml:space="preserve"> </w:t>
      </w:r>
      <w:r>
        <w:t>written submissions</w:t>
      </w:r>
      <w:r w:rsidRPr="00E82502">
        <w:t>, received in response to the</w:t>
      </w:r>
      <w:hyperlink r:id="rId23" w:history="1">
        <w:r w:rsidRPr="0054307A">
          <w:rPr>
            <w:rStyle w:val="Hyperlink"/>
          </w:rPr>
          <w:t xml:space="preserve"> </w:t>
        </w:r>
        <w:r w:rsidR="0054307A" w:rsidRPr="0054307A">
          <w:rPr>
            <w:rStyle w:val="Hyperlink"/>
          </w:rPr>
          <w:t>i</w:t>
        </w:r>
        <w:r w:rsidRPr="0054307A">
          <w:rPr>
            <w:rStyle w:val="Hyperlink"/>
          </w:rPr>
          <w:t>nterim decision consultation</w:t>
        </w:r>
      </w:hyperlink>
      <w:r w:rsidRPr="00E82502">
        <w:t xml:space="preserve"> under regulation 42ZCZ</w:t>
      </w:r>
      <w:r>
        <w:t>P</w:t>
      </w:r>
      <w:r w:rsidRPr="00E82502">
        <w:t xml:space="preserve"> of the Regulations (the </w:t>
      </w:r>
      <w:r w:rsidRPr="00E82502">
        <w:rPr>
          <w:b/>
          <w:bCs/>
        </w:rPr>
        <w:t>Submissions</w:t>
      </w:r>
      <w:r w:rsidRPr="00E82502">
        <w:t>);</w:t>
      </w:r>
    </w:p>
    <w:p w14:paraId="45D40090" w14:textId="77777777" w:rsidR="00F31A20" w:rsidRDefault="00F31A20" w:rsidP="00F31A20">
      <w:pPr>
        <w:numPr>
          <w:ilvl w:val="0"/>
          <w:numId w:val="8"/>
        </w:numPr>
      </w:pPr>
      <w:r>
        <w:t>The advice received from the 30</w:t>
      </w:r>
      <w:r>
        <w:rPr>
          <w:vertAlign w:val="superscript"/>
        </w:rPr>
        <w:t>th</w:t>
      </w:r>
      <w:r>
        <w:t xml:space="preserve"> meeting of the Advisory Committees on Medicines and Chemicals Scheduling in joint session (the </w:t>
      </w:r>
      <w:r>
        <w:rPr>
          <w:b/>
          <w:bCs/>
        </w:rPr>
        <w:t>Committee</w:t>
      </w:r>
      <w:proofErr w:type="gramStart"/>
      <w:r>
        <w:t>);</w:t>
      </w:r>
      <w:proofErr w:type="gramEnd"/>
    </w:p>
    <w:p w14:paraId="7126605D" w14:textId="3CA23F98" w:rsidR="00F31A20" w:rsidRDefault="00F31A20" w:rsidP="00F31A20">
      <w:pPr>
        <w:numPr>
          <w:ilvl w:val="0"/>
          <w:numId w:val="8"/>
        </w:numPr>
      </w:pPr>
      <w:r>
        <w:t xml:space="preserve">Subsection 52E(1) of the </w:t>
      </w:r>
      <w:r>
        <w:rPr>
          <w:i/>
        </w:rPr>
        <w:t>Therapeutic Goods Act 1989</w:t>
      </w:r>
      <w:r>
        <w:rPr>
          <w:iCs/>
        </w:rPr>
        <w:t xml:space="preserve"> (Cth) (the </w:t>
      </w:r>
      <w:r>
        <w:rPr>
          <w:b/>
          <w:bCs/>
          <w:iCs/>
        </w:rPr>
        <w:t>Act</w:t>
      </w:r>
      <w:r>
        <w:rPr>
          <w:iCs/>
        </w:rPr>
        <w:t>)</w:t>
      </w:r>
      <w:r>
        <w:rPr>
          <w:i/>
        </w:rPr>
        <w:t xml:space="preserve">, </w:t>
      </w:r>
      <w:r>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r w:rsidR="00FF6DAF">
        <w:t>;</w:t>
      </w:r>
    </w:p>
    <w:p w14:paraId="684BB7A2" w14:textId="2F6DF2D1" w:rsidR="00F31A20" w:rsidRDefault="00F31A20" w:rsidP="00F31A20">
      <w:pPr>
        <w:numPr>
          <w:ilvl w:val="0"/>
          <w:numId w:val="8"/>
        </w:numPr>
      </w:pPr>
      <w:r>
        <w:t xml:space="preserve">The </w:t>
      </w:r>
      <w:hyperlink r:id="rId24" w:history="1">
        <w:r>
          <w:rPr>
            <w:rStyle w:val="Hyperlink"/>
          </w:rPr>
          <w:t>Scheduling Policy Framework</w:t>
        </w:r>
      </w:hyperlink>
      <w:r>
        <w:t xml:space="preserve"> 2018 (the </w:t>
      </w:r>
      <w:r>
        <w:rPr>
          <w:b/>
          <w:bCs/>
        </w:rPr>
        <w:t>SPF</w:t>
      </w:r>
      <w:r>
        <w:t>); and</w:t>
      </w:r>
    </w:p>
    <w:p w14:paraId="3BD0B8C3" w14:textId="77777777" w:rsidR="00F31A20" w:rsidRDefault="00F31A20" w:rsidP="00F31A20">
      <w:pPr>
        <w:numPr>
          <w:ilvl w:val="0"/>
          <w:numId w:val="8"/>
        </w:numPr>
      </w:pPr>
      <w:r>
        <w:t xml:space="preserve">The </w:t>
      </w:r>
      <w:hyperlink r:id="rId25" w:history="1">
        <w:r>
          <w:rPr>
            <w:rStyle w:val="Hyperlink"/>
          </w:rPr>
          <w:t>Scheduling handbook: Guidance for amending the Poisons Standard</w:t>
        </w:r>
      </w:hyperlink>
      <w:r>
        <w:t>.</w:t>
      </w:r>
    </w:p>
    <w:p w14:paraId="4B00D627" w14:textId="77777777" w:rsidR="00F41DCE" w:rsidRDefault="00F41DCE" w:rsidP="00F41DCE">
      <w:pPr>
        <w:pStyle w:val="Heading5"/>
      </w:pPr>
      <w:r w:rsidRPr="00436C41">
        <w:t>Reasons for the final decision (including findings on material questions of fact)</w:t>
      </w:r>
    </w:p>
    <w:p w14:paraId="6FF9FF1C" w14:textId="5201146B" w:rsidR="00C553DC" w:rsidRDefault="004B32D0" w:rsidP="0008786F">
      <w:r w:rsidRPr="00A7521C">
        <w:t xml:space="preserve">I have made a final decision to confirm my interim decision to not amend the current Poisons Standard with respect to </w:t>
      </w:r>
      <w:r w:rsidR="00892408" w:rsidRPr="00A7521C">
        <w:t>cannabis and THCs</w:t>
      </w:r>
      <w:r w:rsidRPr="00A7521C">
        <w:t>. My reasons for making the final decision are those set out in the interim decision.</w:t>
      </w:r>
    </w:p>
    <w:p w14:paraId="4EF39C97" w14:textId="34D40BBD" w:rsidR="0008786F" w:rsidRDefault="004B32D0" w:rsidP="0008786F">
      <w:r w:rsidRPr="00A7521C">
        <w:t>In making my final</w:t>
      </w:r>
      <w:r w:rsidR="00802BC8" w:rsidRPr="00A7521C">
        <w:t xml:space="preserve"> decision</w:t>
      </w:r>
      <w:r w:rsidRPr="00A7521C">
        <w:t xml:space="preserve">, I have </w:t>
      </w:r>
      <w:proofErr w:type="gramStart"/>
      <w:r w:rsidRPr="00A7521C">
        <w:t>taken into account</w:t>
      </w:r>
      <w:proofErr w:type="gramEnd"/>
      <w:r w:rsidRPr="00A7521C">
        <w:t xml:space="preserve"> the material detailed in the interim decision and </w:t>
      </w:r>
      <w:r w:rsidRPr="00C36222">
        <w:t xml:space="preserve">the </w:t>
      </w:r>
      <w:r w:rsidR="00966187">
        <w:t>Submissions, one out of 5 of which was opposed to my interim decision</w:t>
      </w:r>
      <w:r w:rsidR="00C553DC">
        <w:t>.</w:t>
      </w:r>
    </w:p>
    <w:p w14:paraId="2CA17374" w14:textId="0E7939F8" w:rsidR="009C2808" w:rsidRDefault="0008786F" w:rsidP="0008786F">
      <w:r>
        <w:t xml:space="preserve">I recognise the </w:t>
      </w:r>
      <w:r w:rsidR="00CD749D">
        <w:t xml:space="preserve">evidence base </w:t>
      </w:r>
      <w:r w:rsidR="00C553DC">
        <w:t xml:space="preserve">of </w:t>
      </w:r>
      <w:r w:rsidR="00CD749D">
        <w:t xml:space="preserve">the </w:t>
      </w:r>
      <w:r>
        <w:t xml:space="preserve">individual constituents of cannabis </w:t>
      </w:r>
      <w:r w:rsidR="00CD749D">
        <w:t xml:space="preserve">is growing </w:t>
      </w:r>
      <w:r>
        <w:t>and note that cannabidiol is included in Schedules 3 and 4 of the Poisons Standard. I acknowledge that alternative scheduling options for specific cannabinoids may be considered in future</w:t>
      </w:r>
      <w:r w:rsidR="00C553DC">
        <w:t xml:space="preserve"> and that a </w:t>
      </w:r>
      <w:r w:rsidR="00E4166F">
        <w:t>S</w:t>
      </w:r>
      <w:r w:rsidR="00C553DC">
        <w:t xml:space="preserve">chedule </w:t>
      </w:r>
      <w:r w:rsidR="00810143">
        <w:t>9</w:t>
      </w:r>
      <w:r w:rsidR="00C553DC">
        <w:t xml:space="preserve"> entry may be problematic for researchers</w:t>
      </w:r>
      <w:r>
        <w:t>. However, the benefit of increased access for use in research</w:t>
      </w:r>
      <w:r w:rsidR="009C2808">
        <w:t xml:space="preserve"> </w:t>
      </w:r>
      <w:r>
        <w:t>does not outweigh the risk to public health.</w:t>
      </w:r>
    </w:p>
    <w:p w14:paraId="61FC555C" w14:textId="43BA9629" w:rsidR="007A48F0" w:rsidRPr="003168F8" w:rsidRDefault="00810143" w:rsidP="0008786F">
      <w:r>
        <w:t xml:space="preserve">With respect to meeting the </w:t>
      </w:r>
      <w:hyperlink r:id="rId26" w:history="1">
        <w:r w:rsidRPr="00810143">
          <w:rPr>
            <w:rStyle w:val="Hyperlink"/>
          </w:rPr>
          <w:t>Scheduling Factor criteria</w:t>
        </w:r>
      </w:hyperlink>
      <w:r>
        <w:t>, I acknowledge that the toxicity data for this substance meets the Schedule 7 scheduling factors. However, given the current evidence for the benefits of the substance weighed against the risk of diversion, abuse and misuse, and Australia</w:t>
      </w:r>
      <w:r w:rsidR="003168F8">
        <w:t>’</w:t>
      </w:r>
      <w:r>
        <w:t xml:space="preserve">s obligation </w:t>
      </w:r>
      <w:r w:rsidR="003168F8" w:rsidRPr="003168F8">
        <w:t xml:space="preserve">when a </w:t>
      </w:r>
      <w:r w:rsidR="003168F8" w:rsidRPr="002E4FB1">
        <w:t>substance is included in Schedule IV to the United Nations Single Convention on Narcotic Drugs, 1961</w:t>
      </w:r>
      <w:r w:rsidRPr="003168F8">
        <w:t>, my current view is the substance is better aligned with the Schedule 9 factors.</w:t>
      </w:r>
    </w:p>
    <w:p w14:paraId="67BA5296" w14:textId="23FA7858" w:rsidR="00F41DCE" w:rsidRDefault="00F41DCE" w:rsidP="00E951D8">
      <w:pPr>
        <w:pStyle w:val="Heading3"/>
      </w:pPr>
      <w:bookmarkStart w:id="36" w:name="_Hlk119395867"/>
      <w:bookmarkStart w:id="37" w:name="_Toc119668036"/>
      <w:r>
        <w:t xml:space="preserve">Final decision in relation to </w:t>
      </w:r>
      <w:r w:rsidR="0008786F">
        <w:t>lead</w:t>
      </w:r>
      <w:bookmarkEnd w:id="37"/>
    </w:p>
    <w:p w14:paraId="4994EA85" w14:textId="77777777" w:rsidR="00E951D8" w:rsidRDefault="00E951D8" w:rsidP="00E951D8">
      <w:pPr>
        <w:pStyle w:val="Heading5"/>
      </w:pPr>
      <w:r>
        <w:t>Proposal</w:t>
      </w:r>
    </w:p>
    <w:p w14:paraId="556F440A" w14:textId="488F1DB9" w:rsidR="006D1943" w:rsidRDefault="0008786F" w:rsidP="0008786F">
      <w:pPr>
        <w:widowControl w:val="0"/>
        <w:spacing w:after="120"/>
        <w:outlineLvl w:val="3"/>
      </w:pPr>
      <w:r w:rsidRPr="005C03B9">
        <w:t xml:space="preserve">The applicant proposed </w:t>
      </w:r>
      <w:r w:rsidR="006D1943">
        <w:t xml:space="preserve">the following </w:t>
      </w:r>
      <w:r w:rsidRPr="005C03B9">
        <w:t xml:space="preserve">changes to the entries for lead and lead compounds </w:t>
      </w:r>
      <w:r w:rsidRPr="005C03B9">
        <w:br/>
        <w:t>(</w:t>
      </w:r>
      <w:r w:rsidRPr="005C03B9">
        <w:rPr>
          <w:szCs w:val="22"/>
        </w:rPr>
        <w:t xml:space="preserve">the </w:t>
      </w:r>
      <w:r w:rsidRPr="005C03B9">
        <w:rPr>
          <w:b/>
          <w:bCs/>
          <w:szCs w:val="22"/>
        </w:rPr>
        <w:t>Proposal</w:t>
      </w:r>
      <w:r w:rsidRPr="005C03B9">
        <w:rPr>
          <w:szCs w:val="22"/>
        </w:rPr>
        <w:t>)</w:t>
      </w:r>
      <w:r w:rsidR="006D1943" w:rsidRPr="006D1943">
        <w:t xml:space="preserve"> </w:t>
      </w:r>
      <w:r w:rsidR="006D1943">
        <w:t xml:space="preserve">that they stated would </w:t>
      </w:r>
      <w:r w:rsidR="006D1943" w:rsidRPr="005C03B9">
        <w:t>prohibit the presence of lead in any of the specified products</w:t>
      </w:r>
      <w:r w:rsidRPr="005C03B9">
        <w:rPr>
          <w:szCs w:val="22"/>
        </w:rPr>
        <w:t>:</w:t>
      </w:r>
    </w:p>
    <w:p w14:paraId="3D378F67" w14:textId="77777777" w:rsidR="006D1943" w:rsidRDefault="0008786F" w:rsidP="006D1943">
      <w:pPr>
        <w:pStyle w:val="ListParagraph"/>
        <w:widowControl w:val="0"/>
        <w:numPr>
          <w:ilvl w:val="0"/>
          <w:numId w:val="22"/>
        </w:numPr>
        <w:spacing w:after="120"/>
        <w:outlineLvl w:val="3"/>
      </w:pPr>
      <w:r w:rsidRPr="005C03B9">
        <w:t xml:space="preserve">the entries in Schedules 4, 5 and 6 be </w:t>
      </w:r>
      <w:proofErr w:type="gramStart"/>
      <w:r w:rsidRPr="005C03B9">
        <w:t>removed;</w:t>
      </w:r>
      <w:proofErr w:type="gramEnd"/>
      <w:r w:rsidRPr="005C03B9">
        <w:t xml:space="preserve"> </w:t>
      </w:r>
    </w:p>
    <w:p w14:paraId="6D0985C9" w14:textId="704F9E73" w:rsidR="006D1943" w:rsidRDefault="0008786F" w:rsidP="006D1943">
      <w:pPr>
        <w:pStyle w:val="ListParagraph"/>
        <w:widowControl w:val="0"/>
        <w:numPr>
          <w:ilvl w:val="0"/>
          <w:numId w:val="22"/>
        </w:numPr>
        <w:spacing w:after="120"/>
        <w:outlineLvl w:val="3"/>
      </w:pPr>
      <w:r w:rsidRPr="005C03B9">
        <w:t xml:space="preserve">preparations including medicines and cosmetics that contain lead be captured in an expanded Schedule 10 </w:t>
      </w:r>
      <w:proofErr w:type="gramStart"/>
      <w:r w:rsidRPr="005C03B9">
        <w:t>entry;</w:t>
      </w:r>
      <w:proofErr w:type="gramEnd"/>
      <w:r w:rsidRPr="005C03B9">
        <w:t xml:space="preserve"> and</w:t>
      </w:r>
    </w:p>
    <w:p w14:paraId="3BB6F27A" w14:textId="397E97B7" w:rsidR="006D1943" w:rsidRPr="002E4FB1" w:rsidRDefault="0008786F" w:rsidP="006D1943">
      <w:pPr>
        <w:pStyle w:val="ListParagraph"/>
        <w:widowControl w:val="0"/>
        <w:numPr>
          <w:ilvl w:val="0"/>
          <w:numId w:val="22"/>
        </w:numPr>
        <w:spacing w:after="120"/>
        <w:outlineLvl w:val="3"/>
      </w:pPr>
      <w:r w:rsidRPr="005C03B9">
        <w:t>amendments aimed at reducing or eliminating lead in consumer products are made to Appendix A for printing inks or ink additives, Appendix B for metallic lead, and the entries for lead compounds in Appendices E and F</w:t>
      </w:r>
      <w:r w:rsidRPr="006D1943">
        <w:rPr>
          <w:szCs w:val="22"/>
        </w:rPr>
        <w:t>.</w:t>
      </w:r>
    </w:p>
    <w:bookmarkEnd w:id="36"/>
    <w:p w14:paraId="71FF2F90" w14:textId="15B2E2BA" w:rsidR="00F41DCE" w:rsidRPr="008036B7" w:rsidRDefault="00F41DCE" w:rsidP="00F41DCE">
      <w:pPr>
        <w:pStyle w:val="Heading5"/>
      </w:pPr>
      <w:r>
        <w:lastRenderedPageBreak/>
        <w:t xml:space="preserve">Final </w:t>
      </w:r>
      <w:r w:rsidR="00D12D62">
        <w:t>d</w:t>
      </w:r>
      <w:r>
        <w:t xml:space="preserve">ecision </w:t>
      </w:r>
    </w:p>
    <w:p w14:paraId="482DCA92" w14:textId="4D22ED94" w:rsidR="00E30D66" w:rsidRDefault="00E30D66" w:rsidP="00E30D66">
      <w:r w:rsidRPr="005C03B9">
        <w:t>Pursuant to regulation 42ZCZ</w:t>
      </w:r>
      <w:r w:rsidR="00B70D5B">
        <w:t>R</w:t>
      </w:r>
      <w:r w:rsidRPr="005C03B9">
        <w:t xml:space="preserve"> of </w:t>
      </w:r>
      <w:r w:rsidR="004F545F">
        <w:t xml:space="preserve">the </w:t>
      </w:r>
      <w:r w:rsidRPr="005C03B9">
        <w:t xml:space="preserve">Therapeutic Goods Regulations 1990 (Cth) (the </w:t>
      </w:r>
      <w:r w:rsidRPr="005C03B9">
        <w:rPr>
          <w:b/>
          <w:bCs/>
        </w:rPr>
        <w:t>Regulations</w:t>
      </w:r>
      <w:r w:rsidRPr="005C03B9">
        <w:t xml:space="preserve">), a delegate of the Secretary of the Department of Health and Aged Care (the </w:t>
      </w:r>
      <w:r w:rsidRPr="005C03B9">
        <w:rPr>
          <w:b/>
          <w:bCs/>
        </w:rPr>
        <w:t>Delegate</w:t>
      </w:r>
      <w:r w:rsidRPr="005C03B9">
        <w:t xml:space="preserve">) has made </w:t>
      </w:r>
      <w:r w:rsidR="0082663D">
        <w:t xml:space="preserve">a final </w:t>
      </w:r>
      <w:r w:rsidRPr="005C03B9">
        <w:t>decision to amend the current Poisons Standard in relation to lead as follows:</w:t>
      </w:r>
    </w:p>
    <w:p w14:paraId="25D40967" w14:textId="77777777" w:rsidR="00F11466" w:rsidRPr="005C03B9" w:rsidRDefault="00F11466" w:rsidP="008369A6">
      <w:pPr>
        <w:ind w:left="357"/>
        <w:rPr>
          <w:b/>
        </w:rPr>
      </w:pPr>
      <w:r w:rsidRPr="00B5321A">
        <w:rPr>
          <w:b/>
        </w:rPr>
        <w:t>Schedule 10 – Amend entry</w:t>
      </w:r>
    </w:p>
    <w:p w14:paraId="527981BE" w14:textId="77777777" w:rsidR="00F11466" w:rsidRPr="005C03B9" w:rsidRDefault="00F11466" w:rsidP="008369A6">
      <w:pPr>
        <w:ind w:left="720" w:right="357"/>
        <w:rPr>
          <w:b/>
        </w:rPr>
      </w:pPr>
      <w:r w:rsidRPr="005C03B9">
        <w:t>LEAD COMPOUNDS:</w:t>
      </w:r>
    </w:p>
    <w:p w14:paraId="1A734140" w14:textId="77777777" w:rsidR="00F11466" w:rsidRPr="005C03B9" w:rsidRDefault="00F11466" w:rsidP="002E4FB1">
      <w:pPr>
        <w:numPr>
          <w:ilvl w:val="0"/>
          <w:numId w:val="10"/>
        </w:numPr>
        <w:spacing w:before="0" w:after="160" w:line="256" w:lineRule="auto"/>
        <w:ind w:left="1843" w:right="357" w:hanging="357"/>
        <w:contextualSpacing/>
      </w:pPr>
      <w:r w:rsidRPr="005C03B9">
        <w:t>in anti-fouling or anti-corrosive paints except in preparations containing 0.1 per cent or less of lead calculated on the non-volatile content of the paints; or</w:t>
      </w:r>
    </w:p>
    <w:p w14:paraId="529AE4F4" w14:textId="77777777" w:rsidR="00F11466" w:rsidRPr="005C03B9" w:rsidRDefault="00F11466" w:rsidP="002E4FB1">
      <w:pPr>
        <w:numPr>
          <w:ilvl w:val="0"/>
          <w:numId w:val="10"/>
        </w:numPr>
        <w:spacing w:before="0" w:after="160" w:line="256" w:lineRule="auto"/>
        <w:ind w:left="1843" w:right="357" w:hanging="357"/>
        <w:contextualSpacing/>
        <w:rPr>
          <w:color w:val="00B050"/>
        </w:rPr>
      </w:pPr>
      <w:r w:rsidRPr="005C03B9">
        <w:t xml:space="preserve">in paints (other than anti-fouling or anti-corrosive paints), tinters, inks or ink additives </w:t>
      </w:r>
      <w:r w:rsidRPr="005C03B9">
        <w:rPr>
          <w:b/>
          <w:bCs/>
        </w:rPr>
        <w:t>except</w:t>
      </w:r>
      <w:r w:rsidRPr="005C03B9">
        <w:t xml:space="preserve"> in preparations containing 0.009 per cent or less of lead calculated on the non-volatile content of the paint, tinter, ink or ink additive</w:t>
      </w:r>
      <w:r w:rsidRPr="005C03B9">
        <w:rPr>
          <w:color w:val="00B050"/>
        </w:rPr>
        <w:t>; or</w:t>
      </w:r>
    </w:p>
    <w:p w14:paraId="242181F6" w14:textId="2095E1D7" w:rsidR="00F11466" w:rsidRPr="0025742E" w:rsidRDefault="00F11466" w:rsidP="0025742E">
      <w:pPr>
        <w:numPr>
          <w:ilvl w:val="0"/>
          <w:numId w:val="10"/>
        </w:numPr>
        <w:spacing w:before="0" w:after="240" w:line="257" w:lineRule="auto"/>
        <w:ind w:left="1843" w:right="357" w:hanging="357"/>
        <w:contextualSpacing/>
        <w:rPr>
          <w:color w:val="00B050"/>
        </w:rPr>
      </w:pPr>
      <w:r w:rsidRPr="005C03B9">
        <w:rPr>
          <w:color w:val="00B050"/>
        </w:rPr>
        <w:t xml:space="preserve">for human therapeutic use </w:t>
      </w:r>
      <w:r w:rsidRPr="005C03B9">
        <w:rPr>
          <w:b/>
          <w:bCs/>
          <w:color w:val="00B050"/>
        </w:rPr>
        <w:t>except</w:t>
      </w:r>
      <w:r w:rsidRPr="005C03B9">
        <w:rPr>
          <w:color w:val="00B050"/>
        </w:rPr>
        <w:t xml:space="preserve"> in preparations containing 10 mg/kg or less of lead</w:t>
      </w:r>
      <w:r w:rsidRPr="005C03B9">
        <w:t>.</w:t>
      </w:r>
    </w:p>
    <w:p w14:paraId="34837ABB" w14:textId="1039E331" w:rsidR="00F11466" w:rsidRPr="008369A6" w:rsidRDefault="00F11466" w:rsidP="0025742E">
      <w:pPr>
        <w:spacing w:before="360"/>
        <w:ind w:left="357"/>
        <w:rPr>
          <w:b/>
        </w:rPr>
      </w:pPr>
      <w:r w:rsidRPr="008369A6">
        <w:rPr>
          <w:b/>
        </w:rPr>
        <w:t>Schedule 6 – Amend entry</w:t>
      </w:r>
    </w:p>
    <w:p w14:paraId="330832E6" w14:textId="77777777" w:rsidR="00F11466" w:rsidRPr="005C03B9" w:rsidRDefault="00F11466" w:rsidP="002E4FB1">
      <w:pPr>
        <w:ind w:right="357" w:hanging="357"/>
      </w:pPr>
      <w:r w:rsidRPr="005C03B9">
        <w:rPr>
          <w:b/>
        </w:rPr>
        <w:tab/>
      </w:r>
      <w:r w:rsidRPr="005C03B9">
        <w:rPr>
          <w:b/>
        </w:rPr>
        <w:tab/>
      </w:r>
      <w:r w:rsidRPr="005C03B9">
        <w:t xml:space="preserve">LEAD COMPOUNDS </w:t>
      </w:r>
      <w:r w:rsidRPr="005C03B9">
        <w:rPr>
          <w:b/>
          <w:bCs/>
        </w:rPr>
        <w:t>except</w:t>
      </w:r>
      <w:r w:rsidRPr="005C03B9">
        <w:t>:</w:t>
      </w:r>
    </w:p>
    <w:p w14:paraId="5C9568A9" w14:textId="77777777" w:rsidR="00F11466" w:rsidRPr="005C03B9" w:rsidRDefault="00F11466" w:rsidP="002E4FB1">
      <w:pPr>
        <w:numPr>
          <w:ilvl w:val="0"/>
          <w:numId w:val="11"/>
        </w:numPr>
        <w:spacing w:before="0" w:after="160" w:line="256" w:lineRule="auto"/>
        <w:ind w:right="357" w:hanging="357"/>
        <w:contextualSpacing/>
        <w:rPr>
          <w:strike/>
          <w:color w:val="FF0000"/>
        </w:rPr>
      </w:pPr>
      <w:r w:rsidRPr="005C03B9">
        <w:rPr>
          <w:strike/>
          <w:color w:val="FF0000"/>
        </w:rPr>
        <w:t xml:space="preserve">when included in Schedule </w:t>
      </w:r>
      <w:proofErr w:type="gramStart"/>
      <w:r w:rsidRPr="005C03B9">
        <w:rPr>
          <w:strike/>
          <w:color w:val="FF0000"/>
        </w:rPr>
        <w:t>4;</w:t>
      </w:r>
      <w:r w:rsidRPr="005C03B9">
        <w:rPr>
          <w:color w:val="00B050"/>
        </w:rPr>
        <w:t>when</w:t>
      </w:r>
      <w:proofErr w:type="gramEnd"/>
      <w:r w:rsidRPr="005C03B9">
        <w:rPr>
          <w:color w:val="00B050"/>
        </w:rPr>
        <w:t xml:space="preserve"> included in, or expressly excluded from, Schedule 10;</w:t>
      </w:r>
    </w:p>
    <w:p w14:paraId="6ADD03B1" w14:textId="77777777" w:rsidR="00F11466" w:rsidRPr="005C03B9" w:rsidRDefault="00F11466" w:rsidP="002E4FB1">
      <w:pPr>
        <w:numPr>
          <w:ilvl w:val="0"/>
          <w:numId w:val="11"/>
        </w:numPr>
        <w:spacing w:before="0" w:after="160" w:line="256" w:lineRule="auto"/>
        <w:ind w:right="357" w:hanging="357"/>
        <w:contextualSpacing/>
        <w:rPr>
          <w:strike/>
          <w:color w:val="FF0000"/>
        </w:rPr>
      </w:pPr>
      <w:r w:rsidRPr="005C03B9">
        <w:rPr>
          <w:strike/>
          <w:color w:val="FF0000"/>
        </w:rPr>
        <w:t xml:space="preserve">in paints, tinters, inks or </w:t>
      </w:r>
      <w:proofErr w:type="gramStart"/>
      <w:r w:rsidRPr="005C03B9">
        <w:rPr>
          <w:strike/>
          <w:color w:val="FF0000"/>
        </w:rPr>
        <w:t>ink</w:t>
      </w:r>
      <w:proofErr w:type="gramEnd"/>
      <w:r w:rsidRPr="005C03B9">
        <w:rPr>
          <w:strike/>
          <w:color w:val="FF0000"/>
        </w:rPr>
        <w:t xml:space="preserve"> additives;</w:t>
      </w:r>
    </w:p>
    <w:p w14:paraId="3BE39782" w14:textId="77777777" w:rsidR="00F11466" w:rsidRPr="005C03B9" w:rsidRDefault="00F11466" w:rsidP="002E4FB1">
      <w:pPr>
        <w:numPr>
          <w:ilvl w:val="0"/>
          <w:numId w:val="11"/>
        </w:numPr>
        <w:spacing w:before="0" w:after="160" w:line="256" w:lineRule="auto"/>
        <w:ind w:right="357" w:hanging="357"/>
        <w:contextualSpacing/>
      </w:pPr>
      <w:r w:rsidRPr="005C03B9">
        <w:t xml:space="preserve">in preparations for cosmetic use containing </w:t>
      </w:r>
      <w:r w:rsidRPr="005C03B9">
        <w:rPr>
          <w:strike/>
          <w:color w:val="FF0000"/>
        </w:rPr>
        <w:t>100</w:t>
      </w:r>
      <w:r w:rsidRPr="005C03B9">
        <w:rPr>
          <w:color w:val="00B050"/>
        </w:rPr>
        <w:t>10</w:t>
      </w:r>
      <w:r w:rsidRPr="005C03B9">
        <w:t xml:space="preserve"> mg/kg or less of </w:t>
      </w:r>
      <w:proofErr w:type="gramStart"/>
      <w:r w:rsidRPr="005C03B9">
        <w:t>lead;</w:t>
      </w:r>
      <w:proofErr w:type="gramEnd"/>
    </w:p>
    <w:p w14:paraId="253839F5" w14:textId="77777777" w:rsidR="00F11466" w:rsidRPr="005C03B9" w:rsidRDefault="00F11466" w:rsidP="002E4FB1">
      <w:pPr>
        <w:numPr>
          <w:ilvl w:val="0"/>
          <w:numId w:val="11"/>
        </w:numPr>
        <w:spacing w:before="0" w:after="160" w:line="256" w:lineRule="auto"/>
        <w:ind w:right="357" w:hanging="357"/>
        <w:contextualSpacing/>
      </w:pPr>
      <w:r w:rsidRPr="005C03B9">
        <w:t xml:space="preserve">in pencil cores, finger colours, showcard colours, pastels, crayons, poster paints/colours or coloured chalks containing </w:t>
      </w:r>
      <w:r w:rsidRPr="005C03B9">
        <w:rPr>
          <w:strike/>
          <w:color w:val="FF0000"/>
        </w:rPr>
        <w:t>100</w:t>
      </w:r>
      <w:r w:rsidRPr="005C03B9">
        <w:rPr>
          <w:color w:val="00B050"/>
        </w:rPr>
        <w:t>25</w:t>
      </w:r>
      <w:r w:rsidRPr="005C03B9">
        <w:t xml:space="preserve"> mg/kg or less of </w:t>
      </w:r>
      <w:proofErr w:type="gramStart"/>
      <w:r w:rsidRPr="005C03B9">
        <w:t>lead;</w:t>
      </w:r>
      <w:proofErr w:type="gramEnd"/>
    </w:p>
    <w:p w14:paraId="79143CC6" w14:textId="77777777" w:rsidR="00F11466" w:rsidRPr="005C03B9" w:rsidRDefault="00F11466" w:rsidP="002E4FB1">
      <w:pPr>
        <w:numPr>
          <w:ilvl w:val="0"/>
          <w:numId w:val="11"/>
        </w:numPr>
        <w:spacing w:before="0" w:after="160" w:line="256" w:lineRule="auto"/>
        <w:ind w:right="357" w:hanging="357"/>
        <w:contextualSpacing/>
      </w:pPr>
      <w:r w:rsidRPr="005C03B9">
        <w:t>in ceramic glazes when labelled with the warning statement:</w:t>
      </w:r>
    </w:p>
    <w:p w14:paraId="186C70CB" w14:textId="77777777" w:rsidR="00F11466" w:rsidRPr="005C03B9" w:rsidRDefault="00F11466" w:rsidP="002E4FB1">
      <w:pPr>
        <w:ind w:left="2520" w:right="357" w:hanging="357"/>
      </w:pPr>
      <w:r w:rsidRPr="005C03B9">
        <w:t>CAUTION – Harmful if swallowed. Do not use on surfaces which contact food or drink.</w:t>
      </w:r>
    </w:p>
    <w:p w14:paraId="132FCEC6" w14:textId="77777777" w:rsidR="00F11466" w:rsidRPr="005C03B9" w:rsidRDefault="00F11466" w:rsidP="002E4FB1">
      <w:pPr>
        <w:ind w:left="1800" w:right="357" w:hanging="357"/>
      </w:pPr>
      <w:r w:rsidRPr="005C03B9">
        <w:t>written in letters not less than 1.5 mm in height.</w:t>
      </w:r>
    </w:p>
    <w:p w14:paraId="2C1C5028" w14:textId="1203328E" w:rsidR="00F11466" w:rsidRPr="008369A6" w:rsidRDefault="00F11466" w:rsidP="008369A6">
      <w:pPr>
        <w:ind w:left="357"/>
        <w:rPr>
          <w:b/>
        </w:rPr>
      </w:pPr>
      <w:r w:rsidRPr="008369A6">
        <w:rPr>
          <w:b/>
        </w:rPr>
        <w:t>Schedule 4 – Delete entry</w:t>
      </w:r>
    </w:p>
    <w:p w14:paraId="553BDA48" w14:textId="77777777" w:rsidR="00F11466" w:rsidRPr="005C03B9" w:rsidRDefault="00F11466" w:rsidP="002E4FB1">
      <w:pPr>
        <w:ind w:right="357" w:hanging="357"/>
        <w:rPr>
          <w:strike/>
        </w:rPr>
      </w:pPr>
      <w:r w:rsidRPr="005C03B9">
        <w:tab/>
      </w:r>
      <w:r w:rsidRPr="005C03B9">
        <w:tab/>
      </w:r>
      <w:r w:rsidRPr="005C03B9">
        <w:rPr>
          <w:strike/>
          <w:color w:val="FF0000"/>
        </w:rPr>
        <w:t>LEAD for human therapeutic use.</w:t>
      </w:r>
    </w:p>
    <w:p w14:paraId="7431EE7E" w14:textId="6D1CC2C1" w:rsidR="00F11466" w:rsidRPr="005C03B9" w:rsidRDefault="00F11466" w:rsidP="008369A6">
      <w:pPr>
        <w:ind w:left="357"/>
        <w:rPr>
          <w:b/>
        </w:rPr>
      </w:pPr>
      <w:r w:rsidRPr="005C03B9">
        <w:rPr>
          <w:b/>
        </w:rPr>
        <w:t>Appendix A – Amend Entry</w:t>
      </w:r>
    </w:p>
    <w:p w14:paraId="3A975F05" w14:textId="2C55DDEA" w:rsidR="00F11466" w:rsidRPr="005C03B9" w:rsidRDefault="00F11466" w:rsidP="00F11466">
      <w:r w:rsidRPr="005C03B9">
        <w:rPr>
          <w:b/>
        </w:rPr>
        <w:tab/>
      </w:r>
      <w:r w:rsidRPr="005C03B9">
        <w:t xml:space="preserve">PRINTING INKS or INK ADDITIVES </w:t>
      </w:r>
      <w:r w:rsidRPr="005C03B9">
        <w:rPr>
          <w:b/>
          <w:bCs/>
        </w:rPr>
        <w:t>except</w:t>
      </w:r>
      <w:r w:rsidRPr="005C03B9">
        <w:t>:</w:t>
      </w:r>
    </w:p>
    <w:p w14:paraId="5C251769" w14:textId="77777777" w:rsidR="00F11466" w:rsidRPr="005C03B9" w:rsidRDefault="00F11466" w:rsidP="00F11466">
      <w:pPr>
        <w:numPr>
          <w:ilvl w:val="0"/>
          <w:numId w:val="12"/>
        </w:numPr>
        <w:spacing w:before="0" w:after="160" w:line="256" w:lineRule="auto"/>
        <w:contextualSpacing/>
      </w:pPr>
      <w:r w:rsidRPr="005C03B9">
        <w:t>when containing a pesticide; or</w:t>
      </w:r>
    </w:p>
    <w:p w14:paraId="15FFF3C2" w14:textId="77777777" w:rsidR="00F11466" w:rsidRPr="005C03B9" w:rsidRDefault="00F11466" w:rsidP="002941C1">
      <w:pPr>
        <w:numPr>
          <w:ilvl w:val="0"/>
          <w:numId w:val="12"/>
        </w:numPr>
        <w:spacing w:before="0" w:after="160" w:line="257" w:lineRule="auto"/>
        <w:ind w:left="1797" w:hanging="357"/>
      </w:pPr>
      <w:r w:rsidRPr="005C03B9">
        <w:t xml:space="preserve">preparations containing more than </w:t>
      </w:r>
      <w:r w:rsidRPr="005C03B9">
        <w:rPr>
          <w:strike/>
          <w:color w:val="FF0000"/>
        </w:rPr>
        <w:t>0.1</w:t>
      </w:r>
      <w:r w:rsidRPr="005C03B9">
        <w:rPr>
          <w:color w:val="00B050"/>
        </w:rPr>
        <w:t>0.009</w:t>
      </w:r>
      <w:r w:rsidRPr="005C03B9">
        <w:t xml:space="preserve"> per cent of lead calculated on the non-volatile content of the ink or ink additive.</w:t>
      </w:r>
    </w:p>
    <w:p w14:paraId="17372070" w14:textId="77777777" w:rsidR="00F11466" w:rsidRPr="005C03B9" w:rsidRDefault="00F11466" w:rsidP="008369A6">
      <w:pPr>
        <w:ind w:left="357"/>
        <w:rPr>
          <w:b/>
        </w:rPr>
      </w:pPr>
      <w:r w:rsidRPr="005C03B9">
        <w:rPr>
          <w:b/>
        </w:rPr>
        <w:t>Appendix F, Part 3 – Amend Entry</w:t>
      </w:r>
    </w:p>
    <w:p w14:paraId="38E41CB0" w14:textId="77777777" w:rsidR="00F11466" w:rsidRPr="005C03B9" w:rsidRDefault="00F11466" w:rsidP="00F11466">
      <w:pPr>
        <w:ind w:left="720"/>
        <w:rPr>
          <w:bCs/>
        </w:rPr>
      </w:pPr>
      <w:r w:rsidRPr="005C03B9">
        <w:rPr>
          <w:bCs/>
        </w:rPr>
        <w:t xml:space="preserve">LEAD COMPOUNDS </w:t>
      </w:r>
    </w:p>
    <w:p w14:paraId="222D6807" w14:textId="036859E2" w:rsidR="00F11466" w:rsidRPr="005C03B9" w:rsidRDefault="00F11466" w:rsidP="00F11466">
      <w:pPr>
        <w:numPr>
          <w:ilvl w:val="0"/>
          <w:numId w:val="13"/>
        </w:numPr>
        <w:ind w:left="1701"/>
        <w:contextualSpacing/>
        <w:rPr>
          <w:bCs/>
        </w:rPr>
      </w:pPr>
      <w:r w:rsidRPr="005C03B9">
        <w:rPr>
          <w:bCs/>
        </w:rPr>
        <w:t>in hair cosmetics: Warning statement 25 (Do not use on broken skin. Wash hands thoroughly after use.)</w:t>
      </w:r>
    </w:p>
    <w:p w14:paraId="42FC9116" w14:textId="77777777" w:rsidR="00F11466" w:rsidRPr="005C03B9" w:rsidRDefault="00F11466" w:rsidP="002941C1">
      <w:pPr>
        <w:numPr>
          <w:ilvl w:val="0"/>
          <w:numId w:val="13"/>
        </w:numPr>
        <w:ind w:left="1701" w:hanging="357"/>
        <w:rPr>
          <w:bCs/>
        </w:rPr>
      </w:pPr>
      <w:r w:rsidRPr="005C03B9">
        <w:rPr>
          <w:bCs/>
        </w:rPr>
        <w:lastRenderedPageBreak/>
        <w:t xml:space="preserve">when in Schedule 6 </w:t>
      </w:r>
      <w:r w:rsidRPr="005C03B9">
        <w:rPr>
          <w:bCs/>
          <w:color w:val="00B050"/>
        </w:rPr>
        <w:t>preparations that are not hair cosmetics</w:t>
      </w:r>
      <w:r w:rsidRPr="005C03B9">
        <w:rPr>
          <w:bCs/>
        </w:rPr>
        <w:t>: Safety directions 1 (Avoid contact with eyes), 4 (Avoid contact with skin) and 8 (Avoid breathing dust (or) vapour (or) spray mist.)</w:t>
      </w:r>
    </w:p>
    <w:p w14:paraId="6E56C9D6" w14:textId="77777777" w:rsidR="00F11466" w:rsidRPr="005C03B9" w:rsidRDefault="00F11466" w:rsidP="008369A6">
      <w:pPr>
        <w:ind w:left="357"/>
        <w:rPr>
          <w:b/>
        </w:rPr>
      </w:pPr>
      <w:r w:rsidRPr="005C03B9">
        <w:rPr>
          <w:b/>
        </w:rPr>
        <w:t xml:space="preserve">Index – Delete entry </w:t>
      </w:r>
    </w:p>
    <w:p w14:paraId="128A1693" w14:textId="77777777" w:rsidR="00F11466" w:rsidRPr="005C03B9" w:rsidRDefault="00F11466" w:rsidP="00F11466">
      <w:pPr>
        <w:ind w:left="720"/>
        <w:rPr>
          <w:bCs/>
          <w:strike/>
          <w:color w:val="FF0000"/>
        </w:rPr>
      </w:pPr>
      <w:r w:rsidRPr="005C03B9">
        <w:rPr>
          <w:b/>
          <w:strike/>
          <w:color w:val="FF0000"/>
        </w:rPr>
        <w:t>LEAD</w:t>
      </w:r>
      <w:r w:rsidRPr="005C03B9">
        <w:rPr>
          <w:b/>
          <w:strike/>
          <w:color w:val="FF0000"/>
        </w:rPr>
        <w:br/>
      </w:r>
      <w:r w:rsidRPr="005C03B9">
        <w:rPr>
          <w:bCs/>
          <w:strike/>
          <w:color w:val="FF0000"/>
        </w:rPr>
        <w:t>cross reference: GLAZING PREPARATIONS, PRINTING INKS or INK ADDITIVES, SELENIUM</w:t>
      </w:r>
    </w:p>
    <w:p w14:paraId="5690B462" w14:textId="77777777" w:rsidR="00F11466" w:rsidRPr="005C03B9" w:rsidRDefault="00F11466" w:rsidP="00F11466">
      <w:pPr>
        <w:ind w:left="720"/>
        <w:rPr>
          <w:bCs/>
        </w:rPr>
      </w:pPr>
      <w:r w:rsidRPr="005C03B9">
        <w:rPr>
          <w:bCs/>
          <w:strike/>
          <w:color w:val="FF0000"/>
        </w:rPr>
        <w:t>Schedule 4</w:t>
      </w:r>
    </w:p>
    <w:p w14:paraId="0E364178" w14:textId="554CD8A4" w:rsidR="00F41DCE" w:rsidRDefault="00F41DCE" w:rsidP="002E4FB1">
      <w:pPr>
        <w:pStyle w:val="Heading5"/>
        <w:ind w:left="0" w:firstLine="0"/>
      </w:pPr>
      <w:r>
        <w:t>Materials considered</w:t>
      </w:r>
    </w:p>
    <w:p w14:paraId="527A49E5" w14:textId="77777777" w:rsidR="00F41DCE" w:rsidRDefault="00F41DCE" w:rsidP="00F41DCE">
      <w:r>
        <w:t>In making this final decision, the Delegate considered the following material:</w:t>
      </w:r>
    </w:p>
    <w:p w14:paraId="7BD7030D" w14:textId="354EA97C" w:rsidR="00114C00" w:rsidRDefault="002D235D" w:rsidP="00421D4C">
      <w:pPr>
        <w:pStyle w:val="ListBullet"/>
      </w:pPr>
      <w:r w:rsidRPr="005C03B9">
        <w:t xml:space="preserve">The </w:t>
      </w:r>
      <w:hyperlink r:id="rId27" w:history="1">
        <w:r w:rsidRPr="005C03B9">
          <w:rPr>
            <w:color w:val="0000FF"/>
            <w:u w:val="single"/>
          </w:rPr>
          <w:t>application</w:t>
        </w:r>
      </w:hyperlink>
      <w:r w:rsidRPr="005C03B9">
        <w:t xml:space="preserve"> to amend the current Poisons Standard with respect to lead (the </w:t>
      </w:r>
      <w:r w:rsidRPr="005C03B9">
        <w:rPr>
          <w:b/>
          <w:bCs/>
        </w:rPr>
        <w:t>Application</w:t>
      </w:r>
      <w:r w:rsidRPr="005C03B9">
        <w:t>)</w:t>
      </w:r>
      <w:r w:rsidR="00FF6DAF">
        <w:t>;</w:t>
      </w:r>
    </w:p>
    <w:p w14:paraId="16390945" w14:textId="209D154E" w:rsidR="00992DD3" w:rsidRDefault="00992DD3" w:rsidP="00992DD3">
      <w:pPr>
        <w:pStyle w:val="ListBullet"/>
      </w:pPr>
      <w:r w:rsidRPr="005C03B9">
        <w:t xml:space="preserve">The 28 public submissions, including </w:t>
      </w:r>
      <w:r w:rsidR="00FF6DAF">
        <w:t>6</w:t>
      </w:r>
      <w:r w:rsidR="00AB5BED">
        <w:t xml:space="preserve"> </w:t>
      </w:r>
      <w:r w:rsidRPr="005C03B9">
        <w:t xml:space="preserve">written </w:t>
      </w:r>
      <w:r w:rsidR="00FF6DAF">
        <w:t>submissions</w:t>
      </w:r>
      <w:r w:rsidRPr="005C03B9">
        <w:t xml:space="preserve">, that were received in response to the </w:t>
      </w:r>
      <w:hyperlink r:id="rId28" w:history="1">
        <w:r w:rsidRPr="005C03B9">
          <w:rPr>
            <w:color w:val="0000FF"/>
            <w:u w:val="single"/>
          </w:rPr>
          <w:t>pre-meeting consultation</w:t>
        </w:r>
      </w:hyperlink>
      <w:r w:rsidRPr="005C03B9">
        <w:t xml:space="preserve"> under regulation 42ZCZK of the </w:t>
      </w:r>
      <w:proofErr w:type="gramStart"/>
      <w:r w:rsidRPr="005C03B9">
        <w:t>Regulations</w:t>
      </w:r>
      <w:r w:rsidR="00FF6DAF">
        <w:t>;</w:t>
      </w:r>
      <w:proofErr w:type="gramEnd"/>
    </w:p>
    <w:p w14:paraId="1D0AB9F0" w14:textId="360DDEA3" w:rsidR="00421D4C" w:rsidRPr="00C36222" w:rsidRDefault="002D235D" w:rsidP="00C627B1">
      <w:pPr>
        <w:pStyle w:val="ListBullet"/>
        <w:numPr>
          <w:ilvl w:val="0"/>
          <w:numId w:val="1"/>
        </w:numPr>
      </w:pPr>
      <w:r w:rsidRPr="005C03B9">
        <w:t xml:space="preserve">The </w:t>
      </w:r>
      <w:r w:rsidR="00AB5BED">
        <w:t xml:space="preserve">6 </w:t>
      </w:r>
      <w:r w:rsidRPr="005C03B9">
        <w:t xml:space="preserve">public submissions, </w:t>
      </w:r>
      <w:r w:rsidR="00421D4C">
        <w:t xml:space="preserve">all </w:t>
      </w:r>
      <w:r w:rsidR="004E2151">
        <w:t>written submissions</w:t>
      </w:r>
      <w:r w:rsidRPr="005C03B9">
        <w:t xml:space="preserve">, that were received in response to </w:t>
      </w:r>
      <w:r w:rsidR="00C627B1">
        <w:t xml:space="preserve">the </w:t>
      </w:r>
      <w:hyperlink r:id="rId29" w:history="1">
        <w:r w:rsidR="00C627B1" w:rsidRPr="00D429C0">
          <w:rPr>
            <w:rStyle w:val="Hyperlink"/>
          </w:rPr>
          <w:t>interim decision consultation</w:t>
        </w:r>
      </w:hyperlink>
      <w:r w:rsidR="00C627B1">
        <w:t xml:space="preserve"> </w:t>
      </w:r>
      <w:r w:rsidR="00C627B1" w:rsidRPr="002C1418">
        <w:t>under regulation 42ZCZP of the Regulations</w:t>
      </w:r>
      <w:r w:rsidR="006D1943" w:rsidRPr="005C03B9">
        <w:t xml:space="preserve"> (the </w:t>
      </w:r>
      <w:r w:rsidR="006D1943" w:rsidRPr="005C03B9">
        <w:rPr>
          <w:b/>
          <w:bCs/>
        </w:rPr>
        <w:t>Submissions</w:t>
      </w:r>
      <w:r w:rsidR="006D1943" w:rsidRPr="005C03B9">
        <w:t>)</w:t>
      </w:r>
      <w:r w:rsidR="00030079">
        <w:t>;</w:t>
      </w:r>
    </w:p>
    <w:p w14:paraId="486CF856" w14:textId="3F8BF817" w:rsidR="002D235D" w:rsidRPr="005C03B9" w:rsidRDefault="002D235D" w:rsidP="009D0E9F">
      <w:pPr>
        <w:pStyle w:val="ListBullet"/>
      </w:pPr>
      <w:r w:rsidRPr="005C03B9">
        <w:t>The advice received from the 30</w:t>
      </w:r>
      <w:r w:rsidRPr="00421D4C">
        <w:rPr>
          <w:vertAlign w:val="superscript"/>
        </w:rPr>
        <w:t>th</w:t>
      </w:r>
      <w:r w:rsidRPr="005C03B9">
        <w:t xml:space="preserve"> meeting of the Advisory Committees on Medicines and Chemicals Scheduling in joint session (the </w:t>
      </w:r>
      <w:r w:rsidRPr="00421D4C">
        <w:rPr>
          <w:b/>
          <w:bCs/>
        </w:rPr>
        <w:t>Committee</w:t>
      </w:r>
      <w:proofErr w:type="gramStart"/>
      <w:r w:rsidRPr="005C03B9">
        <w:t>);</w:t>
      </w:r>
      <w:proofErr w:type="gramEnd"/>
    </w:p>
    <w:p w14:paraId="177FD7EE" w14:textId="77777777" w:rsidR="002D235D" w:rsidRPr="005C03B9" w:rsidRDefault="002D235D" w:rsidP="002D235D">
      <w:pPr>
        <w:pStyle w:val="ListBullet"/>
      </w:pPr>
      <w:r w:rsidRPr="005C03B9">
        <w:t xml:space="preserve">Australian/New Zealand Standard AS/NZ 2904:1995 </w:t>
      </w:r>
      <w:r w:rsidRPr="005C03B9">
        <w:rPr>
          <w:i/>
          <w:iCs/>
        </w:rPr>
        <w:t xml:space="preserve">Damp-proof courses and </w:t>
      </w:r>
      <w:proofErr w:type="gramStart"/>
      <w:r w:rsidRPr="005C03B9">
        <w:rPr>
          <w:i/>
          <w:iCs/>
        </w:rPr>
        <w:t>flashing</w:t>
      </w:r>
      <w:r w:rsidRPr="005C03B9">
        <w:t>;</w:t>
      </w:r>
      <w:proofErr w:type="gramEnd"/>
    </w:p>
    <w:p w14:paraId="1E8B9364" w14:textId="667F9463" w:rsidR="002D235D" w:rsidRPr="005C03B9" w:rsidRDefault="00030079" w:rsidP="002D235D">
      <w:pPr>
        <w:pStyle w:val="ListBullet"/>
      </w:pPr>
      <w:r>
        <w:t>T</w:t>
      </w:r>
      <w:r w:rsidRPr="005C03B9">
        <w:t xml:space="preserve">he </w:t>
      </w:r>
      <w:r w:rsidR="002D235D" w:rsidRPr="005C03B9">
        <w:t xml:space="preserve">2022 edition of the National Construction </w:t>
      </w:r>
      <w:proofErr w:type="gramStart"/>
      <w:r w:rsidR="002D235D" w:rsidRPr="005C03B9">
        <w:t>Code;</w:t>
      </w:r>
      <w:proofErr w:type="gramEnd"/>
    </w:p>
    <w:p w14:paraId="6BA21334" w14:textId="77777777" w:rsidR="002D235D" w:rsidRPr="005C03B9" w:rsidRDefault="002D235D" w:rsidP="002D235D">
      <w:pPr>
        <w:pStyle w:val="ListBullet"/>
      </w:pPr>
      <w:r w:rsidRPr="005C03B9">
        <w:t xml:space="preserve">The Trade Practices Act 1974, Consumer Protection Notice No. 1 of </w:t>
      </w:r>
      <w:proofErr w:type="gramStart"/>
      <w:r w:rsidRPr="005C03B9">
        <w:t>2009;</w:t>
      </w:r>
      <w:proofErr w:type="gramEnd"/>
    </w:p>
    <w:p w14:paraId="43C7B4B7" w14:textId="77777777" w:rsidR="002D235D" w:rsidRPr="005C03B9" w:rsidRDefault="002D235D" w:rsidP="002D235D">
      <w:pPr>
        <w:pStyle w:val="ListBullet"/>
      </w:pPr>
      <w:r w:rsidRPr="005C03B9">
        <w:t xml:space="preserve">The Health Canada Guidance on Heavy Metal Impurities in </w:t>
      </w:r>
      <w:proofErr w:type="gramStart"/>
      <w:r w:rsidRPr="005C03B9">
        <w:t>Cosmetics;</w:t>
      </w:r>
      <w:proofErr w:type="gramEnd"/>
    </w:p>
    <w:p w14:paraId="5F6CB003" w14:textId="77777777" w:rsidR="002D235D" w:rsidRPr="005C03B9" w:rsidRDefault="002D235D" w:rsidP="002D235D">
      <w:pPr>
        <w:pStyle w:val="ListBullet"/>
      </w:pPr>
      <w:r w:rsidRPr="005C03B9">
        <w:t xml:space="preserve">The United States Food and Drug Administration Guidance on Lead in Cosmetic Lip Products and Externally Applied </w:t>
      </w:r>
      <w:proofErr w:type="gramStart"/>
      <w:r w:rsidRPr="005C03B9">
        <w:t>Cosmetics;</w:t>
      </w:r>
      <w:proofErr w:type="gramEnd"/>
    </w:p>
    <w:p w14:paraId="67A953A1" w14:textId="77777777" w:rsidR="002D235D" w:rsidRPr="005C03B9" w:rsidRDefault="002D235D" w:rsidP="002D235D">
      <w:pPr>
        <w:pStyle w:val="ListBullet"/>
      </w:pPr>
      <w:r w:rsidRPr="005C03B9">
        <w:t>Subsection 52</w:t>
      </w:r>
      <w:proofErr w:type="gramStart"/>
      <w:r w:rsidRPr="005C03B9">
        <w:t>E(</w:t>
      </w:r>
      <w:proofErr w:type="gramEnd"/>
      <w:r w:rsidRPr="005C03B9">
        <w:t xml:space="preserve">1) of </w:t>
      </w:r>
      <w:r w:rsidRPr="005C03B9">
        <w:rPr>
          <w:i/>
        </w:rPr>
        <w:t xml:space="preserve">the Therapeutic Goods Act 1989 </w:t>
      </w:r>
      <w:r w:rsidRPr="005C03B9">
        <w:rPr>
          <w:iCs/>
        </w:rPr>
        <w:t xml:space="preserve">(the </w:t>
      </w:r>
      <w:r w:rsidRPr="005C03B9">
        <w:rPr>
          <w:b/>
          <w:bCs/>
          <w:iCs/>
        </w:rPr>
        <w:t>Act</w:t>
      </w:r>
      <w:r w:rsidRPr="005C03B9">
        <w:rPr>
          <w:iCs/>
        </w:rPr>
        <w:t>)</w:t>
      </w:r>
      <w:r w:rsidRPr="005C03B9">
        <w:t>, in particular (a) the risks and benefits of the use of a substance; (b) the purposes for which a substance is to be used and the extent of use of a substance; (c) the toxicity of a substance; (d) the dosage, formulation, labelling, packaging and presentation of a substance; and (f) any other matters considered necessary to protect public health;</w:t>
      </w:r>
    </w:p>
    <w:p w14:paraId="65FA40F2" w14:textId="4FA71822" w:rsidR="002D235D" w:rsidRPr="005C03B9" w:rsidRDefault="002D235D" w:rsidP="002D235D">
      <w:pPr>
        <w:pStyle w:val="ListBullet"/>
      </w:pPr>
      <w:r w:rsidRPr="005C03B9">
        <w:t xml:space="preserve">The </w:t>
      </w:r>
      <w:hyperlink r:id="rId30" w:history="1">
        <w:r w:rsidRPr="005C03B9">
          <w:rPr>
            <w:color w:val="0000FF"/>
            <w:u w:val="single"/>
          </w:rPr>
          <w:t>Scheduling Policy Framework</w:t>
        </w:r>
      </w:hyperlink>
      <w:r w:rsidRPr="005C03B9">
        <w:t xml:space="preserve"> 2018 (the </w:t>
      </w:r>
      <w:r w:rsidRPr="005C03B9">
        <w:rPr>
          <w:b/>
          <w:bCs/>
        </w:rPr>
        <w:t>SPF</w:t>
      </w:r>
      <w:r w:rsidRPr="005C03B9">
        <w:t>); and</w:t>
      </w:r>
    </w:p>
    <w:p w14:paraId="4C9A6E9D" w14:textId="77777777" w:rsidR="002D235D" w:rsidRPr="005C03B9" w:rsidRDefault="002D235D" w:rsidP="002D235D">
      <w:pPr>
        <w:pStyle w:val="ListBullet"/>
      </w:pPr>
      <w:r w:rsidRPr="005C03B9">
        <w:t xml:space="preserve">The </w:t>
      </w:r>
      <w:hyperlink r:id="rId31" w:history="1">
        <w:r w:rsidRPr="005C03B9">
          <w:rPr>
            <w:color w:val="0000FF"/>
            <w:u w:val="single"/>
          </w:rPr>
          <w:t>Scheduling handbook: Guidance for amending the Poisons Standard</w:t>
        </w:r>
      </w:hyperlink>
      <w:r w:rsidRPr="005C03B9">
        <w:t>.</w:t>
      </w:r>
    </w:p>
    <w:p w14:paraId="1DC64296" w14:textId="77777777" w:rsidR="00F41DCE" w:rsidRDefault="00F41DCE" w:rsidP="00F41DCE">
      <w:pPr>
        <w:pStyle w:val="Heading5"/>
      </w:pPr>
      <w:r w:rsidRPr="00436C41">
        <w:t>Reasons for the final decision (including findings on material questions of fact)</w:t>
      </w:r>
    </w:p>
    <w:p w14:paraId="4BFAAA4C" w14:textId="77777777" w:rsidR="007A48F0" w:rsidRDefault="004B32D0" w:rsidP="00CD7613">
      <w:r w:rsidRPr="007F17BD">
        <w:t xml:space="preserve">I have made a final decision to confirm my interim decision to amend the current Poisons Standard with respect to </w:t>
      </w:r>
      <w:r w:rsidR="002D235D" w:rsidRPr="007F17BD">
        <w:t>lead</w:t>
      </w:r>
      <w:r w:rsidRPr="007F17BD">
        <w:t>. My reasons for making the final decision are those set out in the interim decision.</w:t>
      </w:r>
    </w:p>
    <w:p w14:paraId="3E8988D6" w14:textId="17A3FF40" w:rsidR="007F17BD" w:rsidRPr="005C03B9" w:rsidRDefault="004B32D0" w:rsidP="00CD7613">
      <w:r w:rsidRPr="007F17BD">
        <w:t xml:space="preserve">In making my final decision, I have taken into account the material detailed in the </w:t>
      </w:r>
      <w:hyperlink r:id="rId32" w:history="1">
        <w:r w:rsidRPr="00A22AD3">
          <w:rPr>
            <w:rStyle w:val="Hyperlink"/>
          </w:rPr>
          <w:t>interim decision</w:t>
        </w:r>
      </w:hyperlink>
      <w:r w:rsidRPr="007F17BD">
        <w:t xml:space="preserve"> and the </w:t>
      </w:r>
      <w:r w:rsidR="007A48F0">
        <w:t>Submissions as follows.</w:t>
      </w:r>
    </w:p>
    <w:p w14:paraId="04FE88D5" w14:textId="0983F586" w:rsidR="002E3C3A" w:rsidRDefault="002E3C3A" w:rsidP="002E3C3A">
      <w:r>
        <w:lastRenderedPageBreak/>
        <w:t xml:space="preserve">I note that </w:t>
      </w:r>
      <w:proofErr w:type="gramStart"/>
      <w:r>
        <w:t>with regard to</w:t>
      </w:r>
      <w:proofErr w:type="gramEnd"/>
      <w:r>
        <w:t xml:space="preserve"> the submissions on Schedule 4 entry being moved to Schedule 10 that </w:t>
      </w:r>
      <w:r w:rsidR="006E1905">
        <w:t xml:space="preserve">the change applies only to preparations for human therapeutic use. As </w:t>
      </w:r>
      <w:r>
        <w:t xml:space="preserve">currently there are no Schedule 4 products containing lead on the ARTG, </w:t>
      </w:r>
      <w:r w:rsidR="006E1905">
        <w:t xml:space="preserve">it </w:t>
      </w:r>
      <w:r>
        <w:t xml:space="preserve">is expected </w:t>
      </w:r>
      <w:r w:rsidR="00EF0609">
        <w:t xml:space="preserve">that there will </w:t>
      </w:r>
      <w:r>
        <w:t>be no impact on currently available products by moving this entry to Schedule 10.</w:t>
      </w:r>
      <w:r w:rsidR="0046463C">
        <w:t xml:space="preserve"> Further and as noted in my interim decision, an exemption to the Schedule 10 entry for human therapeutic use for preparations containing 10 mg/kg or less of lead aligns with the </w:t>
      </w:r>
      <w:r w:rsidR="0046463C" w:rsidRPr="002E4FB1">
        <w:rPr>
          <w:i/>
          <w:iCs/>
        </w:rPr>
        <w:t>Therapeutic Goods (Permissible Ingredients) Determination (No. 3) 2020</w:t>
      </w:r>
      <w:r w:rsidR="0046463C">
        <w:t>, which allows the presence of lead as an active homeopathic ingredient at a concentration of no more than 0.001%. A value of 10 mg/kg is equivalent to 0.001% w/w or 10 ppm.</w:t>
      </w:r>
      <w:r w:rsidR="005579A5">
        <w:t xml:space="preserve"> This value would also account for the adventitious presence of lead in some therapeutic ingredients.</w:t>
      </w:r>
    </w:p>
    <w:p w14:paraId="7D285CEB" w14:textId="48430F19" w:rsidR="001671F2" w:rsidRPr="005C03B9" w:rsidRDefault="002E3C3A" w:rsidP="00EF0609">
      <w:pPr>
        <w:keepNext/>
        <w:spacing w:after="240"/>
        <w:rPr>
          <w:bCs/>
          <w:szCs w:val="22"/>
        </w:rPr>
      </w:pPr>
      <w:r>
        <w:t>With regards to</w:t>
      </w:r>
      <w:r w:rsidR="005579A5">
        <w:t xml:space="preserve"> the submission on</w:t>
      </w:r>
      <w:r>
        <w:t xml:space="preserve"> anti-fouling paints</w:t>
      </w:r>
      <w:r w:rsidR="00EF0609">
        <w:t xml:space="preserve">, I </w:t>
      </w:r>
      <w:r>
        <w:t>acknowledge the comments received regarding the potential issues with implementation of this decision (which was published in September 2021)</w:t>
      </w:r>
      <w:r w:rsidR="00EF0609">
        <w:t xml:space="preserve">. </w:t>
      </w:r>
      <w:r w:rsidR="001671F2">
        <w:t>I note that</w:t>
      </w:r>
      <w:r w:rsidR="006E1905">
        <w:t xml:space="preserve"> </w:t>
      </w:r>
      <w:r w:rsidR="008256AA">
        <w:t>2</w:t>
      </w:r>
      <w:r w:rsidR="00A22AD3">
        <w:t xml:space="preserve"> </w:t>
      </w:r>
      <w:r w:rsidR="006E1905">
        <w:t>rounds of consultation on this matter have already been conducted in 2021</w:t>
      </w:r>
      <w:r w:rsidR="001671F2">
        <w:t xml:space="preserve"> and </w:t>
      </w:r>
      <w:r w:rsidR="006E1905">
        <w:t xml:space="preserve">further information </w:t>
      </w:r>
      <w:r w:rsidR="00897E2B">
        <w:t xml:space="preserve">as provided by </w:t>
      </w:r>
      <w:r w:rsidR="006E1905">
        <w:t xml:space="preserve">industry. </w:t>
      </w:r>
      <w:r w:rsidR="001671F2">
        <w:t>G</w:t>
      </w:r>
      <w:r w:rsidR="00EF0609" w:rsidRPr="005C03B9">
        <w:rPr>
          <w:bCs/>
          <w:szCs w:val="22"/>
        </w:rPr>
        <w:t>iven the breadth of changes</w:t>
      </w:r>
      <w:r w:rsidR="00B30418">
        <w:rPr>
          <w:bCs/>
          <w:szCs w:val="22"/>
        </w:rPr>
        <w:t xml:space="preserve"> and as noted in my interim decision</w:t>
      </w:r>
      <w:r w:rsidR="00EF0609" w:rsidRPr="005C03B9">
        <w:rPr>
          <w:bCs/>
          <w:szCs w:val="22"/>
        </w:rPr>
        <w:t xml:space="preserve">, the implementation of these amendments to the Poisons Standard </w:t>
      </w:r>
      <w:r w:rsidR="00B30418">
        <w:rPr>
          <w:bCs/>
          <w:szCs w:val="22"/>
        </w:rPr>
        <w:t xml:space="preserve">will not come into force </w:t>
      </w:r>
      <w:r w:rsidR="00EF0609" w:rsidRPr="005C03B9">
        <w:rPr>
          <w:bCs/>
          <w:szCs w:val="22"/>
        </w:rPr>
        <w:t>until</w:t>
      </w:r>
      <w:r w:rsidR="00B30418">
        <w:rPr>
          <w:bCs/>
          <w:szCs w:val="22"/>
        </w:rPr>
        <w:t xml:space="preserve"> </w:t>
      </w:r>
      <w:r w:rsidR="00EF0609" w:rsidRPr="005C03B9">
        <w:rPr>
          <w:bCs/>
          <w:szCs w:val="22"/>
        </w:rPr>
        <w:t>1 October 2023.</w:t>
      </w:r>
    </w:p>
    <w:p w14:paraId="760F637A" w14:textId="77777777" w:rsidR="007F17BD" w:rsidRPr="005C03B9" w:rsidRDefault="007F17BD" w:rsidP="008369A6">
      <w:pPr>
        <w:pStyle w:val="Heading5"/>
      </w:pPr>
      <w:bookmarkStart w:id="38" w:name="_Toc111638218"/>
      <w:r w:rsidRPr="005C03B9">
        <w:t>Proposed implementation date</w:t>
      </w:r>
      <w:bookmarkEnd w:id="38"/>
    </w:p>
    <w:p w14:paraId="017F3461" w14:textId="6285D77F" w:rsidR="007A48F0" w:rsidRPr="00F658FC" w:rsidRDefault="007F17BD" w:rsidP="00F658FC">
      <w:pPr>
        <w:spacing w:after="240"/>
        <w:rPr>
          <w:b/>
          <w:bCs/>
          <w:szCs w:val="22"/>
        </w:rPr>
      </w:pPr>
      <w:r w:rsidRPr="00FD7858">
        <w:rPr>
          <w:b/>
          <w:bCs/>
          <w:szCs w:val="22"/>
        </w:rPr>
        <w:t>1 October 2023</w:t>
      </w:r>
    </w:p>
    <w:p w14:paraId="43C59632" w14:textId="1B287023" w:rsidR="00F41DCE" w:rsidRDefault="00F41DCE" w:rsidP="00E951D8">
      <w:pPr>
        <w:pStyle w:val="Heading3"/>
      </w:pPr>
      <w:bookmarkStart w:id="39" w:name="_Toc119668037"/>
      <w:r>
        <w:t xml:space="preserve">Final decision in relation to </w:t>
      </w:r>
      <w:r w:rsidR="00A7521C">
        <w:t>meloxicam</w:t>
      </w:r>
      <w:bookmarkEnd w:id="39"/>
    </w:p>
    <w:p w14:paraId="1EA725BC" w14:textId="77777777" w:rsidR="00E951D8" w:rsidRDefault="00E951D8" w:rsidP="00E951D8">
      <w:pPr>
        <w:pStyle w:val="Heading5"/>
      </w:pPr>
      <w:r>
        <w:t>Proposal</w:t>
      </w:r>
    </w:p>
    <w:p w14:paraId="5C6FEFDF" w14:textId="77777777" w:rsidR="00A7521C" w:rsidRPr="00F05C51" w:rsidRDefault="00A7521C" w:rsidP="00A7521C">
      <w:r w:rsidRPr="00F05C51">
        <w:t>The applicant proposed the creation of a new Schedule 6 entry for oral transmucosal preparations of meloxicam, at concentrations of up to 1 per cent for pre-surgical treatment and pain management during routine animal husbandry procedures (</w:t>
      </w:r>
      <w:bookmarkStart w:id="40" w:name="_Hlk109225158"/>
      <w:r w:rsidRPr="00F05C51">
        <w:t xml:space="preserve">the </w:t>
      </w:r>
      <w:r w:rsidRPr="00F05C51">
        <w:rPr>
          <w:b/>
          <w:bCs/>
        </w:rPr>
        <w:t>Proposal</w:t>
      </w:r>
      <w:bookmarkEnd w:id="40"/>
      <w:r w:rsidRPr="00F05C51">
        <w:t xml:space="preserve">). This would enable access to certain preparations of meloxicam, for use in animals, without a prescription. </w:t>
      </w:r>
    </w:p>
    <w:p w14:paraId="0E1FDBA0" w14:textId="52DACBE1" w:rsidR="00F41DCE" w:rsidRPr="008036B7" w:rsidRDefault="00F41DCE" w:rsidP="00F41DCE">
      <w:pPr>
        <w:pStyle w:val="Heading5"/>
      </w:pPr>
      <w:r>
        <w:t xml:space="preserve">Final </w:t>
      </w:r>
      <w:r w:rsidR="00D12D62">
        <w:t>d</w:t>
      </w:r>
      <w:r>
        <w:t xml:space="preserve">ecision </w:t>
      </w:r>
    </w:p>
    <w:p w14:paraId="61254121" w14:textId="266EBCCB" w:rsidR="00A7521C" w:rsidRPr="00F05C51" w:rsidRDefault="00A7521C" w:rsidP="00A7521C">
      <w:r w:rsidRPr="00F05C51">
        <w:t>Pursuant to regulation 42ZCZ</w:t>
      </w:r>
      <w:r w:rsidR="00784F14">
        <w:t>R</w:t>
      </w:r>
      <w:r w:rsidRPr="00F05C51">
        <w:t xml:space="preserve"> of </w:t>
      </w:r>
      <w:r w:rsidR="004F545F">
        <w:t xml:space="preserve">the </w:t>
      </w:r>
      <w:r w:rsidRPr="00F05C51">
        <w:t xml:space="preserve">Therapeutic Goods Regulations 1990 (Cth) (the </w:t>
      </w:r>
      <w:r w:rsidRPr="00F05C51">
        <w:rPr>
          <w:b/>
          <w:bCs/>
        </w:rPr>
        <w:t>Regulations</w:t>
      </w:r>
      <w:r w:rsidRPr="00F05C51">
        <w:t xml:space="preserve">), a delegate of the Secretary of the Department of Health and Aged Care (the </w:t>
      </w:r>
      <w:r w:rsidRPr="00F05C51">
        <w:rPr>
          <w:b/>
          <w:bCs/>
        </w:rPr>
        <w:t>Delegate</w:t>
      </w:r>
      <w:r w:rsidRPr="00F05C51">
        <w:t xml:space="preserve">) has made a </w:t>
      </w:r>
      <w:r>
        <w:t>final</w:t>
      </w:r>
      <w:r w:rsidRPr="00F05C51">
        <w:t xml:space="preserve"> decision to amend the current Poisons Standard substantially in line with the Proposal as follows:</w:t>
      </w:r>
    </w:p>
    <w:p w14:paraId="6D40715E" w14:textId="77777777" w:rsidR="00A7521C" w:rsidRPr="00F05C51" w:rsidRDefault="00A7521C">
      <w:pPr>
        <w:ind w:left="357"/>
        <w:rPr>
          <w:b/>
        </w:rPr>
      </w:pPr>
      <w:r w:rsidRPr="00F05C51">
        <w:rPr>
          <w:b/>
        </w:rPr>
        <w:t>Schedule 6 – New Entry</w:t>
      </w:r>
    </w:p>
    <w:p w14:paraId="5C4A0FF1" w14:textId="77777777" w:rsidR="00A7521C" w:rsidRPr="00F05C51" w:rsidRDefault="00A7521C">
      <w:pPr>
        <w:ind w:left="709"/>
        <w:rPr>
          <w:strike/>
          <w:color w:val="FF0000"/>
        </w:rPr>
      </w:pPr>
      <w:r w:rsidRPr="00F05C51">
        <w:rPr>
          <w:color w:val="00B050"/>
        </w:rPr>
        <w:t>MELOXICAM in oral transmucosal preparations containing 1 per cent or less meloxicam for pre-surgical treatment and pain management in livestock during routine animal husbandry procedures.</w:t>
      </w:r>
    </w:p>
    <w:p w14:paraId="205286DD" w14:textId="77777777" w:rsidR="00A7521C" w:rsidRPr="00F05C51" w:rsidRDefault="00A7521C">
      <w:pPr>
        <w:ind w:left="357"/>
        <w:rPr>
          <w:b/>
        </w:rPr>
      </w:pPr>
      <w:r w:rsidRPr="00F05C51">
        <w:rPr>
          <w:b/>
        </w:rPr>
        <w:t>Schedule 4 –Amend Entry</w:t>
      </w:r>
    </w:p>
    <w:p w14:paraId="190C9EDC" w14:textId="77777777" w:rsidR="00A7521C" w:rsidRPr="00F05C51" w:rsidRDefault="00A7521C">
      <w:pPr>
        <w:ind w:firstLine="709"/>
        <w:rPr>
          <w:strike/>
          <w:color w:val="FF0000"/>
        </w:rPr>
      </w:pPr>
      <w:r w:rsidRPr="00F05C51">
        <w:t xml:space="preserve">MELOXICAM </w:t>
      </w:r>
      <w:r w:rsidRPr="00F05C51">
        <w:rPr>
          <w:b/>
          <w:bCs/>
          <w:color w:val="00B050"/>
        </w:rPr>
        <w:t>except</w:t>
      </w:r>
      <w:r w:rsidRPr="00F05C51">
        <w:rPr>
          <w:color w:val="00B050"/>
        </w:rPr>
        <w:t xml:space="preserve"> when included in Schedule 6.</w:t>
      </w:r>
    </w:p>
    <w:p w14:paraId="143717D8" w14:textId="77777777" w:rsidR="00A7521C" w:rsidRPr="00F05C51" w:rsidRDefault="00A7521C" w:rsidP="00A7521C">
      <w:pPr>
        <w:ind w:left="357"/>
        <w:rPr>
          <w:b/>
        </w:rPr>
      </w:pPr>
      <w:r w:rsidRPr="00F05C51">
        <w:rPr>
          <w:b/>
        </w:rPr>
        <w:t>Index – Amend Entry</w:t>
      </w:r>
    </w:p>
    <w:p w14:paraId="209A7C9B" w14:textId="77777777" w:rsidR="00A7521C" w:rsidRPr="00F05C51" w:rsidRDefault="00A7521C" w:rsidP="00A7521C">
      <w:pPr>
        <w:ind w:left="709"/>
        <w:rPr>
          <w:b/>
          <w:bCs/>
        </w:rPr>
      </w:pPr>
      <w:r w:rsidRPr="00F05C51">
        <w:rPr>
          <w:b/>
          <w:bCs/>
        </w:rPr>
        <w:t>MELOXICAM</w:t>
      </w:r>
    </w:p>
    <w:p w14:paraId="61AB168E" w14:textId="77777777" w:rsidR="00A7521C" w:rsidRPr="00F05C51" w:rsidRDefault="00A7521C" w:rsidP="00A7521C">
      <w:pPr>
        <w:spacing w:before="0" w:after="0" w:line="240" w:lineRule="auto"/>
        <w:ind w:left="709"/>
        <w:rPr>
          <w:color w:val="00B050"/>
        </w:rPr>
      </w:pPr>
      <w:r w:rsidRPr="00F05C51">
        <w:rPr>
          <w:color w:val="00B050"/>
        </w:rPr>
        <w:t>Schedule 6</w:t>
      </w:r>
    </w:p>
    <w:p w14:paraId="7B8D3407" w14:textId="77777777" w:rsidR="00A7521C" w:rsidRPr="00F05C51" w:rsidRDefault="00A7521C" w:rsidP="00A7521C">
      <w:pPr>
        <w:spacing w:before="0" w:after="0" w:line="240" w:lineRule="auto"/>
        <w:ind w:left="709"/>
      </w:pPr>
      <w:r w:rsidRPr="00F05C51">
        <w:t>Schedule 4</w:t>
      </w:r>
    </w:p>
    <w:p w14:paraId="6C325675" w14:textId="77777777" w:rsidR="00F41DCE" w:rsidRDefault="00F41DCE" w:rsidP="00F41DCE">
      <w:pPr>
        <w:pStyle w:val="Heading5"/>
      </w:pPr>
      <w:r>
        <w:lastRenderedPageBreak/>
        <w:t xml:space="preserve">Materials considered </w:t>
      </w:r>
    </w:p>
    <w:p w14:paraId="622BB0D3" w14:textId="77777777" w:rsidR="00F41DCE" w:rsidRDefault="00F41DCE" w:rsidP="00F41DCE">
      <w:r>
        <w:t>In making this final decision, the Delegate considered the following material:</w:t>
      </w:r>
    </w:p>
    <w:p w14:paraId="77A11E44" w14:textId="77777777" w:rsidR="00A7521C" w:rsidRPr="00F05C51" w:rsidRDefault="00A7521C" w:rsidP="00A7521C">
      <w:pPr>
        <w:pStyle w:val="ListBullet"/>
      </w:pPr>
      <w:r w:rsidRPr="00F05C51">
        <w:t xml:space="preserve">The </w:t>
      </w:r>
      <w:hyperlink r:id="rId33" w:history="1">
        <w:r w:rsidRPr="00F05C51">
          <w:rPr>
            <w:color w:val="0000FF"/>
            <w:u w:val="single"/>
          </w:rPr>
          <w:t>application</w:t>
        </w:r>
      </w:hyperlink>
      <w:r w:rsidRPr="00F05C51">
        <w:t xml:space="preserve"> to amend the current Poisons Standard with respect to meloxicam (the </w:t>
      </w:r>
      <w:r w:rsidRPr="00F05C51">
        <w:rPr>
          <w:b/>
          <w:bCs/>
        </w:rPr>
        <w:t>Application</w:t>
      </w:r>
      <w:r w:rsidRPr="00F05C51">
        <w:t>);</w:t>
      </w:r>
    </w:p>
    <w:p w14:paraId="7B1310C2" w14:textId="2F46B7ED" w:rsidR="00A7521C" w:rsidRDefault="00A7521C" w:rsidP="00A7521C">
      <w:pPr>
        <w:pStyle w:val="ListBullet"/>
      </w:pPr>
      <w:r w:rsidRPr="00F05C51">
        <w:t>The 393</w:t>
      </w:r>
      <w:r w:rsidR="00A22AD3">
        <w:t xml:space="preserve"> </w:t>
      </w:r>
      <w:hyperlink r:id="rId34" w:history="1">
        <w:r w:rsidRPr="00F05C51">
          <w:rPr>
            <w:color w:val="0000FF"/>
            <w:u w:val="single"/>
          </w:rPr>
          <w:t>public submissions</w:t>
        </w:r>
      </w:hyperlink>
      <w:r w:rsidRPr="00F05C51">
        <w:t>, with one hundred and</w:t>
      </w:r>
      <w:r w:rsidR="00A22AD3">
        <w:t xml:space="preserve"> </w:t>
      </w:r>
      <w:r w:rsidRPr="00F05C51">
        <w:t>143</w:t>
      </w:r>
      <w:r w:rsidR="00A22AD3">
        <w:t xml:space="preserve"> </w:t>
      </w:r>
      <w:r w:rsidRPr="00F05C51">
        <w:t xml:space="preserve">including a written component, received in response to the </w:t>
      </w:r>
      <w:hyperlink r:id="rId35" w:history="1">
        <w:r w:rsidRPr="00F05C51">
          <w:rPr>
            <w:color w:val="0000FF"/>
            <w:u w:val="single"/>
          </w:rPr>
          <w:t>pre-meeting consultation</w:t>
        </w:r>
      </w:hyperlink>
      <w:r w:rsidRPr="00F05C51">
        <w:t xml:space="preserve"> under regulation 42ZCZK of the Regulations;</w:t>
      </w:r>
    </w:p>
    <w:p w14:paraId="5C37ACFF" w14:textId="410695C1" w:rsidR="00897E2B" w:rsidRDefault="00897E2B" w:rsidP="00897E2B">
      <w:pPr>
        <w:pStyle w:val="ListBullet"/>
      </w:pPr>
      <w:bookmarkStart w:id="41" w:name="_Hlk119335438"/>
      <w:r w:rsidRPr="00897E2B">
        <w:t xml:space="preserve">The </w:t>
      </w:r>
      <w:r>
        <w:t>87</w:t>
      </w:r>
      <w:r w:rsidRPr="00897E2B">
        <w:t xml:space="preserve"> public submissions, with </w:t>
      </w:r>
      <w:r>
        <w:t>79</w:t>
      </w:r>
      <w:r w:rsidRPr="00897E2B">
        <w:t xml:space="preserve"> written submissions, received in response to the </w:t>
      </w:r>
      <w:hyperlink r:id="rId36" w:history="1">
        <w:r w:rsidRPr="00897E2B">
          <w:rPr>
            <w:rStyle w:val="Hyperlink"/>
          </w:rPr>
          <w:t>interim decision consultation</w:t>
        </w:r>
      </w:hyperlink>
      <w:r w:rsidRPr="00897E2B">
        <w:t xml:space="preserve"> under regulation 42ZCZP of the Regulations (the </w:t>
      </w:r>
      <w:r w:rsidRPr="002E4FB1">
        <w:rPr>
          <w:b/>
          <w:bCs/>
        </w:rPr>
        <w:t>Submissions</w:t>
      </w:r>
      <w:r w:rsidRPr="00897E2B">
        <w:t>);</w:t>
      </w:r>
    </w:p>
    <w:bookmarkEnd w:id="41"/>
    <w:p w14:paraId="2576DEA2" w14:textId="74E04EB0" w:rsidR="00A7521C" w:rsidRPr="00F05C51" w:rsidRDefault="00A7521C">
      <w:pPr>
        <w:pStyle w:val="ListBullet"/>
      </w:pPr>
      <w:r w:rsidRPr="00F05C51">
        <w:t>The advice received from the 30</w:t>
      </w:r>
      <w:r w:rsidRPr="00897E2B">
        <w:rPr>
          <w:vertAlign w:val="superscript"/>
        </w:rPr>
        <w:t>th</w:t>
      </w:r>
      <w:r w:rsidRPr="00F05C51">
        <w:t xml:space="preserve"> meeting of the Advisory Committees on Medicines and Chemicals Scheduling in joint session (the </w:t>
      </w:r>
      <w:r w:rsidRPr="00897E2B">
        <w:rPr>
          <w:b/>
          <w:bCs/>
        </w:rPr>
        <w:t>Committee</w:t>
      </w:r>
      <w:proofErr w:type="gramStart"/>
      <w:r w:rsidRPr="00F05C51">
        <w:t>);</w:t>
      </w:r>
      <w:proofErr w:type="gramEnd"/>
    </w:p>
    <w:p w14:paraId="5C47C5F1" w14:textId="77777777" w:rsidR="00A7521C" w:rsidRPr="00F05C51" w:rsidRDefault="00A7521C" w:rsidP="00A7521C">
      <w:pPr>
        <w:pStyle w:val="ListBullet"/>
      </w:pPr>
      <w:r w:rsidRPr="00F05C51">
        <w:t xml:space="preserve">Subsection 52E(1) of the </w:t>
      </w:r>
      <w:r w:rsidRPr="00F05C51">
        <w:rPr>
          <w:i/>
        </w:rPr>
        <w:t>Therapeutic Goods Act 1989</w:t>
      </w:r>
      <w:r w:rsidRPr="00F05C51">
        <w:rPr>
          <w:iCs/>
        </w:rPr>
        <w:t xml:space="preserve"> (Cth) (the </w:t>
      </w:r>
      <w:r w:rsidRPr="00F05C51">
        <w:rPr>
          <w:b/>
          <w:bCs/>
          <w:iCs/>
        </w:rPr>
        <w:t>Act</w:t>
      </w:r>
      <w:r w:rsidRPr="00F05C51">
        <w:rPr>
          <w:iCs/>
        </w:rPr>
        <w:t>)</w:t>
      </w:r>
      <w:r w:rsidRPr="00F05C51">
        <w:rPr>
          <w:i/>
        </w:rPr>
        <w:t xml:space="preserve">, </w:t>
      </w:r>
      <w:r w:rsidRPr="00F05C51">
        <w:t>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48818744" w14:textId="34ABE933" w:rsidR="00A7521C" w:rsidRPr="00F05C51" w:rsidRDefault="00A7521C" w:rsidP="00A7521C">
      <w:pPr>
        <w:pStyle w:val="ListBullet"/>
      </w:pPr>
      <w:r w:rsidRPr="00F05C51">
        <w:t xml:space="preserve">The </w:t>
      </w:r>
      <w:hyperlink r:id="rId37" w:history="1">
        <w:r w:rsidRPr="00F05C51">
          <w:rPr>
            <w:color w:val="0000FF"/>
            <w:u w:val="single"/>
          </w:rPr>
          <w:t>Scheduling Policy Framework</w:t>
        </w:r>
      </w:hyperlink>
      <w:r w:rsidRPr="00F05C51">
        <w:t xml:space="preserve"> 2018 (the </w:t>
      </w:r>
      <w:r w:rsidRPr="00F05C51">
        <w:rPr>
          <w:b/>
          <w:bCs/>
        </w:rPr>
        <w:t>SPF</w:t>
      </w:r>
      <w:r w:rsidRPr="00F05C51">
        <w:t>)</w:t>
      </w:r>
      <w:r w:rsidR="00607767">
        <w:t xml:space="preserve">; </w:t>
      </w:r>
      <w:r w:rsidRPr="00F05C51">
        <w:t>and</w:t>
      </w:r>
    </w:p>
    <w:p w14:paraId="2C2F17F1" w14:textId="77777777" w:rsidR="00A7521C" w:rsidRPr="00F05C51" w:rsidRDefault="00A7521C" w:rsidP="00A7521C">
      <w:pPr>
        <w:pStyle w:val="ListBullet"/>
      </w:pPr>
      <w:r w:rsidRPr="00F05C51">
        <w:t xml:space="preserve">The </w:t>
      </w:r>
      <w:hyperlink r:id="rId38" w:history="1">
        <w:r w:rsidRPr="00F05C51">
          <w:rPr>
            <w:color w:val="0000FF"/>
            <w:u w:val="single"/>
          </w:rPr>
          <w:t>Scheduling handbook: Guidance for amending the Poisons Standard</w:t>
        </w:r>
      </w:hyperlink>
      <w:r w:rsidRPr="00F05C51">
        <w:t>.</w:t>
      </w:r>
    </w:p>
    <w:p w14:paraId="14775BA7" w14:textId="5CBA1411" w:rsidR="004B32D0" w:rsidRDefault="00F41DCE" w:rsidP="004B32D0">
      <w:pPr>
        <w:pStyle w:val="Heading5"/>
      </w:pPr>
      <w:r w:rsidRPr="00436C41">
        <w:t>Reasons for the final decision (including findings on material questions of fact)</w:t>
      </w:r>
    </w:p>
    <w:p w14:paraId="6D8DC09B" w14:textId="4F068C04" w:rsidR="004B32D0" w:rsidRDefault="004B32D0" w:rsidP="004B32D0">
      <w:r w:rsidRPr="00381810">
        <w:t>I have made a final decision to confirm my</w:t>
      </w:r>
      <w:r w:rsidR="00381810" w:rsidRPr="00381810">
        <w:t xml:space="preserve"> </w:t>
      </w:r>
      <w:r w:rsidRPr="00381810">
        <w:t>interim decision to amend</w:t>
      </w:r>
      <w:r w:rsidR="00381810" w:rsidRPr="00381810">
        <w:t xml:space="preserve"> </w:t>
      </w:r>
      <w:r w:rsidRPr="00381810">
        <w:t xml:space="preserve">the current Poisons Standard with respect to </w:t>
      </w:r>
      <w:r w:rsidR="00381810" w:rsidRPr="00381810">
        <w:t>meloxicam</w:t>
      </w:r>
      <w:r w:rsidRPr="00381810">
        <w:t xml:space="preserve">. My reasons for making the final decision are those set out in the interim decision. In making my final decision, I have </w:t>
      </w:r>
      <w:proofErr w:type="gramStart"/>
      <w:r w:rsidRPr="00381810">
        <w:t>taken into account</w:t>
      </w:r>
      <w:proofErr w:type="gramEnd"/>
      <w:r w:rsidRPr="00381810">
        <w:t xml:space="preserve"> the material detailed in the interim decision and </w:t>
      </w:r>
      <w:r w:rsidRPr="00C36222">
        <w:t xml:space="preserve">the </w:t>
      </w:r>
      <w:r w:rsidR="007A48F0">
        <w:t>Submissions</w:t>
      </w:r>
      <w:r w:rsidRPr="00C36222">
        <w:t>.</w:t>
      </w:r>
    </w:p>
    <w:p w14:paraId="30881204" w14:textId="1CB5D1EC" w:rsidR="005F2878" w:rsidRPr="00F05C51" w:rsidRDefault="008A441A" w:rsidP="00381810">
      <w:r w:rsidRPr="002B5A5F">
        <w:rPr>
          <w:szCs w:val="22"/>
          <w:shd w:val="clear" w:color="auto" w:fill="FFFFFF"/>
        </w:rPr>
        <w:t xml:space="preserve">I acknowledge the variety of opinions presented in </w:t>
      </w:r>
      <w:r>
        <w:rPr>
          <w:szCs w:val="22"/>
          <w:shd w:val="clear" w:color="auto" w:fill="FFFFFF"/>
        </w:rPr>
        <w:t>both sets of</w:t>
      </w:r>
      <w:r w:rsidRPr="002B5A5F">
        <w:rPr>
          <w:szCs w:val="22"/>
          <w:shd w:val="clear" w:color="auto" w:fill="FFFFFF"/>
        </w:rPr>
        <w:t xml:space="preserve"> public submissions</w:t>
      </w:r>
      <w:r>
        <w:rPr>
          <w:szCs w:val="22"/>
          <w:shd w:val="clear" w:color="auto" w:fill="FFFFFF"/>
        </w:rPr>
        <w:t xml:space="preserve">. My overall conclusion is that </w:t>
      </w:r>
      <w:r w:rsidR="002E4FB1">
        <w:rPr>
          <w:szCs w:val="22"/>
          <w:shd w:val="clear" w:color="auto" w:fill="FFFFFF"/>
        </w:rPr>
        <w:t xml:space="preserve">the benefits from </w:t>
      </w:r>
      <w:r w:rsidRPr="002B5A5F">
        <w:rPr>
          <w:szCs w:val="22"/>
          <w:shd w:val="clear" w:color="auto" w:fill="FFFFFF"/>
        </w:rPr>
        <w:t>increased access to meloxicam</w:t>
      </w:r>
      <w:r>
        <w:rPr>
          <w:szCs w:val="22"/>
          <w:shd w:val="clear" w:color="auto" w:fill="FFFFFF"/>
        </w:rPr>
        <w:t xml:space="preserve"> in </w:t>
      </w:r>
      <w:r w:rsidRPr="002E4FB1">
        <w:rPr>
          <w:i/>
          <w:iCs/>
          <w:szCs w:val="22"/>
          <w:shd w:val="clear" w:color="auto" w:fill="FFFFFF"/>
        </w:rPr>
        <w:t>oral transmucosal</w:t>
      </w:r>
      <w:r>
        <w:rPr>
          <w:szCs w:val="22"/>
          <w:shd w:val="clear" w:color="auto" w:fill="FFFFFF"/>
        </w:rPr>
        <w:t xml:space="preserve"> preparations</w:t>
      </w:r>
      <w:r w:rsidRPr="002B5A5F">
        <w:rPr>
          <w:szCs w:val="22"/>
          <w:shd w:val="clear" w:color="auto" w:fill="FFFFFF"/>
        </w:rPr>
        <w:t xml:space="preserve"> </w:t>
      </w:r>
      <w:r>
        <w:rPr>
          <w:szCs w:val="22"/>
          <w:shd w:val="clear" w:color="auto" w:fill="FFFFFF"/>
        </w:rPr>
        <w:t xml:space="preserve">through a specific </w:t>
      </w:r>
      <w:r w:rsidRPr="002B5A5F">
        <w:rPr>
          <w:szCs w:val="22"/>
          <w:shd w:val="clear" w:color="auto" w:fill="FFFFFF"/>
        </w:rPr>
        <w:t>Schedule 6 entry</w:t>
      </w:r>
      <w:r w:rsidR="002E4FB1">
        <w:rPr>
          <w:szCs w:val="22"/>
          <w:shd w:val="clear" w:color="auto" w:fill="FFFFFF"/>
        </w:rPr>
        <w:t xml:space="preserve"> outweigh the risks. The Schedule 6 entry may </w:t>
      </w:r>
      <w:r w:rsidRPr="002B5A5F">
        <w:rPr>
          <w:szCs w:val="22"/>
          <w:shd w:val="clear" w:color="auto" w:fill="FFFFFF"/>
        </w:rPr>
        <w:t xml:space="preserve">encourage a greater uptake and wider use of meloxicam for animal husbandry procedures, particularly to those who find that the current scheduling of meloxicam is a barrier to providing adequate pain relief measures to their livestock. </w:t>
      </w:r>
      <w:r>
        <w:t xml:space="preserve">It will enable reasonable access to a relatively safe medication. </w:t>
      </w:r>
      <w:r w:rsidRPr="00F05C51">
        <w:t xml:space="preserve">I consider that the risks </w:t>
      </w:r>
      <w:r w:rsidR="002C5EA7">
        <w:t xml:space="preserve">associated with greater access to this substance through this amended scheduling </w:t>
      </w:r>
      <w:r w:rsidR="006C17D5">
        <w:t>will be</w:t>
      </w:r>
      <w:r w:rsidR="002C5EA7">
        <w:t xml:space="preserve"> </w:t>
      </w:r>
      <w:r w:rsidRPr="00F05C51">
        <w:t>mitigated by</w:t>
      </w:r>
      <w:r w:rsidR="002C5EA7">
        <w:t xml:space="preserve"> the various</w:t>
      </w:r>
      <w:r w:rsidRPr="00F05C51">
        <w:t xml:space="preserve"> Schedule 6 controls, such as</w:t>
      </w:r>
      <w:r w:rsidR="00EE719A">
        <w:t xml:space="preserve"> limiting it to oral transmucosal preparations and</w:t>
      </w:r>
      <w:r w:rsidRPr="00F05C51">
        <w:t xml:space="preserve"> child resistant packaging</w:t>
      </w:r>
      <w:r w:rsidR="006C17D5">
        <w:t xml:space="preserve">. Furthermore, the </w:t>
      </w:r>
      <w:r w:rsidR="002C5EA7">
        <w:t>veterinary medicine regulator</w:t>
      </w:r>
      <w:r w:rsidR="006C17D5">
        <w:t xml:space="preserve"> will stipulate any specific labelling information including the direction</w:t>
      </w:r>
      <w:r w:rsidR="002E4FB1">
        <w:t>s</w:t>
      </w:r>
      <w:r w:rsidR="006C17D5">
        <w:t xml:space="preserve"> for use, safety directions and any applicable warning statements</w:t>
      </w:r>
      <w:r w:rsidR="00EE719A">
        <w:t xml:space="preserve"> deemed appropriate,</w:t>
      </w:r>
      <w:r w:rsidR="006C17D5">
        <w:t xml:space="preserve"> when such products are considered for registration.</w:t>
      </w:r>
    </w:p>
    <w:p w14:paraId="7EB9BEA9" w14:textId="12A10BF9" w:rsidR="00403ACE" w:rsidRDefault="00381810" w:rsidP="00403ACE">
      <w:pPr>
        <w:pStyle w:val="Heading5"/>
      </w:pPr>
      <w:r>
        <w:t>Implementation date</w:t>
      </w:r>
    </w:p>
    <w:p w14:paraId="75E20135" w14:textId="001FE57F" w:rsidR="002E4FB1" w:rsidRDefault="00381810" w:rsidP="00381810">
      <w:pPr>
        <w:rPr>
          <w:b/>
          <w:bCs/>
        </w:rPr>
      </w:pPr>
      <w:r w:rsidRPr="00381810">
        <w:rPr>
          <w:b/>
          <w:bCs/>
        </w:rPr>
        <w:t>1 February 2023</w:t>
      </w:r>
    </w:p>
    <w:p w14:paraId="08044379" w14:textId="02325954" w:rsidR="00F41DCE" w:rsidRDefault="00F41DCE" w:rsidP="00E951D8">
      <w:pPr>
        <w:pStyle w:val="Heading3"/>
      </w:pPr>
      <w:bookmarkStart w:id="42" w:name="_Toc119668038"/>
      <w:r>
        <w:lastRenderedPageBreak/>
        <w:t xml:space="preserve">Final decision in relation to </w:t>
      </w:r>
      <w:r w:rsidR="00381810">
        <w:t>lidocaine</w:t>
      </w:r>
      <w:bookmarkEnd w:id="42"/>
    </w:p>
    <w:p w14:paraId="1DE0FFA3" w14:textId="77777777" w:rsidR="00E951D8" w:rsidRDefault="00E951D8" w:rsidP="00E951D8">
      <w:pPr>
        <w:pStyle w:val="Heading5"/>
      </w:pPr>
      <w:r>
        <w:t>Proposal</w:t>
      </w:r>
    </w:p>
    <w:p w14:paraId="509B5640" w14:textId="77777777" w:rsidR="00381810" w:rsidRPr="0086392C" w:rsidRDefault="00381810" w:rsidP="00381810">
      <w:r w:rsidRPr="0086392C">
        <w:t xml:space="preserve">The applicant proposed that the existing Schedule 5 entry for lidocaine be amended to exclude injectable formulations for veterinary use in certain husbandry procedures (the </w:t>
      </w:r>
      <w:r w:rsidRPr="0086392C">
        <w:rPr>
          <w:b/>
          <w:bCs/>
        </w:rPr>
        <w:t>Proposal</w:t>
      </w:r>
      <w:r w:rsidRPr="0086392C">
        <w:t xml:space="preserve">). The proposal effectively sought to reverse the scheduling decision on lidocaine published in </w:t>
      </w:r>
      <w:hyperlink r:id="rId39" w:history="1">
        <w:r w:rsidRPr="0086392C">
          <w:rPr>
            <w:color w:val="0000FF"/>
            <w:u w:val="single"/>
          </w:rPr>
          <w:t>September 2021</w:t>
        </w:r>
      </w:hyperlink>
      <w:r w:rsidRPr="0086392C">
        <w:t xml:space="preserve">. </w:t>
      </w:r>
    </w:p>
    <w:p w14:paraId="269D2DEF" w14:textId="62B3EB69" w:rsidR="00F41DCE" w:rsidRPr="008036B7" w:rsidRDefault="00F41DCE" w:rsidP="00F41DCE">
      <w:pPr>
        <w:pStyle w:val="Heading5"/>
      </w:pPr>
      <w:r>
        <w:t>Final Decision</w:t>
      </w:r>
    </w:p>
    <w:p w14:paraId="76F7ED68" w14:textId="4D0C6DDD" w:rsidR="00F41DCE" w:rsidRPr="00335BEC" w:rsidRDefault="00381810" w:rsidP="00381810">
      <w:pPr>
        <w:widowControl w:val="0"/>
      </w:pPr>
      <w:r w:rsidRPr="0086392C">
        <w:t>Pursuant to regulation 42ZCZ</w:t>
      </w:r>
      <w:r w:rsidR="00607767">
        <w:t>R</w:t>
      </w:r>
      <w:r w:rsidRPr="0086392C">
        <w:t xml:space="preserve"> of </w:t>
      </w:r>
      <w:r w:rsidR="004F545F">
        <w:t xml:space="preserve">the </w:t>
      </w:r>
      <w:r w:rsidRPr="0086392C">
        <w:t xml:space="preserve">Therapeutic Goods Regulations 1990 (Cth) (the </w:t>
      </w:r>
      <w:r w:rsidRPr="0086392C">
        <w:rPr>
          <w:b/>
          <w:bCs/>
        </w:rPr>
        <w:t>Regulations</w:t>
      </w:r>
      <w:r w:rsidRPr="0086392C">
        <w:t xml:space="preserve">), a delegate of the Secretary of the Department of Health and Aged Care (the </w:t>
      </w:r>
      <w:r w:rsidRPr="0086392C">
        <w:rPr>
          <w:b/>
          <w:bCs/>
        </w:rPr>
        <w:t>Delegate</w:t>
      </w:r>
      <w:r w:rsidRPr="0086392C">
        <w:t xml:space="preserve">) has made </w:t>
      </w:r>
      <w:r w:rsidR="00CC5948">
        <w:t>a final</w:t>
      </w:r>
      <w:r w:rsidRPr="0086392C">
        <w:t xml:space="preserve"> decision </w:t>
      </w:r>
      <w:r w:rsidR="00A26A8B">
        <w:t xml:space="preserve">to </w:t>
      </w:r>
      <w:r w:rsidRPr="0086392C">
        <w:t>not amend the current Poisons Standard in relation to lidocaine.</w:t>
      </w:r>
    </w:p>
    <w:p w14:paraId="205BA8D7" w14:textId="2B5B16C7" w:rsidR="00F41DCE" w:rsidRDefault="00F41DCE" w:rsidP="00F41DCE">
      <w:pPr>
        <w:pStyle w:val="Heading5"/>
      </w:pPr>
      <w:r>
        <w:t>Materials considered</w:t>
      </w:r>
    </w:p>
    <w:p w14:paraId="776915E5" w14:textId="75526280" w:rsidR="00F41DCE" w:rsidRDefault="00F41DCE" w:rsidP="00F41DCE">
      <w:r>
        <w:t>In making this final decision, the Delegate considered the following material:</w:t>
      </w:r>
    </w:p>
    <w:p w14:paraId="4A42784F" w14:textId="77777777" w:rsidR="00381810" w:rsidRPr="0086392C" w:rsidRDefault="00381810" w:rsidP="00381810">
      <w:pPr>
        <w:numPr>
          <w:ilvl w:val="0"/>
          <w:numId w:val="8"/>
        </w:numPr>
      </w:pPr>
      <w:r w:rsidRPr="0086392C">
        <w:t xml:space="preserve">The </w:t>
      </w:r>
      <w:hyperlink r:id="rId40" w:history="1">
        <w:r w:rsidRPr="0086392C">
          <w:rPr>
            <w:color w:val="0000FF"/>
            <w:u w:val="single"/>
          </w:rPr>
          <w:t>application</w:t>
        </w:r>
      </w:hyperlink>
      <w:r w:rsidRPr="0086392C">
        <w:t xml:space="preserve"> to amend the current Poisons Standard with respect to lidocaine (the </w:t>
      </w:r>
      <w:r w:rsidRPr="0086392C">
        <w:rPr>
          <w:b/>
          <w:bCs/>
        </w:rPr>
        <w:t>Application</w:t>
      </w:r>
      <w:r w:rsidRPr="0086392C">
        <w:t>);</w:t>
      </w:r>
    </w:p>
    <w:p w14:paraId="730E5A85" w14:textId="32AAC901" w:rsidR="00381810" w:rsidRDefault="00381810" w:rsidP="00381810">
      <w:pPr>
        <w:numPr>
          <w:ilvl w:val="0"/>
          <w:numId w:val="8"/>
        </w:numPr>
      </w:pPr>
      <w:r w:rsidRPr="0086392C">
        <w:t>The 479</w:t>
      </w:r>
      <w:r w:rsidR="00797C1C">
        <w:t xml:space="preserve"> </w:t>
      </w:r>
      <w:r w:rsidRPr="0086392C">
        <w:t>public submissions, including</w:t>
      </w:r>
      <w:r w:rsidR="00797C1C">
        <w:t xml:space="preserve"> </w:t>
      </w:r>
      <w:r w:rsidRPr="0086392C">
        <w:t>183</w:t>
      </w:r>
      <w:r w:rsidR="00797C1C">
        <w:t xml:space="preserve"> </w:t>
      </w:r>
      <w:r w:rsidRPr="0086392C">
        <w:t xml:space="preserve">with a written component, received in response to the </w:t>
      </w:r>
      <w:hyperlink r:id="rId41" w:history="1">
        <w:r w:rsidRPr="0086392C">
          <w:rPr>
            <w:color w:val="0000FF"/>
            <w:u w:val="single"/>
          </w:rPr>
          <w:t>pre-meeting consultation</w:t>
        </w:r>
      </w:hyperlink>
      <w:r w:rsidRPr="0086392C">
        <w:t xml:space="preserve"> under regulation 42ZCZK of the </w:t>
      </w:r>
      <w:proofErr w:type="gramStart"/>
      <w:r w:rsidRPr="0086392C">
        <w:t>Regulations;</w:t>
      </w:r>
      <w:proofErr w:type="gramEnd"/>
      <w:r w:rsidRPr="0086392C">
        <w:t xml:space="preserve"> </w:t>
      </w:r>
    </w:p>
    <w:p w14:paraId="246F0BA6" w14:textId="411D330C" w:rsidR="00797C1C" w:rsidRPr="009C2F10" w:rsidRDefault="009C2F10" w:rsidP="00A26B38">
      <w:pPr>
        <w:pStyle w:val="ListBullet"/>
      </w:pPr>
      <w:r w:rsidRPr="00897E2B">
        <w:t>The</w:t>
      </w:r>
      <w:r>
        <w:t xml:space="preserve"> 75</w:t>
      </w:r>
      <w:r w:rsidRPr="00897E2B">
        <w:t xml:space="preserve"> public submissions, with </w:t>
      </w:r>
      <w:r>
        <w:t>67</w:t>
      </w:r>
      <w:r w:rsidRPr="00897E2B">
        <w:t xml:space="preserve"> written submissions, received in response to the </w:t>
      </w:r>
      <w:hyperlink r:id="rId42" w:history="1">
        <w:r w:rsidRPr="00897E2B">
          <w:rPr>
            <w:rStyle w:val="Hyperlink"/>
          </w:rPr>
          <w:t>interim decision consultation</w:t>
        </w:r>
      </w:hyperlink>
      <w:r w:rsidRPr="00897E2B">
        <w:t xml:space="preserve"> under regulation 42ZCZP of the Regulations (the </w:t>
      </w:r>
      <w:r w:rsidRPr="0083590D">
        <w:rPr>
          <w:b/>
          <w:bCs/>
        </w:rPr>
        <w:t>Submissions</w:t>
      </w:r>
      <w:r w:rsidRPr="00897E2B">
        <w:t>);</w:t>
      </w:r>
    </w:p>
    <w:p w14:paraId="08B388C5" w14:textId="77777777" w:rsidR="00381810" w:rsidRPr="0086392C" w:rsidRDefault="00381810" w:rsidP="00381810">
      <w:pPr>
        <w:numPr>
          <w:ilvl w:val="0"/>
          <w:numId w:val="8"/>
        </w:numPr>
      </w:pPr>
      <w:r w:rsidRPr="0086392C">
        <w:t>The advice received from the 30</w:t>
      </w:r>
      <w:r w:rsidRPr="0086392C">
        <w:rPr>
          <w:vertAlign w:val="superscript"/>
        </w:rPr>
        <w:t>th</w:t>
      </w:r>
      <w:r w:rsidRPr="0086392C">
        <w:t xml:space="preserve"> meeting of the Advisory Committees on Medicines and Chemicals Scheduling in joint session (the </w:t>
      </w:r>
      <w:r w:rsidRPr="0086392C">
        <w:rPr>
          <w:b/>
          <w:bCs/>
        </w:rPr>
        <w:t>Committee</w:t>
      </w:r>
      <w:proofErr w:type="gramStart"/>
      <w:r w:rsidRPr="0086392C">
        <w:t>);</w:t>
      </w:r>
      <w:proofErr w:type="gramEnd"/>
    </w:p>
    <w:p w14:paraId="6A92A922" w14:textId="77777777" w:rsidR="00381810" w:rsidRPr="0086392C" w:rsidRDefault="00381810" w:rsidP="00381810">
      <w:pPr>
        <w:numPr>
          <w:ilvl w:val="0"/>
          <w:numId w:val="8"/>
        </w:numPr>
      </w:pPr>
      <w:r w:rsidRPr="0086392C">
        <w:t xml:space="preserve">Subsection 52E(1) of </w:t>
      </w:r>
      <w:r w:rsidRPr="0086392C">
        <w:rPr>
          <w:i/>
        </w:rPr>
        <w:t xml:space="preserve">the Therapeutic Goods Act 1989 </w:t>
      </w:r>
      <w:r w:rsidRPr="0086392C">
        <w:rPr>
          <w:iCs/>
        </w:rPr>
        <w:t xml:space="preserve">(the </w:t>
      </w:r>
      <w:r w:rsidRPr="0086392C">
        <w:rPr>
          <w:b/>
          <w:bCs/>
          <w:iCs/>
        </w:rPr>
        <w:t>Act</w:t>
      </w:r>
      <w:r w:rsidRPr="0086392C">
        <w:rPr>
          <w:iCs/>
        </w:rPr>
        <w:t>)</w:t>
      </w:r>
      <w:r w:rsidRPr="0086392C">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p>
    <w:p w14:paraId="176F66B4" w14:textId="0FC7A5F4" w:rsidR="00381810" w:rsidRPr="0086392C" w:rsidRDefault="00381810" w:rsidP="00381810">
      <w:pPr>
        <w:numPr>
          <w:ilvl w:val="0"/>
          <w:numId w:val="8"/>
        </w:numPr>
      </w:pPr>
      <w:r w:rsidRPr="0086392C">
        <w:t xml:space="preserve">The </w:t>
      </w:r>
      <w:hyperlink r:id="rId43" w:history="1">
        <w:r w:rsidRPr="0086392C">
          <w:rPr>
            <w:color w:val="0000FF"/>
            <w:u w:val="single"/>
          </w:rPr>
          <w:t>Scheduling Policy Framework</w:t>
        </w:r>
      </w:hyperlink>
      <w:r w:rsidRPr="0086392C">
        <w:t xml:space="preserve"> 2018 (the </w:t>
      </w:r>
      <w:r w:rsidRPr="0086392C">
        <w:rPr>
          <w:b/>
          <w:bCs/>
        </w:rPr>
        <w:t>SPF</w:t>
      </w:r>
      <w:r w:rsidRPr="0086392C">
        <w:t>)</w:t>
      </w:r>
      <w:r w:rsidR="00607767">
        <w:t xml:space="preserve">; </w:t>
      </w:r>
      <w:r w:rsidRPr="0086392C">
        <w:t>and</w:t>
      </w:r>
    </w:p>
    <w:p w14:paraId="7499C5B4" w14:textId="0BDF89CF" w:rsidR="00381810" w:rsidRDefault="00381810" w:rsidP="00F41DCE">
      <w:pPr>
        <w:numPr>
          <w:ilvl w:val="0"/>
          <w:numId w:val="8"/>
        </w:numPr>
      </w:pPr>
      <w:r w:rsidRPr="0086392C">
        <w:t xml:space="preserve">The </w:t>
      </w:r>
      <w:hyperlink r:id="rId44" w:history="1">
        <w:r w:rsidRPr="0086392C">
          <w:rPr>
            <w:color w:val="0000FF"/>
            <w:u w:val="single"/>
          </w:rPr>
          <w:t>Scheduling handbook: Guidance for amending the Poisons Standard</w:t>
        </w:r>
      </w:hyperlink>
      <w:r w:rsidRPr="0086392C">
        <w:t>.</w:t>
      </w:r>
    </w:p>
    <w:p w14:paraId="3B42D473" w14:textId="3E74F924" w:rsidR="00F41DCE" w:rsidRDefault="00F41DCE" w:rsidP="00F41DCE">
      <w:pPr>
        <w:pStyle w:val="Heading5"/>
      </w:pPr>
      <w:r w:rsidRPr="00436C41">
        <w:t>Reasons for the final decision (including findings on material questions of fact)</w:t>
      </w:r>
    </w:p>
    <w:p w14:paraId="635AA0BA" w14:textId="03556699" w:rsidR="00B42E15" w:rsidRDefault="004B32D0" w:rsidP="004B32D0">
      <w:pPr>
        <w:rPr>
          <w:bCs/>
          <w:szCs w:val="22"/>
        </w:rPr>
      </w:pPr>
      <w:r w:rsidRPr="0081660F">
        <w:t>I have made a final decision to confirm my interim decision</w:t>
      </w:r>
      <w:r w:rsidR="0081660F" w:rsidRPr="0081660F">
        <w:t xml:space="preserve"> </w:t>
      </w:r>
      <w:r w:rsidRPr="0081660F">
        <w:t xml:space="preserve">not </w:t>
      </w:r>
      <w:r w:rsidR="0081660F" w:rsidRPr="0081660F">
        <w:t xml:space="preserve">to </w:t>
      </w:r>
      <w:r w:rsidRPr="0081660F">
        <w:t xml:space="preserve">amend the current Poisons Standard with respect to </w:t>
      </w:r>
      <w:r w:rsidR="0081660F" w:rsidRPr="0081660F">
        <w:t>lidocaine</w:t>
      </w:r>
      <w:r w:rsidRPr="0081660F">
        <w:t>. My reasons for making the final decision are those set out in the interim decision.</w:t>
      </w:r>
    </w:p>
    <w:p w14:paraId="19136323" w14:textId="7B1F3C84" w:rsidR="004B32D0" w:rsidRPr="00C36222" w:rsidRDefault="0037000F" w:rsidP="004B32D0">
      <w:r>
        <w:rPr>
          <w:bCs/>
          <w:szCs w:val="22"/>
        </w:rPr>
        <w:t xml:space="preserve">I have </w:t>
      </w:r>
      <w:proofErr w:type="gramStart"/>
      <w:r>
        <w:rPr>
          <w:bCs/>
          <w:szCs w:val="22"/>
        </w:rPr>
        <w:t>taken into account</w:t>
      </w:r>
      <w:proofErr w:type="gramEnd"/>
      <w:r>
        <w:rPr>
          <w:bCs/>
          <w:szCs w:val="22"/>
        </w:rPr>
        <w:t xml:space="preserve"> the Submissions, </w:t>
      </w:r>
      <w:r w:rsidR="00745A80">
        <w:t xml:space="preserve">6 </w:t>
      </w:r>
      <w:r>
        <w:t xml:space="preserve">of which </w:t>
      </w:r>
      <w:r w:rsidR="00745A80">
        <w:t>were in support of the interim decision</w:t>
      </w:r>
      <w:r w:rsidR="00965BBA">
        <w:t xml:space="preserve">, </w:t>
      </w:r>
      <w:r>
        <w:t>one</w:t>
      </w:r>
      <w:r w:rsidR="00745A80">
        <w:t xml:space="preserve"> was in support with caveats and 68 were opposed.</w:t>
      </w:r>
    </w:p>
    <w:p w14:paraId="1292FADB" w14:textId="7E4D9AF9" w:rsidR="00494C70" w:rsidRDefault="00E34BDC" w:rsidP="0081660F">
      <w:r>
        <w:t>I</w:t>
      </w:r>
      <w:r w:rsidRPr="002B5A5F">
        <w:rPr>
          <w:szCs w:val="22"/>
          <w:shd w:val="clear" w:color="auto" w:fill="FFFFFF"/>
        </w:rPr>
        <w:t xml:space="preserve"> acknowledge the variety of opinions presented in </w:t>
      </w:r>
      <w:r>
        <w:rPr>
          <w:szCs w:val="22"/>
          <w:shd w:val="clear" w:color="auto" w:fill="FFFFFF"/>
        </w:rPr>
        <w:t>both sets of</w:t>
      </w:r>
      <w:r w:rsidRPr="002B5A5F">
        <w:rPr>
          <w:szCs w:val="22"/>
          <w:shd w:val="clear" w:color="auto" w:fill="FFFFFF"/>
        </w:rPr>
        <w:t xml:space="preserve"> public submissions</w:t>
      </w:r>
      <w:r w:rsidR="00494C70">
        <w:rPr>
          <w:szCs w:val="22"/>
          <w:shd w:val="clear" w:color="auto" w:fill="FFFFFF"/>
        </w:rPr>
        <w:t xml:space="preserve"> and recognise the strong advocacy by the veterinary profession to ensure optimal animal care and welfare in Australia, irrespective of their support or otherwise for the proposed amendment to the Poisons Standard. In coming to my final decision, </w:t>
      </w:r>
      <w:r w:rsidR="00494C70">
        <w:t>I</w:t>
      </w:r>
      <w:r w:rsidR="0081660F" w:rsidRPr="0086392C">
        <w:t xml:space="preserve"> have given greater weight to the reasons </w:t>
      </w:r>
      <w:r w:rsidR="00182B7D">
        <w:t xml:space="preserve">(as outlined in my interim decision) </w:t>
      </w:r>
      <w:r w:rsidR="0081660F" w:rsidRPr="0086392C">
        <w:t>related to the risk to public health and safety, than the potential risk to animals from gre</w:t>
      </w:r>
      <w:r w:rsidR="0004710E">
        <w:t xml:space="preserve">ater </w:t>
      </w:r>
      <w:r w:rsidR="0081660F" w:rsidRPr="0086392C">
        <w:t>non-veterinary access to lidocaine-based treatments.</w:t>
      </w:r>
    </w:p>
    <w:p w14:paraId="5FB0A539" w14:textId="023F46C9" w:rsidR="0037000F" w:rsidRDefault="00D3361A" w:rsidP="0081660F">
      <w:bookmarkStart w:id="43" w:name="_Hlk119396169"/>
      <w:r>
        <w:lastRenderedPageBreak/>
        <w:t>I would also like to stress two important aspects of the scheduling of substances under the Poisons Standard. Firstly, the Poisons Standard does not provide for the approval or registration of a</w:t>
      </w:r>
      <w:r w:rsidR="0004710E">
        <w:t xml:space="preserve">ny </w:t>
      </w:r>
      <w:proofErr w:type="gramStart"/>
      <w:r w:rsidR="0004710E">
        <w:t>particular</w:t>
      </w:r>
      <w:r>
        <w:t xml:space="preserve"> product</w:t>
      </w:r>
      <w:proofErr w:type="gramEnd"/>
      <w:r>
        <w:t xml:space="preserve"> containing </w:t>
      </w:r>
      <w:r w:rsidR="0039690B">
        <w:t>a</w:t>
      </w:r>
      <w:r>
        <w:t xml:space="preserve"> scheduled substance</w:t>
      </w:r>
      <w:r w:rsidR="0037000F">
        <w:t>.</w:t>
      </w:r>
      <w:r w:rsidR="00B31C38">
        <w:t xml:space="preserve"> </w:t>
      </w:r>
      <w:r w:rsidR="0037000F">
        <w:t xml:space="preserve">Rather, it </w:t>
      </w:r>
      <w:r w:rsidR="008D4A1D">
        <w:t xml:space="preserve">can provide for </w:t>
      </w:r>
      <w:r w:rsidR="0037000F">
        <w:t xml:space="preserve">the access to a substance according to the impacts of the </w:t>
      </w:r>
      <w:r w:rsidR="008D4A1D">
        <w:t>presentation</w:t>
      </w:r>
      <w:r w:rsidR="00D333B4">
        <w:t xml:space="preserve"> or features of </w:t>
      </w:r>
      <w:r w:rsidR="0037000F">
        <w:t xml:space="preserve">a </w:t>
      </w:r>
      <w:r w:rsidR="00D333B4">
        <w:t>product</w:t>
      </w:r>
      <w:r w:rsidR="008D4A1D">
        <w:t xml:space="preserve"> </w:t>
      </w:r>
      <w:r w:rsidR="0037000F">
        <w:t xml:space="preserve">containing the substance on </w:t>
      </w:r>
      <w:r w:rsidR="008D4A1D">
        <w:t xml:space="preserve">the risk to users, </w:t>
      </w:r>
      <w:proofErr w:type="gramStart"/>
      <w:r w:rsidR="008D4A1D">
        <w:t>consumers</w:t>
      </w:r>
      <w:proofErr w:type="gramEnd"/>
      <w:r w:rsidR="008D4A1D">
        <w:t xml:space="preserve"> or patients</w:t>
      </w:r>
      <w:r w:rsidR="0037000F">
        <w:t xml:space="preserve">. For example, presentation of </w:t>
      </w:r>
      <w:r w:rsidR="008D4A1D">
        <w:t>cockroach baits</w:t>
      </w:r>
      <w:r w:rsidR="0037000F">
        <w:t xml:space="preserve"> in plastic labyrinths</w:t>
      </w:r>
      <w:r w:rsidR="008D4A1D">
        <w:t xml:space="preserve">, over the counter medicines </w:t>
      </w:r>
      <w:r w:rsidR="0037000F">
        <w:t xml:space="preserve">packaged in limited pack sizes, </w:t>
      </w:r>
      <w:r w:rsidR="008D4A1D">
        <w:t>low dose dermal gel preparations</w:t>
      </w:r>
      <w:r>
        <w:t>. In the case of the new Schedule 5 entry for lidocaine, the</w:t>
      </w:r>
      <w:r w:rsidR="008D4A1D">
        <w:t xml:space="preserve"> </w:t>
      </w:r>
      <w:r>
        <w:t xml:space="preserve">entry allows for a </w:t>
      </w:r>
      <w:r w:rsidR="008D4A1D">
        <w:t xml:space="preserve">lidocaine-containing </w:t>
      </w:r>
      <w:r>
        <w:t>device</w:t>
      </w:r>
      <w:r w:rsidR="00A557C6">
        <w:t xml:space="preserve"> (product)</w:t>
      </w:r>
      <w:r>
        <w:t xml:space="preserve"> that meets the</w:t>
      </w:r>
      <w:r w:rsidR="008D4A1D">
        <w:t xml:space="preserve"> product presentation</w:t>
      </w:r>
      <w:r w:rsidR="0039690B">
        <w:t xml:space="preserve"> indicated in Schedule 5,</w:t>
      </w:r>
      <w:r w:rsidR="008D4A1D">
        <w:t xml:space="preserve"> to </w:t>
      </w:r>
      <w:r>
        <w:t>be considered by the</w:t>
      </w:r>
      <w:r w:rsidR="008D4A1D">
        <w:t xml:space="preserve"> veterinary medicine </w:t>
      </w:r>
      <w:r>
        <w:t xml:space="preserve">regulator </w:t>
      </w:r>
      <w:r w:rsidR="00A557C6">
        <w:t>when a</w:t>
      </w:r>
      <w:r w:rsidR="008D4A1D">
        <w:t xml:space="preserve">ssessing </w:t>
      </w:r>
      <w:r w:rsidR="00D333B4">
        <w:t xml:space="preserve">its </w:t>
      </w:r>
      <w:r w:rsidR="008D4A1D">
        <w:t>registration application.</w:t>
      </w:r>
    </w:p>
    <w:p w14:paraId="79B3C216" w14:textId="508B4F08" w:rsidR="00FC5564" w:rsidRDefault="00A557C6" w:rsidP="0081660F">
      <w:r>
        <w:t xml:space="preserve">Secondly, the regulator will be responsible for assessing the overall efficacy, </w:t>
      </w:r>
      <w:proofErr w:type="gramStart"/>
      <w:r>
        <w:t>quality</w:t>
      </w:r>
      <w:proofErr w:type="gramEnd"/>
      <w:r>
        <w:t xml:space="preserve"> and safety of </w:t>
      </w:r>
      <w:r w:rsidR="0004710E">
        <w:t xml:space="preserve">any </w:t>
      </w:r>
      <w:r>
        <w:t>produc</w:t>
      </w:r>
      <w:r w:rsidR="0004710E">
        <w:t>t</w:t>
      </w:r>
      <w:r>
        <w:t xml:space="preserve"> as part of its risk assessment. </w:t>
      </w:r>
      <w:r w:rsidR="00FC5564">
        <w:t>The</w:t>
      </w:r>
      <w:r w:rsidR="00D333B4">
        <w:t xml:space="preserve"> regulator,</w:t>
      </w:r>
      <w:r w:rsidR="00FC5564">
        <w:t xml:space="preserve"> </w:t>
      </w:r>
      <w:r w:rsidR="003456D8">
        <w:t>the Australian Pesticides and Veterinary Medicines Authority (</w:t>
      </w:r>
      <w:r w:rsidR="00FC5564">
        <w:t>APVMA</w:t>
      </w:r>
      <w:r w:rsidR="003456D8">
        <w:t>) will</w:t>
      </w:r>
      <w:r w:rsidR="00FC5564">
        <w:t>, as part of its registration process, stipulate any specific labelling information</w:t>
      </w:r>
      <w:r w:rsidR="00D333B4">
        <w:t xml:space="preserve"> required for the product,</w:t>
      </w:r>
      <w:r w:rsidR="00FC5564">
        <w:t xml:space="preserve"> including the direction</w:t>
      </w:r>
      <w:r w:rsidR="0039690B">
        <w:t>s</w:t>
      </w:r>
      <w:r w:rsidR="00FC5564">
        <w:t xml:space="preserve"> for use,</w:t>
      </w:r>
      <w:r w:rsidR="0039690B">
        <w:t xml:space="preserve"> contraindications, </w:t>
      </w:r>
      <w:r w:rsidR="00FC5564">
        <w:t>safety directions and any applicable warning statements deemed appropriate</w:t>
      </w:r>
      <w:r w:rsidR="0004710E">
        <w:t xml:space="preserve"> for </w:t>
      </w:r>
      <w:r w:rsidR="0039690B">
        <w:t>such a</w:t>
      </w:r>
      <w:r w:rsidR="0004710E">
        <w:t xml:space="preserve"> product. </w:t>
      </w:r>
      <w:r w:rsidR="003456D8">
        <w:t>Critically, w</w:t>
      </w:r>
      <w:r w:rsidR="0004710E">
        <w:t>ith respect to the new Schedule 5 entry for</w:t>
      </w:r>
      <w:r w:rsidR="0039690B">
        <w:t xml:space="preserve"> a</w:t>
      </w:r>
      <w:r w:rsidR="0004710E">
        <w:t xml:space="preserve"> lidocaine</w:t>
      </w:r>
      <w:r w:rsidR="0039690B">
        <w:t xml:space="preserve">-containing </w:t>
      </w:r>
      <w:r w:rsidR="0004710E">
        <w:t xml:space="preserve">device (product), </w:t>
      </w:r>
      <w:r w:rsidR="0039690B">
        <w:t xml:space="preserve">the </w:t>
      </w:r>
      <w:r w:rsidR="0004710E">
        <w:t xml:space="preserve">APVMA will </w:t>
      </w:r>
      <w:r w:rsidR="0039690B">
        <w:t xml:space="preserve">also </w:t>
      </w:r>
      <w:r w:rsidR="0004710E">
        <w:t>consider whether</w:t>
      </w:r>
      <w:r w:rsidR="003456D8">
        <w:t xml:space="preserve"> </w:t>
      </w:r>
      <w:r w:rsidR="0004710E">
        <w:t>it meets</w:t>
      </w:r>
      <w:r w:rsidR="00D333B4">
        <w:t xml:space="preserve"> the definition of</w:t>
      </w:r>
      <w:r w:rsidR="0004710E">
        <w:t xml:space="preserve"> this Schedule 5 entry</w:t>
      </w:r>
      <w:r w:rsidR="003456D8">
        <w:t xml:space="preserve"> including whether, in fact, it is tamper-resistant</w:t>
      </w:r>
      <w:r w:rsidR="0004710E">
        <w:t>.</w:t>
      </w:r>
    </w:p>
    <w:p w14:paraId="2E9343A3" w14:textId="0B63C0BA" w:rsidR="00E96A85" w:rsidRPr="004B32D0" w:rsidRDefault="00E96A85" w:rsidP="00E96A85">
      <w:pPr>
        <w:pStyle w:val="Heading2"/>
      </w:pPr>
      <w:bookmarkStart w:id="44" w:name="_Toc119668039"/>
      <w:bookmarkEnd w:id="43"/>
      <w:r w:rsidRPr="00E96A85">
        <w:t>Final decisions on proposed amendments referred to the Advisory Committee on Chemicals Scheduling (ACCS #</w:t>
      </w:r>
      <w:r>
        <w:t>33</w:t>
      </w:r>
      <w:r w:rsidRPr="00E96A85">
        <w:t xml:space="preserve">, </w:t>
      </w:r>
      <w:r w:rsidR="00DB6A1E">
        <w:t>March</w:t>
      </w:r>
      <w:r w:rsidRPr="00E96A85">
        <w:t> 20</w:t>
      </w:r>
      <w:r>
        <w:t>22</w:t>
      </w:r>
      <w:r w:rsidRPr="00E96A85">
        <w:t>)</w:t>
      </w:r>
      <w:bookmarkEnd w:id="44"/>
    </w:p>
    <w:p w14:paraId="6FE7E1B3" w14:textId="3F817836" w:rsidR="00E06A1B" w:rsidRDefault="00994264" w:rsidP="00BB4EAC">
      <w:pPr>
        <w:pStyle w:val="Heading3"/>
        <w:numPr>
          <w:ilvl w:val="0"/>
          <w:numId w:val="0"/>
        </w:numPr>
        <w:ind w:left="576" w:hanging="576"/>
      </w:pPr>
      <w:bookmarkStart w:id="45" w:name="_Final_decision_in_2"/>
      <w:bookmarkStart w:id="46" w:name="_Toc119668040"/>
      <w:bookmarkEnd w:id="45"/>
      <w:r>
        <w:t>4.1</w:t>
      </w:r>
      <w:r w:rsidR="00DB6A1E">
        <w:t xml:space="preserve"> </w:t>
      </w:r>
      <w:r w:rsidR="00E06A1B">
        <w:t xml:space="preserve">Final decision in relation to </w:t>
      </w:r>
      <w:r w:rsidR="0081660F">
        <w:t>flumioxazin</w:t>
      </w:r>
      <w:bookmarkEnd w:id="46"/>
    </w:p>
    <w:p w14:paraId="11BD4B84" w14:textId="77777777" w:rsidR="0081660F" w:rsidRPr="002C7F61" w:rsidRDefault="0081660F" w:rsidP="008369A6">
      <w:pPr>
        <w:pStyle w:val="Heading5"/>
      </w:pPr>
      <w:bookmarkStart w:id="47" w:name="_Toc111638234"/>
      <w:r w:rsidRPr="002C7F61">
        <w:t>Proposals</w:t>
      </w:r>
      <w:bookmarkEnd w:id="47"/>
    </w:p>
    <w:p w14:paraId="2606B08A" w14:textId="5AEAE7CC" w:rsidR="0081660F" w:rsidRPr="002C7F61" w:rsidRDefault="0081660F" w:rsidP="0081660F">
      <w:pPr>
        <w:spacing w:beforeLines="120" w:before="288" w:afterLines="120" w:after="288"/>
        <w:rPr>
          <w:szCs w:val="22"/>
        </w:rPr>
      </w:pPr>
      <w:r w:rsidRPr="002C7F61">
        <w:rPr>
          <w:szCs w:val="22"/>
        </w:rPr>
        <w:t xml:space="preserve">Two </w:t>
      </w:r>
      <w:r w:rsidR="00A75038">
        <w:rPr>
          <w:szCs w:val="22"/>
        </w:rPr>
        <w:t xml:space="preserve">(2) </w:t>
      </w:r>
      <w:r w:rsidRPr="002C7F61">
        <w:rPr>
          <w:szCs w:val="22"/>
        </w:rPr>
        <w:t>scheduling proposals were received with respect to flumioxazin.</w:t>
      </w:r>
    </w:p>
    <w:p w14:paraId="69AF70B4" w14:textId="0CE54962" w:rsidR="0081660F" w:rsidRPr="002C7F61" w:rsidRDefault="0081660F" w:rsidP="0059726D">
      <w:pPr>
        <w:numPr>
          <w:ilvl w:val="0"/>
          <w:numId w:val="20"/>
        </w:numPr>
        <w:spacing w:beforeLines="120" w:before="288" w:afterLines="120" w:after="288"/>
        <w:rPr>
          <w:szCs w:val="22"/>
        </w:rPr>
      </w:pPr>
      <w:r w:rsidRPr="002C7F61">
        <w:rPr>
          <w:szCs w:val="22"/>
        </w:rPr>
        <w:t xml:space="preserve">The proposal by the first applicant was to amend the Schedule 6 entry for flumioxazin to include liquid preparations that are currently captured by the Schedule 7 entry (the </w:t>
      </w:r>
      <w:r w:rsidRPr="002C7F61">
        <w:rPr>
          <w:b/>
          <w:bCs/>
          <w:szCs w:val="22"/>
        </w:rPr>
        <w:t>first</w:t>
      </w:r>
      <w:r w:rsidRPr="002C7F61">
        <w:rPr>
          <w:szCs w:val="22"/>
        </w:rPr>
        <w:t xml:space="preserve"> </w:t>
      </w:r>
      <w:r w:rsidRPr="002C7F61">
        <w:rPr>
          <w:b/>
          <w:bCs/>
          <w:szCs w:val="22"/>
        </w:rPr>
        <w:t>proposal</w:t>
      </w:r>
      <w:r w:rsidRPr="002C7F61">
        <w:rPr>
          <w:szCs w:val="22"/>
        </w:rPr>
        <w:t>).</w:t>
      </w:r>
    </w:p>
    <w:p w14:paraId="6C65A023" w14:textId="0A8389AD" w:rsidR="0081660F" w:rsidRPr="0081660F" w:rsidRDefault="0081660F" w:rsidP="0059726D">
      <w:pPr>
        <w:pStyle w:val="ListParagraph"/>
        <w:numPr>
          <w:ilvl w:val="0"/>
          <w:numId w:val="20"/>
        </w:numPr>
      </w:pPr>
      <w:r w:rsidRPr="0059726D">
        <w:rPr>
          <w:szCs w:val="22"/>
        </w:rPr>
        <w:t xml:space="preserve">The proposal by the second applicant was to delete the Schedule 6 and Schedule 7 entries for flumioxazin and create a new Schedule 5 entry for all preparations of flumioxazin except water soluble bags in sealed sachets (the </w:t>
      </w:r>
      <w:r w:rsidRPr="0059726D">
        <w:rPr>
          <w:b/>
          <w:bCs/>
          <w:szCs w:val="22"/>
        </w:rPr>
        <w:t>second</w:t>
      </w:r>
      <w:r w:rsidRPr="0059726D">
        <w:rPr>
          <w:szCs w:val="22"/>
        </w:rPr>
        <w:t xml:space="preserve"> </w:t>
      </w:r>
      <w:r w:rsidRPr="0059726D">
        <w:rPr>
          <w:b/>
          <w:bCs/>
          <w:szCs w:val="22"/>
        </w:rPr>
        <w:t>proposal</w:t>
      </w:r>
      <w:r w:rsidRPr="0059726D">
        <w:rPr>
          <w:szCs w:val="22"/>
        </w:rPr>
        <w:t>), thereby exempting these preparations from scheduling.</w:t>
      </w:r>
    </w:p>
    <w:p w14:paraId="2DCA8824" w14:textId="533CF5B7" w:rsidR="00E06A1B" w:rsidRPr="00E951D8" w:rsidRDefault="00E06A1B" w:rsidP="00E951D8">
      <w:pPr>
        <w:pStyle w:val="Heading5"/>
      </w:pPr>
      <w:r w:rsidRPr="00E951D8">
        <w:t>Final Decision</w:t>
      </w:r>
    </w:p>
    <w:p w14:paraId="1FF4E187" w14:textId="64AB4166" w:rsidR="0081660F" w:rsidRPr="002C7F61" w:rsidRDefault="0081660F" w:rsidP="0081660F">
      <w:pPr>
        <w:spacing w:after="120"/>
        <w:rPr>
          <w:rFonts w:eastAsia="Times New Roman"/>
          <w:color w:val="000000"/>
          <w:szCs w:val="22"/>
          <w:lang w:eastAsia="en-AU"/>
        </w:rPr>
      </w:pPr>
      <w:r w:rsidRPr="002C7F61">
        <w:rPr>
          <w:szCs w:val="22"/>
        </w:rPr>
        <w:t>Pursuant to regulation 42ZCZ</w:t>
      </w:r>
      <w:r w:rsidR="00E4166F">
        <w:rPr>
          <w:szCs w:val="22"/>
        </w:rPr>
        <w:t>R</w:t>
      </w:r>
      <w:r w:rsidRPr="002C7F61">
        <w:rPr>
          <w:szCs w:val="22"/>
        </w:rPr>
        <w:t xml:space="preserve"> of Therapeutic Goods Regulations 1990 (Cth) (the </w:t>
      </w:r>
      <w:r w:rsidRPr="002C7F61">
        <w:rPr>
          <w:b/>
          <w:bCs/>
          <w:szCs w:val="22"/>
        </w:rPr>
        <w:t>Regulations</w:t>
      </w:r>
      <w:r w:rsidRPr="002C7F61">
        <w:rPr>
          <w:szCs w:val="22"/>
        </w:rPr>
        <w:t xml:space="preserve">), a delegate of the Secretary of the Department of Health and Aged Care (the </w:t>
      </w:r>
      <w:r w:rsidRPr="002C7F61">
        <w:rPr>
          <w:b/>
          <w:bCs/>
          <w:szCs w:val="22"/>
        </w:rPr>
        <w:t>Delegate</w:t>
      </w:r>
      <w:r w:rsidRPr="002C7F61">
        <w:rPr>
          <w:szCs w:val="22"/>
        </w:rPr>
        <w:t xml:space="preserve">) has made </w:t>
      </w:r>
      <w:r>
        <w:rPr>
          <w:szCs w:val="22"/>
        </w:rPr>
        <w:t>a final</w:t>
      </w:r>
      <w:r w:rsidRPr="002C7F61">
        <w:rPr>
          <w:szCs w:val="22"/>
        </w:rPr>
        <w:t xml:space="preserve"> decision </w:t>
      </w:r>
      <w:r w:rsidR="00A26A8B">
        <w:rPr>
          <w:szCs w:val="22"/>
        </w:rPr>
        <w:t xml:space="preserve">to </w:t>
      </w:r>
      <w:r w:rsidRPr="002C7F61">
        <w:rPr>
          <w:szCs w:val="22"/>
        </w:rPr>
        <w:t>not amend the current Poisons Standard in relation to flumioxazin.</w:t>
      </w:r>
    </w:p>
    <w:p w14:paraId="13AE8DE1" w14:textId="18F8D0AE" w:rsidR="00E06A1B" w:rsidRDefault="00E06A1B" w:rsidP="00E951D8">
      <w:pPr>
        <w:pStyle w:val="Heading5"/>
      </w:pPr>
      <w:r>
        <w:t>Materials considered</w:t>
      </w:r>
    </w:p>
    <w:p w14:paraId="2A85B8BF" w14:textId="77777777" w:rsidR="00E06A1B" w:rsidRDefault="00E06A1B" w:rsidP="00E06A1B">
      <w:r>
        <w:t>In making this final decision, the Delegate considered the following material:</w:t>
      </w:r>
    </w:p>
    <w:p w14:paraId="53F5DFF0" w14:textId="77777777" w:rsidR="00BA5E55" w:rsidRPr="002C7F61" w:rsidRDefault="00BA5E55" w:rsidP="00BA5E55">
      <w:pPr>
        <w:numPr>
          <w:ilvl w:val="0"/>
          <w:numId w:val="8"/>
        </w:numPr>
        <w:rPr>
          <w:szCs w:val="22"/>
        </w:rPr>
      </w:pPr>
      <w:r w:rsidRPr="002C7F61">
        <w:rPr>
          <w:szCs w:val="22"/>
        </w:rPr>
        <w:t xml:space="preserve">The </w:t>
      </w:r>
      <w:hyperlink r:id="rId45" w:history="1">
        <w:r w:rsidRPr="002C7F61">
          <w:rPr>
            <w:color w:val="0000FF"/>
            <w:szCs w:val="22"/>
            <w:u w:val="single"/>
          </w:rPr>
          <w:t>applications</w:t>
        </w:r>
      </w:hyperlink>
      <w:r w:rsidRPr="002C7F61">
        <w:rPr>
          <w:szCs w:val="22"/>
        </w:rPr>
        <w:t xml:space="preserve"> to amend the current Poisons Standard with respect to flumioxazin (the </w:t>
      </w:r>
      <w:r w:rsidRPr="002C7F61">
        <w:rPr>
          <w:b/>
          <w:bCs/>
          <w:szCs w:val="22"/>
        </w:rPr>
        <w:t>Applications</w:t>
      </w:r>
      <w:r w:rsidRPr="002C7F61">
        <w:rPr>
          <w:szCs w:val="22"/>
        </w:rPr>
        <w:t>);</w:t>
      </w:r>
    </w:p>
    <w:p w14:paraId="1A9CD753" w14:textId="1568AA35" w:rsidR="00BA5E55" w:rsidRDefault="00E4166F" w:rsidP="00BA5E55">
      <w:pPr>
        <w:numPr>
          <w:ilvl w:val="0"/>
          <w:numId w:val="8"/>
        </w:numPr>
        <w:ind w:left="357" w:hanging="357"/>
        <w:rPr>
          <w:szCs w:val="22"/>
        </w:rPr>
      </w:pPr>
      <w:r>
        <w:rPr>
          <w:szCs w:val="22"/>
        </w:rPr>
        <w:lastRenderedPageBreak/>
        <w:t xml:space="preserve">There were </w:t>
      </w:r>
      <w:r w:rsidR="00BA5E55" w:rsidRPr="002C7F61">
        <w:rPr>
          <w:szCs w:val="22"/>
        </w:rPr>
        <w:t>16</w:t>
      </w:r>
      <w:r>
        <w:rPr>
          <w:szCs w:val="22"/>
        </w:rPr>
        <w:t xml:space="preserve"> </w:t>
      </w:r>
      <w:hyperlink r:id="rId46" w:history="1">
        <w:r w:rsidR="00BA5E55" w:rsidRPr="002C7F61">
          <w:rPr>
            <w:color w:val="0000FF"/>
            <w:szCs w:val="22"/>
            <w:u w:val="single"/>
          </w:rPr>
          <w:t>public submissions</w:t>
        </w:r>
      </w:hyperlink>
      <w:r w:rsidR="00BA5E55" w:rsidRPr="002C7F61">
        <w:rPr>
          <w:szCs w:val="22"/>
        </w:rPr>
        <w:t xml:space="preserve"> received for each of the </w:t>
      </w:r>
      <w:r w:rsidR="003D17E9">
        <w:rPr>
          <w:szCs w:val="22"/>
        </w:rPr>
        <w:t>2</w:t>
      </w:r>
      <w:r>
        <w:rPr>
          <w:szCs w:val="22"/>
        </w:rPr>
        <w:t xml:space="preserve"> </w:t>
      </w:r>
      <w:r w:rsidR="00BA5E55" w:rsidRPr="002C7F61">
        <w:rPr>
          <w:szCs w:val="22"/>
        </w:rPr>
        <w:t xml:space="preserve">applications, with a written component provided in one and two instances, respectively, for the first and second applications , received in response to the </w:t>
      </w:r>
      <w:hyperlink r:id="rId47" w:history="1">
        <w:r w:rsidR="00BA5E55" w:rsidRPr="002C7F61">
          <w:rPr>
            <w:color w:val="0000FF"/>
            <w:szCs w:val="22"/>
            <w:u w:val="single"/>
          </w:rPr>
          <w:t>pre-meeting consultation</w:t>
        </w:r>
      </w:hyperlink>
      <w:r w:rsidR="00BA5E55" w:rsidRPr="002C7F61">
        <w:rPr>
          <w:szCs w:val="22"/>
        </w:rPr>
        <w:t xml:space="preserve"> under regulation 42ZCZK of the Regulations;</w:t>
      </w:r>
    </w:p>
    <w:p w14:paraId="5082B9F3" w14:textId="7E428096" w:rsidR="00FC7005" w:rsidRPr="00966187" w:rsidRDefault="00D11B53" w:rsidP="003456D8">
      <w:pPr>
        <w:pStyle w:val="ListBullet"/>
      </w:pPr>
      <w:r w:rsidRPr="00897E2B">
        <w:t>The</w:t>
      </w:r>
      <w:r>
        <w:t xml:space="preserve"> 2</w:t>
      </w:r>
      <w:r w:rsidRPr="00897E2B">
        <w:t xml:space="preserve"> </w:t>
      </w:r>
      <w:r>
        <w:t xml:space="preserve">written </w:t>
      </w:r>
      <w:r w:rsidRPr="00897E2B">
        <w:t xml:space="preserve">public submissions, received in response to the </w:t>
      </w:r>
      <w:hyperlink r:id="rId48" w:history="1">
        <w:r w:rsidRPr="00897E2B">
          <w:rPr>
            <w:rStyle w:val="Hyperlink"/>
          </w:rPr>
          <w:t>interim decision consultation</w:t>
        </w:r>
      </w:hyperlink>
      <w:r w:rsidRPr="00897E2B">
        <w:t xml:space="preserve"> under regulation 42ZCZP of the Regulations (the </w:t>
      </w:r>
      <w:r w:rsidRPr="0083590D">
        <w:rPr>
          <w:b/>
          <w:bCs/>
        </w:rPr>
        <w:t>Submissions</w:t>
      </w:r>
      <w:r w:rsidRPr="00897E2B">
        <w:t>);</w:t>
      </w:r>
    </w:p>
    <w:p w14:paraId="0DFD5C87" w14:textId="77777777" w:rsidR="00BA5E55" w:rsidRPr="002C7F61" w:rsidRDefault="00BA5E55" w:rsidP="00BA5E55">
      <w:pPr>
        <w:numPr>
          <w:ilvl w:val="0"/>
          <w:numId w:val="8"/>
        </w:numPr>
        <w:rPr>
          <w:szCs w:val="22"/>
        </w:rPr>
      </w:pPr>
      <w:r w:rsidRPr="002C7F61">
        <w:rPr>
          <w:szCs w:val="22"/>
        </w:rPr>
        <w:t>The advice received from the 33</w:t>
      </w:r>
      <w:r w:rsidRPr="002C7F61">
        <w:rPr>
          <w:szCs w:val="22"/>
          <w:vertAlign w:val="superscript"/>
        </w:rPr>
        <w:t>rd</w:t>
      </w:r>
      <w:r w:rsidRPr="002C7F61">
        <w:rPr>
          <w:szCs w:val="22"/>
        </w:rPr>
        <w:t xml:space="preserve"> meeting of the Advisory Committee on Chemicals Scheduling (the </w:t>
      </w:r>
      <w:r w:rsidRPr="002C7F61">
        <w:rPr>
          <w:b/>
          <w:bCs/>
          <w:szCs w:val="22"/>
        </w:rPr>
        <w:t>Committee</w:t>
      </w:r>
      <w:proofErr w:type="gramStart"/>
      <w:r w:rsidRPr="002C7F61">
        <w:rPr>
          <w:szCs w:val="22"/>
        </w:rPr>
        <w:t>);</w:t>
      </w:r>
      <w:proofErr w:type="gramEnd"/>
    </w:p>
    <w:p w14:paraId="4BD3648F" w14:textId="77777777" w:rsidR="00BA5E55" w:rsidRPr="002C7F61" w:rsidRDefault="00BA5E55" w:rsidP="00BA5E55">
      <w:pPr>
        <w:numPr>
          <w:ilvl w:val="0"/>
          <w:numId w:val="8"/>
        </w:numPr>
        <w:ind w:left="357" w:hanging="357"/>
        <w:rPr>
          <w:szCs w:val="22"/>
        </w:rPr>
      </w:pPr>
      <w:r w:rsidRPr="002C7F61">
        <w:rPr>
          <w:szCs w:val="22"/>
        </w:rPr>
        <w:t>Subsection 52</w:t>
      </w:r>
      <w:proofErr w:type="gramStart"/>
      <w:r w:rsidRPr="002C7F61">
        <w:rPr>
          <w:szCs w:val="22"/>
        </w:rPr>
        <w:t>E(</w:t>
      </w:r>
      <w:proofErr w:type="gramEnd"/>
      <w:r w:rsidRPr="002C7F61">
        <w:rPr>
          <w:szCs w:val="22"/>
        </w:rPr>
        <w:t xml:space="preserve">1) of the </w:t>
      </w:r>
      <w:r w:rsidRPr="002C7F61">
        <w:rPr>
          <w:i/>
          <w:szCs w:val="22"/>
        </w:rPr>
        <w:t>Therapeutic Goods Act 1989</w:t>
      </w:r>
      <w:r w:rsidRPr="002C7F61">
        <w:rPr>
          <w:iCs/>
          <w:szCs w:val="22"/>
        </w:rPr>
        <w:t xml:space="preserve"> (Cth) (the </w:t>
      </w:r>
      <w:r w:rsidRPr="002C7F61">
        <w:rPr>
          <w:b/>
          <w:bCs/>
          <w:iCs/>
          <w:szCs w:val="22"/>
        </w:rPr>
        <w:t>Act</w:t>
      </w:r>
      <w:r w:rsidRPr="002C7F61">
        <w:rPr>
          <w:iCs/>
          <w:szCs w:val="22"/>
        </w:rPr>
        <w:t>)</w:t>
      </w:r>
      <w:r w:rsidRPr="002C7F61">
        <w:rPr>
          <w:i/>
          <w:szCs w:val="22"/>
        </w:rPr>
        <w:t xml:space="preserve">, </w:t>
      </w:r>
      <w:r w:rsidRPr="002C7F61">
        <w:rPr>
          <w:szCs w:val="22"/>
        </w:rPr>
        <w:t>in particular (a) risks and benefits of the use of a substance; (b) the purposes for which a substance is to be used and the extent of use of a substance; (c) the toxicity of a substance; and (d) the dosage, formulation, labelling, packaging and presentation of a substance.</w:t>
      </w:r>
    </w:p>
    <w:p w14:paraId="07C5A0AA" w14:textId="1C6A68E6" w:rsidR="00BA5E55" w:rsidRPr="002C7F61" w:rsidRDefault="00BA5E55" w:rsidP="00BA5E55">
      <w:pPr>
        <w:numPr>
          <w:ilvl w:val="0"/>
          <w:numId w:val="8"/>
        </w:numPr>
        <w:rPr>
          <w:szCs w:val="22"/>
        </w:rPr>
      </w:pPr>
      <w:r w:rsidRPr="002C7F61">
        <w:rPr>
          <w:szCs w:val="22"/>
        </w:rPr>
        <w:t xml:space="preserve">The </w:t>
      </w:r>
      <w:hyperlink r:id="rId49" w:history="1">
        <w:r w:rsidRPr="002C7F61">
          <w:rPr>
            <w:color w:val="0000FF"/>
            <w:szCs w:val="22"/>
            <w:u w:val="single"/>
          </w:rPr>
          <w:t>Scheduling Policy Framework</w:t>
        </w:r>
      </w:hyperlink>
      <w:r w:rsidRPr="002C7F61">
        <w:rPr>
          <w:szCs w:val="22"/>
        </w:rPr>
        <w:t xml:space="preserve"> 2018 (the </w:t>
      </w:r>
      <w:r w:rsidRPr="002C7F61">
        <w:rPr>
          <w:b/>
          <w:bCs/>
          <w:szCs w:val="22"/>
        </w:rPr>
        <w:t>SPF</w:t>
      </w:r>
      <w:r w:rsidRPr="002C7F61">
        <w:rPr>
          <w:szCs w:val="22"/>
        </w:rPr>
        <w:t>)</w:t>
      </w:r>
      <w:r w:rsidR="00E4166F">
        <w:rPr>
          <w:szCs w:val="22"/>
        </w:rPr>
        <w:t>; and</w:t>
      </w:r>
    </w:p>
    <w:p w14:paraId="43B13DA6" w14:textId="77777777" w:rsidR="00BA5E55" w:rsidRPr="002C7F61" w:rsidRDefault="00BA5E55" w:rsidP="00BA5E55">
      <w:pPr>
        <w:numPr>
          <w:ilvl w:val="0"/>
          <w:numId w:val="8"/>
        </w:numPr>
        <w:rPr>
          <w:szCs w:val="22"/>
        </w:rPr>
      </w:pPr>
      <w:r w:rsidRPr="002C7F61">
        <w:rPr>
          <w:szCs w:val="22"/>
        </w:rPr>
        <w:t xml:space="preserve">The </w:t>
      </w:r>
      <w:hyperlink r:id="rId50" w:history="1">
        <w:r w:rsidRPr="002C7F61">
          <w:rPr>
            <w:color w:val="0000FF"/>
            <w:szCs w:val="22"/>
            <w:u w:val="single"/>
          </w:rPr>
          <w:t>Scheduling handbook: Guidance for amending the Poisons Standard</w:t>
        </w:r>
      </w:hyperlink>
      <w:r w:rsidRPr="002C7F61">
        <w:rPr>
          <w:szCs w:val="22"/>
        </w:rPr>
        <w:t>.</w:t>
      </w:r>
    </w:p>
    <w:p w14:paraId="4C87884C" w14:textId="77777777" w:rsidR="00E06A1B" w:rsidRDefault="00E06A1B" w:rsidP="00E951D8">
      <w:pPr>
        <w:pStyle w:val="Heading5"/>
      </w:pPr>
      <w:r w:rsidRPr="00436C41">
        <w:t>Reasons for the final decision (including findings on material questions of fact)</w:t>
      </w:r>
    </w:p>
    <w:p w14:paraId="4AD8BBA6" w14:textId="3946F02F" w:rsidR="00E84A2E" w:rsidRDefault="00C36222" w:rsidP="00EC54A5">
      <w:r w:rsidRPr="00381810">
        <w:t xml:space="preserve">I have made a final decision to confirm my interim decision to </w:t>
      </w:r>
      <w:r>
        <w:t xml:space="preserve">not </w:t>
      </w:r>
      <w:r w:rsidRPr="00381810">
        <w:t>amend the current Poisons Standard with respect to</w:t>
      </w:r>
      <w:r>
        <w:t xml:space="preserve"> </w:t>
      </w:r>
      <w:r w:rsidRPr="002C7F61">
        <w:rPr>
          <w:szCs w:val="22"/>
        </w:rPr>
        <w:t>flumioxazin</w:t>
      </w:r>
      <w:r w:rsidRPr="00381810">
        <w:t>.</w:t>
      </w:r>
    </w:p>
    <w:p w14:paraId="260FC263" w14:textId="7179107D" w:rsidR="00E84A2E" w:rsidRDefault="00C36222" w:rsidP="00EB0DF7">
      <w:pPr>
        <w:rPr>
          <w:szCs w:val="22"/>
        </w:rPr>
      </w:pPr>
      <w:r w:rsidRPr="00381810">
        <w:t xml:space="preserve">My reasons for making the final decision are those set out in the interim decision. In making my final decision, I have </w:t>
      </w:r>
      <w:proofErr w:type="gramStart"/>
      <w:r w:rsidRPr="00381810">
        <w:t>taken into account</w:t>
      </w:r>
      <w:proofErr w:type="gramEnd"/>
      <w:r w:rsidRPr="00381810">
        <w:t xml:space="preserve"> the material detailed in the interim decision and </w:t>
      </w:r>
      <w:r w:rsidRPr="00C36222">
        <w:t>the</w:t>
      </w:r>
      <w:r w:rsidR="003456D8">
        <w:t xml:space="preserve"> Submissions</w:t>
      </w:r>
      <w:r w:rsidRPr="00C36222">
        <w:t>.</w:t>
      </w:r>
      <w:r w:rsidR="00E84A2E">
        <w:t xml:space="preserve"> </w:t>
      </w:r>
      <w:r w:rsidR="00E84A2E">
        <w:rPr>
          <w:bCs/>
          <w:szCs w:val="22"/>
        </w:rPr>
        <w:t xml:space="preserve">However, I have given </w:t>
      </w:r>
      <w:r w:rsidR="00BA7D66">
        <w:rPr>
          <w:bCs/>
          <w:szCs w:val="22"/>
        </w:rPr>
        <w:t xml:space="preserve">the </w:t>
      </w:r>
      <w:r w:rsidR="00E84A2E">
        <w:rPr>
          <w:bCs/>
          <w:szCs w:val="22"/>
        </w:rPr>
        <w:t>greate</w:t>
      </w:r>
      <w:r w:rsidR="00BA7D66">
        <w:rPr>
          <w:bCs/>
          <w:szCs w:val="22"/>
        </w:rPr>
        <w:t>st</w:t>
      </w:r>
      <w:r w:rsidR="00E84A2E">
        <w:rPr>
          <w:bCs/>
          <w:szCs w:val="22"/>
        </w:rPr>
        <w:t xml:space="preserve"> weight to </w:t>
      </w:r>
      <w:r w:rsidR="00BA5E55" w:rsidRPr="002C7F61">
        <w:rPr>
          <w:bCs/>
          <w:szCs w:val="22"/>
        </w:rPr>
        <w:t>the Committee's findings on the relevant provisions of section 52E of the Act</w:t>
      </w:r>
      <w:r w:rsidR="00E84A2E">
        <w:rPr>
          <w:bCs/>
          <w:szCs w:val="22"/>
        </w:rPr>
        <w:t xml:space="preserve"> with respect to the risks to human health and safety</w:t>
      </w:r>
      <w:r w:rsidR="00EA2763">
        <w:rPr>
          <w:bCs/>
          <w:szCs w:val="22"/>
        </w:rPr>
        <w:t xml:space="preserve"> from exposure to </w:t>
      </w:r>
      <w:r w:rsidR="00E84A2E">
        <w:rPr>
          <w:bCs/>
          <w:szCs w:val="22"/>
        </w:rPr>
        <w:t>flumioxazin</w:t>
      </w:r>
      <w:r w:rsidR="00BA5E55" w:rsidRPr="002C7F61">
        <w:rPr>
          <w:bCs/>
          <w:szCs w:val="22"/>
        </w:rPr>
        <w:t>.</w:t>
      </w:r>
    </w:p>
    <w:p w14:paraId="7C97A097" w14:textId="200EC15B" w:rsidR="003B33DA" w:rsidRPr="000713C0" w:rsidRDefault="00EB0DF7" w:rsidP="00BA5E55">
      <w:pPr>
        <w:rPr>
          <w:szCs w:val="22"/>
        </w:rPr>
        <w:sectPr w:rsidR="003B33DA" w:rsidRPr="000713C0" w:rsidSect="00957F5A">
          <w:headerReference w:type="default" r:id="rId51"/>
          <w:footerReference w:type="default" r:id="rId52"/>
          <w:headerReference w:type="first" r:id="rId53"/>
          <w:type w:val="continuous"/>
          <w:pgSz w:w="11906" w:h="16838" w:code="9"/>
          <w:pgMar w:top="1530" w:right="1418" w:bottom="1361" w:left="1418" w:header="998" w:footer="283" w:gutter="0"/>
          <w:cols w:space="708"/>
          <w:titlePg/>
          <w:docGrid w:linePitch="360"/>
        </w:sectPr>
      </w:pPr>
      <w:r>
        <w:rPr>
          <w:szCs w:val="22"/>
        </w:rPr>
        <w:t xml:space="preserve">While I would welcome a future proposal if </w:t>
      </w:r>
      <w:r w:rsidR="00E84A2E">
        <w:rPr>
          <w:szCs w:val="22"/>
        </w:rPr>
        <w:t>greater</w:t>
      </w:r>
      <w:r>
        <w:rPr>
          <w:szCs w:val="22"/>
        </w:rPr>
        <w:t xml:space="preserve"> empirical evidence</w:t>
      </w:r>
      <w:r w:rsidR="00E84A2E">
        <w:rPr>
          <w:szCs w:val="22"/>
        </w:rPr>
        <w:t xml:space="preserve"> on the safety of the substance were to be made available, </w:t>
      </w:r>
      <w:r>
        <w:rPr>
          <w:szCs w:val="22"/>
        </w:rPr>
        <w:t>the current body of evidence</w:t>
      </w:r>
      <w:r w:rsidR="00E84A2E">
        <w:rPr>
          <w:szCs w:val="22"/>
        </w:rPr>
        <w:t xml:space="preserve"> indicates that </w:t>
      </w:r>
      <w:r w:rsidR="00BA5E55" w:rsidRPr="002C7F61">
        <w:rPr>
          <w:szCs w:val="22"/>
        </w:rPr>
        <w:t xml:space="preserve">the risk of significant, irreversible developmental toxicity remains a major </w:t>
      </w:r>
      <w:r w:rsidR="00EA2763">
        <w:rPr>
          <w:szCs w:val="22"/>
        </w:rPr>
        <w:t>concern for human health safety</w:t>
      </w:r>
      <w:r w:rsidR="00E84A2E">
        <w:rPr>
          <w:szCs w:val="22"/>
        </w:rPr>
        <w:t xml:space="preserve"> </w:t>
      </w:r>
      <w:r w:rsidR="00EA2763">
        <w:rPr>
          <w:szCs w:val="22"/>
        </w:rPr>
        <w:t>from</w:t>
      </w:r>
      <w:r w:rsidR="00BA5E55" w:rsidRPr="002C7F61">
        <w:rPr>
          <w:szCs w:val="22"/>
        </w:rPr>
        <w:t xml:space="preserve"> exposure to flumioxazin</w:t>
      </w:r>
      <w:r w:rsidR="00E84A2E">
        <w:rPr>
          <w:szCs w:val="22"/>
        </w:rPr>
        <w:t xml:space="preserve">. </w:t>
      </w:r>
      <w:r w:rsidR="00EC54A5">
        <w:rPr>
          <w:szCs w:val="22"/>
        </w:rPr>
        <w:t xml:space="preserve"> </w:t>
      </w:r>
      <w:r w:rsidR="00E84A2E">
        <w:rPr>
          <w:szCs w:val="22"/>
        </w:rPr>
        <w:t xml:space="preserve">Therefore, </w:t>
      </w:r>
      <w:r w:rsidR="00BA5E55" w:rsidRPr="002C7F61">
        <w:rPr>
          <w:szCs w:val="22"/>
        </w:rPr>
        <w:t>there is no clear or compelling reason to amend the current scheduling of flumioxazin</w:t>
      </w:r>
      <w:r w:rsidR="0025742E">
        <w:rPr>
          <w:szCs w:val="22"/>
        </w:rPr>
        <w:t>.</w:t>
      </w:r>
    </w:p>
    <w:p w14:paraId="29F50892" w14:textId="77777777" w:rsidR="00E06A1B" w:rsidRDefault="00E06A1B" w:rsidP="00E06A1B">
      <w:pPr>
        <w:rPr>
          <w:highlight w:val="yellow"/>
        </w:rPr>
      </w:pPr>
    </w:p>
    <w:sectPr w:rsidR="00E06A1B" w:rsidSect="003A48A2">
      <w:headerReference w:type="default" r:id="rId54"/>
      <w:footerReference w:type="default" r:id="rId55"/>
      <w:headerReference w:type="first" r:id="rId56"/>
      <w:footerReference w:type="first" r:id="rId57"/>
      <w:type w:val="continuous"/>
      <w:pgSz w:w="11906" w:h="16838" w:code="9"/>
      <w:pgMar w:top="1134" w:right="1418" w:bottom="1361"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3692F" w14:textId="77777777" w:rsidR="00646E72" w:rsidRDefault="00646E72" w:rsidP="00C40A36">
      <w:pPr>
        <w:spacing w:after="0"/>
      </w:pPr>
      <w:r>
        <w:separator/>
      </w:r>
    </w:p>
  </w:endnote>
  <w:endnote w:type="continuationSeparator" w:id="0">
    <w:p w14:paraId="5C071E41" w14:textId="77777777" w:rsidR="00646E72" w:rsidRDefault="00646E72"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1382"/>
    </w:tblGrid>
    <w:tr w:rsidR="00E40BD2" w:rsidRPr="00257138" w14:paraId="14B40608" w14:textId="77777777" w:rsidTr="009B00CC">
      <w:trPr>
        <w:trHeight w:val="423"/>
      </w:trPr>
      <w:tc>
        <w:tcPr>
          <w:tcW w:w="7338" w:type="dxa"/>
          <w:tcBorders>
            <w:top w:val="single" w:sz="4" w:space="0" w:color="auto"/>
          </w:tcBorders>
        </w:tcPr>
        <w:p w14:paraId="01C0B506" w14:textId="77777777" w:rsidR="00E40BD2" w:rsidRDefault="00E40BD2" w:rsidP="003F3095">
          <w:pPr>
            <w:pStyle w:val="Footer"/>
          </w:pPr>
          <w:r>
            <w:t>Record of the 29th meeting of the Advisory Committee on Medicines Scheduling</w:t>
          </w:r>
        </w:p>
        <w:p w14:paraId="5C7A2176" w14:textId="13ECDCE6" w:rsidR="00E40BD2" w:rsidRPr="00257138" w:rsidRDefault="00E40BD2" w:rsidP="003F3095">
          <w:pPr>
            <w:pStyle w:val="Footer"/>
          </w:pPr>
          <w:r>
            <w:t>12 March 2020</w:t>
          </w:r>
          <w:r>
            <w:br/>
          </w:r>
        </w:p>
      </w:tc>
      <w:tc>
        <w:tcPr>
          <w:tcW w:w="1382" w:type="dxa"/>
          <w:tcBorders>
            <w:top w:val="single" w:sz="4" w:space="0" w:color="auto"/>
          </w:tcBorders>
        </w:tcPr>
        <w:sdt>
          <w:sdtPr>
            <w:id w:val="21514580"/>
            <w:docPartObj>
              <w:docPartGallery w:val="Page Numbers (Top of Page)"/>
              <w:docPartUnique/>
            </w:docPartObj>
          </w:sdtPr>
          <w:sdtEndPr/>
          <w:sdtContent>
            <w:p w14:paraId="54629571" w14:textId="77777777" w:rsidR="00E40BD2" w:rsidRDefault="00E40BD2" w:rsidP="00782870">
              <w:pPr>
                <w:pStyle w:val="Footer"/>
                <w:jc w:val="right"/>
              </w:pPr>
            </w:p>
            <w:p w14:paraId="650BE744" w14:textId="16F39822" w:rsidR="00E40BD2" w:rsidRPr="00257138" w:rsidRDefault="00E40BD2" w:rsidP="00782870">
              <w:pPr>
                <w:pStyle w:val="Footer"/>
                <w:jc w:val="right"/>
              </w:pPr>
              <w:r w:rsidRPr="00257138">
                <w:t xml:space="preserve">Page </w:t>
              </w:r>
              <w:r>
                <w:fldChar w:fldCharType="begin"/>
              </w:r>
              <w:r>
                <w:instrText xml:space="preserve"> PAGE </w:instrText>
              </w:r>
              <w:r>
                <w:fldChar w:fldCharType="separate"/>
              </w:r>
              <w:r w:rsidR="00ED6B23">
                <w:rPr>
                  <w:noProof/>
                </w:rPr>
                <w:t>2</w:t>
              </w:r>
              <w:r>
                <w:rPr>
                  <w:noProof/>
                </w:rPr>
                <w:fldChar w:fldCharType="end"/>
              </w:r>
              <w:r w:rsidRPr="00257138">
                <w:t xml:space="preserve"> of </w:t>
              </w:r>
              <w:fldSimple w:instr=" NUMPAGES  ">
                <w:r w:rsidR="00ED6B23">
                  <w:rPr>
                    <w:noProof/>
                  </w:rPr>
                  <w:t>6</w:t>
                </w:r>
              </w:fldSimple>
            </w:p>
          </w:sdtContent>
        </w:sdt>
      </w:tc>
    </w:tr>
    <w:tr w:rsidR="00E40BD2" w:rsidRPr="00257138" w14:paraId="10AB8BED" w14:textId="77777777" w:rsidTr="009B00CC">
      <w:trPr>
        <w:trHeight w:val="263"/>
      </w:trPr>
      <w:tc>
        <w:tcPr>
          <w:tcW w:w="7338" w:type="dxa"/>
        </w:tcPr>
        <w:p w14:paraId="59580AB7" w14:textId="19B73688" w:rsidR="00E40BD2" w:rsidRPr="00257138" w:rsidRDefault="00E40BD2" w:rsidP="00782870">
          <w:pPr>
            <w:pStyle w:val="Footer"/>
          </w:pPr>
        </w:p>
      </w:tc>
      <w:tc>
        <w:tcPr>
          <w:tcW w:w="1382" w:type="dxa"/>
        </w:tcPr>
        <w:p w14:paraId="219FF5F5" w14:textId="77777777" w:rsidR="00E40BD2" w:rsidRPr="00257138" w:rsidRDefault="00E40BD2" w:rsidP="00782870">
          <w:pPr>
            <w:pStyle w:val="Footer"/>
            <w:jc w:val="right"/>
          </w:pPr>
        </w:p>
      </w:tc>
    </w:tr>
  </w:tbl>
  <w:p w14:paraId="2023C75C" w14:textId="77777777" w:rsidR="00E40BD2" w:rsidRPr="00826007" w:rsidRDefault="00E40BD2" w:rsidP="002001F1">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9"/>
      <w:gridCol w:w="1593"/>
    </w:tblGrid>
    <w:tr w:rsidR="00BA5E55" w:rsidRPr="00257138" w14:paraId="1306D919" w14:textId="77777777" w:rsidTr="00957F5A">
      <w:trPr>
        <w:trHeight w:val="423"/>
      </w:trPr>
      <w:tc>
        <w:tcPr>
          <w:tcW w:w="7479" w:type="dxa"/>
        </w:tcPr>
        <w:p w14:paraId="7672381B" w14:textId="7B4D96AE" w:rsidR="00BA5E55" w:rsidRPr="00257138" w:rsidRDefault="00BA5E55" w:rsidP="00957F5A">
          <w:pPr>
            <w:pStyle w:val="Footer"/>
            <w:spacing w:before="120" w:after="120"/>
          </w:pPr>
          <w:r>
            <w:ptab w:relativeTo="margin" w:alignment="left" w:leader="none"/>
          </w:r>
          <w:r>
            <w:t xml:space="preserve">Delegate’s </w:t>
          </w:r>
          <w:r w:rsidR="00966187">
            <w:t xml:space="preserve">final </w:t>
          </w:r>
          <w:r>
            <w:t>decisions and reasons for decisions (ACMS#37, ACCS#33 and Joint ACMS-ACCS#30, March 2022)</w:t>
          </w:r>
        </w:p>
      </w:tc>
      <w:tc>
        <w:tcPr>
          <w:tcW w:w="1593" w:type="dxa"/>
        </w:tcPr>
        <w:sdt>
          <w:sdtPr>
            <w:id w:val="1196819099"/>
            <w:docPartObj>
              <w:docPartGallery w:val="Page Numbers (Top of Page)"/>
              <w:docPartUnique/>
            </w:docPartObj>
          </w:sdtPr>
          <w:sdtEndPr/>
          <w:sdtContent>
            <w:p w14:paraId="16DF63DD" w14:textId="77777777" w:rsidR="00BA5E55" w:rsidRPr="00257138" w:rsidRDefault="00BA5E55" w:rsidP="00957F5A">
              <w:pPr>
                <w:pStyle w:val="Footer"/>
                <w:spacing w:before="120" w:after="120"/>
                <w:jc w:val="right"/>
              </w:pPr>
              <w:r w:rsidRPr="00257138">
                <w:t xml:space="preserve">Page </w:t>
              </w:r>
              <w:r>
                <w:fldChar w:fldCharType="begin"/>
              </w:r>
              <w:r>
                <w:instrText xml:space="preserve"> PAGE </w:instrText>
              </w:r>
              <w:r>
                <w:fldChar w:fldCharType="separate"/>
              </w:r>
              <w:r>
                <w:rPr>
                  <w:noProof/>
                </w:rPr>
                <w:t>7</w:t>
              </w:r>
              <w:r>
                <w:rPr>
                  <w:noProof/>
                </w:rPr>
                <w:fldChar w:fldCharType="end"/>
              </w:r>
              <w:r w:rsidRPr="00257138">
                <w:t xml:space="preserve"> of </w:t>
              </w:r>
              <w:fldSimple w:instr=" NUMPAGES  ">
                <w:r>
                  <w:rPr>
                    <w:noProof/>
                  </w:rPr>
                  <w:t>15</w:t>
                </w:r>
              </w:fldSimple>
            </w:p>
          </w:sdtContent>
        </w:sdt>
      </w:tc>
    </w:tr>
  </w:tbl>
  <w:p w14:paraId="08C35653" w14:textId="77777777" w:rsidR="00BA5E55" w:rsidRPr="00826007" w:rsidRDefault="00BA5E55" w:rsidP="00957F5A">
    <w:pPr>
      <w:pStyle w:val="Footer"/>
      <w:tabs>
        <w:tab w:val="left" w:pos="7620"/>
        <w:tab w:val="right" w:pos="85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11075AFF" w14:textId="77777777" w:rsidTr="00AE3703">
      <w:trPr>
        <w:trHeight w:val="423"/>
      </w:trPr>
      <w:tc>
        <w:tcPr>
          <w:tcW w:w="7338" w:type="dxa"/>
        </w:tcPr>
        <w:p w14:paraId="61B06247" w14:textId="34340BCC" w:rsidR="00516E40" w:rsidRDefault="00516E40" w:rsidP="00516E40">
          <w:pPr>
            <w:pStyle w:val="Footer"/>
          </w:pPr>
          <w:r>
            <w:t>Delegate’s final decisions and reasons for decisions (ACCS#</w:t>
          </w:r>
          <w:r w:rsidR="00E81BC9">
            <w:t>XX</w:t>
          </w:r>
          <w:r>
            <w:t>,</w:t>
          </w:r>
          <w:r w:rsidR="00E81BC9">
            <w:t xml:space="preserve"> ACMS#, Joint ACMS-ACCS #XX,</w:t>
          </w:r>
          <w:r>
            <w:t xml:space="preserve"> M</w:t>
          </w:r>
          <w:r w:rsidR="00E81BC9">
            <w:t>onth</w:t>
          </w:r>
          <w:r>
            <w:t xml:space="preserve"> 2020)</w:t>
          </w:r>
        </w:p>
        <w:p w14:paraId="13E7B9DF" w14:textId="4BB555F8" w:rsidR="00E40BD2" w:rsidRPr="00257138" w:rsidRDefault="00E81BC9">
          <w:pPr>
            <w:pStyle w:val="Footer"/>
          </w:pPr>
          <w:r>
            <w:t>[publication date]</w:t>
          </w:r>
          <w:r w:rsidR="00ED5D05">
            <w:t xml:space="preserve"> </w:t>
          </w:r>
          <w:r w:rsidR="00E40BD2">
            <w:br/>
          </w:r>
        </w:p>
      </w:tc>
      <w:tc>
        <w:tcPr>
          <w:tcW w:w="1734" w:type="dxa"/>
        </w:tcPr>
        <w:sdt>
          <w:sdtPr>
            <w:id w:val="6788836"/>
            <w:docPartObj>
              <w:docPartGallery w:val="Page Numbers (Top of Page)"/>
              <w:docPartUnique/>
            </w:docPartObj>
          </w:sdtPr>
          <w:sdtEndPr/>
          <w:sdtContent>
            <w:p w14:paraId="3BD26206" w14:textId="7BDCABDC" w:rsidR="00E40BD2" w:rsidRPr="00257138" w:rsidRDefault="00E40BD2" w:rsidP="009468C6">
              <w:pPr>
                <w:pStyle w:val="Footer"/>
                <w:jc w:val="right"/>
              </w:pPr>
              <w:r w:rsidRPr="00257138">
                <w:t xml:space="preserve">Page </w:t>
              </w:r>
              <w:r>
                <w:fldChar w:fldCharType="begin"/>
              </w:r>
              <w:r>
                <w:instrText xml:space="preserve"> PAGE </w:instrText>
              </w:r>
              <w:r>
                <w:fldChar w:fldCharType="separate"/>
              </w:r>
              <w:r w:rsidR="004B32D0">
                <w:rPr>
                  <w:noProof/>
                </w:rPr>
                <w:t>14</w:t>
              </w:r>
              <w:r>
                <w:fldChar w:fldCharType="end"/>
              </w:r>
              <w:r w:rsidRPr="00257138">
                <w:t xml:space="preserve"> of </w:t>
              </w:r>
              <w:fldSimple w:instr=" NUMPAGES  ">
                <w:r w:rsidR="004B32D0">
                  <w:rPr>
                    <w:noProof/>
                  </w:rPr>
                  <w:t>14</w:t>
                </w:r>
              </w:fldSimple>
            </w:p>
          </w:sdtContent>
        </w:sdt>
      </w:tc>
    </w:tr>
  </w:tbl>
  <w:p w14:paraId="623AA1CE" w14:textId="77777777" w:rsidR="00E40BD2" w:rsidRPr="00826007" w:rsidRDefault="00E40BD2" w:rsidP="002001F1">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top w:w="85" w:type="dxa"/>
        <w:left w:w="0" w:type="dxa"/>
        <w:right w:w="0" w:type="dxa"/>
      </w:tblCellMar>
      <w:tblLook w:val="04A0" w:firstRow="1" w:lastRow="0" w:firstColumn="1" w:lastColumn="0" w:noHBand="0" w:noVBand="1"/>
    </w:tblPr>
    <w:tblGrid>
      <w:gridCol w:w="7338"/>
      <w:gridCol w:w="1734"/>
    </w:tblGrid>
    <w:tr w:rsidR="00E40BD2" w:rsidRPr="00257138" w14:paraId="76052F65" w14:textId="77777777" w:rsidTr="002A7487">
      <w:trPr>
        <w:trHeight w:val="423"/>
      </w:trPr>
      <w:tc>
        <w:tcPr>
          <w:tcW w:w="7338" w:type="dxa"/>
        </w:tcPr>
        <w:p w14:paraId="668CDD90" w14:textId="77777777" w:rsidR="00E81BC9" w:rsidRDefault="00E81BC9" w:rsidP="00E81BC9">
          <w:pPr>
            <w:pStyle w:val="Footer"/>
          </w:pPr>
          <w:r>
            <w:t>Delegate’s final decisions and reasons for decisions (ACCS#XX, ACMS#, Joint ACMS-ACCS #XX, Month 2020)</w:t>
          </w:r>
        </w:p>
        <w:p w14:paraId="6A331473" w14:textId="632B3E3D" w:rsidR="00E40BD2" w:rsidRPr="00257138" w:rsidRDefault="00E81BC9">
          <w:pPr>
            <w:pStyle w:val="Footer"/>
          </w:pPr>
          <w:r>
            <w:t>[publication date]</w:t>
          </w:r>
          <w:r w:rsidR="00ED5D05">
            <w:br/>
          </w:r>
        </w:p>
      </w:tc>
      <w:tc>
        <w:tcPr>
          <w:tcW w:w="1734" w:type="dxa"/>
        </w:tcPr>
        <w:sdt>
          <w:sdtPr>
            <w:id w:val="5342774"/>
            <w:docPartObj>
              <w:docPartGallery w:val="Page Numbers (Top of Page)"/>
              <w:docPartUnique/>
            </w:docPartObj>
          </w:sdtPr>
          <w:sdtEndPr/>
          <w:sdtContent>
            <w:p w14:paraId="44A48167" w14:textId="6E064382" w:rsidR="00E40BD2" w:rsidRPr="00257138" w:rsidRDefault="00E40BD2" w:rsidP="003A48A2">
              <w:pPr>
                <w:pStyle w:val="Footer"/>
                <w:jc w:val="right"/>
              </w:pPr>
              <w:r w:rsidRPr="00257138">
                <w:t xml:space="preserve">Page </w:t>
              </w:r>
              <w:r>
                <w:fldChar w:fldCharType="begin"/>
              </w:r>
              <w:r>
                <w:instrText xml:space="preserve"> PAGE </w:instrText>
              </w:r>
              <w:r>
                <w:fldChar w:fldCharType="separate"/>
              </w:r>
              <w:r w:rsidR="004B32D0">
                <w:rPr>
                  <w:noProof/>
                </w:rPr>
                <w:t>2</w:t>
              </w:r>
              <w:r>
                <w:rPr>
                  <w:noProof/>
                </w:rPr>
                <w:fldChar w:fldCharType="end"/>
              </w:r>
              <w:r w:rsidRPr="00257138">
                <w:t xml:space="preserve"> of </w:t>
              </w:r>
              <w:fldSimple w:instr=" NUMPAGES  ">
                <w:r w:rsidR="004B32D0">
                  <w:rPr>
                    <w:noProof/>
                  </w:rPr>
                  <w:t>14</w:t>
                </w:r>
              </w:fldSimple>
            </w:p>
          </w:sdtContent>
        </w:sdt>
      </w:tc>
    </w:tr>
  </w:tbl>
  <w:p w14:paraId="3FF833DF" w14:textId="77777777" w:rsidR="00E40BD2" w:rsidRDefault="00E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29BA" w14:textId="77777777" w:rsidR="00646E72" w:rsidRDefault="00646E72" w:rsidP="00C40A36">
      <w:pPr>
        <w:spacing w:after="0"/>
      </w:pPr>
      <w:r>
        <w:separator/>
      </w:r>
    </w:p>
  </w:footnote>
  <w:footnote w:type="continuationSeparator" w:id="0">
    <w:p w14:paraId="68C06B05" w14:textId="77777777" w:rsidR="00646E72" w:rsidRDefault="00646E72"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035"/>
      <w:gridCol w:w="4685"/>
    </w:tblGrid>
    <w:tr w:rsidR="00E40BD2" w:rsidRPr="00DA24C7" w14:paraId="081A8C01" w14:textId="77777777" w:rsidTr="00F923D6">
      <w:trPr>
        <w:trHeight w:val="709"/>
      </w:trPr>
      <w:tc>
        <w:tcPr>
          <w:tcW w:w="4035" w:type="dxa"/>
        </w:tcPr>
        <w:p w14:paraId="32A34B13" w14:textId="77777777" w:rsidR="00E40BD2" w:rsidRPr="00DA24C7" w:rsidRDefault="00E40BD2" w:rsidP="00DA24C7">
          <w:pPr>
            <w:rPr>
              <w:rStyle w:val="HeaderChar"/>
              <w:sz w:val="32"/>
            </w:rPr>
          </w:pPr>
          <w:r w:rsidRPr="00DA24C7">
            <w:rPr>
              <w:rStyle w:val="HeaderChar"/>
              <w:sz w:val="32"/>
            </w:rPr>
            <w:t>INTERNAL USE ONLY</w:t>
          </w:r>
        </w:p>
      </w:tc>
      <w:tc>
        <w:tcPr>
          <w:tcW w:w="4685" w:type="dxa"/>
          <w:tcBorders>
            <w:bottom w:val="single" w:sz="4" w:space="0" w:color="auto"/>
          </w:tcBorders>
          <w:vAlign w:val="bottom"/>
        </w:tcPr>
        <w:p w14:paraId="3D83E5FA" w14:textId="77777777" w:rsidR="00E40BD2" w:rsidRPr="000F5176" w:rsidRDefault="00E40BD2" w:rsidP="000F5176">
          <w:pPr>
            <w:pStyle w:val="HeaderNoLine"/>
            <w:rPr>
              <w:rStyle w:val="HeaderChar"/>
            </w:rPr>
          </w:pPr>
          <w:r w:rsidRPr="000F5176">
            <w:t>Therapeutic Goods Administration</w:t>
          </w:r>
        </w:p>
      </w:tc>
    </w:tr>
  </w:tbl>
  <w:p w14:paraId="7D79B037" w14:textId="77777777" w:rsidR="00E40BD2" w:rsidRDefault="00E40BD2" w:rsidP="00F923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4CE" w14:textId="60332676" w:rsidR="00E40BD2" w:rsidRDefault="00E04ABD" w:rsidP="006E08B3">
    <w:pPr>
      <w:rPr>
        <w:noProof/>
      </w:rPr>
    </w:pPr>
    <w:r w:rsidRPr="00F3255D">
      <w:rPr>
        <w:noProof/>
        <w:lang w:eastAsia="en-AU"/>
      </w:rPr>
      <w:drawing>
        <wp:anchor distT="0" distB="0" distL="114300" distR="114300" simplePos="0" relativeHeight="251664384" behindDoc="0" locked="0" layoutInCell="1" allowOverlap="1" wp14:anchorId="25575D01" wp14:editId="60006046">
          <wp:simplePos x="0" y="0"/>
          <wp:positionH relativeFrom="column">
            <wp:posOffset>-194310</wp:posOffset>
          </wp:positionH>
          <wp:positionV relativeFrom="paragraph">
            <wp:posOffset>133350</wp:posOffset>
          </wp:positionV>
          <wp:extent cx="3524400" cy="82080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400" cy="820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E47A24" w14:textId="29E36093" w:rsidR="00E40BD2" w:rsidRDefault="00317355" w:rsidP="006D03E5">
    <w:r>
      <w:rPr>
        <w:noProof/>
        <w:lang w:eastAsia="en-AU"/>
      </w:rPr>
      <w:drawing>
        <wp:anchor distT="0" distB="0" distL="114300" distR="114300" simplePos="0" relativeHeight="251666432" behindDoc="0" locked="0" layoutInCell="0" allowOverlap="1" wp14:anchorId="12FCA66C" wp14:editId="12C02F8A">
          <wp:simplePos x="0" y="0"/>
          <wp:positionH relativeFrom="column">
            <wp:posOffset>-900430</wp:posOffset>
          </wp:positionH>
          <wp:positionV relativeFrom="page">
            <wp:posOffset>4173220</wp:posOffset>
          </wp:positionV>
          <wp:extent cx="7599600" cy="2458800"/>
          <wp:effectExtent l="0" t="0" r="1905" b="0"/>
          <wp:wrapNone/>
          <wp:docPr id="37"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599600" cy="24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8CB06" w14:textId="77777777" w:rsidR="00BA5E55" w:rsidRPr="00920FF4" w:rsidRDefault="00BA5E55" w:rsidP="00957F5A">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CB9C" w14:textId="77777777" w:rsidR="00BA5E55" w:rsidRPr="00920FF4" w:rsidRDefault="00BA5E55" w:rsidP="00957F5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bottom w:val="single" w:sz="4" w:space="0" w:color="auto"/>
      </w:tblBorders>
      <w:tblCellMar>
        <w:left w:w="0" w:type="dxa"/>
        <w:right w:w="0" w:type="dxa"/>
      </w:tblCellMar>
      <w:tblLook w:val="04A0" w:firstRow="1" w:lastRow="0" w:firstColumn="1" w:lastColumn="0" w:noHBand="0" w:noVBand="1"/>
    </w:tblPr>
    <w:tblGrid>
      <w:gridCol w:w="4035"/>
      <w:gridCol w:w="5037"/>
    </w:tblGrid>
    <w:tr w:rsidR="00E40BD2" w:rsidRPr="00DA24C7" w14:paraId="7C724D59" w14:textId="77777777" w:rsidTr="00AE3703">
      <w:trPr>
        <w:trHeight w:val="558"/>
      </w:trPr>
      <w:tc>
        <w:tcPr>
          <w:tcW w:w="4035" w:type="dxa"/>
          <w:vAlign w:val="center"/>
        </w:tcPr>
        <w:p w14:paraId="047292FC" w14:textId="62B95FE3" w:rsidR="00E40BD2" w:rsidRPr="00EB74A7" w:rsidRDefault="00E40BD2" w:rsidP="00C6376F">
          <w:pPr>
            <w:rPr>
              <w:rStyle w:val="HeaderChar"/>
              <w:rFonts w:ascii="Arial" w:hAnsi="Arial" w:cs="Arial"/>
              <w:b/>
              <w:sz w:val="28"/>
              <w:szCs w:val="28"/>
            </w:rPr>
          </w:pPr>
        </w:p>
      </w:tc>
      <w:tc>
        <w:tcPr>
          <w:tcW w:w="5037" w:type="dxa"/>
          <w:vAlign w:val="center"/>
        </w:tcPr>
        <w:p w14:paraId="3A7D855E" w14:textId="77777777" w:rsidR="00E40BD2" w:rsidRPr="000F5176" w:rsidRDefault="00E40BD2" w:rsidP="00AE3703">
          <w:pPr>
            <w:pStyle w:val="HeaderNoLine"/>
            <w:ind w:right="5"/>
            <w:rPr>
              <w:rStyle w:val="HeaderChar"/>
            </w:rPr>
          </w:pPr>
          <w:r w:rsidRPr="000F5176">
            <w:t>Therapeutic Goods Administration</w:t>
          </w:r>
        </w:p>
      </w:tc>
    </w:tr>
  </w:tbl>
  <w:p w14:paraId="480E463E" w14:textId="77777777" w:rsidR="00E40BD2" w:rsidRDefault="00E40BD2" w:rsidP="0010176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27" w:type="dxa"/>
      <w:tblBorders>
        <w:bottom w:val="single" w:sz="4" w:space="0" w:color="auto"/>
      </w:tblBorders>
      <w:tblCellMar>
        <w:left w:w="0" w:type="dxa"/>
        <w:right w:w="0" w:type="dxa"/>
      </w:tblCellMar>
      <w:tblLook w:val="04A0" w:firstRow="1" w:lastRow="0" w:firstColumn="1" w:lastColumn="0" w:noHBand="0" w:noVBand="1"/>
    </w:tblPr>
    <w:tblGrid>
      <w:gridCol w:w="4186"/>
      <w:gridCol w:w="5041"/>
    </w:tblGrid>
    <w:tr w:rsidR="002A7487" w:rsidRPr="00DA24C7" w14:paraId="6195BDC9" w14:textId="77777777" w:rsidTr="00C22E8E">
      <w:trPr>
        <w:trHeight w:val="588"/>
      </w:trPr>
      <w:tc>
        <w:tcPr>
          <w:tcW w:w="4186" w:type="dxa"/>
          <w:vAlign w:val="center"/>
        </w:tcPr>
        <w:p w14:paraId="6180D540" w14:textId="7975D466" w:rsidR="002A7487" w:rsidRPr="00EB74A7" w:rsidRDefault="002A7487" w:rsidP="002A7487">
          <w:pPr>
            <w:spacing w:before="0" w:after="0"/>
            <w:rPr>
              <w:rStyle w:val="HeaderChar"/>
              <w:rFonts w:ascii="Arial" w:hAnsi="Arial" w:cs="Arial"/>
              <w:b/>
              <w:sz w:val="28"/>
              <w:szCs w:val="28"/>
            </w:rPr>
          </w:pPr>
          <w:bookmarkStart w:id="48" w:name="_Hlk109644329"/>
          <w:bookmarkStart w:id="49" w:name="_Hlk109644330"/>
        </w:p>
      </w:tc>
      <w:tc>
        <w:tcPr>
          <w:tcW w:w="5041" w:type="dxa"/>
          <w:vAlign w:val="center"/>
        </w:tcPr>
        <w:p w14:paraId="2681EE0A" w14:textId="77777777" w:rsidR="002A7487" w:rsidRPr="000F5176" w:rsidRDefault="002A7487" w:rsidP="002A7487">
          <w:pPr>
            <w:pStyle w:val="HeaderNoLine"/>
            <w:spacing w:before="0" w:after="0"/>
            <w:rPr>
              <w:rStyle w:val="HeaderChar"/>
            </w:rPr>
          </w:pPr>
          <w:bookmarkStart w:id="50" w:name="_Hlk109644399"/>
          <w:r w:rsidRPr="000F5176">
            <w:t>Therapeutic Goods Administration</w:t>
          </w:r>
          <w:bookmarkEnd w:id="50"/>
        </w:p>
      </w:tc>
    </w:tr>
    <w:bookmarkEnd w:id="48"/>
    <w:bookmarkEnd w:id="49"/>
  </w:tbl>
  <w:p w14:paraId="3D9C25A3" w14:textId="1D72ED11" w:rsidR="00E40BD2" w:rsidRDefault="00E40BD2" w:rsidP="004E576B">
    <w:pPr>
      <w:tabs>
        <w:tab w:val="left" w:pos="75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FE746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15:restartNumberingAfterBreak="0">
    <w:nsid w:val="188F6A3C"/>
    <w:multiLevelType w:val="hybridMultilevel"/>
    <w:tmpl w:val="C13CB3A4"/>
    <w:lvl w:ilvl="0" w:tplc="122214B8">
      <w:start w:val="1"/>
      <w:numFmt w:val="lowerLetter"/>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ABD74D0"/>
    <w:multiLevelType w:val="hybridMultilevel"/>
    <w:tmpl w:val="64BE2784"/>
    <w:lvl w:ilvl="0" w:tplc="4BD20BAA">
      <w:start w:val="1"/>
      <w:numFmt w:val="lowerRoman"/>
      <w:pStyle w:val="ListBulleti"/>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1CC728FE"/>
    <w:multiLevelType w:val="hybridMultilevel"/>
    <w:tmpl w:val="2C3665E2"/>
    <w:lvl w:ilvl="0" w:tplc="05B66EF8">
      <w:start w:val="1"/>
      <w:numFmt w:val="bullet"/>
      <w:lvlText w:val="–"/>
      <w:lvlJc w:val="left"/>
      <w:pPr>
        <w:ind w:left="720" w:hanging="360"/>
      </w:pPr>
      <w:rPr>
        <w:rFonts w:ascii="Arial" w:hAnsi="Aria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85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5B17B9"/>
    <w:multiLevelType w:val="hybridMultilevel"/>
    <w:tmpl w:val="B8C84F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E924211"/>
    <w:multiLevelType w:val="hybridMultilevel"/>
    <w:tmpl w:val="34C493BE"/>
    <w:lvl w:ilvl="0" w:tplc="5E685644">
      <w:start w:val="1"/>
      <w:numFmt w:val="lowerLetter"/>
      <w:pStyle w:val="ListBulleta"/>
      <w:lvlText w:val="%1)"/>
      <w:lvlJc w:val="left"/>
      <w:pPr>
        <w:ind w:left="1146" w:hanging="360"/>
      </w:p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15:restartNumberingAfterBreak="0">
    <w:nsid w:val="3AF04C6E"/>
    <w:multiLevelType w:val="hybridMultilevel"/>
    <w:tmpl w:val="CA36F81E"/>
    <w:lvl w:ilvl="0" w:tplc="209A22D4">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0" w15:restartNumberingAfterBreak="0">
    <w:nsid w:val="3BC23E56"/>
    <w:multiLevelType w:val="hybridMultilevel"/>
    <w:tmpl w:val="849CF1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D8A123D"/>
    <w:multiLevelType w:val="hybridMultilevel"/>
    <w:tmpl w:val="1724348A"/>
    <w:lvl w:ilvl="0" w:tplc="0C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2" w15:restartNumberingAfterBreak="0">
    <w:nsid w:val="40A826CE"/>
    <w:multiLevelType w:val="hybridMultilevel"/>
    <w:tmpl w:val="BDF84950"/>
    <w:lvl w:ilvl="0" w:tplc="FF948480">
      <w:start w:val="1"/>
      <w:numFmt w:val="lowerLetter"/>
      <w:lvlText w:val="%1)"/>
      <w:lvlJc w:val="left"/>
      <w:pPr>
        <w:ind w:left="1800" w:hanging="360"/>
      </w:pPr>
      <w:rPr>
        <w:strike w:val="0"/>
        <w:dstrike w:val="0"/>
        <w:color w:val="auto"/>
        <w:u w:val="none"/>
        <w:effect w:val="none"/>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3" w15:restartNumberingAfterBreak="0">
    <w:nsid w:val="6B4636E7"/>
    <w:multiLevelType w:val="hybridMultilevel"/>
    <w:tmpl w:val="FC38AA32"/>
    <w:lvl w:ilvl="0" w:tplc="C3620CEA">
      <w:start w:val="4"/>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E03025C"/>
    <w:multiLevelType w:val="hybridMultilevel"/>
    <w:tmpl w:val="83D28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6"/>
  </w:num>
  <w:num w:numId="6">
    <w:abstractNumId w:val="8"/>
  </w:num>
  <w:num w:numId="7">
    <w:abstractNumId w:val="4"/>
  </w:num>
  <w:num w:numId="8">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 w:numId="16">
    <w:abstractNumId w:val="6"/>
    <w:lvlOverride w:ilvl="0">
      <w:startOverride w:val="4"/>
    </w:lvlOverride>
    <w:lvlOverride w:ilvl="1">
      <w:startOverride w:val="1"/>
    </w:lvlOverride>
  </w:num>
  <w:num w:numId="17">
    <w:abstractNumId w:val="6"/>
    <w:lvlOverride w:ilvl="0">
      <w:startOverride w:val="4"/>
    </w:lvlOverride>
    <w:lvlOverride w:ilvl="1">
      <w:startOverride w:val="1"/>
    </w:lvlOverride>
  </w:num>
  <w:num w:numId="18">
    <w:abstractNumId w:val="3"/>
  </w:num>
  <w:num w:numId="19">
    <w:abstractNumId w:val="10"/>
  </w:num>
  <w:num w:numId="20">
    <w:abstractNumId w:val="13"/>
  </w:num>
  <w:num w:numId="21">
    <w:abstractNumId w:val="0"/>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648"/>
    <w:rsid w:val="00001B6C"/>
    <w:rsid w:val="00001B7D"/>
    <w:rsid w:val="00002031"/>
    <w:rsid w:val="00003EE4"/>
    <w:rsid w:val="000042DA"/>
    <w:rsid w:val="00004734"/>
    <w:rsid w:val="00006AE7"/>
    <w:rsid w:val="00006B22"/>
    <w:rsid w:val="0001276A"/>
    <w:rsid w:val="00012D9E"/>
    <w:rsid w:val="00020945"/>
    <w:rsid w:val="00023C6E"/>
    <w:rsid w:val="000246AE"/>
    <w:rsid w:val="00025266"/>
    <w:rsid w:val="00025C67"/>
    <w:rsid w:val="00030079"/>
    <w:rsid w:val="000335FC"/>
    <w:rsid w:val="00033F14"/>
    <w:rsid w:val="00037340"/>
    <w:rsid w:val="00041297"/>
    <w:rsid w:val="00042573"/>
    <w:rsid w:val="00044033"/>
    <w:rsid w:val="000465B5"/>
    <w:rsid w:val="0004710E"/>
    <w:rsid w:val="0005081A"/>
    <w:rsid w:val="00052322"/>
    <w:rsid w:val="00053C6C"/>
    <w:rsid w:val="0005559E"/>
    <w:rsid w:val="00056156"/>
    <w:rsid w:val="00057FFC"/>
    <w:rsid w:val="00061765"/>
    <w:rsid w:val="0006427F"/>
    <w:rsid w:val="00065585"/>
    <w:rsid w:val="00065D1A"/>
    <w:rsid w:val="00072D02"/>
    <w:rsid w:val="00073644"/>
    <w:rsid w:val="00074EBD"/>
    <w:rsid w:val="000755F8"/>
    <w:rsid w:val="00077548"/>
    <w:rsid w:val="00077775"/>
    <w:rsid w:val="0008417D"/>
    <w:rsid w:val="00085DD5"/>
    <w:rsid w:val="000860B4"/>
    <w:rsid w:val="000869F6"/>
    <w:rsid w:val="0008786F"/>
    <w:rsid w:val="00090471"/>
    <w:rsid w:val="0009069C"/>
    <w:rsid w:val="000A56BE"/>
    <w:rsid w:val="000B0759"/>
    <w:rsid w:val="000B2A33"/>
    <w:rsid w:val="000B2F2F"/>
    <w:rsid w:val="000B3532"/>
    <w:rsid w:val="000B3A75"/>
    <w:rsid w:val="000B56DE"/>
    <w:rsid w:val="000B7084"/>
    <w:rsid w:val="000C31F2"/>
    <w:rsid w:val="000C5F0B"/>
    <w:rsid w:val="000C6B99"/>
    <w:rsid w:val="000D0ABB"/>
    <w:rsid w:val="000D2B49"/>
    <w:rsid w:val="000D391B"/>
    <w:rsid w:val="000D3D6D"/>
    <w:rsid w:val="000D45F7"/>
    <w:rsid w:val="000D4FC7"/>
    <w:rsid w:val="000D6344"/>
    <w:rsid w:val="000F04C4"/>
    <w:rsid w:val="000F3A5D"/>
    <w:rsid w:val="000F4869"/>
    <w:rsid w:val="000F5176"/>
    <w:rsid w:val="000F5B42"/>
    <w:rsid w:val="000F6E6F"/>
    <w:rsid w:val="001003F2"/>
    <w:rsid w:val="00101762"/>
    <w:rsid w:val="00105CF3"/>
    <w:rsid w:val="00105FC9"/>
    <w:rsid w:val="0010601F"/>
    <w:rsid w:val="00106BF9"/>
    <w:rsid w:val="00110AE1"/>
    <w:rsid w:val="00110EA5"/>
    <w:rsid w:val="00112440"/>
    <w:rsid w:val="00112A8B"/>
    <w:rsid w:val="00114C00"/>
    <w:rsid w:val="00115240"/>
    <w:rsid w:val="001157F7"/>
    <w:rsid w:val="00116793"/>
    <w:rsid w:val="00116990"/>
    <w:rsid w:val="001169AC"/>
    <w:rsid w:val="00117127"/>
    <w:rsid w:val="00123BB2"/>
    <w:rsid w:val="00123E80"/>
    <w:rsid w:val="00125091"/>
    <w:rsid w:val="00125148"/>
    <w:rsid w:val="00125318"/>
    <w:rsid w:val="0012669D"/>
    <w:rsid w:val="001268BE"/>
    <w:rsid w:val="001305A2"/>
    <w:rsid w:val="00130EB7"/>
    <w:rsid w:val="001327EC"/>
    <w:rsid w:val="00133238"/>
    <w:rsid w:val="00140FE3"/>
    <w:rsid w:val="0014197B"/>
    <w:rsid w:val="001430B2"/>
    <w:rsid w:val="00143B58"/>
    <w:rsid w:val="001447CD"/>
    <w:rsid w:val="00150A66"/>
    <w:rsid w:val="001516B1"/>
    <w:rsid w:val="001525B4"/>
    <w:rsid w:val="00155651"/>
    <w:rsid w:val="00156316"/>
    <w:rsid w:val="00156847"/>
    <w:rsid w:val="00157601"/>
    <w:rsid w:val="001578C5"/>
    <w:rsid w:val="00161226"/>
    <w:rsid w:val="00162D6B"/>
    <w:rsid w:val="00165389"/>
    <w:rsid w:val="001653CE"/>
    <w:rsid w:val="001671F2"/>
    <w:rsid w:val="00173C6A"/>
    <w:rsid w:val="0017693F"/>
    <w:rsid w:val="00176CB0"/>
    <w:rsid w:val="00177E08"/>
    <w:rsid w:val="0018056A"/>
    <w:rsid w:val="0018110E"/>
    <w:rsid w:val="00181684"/>
    <w:rsid w:val="00182A4A"/>
    <w:rsid w:val="00182B7D"/>
    <w:rsid w:val="001843C6"/>
    <w:rsid w:val="001850E0"/>
    <w:rsid w:val="00185CE9"/>
    <w:rsid w:val="00186517"/>
    <w:rsid w:val="00193183"/>
    <w:rsid w:val="001A0406"/>
    <w:rsid w:val="001A0436"/>
    <w:rsid w:val="001A3925"/>
    <w:rsid w:val="001A525F"/>
    <w:rsid w:val="001A5FFE"/>
    <w:rsid w:val="001B09F9"/>
    <w:rsid w:val="001B0F8B"/>
    <w:rsid w:val="001B2A0B"/>
    <w:rsid w:val="001B5CE3"/>
    <w:rsid w:val="001B6448"/>
    <w:rsid w:val="001C0D8C"/>
    <w:rsid w:val="001C2A9E"/>
    <w:rsid w:val="001C2D91"/>
    <w:rsid w:val="001C5266"/>
    <w:rsid w:val="001C7F0A"/>
    <w:rsid w:val="001E07CF"/>
    <w:rsid w:val="001E51C6"/>
    <w:rsid w:val="001E5555"/>
    <w:rsid w:val="001E59F1"/>
    <w:rsid w:val="001F02BC"/>
    <w:rsid w:val="001F04D7"/>
    <w:rsid w:val="001F32EC"/>
    <w:rsid w:val="001F3658"/>
    <w:rsid w:val="001F49EB"/>
    <w:rsid w:val="001F6CBA"/>
    <w:rsid w:val="002001F1"/>
    <w:rsid w:val="0020028B"/>
    <w:rsid w:val="00200A9C"/>
    <w:rsid w:val="00201D4E"/>
    <w:rsid w:val="00202086"/>
    <w:rsid w:val="00204DF0"/>
    <w:rsid w:val="0020793B"/>
    <w:rsid w:val="002101CA"/>
    <w:rsid w:val="00213C7D"/>
    <w:rsid w:val="002147E0"/>
    <w:rsid w:val="00220B8A"/>
    <w:rsid w:val="002226DD"/>
    <w:rsid w:val="002257F3"/>
    <w:rsid w:val="0023267B"/>
    <w:rsid w:val="00233456"/>
    <w:rsid w:val="002339A5"/>
    <w:rsid w:val="00236140"/>
    <w:rsid w:val="00240781"/>
    <w:rsid w:val="00242707"/>
    <w:rsid w:val="002445F4"/>
    <w:rsid w:val="002458D4"/>
    <w:rsid w:val="00245CF3"/>
    <w:rsid w:val="00247223"/>
    <w:rsid w:val="0025120A"/>
    <w:rsid w:val="00255B4B"/>
    <w:rsid w:val="0025660C"/>
    <w:rsid w:val="00257138"/>
    <w:rsid w:val="0025742E"/>
    <w:rsid w:val="00257848"/>
    <w:rsid w:val="00260A78"/>
    <w:rsid w:val="0026644F"/>
    <w:rsid w:val="00267925"/>
    <w:rsid w:val="0027084A"/>
    <w:rsid w:val="00275590"/>
    <w:rsid w:val="00286434"/>
    <w:rsid w:val="00286C59"/>
    <w:rsid w:val="002929C2"/>
    <w:rsid w:val="00292BB3"/>
    <w:rsid w:val="002941C1"/>
    <w:rsid w:val="002942D1"/>
    <w:rsid w:val="002A0556"/>
    <w:rsid w:val="002A2ADB"/>
    <w:rsid w:val="002A3961"/>
    <w:rsid w:val="002A5857"/>
    <w:rsid w:val="002A5F56"/>
    <w:rsid w:val="002A6E38"/>
    <w:rsid w:val="002A7487"/>
    <w:rsid w:val="002A7A7B"/>
    <w:rsid w:val="002B0E0E"/>
    <w:rsid w:val="002B1638"/>
    <w:rsid w:val="002B3304"/>
    <w:rsid w:val="002C07AF"/>
    <w:rsid w:val="002C1418"/>
    <w:rsid w:val="002C383A"/>
    <w:rsid w:val="002C43C3"/>
    <w:rsid w:val="002C48BF"/>
    <w:rsid w:val="002C5EA7"/>
    <w:rsid w:val="002C6D34"/>
    <w:rsid w:val="002D0B05"/>
    <w:rsid w:val="002D235D"/>
    <w:rsid w:val="002D710D"/>
    <w:rsid w:val="002E3C3A"/>
    <w:rsid w:val="002E430E"/>
    <w:rsid w:val="002E48A2"/>
    <w:rsid w:val="002E4C9A"/>
    <w:rsid w:val="002E4FB1"/>
    <w:rsid w:val="002E5C31"/>
    <w:rsid w:val="002E69BE"/>
    <w:rsid w:val="002F11F8"/>
    <w:rsid w:val="002F3F56"/>
    <w:rsid w:val="002F44B5"/>
    <w:rsid w:val="002F53E0"/>
    <w:rsid w:val="00302504"/>
    <w:rsid w:val="00303CBB"/>
    <w:rsid w:val="0030508C"/>
    <w:rsid w:val="003055BD"/>
    <w:rsid w:val="00311AC0"/>
    <w:rsid w:val="00314331"/>
    <w:rsid w:val="003168F8"/>
    <w:rsid w:val="00316F8D"/>
    <w:rsid w:val="00317355"/>
    <w:rsid w:val="003208A0"/>
    <w:rsid w:val="003251D0"/>
    <w:rsid w:val="003261C8"/>
    <w:rsid w:val="00331DBB"/>
    <w:rsid w:val="00334439"/>
    <w:rsid w:val="0033513D"/>
    <w:rsid w:val="00335BEC"/>
    <w:rsid w:val="00335C1C"/>
    <w:rsid w:val="003367E4"/>
    <w:rsid w:val="00343736"/>
    <w:rsid w:val="003456D8"/>
    <w:rsid w:val="003521E8"/>
    <w:rsid w:val="00352A2E"/>
    <w:rsid w:val="00353AC2"/>
    <w:rsid w:val="003555D7"/>
    <w:rsid w:val="00356F04"/>
    <w:rsid w:val="00360648"/>
    <w:rsid w:val="00360DFD"/>
    <w:rsid w:val="00362473"/>
    <w:rsid w:val="00362F16"/>
    <w:rsid w:val="00365A98"/>
    <w:rsid w:val="003662D5"/>
    <w:rsid w:val="003664BF"/>
    <w:rsid w:val="0036794C"/>
    <w:rsid w:val="0037000F"/>
    <w:rsid w:val="0037036E"/>
    <w:rsid w:val="0037215C"/>
    <w:rsid w:val="003728F3"/>
    <w:rsid w:val="00373D31"/>
    <w:rsid w:val="0038110B"/>
    <w:rsid w:val="00381810"/>
    <w:rsid w:val="00386152"/>
    <w:rsid w:val="00390900"/>
    <w:rsid w:val="003964E2"/>
    <w:rsid w:val="0039690B"/>
    <w:rsid w:val="003A0110"/>
    <w:rsid w:val="003A0B29"/>
    <w:rsid w:val="003A0B68"/>
    <w:rsid w:val="003A19BA"/>
    <w:rsid w:val="003A46EF"/>
    <w:rsid w:val="003A48A2"/>
    <w:rsid w:val="003B1FAD"/>
    <w:rsid w:val="003B33DA"/>
    <w:rsid w:val="003B3601"/>
    <w:rsid w:val="003B629A"/>
    <w:rsid w:val="003B6E20"/>
    <w:rsid w:val="003B7E39"/>
    <w:rsid w:val="003C04B2"/>
    <w:rsid w:val="003C0734"/>
    <w:rsid w:val="003C1BBB"/>
    <w:rsid w:val="003C58DC"/>
    <w:rsid w:val="003C62FC"/>
    <w:rsid w:val="003C7673"/>
    <w:rsid w:val="003D17E9"/>
    <w:rsid w:val="003D1DEC"/>
    <w:rsid w:val="003D26B4"/>
    <w:rsid w:val="003D497F"/>
    <w:rsid w:val="003D5D86"/>
    <w:rsid w:val="003D6190"/>
    <w:rsid w:val="003E0E6A"/>
    <w:rsid w:val="003E1945"/>
    <w:rsid w:val="003E2889"/>
    <w:rsid w:val="003E3208"/>
    <w:rsid w:val="003E33D4"/>
    <w:rsid w:val="003E3CA3"/>
    <w:rsid w:val="003E61AA"/>
    <w:rsid w:val="003E7390"/>
    <w:rsid w:val="003F0B04"/>
    <w:rsid w:val="003F1727"/>
    <w:rsid w:val="003F3092"/>
    <w:rsid w:val="003F3095"/>
    <w:rsid w:val="003F48DD"/>
    <w:rsid w:val="003F49C9"/>
    <w:rsid w:val="0040134E"/>
    <w:rsid w:val="0040185A"/>
    <w:rsid w:val="00401C77"/>
    <w:rsid w:val="00402EF6"/>
    <w:rsid w:val="00403ACE"/>
    <w:rsid w:val="00403D3E"/>
    <w:rsid w:val="00404AD5"/>
    <w:rsid w:val="0040598C"/>
    <w:rsid w:val="0040726C"/>
    <w:rsid w:val="004072A5"/>
    <w:rsid w:val="0041105B"/>
    <w:rsid w:val="00411710"/>
    <w:rsid w:val="0041244F"/>
    <w:rsid w:val="00412E40"/>
    <w:rsid w:val="00414BA2"/>
    <w:rsid w:val="00421B7E"/>
    <w:rsid w:val="00421D4C"/>
    <w:rsid w:val="00423124"/>
    <w:rsid w:val="00423B39"/>
    <w:rsid w:val="00423F10"/>
    <w:rsid w:val="004247DA"/>
    <w:rsid w:val="004302D7"/>
    <w:rsid w:val="0043074F"/>
    <w:rsid w:val="00430AAA"/>
    <w:rsid w:val="00432CDD"/>
    <w:rsid w:val="00433211"/>
    <w:rsid w:val="00435B13"/>
    <w:rsid w:val="00436C41"/>
    <w:rsid w:val="004407B2"/>
    <w:rsid w:val="00440A2D"/>
    <w:rsid w:val="004422DF"/>
    <w:rsid w:val="004432FB"/>
    <w:rsid w:val="004446E3"/>
    <w:rsid w:val="004454B4"/>
    <w:rsid w:val="0044589C"/>
    <w:rsid w:val="0044722D"/>
    <w:rsid w:val="0044785B"/>
    <w:rsid w:val="00455ECA"/>
    <w:rsid w:val="004564A7"/>
    <w:rsid w:val="00457FE3"/>
    <w:rsid w:val="004617BF"/>
    <w:rsid w:val="004618AB"/>
    <w:rsid w:val="00461999"/>
    <w:rsid w:val="0046463C"/>
    <w:rsid w:val="00464DFB"/>
    <w:rsid w:val="0046516E"/>
    <w:rsid w:val="004658BC"/>
    <w:rsid w:val="00465AF1"/>
    <w:rsid w:val="00470EC2"/>
    <w:rsid w:val="00472080"/>
    <w:rsid w:val="00484BAB"/>
    <w:rsid w:val="00485BFD"/>
    <w:rsid w:val="00486B95"/>
    <w:rsid w:val="00486E44"/>
    <w:rsid w:val="00487716"/>
    <w:rsid w:val="004923FF"/>
    <w:rsid w:val="00494C70"/>
    <w:rsid w:val="00494E60"/>
    <w:rsid w:val="004968BA"/>
    <w:rsid w:val="004970FD"/>
    <w:rsid w:val="004A2400"/>
    <w:rsid w:val="004A4F2F"/>
    <w:rsid w:val="004A6F05"/>
    <w:rsid w:val="004B21D7"/>
    <w:rsid w:val="004B2BD3"/>
    <w:rsid w:val="004B32D0"/>
    <w:rsid w:val="004B545E"/>
    <w:rsid w:val="004B6701"/>
    <w:rsid w:val="004B7B76"/>
    <w:rsid w:val="004C0070"/>
    <w:rsid w:val="004C241F"/>
    <w:rsid w:val="004C3BFD"/>
    <w:rsid w:val="004C4791"/>
    <w:rsid w:val="004C60B4"/>
    <w:rsid w:val="004D0C78"/>
    <w:rsid w:val="004D51A6"/>
    <w:rsid w:val="004D6739"/>
    <w:rsid w:val="004D722C"/>
    <w:rsid w:val="004E2151"/>
    <w:rsid w:val="004E5523"/>
    <w:rsid w:val="004E576B"/>
    <w:rsid w:val="004F0F38"/>
    <w:rsid w:val="004F4580"/>
    <w:rsid w:val="004F545F"/>
    <w:rsid w:val="005009C0"/>
    <w:rsid w:val="00501179"/>
    <w:rsid w:val="00501921"/>
    <w:rsid w:val="00501CBA"/>
    <w:rsid w:val="005042C1"/>
    <w:rsid w:val="005164BD"/>
    <w:rsid w:val="005168C9"/>
    <w:rsid w:val="00516E40"/>
    <w:rsid w:val="00520F6C"/>
    <w:rsid w:val="00521BEF"/>
    <w:rsid w:val="005220E5"/>
    <w:rsid w:val="005221E1"/>
    <w:rsid w:val="005274DA"/>
    <w:rsid w:val="005302F5"/>
    <w:rsid w:val="00530354"/>
    <w:rsid w:val="00533970"/>
    <w:rsid w:val="00534871"/>
    <w:rsid w:val="0053538C"/>
    <w:rsid w:val="00535658"/>
    <w:rsid w:val="0053781A"/>
    <w:rsid w:val="00541352"/>
    <w:rsid w:val="0054163A"/>
    <w:rsid w:val="0054307A"/>
    <w:rsid w:val="005434C6"/>
    <w:rsid w:val="00543B39"/>
    <w:rsid w:val="00550096"/>
    <w:rsid w:val="00551F1D"/>
    <w:rsid w:val="00552DB2"/>
    <w:rsid w:val="005540F9"/>
    <w:rsid w:val="005576C9"/>
    <w:rsid w:val="005579A5"/>
    <w:rsid w:val="00557FF9"/>
    <w:rsid w:val="00560BAF"/>
    <w:rsid w:val="00561B1B"/>
    <w:rsid w:val="005663B4"/>
    <w:rsid w:val="005729B0"/>
    <w:rsid w:val="00575A6D"/>
    <w:rsid w:val="00576378"/>
    <w:rsid w:val="00577E38"/>
    <w:rsid w:val="005824DB"/>
    <w:rsid w:val="00585069"/>
    <w:rsid w:val="00585322"/>
    <w:rsid w:val="0058774D"/>
    <w:rsid w:val="00591975"/>
    <w:rsid w:val="00593AD1"/>
    <w:rsid w:val="005955CF"/>
    <w:rsid w:val="0059726D"/>
    <w:rsid w:val="00597B50"/>
    <w:rsid w:val="005A1131"/>
    <w:rsid w:val="005A3F2F"/>
    <w:rsid w:val="005A5916"/>
    <w:rsid w:val="005A5A5E"/>
    <w:rsid w:val="005A6611"/>
    <w:rsid w:val="005B1DEF"/>
    <w:rsid w:val="005C03F2"/>
    <w:rsid w:val="005C0499"/>
    <w:rsid w:val="005C1D90"/>
    <w:rsid w:val="005C22EA"/>
    <w:rsid w:val="005C2732"/>
    <w:rsid w:val="005C2FB2"/>
    <w:rsid w:val="005C3414"/>
    <w:rsid w:val="005C48C3"/>
    <w:rsid w:val="005C5570"/>
    <w:rsid w:val="005C6864"/>
    <w:rsid w:val="005C6D87"/>
    <w:rsid w:val="005C79A4"/>
    <w:rsid w:val="005D060C"/>
    <w:rsid w:val="005D16DC"/>
    <w:rsid w:val="005D4E06"/>
    <w:rsid w:val="005D5442"/>
    <w:rsid w:val="005E1129"/>
    <w:rsid w:val="005E1A89"/>
    <w:rsid w:val="005E3393"/>
    <w:rsid w:val="005E5885"/>
    <w:rsid w:val="005E6395"/>
    <w:rsid w:val="005E6817"/>
    <w:rsid w:val="005E7293"/>
    <w:rsid w:val="005F2878"/>
    <w:rsid w:val="005F3EA0"/>
    <w:rsid w:val="00601594"/>
    <w:rsid w:val="00601FD3"/>
    <w:rsid w:val="0060581D"/>
    <w:rsid w:val="00607767"/>
    <w:rsid w:val="00612B30"/>
    <w:rsid w:val="006131AB"/>
    <w:rsid w:val="00613211"/>
    <w:rsid w:val="006132E8"/>
    <w:rsid w:val="00614196"/>
    <w:rsid w:val="006210F2"/>
    <w:rsid w:val="0062266E"/>
    <w:rsid w:val="00623676"/>
    <w:rsid w:val="006238C7"/>
    <w:rsid w:val="00632D4C"/>
    <w:rsid w:val="006352D8"/>
    <w:rsid w:val="00635E43"/>
    <w:rsid w:val="006400CB"/>
    <w:rsid w:val="00640FC3"/>
    <w:rsid w:val="00642020"/>
    <w:rsid w:val="00646E72"/>
    <w:rsid w:val="00650434"/>
    <w:rsid w:val="00651316"/>
    <w:rsid w:val="00652CEE"/>
    <w:rsid w:val="0065337B"/>
    <w:rsid w:val="0065419D"/>
    <w:rsid w:val="006604D8"/>
    <w:rsid w:val="00663132"/>
    <w:rsid w:val="00664A5B"/>
    <w:rsid w:val="006664CB"/>
    <w:rsid w:val="00667942"/>
    <w:rsid w:val="006733CD"/>
    <w:rsid w:val="00674BA2"/>
    <w:rsid w:val="00677050"/>
    <w:rsid w:val="006804A8"/>
    <w:rsid w:val="00680C08"/>
    <w:rsid w:val="00683404"/>
    <w:rsid w:val="0068543D"/>
    <w:rsid w:val="00686C19"/>
    <w:rsid w:val="0068741A"/>
    <w:rsid w:val="00691DBE"/>
    <w:rsid w:val="006931B1"/>
    <w:rsid w:val="006A15C0"/>
    <w:rsid w:val="006A1DC0"/>
    <w:rsid w:val="006A64F4"/>
    <w:rsid w:val="006A7FD9"/>
    <w:rsid w:val="006B1BCF"/>
    <w:rsid w:val="006B3B74"/>
    <w:rsid w:val="006B3CF2"/>
    <w:rsid w:val="006C0071"/>
    <w:rsid w:val="006C0A51"/>
    <w:rsid w:val="006C17D5"/>
    <w:rsid w:val="006C1A83"/>
    <w:rsid w:val="006C1AD9"/>
    <w:rsid w:val="006C1F3B"/>
    <w:rsid w:val="006C3E2A"/>
    <w:rsid w:val="006C450D"/>
    <w:rsid w:val="006C57B7"/>
    <w:rsid w:val="006C642F"/>
    <w:rsid w:val="006D03E5"/>
    <w:rsid w:val="006D08C1"/>
    <w:rsid w:val="006D0BF4"/>
    <w:rsid w:val="006D1943"/>
    <w:rsid w:val="006D5D3E"/>
    <w:rsid w:val="006D6A23"/>
    <w:rsid w:val="006E08B3"/>
    <w:rsid w:val="006E1905"/>
    <w:rsid w:val="006E2967"/>
    <w:rsid w:val="006E5071"/>
    <w:rsid w:val="006E5916"/>
    <w:rsid w:val="006F01FE"/>
    <w:rsid w:val="006F067A"/>
    <w:rsid w:val="006F1A67"/>
    <w:rsid w:val="006F572E"/>
    <w:rsid w:val="006F65A9"/>
    <w:rsid w:val="007046D6"/>
    <w:rsid w:val="00705DB0"/>
    <w:rsid w:val="00706AFE"/>
    <w:rsid w:val="007105C8"/>
    <w:rsid w:val="00711BAE"/>
    <w:rsid w:val="007127A7"/>
    <w:rsid w:val="00717545"/>
    <w:rsid w:val="00717B5D"/>
    <w:rsid w:val="007249F8"/>
    <w:rsid w:val="0073205A"/>
    <w:rsid w:val="00732B06"/>
    <w:rsid w:val="0073345D"/>
    <w:rsid w:val="00736B85"/>
    <w:rsid w:val="00736EFA"/>
    <w:rsid w:val="00737627"/>
    <w:rsid w:val="0074253D"/>
    <w:rsid w:val="0074429B"/>
    <w:rsid w:val="00745A80"/>
    <w:rsid w:val="007463EA"/>
    <w:rsid w:val="007477F8"/>
    <w:rsid w:val="00750368"/>
    <w:rsid w:val="007560C5"/>
    <w:rsid w:val="00756ABF"/>
    <w:rsid w:val="007615BC"/>
    <w:rsid w:val="00761AA7"/>
    <w:rsid w:val="00762F05"/>
    <w:rsid w:val="007637F0"/>
    <w:rsid w:val="00763BB7"/>
    <w:rsid w:val="007652FF"/>
    <w:rsid w:val="00765C7B"/>
    <w:rsid w:val="00766729"/>
    <w:rsid w:val="00766888"/>
    <w:rsid w:val="00771329"/>
    <w:rsid w:val="00773EF7"/>
    <w:rsid w:val="007748DC"/>
    <w:rsid w:val="00774E1D"/>
    <w:rsid w:val="0077675A"/>
    <w:rsid w:val="00780355"/>
    <w:rsid w:val="00782870"/>
    <w:rsid w:val="00783116"/>
    <w:rsid w:val="00784124"/>
    <w:rsid w:val="00784F14"/>
    <w:rsid w:val="00785721"/>
    <w:rsid w:val="00786BD0"/>
    <w:rsid w:val="007907BF"/>
    <w:rsid w:val="00793A59"/>
    <w:rsid w:val="00794519"/>
    <w:rsid w:val="007954D4"/>
    <w:rsid w:val="00797C1C"/>
    <w:rsid w:val="00797C67"/>
    <w:rsid w:val="007A2162"/>
    <w:rsid w:val="007A2B0B"/>
    <w:rsid w:val="007A48F0"/>
    <w:rsid w:val="007A58C5"/>
    <w:rsid w:val="007B0412"/>
    <w:rsid w:val="007B0A15"/>
    <w:rsid w:val="007B1ED1"/>
    <w:rsid w:val="007B4A0D"/>
    <w:rsid w:val="007B7F38"/>
    <w:rsid w:val="007C0F3D"/>
    <w:rsid w:val="007C1AF7"/>
    <w:rsid w:val="007D2CFA"/>
    <w:rsid w:val="007D31C7"/>
    <w:rsid w:val="007D404B"/>
    <w:rsid w:val="007D4385"/>
    <w:rsid w:val="007D7B54"/>
    <w:rsid w:val="007E29E1"/>
    <w:rsid w:val="007E3E3E"/>
    <w:rsid w:val="007E4DCE"/>
    <w:rsid w:val="007E662C"/>
    <w:rsid w:val="007F17BD"/>
    <w:rsid w:val="00802BC8"/>
    <w:rsid w:val="008030CD"/>
    <w:rsid w:val="00804357"/>
    <w:rsid w:val="0080449A"/>
    <w:rsid w:val="00810143"/>
    <w:rsid w:val="00811949"/>
    <w:rsid w:val="00812029"/>
    <w:rsid w:val="008122AC"/>
    <w:rsid w:val="00813E46"/>
    <w:rsid w:val="00813E9B"/>
    <w:rsid w:val="0081660F"/>
    <w:rsid w:val="00817471"/>
    <w:rsid w:val="00821776"/>
    <w:rsid w:val="008256AA"/>
    <w:rsid w:val="00826007"/>
    <w:rsid w:val="0082653E"/>
    <w:rsid w:val="0082663D"/>
    <w:rsid w:val="008266E2"/>
    <w:rsid w:val="0083209C"/>
    <w:rsid w:val="008321F5"/>
    <w:rsid w:val="00832369"/>
    <w:rsid w:val="00832486"/>
    <w:rsid w:val="0083329F"/>
    <w:rsid w:val="008334FA"/>
    <w:rsid w:val="00834660"/>
    <w:rsid w:val="008357ED"/>
    <w:rsid w:val="00835988"/>
    <w:rsid w:val="008369A6"/>
    <w:rsid w:val="00836BC2"/>
    <w:rsid w:val="0084109D"/>
    <w:rsid w:val="008423DC"/>
    <w:rsid w:val="00846E23"/>
    <w:rsid w:val="0085641B"/>
    <w:rsid w:val="00857136"/>
    <w:rsid w:val="008617CA"/>
    <w:rsid w:val="00867E18"/>
    <w:rsid w:val="008702B3"/>
    <w:rsid w:val="008707DF"/>
    <w:rsid w:val="00871E49"/>
    <w:rsid w:val="00872807"/>
    <w:rsid w:val="00876EAC"/>
    <w:rsid w:val="0088186A"/>
    <w:rsid w:val="00881EA0"/>
    <w:rsid w:val="008828CC"/>
    <w:rsid w:val="0088496A"/>
    <w:rsid w:val="0088678E"/>
    <w:rsid w:val="00892408"/>
    <w:rsid w:val="0089392A"/>
    <w:rsid w:val="00893C5D"/>
    <w:rsid w:val="00896018"/>
    <w:rsid w:val="00896E1F"/>
    <w:rsid w:val="00897E2B"/>
    <w:rsid w:val="008A00FE"/>
    <w:rsid w:val="008A2B9D"/>
    <w:rsid w:val="008A2D18"/>
    <w:rsid w:val="008A441A"/>
    <w:rsid w:val="008A5E0B"/>
    <w:rsid w:val="008A69D0"/>
    <w:rsid w:val="008A6A7F"/>
    <w:rsid w:val="008A6B96"/>
    <w:rsid w:val="008A6D59"/>
    <w:rsid w:val="008B0015"/>
    <w:rsid w:val="008B2B27"/>
    <w:rsid w:val="008B2BFC"/>
    <w:rsid w:val="008B4B03"/>
    <w:rsid w:val="008B596F"/>
    <w:rsid w:val="008B7C43"/>
    <w:rsid w:val="008C0C69"/>
    <w:rsid w:val="008C159F"/>
    <w:rsid w:val="008C1623"/>
    <w:rsid w:val="008C2B58"/>
    <w:rsid w:val="008C51A9"/>
    <w:rsid w:val="008C5225"/>
    <w:rsid w:val="008C5CA8"/>
    <w:rsid w:val="008C731E"/>
    <w:rsid w:val="008C7E46"/>
    <w:rsid w:val="008D0620"/>
    <w:rsid w:val="008D1287"/>
    <w:rsid w:val="008D3724"/>
    <w:rsid w:val="008D3FCE"/>
    <w:rsid w:val="008D4A1D"/>
    <w:rsid w:val="008D67F7"/>
    <w:rsid w:val="008D7BD4"/>
    <w:rsid w:val="008E6463"/>
    <w:rsid w:val="008F1CCC"/>
    <w:rsid w:val="008F2967"/>
    <w:rsid w:val="008F2AD4"/>
    <w:rsid w:val="008F4A62"/>
    <w:rsid w:val="008F57B4"/>
    <w:rsid w:val="0091165D"/>
    <w:rsid w:val="00915525"/>
    <w:rsid w:val="00917AB4"/>
    <w:rsid w:val="00920330"/>
    <w:rsid w:val="009207ED"/>
    <w:rsid w:val="00920FF4"/>
    <w:rsid w:val="009219D7"/>
    <w:rsid w:val="00922D53"/>
    <w:rsid w:val="00923B70"/>
    <w:rsid w:val="0092465F"/>
    <w:rsid w:val="00924FB8"/>
    <w:rsid w:val="00925333"/>
    <w:rsid w:val="0092600B"/>
    <w:rsid w:val="00926BE5"/>
    <w:rsid w:val="00926F1C"/>
    <w:rsid w:val="00930237"/>
    <w:rsid w:val="009310B4"/>
    <w:rsid w:val="0093749E"/>
    <w:rsid w:val="009378D1"/>
    <w:rsid w:val="00941597"/>
    <w:rsid w:val="00942751"/>
    <w:rsid w:val="009436B9"/>
    <w:rsid w:val="00943A3F"/>
    <w:rsid w:val="00944B14"/>
    <w:rsid w:val="00945041"/>
    <w:rsid w:val="009468C6"/>
    <w:rsid w:val="00951677"/>
    <w:rsid w:val="00952C3D"/>
    <w:rsid w:val="00953EA8"/>
    <w:rsid w:val="0095536B"/>
    <w:rsid w:val="00955A46"/>
    <w:rsid w:val="00957CE3"/>
    <w:rsid w:val="009628B7"/>
    <w:rsid w:val="00963C08"/>
    <w:rsid w:val="00963C0D"/>
    <w:rsid w:val="00965BBA"/>
    <w:rsid w:val="00966187"/>
    <w:rsid w:val="00966970"/>
    <w:rsid w:val="00967C5A"/>
    <w:rsid w:val="00970367"/>
    <w:rsid w:val="009741DD"/>
    <w:rsid w:val="009752DD"/>
    <w:rsid w:val="00975379"/>
    <w:rsid w:val="00981AC6"/>
    <w:rsid w:val="00981D0A"/>
    <w:rsid w:val="009835B6"/>
    <w:rsid w:val="00984CAD"/>
    <w:rsid w:val="00985D56"/>
    <w:rsid w:val="00987D65"/>
    <w:rsid w:val="0099162D"/>
    <w:rsid w:val="009927F3"/>
    <w:rsid w:val="00992DD3"/>
    <w:rsid w:val="00993AB0"/>
    <w:rsid w:val="00994264"/>
    <w:rsid w:val="009968EC"/>
    <w:rsid w:val="009A190E"/>
    <w:rsid w:val="009A4825"/>
    <w:rsid w:val="009A4CED"/>
    <w:rsid w:val="009A63FF"/>
    <w:rsid w:val="009B00CC"/>
    <w:rsid w:val="009B1D12"/>
    <w:rsid w:val="009B20A0"/>
    <w:rsid w:val="009B223F"/>
    <w:rsid w:val="009B2B3C"/>
    <w:rsid w:val="009B3475"/>
    <w:rsid w:val="009B416B"/>
    <w:rsid w:val="009B6348"/>
    <w:rsid w:val="009C2808"/>
    <w:rsid w:val="009C2F10"/>
    <w:rsid w:val="009C4BD5"/>
    <w:rsid w:val="009C5F04"/>
    <w:rsid w:val="009C683C"/>
    <w:rsid w:val="009D0801"/>
    <w:rsid w:val="009D0A6D"/>
    <w:rsid w:val="009D0DC8"/>
    <w:rsid w:val="009D2144"/>
    <w:rsid w:val="009D2E04"/>
    <w:rsid w:val="009D7B77"/>
    <w:rsid w:val="009E0BB0"/>
    <w:rsid w:val="009E37F8"/>
    <w:rsid w:val="009E3FBB"/>
    <w:rsid w:val="009F018D"/>
    <w:rsid w:val="009F01FD"/>
    <w:rsid w:val="009F207B"/>
    <w:rsid w:val="009F20E4"/>
    <w:rsid w:val="00A0156E"/>
    <w:rsid w:val="00A058B2"/>
    <w:rsid w:val="00A10C68"/>
    <w:rsid w:val="00A1235B"/>
    <w:rsid w:val="00A14DF7"/>
    <w:rsid w:val="00A22AD3"/>
    <w:rsid w:val="00A22E19"/>
    <w:rsid w:val="00A269C5"/>
    <w:rsid w:val="00A26A8B"/>
    <w:rsid w:val="00A26B38"/>
    <w:rsid w:val="00A272CA"/>
    <w:rsid w:val="00A27B10"/>
    <w:rsid w:val="00A31294"/>
    <w:rsid w:val="00A3246D"/>
    <w:rsid w:val="00A32C51"/>
    <w:rsid w:val="00A342E4"/>
    <w:rsid w:val="00A35A7B"/>
    <w:rsid w:val="00A36E8D"/>
    <w:rsid w:val="00A36FA7"/>
    <w:rsid w:val="00A40944"/>
    <w:rsid w:val="00A41E88"/>
    <w:rsid w:val="00A46A96"/>
    <w:rsid w:val="00A47209"/>
    <w:rsid w:val="00A475B7"/>
    <w:rsid w:val="00A47AF7"/>
    <w:rsid w:val="00A47C3E"/>
    <w:rsid w:val="00A50226"/>
    <w:rsid w:val="00A50992"/>
    <w:rsid w:val="00A53DC8"/>
    <w:rsid w:val="00A557C6"/>
    <w:rsid w:val="00A60BAD"/>
    <w:rsid w:val="00A73339"/>
    <w:rsid w:val="00A737A1"/>
    <w:rsid w:val="00A73A8D"/>
    <w:rsid w:val="00A75017"/>
    <w:rsid w:val="00A75038"/>
    <w:rsid w:val="00A7521C"/>
    <w:rsid w:val="00A77C79"/>
    <w:rsid w:val="00A8051A"/>
    <w:rsid w:val="00A806AE"/>
    <w:rsid w:val="00A8571D"/>
    <w:rsid w:val="00A8731C"/>
    <w:rsid w:val="00A87334"/>
    <w:rsid w:val="00A92E6D"/>
    <w:rsid w:val="00A934D5"/>
    <w:rsid w:val="00A957C4"/>
    <w:rsid w:val="00AA34FC"/>
    <w:rsid w:val="00AA36D4"/>
    <w:rsid w:val="00AB201E"/>
    <w:rsid w:val="00AB3F92"/>
    <w:rsid w:val="00AB42C4"/>
    <w:rsid w:val="00AB5470"/>
    <w:rsid w:val="00AB581C"/>
    <w:rsid w:val="00AB5BED"/>
    <w:rsid w:val="00AB5C96"/>
    <w:rsid w:val="00AC262B"/>
    <w:rsid w:val="00AC2B40"/>
    <w:rsid w:val="00AC2BB2"/>
    <w:rsid w:val="00AC2C3C"/>
    <w:rsid w:val="00AC3BD9"/>
    <w:rsid w:val="00AC44FA"/>
    <w:rsid w:val="00AC54D1"/>
    <w:rsid w:val="00AC6E3F"/>
    <w:rsid w:val="00AC6EBE"/>
    <w:rsid w:val="00AD4722"/>
    <w:rsid w:val="00AD4A66"/>
    <w:rsid w:val="00AD58C6"/>
    <w:rsid w:val="00AD7E78"/>
    <w:rsid w:val="00AE2270"/>
    <w:rsid w:val="00AE3703"/>
    <w:rsid w:val="00AE4205"/>
    <w:rsid w:val="00AE6155"/>
    <w:rsid w:val="00AE65EB"/>
    <w:rsid w:val="00AE670F"/>
    <w:rsid w:val="00AF1D94"/>
    <w:rsid w:val="00AF27F0"/>
    <w:rsid w:val="00AF316D"/>
    <w:rsid w:val="00AF3A8C"/>
    <w:rsid w:val="00AF60C5"/>
    <w:rsid w:val="00B009C6"/>
    <w:rsid w:val="00B00EC7"/>
    <w:rsid w:val="00B01548"/>
    <w:rsid w:val="00B138BE"/>
    <w:rsid w:val="00B15AE2"/>
    <w:rsid w:val="00B15C1C"/>
    <w:rsid w:val="00B17A0B"/>
    <w:rsid w:val="00B17CB3"/>
    <w:rsid w:val="00B21D29"/>
    <w:rsid w:val="00B21FC5"/>
    <w:rsid w:val="00B25034"/>
    <w:rsid w:val="00B26DFC"/>
    <w:rsid w:val="00B27B29"/>
    <w:rsid w:val="00B27EA3"/>
    <w:rsid w:val="00B30418"/>
    <w:rsid w:val="00B31914"/>
    <w:rsid w:val="00B31C38"/>
    <w:rsid w:val="00B325C7"/>
    <w:rsid w:val="00B33863"/>
    <w:rsid w:val="00B34F51"/>
    <w:rsid w:val="00B37D17"/>
    <w:rsid w:val="00B4175E"/>
    <w:rsid w:val="00B42E15"/>
    <w:rsid w:val="00B4454F"/>
    <w:rsid w:val="00B50EE7"/>
    <w:rsid w:val="00B510E1"/>
    <w:rsid w:val="00B51121"/>
    <w:rsid w:val="00B5321A"/>
    <w:rsid w:val="00B54C25"/>
    <w:rsid w:val="00B55E71"/>
    <w:rsid w:val="00B57049"/>
    <w:rsid w:val="00B572B2"/>
    <w:rsid w:val="00B60801"/>
    <w:rsid w:val="00B617EA"/>
    <w:rsid w:val="00B6409A"/>
    <w:rsid w:val="00B6677B"/>
    <w:rsid w:val="00B70D5B"/>
    <w:rsid w:val="00B71B18"/>
    <w:rsid w:val="00B7359B"/>
    <w:rsid w:val="00B7672F"/>
    <w:rsid w:val="00B76B91"/>
    <w:rsid w:val="00B8234B"/>
    <w:rsid w:val="00B83FC7"/>
    <w:rsid w:val="00B8473E"/>
    <w:rsid w:val="00B84FFA"/>
    <w:rsid w:val="00B86F81"/>
    <w:rsid w:val="00B929EB"/>
    <w:rsid w:val="00B94276"/>
    <w:rsid w:val="00B94618"/>
    <w:rsid w:val="00B978A9"/>
    <w:rsid w:val="00BA5E55"/>
    <w:rsid w:val="00BA62E2"/>
    <w:rsid w:val="00BA7D66"/>
    <w:rsid w:val="00BB0BD8"/>
    <w:rsid w:val="00BB4EAC"/>
    <w:rsid w:val="00BB538A"/>
    <w:rsid w:val="00BB6DFC"/>
    <w:rsid w:val="00BB7F56"/>
    <w:rsid w:val="00BC1CAB"/>
    <w:rsid w:val="00BC1E84"/>
    <w:rsid w:val="00BC2009"/>
    <w:rsid w:val="00BC2202"/>
    <w:rsid w:val="00BC50DB"/>
    <w:rsid w:val="00BC526C"/>
    <w:rsid w:val="00BC5AC3"/>
    <w:rsid w:val="00BC5AE6"/>
    <w:rsid w:val="00BC622A"/>
    <w:rsid w:val="00BD48EC"/>
    <w:rsid w:val="00BE0A78"/>
    <w:rsid w:val="00BE79F0"/>
    <w:rsid w:val="00BF046D"/>
    <w:rsid w:val="00BF46E4"/>
    <w:rsid w:val="00BF5D04"/>
    <w:rsid w:val="00BF6D2F"/>
    <w:rsid w:val="00C0058E"/>
    <w:rsid w:val="00C007D3"/>
    <w:rsid w:val="00C019E6"/>
    <w:rsid w:val="00C0357E"/>
    <w:rsid w:val="00C1305B"/>
    <w:rsid w:val="00C13563"/>
    <w:rsid w:val="00C16CCE"/>
    <w:rsid w:val="00C17E00"/>
    <w:rsid w:val="00C22294"/>
    <w:rsid w:val="00C24035"/>
    <w:rsid w:val="00C25FC2"/>
    <w:rsid w:val="00C31D44"/>
    <w:rsid w:val="00C32A88"/>
    <w:rsid w:val="00C33FDE"/>
    <w:rsid w:val="00C3534F"/>
    <w:rsid w:val="00C3536F"/>
    <w:rsid w:val="00C36222"/>
    <w:rsid w:val="00C364D5"/>
    <w:rsid w:val="00C36810"/>
    <w:rsid w:val="00C404A6"/>
    <w:rsid w:val="00C40A36"/>
    <w:rsid w:val="00C434EA"/>
    <w:rsid w:val="00C44419"/>
    <w:rsid w:val="00C45E7B"/>
    <w:rsid w:val="00C471B1"/>
    <w:rsid w:val="00C54222"/>
    <w:rsid w:val="00C553DC"/>
    <w:rsid w:val="00C55437"/>
    <w:rsid w:val="00C55C1A"/>
    <w:rsid w:val="00C6204C"/>
    <w:rsid w:val="00C627B1"/>
    <w:rsid w:val="00C6316B"/>
    <w:rsid w:val="00C634A9"/>
    <w:rsid w:val="00C6376F"/>
    <w:rsid w:val="00C651B1"/>
    <w:rsid w:val="00C669EE"/>
    <w:rsid w:val="00C67ADC"/>
    <w:rsid w:val="00C73315"/>
    <w:rsid w:val="00C741A3"/>
    <w:rsid w:val="00C74DD6"/>
    <w:rsid w:val="00C76E42"/>
    <w:rsid w:val="00C772FF"/>
    <w:rsid w:val="00C801AF"/>
    <w:rsid w:val="00C80256"/>
    <w:rsid w:val="00C81696"/>
    <w:rsid w:val="00C85C3F"/>
    <w:rsid w:val="00C85E75"/>
    <w:rsid w:val="00C87CA5"/>
    <w:rsid w:val="00C93228"/>
    <w:rsid w:val="00C94239"/>
    <w:rsid w:val="00C95D76"/>
    <w:rsid w:val="00CA068B"/>
    <w:rsid w:val="00CA0F79"/>
    <w:rsid w:val="00CA3A38"/>
    <w:rsid w:val="00CA62E0"/>
    <w:rsid w:val="00CA7F35"/>
    <w:rsid w:val="00CB27FE"/>
    <w:rsid w:val="00CB6BC0"/>
    <w:rsid w:val="00CC1B7C"/>
    <w:rsid w:val="00CC2022"/>
    <w:rsid w:val="00CC314F"/>
    <w:rsid w:val="00CC50DE"/>
    <w:rsid w:val="00CC5948"/>
    <w:rsid w:val="00CC5E82"/>
    <w:rsid w:val="00CC727F"/>
    <w:rsid w:val="00CD1F32"/>
    <w:rsid w:val="00CD6EB8"/>
    <w:rsid w:val="00CD749D"/>
    <w:rsid w:val="00CD7613"/>
    <w:rsid w:val="00CE5BB0"/>
    <w:rsid w:val="00CE5E4B"/>
    <w:rsid w:val="00CF15C3"/>
    <w:rsid w:val="00CF2B6F"/>
    <w:rsid w:val="00CF3BC4"/>
    <w:rsid w:val="00CF6340"/>
    <w:rsid w:val="00D017ED"/>
    <w:rsid w:val="00D02AD9"/>
    <w:rsid w:val="00D07496"/>
    <w:rsid w:val="00D07BFC"/>
    <w:rsid w:val="00D11B53"/>
    <w:rsid w:val="00D12D62"/>
    <w:rsid w:val="00D135F8"/>
    <w:rsid w:val="00D153B1"/>
    <w:rsid w:val="00D1617A"/>
    <w:rsid w:val="00D224FE"/>
    <w:rsid w:val="00D229BA"/>
    <w:rsid w:val="00D2375D"/>
    <w:rsid w:val="00D24C02"/>
    <w:rsid w:val="00D333B4"/>
    <w:rsid w:val="00D3361A"/>
    <w:rsid w:val="00D34A95"/>
    <w:rsid w:val="00D46E89"/>
    <w:rsid w:val="00D47415"/>
    <w:rsid w:val="00D51CD8"/>
    <w:rsid w:val="00D5375E"/>
    <w:rsid w:val="00D55A5F"/>
    <w:rsid w:val="00D624D6"/>
    <w:rsid w:val="00D63084"/>
    <w:rsid w:val="00D63F91"/>
    <w:rsid w:val="00D6493E"/>
    <w:rsid w:val="00D72783"/>
    <w:rsid w:val="00D73C01"/>
    <w:rsid w:val="00D74637"/>
    <w:rsid w:val="00D763E2"/>
    <w:rsid w:val="00D80DD3"/>
    <w:rsid w:val="00D82F24"/>
    <w:rsid w:val="00D834EE"/>
    <w:rsid w:val="00D84A25"/>
    <w:rsid w:val="00D855AE"/>
    <w:rsid w:val="00D86C12"/>
    <w:rsid w:val="00D87F31"/>
    <w:rsid w:val="00D97D00"/>
    <w:rsid w:val="00DA1124"/>
    <w:rsid w:val="00DA24C7"/>
    <w:rsid w:val="00DA2BE7"/>
    <w:rsid w:val="00DA3BFE"/>
    <w:rsid w:val="00DA4044"/>
    <w:rsid w:val="00DA5B9B"/>
    <w:rsid w:val="00DA7A0C"/>
    <w:rsid w:val="00DB33CF"/>
    <w:rsid w:val="00DB34F5"/>
    <w:rsid w:val="00DB6A1E"/>
    <w:rsid w:val="00DC38FE"/>
    <w:rsid w:val="00DC55B7"/>
    <w:rsid w:val="00DC7746"/>
    <w:rsid w:val="00DC79D6"/>
    <w:rsid w:val="00DC7EE4"/>
    <w:rsid w:val="00DD75A3"/>
    <w:rsid w:val="00DE02AE"/>
    <w:rsid w:val="00DE6A0C"/>
    <w:rsid w:val="00DE6C04"/>
    <w:rsid w:val="00DF1D7F"/>
    <w:rsid w:val="00DF2F50"/>
    <w:rsid w:val="00E02FB4"/>
    <w:rsid w:val="00E04ABD"/>
    <w:rsid w:val="00E05B04"/>
    <w:rsid w:val="00E06A1B"/>
    <w:rsid w:val="00E07283"/>
    <w:rsid w:val="00E1165A"/>
    <w:rsid w:val="00E1340C"/>
    <w:rsid w:val="00E2020C"/>
    <w:rsid w:val="00E20571"/>
    <w:rsid w:val="00E207D9"/>
    <w:rsid w:val="00E21651"/>
    <w:rsid w:val="00E235F7"/>
    <w:rsid w:val="00E239D4"/>
    <w:rsid w:val="00E30D66"/>
    <w:rsid w:val="00E313A8"/>
    <w:rsid w:val="00E34BDC"/>
    <w:rsid w:val="00E40B22"/>
    <w:rsid w:val="00E40BD2"/>
    <w:rsid w:val="00E4166F"/>
    <w:rsid w:val="00E41AD2"/>
    <w:rsid w:val="00E42068"/>
    <w:rsid w:val="00E4307C"/>
    <w:rsid w:val="00E4588F"/>
    <w:rsid w:val="00E46DA3"/>
    <w:rsid w:val="00E476C8"/>
    <w:rsid w:val="00E507EC"/>
    <w:rsid w:val="00E57B71"/>
    <w:rsid w:val="00E72FC4"/>
    <w:rsid w:val="00E738B6"/>
    <w:rsid w:val="00E81BC9"/>
    <w:rsid w:val="00E84A2E"/>
    <w:rsid w:val="00E85439"/>
    <w:rsid w:val="00E85D5D"/>
    <w:rsid w:val="00E860E0"/>
    <w:rsid w:val="00E86A1F"/>
    <w:rsid w:val="00E8778C"/>
    <w:rsid w:val="00E9008E"/>
    <w:rsid w:val="00E951D8"/>
    <w:rsid w:val="00E9579B"/>
    <w:rsid w:val="00E96A85"/>
    <w:rsid w:val="00E97275"/>
    <w:rsid w:val="00EA0A0F"/>
    <w:rsid w:val="00EA16DE"/>
    <w:rsid w:val="00EA2090"/>
    <w:rsid w:val="00EA2763"/>
    <w:rsid w:val="00EA406B"/>
    <w:rsid w:val="00EA5776"/>
    <w:rsid w:val="00EB0798"/>
    <w:rsid w:val="00EB0DF7"/>
    <w:rsid w:val="00EB28AE"/>
    <w:rsid w:val="00EB2956"/>
    <w:rsid w:val="00EB2F97"/>
    <w:rsid w:val="00EB34F1"/>
    <w:rsid w:val="00EB40AD"/>
    <w:rsid w:val="00EB4571"/>
    <w:rsid w:val="00EB586E"/>
    <w:rsid w:val="00EB5FC8"/>
    <w:rsid w:val="00EB74A7"/>
    <w:rsid w:val="00EC384E"/>
    <w:rsid w:val="00EC4910"/>
    <w:rsid w:val="00EC54A5"/>
    <w:rsid w:val="00EC580A"/>
    <w:rsid w:val="00ED5A41"/>
    <w:rsid w:val="00ED5D05"/>
    <w:rsid w:val="00ED6B23"/>
    <w:rsid w:val="00ED752F"/>
    <w:rsid w:val="00EE00CA"/>
    <w:rsid w:val="00EE2CC3"/>
    <w:rsid w:val="00EE3577"/>
    <w:rsid w:val="00EE719A"/>
    <w:rsid w:val="00EF0609"/>
    <w:rsid w:val="00EF1963"/>
    <w:rsid w:val="00EF3C6A"/>
    <w:rsid w:val="00EF578B"/>
    <w:rsid w:val="00EF7B95"/>
    <w:rsid w:val="00F033EC"/>
    <w:rsid w:val="00F0438D"/>
    <w:rsid w:val="00F049A1"/>
    <w:rsid w:val="00F04F68"/>
    <w:rsid w:val="00F10A73"/>
    <w:rsid w:val="00F10BD8"/>
    <w:rsid w:val="00F11466"/>
    <w:rsid w:val="00F12670"/>
    <w:rsid w:val="00F14B27"/>
    <w:rsid w:val="00F20118"/>
    <w:rsid w:val="00F23105"/>
    <w:rsid w:val="00F25577"/>
    <w:rsid w:val="00F2700C"/>
    <w:rsid w:val="00F3148D"/>
    <w:rsid w:val="00F31A20"/>
    <w:rsid w:val="00F32D36"/>
    <w:rsid w:val="00F3509E"/>
    <w:rsid w:val="00F35298"/>
    <w:rsid w:val="00F3529E"/>
    <w:rsid w:val="00F41DCE"/>
    <w:rsid w:val="00F443FD"/>
    <w:rsid w:val="00F46F9A"/>
    <w:rsid w:val="00F47D14"/>
    <w:rsid w:val="00F47E37"/>
    <w:rsid w:val="00F50ADC"/>
    <w:rsid w:val="00F50B5E"/>
    <w:rsid w:val="00F53E24"/>
    <w:rsid w:val="00F56D63"/>
    <w:rsid w:val="00F640B6"/>
    <w:rsid w:val="00F647EA"/>
    <w:rsid w:val="00F658FC"/>
    <w:rsid w:val="00F65B15"/>
    <w:rsid w:val="00F70540"/>
    <w:rsid w:val="00F76802"/>
    <w:rsid w:val="00F80E40"/>
    <w:rsid w:val="00F91585"/>
    <w:rsid w:val="00F923D6"/>
    <w:rsid w:val="00F942E9"/>
    <w:rsid w:val="00F95CA6"/>
    <w:rsid w:val="00F9705F"/>
    <w:rsid w:val="00FA029A"/>
    <w:rsid w:val="00FA144A"/>
    <w:rsid w:val="00FA2018"/>
    <w:rsid w:val="00FA3338"/>
    <w:rsid w:val="00FA5B82"/>
    <w:rsid w:val="00FA639E"/>
    <w:rsid w:val="00FA7DF1"/>
    <w:rsid w:val="00FB1B89"/>
    <w:rsid w:val="00FB3817"/>
    <w:rsid w:val="00FC03C8"/>
    <w:rsid w:val="00FC25E4"/>
    <w:rsid w:val="00FC42B9"/>
    <w:rsid w:val="00FC4EF7"/>
    <w:rsid w:val="00FC5564"/>
    <w:rsid w:val="00FC7005"/>
    <w:rsid w:val="00FD38E9"/>
    <w:rsid w:val="00FD56A0"/>
    <w:rsid w:val="00FD5947"/>
    <w:rsid w:val="00FD62E3"/>
    <w:rsid w:val="00FE1DEE"/>
    <w:rsid w:val="00FE705F"/>
    <w:rsid w:val="00FF01FE"/>
    <w:rsid w:val="00FF1448"/>
    <w:rsid w:val="00FF2126"/>
    <w:rsid w:val="00FF25D3"/>
    <w:rsid w:val="00FF4170"/>
    <w:rsid w:val="00FF59FF"/>
    <w:rsid w:val="00FF69BE"/>
    <w:rsid w:val="00FF6DAF"/>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5E7007"/>
  <w15:docId w15:val="{9FB8A505-8DA2-46F1-8113-1A54666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B32D0"/>
    <w:pPr>
      <w:spacing w:before="120" w:after="180" w:line="240" w:lineRule="atLeast"/>
    </w:pPr>
    <w:rPr>
      <w:sz w:val="22"/>
      <w:lang w:eastAsia="en-US"/>
    </w:rPr>
  </w:style>
  <w:style w:type="paragraph" w:styleId="Heading1">
    <w:name w:val="heading 1"/>
    <w:basedOn w:val="Heading2"/>
    <w:next w:val="Normal"/>
    <w:link w:val="Heading1Char"/>
    <w:rsid w:val="00D97D00"/>
    <w:pPr>
      <w:outlineLvl w:val="0"/>
    </w:pPr>
  </w:style>
  <w:style w:type="paragraph" w:styleId="Heading2">
    <w:name w:val="heading 2"/>
    <w:basedOn w:val="Normal"/>
    <w:next w:val="Normal"/>
    <w:link w:val="Heading2Char"/>
    <w:qFormat/>
    <w:rsid w:val="00BC2009"/>
    <w:pPr>
      <w:keepNext/>
      <w:keepLines/>
      <w:numPr>
        <w:numId w:val="5"/>
      </w:numPr>
      <w:spacing w:before="480" w:after="120"/>
      <w:outlineLvl w:val="1"/>
    </w:pPr>
    <w:rPr>
      <w:rFonts w:ascii="Arial" w:eastAsia="Times New Roman" w:hAnsi="Arial"/>
      <w:b/>
      <w:bCs/>
      <w:sz w:val="32"/>
      <w:szCs w:val="32"/>
    </w:rPr>
  </w:style>
  <w:style w:type="paragraph" w:styleId="Heading3">
    <w:name w:val="heading 3"/>
    <w:basedOn w:val="Normal"/>
    <w:next w:val="Normal"/>
    <w:link w:val="Heading3Char"/>
    <w:qFormat/>
    <w:rsid w:val="00BC2009"/>
    <w:pPr>
      <w:keepNext/>
      <w:keepLines/>
      <w:numPr>
        <w:ilvl w:val="1"/>
        <w:numId w:val="5"/>
      </w:numPr>
      <w:spacing w:before="480" w:after="120"/>
      <w:ind w:left="576"/>
      <w:outlineLvl w:val="2"/>
    </w:pPr>
    <w:rPr>
      <w:rFonts w:ascii="Arial" w:eastAsia="Times New Roman" w:hAnsi="Arial"/>
      <w:b/>
      <w:bCs/>
      <w:sz w:val="28"/>
      <w:szCs w:val="32"/>
    </w:rPr>
  </w:style>
  <w:style w:type="paragraph" w:styleId="Heading4">
    <w:name w:val="heading 4"/>
    <w:basedOn w:val="Normal"/>
    <w:next w:val="Normal"/>
    <w:link w:val="Heading4Char"/>
    <w:qFormat/>
    <w:rsid w:val="00E97275"/>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6C57B7"/>
    <w:pPr>
      <w:keepNext/>
      <w:keepLines/>
      <w:spacing w:before="240" w:after="120"/>
      <w:ind w:left="1008" w:hanging="1008"/>
      <w:outlineLvl w:val="4"/>
    </w:pPr>
    <w:rPr>
      <w:rFonts w:eastAsia="Times New Roman"/>
      <w:b/>
      <w:bCs/>
      <w:i/>
      <w:color w:val="001523"/>
      <w:szCs w:val="26"/>
    </w:rPr>
  </w:style>
  <w:style w:type="paragraph" w:styleId="Heading6">
    <w:name w:val="heading 6"/>
    <w:basedOn w:val="Normal"/>
    <w:next w:val="Normal"/>
    <w:link w:val="Heading6Char"/>
    <w:uiPriority w:val="9"/>
    <w:rsid w:val="00B138BE"/>
    <w:pPr>
      <w:keepNext/>
      <w:keepLines/>
      <w:numPr>
        <w:ilvl w:val="5"/>
        <w:numId w:val="5"/>
      </w:numPr>
      <w:spacing w:before="240" w:after="120"/>
      <w:outlineLvl w:val="5"/>
    </w:pPr>
    <w:rPr>
      <w:rFonts w:eastAsia="Times New Roman"/>
      <w:b/>
      <w:bCs/>
      <w:i/>
      <w:szCs w:val="21"/>
    </w:rPr>
  </w:style>
  <w:style w:type="paragraph" w:styleId="Heading7">
    <w:name w:val="heading 7"/>
    <w:basedOn w:val="Normal"/>
    <w:next w:val="Normal"/>
    <w:link w:val="Heading7Char"/>
    <w:uiPriority w:val="9"/>
    <w:rsid w:val="00B138BE"/>
    <w:pPr>
      <w:keepNext/>
      <w:keepLines/>
      <w:numPr>
        <w:ilvl w:val="6"/>
        <w:numId w:val="5"/>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430AAA"/>
    <w:pPr>
      <w:keepNext/>
      <w:keepLines/>
      <w:numPr>
        <w:ilvl w:val="7"/>
        <w:numId w:val="5"/>
      </w:numPr>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430AAA"/>
    <w:pPr>
      <w:keepNext/>
      <w:keepLines/>
      <w:numPr>
        <w:ilvl w:val="8"/>
        <w:numId w:val="5"/>
      </w:numPr>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7D00"/>
    <w:rPr>
      <w:rFonts w:ascii="Arial" w:eastAsia="Times New Roman" w:hAnsi="Arial"/>
      <w:b/>
      <w:bCs/>
      <w:sz w:val="32"/>
      <w:szCs w:val="32"/>
      <w:lang w:eastAsia="en-US"/>
    </w:rPr>
  </w:style>
  <w:style w:type="character" w:customStyle="1" w:styleId="Heading2Char">
    <w:name w:val="Heading 2 Char"/>
    <w:basedOn w:val="DefaultParagraphFont"/>
    <w:link w:val="Heading2"/>
    <w:rsid w:val="00BC2009"/>
    <w:rPr>
      <w:rFonts w:ascii="Arial" w:eastAsia="Times New Roman" w:hAnsi="Arial"/>
      <w:b/>
      <w:bCs/>
      <w:sz w:val="32"/>
      <w:szCs w:val="32"/>
      <w:lang w:eastAsia="en-US"/>
    </w:rPr>
  </w:style>
  <w:style w:type="character" w:customStyle="1" w:styleId="Heading3Char">
    <w:name w:val="Heading 3 Char"/>
    <w:basedOn w:val="DefaultParagraphFont"/>
    <w:link w:val="Heading3"/>
    <w:rsid w:val="00BC2009"/>
    <w:rPr>
      <w:rFonts w:ascii="Arial" w:eastAsia="Times New Roman" w:hAnsi="Arial"/>
      <w:b/>
      <w:bCs/>
      <w:sz w:val="28"/>
      <w:szCs w:val="32"/>
      <w:lang w:eastAsia="en-US"/>
    </w:rPr>
  </w:style>
  <w:style w:type="paragraph" w:customStyle="1" w:styleId="Figuredescription">
    <w:name w:val="Figure description"/>
    <w:basedOn w:val="Normal"/>
    <w:next w:val="Normal"/>
    <w:rsid w:val="00CA62E0"/>
    <w:pPr>
      <w:spacing w:after="240" w:line="180" w:lineRule="atLeast"/>
    </w:pPr>
    <w:rPr>
      <w:sz w:val="18"/>
    </w:rPr>
  </w:style>
  <w:style w:type="paragraph" w:customStyle="1" w:styleId="Figuretitle">
    <w:name w:val="Figure title"/>
    <w:basedOn w:val="Normal"/>
    <w:next w:val="Normal"/>
    <w:rsid w:val="00CA62E0"/>
    <w:pPr>
      <w:outlineLvl w:val="4"/>
    </w:pPr>
    <w:rPr>
      <w:b/>
    </w:rPr>
  </w:style>
  <w:style w:type="paragraph" w:styleId="DocumentMap">
    <w:name w:val="Document Map"/>
    <w:basedOn w:val="Normal"/>
    <w:link w:val="DocumentMapChar"/>
    <w:uiPriority w:val="99"/>
    <w:semiHidden/>
    <w:unhideWhenUsed/>
    <w:rsid w:val="001B5CE3"/>
    <w:pPr>
      <w:spacing w:before="0" w:after="0" w:line="240" w:lineRule="auto"/>
    </w:pPr>
    <w:rPr>
      <w:rFonts w:ascii="Tahoma" w:hAnsi="Tahoma" w:cs="Tahoma"/>
      <w:sz w:val="16"/>
      <w:szCs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DocumentMapChar">
    <w:name w:val="Document Map Char"/>
    <w:basedOn w:val="DefaultParagraphFont"/>
    <w:link w:val="DocumentMap"/>
    <w:uiPriority w:val="99"/>
    <w:semiHidden/>
    <w:rsid w:val="001B5CE3"/>
    <w:rPr>
      <w:rFonts w:ascii="Tahoma" w:hAnsi="Tahoma" w:cs="Tahoma"/>
      <w:sz w:val="16"/>
      <w:szCs w:val="16"/>
      <w:lang w:eastAsia="en-US"/>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E97275"/>
    <w:rPr>
      <w:rFonts w:ascii="Arial" w:hAnsi="Arial"/>
      <w:b/>
      <w:bCs/>
      <w:sz w:val="26"/>
      <w:szCs w:val="26"/>
      <w:lang w:eastAsia="en-US"/>
    </w:rPr>
  </w:style>
  <w:style w:type="character" w:styleId="FollowedHyperlink">
    <w:name w:val="FollowedHyperlink"/>
    <w:basedOn w:val="DefaultParagraphFont"/>
    <w:semiHidden/>
    <w:unhideWhenUsed/>
    <w:rsid w:val="006B3CF2"/>
    <w:rPr>
      <w:color w:val="800080"/>
      <w:u w:val="single"/>
    </w:rPr>
  </w:style>
  <w:style w:type="paragraph" w:styleId="Footer">
    <w:name w:val="footer"/>
    <w:basedOn w:val="Normal"/>
    <w:link w:val="FooterChar"/>
    <w:uiPriority w:val="99"/>
    <w:rsid w:val="00B138BE"/>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B138BE"/>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EB74A7"/>
    <w:pPr>
      <w:pBdr>
        <w:bottom w:val="none" w:sz="0" w:space="0" w:color="auto"/>
      </w:pBdr>
      <w:spacing w:before="240" w:after="120"/>
    </w:pPr>
  </w:style>
  <w:style w:type="character" w:customStyle="1" w:styleId="Heading5Char">
    <w:name w:val="Heading 5 Char"/>
    <w:basedOn w:val="DefaultParagraphFont"/>
    <w:link w:val="Heading5"/>
    <w:uiPriority w:val="9"/>
    <w:rsid w:val="006C57B7"/>
    <w:rPr>
      <w:rFonts w:eastAsia="Times New Roman"/>
      <w:b/>
      <w:bCs/>
      <w:i/>
      <w:color w:val="001523"/>
      <w:sz w:val="22"/>
      <w:szCs w:val="26"/>
      <w:lang w:eastAsia="en-US"/>
    </w:rPr>
  </w:style>
  <w:style w:type="character" w:customStyle="1" w:styleId="Heading6Char">
    <w:name w:val="Heading 6 Char"/>
    <w:basedOn w:val="DefaultParagraphFont"/>
    <w:link w:val="Heading6"/>
    <w:uiPriority w:val="9"/>
    <w:rsid w:val="00F3148D"/>
    <w:rPr>
      <w:rFonts w:eastAsia="Times New Roman"/>
      <w:b/>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i/>
      <w:sz w:val="22"/>
      <w:szCs w:val="22"/>
      <w:lang w:eastAsia="en-US"/>
    </w:rPr>
  </w:style>
  <w:style w:type="character" w:styleId="Hyperlink">
    <w:name w:val="Hyperlink"/>
    <w:aliases w:val="OECD Hyperlink"/>
    <w:basedOn w:val="DefaultParagraphFont"/>
    <w:uiPriority w:val="99"/>
    <w:unhideWhenUsed/>
    <w:rsid w:val="00B138BE"/>
    <w:rPr>
      <w:color w:val="0000FF"/>
      <w:u w:val="single"/>
    </w:rPr>
  </w:style>
  <w:style w:type="paragraph" w:customStyle="1" w:styleId="LegalCopy">
    <w:name w:val="Legal Copy"/>
    <w:basedOn w:val="Footer"/>
    <w:unhideWhenUsed/>
    <w:rsid w:val="006B3CF2"/>
  </w:style>
  <w:style w:type="paragraph" w:customStyle="1" w:styleId="LegalSubheading">
    <w:name w:val="Legal Subheading"/>
    <w:basedOn w:val="Footer"/>
    <w:unhideWhenUsed/>
    <w:rsid w:val="006B3CF2"/>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E313A8"/>
    <w:pPr>
      <w:numPr>
        <w:numId w:val="3"/>
      </w:numPr>
    </w:pPr>
  </w:style>
  <w:style w:type="paragraph" w:styleId="ListBullet2">
    <w:name w:val="List Bullet 2"/>
    <w:basedOn w:val="Normal"/>
    <w:uiPriority w:val="2"/>
    <w:qFormat/>
    <w:rsid w:val="00E313A8"/>
    <w:pPr>
      <w:numPr>
        <w:ilvl w:val="1"/>
        <w:numId w:val="3"/>
      </w:numPr>
    </w:pPr>
  </w:style>
  <w:style w:type="paragraph" w:styleId="ListBullet3">
    <w:name w:val="List Bullet 3"/>
    <w:basedOn w:val="Normal"/>
    <w:uiPriority w:val="2"/>
    <w:qFormat/>
    <w:rsid w:val="00E313A8"/>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E313A8"/>
    <w:pPr>
      <w:numPr>
        <w:numId w:val="4"/>
      </w:numPr>
    </w:pPr>
  </w:style>
  <w:style w:type="paragraph" w:customStyle="1" w:styleId="Numberbullet2">
    <w:name w:val="Number bullet 2"/>
    <w:basedOn w:val="ListBullet2"/>
    <w:qFormat/>
    <w:rsid w:val="00E313A8"/>
    <w:pPr>
      <w:numPr>
        <w:numId w:val="4"/>
      </w:numPr>
      <w:ind w:left="850" w:hanging="425"/>
    </w:pPr>
  </w:style>
  <w:style w:type="paragraph" w:customStyle="1" w:styleId="Numberbullet3">
    <w:name w:val="Number bullet 3"/>
    <w:basedOn w:val="ListBullet3"/>
    <w:qFormat/>
    <w:rsid w:val="00E313A8"/>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B138BE"/>
    <w:pPr>
      <w:spacing w:before="40" w:after="0"/>
      <w:ind w:left="170" w:hanging="170"/>
    </w:pPr>
    <w:rPr>
      <w:sz w:val="19"/>
    </w:rPr>
  </w:style>
  <w:style w:type="paragraph" w:styleId="Subtitle">
    <w:name w:val="Subtitle"/>
    <w:basedOn w:val="Normal"/>
    <w:next w:val="Normal"/>
    <w:link w:val="SubtitleChar"/>
    <w:uiPriority w:val="11"/>
    <w:unhideWhenUsed/>
    <w:rsid w:val="001F04D7"/>
    <w:pPr>
      <w:numPr>
        <w:ilvl w:val="1"/>
      </w:numPr>
      <w:spacing w:after="12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1F04D7"/>
    <w:rPr>
      <w:rFonts w:ascii="Arial" w:eastAsia="Times New Roman" w:hAnsi="Arial"/>
      <w:bCs/>
      <w:iCs/>
      <w:color w:val="006DA7"/>
      <w:sz w:val="40"/>
      <w:szCs w:val="24"/>
      <w:lang w:eastAsia="en-US"/>
    </w:rPr>
  </w:style>
  <w:style w:type="table" w:styleId="TableGrid">
    <w:name w:val="Table Grid"/>
    <w:basedOn w:val="TableNormal"/>
    <w:uiPriority w:val="3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E860E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E860E0"/>
    <w:pPr>
      <w:keepNext/>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styleId="Title">
    <w:name w:val="Title"/>
    <w:next w:val="Normal"/>
    <w:link w:val="TitleChar"/>
    <w:uiPriority w:val="10"/>
    <w:unhideWhenUsed/>
    <w:rsid w:val="009F20E4"/>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9F20E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D3724"/>
    <w:pPr>
      <w:keepNext/>
      <w:keepLines/>
      <w:tabs>
        <w:tab w:val="right" w:leader="underscore" w:pos="8505"/>
      </w:tabs>
      <w:spacing w:after="200"/>
    </w:pPr>
    <w:rPr>
      <w:rFonts w:ascii="Arial" w:hAnsi="Arial"/>
      <w:b/>
    </w:rPr>
  </w:style>
  <w:style w:type="paragraph" w:styleId="TOC2">
    <w:name w:val="toc 2"/>
    <w:basedOn w:val="Normal"/>
    <w:next w:val="Normal"/>
    <w:uiPriority w:val="39"/>
    <w:unhideWhenUsed/>
    <w:rsid w:val="008D3724"/>
    <w:pPr>
      <w:keepNext/>
      <w:keepLines/>
      <w:tabs>
        <w:tab w:val="right" w:leader="underscore" w:pos="8505"/>
      </w:tabs>
      <w:spacing w:after="100"/>
      <w:ind w:left="425"/>
    </w:pPr>
  </w:style>
  <w:style w:type="paragraph" w:styleId="TOC3">
    <w:name w:val="toc 3"/>
    <w:basedOn w:val="Normal"/>
    <w:next w:val="Normal"/>
    <w:uiPriority w:val="39"/>
    <w:unhideWhenUsed/>
    <w:rsid w:val="008D3724"/>
    <w:pPr>
      <w:keepNext/>
      <w:keepLines/>
      <w:tabs>
        <w:tab w:val="right" w:leader="hyphen" w:pos="8505"/>
      </w:tabs>
      <w:spacing w:after="100"/>
      <w:ind w:left="851"/>
    </w:pPr>
    <w:rPr>
      <w:sz w:val="20"/>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381810"/>
    <w:pPr>
      <w:keepLines/>
      <w:spacing w:before="0" w:after="0"/>
    </w:pPr>
    <w:rPr>
      <w:sz w:val="20"/>
    </w:rPr>
  </w:style>
  <w:style w:type="character" w:customStyle="1" w:styleId="FootnoteTextChar">
    <w:name w:val="Footnote Text Char"/>
    <w:basedOn w:val="DefaultParagraphFont"/>
    <w:link w:val="FootnoteText"/>
    <w:rsid w:val="00381810"/>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NonTOCheading2">
    <w:name w:val="Non TOC heading 2"/>
    <w:basedOn w:val="Normal"/>
    <w:next w:val="Normal"/>
    <w:rsid w:val="008D3724"/>
    <w:pPr>
      <w:keepNext/>
      <w:keepLines/>
      <w:spacing w:before="360"/>
    </w:pPr>
    <w:rPr>
      <w:rFonts w:ascii="Arial" w:hAnsi="Arial"/>
      <w:b/>
    </w:rPr>
  </w:style>
  <w:style w:type="paragraph" w:customStyle="1" w:styleId="Quotation">
    <w:name w:val="Quotation"/>
    <w:basedOn w:val="Normal"/>
    <w:next w:val="Normal"/>
    <w:uiPriority w:val="4"/>
    <w:qFormat/>
    <w:rsid w:val="00B138BE"/>
    <w:pPr>
      <w:ind w:left="425"/>
    </w:pPr>
    <w:rPr>
      <w:sz w:val="20"/>
    </w:rPr>
  </w:style>
  <w:style w:type="paragraph" w:customStyle="1" w:styleId="Tabledescription">
    <w:name w:val="Table description"/>
    <w:basedOn w:val="Figuredescription"/>
    <w:next w:val="Normal"/>
    <w:rsid w:val="00CA62E0"/>
  </w:style>
  <w:style w:type="paragraph" w:customStyle="1" w:styleId="Tabletitle">
    <w:name w:val="Table title"/>
    <w:basedOn w:val="Normal"/>
    <w:next w:val="Normal"/>
    <w:rsid w:val="00041297"/>
    <w:pPr>
      <w:keepNext/>
      <w:outlineLvl w:val="4"/>
    </w:pPr>
    <w:rPr>
      <w:b/>
    </w:rPr>
  </w:style>
  <w:style w:type="paragraph" w:styleId="TOC4">
    <w:name w:val="toc 4"/>
    <w:basedOn w:val="Normal"/>
    <w:next w:val="Normal"/>
    <w:autoRedefine/>
    <w:uiPriority w:val="39"/>
    <w:semiHidden/>
    <w:unhideWhenUsed/>
    <w:rsid w:val="00B138BE"/>
    <w:pPr>
      <w:tabs>
        <w:tab w:val="right" w:leader="hyphen" w:pos="8505"/>
      </w:tabs>
      <w:spacing w:after="100"/>
      <w:ind w:left="1276"/>
    </w:pPr>
  </w:style>
  <w:style w:type="paragraph" w:styleId="TOC5">
    <w:name w:val="toc 5"/>
    <w:basedOn w:val="Normal"/>
    <w:next w:val="Normal"/>
    <w:autoRedefine/>
    <w:uiPriority w:val="39"/>
    <w:semiHidden/>
    <w:unhideWhenUsed/>
    <w:rsid w:val="00B138BE"/>
    <w:pPr>
      <w:tabs>
        <w:tab w:val="right" w:leader="dot" w:pos="8505"/>
      </w:tabs>
      <w:spacing w:after="100"/>
      <w:ind w:left="1701"/>
    </w:pPr>
    <w:rPr>
      <w:noProof/>
    </w:rPr>
  </w:style>
  <w:style w:type="paragraph" w:styleId="TOC6">
    <w:name w:val="toc 6"/>
    <w:basedOn w:val="Normal"/>
    <w:next w:val="Normal"/>
    <w:autoRedefine/>
    <w:uiPriority w:val="39"/>
    <w:semiHidden/>
    <w:unhideWhenUsed/>
    <w:rsid w:val="00B138BE"/>
    <w:pPr>
      <w:tabs>
        <w:tab w:val="right" w:pos="8505"/>
      </w:tabs>
      <w:spacing w:after="100"/>
      <w:ind w:left="2126"/>
    </w:pPr>
  </w:style>
  <w:style w:type="paragraph" w:styleId="EndnoteText">
    <w:name w:val="endnote text"/>
    <w:basedOn w:val="Normal"/>
    <w:link w:val="EndnoteTextChar"/>
    <w:semiHidden/>
    <w:unhideWhenUsed/>
    <w:rsid w:val="007F17BD"/>
    <w:pPr>
      <w:keepLines/>
      <w:spacing w:before="0" w:after="0"/>
    </w:pPr>
    <w:rPr>
      <w:rFonts w:asciiTheme="minorHAnsi" w:hAnsiTheme="minorHAnsi" w:cstheme="minorBidi"/>
      <w:sz w:val="20"/>
      <w:szCs w:val="22"/>
    </w:rPr>
  </w:style>
  <w:style w:type="character" w:customStyle="1" w:styleId="EndnoteTextChar">
    <w:name w:val="Endnote Text Char"/>
    <w:basedOn w:val="DefaultParagraphFont"/>
    <w:link w:val="EndnoteText"/>
    <w:semiHidden/>
    <w:rsid w:val="00732B06"/>
    <w:rPr>
      <w:rFonts w:asciiTheme="minorHAnsi" w:hAnsiTheme="minorHAnsi" w:cstheme="minorBidi"/>
      <w:szCs w:val="22"/>
      <w:lang w:eastAsia="en-US"/>
    </w:rPr>
  </w:style>
  <w:style w:type="paragraph" w:styleId="ListParagraph">
    <w:name w:val="List Paragraph"/>
    <w:basedOn w:val="Normal"/>
    <w:uiPriority w:val="34"/>
    <w:qFormat/>
    <w:rsid w:val="008D3FCE"/>
    <w:pPr>
      <w:ind w:left="720"/>
      <w:contextualSpacing/>
    </w:pPr>
  </w:style>
  <w:style w:type="character" w:customStyle="1" w:styleId="Heading8Char">
    <w:name w:val="Heading 8 Char"/>
    <w:basedOn w:val="DefaultParagraphFont"/>
    <w:link w:val="Heading8"/>
    <w:uiPriority w:val="9"/>
    <w:semiHidden/>
    <w:rsid w:val="00430AAA"/>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430AAA"/>
    <w:rPr>
      <w:rFonts w:asciiTheme="majorHAnsi" w:eastAsiaTheme="majorEastAsia" w:hAnsiTheme="majorHAnsi" w:cstheme="majorBidi"/>
      <w:i/>
      <w:iCs/>
      <w:color w:val="0070B5" w:themeColor="text1" w:themeTint="BF"/>
      <w:lang w:eastAsia="en-US"/>
    </w:rPr>
  </w:style>
  <w:style w:type="character" w:styleId="CommentReference">
    <w:name w:val="annotation reference"/>
    <w:basedOn w:val="DefaultParagraphFont"/>
    <w:uiPriority w:val="99"/>
    <w:semiHidden/>
    <w:unhideWhenUsed/>
    <w:rsid w:val="00A342E4"/>
    <w:rPr>
      <w:sz w:val="16"/>
      <w:szCs w:val="16"/>
    </w:rPr>
  </w:style>
  <w:style w:type="paragraph" w:styleId="CommentText">
    <w:name w:val="annotation text"/>
    <w:basedOn w:val="Normal"/>
    <w:link w:val="CommentTextChar"/>
    <w:uiPriority w:val="99"/>
    <w:unhideWhenUsed/>
    <w:rsid w:val="00A342E4"/>
    <w:pPr>
      <w:spacing w:line="240" w:lineRule="auto"/>
    </w:pPr>
    <w:rPr>
      <w:sz w:val="20"/>
    </w:rPr>
  </w:style>
  <w:style w:type="character" w:customStyle="1" w:styleId="CommentTextChar">
    <w:name w:val="Comment Text Char"/>
    <w:basedOn w:val="DefaultParagraphFont"/>
    <w:link w:val="CommentText"/>
    <w:uiPriority w:val="99"/>
    <w:rsid w:val="00A342E4"/>
    <w:rPr>
      <w:lang w:eastAsia="en-US"/>
    </w:rPr>
  </w:style>
  <w:style w:type="paragraph" w:styleId="CommentSubject">
    <w:name w:val="annotation subject"/>
    <w:basedOn w:val="CommentText"/>
    <w:next w:val="CommentText"/>
    <w:link w:val="CommentSubjectChar"/>
    <w:uiPriority w:val="99"/>
    <w:semiHidden/>
    <w:unhideWhenUsed/>
    <w:rsid w:val="00A342E4"/>
    <w:rPr>
      <w:b/>
      <w:bCs/>
    </w:rPr>
  </w:style>
  <w:style w:type="character" w:customStyle="1" w:styleId="CommentSubjectChar">
    <w:name w:val="Comment Subject Char"/>
    <w:basedOn w:val="CommentTextChar"/>
    <w:link w:val="CommentSubject"/>
    <w:uiPriority w:val="99"/>
    <w:semiHidden/>
    <w:rsid w:val="00A342E4"/>
    <w:rPr>
      <w:b/>
      <w:bCs/>
      <w:lang w:eastAsia="en-US"/>
    </w:rPr>
  </w:style>
  <w:style w:type="table" w:styleId="LightList-Accent1">
    <w:name w:val="Light List Accent 1"/>
    <w:basedOn w:val="TableNormal"/>
    <w:uiPriority w:val="61"/>
    <w:rsid w:val="00D47415"/>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semiHidden/>
    <w:unhideWhenUsed/>
    <w:rsid w:val="008D3724"/>
    <w:pPr>
      <w:spacing w:after="100"/>
      <w:ind w:left="1760"/>
    </w:pPr>
  </w:style>
  <w:style w:type="paragraph" w:customStyle="1" w:styleId="TableTitle0">
    <w:name w:val="Table Title"/>
    <w:basedOn w:val="Normal"/>
    <w:next w:val="Normal"/>
    <w:qFormat/>
    <w:rsid w:val="00FA7DF1"/>
    <w:pPr>
      <w:spacing w:before="180"/>
    </w:pPr>
    <w:rPr>
      <w:b/>
    </w:rPr>
  </w:style>
  <w:style w:type="character" w:styleId="Strong">
    <w:name w:val="Strong"/>
    <w:basedOn w:val="DefaultParagraphFont"/>
    <w:uiPriority w:val="22"/>
    <w:qFormat/>
    <w:rsid w:val="00FA7DF1"/>
    <w:rPr>
      <w:b/>
      <w:bCs/>
    </w:rPr>
  </w:style>
  <w:style w:type="paragraph" w:customStyle="1" w:styleId="Default">
    <w:name w:val="Default"/>
    <w:rsid w:val="00AE6155"/>
    <w:pPr>
      <w:autoSpaceDE w:val="0"/>
      <w:autoSpaceDN w:val="0"/>
      <w:adjustRightInd w:val="0"/>
    </w:pPr>
    <w:rPr>
      <w:rFonts w:ascii="Times New Roman" w:hAnsi="Times New Roman"/>
      <w:color w:val="000000"/>
      <w:sz w:val="24"/>
      <w:szCs w:val="24"/>
    </w:rPr>
  </w:style>
  <w:style w:type="character" w:styleId="EndnoteReference">
    <w:name w:val="endnote reference"/>
    <w:basedOn w:val="DefaultParagraphFont"/>
    <w:uiPriority w:val="99"/>
    <w:semiHidden/>
    <w:unhideWhenUsed/>
    <w:rsid w:val="00871E49"/>
    <w:rPr>
      <w:vertAlign w:val="superscript"/>
    </w:rPr>
  </w:style>
  <w:style w:type="character" w:customStyle="1" w:styleId="fontstyle01">
    <w:name w:val="fontstyle01"/>
    <w:basedOn w:val="DefaultParagraphFont"/>
    <w:rsid w:val="002B3304"/>
    <w:rPr>
      <w:rFonts w:ascii="Cambria" w:hAnsi="Cambria" w:hint="default"/>
      <w:b w:val="0"/>
      <w:bCs w:val="0"/>
      <w:i w:val="0"/>
      <w:iCs w:val="0"/>
      <w:color w:val="000000"/>
      <w:sz w:val="22"/>
      <w:szCs w:val="22"/>
    </w:rPr>
  </w:style>
  <w:style w:type="character" w:customStyle="1" w:styleId="fontstyle21">
    <w:name w:val="fontstyle21"/>
    <w:basedOn w:val="DefaultParagraphFont"/>
    <w:rsid w:val="002B3304"/>
    <w:rPr>
      <w:rFonts w:ascii="Cambria-Bold" w:hAnsi="Cambria-Bold" w:hint="default"/>
      <w:b/>
      <w:bCs/>
      <w:i w:val="0"/>
      <w:iCs w:val="0"/>
      <w:color w:val="000000"/>
      <w:sz w:val="22"/>
      <w:szCs w:val="22"/>
    </w:rPr>
  </w:style>
  <w:style w:type="paragraph" w:styleId="Revision">
    <w:name w:val="Revision"/>
    <w:hidden/>
    <w:uiPriority w:val="99"/>
    <w:semiHidden/>
    <w:rsid w:val="002C48BF"/>
    <w:rPr>
      <w:sz w:val="22"/>
      <w:lang w:eastAsia="en-US"/>
    </w:rPr>
  </w:style>
  <w:style w:type="paragraph" w:customStyle="1" w:styleId="ListBulleta">
    <w:name w:val="List Bullet a)"/>
    <w:basedOn w:val="ListBullet"/>
    <w:uiPriority w:val="1"/>
    <w:qFormat/>
    <w:rsid w:val="005302F5"/>
    <w:pPr>
      <w:numPr>
        <w:numId w:val="6"/>
      </w:numPr>
    </w:pPr>
  </w:style>
  <w:style w:type="paragraph" w:customStyle="1" w:styleId="ListBulleti">
    <w:name w:val="List Bullet i)"/>
    <w:basedOn w:val="ListBullet"/>
    <w:uiPriority w:val="1"/>
    <w:qFormat/>
    <w:rsid w:val="005302F5"/>
    <w:pPr>
      <w:numPr>
        <w:numId w:val="7"/>
      </w:numPr>
    </w:pPr>
  </w:style>
  <w:style w:type="character" w:customStyle="1" w:styleId="Style1">
    <w:name w:val="Style1"/>
    <w:basedOn w:val="DefaultParagraphFont"/>
    <w:uiPriority w:val="1"/>
    <w:rsid w:val="005A5916"/>
    <w:rPr>
      <w:rFonts w:ascii="Cambria" w:hAnsi="Cambria"/>
      <w:sz w:val="22"/>
    </w:rPr>
  </w:style>
  <w:style w:type="paragraph" w:styleId="NormalWeb">
    <w:name w:val="Normal (Web)"/>
    <w:basedOn w:val="Normal"/>
    <w:uiPriority w:val="99"/>
    <w:semiHidden/>
    <w:unhideWhenUsed/>
    <w:rsid w:val="004B545E"/>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810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86088">
      <w:bodyDiv w:val="1"/>
      <w:marLeft w:val="0"/>
      <w:marRight w:val="0"/>
      <w:marTop w:val="0"/>
      <w:marBottom w:val="0"/>
      <w:divBdr>
        <w:top w:val="none" w:sz="0" w:space="0" w:color="auto"/>
        <w:left w:val="none" w:sz="0" w:space="0" w:color="auto"/>
        <w:bottom w:val="none" w:sz="0" w:space="0" w:color="auto"/>
        <w:right w:val="none" w:sz="0" w:space="0" w:color="auto"/>
      </w:divBdr>
    </w:div>
    <w:div w:id="285044306">
      <w:bodyDiv w:val="1"/>
      <w:marLeft w:val="0"/>
      <w:marRight w:val="0"/>
      <w:marTop w:val="0"/>
      <w:marBottom w:val="0"/>
      <w:divBdr>
        <w:top w:val="none" w:sz="0" w:space="0" w:color="auto"/>
        <w:left w:val="none" w:sz="0" w:space="0" w:color="auto"/>
        <w:bottom w:val="none" w:sz="0" w:space="0" w:color="auto"/>
        <w:right w:val="none" w:sz="0" w:space="0" w:color="auto"/>
      </w:divBdr>
    </w:div>
    <w:div w:id="329842853">
      <w:bodyDiv w:val="1"/>
      <w:marLeft w:val="0"/>
      <w:marRight w:val="0"/>
      <w:marTop w:val="0"/>
      <w:marBottom w:val="0"/>
      <w:divBdr>
        <w:top w:val="none" w:sz="0" w:space="0" w:color="auto"/>
        <w:left w:val="none" w:sz="0" w:space="0" w:color="auto"/>
        <w:bottom w:val="none" w:sz="0" w:space="0" w:color="auto"/>
        <w:right w:val="none" w:sz="0" w:space="0" w:color="auto"/>
      </w:divBdr>
    </w:div>
    <w:div w:id="385181314">
      <w:bodyDiv w:val="1"/>
      <w:marLeft w:val="0"/>
      <w:marRight w:val="0"/>
      <w:marTop w:val="0"/>
      <w:marBottom w:val="0"/>
      <w:divBdr>
        <w:top w:val="none" w:sz="0" w:space="0" w:color="auto"/>
        <w:left w:val="none" w:sz="0" w:space="0" w:color="auto"/>
        <w:bottom w:val="none" w:sz="0" w:space="0" w:color="auto"/>
        <w:right w:val="none" w:sz="0" w:space="0" w:color="auto"/>
      </w:divBdr>
    </w:div>
    <w:div w:id="1069771000">
      <w:bodyDiv w:val="1"/>
      <w:marLeft w:val="0"/>
      <w:marRight w:val="0"/>
      <w:marTop w:val="0"/>
      <w:marBottom w:val="0"/>
      <w:divBdr>
        <w:top w:val="none" w:sz="0" w:space="0" w:color="auto"/>
        <w:left w:val="none" w:sz="0" w:space="0" w:color="auto"/>
        <w:bottom w:val="none" w:sz="0" w:space="0" w:color="auto"/>
        <w:right w:val="none" w:sz="0" w:space="0" w:color="auto"/>
      </w:divBdr>
    </w:div>
    <w:div w:id="1155031919">
      <w:bodyDiv w:val="1"/>
      <w:marLeft w:val="0"/>
      <w:marRight w:val="0"/>
      <w:marTop w:val="0"/>
      <w:marBottom w:val="0"/>
      <w:divBdr>
        <w:top w:val="none" w:sz="0" w:space="0" w:color="auto"/>
        <w:left w:val="none" w:sz="0" w:space="0" w:color="auto"/>
        <w:bottom w:val="none" w:sz="0" w:space="0" w:color="auto"/>
        <w:right w:val="none" w:sz="0" w:space="0" w:color="auto"/>
      </w:divBdr>
    </w:div>
    <w:div w:id="1243221460">
      <w:bodyDiv w:val="1"/>
      <w:marLeft w:val="0"/>
      <w:marRight w:val="0"/>
      <w:marTop w:val="0"/>
      <w:marBottom w:val="0"/>
      <w:divBdr>
        <w:top w:val="none" w:sz="0" w:space="0" w:color="auto"/>
        <w:left w:val="none" w:sz="0" w:space="0" w:color="auto"/>
        <w:bottom w:val="none" w:sz="0" w:space="0" w:color="auto"/>
        <w:right w:val="none" w:sz="0" w:space="0" w:color="auto"/>
      </w:divBdr>
    </w:div>
    <w:div w:id="1620137246">
      <w:bodyDiv w:val="1"/>
      <w:marLeft w:val="0"/>
      <w:marRight w:val="0"/>
      <w:marTop w:val="0"/>
      <w:marBottom w:val="0"/>
      <w:divBdr>
        <w:top w:val="none" w:sz="0" w:space="0" w:color="auto"/>
        <w:left w:val="none" w:sz="0" w:space="0" w:color="auto"/>
        <w:bottom w:val="none" w:sz="0" w:space="0" w:color="auto"/>
        <w:right w:val="none" w:sz="0" w:space="0" w:color="auto"/>
      </w:divBdr>
    </w:div>
    <w:div w:id="1748502856">
      <w:bodyDiv w:val="1"/>
      <w:marLeft w:val="0"/>
      <w:marRight w:val="0"/>
      <w:marTop w:val="0"/>
      <w:marBottom w:val="0"/>
      <w:divBdr>
        <w:top w:val="none" w:sz="0" w:space="0" w:color="auto"/>
        <w:left w:val="none" w:sz="0" w:space="0" w:color="auto"/>
        <w:bottom w:val="none" w:sz="0" w:space="0" w:color="auto"/>
        <w:right w:val="none" w:sz="0" w:space="0" w:color="auto"/>
      </w:divBdr>
    </w:div>
    <w:div w:id="1797063199">
      <w:bodyDiv w:val="1"/>
      <w:marLeft w:val="0"/>
      <w:marRight w:val="0"/>
      <w:marTop w:val="0"/>
      <w:marBottom w:val="0"/>
      <w:divBdr>
        <w:top w:val="none" w:sz="0" w:space="0" w:color="auto"/>
        <w:left w:val="none" w:sz="0" w:space="0" w:color="auto"/>
        <w:bottom w:val="none" w:sz="0" w:space="0" w:color="auto"/>
        <w:right w:val="none" w:sz="0" w:space="0" w:color="auto"/>
      </w:divBdr>
    </w:div>
    <w:div w:id="2115249088">
      <w:bodyDiv w:val="1"/>
      <w:marLeft w:val="0"/>
      <w:marRight w:val="0"/>
      <w:marTop w:val="0"/>
      <w:marBottom w:val="0"/>
      <w:divBdr>
        <w:top w:val="none" w:sz="0" w:space="0" w:color="auto"/>
        <w:left w:val="none" w:sz="0" w:space="0" w:color="auto"/>
        <w:bottom w:val="none" w:sz="0" w:space="0" w:color="auto"/>
        <w:right w:val="none" w:sz="0" w:space="0" w:color="auto"/>
      </w:divBdr>
    </w:div>
    <w:div w:id="21256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november_2021_acms_accs_joint/" TargetMode="External"/><Relationship Id="rId18" Type="http://schemas.openxmlformats.org/officeDocument/2006/relationships/hyperlink" Target="https://www.tga.gov.au/publication/scheduling-handbook-guidance-amending-poisons-standard" TargetMode="External"/><Relationship Id="rId26" Type="http://schemas.openxmlformats.org/officeDocument/2006/relationships/hyperlink" Target="https://www.tga.gov.au/resources/resource/guidance/ahmac-scheduling-policy-framework-medicines-and-chemicals/scheduling-factors" TargetMode="External"/><Relationship Id="rId39" Type="http://schemas.openxmlformats.org/officeDocument/2006/relationships/hyperlink" Target="https://www.tga.gov.au/sites/default/files/notice-final-decisions-amend-or-not-amend-the-current-poisons-standard.pdf" TargetMode="External"/><Relationship Id="rId21" Type="http://schemas.openxmlformats.org/officeDocument/2006/relationships/hyperlink" Target="https://www.tga.gov.au/resources/consultation/consultation-proposed-amendments-poisons-standard-accs-acms-and-joint-accsacms-meetings-march-2022" TargetMode="External"/><Relationship Id="rId34" Type="http://schemas.openxmlformats.org/officeDocument/2006/relationships/hyperlink" Target="https://consultations.tga.gov.au/tga/march_2022_acms_accs_joint/" TargetMode="External"/><Relationship Id="rId42" Type="http://schemas.openxmlformats.org/officeDocument/2006/relationships/hyperlink" Target="https://www.tga.gov.au/resources/publication/scheduling-decisions-interim/notice-interim-decisions-proposed-amendments-poisons-standard-acms-37-accs-33-joint-acms-accs-30-march-2022" TargetMode="External"/><Relationship Id="rId47" Type="http://schemas.openxmlformats.org/officeDocument/2006/relationships/hyperlink" Target="https://www.tga.gov.au/consultation-invitation/consultation-proposed-amendments-poisons-standard-accs-acms-and-joint-accsacms-meetings-march-2022" TargetMode="External"/><Relationship Id="rId50" Type="http://schemas.openxmlformats.org/officeDocument/2006/relationships/hyperlink" Target="https://www.tga.gov.au/publication/scheduling-handbook-guidance-amending-poisons-standard" TargetMode="Externa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tga.gov.au/sites/default/files/consultation-proposed-amendments-poisons-standard-accs-acms-and-joint-accsacms-meetings-march-2022.pdf" TargetMode="External"/><Relationship Id="rId17" Type="http://schemas.openxmlformats.org/officeDocument/2006/relationships/hyperlink" Target="https://www.tga.gov.au/publication/ahmac-scheduling-policy-framework-medicines-and-chemicals" TargetMode="External"/><Relationship Id="rId25" Type="http://schemas.openxmlformats.org/officeDocument/2006/relationships/hyperlink" Target="https://www.tga.gov.au/publication/scheduling-handbook-guidance-amending-poisons-standard" TargetMode="External"/><Relationship Id="rId33" Type="http://schemas.openxmlformats.org/officeDocument/2006/relationships/hyperlink" Target="https://www.tga.gov.au/sites/default/files/consultation-proposed-amendments-poisons-standard-accs-acms-and-joint-accsacms-meetings-march-2022.pdf" TargetMode="External"/><Relationship Id="rId38" Type="http://schemas.openxmlformats.org/officeDocument/2006/relationships/hyperlink" Target="https://www.tga.gov.au/publication/scheduling-handbook-guidance-amending-poisons-standard" TargetMode="External"/><Relationship Id="rId46" Type="http://schemas.openxmlformats.org/officeDocument/2006/relationships/hyperlink" Target="https://consultations.tga.gov.au/tga/march_2022_acms_accs_join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ga.gov.au/resources/publication/scheduling-decisions-interim/notice-interim-decisions-proposed-amendments-poisons-standard-acms-37-accs-33-joint-acms-accs-30-march-2022" TargetMode="External"/><Relationship Id="rId20" Type="http://schemas.openxmlformats.org/officeDocument/2006/relationships/hyperlink" Target="https://consultations.tga.gov.au/tga/march_2022_acms_accs_joint/" TargetMode="External"/><Relationship Id="rId29" Type="http://schemas.openxmlformats.org/officeDocument/2006/relationships/hyperlink" Target="https://www.tga.gov.au/resources/publication/scheduling-decisions-interim/notice-interim-decisions-proposed-amendments-poisons-standard-acms-37-accs-33-joint-acms-accs-30-march-2022" TargetMode="External"/><Relationship Id="rId41" Type="http://schemas.openxmlformats.org/officeDocument/2006/relationships/hyperlink" Target="https://consultations.tga.gov.au/tga/march_2022_acms_accs_joint/"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24" Type="http://schemas.openxmlformats.org/officeDocument/2006/relationships/hyperlink" Target="https://www.tga.gov.au/publication/ahmac-scheduling-policy-framework-medicines-and-chemicals" TargetMode="External"/><Relationship Id="rId32" Type="http://schemas.openxmlformats.org/officeDocument/2006/relationships/hyperlink" Target="https://www.tga.gov.au/resources/publication/scheduling-decisions-interim/notice-interim-decisions-proposed-amendments-poisons-standard-acms-37-accs-33-joint-acms-accs-30-march-2022" TargetMode="External"/><Relationship Id="rId37" Type="http://schemas.openxmlformats.org/officeDocument/2006/relationships/hyperlink" Target="https://www.tga.gov.au/publication/ahmac-scheduling-policy-framework-medicines-and-chemicals" TargetMode="External"/><Relationship Id="rId40" Type="http://schemas.openxmlformats.org/officeDocument/2006/relationships/hyperlink" Target="https://www.tga.gov.au/consultation-invitation/consultation-proposed-amendments-poisons-standard-accs-acms-and-joint-accsacms-meetings-march-2022" TargetMode="External"/><Relationship Id="rId45" Type="http://schemas.openxmlformats.org/officeDocument/2006/relationships/hyperlink" Target="https://www.tga.gov.au/consultation-invitation/consultation-proposed-amendments-poisons-standard-accs-acms-and-joint-accsacms-meetings-march-2022" TargetMode="External"/><Relationship Id="rId53" Type="http://schemas.openxmlformats.org/officeDocument/2006/relationships/header" Target="header4.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sultations.tga.gov.au/tga/march_2022_acms_accs_joint/" TargetMode="External"/><Relationship Id="rId23" Type="http://schemas.openxmlformats.org/officeDocument/2006/relationships/hyperlink" Target="https://www.tga.gov.au/resources/publication/scheduling-decisions-interim/notice-interim-decisions-proposed-amendments-poisons-standard-acms-37-accs-33-joint-acms-accs-30-march-2022" TargetMode="External"/><Relationship Id="rId28" Type="http://schemas.openxmlformats.org/officeDocument/2006/relationships/hyperlink" Target="https://consultations.tga.gov.au/tga/march_2022_acms_accs_joint/" TargetMode="External"/><Relationship Id="rId36" Type="http://schemas.openxmlformats.org/officeDocument/2006/relationships/hyperlink" Target="https://www.tga.gov.au/resources/publication/scheduling-decisions-interim/notice-interim-decisions-proposed-amendments-poisons-standard-acms-37-accs-33-joint-acms-accs-30-march-2022" TargetMode="External"/><Relationship Id="rId49" Type="http://schemas.openxmlformats.org/officeDocument/2006/relationships/hyperlink" Target="https://www.tga.gov.au/publication/ahmac-scheduling-policy-framework-medicines-and-chemicals" TargetMode="External"/><Relationship Id="rId57"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s://www.tga.gov.au/resources/publication/scheduling-decisions-interim/notice-interim-decisions-proposed-amendments-poisons-standard-acms-37-accs-33-joint-acms-accs-30-march-2022" TargetMode="External"/><Relationship Id="rId31" Type="http://schemas.openxmlformats.org/officeDocument/2006/relationships/hyperlink" Target="https://www.tga.gov.au/publication/scheduling-handbook-guidance-amending-poisons-standard" TargetMode="External"/><Relationship Id="rId44" Type="http://schemas.openxmlformats.org/officeDocument/2006/relationships/hyperlink" Target="https://www.tga.gov.au/publication/scheduling-handbook-guidance-amending-poisons-standard"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sites/default/files/consultation-proposed-amendments-poisons-standard-accs-acms-joint-accs-acms-meetings-november-2021.pdf" TargetMode="External"/><Relationship Id="rId22" Type="http://schemas.openxmlformats.org/officeDocument/2006/relationships/hyperlink" Target="https://consultations.tga.gov.au/tga/march_2022_acms_accs_joint/" TargetMode="External"/><Relationship Id="rId27" Type="http://schemas.openxmlformats.org/officeDocument/2006/relationships/hyperlink" Target="https://www.tga.gov.au/consultation-invitation/consultation-proposed-amendments-poisons-standard-accs-acms-and-joint-accsacms-meetings-march-2022" TargetMode="External"/><Relationship Id="rId30" Type="http://schemas.openxmlformats.org/officeDocument/2006/relationships/hyperlink" Target="https://www.tga.gov.au/publication/ahmac-scheduling-policy-framework-medicines-and-chemicals" TargetMode="External"/><Relationship Id="rId35" Type="http://schemas.openxmlformats.org/officeDocument/2006/relationships/hyperlink" Target="https://www.tga.gov.au/sites/default/files/consultation-proposed-amendments-poisons-standard-accs-acms-and-joint-accsacms-meetings-march-2022.pdf" TargetMode="External"/><Relationship Id="rId43" Type="http://schemas.openxmlformats.org/officeDocument/2006/relationships/hyperlink" Target="https://www.tga.gov.au/publication/ahmac-scheduling-policy-framework-medicines-and-chemicals" TargetMode="External"/><Relationship Id="rId48" Type="http://schemas.openxmlformats.org/officeDocument/2006/relationships/hyperlink" Target="https://www.tga.gov.au/resources/publication/scheduling-decisions-interim/notice-interim-decisions-proposed-amendments-poisons-standard-acms-37-accs-33-joint-acms-accs-30-march-2022" TargetMode="External"/><Relationship Id="rId56" Type="http://schemas.openxmlformats.org/officeDocument/2006/relationships/header" Target="header6.xml"/><Relationship Id="rId8" Type="http://schemas.openxmlformats.org/officeDocument/2006/relationships/header" Target="header1.xml"/><Relationship Id="rId51" Type="http://schemas.openxmlformats.org/officeDocument/2006/relationships/header" Target="header3.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mic\AppData\Local\Hewlett-Packard\HP%20TRIM\TEMP\HPTRIM.7372\R14%201178772%20%20Template%20%23011%20-%20Minutes%20-%20ACMS.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53532-0F79-47E1-9479-D7FCFD6C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R14 1178772  Template #011 - Minutes - ACMS.DOTX</Template>
  <TotalTime>410</TotalTime>
  <Pages>14</Pages>
  <Words>5264</Words>
  <Characters>28692</Characters>
  <Application>Microsoft Office Word</Application>
  <DocSecurity>0</DocSecurity>
  <Lines>521</Lines>
  <Paragraphs>263</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 ACMS Joint #30, ACMS #37, ACCS #33</dc:title>
  <dc:subject>Poisons standards regulation</dc:subject>
  <dc:creator>Therapeutic Goods Administration</dc:creator>
  <dc:description>template v1.4</dc:description>
  <cp:lastModifiedBy>KOLARIK-O'REILLY, Kristy</cp:lastModifiedBy>
  <cp:revision>21</cp:revision>
  <cp:lastPrinted>2022-11-07T01:46:00Z</cp:lastPrinted>
  <dcterms:created xsi:type="dcterms:W3CDTF">2022-11-14T01:35:00Z</dcterms:created>
  <dcterms:modified xsi:type="dcterms:W3CDTF">2022-11-18T01:46:00Z</dcterms:modified>
</cp:coreProperties>
</file>