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81178F" w14:paraId="37B1C27D" w14:textId="77777777" w:rsidTr="00BF1190">
        <w:trPr>
          <w:trHeight w:val="1863"/>
        </w:trPr>
        <w:tc>
          <w:tcPr>
            <w:tcW w:w="3652" w:type="dxa"/>
            <w:tcBorders>
              <w:top w:val="nil"/>
              <w:left w:val="nil"/>
              <w:bottom w:val="nil"/>
              <w:right w:val="nil"/>
            </w:tcBorders>
          </w:tcPr>
          <w:p w14:paraId="42905FA3" w14:textId="746F0BA6" w:rsidR="008E7846" w:rsidRPr="0081178F" w:rsidRDefault="000324F1" w:rsidP="00F931CE">
            <w:pPr>
              <w:pStyle w:val="Date"/>
              <w:framePr w:hSpace="0" w:wrap="auto" w:vAnchor="margin" w:hAnchor="text" w:yAlign="inline"/>
              <w:suppressOverlap w:val="0"/>
            </w:pPr>
            <w:r w:rsidRPr="0081178F">
              <w:t>October</w:t>
            </w:r>
            <w:r w:rsidR="00BA1947" w:rsidRPr="0081178F">
              <w:t xml:space="preserve"> 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81178F" w14:paraId="5742C0E8" w14:textId="77777777" w:rsidTr="0032583B">
        <w:trPr>
          <w:trHeight w:val="868"/>
        </w:trPr>
        <w:tc>
          <w:tcPr>
            <w:tcW w:w="9079" w:type="dxa"/>
          </w:tcPr>
          <w:p w14:paraId="397EF9D2" w14:textId="63550A4F" w:rsidR="0032583B" w:rsidRPr="0081178F" w:rsidRDefault="0032583B" w:rsidP="00F931CE">
            <w:pPr>
              <w:pStyle w:val="Title"/>
              <w:framePr w:hSpace="0" w:wrap="auto" w:vAnchor="margin" w:yAlign="inline"/>
            </w:pPr>
            <w:r w:rsidRPr="0081178F">
              <w:t>Australian Public Assessment Report for</w:t>
            </w:r>
            <w:r w:rsidR="00AF2313" w:rsidRPr="0081178F">
              <w:t xml:space="preserve"> </w:t>
            </w:r>
            <w:r w:rsidR="00C06B85" w:rsidRPr="0081178F">
              <w:t>Yuflyma</w:t>
            </w:r>
          </w:p>
        </w:tc>
      </w:tr>
      <w:tr w:rsidR="0032583B" w:rsidRPr="0081178F" w14:paraId="1C10EDDD" w14:textId="77777777" w:rsidTr="0032583B">
        <w:tc>
          <w:tcPr>
            <w:tcW w:w="9079" w:type="dxa"/>
          </w:tcPr>
          <w:p w14:paraId="36EF7965" w14:textId="615F2D10" w:rsidR="0032583B" w:rsidRPr="0081178F" w:rsidRDefault="00BB75D6" w:rsidP="00F931CE">
            <w:pPr>
              <w:pStyle w:val="Subtitle"/>
              <w:framePr w:hSpace="0" w:wrap="auto" w:vAnchor="margin" w:yAlign="inline"/>
            </w:pPr>
            <w:r w:rsidRPr="0081178F">
              <w:t>Active ingredient</w:t>
            </w:r>
            <w:r w:rsidR="0032583B" w:rsidRPr="0081178F">
              <w:t xml:space="preserve">: </w:t>
            </w:r>
            <w:r w:rsidR="00C06B85" w:rsidRPr="0081178F">
              <w:t>Adalimumab</w:t>
            </w:r>
          </w:p>
        </w:tc>
      </w:tr>
      <w:tr w:rsidR="0032583B" w:rsidRPr="0081178F" w14:paraId="22715404" w14:textId="77777777" w:rsidTr="0032583B">
        <w:trPr>
          <w:trHeight w:val="486"/>
        </w:trPr>
        <w:tc>
          <w:tcPr>
            <w:tcW w:w="9079" w:type="dxa"/>
          </w:tcPr>
          <w:p w14:paraId="5081E66A" w14:textId="69A8E4E4" w:rsidR="0032583B" w:rsidRPr="0081178F" w:rsidRDefault="00460036" w:rsidP="009556D7">
            <w:pPr>
              <w:pStyle w:val="Subtitle"/>
              <w:framePr w:hSpace="0" w:wrap="auto" w:vAnchor="margin" w:yAlign="inline"/>
            </w:pPr>
            <w:r w:rsidRPr="0081178F">
              <w:t xml:space="preserve">Sponsor: </w:t>
            </w:r>
            <w:proofErr w:type="spellStart"/>
            <w:r w:rsidR="00BA1947" w:rsidRPr="0081178F">
              <w:t>Celltrion</w:t>
            </w:r>
            <w:proofErr w:type="spellEnd"/>
            <w:r w:rsidR="00BA1947" w:rsidRPr="0081178F">
              <w:t xml:space="preserve"> Healthcare Australia Pty Ltd</w:t>
            </w:r>
          </w:p>
        </w:tc>
      </w:tr>
    </w:tbl>
    <w:p w14:paraId="70B0D951" w14:textId="4FB3AE0E" w:rsidR="008E7846" w:rsidRPr="0081178F" w:rsidRDefault="008E7846" w:rsidP="0085156D"/>
    <w:p w14:paraId="4B8DFDA6" w14:textId="77777777" w:rsidR="008E7846" w:rsidRPr="0081178F" w:rsidRDefault="008E7846" w:rsidP="00364EFE">
      <w:pPr>
        <w:pStyle w:val="NonTOCHeading2"/>
        <w:pageBreakBefore/>
      </w:pPr>
      <w:r w:rsidRPr="0081178F">
        <w:lastRenderedPageBreak/>
        <w:t>About the Therapeutic Goods Administration (TGA)</w:t>
      </w:r>
    </w:p>
    <w:p w14:paraId="2148A1A6" w14:textId="77777777" w:rsidR="00AF2313" w:rsidRPr="0081178F" w:rsidRDefault="00AF2313" w:rsidP="00AF2313">
      <w:pPr>
        <w:pStyle w:val="ListBullet"/>
      </w:pPr>
      <w:r w:rsidRPr="0081178F">
        <w:t>The Therapeutic Goods Administration (TGA) is part of the Australian Government Department of Health and is responsible for regulating therapeutic goods, including medicines, medical devices, and biologicals.</w:t>
      </w:r>
    </w:p>
    <w:p w14:paraId="7A6E16B2" w14:textId="77777777" w:rsidR="00AF2313" w:rsidRPr="0081178F" w:rsidRDefault="00AF2313" w:rsidP="00AF2313">
      <w:pPr>
        <w:pStyle w:val="ListBullet"/>
      </w:pPr>
      <w:r w:rsidRPr="0081178F">
        <w:t xml:space="preserve">The TGA administers the </w:t>
      </w:r>
      <w:r w:rsidRPr="0081178F">
        <w:rPr>
          <w:i/>
          <w:iCs/>
        </w:rPr>
        <w:t>Therapeutic Goods Act 1989</w:t>
      </w:r>
      <w:r w:rsidRPr="0081178F">
        <w:t xml:space="preserve"> (the Act), applying a risk management approach designed to ensure therapeutic goods supplied in Australia meet acceptable standards of quality, </w:t>
      </w:r>
      <w:r w:rsidR="00CC5044" w:rsidRPr="0081178F">
        <w:t>safety,</w:t>
      </w:r>
      <w:r w:rsidRPr="0081178F">
        <w:t xml:space="preserve"> and efficacy.</w:t>
      </w:r>
    </w:p>
    <w:p w14:paraId="6C69B01C" w14:textId="77777777" w:rsidR="00AF2313" w:rsidRPr="0081178F" w:rsidRDefault="00AF2313" w:rsidP="00AF2313">
      <w:pPr>
        <w:pStyle w:val="ListBullet"/>
      </w:pPr>
      <w:r w:rsidRPr="0081178F">
        <w:t>The work of the TGA is based on applying scientific and clinical expertise to decision-making, to ensure that the benefits to the Australian public outweigh any risks associated with the use of therapeutic goods.</w:t>
      </w:r>
    </w:p>
    <w:p w14:paraId="2D960F58" w14:textId="77777777" w:rsidR="00AF2313" w:rsidRPr="0081178F" w:rsidRDefault="00AF2313" w:rsidP="00AF2313">
      <w:pPr>
        <w:pStyle w:val="ListBullet"/>
      </w:pPr>
      <w:r w:rsidRPr="0081178F">
        <w:t>The TGA relies on the public, healthcare professionals and industry to report problems with therapeutic goods. The TGA investigates reports received to determine any necessary regulatory action.</w:t>
      </w:r>
    </w:p>
    <w:p w14:paraId="70D76F78" w14:textId="676112AF" w:rsidR="00AF2313" w:rsidRPr="0081178F" w:rsidRDefault="00AF2313" w:rsidP="00AF2313">
      <w:pPr>
        <w:pStyle w:val="ListBullet"/>
      </w:pPr>
      <w:r w:rsidRPr="0081178F">
        <w:t xml:space="preserve">To report a problem with a therapeutic good, please see the information on the </w:t>
      </w:r>
      <w:hyperlink r:id="rId10" w:history="1">
        <w:r w:rsidRPr="0081178F">
          <w:rPr>
            <w:rStyle w:val="Hyperlink"/>
          </w:rPr>
          <w:t>TGA website</w:t>
        </w:r>
      </w:hyperlink>
      <w:r w:rsidRPr="0081178F">
        <w:t>.</w:t>
      </w:r>
    </w:p>
    <w:p w14:paraId="13DC39E5" w14:textId="77777777" w:rsidR="008E7846" w:rsidRPr="0081178F" w:rsidRDefault="008E7846" w:rsidP="00875A6B">
      <w:pPr>
        <w:pStyle w:val="NonTOCHeading2"/>
      </w:pPr>
      <w:r w:rsidRPr="0081178F">
        <w:t xml:space="preserve">About </w:t>
      </w:r>
      <w:proofErr w:type="spellStart"/>
      <w:r w:rsidRPr="0081178F">
        <w:t>AusPARs</w:t>
      </w:r>
      <w:proofErr w:type="spellEnd"/>
    </w:p>
    <w:p w14:paraId="02A5BDDE" w14:textId="1216BB9D" w:rsidR="00AF2313" w:rsidRPr="0081178F" w:rsidRDefault="00AF2313" w:rsidP="00AF2313">
      <w:pPr>
        <w:pStyle w:val="ListBullet"/>
      </w:pPr>
      <w:r w:rsidRPr="0081178F">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11" w:history="1">
        <w:r w:rsidRPr="0081178F">
          <w:rPr>
            <w:rStyle w:val="Hyperlink"/>
          </w:rPr>
          <w:t>Australian Public Assessment Report (AusPAR) guidance</w:t>
        </w:r>
      </w:hyperlink>
      <w:r w:rsidRPr="0081178F">
        <w:t>.</w:t>
      </w:r>
    </w:p>
    <w:p w14:paraId="2B719F8D" w14:textId="77777777" w:rsidR="00AF2313" w:rsidRPr="0081178F" w:rsidRDefault="00AF2313" w:rsidP="00AF2313">
      <w:pPr>
        <w:pStyle w:val="ListBullet"/>
      </w:pPr>
      <w:proofErr w:type="spellStart"/>
      <w:r w:rsidRPr="0081178F">
        <w:t>AusPARs</w:t>
      </w:r>
      <w:proofErr w:type="spellEnd"/>
      <w:r w:rsidRPr="0081178F">
        <w:t xml:space="preserve"> are prepared and published by the TGA.</w:t>
      </w:r>
    </w:p>
    <w:p w14:paraId="4102BD04" w14:textId="77777777" w:rsidR="00AF2313" w:rsidRPr="0081178F" w:rsidRDefault="00AF2313" w:rsidP="00AF2313">
      <w:pPr>
        <w:pStyle w:val="ListBullet"/>
      </w:pPr>
      <w:proofErr w:type="spellStart"/>
      <w:r w:rsidRPr="0081178F">
        <w:t>AusPARs</w:t>
      </w:r>
      <w:proofErr w:type="spellEnd"/>
      <w:r w:rsidRPr="0081178F">
        <w:t xml:space="preserve"> are static documents that provide information that relates to a submission at a particular point in time.</w:t>
      </w:r>
      <w:r w:rsidR="008110BC" w:rsidRPr="0081178F">
        <w:t xml:space="preserve"> The publication of an AusPAR is an important part of the transparency of the TGA’s decision-making process.</w:t>
      </w:r>
    </w:p>
    <w:p w14:paraId="211A164D" w14:textId="77777777" w:rsidR="00AF2313" w:rsidRPr="0081178F" w:rsidRDefault="00AF2313" w:rsidP="00AF2313">
      <w:pPr>
        <w:pStyle w:val="ListBullet"/>
      </w:pPr>
      <w:r w:rsidRPr="0081178F">
        <w:t>A new AusPAR may be provided to reflect changes to indications or major variations to a prescription medicine subject to evaluation by the TGA.</w:t>
      </w:r>
    </w:p>
    <w:p w14:paraId="00D64545" w14:textId="77777777" w:rsidR="00924482" w:rsidRPr="0081178F" w:rsidRDefault="00924482" w:rsidP="00F54B65">
      <w:pPr>
        <w:pStyle w:val="LegalSubheading"/>
        <w:spacing w:before="3120"/>
      </w:pPr>
      <w:r w:rsidRPr="0081178F">
        <w:t>Copyright</w:t>
      </w:r>
    </w:p>
    <w:p w14:paraId="372C0B82" w14:textId="0D282911" w:rsidR="00924482" w:rsidRPr="0081178F" w:rsidRDefault="00924482" w:rsidP="00924482">
      <w:pPr>
        <w:pStyle w:val="LegalCopy"/>
      </w:pPr>
      <w:r w:rsidRPr="0081178F">
        <w:rPr>
          <w:rFonts w:cs="Arial"/>
          <w:lang w:val="en-GB"/>
        </w:rPr>
        <w:t>© Commonwealth of Australia 20</w:t>
      </w:r>
      <w:r w:rsidR="00460036" w:rsidRPr="0081178F">
        <w:rPr>
          <w:rFonts w:cs="Arial"/>
          <w:lang w:val="en-GB"/>
        </w:rPr>
        <w:t>2</w:t>
      </w:r>
      <w:r w:rsidR="00AF2313" w:rsidRPr="0081178F">
        <w:rPr>
          <w:rFonts w:cs="Arial"/>
          <w:lang w:val="en-GB"/>
        </w:rPr>
        <w:t>2</w:t>
      </w:r>
      <w:r w:rsidRPr="0081178F">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81178F">
        <w:rPr>
          <w:rFonts w:cs="Arial"/>
          <w:i/>
          <w:lang w:val="en-GB"/>
        </w:rPr>
        <w:t>Copyright Act 1968</w:t>
      </w:r>
      <w:r w:rsidRPr="0081178F">
        <w:rPr>
          <w:rFonts w:cs="Arial"/>
          <w:lang w:val="en-GB"/>
        </w:rPr>
        <w:t xml:space="preserve"> or allowed by this copyright notice, all other rights are </w:t>
      </w:r>
      <w:r w:rsidR="00EB36D6" w:rsidRPr="0081178F">
        <w:rPr>
          <w:rFonts w:cs="Arial"/>
          <w:lang w:val="en-GB"/>
        </w:rPr>
        <w:t>reserved,</w:t>
      </w:r>
      <w:r w:rsidRPr="0081178F">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81178F">
        <w:rPr>
          <w:rFonts w:cs="Arial"/>
          <w:lang w:val="en-GB"/>
        </w:rPr>
        <w:t>Woden</w:t>
      </w:r>
      <w:proofErr w:type="spellEnd"/>
      <w:r w:rsidRPr="0081178F">
        <w:rPr>
          <w:rFonts w:cs="Arial"/>
          <w:lang w:val="en-GB"/>
        </w:rPr>
        <w:t xml:space="preserve"> ACT 2606 or emailed to &lt;</w:t>
      </w:r>
      <w:hyperlink r:id="rId12" w:history="1">
        <w:r w:rsidRPr="0081178F">
          <w:rPr>
            <w:rStyle w:val="Hyperlink"/>
            <w:rFonts w:cs="Arial"/>
            <w:lang w:val="en-GB"/>
          </w:rPr>
          <w:t>tga.copyright@tga.gov.au</w:t>
        </w:r>
      </w:hyperlink>
      <w:r w:rsidRPr="0081178F">
        <w:rPr>
          <w:rFonts w:cs="Arial"/>
        </w:rPr>
        <w:t>&gt;.</w:t>
      </w:r>
    </w:p>
    <w:p w14:paraId="2FC250D9" w14:textId="77777777" w:rsidR="00924482" w:rsidRPr="0081178F" w:rsidRDefault="00924482" w:rsidP="00924482">
      <w:pPr>
        <w:pStyle w:val="LegalCopy"/>
        <w:sectPr w:rsidR="00924482" w:rsidRPr="0081178F" w:rsidSect="003D1E62">
          <w:headerReference w:type="default" r:id="rId13"/>
          <w:footerReference w:type="default" r:id="rId14"/>
          <w:head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4CA452DF" w14:textId="77777777" w:rsidR="0089635C" w:rsidRPr="0081178F" w:rsidRDefault="0089635C" w:rsidP="00364EFE">
          <w:pPr>
            <w:pStyle w:val="Contents"/>
            <w:pageBreakBefore/>
          </w:pPr>
          <w:r w:rsidRPr="0081178F">
            <w:t>Contents</w:t>
          </w:r>
        </w:p>
        <w:p w14:paraId="17A606F3" w14:textId="59321B9A" w:rsidR="003538E0" w:rsidRPr="0081178F" w:rsidRDefault="00C525A2">
          <w:pPr>
            <w:pStyle w:val="TOC1"/>
            <w:rPr>
              <w:rFonts w:asciiTheme="minorHAnsi" w:eastAsiaTheme="minorEastAsia" w:hAnsiTheme="minorHAnsi" w:cstheme="minorBidi"/>
              <w:b w:val="0"/>
              <w:noProof/>
              <w:sz w:val="22"/>
              <w:lang w:eastAsia="en-AU"/>
            </w:rPr>
          </w:pPr>
          <w:r w:rsidRPr="0081178F">
            <w:fldChar w:fldCharType="begin"/>
          </w:r>
          <w:r w:rsidRPr="0081178F">
            <w:instrText xml:space="preserve"> TOC \h \z \t "Heading 2,1,Heading 3,2" </w:instrText>
          </w:r>
          <w:r w:rsidRPr="0081178F">
            <w:fldChar w:fldCharType="separate"/>
          </w:r>
          <w:hyperlink w:anchor="_Toc117858924" w:history="1">
            <w:r w:rsidR="003538E0" w:rsidRPr="0081178F">
              <w:rPr>
                <w:rStyle w:val="Hyperlink"/>
                <w:noProof/>
              </w:rPr>
              <w:t>List of abbreviations</w:t>
            </w:r>
            <w:r w:rsidR="003538E0" w:rsidRPr="0081178F">
              <w:rPr>
                <w:noProof/>
                <w:webHidden/>
              </w:rPr>
              <w:tab/>
            </w:r>
            <w:r w:rsidR="003538E0" w:rsidRPr="0081178F">
              <w:rPr>
                <w:noProof/>
                <w:webHidden/>
              </w:rPr>
              <w:fldChar w:fldCharType="begin"/>
            </w:r>
            <w:r w:rsidR="003538E0" w:rsidRPr="0081178F">
              <w:rPr>
                <w:noProof/>
                <w:webHidden/>
              </w:rPr>
              <w:instrText xml:space="preserve"> PAGEREF _Toc117858924 \h </w:instrText>
            </w:r>
            <w:r w:rsidR="003538E0" w:rsidRPr="0081178F">
              <w:rPr>
                <w:noProof/>
                <w:webHidden/>
              </w:rPr>
            </w:r>
            <w:r w:rsidR="003538E0" w:rsidRPr="0081178F">
              <w:rPr>
                <w:noProof/>
                <w:webHidden/>
              </w:rPr>
              <w:fldChar w:fldCharType="separate"/>
            </w:r>
            <w:r w:rsidR="003420A7">
              <w:rPr>
                <w:noProof/>
                <w:webHidden/>
              </w:rPr>
              <w:t>4</w:t>
            </w:r>
            <w:r w:rsidR="003538E0" w:rsidRPr="0081178F">
              <w:rPr>
                <w:noProof/>
                <w:webHidden/>
              </w:rPr>
              <w:fldChar w:fldCharType="end"/>
            </w:r>
          </w:hyperlink>
        </w:p>
        <w:p w14:paraId="57656634" w14:textId="7A73522E" w:rsidR="003538E0" w:rsidRPr="0081178F" w:rsidRDefault="003420A7">
          <w:pPr>
            <w:pStyle w:val="TOC1"/>
            <w:rPr>
              <w:rFonts w:asciiTheme="minorHAnsi" w:eastAsiaTheme="minorEastAsia" w:hAnsiTheme="minorHAnsi" w:cstheme="minorBidi"/>
              <w:b w:val="0"/>
              <w:noProof/>
              <w:sz w:val="22"/>
              <w:lang w:eastAsia="en-AU"/>
            </w:rPr>
          </w:pPr>
          <w:hyperlink w:anchor="_Toc117858925" w:history="1">
            <w:r w:rsidR="003538E0" w:rsidRPr="0081178F">
              <w:rPr>
                <w:rStyle w:val="Hyperlink"/>
                <w:noProof/>
              </w:rPr>
              <w:t>Product submission</w:t>
            </w:r>
            <w:r w:rsidR="003538E0" w:rsidRPr="0081178F">
              <w:rPr>
                <w:noProof/>
                <w:webHidden/>
              </w:rPr>
              <w:tab/>
            </w:r>
            <w:r w:rsidR="003538E0" w:rsidRPr="0081178F">
              <w:rPr>
                <w:noProof/>
                <w:webHidden/>
              </w:rPr>
              <w:fldChar w:fldCharType="begin"/>
            </w:r>
            <w:r w:rsidR="003538E0" w:rsidRPr="0081178F">
              <w:rPr>
                <w:noProof/>
                <w:webHidden/>
              </w:rPr>
              <w:instrText xml:space="preserve"> PAGEREF _Toc117858925 \h </w:instrText>
            </w:r>
            <w:r w:rsidR="003538E0" w:rsidRPr="0081178F">
              <w:rPr>
                <w:noProof/>
                <w:webHidden/>
              </w:rPr>
            </w:r>
            <w:r w:rsidR="003538E0" w:rsidRPr="0081178F">
              <w:rPr>
                <w:noProof/>
                <w:webHidden/>
              </w:rPr>
              <w:fldChar w:fldCharType="separate"/>
            </w:r>
            <w:r>
              <w:rPr>
                <w:noProof/>
                <w:webHidden/>
              </w:rPr>
              <w:t>6</w:t>
            </w:r>
            <w:r w:rsidR="003538E0" w:rsidRPr="0081178F">
              <w:rPr>
                <w:noProof/>
                <w:webHidden/>
              </w:rPr>
              <w:fldChar w:fldCharType="end"/>
            </w:r>
          </w:hyperlink>
        </w:p>
        <w:p w14:paraId="680EAF22" w14:textId="2584D142" w:rsidR="003538E0" w:rsidRPr="0081178F" w:rsidRDefault="003420A7">
          <w:pPr>
            <w:pStyle w:val="TOC2"/>
            <w:rPr>
              <w:rFonts w:asciiTheme="minorHAnsi" w:eastAsiaTheme="minorEastAsia" w:hAnsiTheme="minorHAnsi" w:cstheme="minorBidi"/>
              <w:b w:val="0"/>
              <w:noProof/>
              <w:sz w:val="22"/>
              <w:lang w:eastAsia="en-AU"/>
            </w:rPr>
          </w:pPr>
          <w:hyperlink w:anchor="_Toc117858926" w:history="1">
            <w:r w:rsidR="003538E0" w:rsidRPr="0081178F">
              <w:rPr>
                <w:rStyle w:val="Hyperlink"/>
                <w:noProof/>
                <w:lang w:eastAsia="en-AU"/>
              </w:rPr>
              <w:t>Submission details</w:t>
            </w:r>
            <w:r w:rsidR="003538E0" w:rsidRPr="0081178F">
              <w:rPr>
                <w:noProof/>
                <w:webHidden/>
              </w:rPr>
              <w:tab/>
            </w:r>
            <w:r w:rsidR="003538E0" w:rsidRPr="0081178F">
              <w:rPr>
                <w:noProof/>
                <w:webHidden/>
              </w:rPr>
              <w:fldChar w:fldCharType="begin"/>
            </w:r>
            <w:r w:rsidR="003538E0" w:rsidRPr="0081178F">
              <w:rPr>
                <w:noProof/>
                <w:webHidden/>
              </w:rPr>
              <w:instrText xml:space="preserve"> PAGEREF _Toc117858926 \h </w:instrText>
            </w:r>
            <w:r w:rsidR="003538E0" w:rsidRPr="0081178F">
              <w:rPr>
                <w:noProof/>
                <w:webHidden/>
              </w:rPr>
            </w:r>
            <w:r w:rsidR="003538E0" w:rsidRPr="0081178F">
              <w:rPr>
                <w:noProof/>
                <w:webHidden/>
              </w:rPr>
              <w:fldChar w:fldCharType="separate"/>
            </w:r>
            <w:r>
              <w:rPr>
                <w:noProof/>
                <w:webHidden/>
              </w:rPr>
              <w:t>6</w:t>
            </w:r>
            <w:r w:rsidR="003538E0" w:rsidRPr="0081178F">
              <w:rPr>
                <w:noProof/>
                <w:webHidden/>
              </w:rPr>
              <w:fldChar w:fldCharType="end"/>
            </w:r>
          </w:hyperlink>
        </w:p>
        <w:p w14:paraId="166187D1" w14:textId="7ECFD2FA" w:rsidR="003538E0" w:rsidRPr="0081178F" w:rsidRDefault="003420A7">
          <w:pPr>
            <w:pStyle w:val="TOC2"/>
            <w:rPr>
              <w:rFonts w:asciiTheme="minorHAnsi" w:eastAsiaTheme="minorEastAsia" w:hAnsiTheme="minorHAnsi" w:cstheme="minorBidi"/>
              <w:b w:val="0"/>
              <w:noProof/>
              <w:sz w:val="22"/>
              <w:lang w:eastAsia="en-AU"/>
            </w:rPr>
          </w:pPr>
          <w:hyperlink w:anchor="_Toc117858927" w:history="1">
            <w:r w:rsidR="003538E0" w:rsidRPr="0081178F">
              <w:rPr>
                <w:rStyle w:val="Hyperlink"/>
                <w:noProof/>
              </w:rPr>
              <w:t>Product background</w:t>
            </w:r>
            <w:r w:rsidR="003538E0" w:rsidRPr="0081178F">
              <w:rPr>
                <w:noProof/>
                <w:webHidden/>
              </w:rPr>
              <w:tab/>
            </w:r>
            <w:r w:rsidR="003538E0" w:rsidRPr="0081178F">
              <w:rPr>
                <w:noProof/>
                <w:webHidden/>
              </w:rPr>
              <w:fldChar w:fldCharType="begin"/>
            </w:r>
            <w:r w:rsidR="003538E0" w:rsidRPr="0081178F">
              <w:rPr>
                <w:noProof/>
                <w:webHidden/>
              </w:rPr>
              <w:instrText xml:space="preserve"> PAGEREF _Toc117858927 \h </w:instrText>
            </w:r>
            <w:r w:rsidR="003538E0" w:rsidRPr="0081178F">
              <w:rPr>
                <w:noProof/>
                <w:webHidden/>
              </w:rPr>
            </w:r>
            <w:r w:rsidR="003538E0" w:rsidRPr="0081178F">
              <w:rPr>
                <w:noProof/>
                <w:webHidden/>
              </w:rPr>
              <w:fldChar w:fldCharType="separate"/>
            </w:r>
            <w:r>
              <w:rPr>
                <w:noProof/>
                <w:webHidden/>
              </w:rPr>
              <w:t>8</w:t>
            </w:r>
            <w:r w:rsidR="003538E0" w:rsidRPr="0081178F">
              <w:rPr>
                <w:noProof/>
                <w:webHidden/>
              </w:rPr>
              <w:fldChar w:fldCharType="end"/>
            </w:r>
          </w:hyperlink>
        </w:p>
        <w:p w14:paraId="36A415F2" w14:textId="0CAD8152" w:rsidR="003538E0" w:rsidRPr="0081178F" w:rsidRDefault="003420A7">
          <w:pPr>
            <w:pStyle w:val="TOC2"/>
            <w:rPr>
              <w:rFonts w:asciiTheme="minorHAnsi" w:eastAsiaTheme="minorEastAsia" w:hAnsiTheme="minorHAnsi" w:cstheme="minorBidi"/>
              <w:b w:val="0"/>
              <w:noProof/>
              <w:sz w:val="22"/>
              <w:lang w:eastAsia="en-AU"/>
            </w:rPr>
          </w:pPr>
          <w:hyperlink w:anchor="_Toc117858928" w:history="1">
            <w:r w:rsidR="003538E0" w:rsidRPr="0081178F">
              <w:rPr>
                <w:rStyle w:val="Hyperlink"/>
                <w:noProof/>
              </w:rPr>
              <w:t>Regulatory status</w:t>
            </w:r>
            <w:r w:rsidR="003538E0" w:rsidRPr="0081178F">
              <w:rPr>
                <w:noProof/>
                <w:webHidden/>
              </w:rPr>
              <w:tab/>
            </w:r>
            <w:r w:rsidR="003538E0" w:rsidRPr="0081178F">
              <w:rPr>
                <w:noProof/>
                <w:webHidden/>
              </w:rPr>
              <w:fldChar w:fldCharType="begin"/>
            </w:r>
            <w:r w:rsidR="003538E0" w:rsidRPr="0081178F">
              <w:rPr>
                <w:noProof/>
                <w:webHidden/>
              </w:rPr>
              <w:instrText xml:space="preserve"> PAGEREF _Toc117858928 \h </w:instrText>
            </w:r>
            <w:r w:rsidR="003538E0" w:rsidRPr="0081178F">
              <w:rPr>
                <w:noProof/>
                <w:webHidden/>
              </w:rPr>
            </w:r>
            <w:r w:rsidR="003538E0" w:rsidRPr="0081178F">
              <w:rPr>
                <w:noProof/>
                <w:webHidden/>
              </w:rPr>
              <w:fldChar w:fldCharType="separate"/>
            </w:r>
            <w:r>
              <w:rPr>
                <w:noProof/>
                <w:webHidden/>
              </w:rPr>
              <w:t>10</w:t>
            </w:r>
            <w:r w:rsidR="003538E0" w:rsidRPr="0081178F">
              <w:rPr>
                <w:noProof/>
                <w:webHidden/>
              </w:rPr>
              <w:fldChar w:fldCharType="end"/>
            </w:r>
          </w:hyperlink>
        </w:p>
        <w:p w14:paraId="4FEAC785" w14:textId="1246D82B" w:rsidR="003538E0" w:rsidRPr="0081178F" w:rsidRDefault="003420A7">
          <w:pPr>
            <w:pStyle w:val="TOC2"/>
            <w:rPr>
              <w:rFonts w:asciiTheme="minorHAnsi" w:eastAsiaTheme="minorEastAsia" w:hAnsiTheme="minorHAnsi" w:cstheme="minorBidi"/>
              <w:b w:val="0"/>
              <w:noProof/>
              <w:sz w:val="22"/>
              <w:lang w:eastAsia="en-AU"/>
            </w:rPr>
          </w:pPr>
          <w:hyperlink w:anchor="_Toc117858929" w:history="1">
            <w:r w:rsidR="003538E0" w:rsidRPr="0081178F">
              <w:rPr>
                <w:rStyle w:val="Hyperlink"/>
                <w:noProof/>
              </w:rPr>
              <w:t>Product Information</w:t>
            </w:r>
            <w:r w:rsidR="003538E0" w:rsidRPr="0081178F">
              <w:rPr>
                <w:noProof/>
                <w:webHidden/>
              </w:rPr>
              <w:tab/>
            </w:r>
            <w:r w:rsidR="003538E0" w:rsidRPr="0081178F">
              <w:rPr>
                <w:noProof/>
                <w:webHidden/>
              </w:rPr>
              <w:fldChar w:fldCharType="begin"/>
            </w:r>
            <w:r w:rsidR="003538E0" w:rsidRPr="0081178F">
              <w:rPr>
                <w:noProof/>
                <w:webHidden/>
              </w:rPr>
              <w:instrText xml:space="preserve"> PAGEREF _Toc117858929 \h </w:instrText>
            </w:r>
            <w:r w:rsidR="003538E0" w:rsidRPr="0081178F">
              <w:rPr>
                <w:noProof/>
                <w:webHidden/>
              </w:rPr>
            </w:r>
            <w:r w:rsidR="003538E0" w:rsidRPr="0081178F">
              <w:rPr>
                <w:noProof/>
                <w:webHidden/>
              </w:rPr>
              <w:fldChar w:fldCharType="separate"/>
            </w:r>
            <w:r>
              <w:rPr>
                <w:noProof/>
                <w:webHidden/>
              </w:rPr>
              <w:t>10</w:t>
            </w:r>
            <w:r w:rsidR="003538E0" w:rsidRPr="0081178F">
              <w:rPr>
                <w:noProof/>
                <w:webHidden/>
              </w:rPr>
              <w:fldChar w:fldCharType="end"/>
            </w:r>
          </w:hyperlink>
        </w:p>
        <w:p w14:paraId="7CF514A7" w14:textId="6608CEE0" w:rsidR="003538E0" w:rsidRPr="0081178F" w:rsidRDefault="003420A7">
          <w:pPr>
            <w:pStyle w:val="TOC1"/>
            <w:rPr>
              <w:rFonts w:asciiTheme="minorHAnsi" w:eastAsiaTheme="minorEastAsia" w:hAnsiTheme="minorHAnsi" w:cstheme="minorBidi"/>
              <w:b w:val="0"/>
              <w:noProof/>
              <w:sz w:val="22"/>
              <w:lang w:eastAsia="en-AU"/>
            </w:rPr>
          </w:pPr>
          <w:hyperlink w:anchor="_Toc117858930" w:history="1">
            <w:r w:rsidR="003538E0" w:rsidRPr="0081178F">
              <w:rPr>
                <w:rStyle w:val="Hyperlink"/>
                <w:noProof/>
              </w:rPr>
              <w:t>Registration timeline</w:t>
            </w:r>
            <w:r w:rsidR="003538E0" w:rsidRPr="0081178F">
              <w:rPr>
                <w:noProof/>
                <w:webHidden/>
              </w:rPr>
              <w:tab/>
            </w:r>
            <w:r w:rsidR="003538E0" w:rsidRPr="0081178F">
              <w:rPr>
                <w:noProof/>
                <w:webHidden/>
              </w:rPr>
              <w:fldChar w:fldCharType="begin"/>
            </w:r>
            <w:r w:rsidR="003538E0" w:rsidRPr="0081178F">
              <w:rPr>
                <w:noProof/>
                <w:webHidden/>
              </w:rPr>
              <w:instrText xml:space="preserve"> PAGEREF _Toc117858930 \h </w:instrText>
            </w:r>
            <w:r w:rsidR="003538E0" w:rsidRPr="0081178F">
              <w:rPr>
                <w:noProof/>
                <w:webHidden/>
              </w:rPr>
            </w:r>
            <w:r w:rsidR="003538E0" w:rsidRPr="0081178F">
              <w:rPr>
                <w:noProof/>
                <w:webHidden/>
              </w:rPr>
              <w:fldChar w:fldCharType="separate"/>
            </w:r>
            <w:r>
              <w:rPr>
                <w:noProof/>
                <w:webHidden/>
              </w:rPr>
              <w:t>11</w:t>
            </w:r>
            <w:r w:rsidR="003538E0" w:rsidRPr="0081178F">
              <w:rPr>
                <w:noProof/>
                <w:webHidden/>
              </w:rPr>
              <w:fldChar w:fldCharType="end"/>
            </w:r>
          </w:hyperlink>
        </w:p>
        <w:p w14:paraId="6126349D" w14:textId="4DC24CF7" w:rsidR="003538E0" w:rsidRPr="0081178F" w:rsidRDefault="003420A7">
          <w:pPr>
            <w:pStyle w:val="TOC1"/>
            <w:rPr>
              <w:rFonts w:asciiTheme="minorHAnsi" w:eastAsiaTheme="minorEastAsia" w:hAnsiTheme="minorHAnsi" w:cstheme="minorBidi"/>
              <w:b w:val="0"/>
              <w:noProof/>
              <w:sz w:val="22"/>
              <w:lang w:eastAsia="en-AU"/>
            </w:rPr>
          </w:pPr>
          <w:hyperlink w:anchor="_Toc117858931" w:history="1">
            <w:r w:rsidR="003538E0" w:rsidRPr="0081178F">
              <w:rPr>
                <w:rStyle w:val="Hyperlink"/>
                <w:noProof/>
              </w:rPr>
              <w:t>Submission overview and risk/benefit assessment</w:t>
            </w:r>
            <w:r w:rsidR="003538E0" w:rsidRPr="0081178F">
              <w:rPr>
                <w:noProof/>
                <w:webHidden/>
              </w:rPr>
              <w:tab/>
            </w:r>
            <w:r w:rsidR="003538E0" w:rsidRPr="0081178F">
              <w:rPr>
                <w:noProof/>
                <w:webHidden/>
              </w:rPr>
              <w:fldChar w:fldCharType="begin"/>
            </w:r>
            <w:r w:rsidR="003538E0" w:rsidRPr="0081178F">
              <w:rPr>
                <w:noProof/>
                <w:webHidden/>
              </w:rPr>
              <w:instrText xml:space="preserve"> PAGEREF _Toc117858931 \h </w:instrText>
            </w:r>
            <w:r w:rsidR="003538E0" w:rsidRPr="0081178F">
              <w:rPr>
                <w:noProof/>
                <w:webHidden/>
              </w:rPr>
            </w:r>
            <w:r w:rsidR="003538E0" w:rsidRPr="0081178F">
              <w:rPr>
                <w:noProof/>
                <w:webHidden/>
              </w:rPr>
              <w:fldChar w:fldCharType="separate"/>
            </w:r>
            <w:r>
              <w:rPr>
                <w:noProof/>
                <w:webHidden/>
              </w:rPr>
              <w:t>11</w:t>
            </w:r>
            <w:r w:rsidR="003538E0" w:rsidRPr="0081178F">
              <w:rPr>
                <w:noProof/>
                <w:webHidden/>
              </w:rPr>
              <w:fldChar w:fldCharType="end"/>
            </w:r>
          </w:hyperlink>
        </w:p>
        <w:p w14:paraId="11BD653F" w14:textId="02B31171" w:rsidR="003538E0" w:rsidRPr="0081178F" w:rsidRDefault="003420A7">
          <w:pPr>
            <w:pStyle w:val="TOC2"/>
            <w:rPr>
              <w:rFonts w:asciiTheme="minorHAnsi" w:eastAsiaTheme="minorEastAsia" w:hAnsiTheme="minorHAnsi" w:cstheme="minorBidi"/>
              <w:b w:val="0"/>
              <w:noProof/>
              <w:sz w:val="22"/>
              <w:lang w:eastAsia="en-AU"/>
            </w:rPr>
          </w:pPr>
          <w:hyperlink w:anchor="_Toc117858932" w:history="1">
            <w:r w:rsidR="003538E0" w:rsidRPr="0081178F">
              <w:rPr>
                <w:rStyle w:val="Hyperlink"/>
                <w:noProof/>
              </w:rPr>
              <w:t>Quality</w:t>
            </w:r>
            <w:r w:rsidR="003538E0" w:rsidRPr="0081178F">
              <w:rPr>
                <w:noProof/>
                <w:webHidden/>
              </w:rPr>
              <w:tab/>
            </w:r>
            <w:r w:rsidR="003538E0" w:rsidRPr="0081178F">
              <w:rPr>
                <w:noProof/>
                <w:webHidden/>
              </w:rPr>
              <w:fldChar w:fldCharType="begin"/>
            </w:r>
            <w:r w:rsidR="003538E0" w:rsidRPr="0081178F">
              <w:rPr>
                <w:noProof/>
                <w:webHidden/>
              </w:rPr>
              <w:instrText xml:space="preserve"> PAGEREF _Toc117858932 \h </w:instrText>
            </w:r>
            <w:r w:rsidR="003538E0" w:rsidRPr="0081178F">
              <w:rPr>
                <w:noProof/>
                <w:webHidden/>
              </w:rPr>
            </w:r>
            <w:r w:rsidR="003538E0" w:rsidRPr="0081178F">
              <w:rPr>
                <w:noProof/>
                <w:webHidden/>
              </w:rPr>
              <w:fldChar w:fldCharType="separate"/>
            </w:r>
            <w:r>
              <w:rPr>
                <w:noProof/>
                <w:webHidden/>
              </w:rPr>
              <w:t>12</w:t>
            </w:r>
            <w:r w:rsidR="003538E0" w:rsidRPr="0081178F">
              <w:rPr>
                <w:noProof/>
                <w:webHidden/>
              </w:rPr>
              <w:fldChar w:fldCharType="end"/>
            </w:r>
          </w:hyperlink>
        </w:p>
        <w:p w14:paraId="29E1DF2E" w14:textId="727BF56E" w:rsidR="003538E0" w:rsidRPr="0081178F" w:rsidRDefault="003420A7">
          <w:pPr>
            <w:pStyle w:val="TOC2"/>
            <w:rPr>
              <w:rFonts w:asciiTheme="minorHAnsi" w:eastAsiaTheme="minorEastAsia" w:hAnsiTheme="minorHAnsi" w:cstheme="minorBidi"/>
              <w:b w:val="0"/>
              <w:noProof/>
              <w:sz w:val="22"/>
              <w:lang w:eastAsia="en-AU"/>
            </w:rPr>
          </w:pPr>
          <w:hyperlink w:anchor="_Toc117858933" w:history="1">
            <w:r w:rsidR="003538E0" w:rsidRPr="0081178F">
              <w:rPr>
                <w:rStyle w:val="Hyperlink"/>
                <w:noProof/>
              </w:rPr>
              <w:t>Nonclinical</w:t>
            </w:r>
            <w:r w:rsidR="003538E0" w:rsidRPr="0081178F">
              <w:rPr>
                <w:noProof/>
                <w:webHidden/>
              </w:rPr>
              <w:tab/>
            </w:r>
            <w:r w:rsidR="003538E0" w:rsidRPr="0081178F">
              <w:rPr>
                <w:noProof/>
                <w:webHidden/>
              </w:rPr>
              <w:fldChar w:fldCharType="begin"/>
            </w:r>
            <w:r w:rsidR="003538E0" w:rsidRPr="0081178F">
              <w:rPr>
                <w:noProof/>
                <w:webHidden/>
              </w:rPr>
              <w:instrText xml:space="preserve"> PAGEREF _Toc117858933 \h </w:instrText>
            </w:r>
            <w:r w:rsidR="003538E0" w:rsidRPr="0081178F">
              <w:rPr>
                <w:noProof/>
                <w:webHidden/>
              </w:rPr>
            </w:r>
            <w:r w:rsidR="003538E0" w:rsidRPr="0081178F">
              <w:rPr>
                <w:noProof/>
                <w:webHidden/>
              </w:rPr>
              <w:fldChar w:fldCharType="separate"/>
            </w:r>
            <w:r>
              <w:rPr>
                <w:noProof/>
                <w:webHidden/>
              </w:rPr>
              <w:t>13</w:t>
            </w:r>
            <w:r w:rsidR="003538E0" w:rsidRPr="0081178F">
              <w:rPr>
                <w:noProof/>
                <w:webHidden/>
              </w:rPr>
              <w:fldChar w:fldCharType="end"/>
            </w:r>
          </w:hyperlink>
        </w:p>
        <w:p w14:paraId="593BB184" w14:textId="7333DEB4" w:rsidR="003538E0" w:rsidRPr="0081178F" w:rsidRDefault="003420A7">
          <w:pPr>
            <w:pStyle w:val="TOC2"/>
            <w:rPr>
              <w:rFonts w:asciiTheme="minorHAnsi" w:eastAsiaTheme="minorEastAsia" w:hAnsiTheme="minorHAnsi" w:cstheme="minorBidi"/>
              <w:b w:val="0"/>
              <w:noProof/>
              <w:sz w:val="22"/>
              <w:lang w:eastAsia="en-AU"/>
            </w:rPr>
          </w:pPr>
          <w:hyperlink w:anchor="_Toc117858934" w:history="1">
            <w:r w:rsidR="003538E0" w:rsidRPr="0081178F">
              <w:rPr>
                <w:rStyle w:val="Hyperlink"/>
                <w:noProof/>
              </w:rPr>
              <w:t>Clinical</w:t>
            </w:r>
            <w:r w:rsidR="003538E0" w:rsidRPr="0081178F">
              <w:rPr>
                <w:noProof/>
                <w:webHidden/>
              </w:rPr>
              <w:tab/>
            </w:r>
            <w:r w:rsidR="003538E0" w:rsidRPr="0081178F">
              <w:rPr>
                <w:noProof/>
                <w:webHidden/>
              </w:rPr>
              <w:fldChar w:fldCharType="begin"/>
            </w:r>
            <w:r w:rsidR="003538E0" w:rsidRPr="0081178F">
              <w:rPr>
                <w:noProof/>
                <w:webHidden/>
              </w:rPr>
              <w:instrText xml:space="preserve"> PAGEREF _Toc117858934 \h </w:instrText>
            </w:r>
            <w:r w:rsidR="003538E0" w:rsidRPr="0081178F">
              <w:rPr>
                <w:noProof/>
                <w:webHidden/>
              </w:rPr>
            </w:r>
            <w:r w:rsidR="003538E0" w:rsidRPr="0081178F">
              <w:rPr>
                <w:noProof/>
                <w:webHidden/>
              </w:rPr>
              <w:fldChar w:fldCharType="separate"/>
            </w:r>
            <w:r>
              <w:rPr>
                <w:noProof/>
                <w:webHidden/>
              </w:rPr>
              <w:t>14</w:t>
            </w:r>
            <w:r w:rsidR="003538E0" w:rsidRPr="0081178F">
              <w:rPr>
                <w:noProof/>
                <w:webHidden/>
              </w:rPr>
              <w:fldChar w:fldCharType="end"/>
            </w:r>
          </w:hyperlink>
        </w:p>
        <w:p w14:paraId="6215EB92" w14:textId="4C3CA07B" w:rsidR="003538E0" w:rsidRPr="0081178F" w:rsidRDefault="003420A7">
          <w:pPr>
            <w:pStyle w:val="TOC2"/>
            <w:rPr>
              <w:rFonts w:asciiTheme="minorHAnsi" w:eastAsiaTheme="minorEastAsia" w:hAnsiTheme="minorHAnsi" w:cstheme="minorBidi"/>
              <w:b w:val="0"/>
              <w:noProof/>
              <w:sz w:val="22"/>
              <w:lang w:eastAsia="en-AU"/>
            </w:rPr>
          </w:pPr>
          <w:hyperlink w:anchor="_Toc117858935" w:history="1">
            <w:r w:rsidR="003538E0" w:rsidRPr="0081178F">
              <w:rPr>
                <w:rStyle w:val="Hyperlink"/>
                <w:noProof/>
                <w:lang w:eastAsia="en-AU"/>
              </w:rPr>
              <w:t>Risk management plan</w:t>
            </w:r>
            <w:r w:rsidR="003538E0" w:rsidRPr="0081178F">
              <w:rPr>
                <w:noProof/>
                <w:webHidden/>
              </w:rPr>
              <w:tab/>
            </w:r>
            <w:r w:rsidR="003538E0" w:rsidRPr="0081178F">
              <w:rPr>
                <w:noProof/>
                <w:webHidden/>
              </w:rPr>
              <w:fldChar w:fldCharType="begin"/>
            </w:r>
            <w:r w:rsidR="003538E0" w:rsidRPr="0081178F">
              <w:rPr>
                <w:noProof/>
                <w:webHidden/>
              </w:rPr>
              <w:instrText xml:space="preserve"> PAGEREF _Toc117858935 \h </w:instrText>
            </w:r>
            <w:r w:rsidR="003538E0" w:rsidRPr="0081178F">
              <w:rPr>
                <w:noProof/>
                <w:webHidden/>
              </w:rPr>
            </w:r>
            <w:r w:rsidR="003538E0" w:rsidRPr="0081178F">
              <w:rPr>
                <w:noProof/>
                <w:webHidden/>
              </w:rPr>
              <w:fldChar w:fldCharType="separate"/>
            </w:r>
            <w:r>
              <w:rPr>
                <w:noProof/>
                <w:webHidden/>
              </w:rPr>
              <w:t>33</w:t>
            </w:r>
            <w:r w:rsidR="003538E0" w:rsidRPr="0081178F">
              <w:rPr>
                <w:noProof/>
                <w:webHidden/>
              </w:rPr>
              <w:fldChar w:fldCharType="end"/>
            </w:r>
          </w:hyperlink>
        </w:p>
        <w:p w14:paraId="7DFB18FA" w14:textId="168B2CAE" w:rsidR="003538E0" w:rsidRPr="0081178F" w:rsidRDefault="003420A7">
          <w:pPr>
            <w:pStyle w:val="TOC2"/>
            <w:rPr>
              <w:rFonts w:asciiTheme="minorHAnsi" w:eastAsiaTheme="minorEastAsia" w:hAnsiTheme="minorHAnsi" w:cstheme="minorBidi"/>
              <w:b w:val="0"/>
              <w:noProof/>
              <w:sz w:val="22"/>
              <w:lang w:eastAsia="en-AU"/>
            </w:rPr>
          </w:pPr>
          <w:hyperlink w:anchor="_Toc117858936" w:history="1">
            <w:r w:rsidR="003538E0" w:rsidRPr="0081178F">
              <w:rPr>
                <w:rStyle w:val="Hyperlink"/>
                <w:noProof/>
              </w:rPr>
              <w:t>Risk-benefit analysis</w:t>
            </w:r>
            <w:r w:rsidR="003538E0" w:rsidRPr="0081178F">
              <w:rPr>
                <w:noProof/>
                <w:webHidden/>
              </w:rPr>
              <w:tab/>
            </w:r>
            <w:r w:rsidR="003538E0" w:rsidRPr="0081178F">
              <w:rPr>
                <w:noProof/>
                <w:webHidden/>
              </w:rPr>
              <w:fldChar w:fldCharType="begin"/>
            </w:r>
            <w:r w:rsidR="003538E0" w:rsidRPr="0081178F">
              <w:rPr>
                <w:noProof/>
                <w:webHidden/>
              </w:rPr>
              <w:instrText xml:space="preserve"> PAGEREF _Toc117858936 \h </w:instrText>
            </w:r>
            <w:r w:rsidR="003538E0" w:rsidRPr="0081178F">
              <w:rPr>
                <w:noProof/>
                <w:webHidden/>
              </w:rPr>
            </w:r>
            <w:r w:rsidR="003538E0" w:rsidRPr="0081178F">
              <w:rPr>
                <w:noProof/>
                <w:webHidden/>
              </w:rPr>
              <w:fldChar w:fldCharType="separate"/>
            </w:r>
            <w:r>
              <w:rPr>
                <w:noProof/>
                <w:webHidden/>
              </w:rPr>
              <w:t>34</w:t>
            </w:r>
            <w:r w:rsidR="003538E0" w:rsidRPr="0081178F">
              <w:rPr>
                <w:noProof/>
                <w:webHidden/>
              </w:rPr>
              <w:fldChar w:fldCharType="end"/>
            </w:r>
          </w:hyperlink>
        </w:p>
        <w:p w14:paraId="24FA1FF7" w14:textId="36CD2711" w:rsidR="003538E0" w:rsidRPr="0081178F" w:rsidRDefault="003420A7">
          <w:pPr>
            <w:pStyle w:val="TOC1"/>
            <w:rPr>
              <w:rFonts w:asciiTheme="minorHAnsi" w:eastAsiaTheme="minorEastAsia" w:hAnsiTheme="minorHAnsi" w:cstheme="minorBidi"/>
              <w:b w:val="0"/>
              <w:noProof/>
              <w:sz w:val="22"/>
              <w:lang w:eastAsia="en-AU"/>
            </w:rPr>
          </w:pPr>
          <w:hyperlink w:anchor="_Toc117858937" w:history="1">
            <w:r w:rsidR="003538E0" w:rsidRPr="0081178F">
              <w:rPr>
                <w:rStyle w:val="Hyperlink"/>
                <w:noProof/>
              </w:rPr>
              <w:t>Outcome</w:t>
            </w:r>
            <w:r w:rsidR="003538E0" w:rsidRPr="0081178F">
              <w:rPr>
                <w:noProof/>
                <w:webHidden/>
              </w:rPr>
              <w:tab/>
            </w:r>
            <w:r w:rsidR="003538E0" w:rsidRPr="0081178F">
              <w:rPr>
                <w:noProof/>
                <w:webHidden/>
              </w:rPr>
              <w:fldChar w:fldCharType="begin"/>
            </w:r>
            <w:r w:rsidR="003538E0" w:rsidRPr="0081178F">
              <w:rPr>
                <w:noProof/>
                <w:webHidden/>
              </w:rPr>
              <w:instrText xml:space="preserve"> PAGEREF _Toc117858937 \h </w:instrText>
            </w:r>
            <w:r w:rsidR="003538E0" w:rsidRPr="0081178F">
              <w:rPr>
                <w:noProof/>
                <w:webHidden/>
              </w:rPr>
            </w:r>
            <w:r w:rsidR="003538E0" w:rsidRPr="0081178F">
              <w:rPr>
                <w:noProof/>
                <w:webHidden/>
              </w:rPr>
              <w:fldChar w:fldCharType="separate"/>
            </w:r>
            <w:r>
              <w:rPr>
                <w:noProof/>
                <w:webHidden/>
              </w:rPr>
              <w:t>37</w:t>
            </w:r>
            <w:r w:rsidR="003538E0" w:rsidRPr="0081178F">
              <w:rPr>
                <w:noProof/>
                <w:webHidden/>
              </w:rPr>
              <w:fldChar w:fldCharType="end"/>
            </w:r>
          </w:hyperlink>
        </w:p>
        <w:p w14:paraId="2AA904FF" w14:textId="7299A5D6" w:rsidR="003538E0" w:rsidRPr="0081178F" w:rsidRDefault="003420A7">
          <w:pPr>
            <w:pStyle w:val="TOC2"/>
            <w:rPr>
              <w:rFonts w:asciiTheme="minorHAnsi" w:eastAsiaTheme="minorEastAsia" w:hAnsiTheme="minorHAnsi" w:cstheme="minorBidi"/>
              <w:b w:val="0"/>
              <w:noProof/>
              <w:sz w:val="22"/>
              <w:lang w:eastAsia="en-AU"/>
            </w:rPr>
          </w:pPr>
          <w:hyperlink w:anchor="_Toc117858938" w:history="1">
            <w:r w:rsidR="003538E0" w:rsidRPr="0081178F">
              <w:rPr>
                <w:rStyle w:val="Hyperlink"/>
                <w:noProof/>
              </w:rPr>
              <w:t>Specific conditions of registration applying to these goods</w:t>
            </w:r>
            <w:r w:rsidR="003538E0" w:rsidRPr="0081178F">
              <w:rPr>
                <w:noProof/>
                <w:webHidden/>
              </w:rPr>
              <w:tab/>
            </w:r>
            <w:r w:rsidR="003538E0" w:rsidRPr="0081178F">
              <w:rPr>
                <w:noProof/>
                <w:webHidden/>
              </w:rPr>
              <w:fldChar w:fldCharType="begin"/>
            </w:r>
            <w:r w:rsidR="003538E0" w:rsidRPr="0081178F">
              <w:rPr>
                <w:noProof/>
                <w:webHidden/>
              </w:rPr>
              <w:instrText xml:space="preserve"> PAGEREF _Toc117858938 \h </w:instrText>
            </w:r>
            <w:r w:rsidR="003538E0" w:rsidRPr="0081178F">
              <w:rPr>
                <w:noProof/>
                <w:webHidden/>
              </w:rPr>
            </w:r>
            <w:r w:rsidR="003538E0" w:rsidRPr="0081178F">
              <w:rPr>
                <w:noProof/>
                <w:webHidden/>
              </w:rPr>
              <w:fldChar w:fldCharType="separate"/>
            </w:r>
            <w:r>
              <w:rPr>
                <w:noProof/>
                <w:webHidden/>
              </w:rPr>
              <w:t>38</w:t>
            </w:r>
            <w:r w:rsidR="003538E0" w:rsidRPr="0081178F">
              <w:rPr>
                <w:noProof/>
                <w:webHidden/>
              </w:rPr>
              <w:fldChar w:fldCharType="end"/>
            </w:r>
          </w:hyperlink>
        </w:p>
        <w:p w14:paraId="3131824E" w14:textId="16440FFA" w:rsidR="003538E0" w:rsidRPr="0081178F" w:rsidRDefault="003420A7">
          <w:pPr>
            <w:pStyle w:val="TOC1"/>
            <w:rPr>
              <w:rFonts w:asciiTheme="minorHAnsi" w:eastAsiaTheme="minorEastAsia" w:hAnsiTheme="minorHAnsi" w:cstheme="minorBidi"/>
              <w:b w:val="0"/>
              <w:noProof/>
              <w:sz w:val="22"/>
              <w:lang w:eastAsia="en-AU"/>
            </w:rPr>
          </w:pPr>
          <w:hyperlink w:anchor="_Toc117858939" w:history="1">
            <w:r w:rsidR="003538E0" w:rsidRPr="0081178F">
              <w:rPr>
                <w:rStyle w:val="Hyperlink"/>
                <w:noProof/>
              </w:rPr>
              <w:t>Attachment 1. Product Information</w:t>
            </w:r>
            <w:r w:rsidR="003538E0" w:rsidRPr="0081178F">
              <w:rPr>
                <w:noProof/>
                <w:webHidden/>
              </w:rPr>
              <w:tab/>
            </w:r>
            <w:r w:rsidR="003538E0" w:rsidRPr="0081178F">
              <w:rPr>
                <w:noProof/>
                <w:webHidden/>
              </w:rPr>
              <w:fldChar w:fldCharType="begin"/>
            </w:r>
            <w:r w:rsidR="003538E0" w:rsidRPr="0081178F">
              <w:rPr>
                <w:noProof/>
                <w:webHidden/>
              </w:rPr>
              <w:instrText xml:space="preserve"> PAGEREF _Toc117858939 \h </w:instrText>
            </w:r>
            <w:r w:rsidR="003538E0" w:rsidRPr="0081178F">
              <w:rPr>
                <w:noProof/>
                <w:webHidden/>
              </w:rPr>
            </w:r>
            <w:r w:rsidR="003538E0" w:rsidRPr="0081178F">
              <w:rPr>
                <w:noProof/>
                <w:webHidden/>
              </w:rPr>
              <w:fldChar w:fldCharType="separate"/>
            </w:r>
            <w:r>
              <w:rPr>
                <w:noProof/>
                <w:webHidden/>
              </w:rPr>
              <w:t>39</w:t>
            </w:r>
            <w:r w:rsidR="003538E0" w:rsidRPr="0081178F">
              <w:rPr>
                <w:noProof/>
                <w:webHidden/>
              </w:rPr>
              <w:fldChar w:fldCharType="end"/>
            </w:r>
          </w:hyperlink>
        </w:p>
        <w:p w14:paraId="25EAA5E3" w14:textId="5360B1BE" w:rsidR="003A7F6C" w:rsidRPr="0081178F" w:rsidRDefault="00C525A2" w:rsidP="00EB36D6">
          <w:r w:rsidRPr="0081178F">
            <w:fldChar w:fldCharType="end"/>
          </w:r>
        </w:p>
      </w:sdtContent>
    </w:sdt>
    <w:bookmarkStart w:id="2" w:name="_Toc314842482" w:displacedByCustomXml="prev"/>
    <w:p w14:paraId="35EAB8AD" w14:textId="2AC3561F" w:rsidR="00FD119B" w:rsidRPr="0081178F" w:rsidRDefault="00FD119B">
      <w:pPr>
        <w:spacing w:before="0" w:after="200" w:line="0" w:lineRule="auto"/>
      </w:pPr>
    </w:p>
    <w:p w14:paraId="08BB9C11" w14:textId="77777777" w:rsidR="00AF2313" w:rsidRPr="0081178F" w:rsidRDefault="00AF2313" w:rsidP="00364EFE">
      <w:pPr>
        <w:pStyle w:val="Heading2"/>
        <w:pageBreakBefore/>
      </w:pPr>
      <w:bookmarkStart w:id="3" w:name="_Toc98931917"/>
      <w:bookmarkStart w:id="4" w:name="_Toc117858924"/>
      <w:r w:rsidRPr="0081178F">
        <w:t>List of abbreviations</w:t>
      </w:r>
      <w:bookmarkEnd w:id="3"/>
      <w:bookmarkEnd w:id="4"/>
    </w:p>
    <w:tbl>
      <w:tblPr>
        <w:tblStyle w:val="TableTGAblue"/>
        <w:tblW w:w="5000" w:type="pct"/>
        <w:tblLook w:val="04A0" w:firstRow="1" w:lastRow="0" w:firstColumn="1" w:lastColumn="0" w:noHBand="0" w:noVBand="1"/>
      </w:tblPr>
      <w:tblGrid>
        <w:gridCol w:w="1901"/>
        <w:gridCol w:w="1105"/>
        <w:gridCol w:w="5478"/>
      </w:tblGrid>
      <w:tr w:rsidR="00AF2313" w:rsidRPr="0081178F" w14:paraId="3EDC9EE1" w14:textId="77777777" w:rsidTr="00AF2313">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3F742DBD" w14:textId="77777777" w:rsidR="00AF2313" w:rsidRPr="0081178F" w:rsidRDefault="00AF2313">
            <w:pPr>
              <w:rPr>
                <w:color w:val="FFFFFF"/>
              </w:rPr>
            </w:pPr>
            <w:bookmarkStart w:id="5" w:name="_Hlk110192811"/>
            <w:r w:rsidRPr="0081178F">
              <w:t>Abbreviation</w:t>
            </w:r>
          </w:p>
        </w:tc>
        <w:tc>
          <w:tcPr>
            <w:tcW w:w="3282" w:type="pct"/>
            <w:hideMark/>
          </w:tcPr>
          <w:p w14:paraId="670B7D8E" w14:textId="77777777" w:rsidR="00AF2313" w:rsidRPr="0081178F" w:rsidRDefault="00AF2313">
            <w:r w:rsidRPr="0081178F">
              <w:t>Meaning</w:t>
            </w:r>
          </w:p>
        </w:tc>
      </w:tr>
      <w:tr w:rsidR="001C7A0B" w:rsidRPr="0081178F" w14:paraId="14D99F16" w14:textId="77777777" w:rsidTr="001C7A0B">
        <w:trPr>
          <w:cantSplit/>
        </w:trPr>
        <w:tc>
          <w:tcPr>
            <w:tcW w:w="1013" w:type="pct"/>
            <w:tcBorders>
              <w:top w:val="single" w:sz="8" w:space="0" w:color="002C47"/>
              <w:left w:val="single" w:sz="8" w:space="0" w:color="002C47"/>
              <w:bottom w:val="single" w:sz="8" w:space="0" w:color="002C47"/>
              <w:right w:val="single" w:sz="8" w:space="0" w:color="002C47"/>
            </w:tcBorders>
          </w:tcPr>
          <w:p w14:paraId="30C805F7" w14:textId="0B1041E3" w:rsidR="001C7A0B" w:rsidRPr="0081178F" w:rsidRDefault="001C7A0B" w:rsidP="001C7A0B">
            <w:r w:rsidRPr="0081178F">
              <w:t>ACM</w:t>
            </w:r>
          </w:p>
        </w:tc>
        <w:tc>
          <w:tcPr>
            <w:tcW w:w="3987" w:type="pct"/>
            <w:gridSpan w:val="2"/>
            <w:tcBorders>
              <w:top w:val="single" w:sz="8" w:space="0" w:color="002C47"/>
              <w:left w:val="single" w:sz="8" w:space="0" w:color="002C47"/>
              <w:bottom w:val="single" w:sz="8" w:space="0" w:color="002C47"/>
              <w:right w:val="single" w:sz="8" w:space="0" w:color="002C47"/>
            </w:tcBorders>
          </w:tcPr>
          <w:p w14:paraId="0499A19C" w14:textId="09BC49DB" w:rsidR="001C7A0B" w:rsidRPr="0081178F" w:rsidRDefault="001C7A0B" w:rsidP="001C7A0B">
            <w:r w:rsidRPr="0081178F">
              <w:t>Advisory Committee on Medicines</w:t>
            </w:r>
          </w:p>
        </w:tc>
      </w:tr>
      <w:tr w:rsidR="001C7A0B" w:rsidRPr="0081178F" w14:paraId="159CFE19" w14:textId="77777777" w:rsidTr="001C7A0B">
        <w:trPr>
          <w:cantSplit/>
        </w:trPr>
        <w:tc>
          <w:tcPr>
            <w:tcW w:w="1013" w:type="pct"/>
            <w:tcBorders>
              <w:top w:val="single" w:sz="8" w:space="0" w:color="002C47"/>
              <w:left w:val="single" w:sz="8" w:space="0" w:color="002C47"/>
              <w:bottom w:val="single" w:sz="8" w:space="0" w:color="002C47"/>
              <w:right w:val="single" w:sz="8" w:space="0" w:color="002C47"/>
            </w:tcBorders>
          </w:tcPr>
          <w:p w14:paraId="4121A6F1" w14:textId="04B9A8D5" w:rsidR="001C7A0B" w:rsidRPr="0081178F" w:rsidRDefault="001C7A0B" w:rsidP="001C7A0B">
            <w:r w:rsidRPr="0081178F">
              <w:t>ACR</w:t>
            </w:r>
          </w:p>
        </w:tc>
        <w:tc>
          <w:tcPr>
            <w:tcW w:w="3987" w:type="pct"/>
            <w:gridSpan w:val="2"/>
            <w:tcBorders>
              <w:top w:val="single" w:sz="8" w:space="0" w:color="002C47"/>
              <w:left w:val="single" w:sz="8" w:space="0" w:color="002C47"/>
              <w:bottom w:val="single" w:sz="8" w:space="0" w:color="002C47"/>
              <w:right w:val="single" w:sz="8" w:space="0" w:color="002C47"/>
            </w:tcBorders>
          </w:tcPr>
          <w:p w14:paraId="430E45EA" w14:textId="16758751" w:rsidR="001C7A0B" w:rsidRPr="0081178F" w:rsidRDefault="001C7A0B" w:rsidP="001C7A0B">
            <w:r w:rsidRPr="0081178F">
              <w:t>American College of Rheumatology</w:t>
            </w:r>
          </w:p>
        </w:tc>
      </w:tr>
      <w:tr w:rsidR="00B6699E" w:rsidRPr="0081178F" w14:paraId="35C8146A" w14:textId="77777777" w:rsidTr="001C7A0B">
        <w:trPr>
          <w:cantSplit/>
        </w:trPr>
        <w:tc>
          <w:tcPr>
            <w:tcW w:w="1013" w:type="pct"/>
            <w:tcBorders>
              <w:top w:val="single" w:sz="8" w:space="0" w:color="002C47"/>
              <w:left w:val="single" w:sz="8" w:space="0" w:color="002C47"/>
              <w:bottom w:val="single" w:sz="8" w:space="0" w:color="002C47"/>
              <w:right w:val="single" w:sz="8" w:space="0" w:color="002C47"/>
            </w:tcBorders>
          </w:tcPr>
          <w:p w14:paraId="239FE786" w14:textId="2EDFE954" w:rsidR="00B6699E" w:rsidRPr="0081178F" w:rsidRDefault="00B6699E" w:rsidP="001C7A0B">
            <w:r w:rsidRPr="0081178F">
              <w:t>ACR20/50/70</w:t>
            </w:r>
          </w:p>
        </w:tc>
        <w:tc>
          <w:tcPr>
            <w:tcW w:w="3987" w:type="pct"/>
            <w:gridSpan w:val="2"/>
            <w:tcBorders>
              <w:top w:val="single" w:sz="8" w:space="0" w:color="002C47"/>
              <w:left w:val="single" w:sz="8" w:space="0" w:color="002C47"/>
              <w:bottom w:val="single" w:sz="8" w:space="0" w:color="002C47"/>
              <w:right w:val="single" w:sz="8" w:space="0" w:color="002C47"/>
            </w:tcBorders>
          </w:tcPr>
          <w:p w14:paraId="4881C750" w14:textId="6A21C597" w:rsidR="00B6699E" w:rsidRPr="0081178F" w:rsidRDefault="00B6699E" w:rsidP="001C7A0B">
            <w:r w:rsidRPr="0081178F">
              <w:t>20%/50%/70% improvement in American College of Rheumatology criteria</w:t>
            </w:r>
          </w:p>
        </w:tc>
      </w:tr>
      <w:tr w:rsidR="001C7A0B" w:rsidRPr="0081178F" w14:paraId="0A656BC8" w14:textId="77777777" w:rsidTr="001C7A0B">
        <w:trPr>
          <w:cantSplit/>
        </w:trPr>
        <w:tc>
          <w:tcPr>
            <w:tcW w:w="1013" w:type="pct"/>
            <w:tcBorders>
              <w:top w:val="single" w:sz="8" w:space="0" w:color="002C47"/>
              <w:left w:val="single" w:sz="8" w:space="0" w:color="002C47"/>
              <w:bottom w:val="single" w:sz="8" w:space="0" w:color="002C47"/>
              <w:right w:val="single" w:sz="8" w:space="0" w:color="002C47"/>
            </w:tcBorders>
          </w:tcPr>
          <w:p w14:paraId="47F9734D" w14:textId="0FBBCE4D" w:rsidR="001C7A0B" w:rsidRPr="0081178F" w:rsidRDefault="001C7A0B" w:rsidP="001C7A0B">
            <w:r w:rsidRPr="0081178F">
              <w:t>ADA</w:t>
            </w:r>
          </w:p>
        </w:tc>
        <w:tc>
          <w:tcPr>
            <w:tcW w:w="3987" w:type="pct"/>
            <w:gridSpan w:val="2"/>
            <w:tcBorders>
              <w:top w:val="single" w:sz="8" w:space="0" w:color="002C47"/>
              <w:left w:val="single" w:sz="8" w:space="0" w:color="002C47"/>
              <w:bottom w:val="single" w:sz="8" w:space="0" w:color="002C47"/>
              <w:right w:val="single" w:sz="8" w:space="0" w:color="002C47"/>
            </w:tcBorders>
          </w:tcPr>
          <w:p w14:paraId="47C9238B" w14:textId="3C792874" w:rsidR="001C7A0B" w:rsidRPr="0081178F" w:rsidRDefault="001C7A0B" w:rsidP="001C7A0B">
            <w:r w:rsidRPr="0081178F">
              <w:t>Anti-drug antibody</w:t>
            </w:r>
          </w:p>
        </w:tc>
      </w:tr>
      <w:tr w:rsidR="001C7A0B" w:rsidRPr="0081178F" w14:paraId="6AD857CA" w14:textId="77777777" w:rsidTr="001C7A0B">
        <w:trPr>
          <w:cantSplit/>
        </w:trPr>
        <w:tc>
          <w:tcPr>
            <w:tcW w:w="1013" w:type="pct"/>
            <w:tcBorders>
              <w:top w:val="single" w:sz="8" w:space="0" w:color="002C47"/>
              <w:left w:val="single" w:sz="8" w:space="0" w:color="002C47"/>
              <w:bottom w:val="single" w:sz="8" w:space="0" w:color="002C47"/>
              <w:right w:val="single" w:sz="8" w:space="0" w:color="002C47"/>
            </w:tcBorders>
          </w:tcPr>
          <w:p w14:paraId="6FE49ACA" w14:textId="40C6E5F7" w:rsidR="001C7A0B" w:rsidRPr="0081178F" w:rsidRDefault="001C7A0B" w:rsidP="001C7A0B">
            <w:r w:rsidRPr="0081178F">
              <w:t>AESI</w:t>
            </w:r>
          </w:p>
        </w:tc>
        <w:tc>
          <w:tcPr>
            <w:tcW w:w="3987" w:type="pct"/>
            <w:gridSpan w:val="2"/>
            <w:tcBorders>
              <w:top w:val="single" w:sz="8" w:space="0" w:color="002C47"/>
              <w:left w:val="single" w:sz="8" w:space="0" w:color="002C47"/>
              <w:bottom w:val="single" w:sz="8" w:space="0" w:color="002C47"/>
              <w:right w:val="single" w:sz="8" w:space="0" w:color="002C47"/>
            </w:tcBorders>
          </w:tcPr>
          <w:p w14:paraId="30132DFF" w14:textId="29710CEC" w:rsidR="001C7A0B" w:rsidRPr="0081178F" w:rsidRDefault="001C7A0B" w:rsidP="001C7A0B">
            <w:r w:rsidRPr="0081178F">
              <w:t>Adverse event of special interest</w:t>
            </w:r>
          </w:p>
        </w:tc>
      </w:tr>
      <w:tr w:rsidR="001C7A0B" w:rsidRPr="0081178F" w14:paraId="1C086AE0" w14:textId="77777777" w:rsidTr="001C7A0B">
        <w:trPr>
          <w:cantSplit/>
        </w:trPr>
        <w:tc>
          <w:tcPr>
            <w:tcW w:w="1013" w:type="pct"/>
            <w:tcBorders>
              <w:top w:val="single" w:sz="8" w:space="0" w:color="002C47"/>
              <w:left w:val="single" w:sz="8" w:space="0" w:color="002C47"/>
              <w:bottom w:val="single" w:sz="8" w:space="0" w:color="002C47"/>
              <w:right w:val="single" w:sz="8" w:space="0" w:color="002C47"/>
            </w:tcBorders>
          </w:tcPr>
          <w:p w14:paraId="08ACDD84" w14:textId="71098B8E" w:rsidR="001C7A0B" w:rsidRPr="0081178F" w:rsidRDefault="001C7A0B" w:rsidP="001C7A0B">
            <w:r w:rsidRPr="0081178F">
              <w:t>ANCOVA</w:t>
            </w:r>
          </w:p>
        </w:tc>
        <w:tc>
          <w:tcPr>
            <w:tcW w:w="3987" w:type="pct"/>
            <w:gridSpan w:val="2"/>
            <w:tcBorders>
              <w:top w:val="single" w:sz="8" w:space="0" w:color="002C47"/>
              <w:left w:val="single" w:sz="8" w:space="0" w:color="002C47"/>
              <w:bottom w:val="single" w:sz="8" w:space="0" w:color="002C47"/>
              <w:right w:val="single" w:sz="8" w:space="0" w:color="002C47"/>
            </w:tcBorders>
          </w:tcPr>
          <w:p w14:paraId="6ABAD19D" w14:textId="1992EB99" w:rsidR="001C7A0B" w:rsidRPr="0081178F" w:rsidRDefault="001C7A0B" w:rsidP="001C7A0B">
            <w:r w:rsidRPr="0081178F">
              <w:t>Analysis of covariance</w:t>
            </w:r>
          </w:p>
        </w:tc>
      </w:tr>
      <w:tr w:rsidR="001C7A0B" w:rsidRPr="0081178F" w14:paraId="0B2AFF73" w14:textId="77777777" w:rsidTr="001C7A0B">
        <w:trPr>
          <w:cantSplit/>
        </w:trPr>
        <w:tc>
          <w:tcPr>
            <w:tcW w:w="1013" w:type="pct"/>
            <w:tcBorders>
              <w:top w:val="single" w:sz="8" w:space="0" w:color="002C47"/>
              <w:left w:val="single" w:sz="8" w:space="0" w:color="002C47"/>
              <w:bottom w:val="single" w:sz="8" w:space="0" w:color="002C47"/>
              <w:right w:val="single" w:sz="8" w:space="0" w:color="002C47"/>
            </w:tcBorders>
          </w:tcPr>
          <w:p w14:paraId="09F8CA00" w14:textId="0A8BB012" w:rsidR="001C7A0B" w:rsidRPr="0081178F" w:rsidRDefault="001C7A0B" w:rsidP="001C7A0B">
            <w:r w:rsidRPr="0081178F">
              <w:t>ARGPM</w:t>
            </w:r>
          </w:p>
        </w:tc>
        <w:tc>
          <w:tcPr>
            <w:tcW w:w="3987" w:type="pct"/>
            <w:gridSpan w:val="2"/>
            <w:tcBorders>
              <w:top w:val="single" w:sz="8" w:space="0" w:color="002C47"/>
              <w:left w:val="single" w:sz="8" w:space="0" w:color="002C47"/>
              <w:bottom w:val="single" w:sz="8" w:space="0" w:color="002C47"/>
              <w:right w:val="single" w:sz="8" w:space="0" w:color="002C47"/>
            </w:tcBorders>
          </w:tcPr>
          <w:p w14:paraId="286A2570" w14:textId="2BEE4FA6" w:rsidR="001C7A0B" w:rsidRPr="0081178F" w:rsidRDefault="001C7A0B" w:rsidP="001C7A0B">
            <w:r w:rsidRPr="0081178F">
              <w:t>Australian Regulatory Guidelines for Prescription Medicines</w:t>
            </w:r>
          </w:p>
        </w:tc>
      </w:tr>
      <w:tr w:rsidR="001C7A0B" w:rsidRPr="0081178F" w14:paraId="2DA71EE6" w14:textId="77777777" w:rsidTr="001C7A0B">
        <w:trPr>
          <w:cantSplit/>
        </w:trPr>
        <w:tc>
          <w:tcPr>
            <w:tcW w:w="1013" w:type="pct"/>
            <w:tcBorders>
              <w:top w:val="single" w:sz="8" w:space="0" w:color="002C47"/>
              <w:left w:val="single" w:sz="8" w:space="0" w:color="002C47"/>
              <w:bottom w:val="single" w:sz="8" w:space="0" w:color="002C47"/>
              <w:right w:val="single" w:sz="8" w:space="0" w:color="002C47"/>
            </w:tcBorders>
          </w:tcPr>
          <w:p w14:paraId="0B969661" w14:textId="7072541D" w:rsidR="001C7A0B" w:rsidRPr="0081178F" w:rsidRDefault="001C7A0B" w:rsidP="001C7A0B">
            <w:r w:rsidRPr="0081178F">
              <w:t>ARTG</w:t>
            </w:r>
          </w:p>
        </w:tc>
        <w:tc>
          <w:tcPr>
            <w:tcW w:w="3987" w:type="pct"/>
            <w:gridSpan w:val="2"/>
            <w:tcBorders>
              <w:top w:val="single" w:sz="8" w:space="0" w:color="002C47"/>
              <w:left w:val="single" w:sz="8" w:space="0" w:color="002C47"/>
              <w:bottom w:val="single" w:sz="8" w:space="0" w:color="002C47"/>
              <w:right w:val="single" w:sz="8" w:space="0" w:color="002C47"/>
            </w:tcBorders>
          </w:tcPr>
          <w:p w14:paraId="2B13B22C" w14:textId="6D11E14E" w:rsidR="001C7A0B" w:rsidRPr="0081178F" w:rsidRDefault="001C7A0B" w:rsidP="001C7A0B">
            <w:r w:rsidRPr="0081178F">
              <w:t>Australian Register of Therapeutic Goods</w:t>
            </w:r>
          </w:p>
        </w:tc>
      </w:tr>
      <w:tr w:rsidR="001C7A0B" w:rsidRPr="0081178F" w14:paraId="224F7730"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F591A05" w14:textId="61FD6871" w:rsidR="001C7A0B" w:rsidRPr="0081178F" w:rsidRDefault="001C7A0B" w:rsidP="001C7A0B">
            <w:pPr>
              <w:rPr>
                <w:color w:val="000000"/>
              </w:rPr>
            </w:pPr>
            <w:r w:rsidRPr="0081178F">
              <w:t>ASA</w:t>
            </w:r>
          </w:p>
        </w:tc>
        <w:tc>
          <w:tcPr>
            <w:tcW w:w="3987" w:type="pct"/>
            <w:gridSpan w:val="2"/>
            <w:tcBorders>
              <w:top w:val="single" w:sz="8" w:space="0" w:color="002C47"/>
              <w:left w:val="single" w:sz="8" w:space="0" w:color="002C47"/>
              <w:bottom w:val="single" w:sz="8" w:space="0" w:color="002C47"/>
              <w:right w:val="single" w:sz="8" w:space="0" w:color="002C47"/>
            </w:tcBorders>
          </w:tcPr>
          <w:p w14:paraId="18482210" w14:textId="519CA1AC" w:rsidR="001C7A0B" w:rsidRPr="0081178F" w:rsidRDefault="001C7A0B" w:rsidP="001C7A0B">
            <w:pPr>
              <w:rPr>
                <w:color w:val="000000"/>
              </w:rPr>
            </w:pPr>
            <w:r w:rsidRPr="0081178F">
              <w:t>Australia specific annex</w:t>
            </w:r>
          </w:p>
        </w:tc>
      </w:tr>
      <w:tr w:rsidR="001C7A0B" w:rsidRPr="0081178F" w14:paraId="3D4A9697"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5D9C28D4" w14:textId="00F32F89" w:rsidR="001C7A0B" w:rsidRPr="0081178F" w:rsidRDefault="001C7A0B" w:rsidP="001C7A0B">
            <w:r w:rsidRPr="0081178F">
              <w:t>AU</w:t>
            </w:r>
          </w:p>
        </w:tc>
        <w:tc>
          <w:tcPr>
            <w:tcW w:w="3987" w:type="pct"/>
            <w:gridSpan w:val="2"/>
            <w:tcBorders>
              <w:top w:val="single" w:sz="8" w:space="0" w:color="002C47"/>
              <w:left w:val="single" w:sz="8" w:space="0" w:color="002C47"/>
              <w:bottom w:val="single" w:sz="8" w:space="0" w:color="002C47"/>
              <w:right w:val="single" w:sz="8" w:space="0" w:color="002C47"/>
            </w:tcBorders>
          </w:tcPr>
          <w:p w14:paraId="4AD7364A" w14:textId="0C734B67" w:rsidR="001C7A0B" w:rsidRPr="0081178F" w:rsidRDefault="001C7A0B" w:rsidP="001C7A0B">
            <w:r w:rsidRPr="0081178F">
              <w:t>Australian</w:t>
            </w:r>
          </w:p>
        </w:tc>
      </w:tr>
      <w:tr w:rsidR="001C7A0B" w:rsidRPr="0081178F" w14:paraId="70EA72A7"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717FF34C" w14:textId="3E205D79" w:rsidR="001C7A0B" w:rsidRPr="0081178F" w:rsidRDefault="001C7A0B" w:rsidP="001C7A0B">
            <w:pPr>
              <w:rPr>
                <w:color w:val="000000"/>
              </w:rPr>
            </w:pPr>
            <w:r w:rsidRPr="0081178F">
              <w:t>%</w:t>
            </w:r>
            <w:proofErr w:type="spellStart"/>
            <w:r w:rsidRPr="0081178F">
              <w:t>AUC</w:t>
            </w:r>
            <w:r w:rsidRPr="0081178F">
              <w:rPr>
                <w:vertAlign w:val="subscript"/>
              </w:rPr>
              <w:t>extrap</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54A59FA5" w14:textId="60447EEB" w:rsidR="001C7A0B" w:rsidRPr="0081178F" w:rsidRDefault="001C7A0B" w:rsidP="001C7A0B">
            <w:r w:rsidRPr="0081178F">
              <w:t>Percentage of the area extrapolated for calculation of AUC</w:t>
            </w:r>
            <w:r w:rsidRPr="0081178F">
              <w:rPr>
                <w:vertAlign w:val="subscript"/>
              </w:rPr>
              <w:t>0-inf</w:t>
            </w:r>
            <w:r w:rsidR="000324F1" w:rsidRPr="0081178F">
              <w:rPr>
                <w:vertAlign w:val="subscript"/>
              </w:rPr>
              <w:t xml:space="preserve"> </w:t>
            </w:r>
            <w:r w:rsidR="000324F1" w:rsidRPr="0081178F">
              <w:t>(area under the concentration time curve from time zero to infinity)</w:t>
            </w:r>
          </w:p>
        </w:tc>
      </w:tr>
      <w:tr w:rsidR="001C7A0B" w:rsidRPr="0081178F" w14:paraId="79F188CC"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71A0C6B1" w14:textId="4219ED80" w:rsidR="001C7A0B" w:rsidRPr="0081178F" w:rsidRDefault="001C7A0B" w:rsidP="001C7A0B">
            <w:r w:rsidRPr="0081178F">
              <w:t>AUC</w:t>
            </w:r>
            <w:r w:rsidRPr="0081178F">
              <w:rPr>
                <w:vertAlign w:val="subscript"/>
              </w:rPr>
              <w:t>0-inf</w:t>
            </w:r>
          </w:p>
        </w:tc>
        <w:tc>
          <w:tcPr>
            <w:tcW w:w="3987" w:type="pct"/>
            <w:gridSpan w:val="2"/>
            <w:tcBorders>
              <w:top w:val="single" w:sz="8" w:space="0" w:color="002C47"/>
              <w:left w:val="single" w:sz="8" w:space="0" w:color="002C47"/>
              <w:bottom w:val="single" w:sz="8" w:space="0" w:color="002C47"/>
              <w:right w:val="single" w:sz="8" w:space="0" w:color="002C47"/>
            </w:tcBorders>
          </w:tcPr>
          <w:p w14:paraId="3FF3758D" w14:textId="2FCC2C66" w:rsidR="001C7A0B" w:rsidRPr="0081178F" w:rsidRDefault="001C7A0B" w:rsidP="001C7A0B">
            <w:r w:rsidRPr="0081178F">
              <w:t>Area under the concentration time curve from time zero to infinity</w:t>
            </w:r>
          </w:p>
        </w:tc>
      </w:tr>
      <w:tr w:rsidR="001C7A0B" w:rsidRPr="0081178F" w14:paraId="5709C00D"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0FD5BDA8" w14:textId="2C1992DB" w:rsidR="001C7A0B" w:rsidRPr="0081178F" w:rsidRDefault="001C7A0B" w:rsidP="001C7A0B">
            <w:r w:rsidRPr="0081178F">
              <w:t>AUC</w:t>
            </w:r>
            <w:r w:rsidRPr="0081178F">
              <w:rPr>
                <w:vertAlign w:val="subscript"/>
              </w:rPr>
              <w:t>0-last</w:t>
            </w:r>
          </w:p>
        </w:tc>
        <w:tc>
          <w:tcPr>
            <w:tcW w:w="3987" w:type="pct"/>
            <w:gridSpan w:val="2"/>
            <w:tcBorders>
              <w:top w:val="single" w:sz="8" w:space="0" w:color="002C47"/>
              <w:left w:val="single" w:sz="8" w:space="0" w:color="002C47"/>
              <w:bottom w:val="single" w:sz="8" w:space="0" w:color="002C47"/>
              <w:right w:val="single" w:sz="8" w:space="0" w:color="002C47"/>
            </w:tcBorders>
          </w:tcPr>
          <w:p w14:paraId="15D993DA" w14:textId="4089421C" w:rsidR="001C7A0B" w:rsidRPr="0081178F" w:rsidRDefault="001C7A0B" w:rsidP="001C7A0B">
            <w:r w:rsidRPr="0081178F">
              <w:t>Area under the concentration time curve from time zero to time of last quantifiable serum concentration</w:t>
            </w:r>
          </w:p>
        </w:tc>
      </w:tr>
      <w:tr w:rsidR="008049F9" w:rsidRPr="0081178F" w14:paraId="15A592C6"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2FFC47D8" w14:textId="783CB5CB" w:rsidR="008049F9" w:rsidRPr="0081178F" w:rsidRDefault="008049F9" w:rsidP="001C7A0B">
            <w:r w:rsidRPr="0081178F">
              <w:t>CDAI</w:t>
            </w:r>
          </w:p>
        </w:tc>
        <w:tc>
          <w:tcPr>
            <w:tcW w:w="3987" w:type="pct"/>
            <w:gridSpan w:val="2"/>
            <w:tcBorders>
              <w:top w:val="single" w:sz="8" w:space="0" w:color="002C47"/>
              <w:left w:val="single" w:sz="8" w:space="0" w:color="002C47"/>
              <w:bottom w:val="single" w:sz="8" w:space="0" w:color="002C47"/>
              <w:right w:val="single" w:sz="8" w:space="0" w:color="002C47"/>
            </w:tcBorders>
          </w:tcPr>
          <w:p w14:paraId="7C5CF811" w14:textId="17E4370B" w:rsidR="008049F9" w:rsidRPr="0081178F" w:rsidRDefault="008049F9" w:rsidP="001C7A0B">
            <w:r w:rsidRPr="0081178F">
              <w:t>Clinical Disease Activity Index</w:t>
            </w:r>
          </w:p>
        </w:tc>
      </w:tr>
      <w:tr w:rsidR="001C7A0B" w:rsidRPr="0081178F" w14:paraId="69721F8F"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6F878B20" w14:textId="5A3199FF" w:rsidR="001C7A0B" w:rsidRPr="0081178F" w:rsidRDefault="001C7A0B" w:rsidP="001C7A0B">
            <w:r w:rsidRPr="0081178F">
              <w:t>CHMP</w:t>
            </w:r>
          </w:p>
        </w:tc>
        <w:tc>
          <w:tcPr>
            <w:tcW w:w="3987" w:type="pct"/>
            <w:gridSpan w:val="2"/>
            <w:tcBorders>
              <w:top w:val="single" w:sz="8" w:space="0" w:color="002C47"/>
              <w:left w:val="single" w:sz="8" w:space="0" w:color="002C47"/>
              <w:bottom w:val="single" w:sz="8" w:space="0" w:color="002C47"/>
              <w:right w:val="single" w:sz="8" w:space="0" w:color="002C47"/>
            </w:tcBorders>
          </w:tcPr>
          <w:p w14:paraId="3DF13459" w14:textId="3BEDBECD" w:rsidR="001C7A0B" w:rsidRPr="0081178F" w:rsidRDefault="001C7A0B" w:rsidP="001C7A0B">
            <w:r w:rsidRPr="0081178F">
              <w:t>Committee for Medicinal Products for Human Use (European Medicines Agency, European Union)</w:t>
            </w:r>
          </w:p>
        </w:tc>
      </w:tr>
      <w:tr w:rsidR="001C7A0B" w:rsidRPr="0081178F" w14:paraId="67D41553"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2168AB85" w14:textId="4E43055E" w:rsidR="001C7A0B" w:rsidRPr="0081178F" w:rsidRDefault="001C7A0B" w:rsidP="001C7A0B">
            <w:r w:rsidRPr="0081178F">
              <w:t>CI</w:t>
            </w:r>
          </w:p>
        </w:tc>
        <w:tc>
          <w:tcPr>
            <w:tcW w:w="3987" w:type="pct"/>
            <w:gridSpan w:val="2"/>
            <w:tcBorders>
              <w:top w:val="single" w:sz="8" w:space="0" w:color="002C47"/>
              <w:left w:val="single" w:sz="8" w:space="0" w:color="002C47"/>
              <w:bottom w:val="single" w:sz="8" w:space="0" w:color="002C47"/>
              <w:right w:val="single" w:sz="8" w:space="0" w:color="002C47"/>
            </w:tcBorders>
          </w:tcPr>
          <w:p w14:paraId="4788D805" w14:textId="37CD4F88" w:rsidR="001C7A0B" w:rsidRPr="0081178F" w:rsidRDefault="001C7A0B" w:rsidP="001C7A0B">
            <w:r w:rsidRPr="0081178F">
              <w:t>Confidence interval</w:t>
            </w:r>
          </w:p>
        </w:tc>
      </w:tr>
      <w:tr w:rsidR="001C7A0B" w:rsidRPr="0081178F" w14:paraId="6D14E19F"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3D6D5BD3" w14:textId="5520728B" w:rsidR="001C7A0B" w:rsidRPr="0081178F" w:rsidRDefault="001C7A0B" w:rsidP="001C7A0B">
            <w:proofErr w:type="spellStart"/>
            <w:r w:rsidRPr="0081178F">
              <w:t>C</w:t>
            </w:r>
            <w:r w:rsidRPr="0081178F">
              <w:rPr>
                <w:vertAlign w:val="subscript"/>
              </w:rPr>
              <w:t>max</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2768731D" w14:textId="105092A6" w:rsidR="001C7A0B" w:rsidRPr="0081178F" w:rsidRDefault="001C7A0B" w:rsidP="001C7A0B">
            <w:r w:rsidRPr="0081178F">
              <w:t>Maximum serum concentration</w:t>
            </w:r>
          </w:p>
        </w:tc>
      </w:tr>
      <w:tr w:rsidR="001C7A0B" w:rsidRPr="0081178F" w14:paraId="2B9A64A4"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7CD4C9BD" w14:textId="5D13ABE9" w:rsidR="001C7A0B" w:rsidRPr="0081178F" w:rsidRDefault="001C7A0B" w:rsidP="001C7A0B">
            <w:r w:rsidRPr="0081178F">
              <w:t>CMI</w:t>
            </w:r>
          </w:p>
        </w:tc>
        <w:tc>
          <w:tcPr>
            <w:tcW w:w="3987" w:type="pct"/>
            <w:gridSpan w:val="2"/>
            <w:tcBorders>
              <w:top w:val="single" w:sz="8" w:space="0" w:color="002C47"/>
              <w:left w:val="single" w:sz="8" w:space="0" w:color="002C47"/>
              <w:bottom w:val="single" w:sz="8" w:space="0" w:color="002C47"/>
              <w:right w:val="single" w:sz="8" w:space="0" w:color="002C47"/>
            </w:tcBorders>
          </w:tcPr>
          <w:p w14:paraId="0A4C4908" w14:textId="56B6FCA9" w:rsidR="001C7A0B" w:rsidRPr="0081178F" w:rsidRDefault="001C7A0B" w:rsidP="001C7A0B">
            <w:r w:rsidRPr="0081178F">
              <w:t>Consumer Medicine Information</w:t>
            </w:r>
          </w:p>
        </w:tc>
      </w:tr>
      <w:tr w:rsidR="001C7A0B" w:rsidRPr="0081178F" w14:paraId="143B6F5E"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0CD5D128" w14:textId="472C3341" w:rsidR="001C7A0B" w:rsidRPr="0081178F" w:rsidRDefault="001C7A0B" w:rsidP="001C7A0B">
            <w:r w:rsidRPr="0081178F">
              <w:t>COR-B</w:t>
            </w:r>
          </w:p>
        </w:tc>
        <w:tc>
          <w:tcPr>
            <w:tcW w:w="3987" w:type="pct"/>
            <w:gridSpan w:val="2"/>
            <w:tcBorders>
              <w:top w:val="single" w:sz="8" w:space="0" w:color="002C47"/>
              <w:left w:val="single" w:sz="8" w:space="0" w:color="002C47"/>
              <w:bottom w:val="single" w:sz="8" w:space="0" w:color="002C47"/>
              <w:right w:val="single" w:sz="8" w:space="0" w:color="002C47"/>
            </w:tcBorders>
          </w:tcPr>
          <w:p w14:paraId="01C596EB" w14:textId="05B727BF" w:rsidR="001C7A0B" w:rsidRPr="0081178F" w:rsidRDefault="001C7A0B" w:rsidP="001C7A0B">
            <w:r w:rsidRPr="0081178F">
              <w:t>Comparable Overseas Regulator B</w:t>
            </w:r>
          </w:p>
        </w:tc>
      </w:tr>
      <w:tr w:rsidR="001C7A0B" w:rsidRPr="0081178F" w14:paraId="5AA0BECB"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251E4D03" w14:textId="63C454B9" w:rsidR="001C7A0B" w:rsidRPr="0081178F" w:rsidRDefault="001C7A0B" w:rsidP="001C7A0B">
            <w:r w:rsidRPr="0081178F">
              <w:t>CPD</w:t>
            </w:r>
          </w:p>
        </w:tc>
        <w:tc>
          <w:tcPr>
            <w:tcW w:w="3987" w:type="pct"/>
            <w:gridSpan w:val="2"/>
            <w:tcBorders>
              <w:top w:val="single" w:sz="8" w:space="0" w:color="002C47"/>
              <w:left w:val="single" w:sz="8" w:space="0" w:color="002C47"/>
              <w:bottom w:val="single" w:sz="8" w:space="0" w:color="002C47"/>
              <w:right w:val="single" w:sz="8" w:space="0" w:color="002C47"/>
            </w:tcBorders>
          </w:tcPr>
          <w:p w14:paraId="167D2929" w14:textId="7DF33B62" w:rsidR="001C7A0B" w:rsidRPr="0081178F" w:rsidRDefault="001C7A0B" w:rsidP="001C7A0B">
            <w:r w:rsidRPr="0081178F">
              <w:t>Certified Product Details</w:t>
            </w:r>
          </w:p>
        </w:tc>
      </w:tr>
      <w:tr w:rsidR="00B6699E" w:rsidRPr="0081178F" w14:paraId="6E13AA87"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2DBBF8F0" w14:textId="4308CD59" w:rsidR="00B6699E" w:rsidRPr="0081178F" w:rsidRDefault="00B6699E" w:rsidP="001C7A0B">
            <w:r w:rsidRPr="0081178F">
              <w:t>CRP</w:t>
            </w:r>
          </w:p>
        </w:tc>
        <w:tc>
          <w:tcPr>
            <w:tcW w:w="3987" w:type="pct"/>
            <w:gridSpan w:val="2"/>
            <w:tcBorders>
              <w:top w:val="single" w:sz="8" w:space="0" w:color="002C47"/>
              <w:left w:val="single" w:sz="8" w:space="0" w:color="002C47"/>
              <w:bottom w:val="single" w:sz="8" w:space="0" w:color="002C47"/>
              <w:right w:val="single" w:sz="8" w:space="0" w:color="002C47"/>
            </w:tcBorders>
          </w:tcPr>
          <w:p w14:paraId="1F49D240" w14:textId="1E042BB4" w:rsidR="00B6699E" w:rsidRPr="0081178F" w:rsidRDefault="00B6699E" w:rsidP="001C7A0B">
            <w:r w:rsidRPr="0081178F">
              <w:t>C-reactive protein</w:t>
            </w:r>
          </w:p>
        </w:tc>
      </w:tr>
      <w:tr w:rsidR="001C7A0B" w:rsidRPr="0081178F" w14:paraId="4DCC96D5"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0468E120" w14:textId="3CC33AE7" w:rsidR="001C7A0B" w:rsidRPr="0081178F" w:rsidRDefault="001C7A0B" w:rsidP="001C7A0B">
            <w:r w:rsidRPr="0081178F">
              <w:t>CT-P17</w:t>
            </w:r>
          </w:p>
        </w:tc>
        <w:tc>
          <w:tcPr>
            <w:tcW w:w="3987" w:type="pct"/>
            <w:gridSpan w:val="2"/>
            <w:tcBorders>
              <w:top w:val="single" w:sz="8" w:space="0" w:color="002C47"/>
              <w:left w:val="single" w:sz="8" w:space="0" w:color="002C47"/>
              <w:bottom w:val="single" w:sz="8" w:space="0" w:color="002C47"/>
              <w:right w:val="single" w:sz="8" w:space="0" w:color="002C47"/>
            </w:tcBorders>
          </w:tcPr>
          <w:p w14:paraId="46914338" w14:textId="3A965DD5" w:rsidR="001C7A0B" w:rsidRPr="0081178F" w:rsidRDefault="001C7A0B" w:rsidP="001C7A0B">
            <w:r w:rsidRPr="0081178F">
              <w:t>Sponsor’s drug development code</w:t>
            </w:r>
            <w:r w:rsidR="006A3642" w:rsidRPr="0081178F">
              <w:t xml:space="preserve"> for Yuflyma (adalimumab)</w:t>
            </w:r>
          </w:p>
        </w:tc>
      </w:tr>
      <w:tr w:rsidR="001C7A0B" w:rsidRPr="0081178F" w14:paraId="6F9AC791"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2F0C5576" w14:textId="1FE6FE8A" w:rsidR="001C7A0B" w:rsidRPr="0081178F" w:rsidRDefault="001C7A0B" w:rsidP="001C7A0B">
            <w:proofErr w:type="spellStart"/>
            <w:r w:rsidRPr="0081178F">
              <w:t>C</w:t>
            </w:r>
            <w:r w:rsidRPr="0081178F">
              <w:rPr>
                <w:vertAlign w:val="subscript"/>
              </w:rPr>
              <w:t>trough</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07374D3D" w14:textId="3AD5BBAD" w:rsidR="001C7A0B" w:rsidRPr="0081178F" w:rsidRDefault="001C7A0B" w:rsidP="001C7A0B">
            <w:r w:rsidRPr="0081178F">
              <w:t>Trough concentration</w:t>
            </w:r>
          </w:p>
        </w:tc>
      </w:tr>
      <w:tr w:rsidR="00BB1BBA" w:rsidRPr="0081178F" w14:paraId="1D5CF6C7"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26030315" w14:textId="01941AFD" w:rsidR="00BB1BBA" w:rsidRPr="0081178F" w:rsidRDefault="00BB1BBA" w:rsidP="001C7A0B">
            <w:r w:rsidRPr="0081178F">
              <w:t>DAS28</w:t>
            </w:r>
          </w:p>
        </w:tc>
        <w:tc>
          <w:tcPr>
            <w:tcW w:w="3987" w:type="pct"/>
            <w:gridSpan w:val="2"/>
            <w:tcBorders>
              <w:top w:val="single" w:sz="8" w:space="0" w:color="002C47"/>
              <w:left w:val="single" w:sz="8" w:space="0" w:color="002C47"/>
              <w:bottom w:val="single" w:sz="8" w:space="0" w:color="002C47"/>
              <w:right w:val="single" w:sz="8" w:space="0" w:color="002C47"/>
            </w:tcBorders>
          </w:tcPr>
          <w:p w14:paraId="5C9A0FCC" w14:textId="77777777" w:rsidR="00BB1BBA" w:rsidRPr="0081178F" w:rsidRDefault="00BB1BBA" w:rsidP="001C7A0B">
            <w:r w:rsidRPr="0081178F">
              <w:t>Disease Activity Score 28</w:t>
            </w:r>
          </w:p>
        </w:tc>
      </w:tr>
      <w:tr w:rsidR="00B6699E" w:rsidRPr="0081178F" w14:paraId="5FD13D53"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5462A21A" w14:textId="6FCB8D3F" w:rsidR="00B6699E" w:rsidRPr="0081178F" w:rsidRDefault="00B6699E" w:rsidP="001C7A0B">
            <w:r w:rsidRPr="0081178F">
              <w:t>DAS28 CRP</w:t>
            </w:r>
          </w:p>
        </w:tc>
        <w:tc>
          <w:tcPr>
            <w:tcW w:w="3987" w:type="pct"/>
            <w:gridSpan w:val="2"/>
            <w:tcBorders>
              <w:top w:val="single" w:sz="8" w:space="0" w:color="002C47"/>
              <w:left w:val="single" w:sz="8" w:space="0" w:color="002C47"/>
              <w:bottom w:val="single" w:sz="8" w:space="0" w:color="002C47"/>
              <w:right w:val="single" w:sz="8" w:space="0" w:color="002C47"/>
            </w:tcBorders>
          </w:tcPr>
          <w:p w14:paraId="66F1A845" w14:textId="503B852D" w:rsidR="00B6699E" w:rsidRPr="0081178F" w:rsidRDefault="00B6699E" w:rsidP="001C7A0B">
            <w:r w:rsidRPr="0081178F">
              <w:t>Disease Activity Score 28 plus C-reactive protein</w:t>
            </w:r>
          </w:p>
        </w:tc>
      </w:tr>
      <w:tr w:rsidR="00B6699E" w:rsidRPr="0081178F" w14:paraId="00B9EB34"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11AEEDED" w14:textId="20DA979A" w:rsidR="00B6699E" w:rsidRPr="0081178F" w:rsidRDefault="00B6699E" w:rsidP="001C7A0B">
            <w:r w:rsidRPr="0081178F">
              <w:t>DAS28 ESR</w:t>
            </w:r>
          </w:p>
        </w:tc>
        <w:tc>
          <w:tcPr>
            <w:tcW w:w="3987" w:type="pct"/>
            <w:gridSpan w:val="2"/>
            <w:tcBorders>
              <w:top w:val="single" w:sz="8" w:space="0" w:color="002C47"/>
              <w:left w:val="single" w:sz="8" w:space="0" w:color="002C47"/>
              <w:bottom w:val="single" w:sz="8" w:space="0" w:color="002C47"/>
              <w:right w:val="single" w:sz="8" w:space="0" w:color="002C47"/>
            </w:tcBorders>
          </w:tcPr>
          <w:p w14:paraId="7EEA61E1" w14:textId="66DF05BA" w:rsidR="00B6699E" w:rsidRPr="0081178F" w:rsidRDefault="00B6699E" w:rsidP="001C7A0B">
            <w:r w:rsidRPr="0081178F">
              <w:t>Disease Activity Score 28 plus erythrocyte sedimentation rate</w:t>
            </w:r>
          </w:p>
        </w:tc>
      </w:tr>
      <w:tr w:rsidR="001C7A0B" w:rsidRPr="0081178F" w14:paraId="05F56948"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5DA7806E" w14:textId="32D4B178" w:rsidR="001C7A0B" w:rsidRPr="0081178F" w:rsidRDefault="001C7A0B" w:rsidP="001C7A0B">
            <w:r w:rsidRPr="0081178F">
              <w:t>DLP</w:t>
            </w:r>
          </w:p>
        </w:tc>
        <w:tc>
          <w:tcPr>
            <w:tcW w:w="3987" w:type="pct"/>
            <w:gridSpan w:val="2"/>
            <w:tcBorders>
              <w:top w:val="single" w:sz="8" w:space="0" w:color="002C47"/>
              <w:left w:val="single" w:sz="8" w:space="0" w:color="002C47"/>
              <w:bottom w:val="single" w:sz="8" w:space="0" w:color="002C47"/>
              <w:right w:val="single" w:sz="8" w:space="0" w:color="002C47"/>
            </w:tcBorders>
          </w:tcPr>
          <w:p w14:paraId="7DF6F3D7" w14:textId="24A918EB" w:rsidR="001C7A0B" w:rsidRPr="0081178F" w:rsidRDefault="001C7A0B" w:rsidP="001C7A0B">
            <w:r w:rsidRPr="0081178F">
              <w:t>Data lock point</w:t>
            </w:r>
          </w:p>
        </w:tc>
      </w:tr>
      <w:tr w:rsidR="001C7A0B" w:rsidRPr="0081178F" w14:paraId="2EF128A6"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2302D605" w14:textId="74B14177" w:rsidR="001C7A0B" w:rsidRPr="0081178F" w:rsidRDefault="001C7A0B" w:rsidP="001C7A0B">
            <w:r w:rsidRPr="0081178F">
              <w:t>DMARD</w:t>
            </w:r>
          </w:p>
        </w:tc>
        <w:tc>
          <w:tcPr>
            <w:tcW w:w="3987" w:type="pct"/>
            <w:gridSpan w:val="2"/>
            <w:tcBorders>
              <w:top w:val="single" w:sz="8" w:space="0" w:color="002C47"/>
              <w:left w:val="single" w:sz="8" w:space="0" w:color="002C47"/>
              <w:bottom w:val="single" w:sz="8" w:space="0" w:color="002C47"/>
              <w:right w:val="single" w:sz="8" w:space="0" w:color="002C47"/>
            </w:tcBorders>
          </w:tcPr>
          <w:p w14:paraId="3ED93C75" w14:textId="009D58AD" w:rsidR="001C7A0B" w:rsidRPr="0081178F" w:rsidRDefault="001C7A0B" w:rsidP="001C7A0B">
            <w:r w:rsidRPr="0081178F">
              <w:t>Disease modifying antirheumatic drug</w:t>
            </w:r>
          </w:p>
        </w:tc>
      </w:tr>
      <w:tr w:rsidR="001C7A0B" w:rsidRPr="0081178F" w14:paraId="22FFA3D7"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3867097A" w14:textId="443D340A" w:rsidR="001C7A0B" w:rsidRPr="0081178F" w:rsidRDefault="001C7A0B" w:rsidP="001C7A0B">
            <w:r w:rsidRPr="0081178F">
              <w:t>EMA</w:t>
            </w:r>
          </w:p>
        </w:tc>
        <w:tc>
          <w:tcPr>
            <w:tcW w:w="3987" w:type="pct"/>
            <w:gridSpan w:val="2"/>
            <w:tcBorders>
              <w:top w:val="single" w:sz="8" w:space="0" w:color="002C47"/>
              <w:left w:val="single" w:sz="8" w:space="0" w:color="002C47"/>
              <w:bottom w:val="single" w:sz="8" w:space="0" w:color="002C47"/>
              <w:right w:val="single" w:sz="8" w:space="0" w:color="002C47"/>
            </w:tcBorders>
          </w:tcPr>
          <w:p w14:paraId="63E3534D" w14:textId="7B0241AA" w:rsidR="001C7A0B" w:rsidRPr="0081178F" w:rsidRDefault="001C7A0B" w:rsidP="001C7A0B">
            <w:r w:rsidRPr="0081178F">
              <w:t>European Medicines Agency (European Union)</w:t>
            </w:r>
          </w:p>
        </w:tc>
      </w:tr>
      <w:tr w:rsidR="00B6699E" w:rsidRPr="0081178F" w14:paraId="3A9D5401"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4D1915D0" w14:textId="0514A5BE" w:rsidR="00B6699E" w:rsidRPr="0081178F" w:rsidRDefault="00B6699E" w:rsidP="001C7A0B">
            <w:r w:rsidRPr="0081178F">
              <w:t>ESR</w:t>
            </w:r>
          </w:p>
        </w:tc>
        <w:tc>
          <w:tcPr>
            <w:tcW w:w="3987" w:type="pct"/>
            <w:gridSpan w:val="2"/>
            <w:tcBorders>
              <w:top w:val="single" w:sz="8" w:space="0" w:color="002C47"/>
              <w:left w:val="single" w:sz="8" w:space="0" w:color="002C47"/>
              <w:bottom w:val="single" w:sz="8" w:space="0" w:color="002C47"/>
              <w:right w:val="single" w:sz="8" w:space="0" w:color="002C47"/>
            </w:tcBorders>
          </w:tcPr>
          <w:p w14:paraId="5666A38E" w14:textId="05163B82" w:rsidR="00B6699E" w:rsidRPr="0081178F" w:rsidRDefault="00B6699E" w:rsidP="001C7A0B">
            <w:r w:rsidRPr="0081178F">
              <w:t>Erythrocyte sedimentation rate</w:t>
            </w:r>
          </w:p>
        </w:tc>
      </w:tr>
      <w:tr w:rsidR="001C7A0B" w:rsidRPr="0081178F" w14:paraId="41CEBCEF"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0CB14210" w14:textId="3332E43B" w:rsidR="001C7A0B" w:rsidRPr="0081178F" w:rsidRDefault="001C7A0B" w:rsidP="001C7A0B">
            <w:r w:rsidRPr="0081178F">
              <w:t>EU</w:t>
            </w:r>
          </w:p>
        </w:tc>
        <w:tc>
          <w:tcPr>
            <w:tcW w:w="3987" w:type="pct"/>
            <w:gridSpan w:val="2"/>
            <w:tcBorders>
              <w:top w:val="single" w:sz="8" w:space="0" w:color="002C47"/>
              <w:left w:val="single" w:sz="8" w:space="0" w:color="002C47"/>
              <w:bottom w:val="single" w:sz="8" w:space="0" w:color="002C47"/>
              <w:right w:val="single" w:sz="8" w:space="0" w:color="002C47"/>
            </w:tcBorders>
          </w:tcPr>
          <w:p w14:paraId="07401E15" w14:textId="426A893E" w:rsidR="001C7A0B" w:rsidRPr="0081178F" w:rsidRDefault="001C7A0B" w:rsidP="001C7A0B">
            <w:r w:rsidRPr="0081178F">
              <w:t>European Union</w:t>
            </w:r>
          </w:p>
        </w:tc>
      </w:tr>
      <w:tr w:rsidR="00BB1BBA" w:rsidRPr="0081178F" w14:paraId="6D779625"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0B8CE1E6" w14:textId="4073FBE1" w:rsidR="00BB1BBA" w:rsidRPr="0081178F" w:rsidRDefault="00BB1BBA" w:rsidP="001C7A0B">
            <w:r w:rsidRPr="0081178F">
              <w:t>EULAR</w:t>
            </w:r>
          </w:p>
        </w:tc>
        <w:tc>
          <w:tcPr>
            <w:tcW w:w="3987" w:type="pct"/>
            <w:gridSpan w:val="2"/>
            <w:tcBorders>
              <w:top w:val="single" w:sz="8" w:space="0" w:color="002C47"/>
              <w:left w:val="single" w:sz="8" w:space="0" w:color="002C47"/>
              <w:bottom w:val="single" w:sz="8" w:space="0" w:color="002C47"/>
              <w:right w:val="single" w:sz="8" w:space="0" w:color="002C47"/>
            </w:tcBorders>
          </w:tcPr>
          <w:p w14:paraId="36C2E27D" w14:textId="420C8174" w:rsidR="00BB1BBA" w:rsidRPr="0081178F" w:rsidRDefault="00BB1BBA" w:rsidP="001C7A0B">
            <w:r w:rsidRPr="0081178F">
              <w:t>European League against Rheumatism</w:t>
            </w:r>
          </w:p>
        </w:tc>
      </w:tr>
      <w:tr w:rsidR="001C7A0B" w:rsidRPr="0081178F" w14:paraId="6C9898D9"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29DF20B7" w14:textId="352CB458" w:rsidR="001C7A0B" w:rsidRPr="0081178F" w:rsidRDefault="001C7A0B" w:rsidP="001C7A0B">
            <w:r w:rsidRPr="0081178F">
              <w:t>GVP</w:t>
            </w:r>
          </w:p>
        </w:tc>
        <w:tc>
          <w:tcPr>
            <w:tcW w:w="3987" w:type="pct"/>
            <w:gridSpan w:val="2"/>
            <w:tcBorders>
              <w:top w:val="single" w:sz="8" w:space="0" w:color="002C47"/>
              <w:left w:val="single" w:sz="8" w:space="0" w:color="002C47"/>
              <w:bottom w:val="single" w:sz="8" w:space="0" w:color="002C47"/>
              <w:right w:val="single" w:sz="8" w:space="0" w:color="002C47"/>
            </w:tcBorders>
          </w:tcPr>
          <w:p w14:paraId="6FF6DD67" w14:textId="33A3F805" w:rsidR="001C7A0B" w:rsidRPr="0081178F" w:rsidRDefault="001C7A0B" w:rsidP="001C7A0B">
            <w:r w:rsidRPr="0081178F">
              <w:t>Good Pharmacovigilance Practices</w:t>
            </w:r>
          </w:p>
        </w:tc>
      </w:tr>
      <w:tr w:rsidR="001C7A0B" w:rsidRPr="0081178F" w14:paraId="1B74FF1E"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09F3FB73" w14:textId="726BDB5E" w:rsidR="001C7A0B" w:rsidRPr="0081178F" w:rsidRDefault="001C7A0B" w:rsidP="001C7A0B">
            <w:r w:rsidRPr="0081178F">
              <w:t>ITT</w:t>
            </w:r>
          </w:p>
        </w:tc>
        <w:tc>
          <w:tcPr>
            <w:tcW w:w="3987" w:type="pct"/>
            <w:gridSpan w:val="2"/>
            <w:tcBorders>
              <w:top w:val="single" w:sz="8" w:space="0" w:color="002C47"/>
              <w:left w:val="single" w:sz="8" w:space="0" w:color="002C47"/>
              <w:bottom w:val="single" w:sz="8" w:space="0" w:color="002C47"/>
              <w:right w:val="single" w:sz="8" w:space="0" w:color="002C47"/>
            </w:tcBorders>
          </w:tcPr>
          <w:p w14:paraId="7002188E" w14:textId="015ADA38" w:rsidR="001C7A0B" w:rsidRPr="0081178F" w:rsidRDefault="001C7A0B" w:rsidP="001C7A0B">
            <w:r w:rsidRPr="0081178F">
              <w:t>Intent-to-treat</w:t>
            </w:r>
          </w:p>
        </w:tc>
      </w:tr>
      <w:tr w:rsidR="003E06BD" w:rsidRPr="0081178F" w14:paraId="30210925"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618D42BC" w14:textId="14AC6BEE" w:rsidR="003E06BD" w:rsidRPr="0081178F" w:rsidRDefault="003E06BD" w:rsidP="001C7A0B">
            <w:proofErr w:type="spellStart"/>
            <w:r w:rsidRPr="0081178F">
              <w:t>NAb</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03460456" w14:textId="7161217E" w:rsidR="003E06BD" w:rsidRPr="0081178F" w:rsidRDefault="003E06BD" w:rsidP="001C7A0B">
            <w:r w:rsidRPr="0081178F">
              <w:t>Neutralising antibody</w:t>
            </w:r>
          </w:p>
        </w:tc>
      </w:tr>
      <w:tr w:rsidR="001C7A0B" w:rsidRPr="0081178F" w14:paraId="545699B7"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38074360" w14:textId="1953DDF2" w:rsidR="001C7A0B" w:rsidRPr="0081178F" w:rsidRDefault="001C7A0B" w:rsidP="001C7A0B">
            <w:r w:rsidRPr="0081178F">
              <w:t>PD</w:t>
            </w:r>
          </w:p>
        </w:tc>
        <w:tc>
          <w:tcPr>
            <w:tcW w:w="3987" w:type="pct"/>
            <w:gridSpan w:val="2"/>
            <w:tcBorders>
              <w:top w:val="single" w:sz="8" w:space="0" w:color="002C47"/>
              <w:left w:val="single" w:sz="8" w:space="0" w:color="002C47"/>
              <w:bottom w:val="single" w:sz="8" w:space="0" w:color="002C47"/>
              <w:right w:val="single" w:sz="8" w:space="0" w:color="002C47"/>
            </w:tcBorders>
          </w:tcPr>
          <w:p w14:paraId="09B087CE" w14:textId="417645EF" w:rsidR="001C7A0B" w:rsidRPr="0081178F" w:rsidRDefault="001C7A0B" w:rsidP="001C7A0B">
            <w:r w:rsidRPr="0081178F">
              <w:t>Pharmacodynamic(s)</w:t>
            </w:r>
          </w:p>
        </w:tc>
      </w:tr>
      <w:tr w:rsidR="001C7A0B" w:rsidRPr="0081178F" w14:paraId="52ECC28D"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3645CCA2" w14:textId="5FF06DA4" w:rsidR="001C7A0B" w:rsidRPr="0081178F" w:rsidRDefault="001C7A0B" w:rsidP="001C7A0B">
            <w:r w:rsidRPr="0081178F">
              <w:t>PDF</w:t>
            </w:r>
          </w:p>
        </w:tc>
        <w:tc>
          <w:tcPr>
            <w:tcW w:w="3987" w:type="pct"/>
            <w:gridSpan w:val="2"/>
            <w:tcBorders>
              <w:top w:val="single" w:sz="8" w:space="0" w:color="002C47"/>
              <w:left w:val="single" w:sz="8" w:space="0" w:color="002C47"/>
              <w:bottom w:val="single" w:sz="8" w:space="0" w:color="002C47"/>
              <w:right w:val="single" w:sz="8" w:space="0" w:color="002C47"/>
            </w:tcBorders>
          </w:tcPr>
          <w:p w14:paraId="2EC83D84" w14:textId="5A4958C3" w:rsidR="001C7A0B" w:rsidRPr="0081178F" w:rsidRDefault="001C7A0B" w:rsidP="001C7A0B">
            <w:r w:rsidRPr="0081178F">
              <w:t>Portable document format</w:t>
            </w:r>
          </w:p>
        </w:tc>
      </w:tr>
      <w:tr w:rsidR="001C7A0B" w:rsidRPr="0081178F" w14:paraId="61B52784"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4C8A073B" w14:textId="7DB9D854" w:rsidR="001C7A0B" w:rsidRPr="0081178F" w:rsidRDefault="001C7A0B" w:rsidP="001C7A0B">
            <w:r w:rsidRPr="0081178F">
              <w:t>PI</w:t>
            </w:r>
          </w:p>
        </w:tc>
        <w:tc>
          <w:tcPr>
            <w:tcW w:w="3987" w:type="pct"/>
            <w:gridSpan w:val="2"/>
            <w:tcBorders>
              <w:top w:val="single" w:sz="8" w:space="0" w:color="002C47"/>
              <w:left w:val="single" w:sz="8" w:space="0" w:color="002C47"/>
              <w:bottom w:val="single" w:sz="8" w:space="0" w:color="002C47"/>
              <w:right w:val="single" w:sz="8" w:space="0" w:color="002C47"/>
            </w:tcBorders>
          </w:tcPr>
          <w:p w14:paraId="66443514" w14:textId="5DAD0580" w:rsidR="001C7A0B" w:rsidRPr="0081178F" w:rsidRDefault="001C7A0B" w:rsidP="001C7A0B">
            <w:r w:rsidRPr="0081178F">
              <w:t>Product Information</w:t>
            </w:r>
          </w:p>
        </w:tc>
      </w:tr>
      <w:tr w:rsidR="001C7A0B" w:rsidRPr="0081178F" w14:paraId="1D4F8FDC"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0A0BBC42" w14:textId="104EA54B" w:rsidR="001C7A0B" w:rsidRPr="0081178F" w:rsidRDefault="001C7A0B" w:rsidP="001C7A0B">
            <w:r w:rsidRPr="0081178F">
              <w:t>PK</w:t>
            </w:r>
          </w:p>
        </w:tc>
        <w:tc>
          <w:tcPr>
            <w:tcW w:w="3987" w:type="pct"/>
            <w:gridSpan w:val="2"/>
            <w:tcBorders>
              <w:top w:val="single" w:sz="8" w:space="0" w:color="002C47"/>
              <w:left w:val="single" w:sz="8" w:space="0" w:color="002C47"/>
              <w:bottom w:val="single" w:sz="8" w:space="0" w:color="002C47"/>
              <w:right w:val="single" w:sz="8" w:space="0" w:color="002C47"/>
            </w:tcBorders>
          </w:tcPr>
          <w:p w14:paraId="7F41E087" w14:textId="3427F4D4" w:rsidR="001C7A0B" w:rsidRPr="0081178F" w:rsidRDefault="001C7A0B" w:rsidP="001C7A0B">
            <w:r w:rsidRPr="0081178F">
              <w:t>Pharmacokinetic(s)</w:t>
            </w:r>
          </w:p>
        </w:tc>
      </w:tr>
      <w:tr w:rsidR="001C7A0B" w:rsidRPr="0081178F" w14:paraId="72A66E6A"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03CC0FEC" w14:textId="75E6CAB2" w:rsidR="001C7A0B" w:rsidRPr="0081178F" w:rsidRDefault="001C7A0B" w:rsidP="001C7A0B">
            <w:r w:rsidRPr="0081178F">
              <w:t>PP</w:t>
            </w:r>
          </w:p>
        </w:tc>
        <w:tc>
          <w:tcPr>
            <w:tcW w:w="3987" w:type="pct"/>
            <w:gridSpan w:val="2"/>
            <w:tcBorders>
              <w:top w:val="single" w:sz="8" w:space="0" w:color="002C47"/>
              <w:left w:val="single" w:sz="8" w:space="0" w:color="002C47"/>
              <w:bottom w:val="single" w:sz="8" w:space="0" w:color="002C47"/>
              <w:right w:val="single" w:sz="8" w:space="0" w:color="002C47"/>
            </w:tcBorders>
          </w:tcPr>
          <w:p w14:paraId="468B8CD4" w14:textId="6AEB7865" w:rsidR="001C7A0B" w:rsidRPr="0081178F" w:rsidRDefault="001C7A0B" w:rsidP="001C7A0B">
            <w:r w:rsidRPr="0081178F">
              <w:t>Per-protocol</w:t>
            </w:r>
          </w:p>
        </w:tc>
      </w:tr>
      <w:tr w:rsidR="001C7A0B" w:rsidRPr="0081178F" w14:paraId="7C788C80"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5B858D2C" w14:textId="37B3109F" w:rsidR="001C7A0B" w:rsidRPr="0081178F" w:rsidRDefault="001C7A0B" w:rsidP="001C7A0B">
            <w:r w:rsidRPr="0081178F">
              <w:t>PSUR</w:t>
            </w:r>
          </w:p>
        </w:tc>
        <w:tc>
          <w:tcPr>
            <w:tcW w:w="3987" w:type="pct"/>
            <w:gridSpan w:val="2"/>
            <w:tcBorders>
              <w:top w:val="single" w:sz="8" w:space="0" w:color="002C47"/>
              <w:left w:val="single" w:sz="8" w:space="0" w:color="002C47"/>
              <w:bottom w:val="single" w:sz="8" w:space="0" w:color="002C47"/>
              <w:right w:val="single" w:sz="8" w:space="0" w:color="002C47"/>
            </w:tcBorders>
          </w:tcPr>
          <w:p w14:paraId="2D85AE32" w14:textId="73AD77C8" w:rsidR="001C7A0B" w:rsidRPr="0081178F" w:rsidRDefault="001C7A0B" w:rsidP="001C7A0B">
            <w:r w:rsidRPr="0081178F">
              <w:t>Periodic safety update report</w:t>
            </w:r>
          </w:p>
        </w:tc>
      </w:tr>
      <w:tr w:rsidR="001C7A0B" w:rsidRPr="0081178F" w14:paraId="275785FD"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458F4DF3" w14:textId="63BBF9EC" w:rsidR="001C7A0B" w:rsidRPr="0081178F" w:rsidRDefault="001C7A0B" w:rsidP="001C7A0B">
            <w:r w:rsidRPr="0081178F">
              <w:t>RMP</w:t>
            </w:r>
          </w:p>
        </w:tc>
        <w:tc>
          <w:tcPr>
            <w:tcW w:w="3987" w:type="pct"/>
            <w:gridSpan w:val="2"/>
            <w:tcBorders>
              <w:top w:val="single" w:sz="8" w:space="0" w:color="002C47"/>
              <w:left w:val="single" w:sz="8" w:space="0" w:color="002C47"/>
              <w:bottom w:val="single" w:sz="8" w:space="0" w:color="002C47"/>
              <w:right w:val="single" w:sz="8" w:space="0" w:color="002C47"/>
            </w:tcBorders>
          </w:tcPr>
          <w:p w14:paraId="25AE35ED" w14:textId="3D6FC9B9" w:rsidR="001C7A0B" w:rsidRPr="0081178F" w:rsidRDefault="001C7A0B" w:rsidP="001C7A0B">
            <w:r w:rsidRPr="0081178F">
              <w:t>Risk management plan</w:t>
            </w:r>
          </w:p>
        </w:tc>
      </w:tr>
      <w:tr w:rsidR="008049F9" w:rsidRPr="0081178F" w14:paraId="176C6190"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6DA945FD" w14:textId="64314F5E" w:rsidR="008049F9" w:rsidRPr="0081178F" w:rsidRDefault="008049F9" w:rsidP="001C7A0B">
            <w:r w:rsidRPr="0081178F">
              <w:t>SDAI</w:t>
            </w:r>
          </w:p>
        </w:tc>
        <w:tc>
          <w:tcPr>
            <w:tcW w:w="3987" w:type="pct"/>
            <w:gridSpan w:val="2"/>
            <w:tcBorders>
              <w:top w:val="single" w:sz="8" w:space="0" w:color="002C47"/>
              <w:left w:val="single" w:sz="8" w:space="0" w:color="002C47"/>
              <w:bottom w:val="single" w:sz="8" w:space="0" w:color="002C47"/>
              <w:right w:val="single" w:sz="8" w:space="0" w:color="002C47"/>
            </w:tcBorders>
          </w:tcPr>
          <w:p w14:paraId="11EEF652" w14:textId="78290270" w:rsidR="008049F9" w:rsidRPr="0081178F" w:rsidRDefault="008049F9" w:rsidP="001C7A0B">
            <w:r w:rsidRPr="0081178F">
              <w:t>Simplified Disease Activity Index</w:t>
            </w:r>
          </w:p>
        </w:tc>
      </w:tr>
      <w:tr w:rsidR="001C7A0B" w:rsidRPr="0081178F" w14:paraId="62C857B3"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6C4D5158" w14:textId="3AD94EC3" w:rsidR="001C7A0B" w:rsidRPr="0081178F" w:rsidRDefault="001C7A0B" w:rsidP="001C7A0B">
            <w:r w:rsidRPr="0081178F">
              <w:t>TEAE</w:t>
            </w:r>
          </w:p>
        </w:tc>
        <w:tc>
          <w:tcPr>
            <w:tcW w:w="3987" w:type="pct"/>
            <w:gridSpan w:val="2"/>
            <w:tcBorders>
              <w:top w:val="single" w:sz="8" w:space="0" w:color="002C47"/>
              <w:left w:val="single" w:sz="8" w:space="0" w:color="002C47"/>
              <w:bottom w:val="single" w:sz="8" w:space="0" w:color="002C47"/>
              <w:right w:val="single" w:sz="8" w:space="0" w:color="002C47"/>
            </w:tcBorders>
          </w:tcPr>
          <w:p w14:paraId="6D369A3F" w14:textId="65043E6F" w:rsidR="001C7A0B" w:rsidRPr="0081178F" w:rsidRDefault="001C7A0B" w:rsidP="001C7A0B">
            <w:r w:rsidRPr="0081178F">
              <w:t>Treatment-emergent adverse event</w:t>
            </w:r>
          </w:p>
        </w:tc>
      </w:tr>
      <w:tr w:rsidR="006A3642" w:rsidRPr="0081178F" w14:paraId="3780F1DE"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4AB77942" w14:textId="0121C46F" w:rsidR="006A3642" w:rsidRPr="0081178F" w:rsidRDefault="006A3642" w:rsidP="001C7A0B">
            <w:r w:rsidRPr="0081178F">
              <w:t>TESAE</w:t>
            </w:r>
          </w:p>
        </w:tc>
        <w:tc>
          <w:tcPr>
            <w:tcW w:w="3987" w:type="pct"/>
            <w:gridSpan w:val="2"/>
            <w:tcBorders>
              <w:top w:val="single" w:sz="8" w:space="0" w:color="002C47"/>
              <w:left w:val="single" w:sz="8" w:space="0" w:color="002C47"/>
              <w:bottom w:val="single" w:sz="8" w:space="0" w:color="002C47"/>
              <w:right w:val="single" w:sz="8" w:space="0" w:color="002C47"/>
            </w:tcBorders>
          </w:tcPr>
          <w:p w14:paraId="7BB3B057" w14:textId="33438987" w:rsidR="006A3642" w:rsidRPr="0081178F" w:rsidRDefault="006A3642" w:rsidP="001C7A0B">
            <w:r w:rsidRPr="0081178F">
              <w:t>Treatment-emergent serious adverse event</w:t>
            </w:r>
          </w:p>
        </w:tc>
      </w:tr>
      <w:tr w:rsidR="001C7A0B" w:rsidRPr="0081178F" w14:paraId="6F3A7B22"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342FB2E3" w14:textId="3192B98B" w:rsidR="001C7A0B" w:rsidRPr="0081178F" w:rsidRDefault="001C7A0B" w:rsidP="001C7A0B">
            <w:r w:rsidRPr="0081178F">
              <w:t>TGA</w:t>
            </w:r>
          </w:p>
        </w:tc>
        <w:tc>
          <w:tcPr>
            <w:tcW w:w="3987" w:type="pct"/>
            <w:gridSpan w:val="2"/>
            <w:tcBorders>
              <w:top w:val="single" w:sz="8" w:space="0" w:color="002C47"/>
              <w:left w:val="single" w:sz="8" w:space="0" w:color="002C47"/>
              <w:bottom w:val="single" w:sz="8" w:space="0" w:color="002C47"/>
              <w:right w:val="single" w:sz="8" w:space="0" w:color="002C47"/>
            </w:tcBorders>
          </w:tcPr>
          <w:p w14:paraId="24EE90EC" w14:textId="64E4DC71" w:rsidR="001C7A0B" w:rsidRPr="0081178F" w:rsidRDefault="001C7A0B" w:rsidP="001C7A0B">
            <w:r w:rsidRPr="0081178F">
              <w:t>Therapeutic Goods Administration</w:t>
            </w:r>
          </w:p>
        </w:tc>
      </w:tr>
      <w:tr w:rsidR="001C7A0B" w:rsidRPr="0081178F" w14:paraId="31E9883B"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58B609A0" w14:textId="671C0D6F" w:rsidR="001C7A0B" w:rsidRPr="0081178F" w:rsidRDefault="001C7A0B" w:rsidP="001C7A0B">
            <w:r w:rsidRPr="0081178F">
              <w:t>TNFα</w:t>
            </w:r>
          </w:p>
        </w:tc>
        <w:tc>
          <w:tcPr>
            <w:tcW w:w="3987" w:type="pct"/>
            <w:gridSpan w:val="2"/>
            <w:tcBorders>
              <w:top w:val="single" w:sz="8" w:space="0" w:color="002C47"/>
              <w:left w:val="single" w:sz="8" w:space="0" w:color="002C47"/>
              <w:bottom w:val="single" w:sz="8" w:space="0" w:color="002C47"/>
              <w:right w:val="single" w:sz="8" w:space="0" w:color="002C47"/>
            </w:tcBorders>
          </w:tcPr>
          <w:p w14:paraId="5A9C1BF6" w14:textId="26F4468E" w:rsidR="001C7A0B" w:rsidRPr="0081178F" w:rsidRDefault="001C7A0B" w:rsidP="001C7A0B">
            <w:r w:rsidRPr="0081178F">
              <w:t xml:space="preserve">Tumour necrosis factor </w:t>
            </w:r>
            <w:r w:rsidR="000324F1" w:rsidRPr="0081178F">
              <w:t>alpha</w:t>
            </w:r>
          </w:p>
        </w:tc>
      </w:tr>
      <w:tr w:rsidR="001C7A0B" w:rsidRPr="0081178F" w14:paraId="04A9C7AE" w14:textId="77777777" w:rsidTr="00C06B85">
        <w:trPr>
          <w:cantSplit/>
        </w:trPr>
        <w:tc>
          <w:tcPr>
            <w:tcW w:w="1013" w:type="pct"/>
            <w:tcBorders>
              <w:top w:val="single" w:sz="8" w:space="0" w:color="002C47"/>
              <w:left w:val="single" w:sz="8" w:space="0" w:color="002C47"/>
              <w:bottom w:val="single" w:sz="8" w:space="0" w:color="002C47"/>
              <w:right w:val="single" w:sz="8" w:space="0" w:color="002C47"/>
            </w:tcBorders>
          </w:tcPr>
          <w:p w14:paraId="60EB2E8B" w14:textId="005E204D" w:rsidR="001C7A0B" w:rsidRPr="0081178F" w:rsidRDefault="001C7A0B" w:rsidP="001C7A0B">
            <w:r w:rsidRPr="0081178F">
              <w:t>US(A)</w:t>
            </w:r>
          </w:p>
        </w:tc>
        <w:tc>
          <w:tcPr>
            <w:tcW w:w="3987" w:type="pct"/>
            <w:gridSpan w:val="2"/>
            <w:tcBorders>
              <w:top w:val="single" w:sz="8" w:space="0" w:color="002C47"/>
              <w:left w:val="single" w:sz="8" w:space="0" w:color="002C47"/>
              <w:bottom w:val="single" w:sz="8" w:space="0" w:color="002C47"/>
              <w:right w:val="single" w:sz="8" w:space="0" w:color="002C47"/>
            </w:tcBorders>
          </w:tcPr>
          <w:p w14:paraId="39657798" w14:textId="3609E564" w:rsidR="001C7A0B" w:rsidRPr="0081178F" w:rsidRDefault="001C7A0B" w:rsidP="001C7A0B">
            <w:r w:rsidRPr="0081178F">
              <w:t>United States (of America)</w:t>
            </w:r>
          </w:p>
        </w:tc>
      </w:tr>
      <w:bookmarkEnd w:id="5"/>
    </w:tbl>
    <w:p w14:paraId="6D3D5837" w14:textId="22CBA08E" w:rsidR="00FD119B" w:rsidRPr="0081178F" w:rsidRDefault="00FD119B" w:rsidP="00FD119B">
      <w:pPr>
        <w:spacing w:before="0" w:after="200" w:line="0" w:lineRule="auto"/>
        <w:rPr>
          <w:b/>
          <w:i/>
          <w:sz w:val="24"/>
          <w:szCs w:val="24"/>
        </w:rPr>
      </w:pPr>
    </w:p>
    <w:p w14:paraId="13D848E7" w14:textId="77777777" w:rsidR="008E7846" w:rsidRPr="0081178F" w:rsidRDefault="009F2673" w:rsidP="008E7846">
      <w:pPr>
        <w:pStyle w:val="Heading2"/>
      </w:pPr>
      <w:bookmarkStart w:id="6" w:name="_Toc117858925"/>
      <w:r w:rsidRPr="0081178F">
        <w:t>Pr</w:t>
      </w:r>
      <w:r w:rsidR="008E7846" w:rsidRPr="0081178F">
        <w:t>oduct submission</w:t>
      </w:r>
      <w:bookmarkEnd w:id="0"/>
      <w:bookmarkEnd w:id="2"/>
      <w:bookmarkEnd w:id="6"/>
    </w:p>
    <w:p w14:paraId="79D53A2C" w14:textId="77777777" w:rsidR="008E7846" w:rsidRPr="0081178F" w:rsidRDefault="008E7846" w:rsidP="009E5A87">
      <w:pPr>
        <w:pStyle w:val="Heading3"/>
        <w:rPr>
          <w:lang w:eastAsia="en-AU"/>
        </w:rPr>
      </w:pPr>
      <w:bookmarkStart w:id="7" w:name="_Toc247691502"/>
      <w:bookmarkStart w:id="8" w:name="_Toc314842483"/>
      <w:bookmarkStart w:id="9" w:name="_Toc117858926"/>
      <w:r w:rsidRPr="0081178F">
        <w:rPr>
          <w:lang w:eastAsia="en-AU"/>
        </w:rPr>
        <w:t>Submission details</w:t>
      </w:r>
      <w:bookmarkEnd w:id="7"/>
      <w:bookmarkEnd w:id="8"/>
      <w:bookmarkEnd w:id="9"/>
    </w:p>
    <w:tbl>
      <w:tblPr>
        <w:tblW w:w="5000" w:type="pct"/>
        <w:tblLook w:val="01E0" w:firstRow="1" w:lastRow="1" w:firstColumn="1" w:lastColumn="1" w:noHBand="0" w:noVBand="0"/>
      </w:tblPr>
      <w:tblGrid>
        <w:gridCol w:w="2682"/>
        <w:gridCol w:w="5822"/>
      </w:tblGrid>
      <w:tr w:rsidR="009F2673" w:rsidRPr="0081178F" w14:paraId="79458F0E" w14:textId="77777777" w:rsidTr="00C06B85">
        <w:tc>
          <w:tcPr>
            <w:tcW w:w="1577" w:type="pct"/>
          </w:tcPr>
          <w:p w14:paraId="0425A864" w14:textId="77777777" w:rsidR="009F2673" w:rsidRPr="0081178F" w:rsidRDefault="009F2673" w:rsidP="009E5A87">
            <w:pPr>
              <w:rPr>
                <w:i/>
              </w:rPr>
            </w:pPr>
            <w:r w:rsidRPr="0081178F">
              <w:rPr>
                <w:i/>
              </w:rPr>
              <w:t>Type of submission:</w:t>
            </w:r>
          </w:p>
        </w:tc>
        <w:tc>
          <w:tcPr>
            <w:tcW w:w="3423" w:type="pct"/>
          </w:tcPr>
          <w:p w14:paraId="33B9C84A" w14:textId="016FEE23" w:rsidR="009F2673" w:rsidRPr="0081178F" w:rsidRDefault="00247D41" w:rsidP="009E5A87">
            <w:r w:rsidRPr="0081178F">
              <w:t>New biosimilar medicine</w:t>
            </w:r>
          </w:p>
        </w:tc>
      </w:tr>
      <w:tr w:rsidR="009F2673" w:rsidRPr="0081178F" w14:paraId="76E33500" w14:textId="77777777" w:rsidTr="00C06B85">
        <w:tc>
          <w:tcPr>
            <w:tcW w:w="1577" w:type="pct"/>
          </w:tcPr>
          <w:p w14:paraId="7C8DF38F" w14:textId="6E265B42" w:rsidR="009F2673" w:rsidRPr="0081178F" w:rsidRDefault="009F2673" w:rsidP="009E5A87">
            <w:pPr>
              <w:rPr>
                <w:i/>
              </w:rPr>
            </w:pPr>
            <w:r w:rsidRPr="0081178F">
              <w:rPr>
                <w:i/>
              </w:rPr>
              <w:t>Product name:</w:t>
            </w:r>
          </w:p>
        </w:tc>
        <w:tc>
          <w:tcPr>
            <w:tcW w:w="3423" w:type="pct"/>
          </w:tcPr>
          <w:p w14:paraId="6CC5AF4E" w14:textId="7645051F" w:rsidR="009F2673" w:rsidRPr="0081178F" w:rsidRDefault="00C06B85" w:rsidP="009E5A87">
            <w:r w:rsidRPr="0081178F">
              <w:t>Yuflyma</w:t>
            </w:r>
          </w:p>
        </w:tc>
      </w:tr>
      <w:tr w:rsidR="009F2673" w:rsidRPr="0081178F" w14:paraId="4693DFB8" w14:textId="77777777" w:rsidTr="00C06B85">
        <w:tc>
          <w:tcPr>
            <w:tcW w:w="1577" w:type="pct"/>
          </w:tcPr>
          <w:p w14:paraId="05752FF9" w14:textId="622ED1E3" w:rsidR="009F2673" w:rsidRPr="0081178F" w:rsidRDefault="009F2673" w:rsidP="009E5A87">
            <w:pPr>
              <w:rPr>
                <w:i/>
              </w:rPr>
            </w:pPr>
            <w:r w:rsidRPr="0081178F">
              <w:rPr>
                <w:i/>
              </w:rPr>
              <w:t>Active ingredient:</w:t>
            </w:r>
          </w:p>
        </w:tc>
        <w:tc>
          <w:tcPr>
            <w:tcW w:w="3423" w:type="pct"/>
          </w:tcPr>
          <w:p w14:paraId="7BBE1761" w14:textId="2002939B" w:rsidR="009F2673" w:rsidRPr="0081178F" w:rsidRDefault="00C06B85" w:rsidP="009E5A87">
            <w:r w:rsidRPr="0081178F">
              <w:t>Adalimumab</w:t>
            </w:r>
          </w:p>
        </w:tc>
      </w:tr>
      <w:tr w:rsidR="009F2673" w:rsidRPr="0081178F" w14:paraId="06E43D09" w14:textId="77777777" w:rsidTr="00C06B85">
        <w:tc>
          <w:tcPr>
            <w:tcW w:w="1577" w:type="pct"/>
          </w:tcPr>
          <w:p w14:paraId="31FA7CDF" w14:textId="77777777" w:rsidR="009F2673" w:rsidRPr="0081178F" w:rsidRDefault="009F2673" w:rsidP="009E5A87">
            <w:pPr>
              <w:rPr>
                <w:i/>
              </w:rPr>
            </w:pPr>
            <w:r w:rsidRPr="0081178F">
              <w:rPr>
                <w:i/>
              </w:rPr>
              <w:t>Decision:</w:t>
            </w:r>
          </w:p>
        </w:tc>
        <w:tc>
          <w:tcPr>
            <w:tcW w:w="3423" w:type="pct"/>
          </w:tcPr>
          <w:p w14:paraId="7195477B" w14:textId="2EB453B2" w:rsidR="009F2673" w:rsidRPr="0081178F" w:rsidRDefault="009F2673" w:rsidP="009E5A87">
            <w:r w:rsidRPr="0081178F">
              <w:t>Approved</w:t>
            </w:r>
          </w:p>
        </w:tc>
      </w:tr>
      <w:tr w:rsidR="009F2673" w:rsidRPr="0081178F" w14:paraId="18C04771" w14:textId="77777777" w:rsidTr="00C06B85">
        <w:tc>
          <w:tcPr>
            <w:tcW w:w="1577" w:type="pct"/>
          </w:tcPr>
          <w:p w14:paraId="7D0645C7" w14:textId="77777777" w:rsidR="009F2673" w:rsidRPr="0081178F" w:rsidRDefault="009F2673" w:rsidP="009E5A87">
            <w:pPr>
              <w:rPr>
                <w:i/>
              </w:rPr>
            </w:pPr>
            <w:r w:rsidRPr="0081178F">
              <w:rPr>
                <w:i/>
              </w:rPr>
              <w:t>Date of decision:</w:t>
            </w:r>
          </w:p>
        </w:tc>
        <w:tc>
          <w:tcPr>
            <w:tcW w:w="3423" w:type="pct"/>
          </w:tcPr>
          <w:p w14:paraId="74AFD661" w14:textId="0E0F2F01" w:rsidR="009F2673" w:rsidRPr="0081178F" w:rsidRDefault="00C06B85" w:rsidP="009E5A87">
            <w:r w:rsidRPr="0081178F">
              <w:t>28 February 2022</w:t>
            </w:r>
          </w:p>
        </w:tc>
      </w:tr>
      <w:tr w:rsidR="009F2673" w:rsidRPr="0081178F" w14:paraId="262852B3" w14:textId="77777777" w:rsidTr="00C06B85">
        <w:tc>
          <w:tcPr>
            <w:tcW w:w="1577" w:type="pct"/>
          </w:tcPr>
          <w:p w14:paraId="23818BCD" w14:textId="77777777" w:rsidR="009F2673" w:rsidRPr="0081178F" w:rsidRDefault="009F2673" w:rsidP="009E5A87">
            <w:pPr>
              <w:rPr>
                <w:i/>
              </w:rPr>
            </w:pPr>
            <w:r w:rsidRPr="0081178F">
              <w:rPr>
                <w:i/>
              </w:rPr>
              <w:t>Date of entry onto ARTG:</w:t>
            </w:r>
          </w:p>
        </w:tc>
        <w:tc>
          <w:tcPr>
            <w:tcW w:w="3423" w:type="pct"/>
          </w:tcPr>
          <w:p w14:paraId="3BDCF178" w14:textId="361AC746" w:rsidR="009F2673" w:rsidRPr="0081178F" w:rsidRDefault="00247D41" w:rsidP="009E5A87">
            <w:r w:rsidRPr="0081178F">
              <w:t>25 March 2022</w:t>
            </w:r>
          </w:p>
        </w:tc>
      </w:tr>
      <w:tr w:rsidR="009F2673" w:rsidRPr="0081178F" w14:paraId="42C11543" w14:textId="77777777" w:rsidTr="00C06B85">
        <w:tc>
          <w:tcPr>
            <w:tcW w:w="1577" w:type="pct"/>
          </w:tcPr>
          <w:p w14:paraId="73F96927" w14:textId="09191EDF" w:rsidR="009F2673" w:rsidRPr="0081178F" w:rsidRDefault="009F2673" w:rsidP="009E5A87">
            <w:pPr>
              <w:rPr>
                <w:i/>
              </w:rPr>
            </w:pPr>
            <w:r w:rsidRPr="0081178F">
              <w:rPr>
                <w:i/>
              </w:rPr>
              <w:t>ARTG numbers:</w:t>
            </w:r>
          </w:p>
        </w:tc>
        <w:tc>
          <w:tcPr>
            <w:tcW w:w="3423" w:type="pct"/>
          </w:tcPr>
          <w:p w14:paraId="4243EBFD" w14:textId="31265F0D" w:rsidR="009F2673" w:rsidRPr="0081178F" w:rsidRDefault="00C06B85" w:rsidP="009E5A87">
            <w:r w:rsidRPr="0081178F">
              <w:t>358350, 367770 and 367771</w:t>
            </w:r>
          </w:p>
        </w:tc>
      </w:tr>
      <w:tr w:rsidR="009F2673" w:rsidRPr="0081178F" w14:paraId="20145132" w14:textId="77777777" w:rsidTr="00C06B85">
        <w:tc>
          <w:tcPr>
            <w:tcW w:w="1577" w:type="pct"/>
          </w:tcPr>
          <w:p w14:paraId="045988B4" w14:textId="7DEB62B7" w:rsidR="009F2673" w:rsidRPr="0081178F" w:rsidRDefault="001B1DA4" w:rsidP="009E5A87">
            <w:pPr>
              <w:rPr>
                <w:i/>
              </w:rPr>
            </w:pPr>
            <w:r w:rsidRPr="0081178F">
              <w:rPr>
                <w:rFonts w:ascii="Wingdings 3" w:hAnsi="Wingdings 3"/>
                <w:sz w:val="34"/>
                <w:szCs w:val="34"/>
                <w:lang w:eastAsia="en-AU"/>
              </w:rPr>
              <w:t></w:t>
            </w:r>
            <w:hyperlink r:id="rId16" w:history="1">
              <w:r w:rsidR="009F2673" w:rsidRPr="0081178F">
                <w:rPr>
                  <w:rStyle w:val="Hyperlink"/>
                  <w:i/>
                </w:rPr>
                <w:t>Black Triangle Scheme</w:t>
              </w:r>
            </w:hyperlink>
            <w:r w:rsidR="009F2673" w:rsidRPr="0081178F">
              <w:rPr>
                <w:i/>
              </w:rPr>
              <w:t>:</w:t>
            </w:r>
          </w:p>
        </w:tc>
        <w:tc>
          <w:tcPr>
            <w:tcW w:w="3423" w:type="pct"/>
          </w:tcPr>
          <w:p w14:paraId="76471598" w14:textId="7DF3E7FC" w:rsidR="009F2673" w:rsidRPr="0081178F" w:rsidRDefault="009F2673" w:rsidP="009E5A87">
            <w:r w:rsidRPr="0081178F">
              <w:t>No</w:t>
            </w:r>
          </w:p>
        </w:tc>
      </w:tr>
      <w:tr w:rsidR="009F2673" w:rsidRPr="0081178F" w14:paraId="7908F0BD" w14:textId="77777777" w:rsidTr="00C06B85">
        <w:tc>
          <w:tcPr>
            <w:tcW w:w="1577" w:type="pct"/>
          </w:tcPr>
          <w:p w14:paraId="467BB112" w14:textId="77777777" w:rsidR="009F2673" w:rsidRPr="0081178F" w:rsidRDefault="009F2673" w:rsidP="009E5A87">
            <w:pPr>
              <w:rPr>
                <w:i/>
              </w:rPr>
            </w:pPr>
            <w:r w:rsidRPr="0081178F">
              <w:rPr>
                <w:i/>
              </w:rPr>
              <w:t>Sponsor’s name and address:</w:t>
            </w:r>
          </w:p>
        </w:tc>
        <w:tc>
          <w:tcPr>
            <w:tcW w:w="3423" w:type="pct"/>
          </w:tcPr>
          <w:p w14:paraId="395FD72C" w14:textId="77777777" w:rsidR="009F2673" w:rsidRPr="0081178F" w:rsidRDefault="00BA1947" w:rsidP="009E5A87">
            <w:proofErr w:type="spellStart"/>
            <w:r w:rsidRPr="0081178F">
              <w:t>Celltrion</w:t>
            </w:r>
            <w:proofErr w:type="spellEnd"/>
            <w:r w:rsidRPr="0081178F">
              <w:t xml:space="preserve"> Healthcare Australia Pty Ltd</w:t>
            </w:r>
          </w:p>
          <w:p w14:paraId="7BD98ADB" w14:textId="31E841BB" w:rsidR="00BA1947" w:rsidRPr="0081178F" w:rsidRDefault="00BA1947" w:rsidP="00BA1947">
            <w:r w:rsidRPr="0081178F">
              <w:t>Suite 13-03</w:t>
            </w:r>
            <w:r w:rsidR="000324F1" w:rsidRPr="0081178F">
              <w:t>,</w:t>
            </w:r>
            <w:r w:rsidRPr="0081178F">
              <w:t xml:space="preserve"> 31 Market Street,</w:t>
            </w:r>
          </w:p>
          <w:p w14:paraId="1244EB70" w14:textId="1D78A9B6" w:rsidR="00BA1947" w:rsidRPr="0081178F" w:rsidRDefault="00BA1947">
            <w:r w:rsidRPr="0081178F">
              <w:t>Sydney</w:t>
            </w:r>
            <w:r w:rsidR="000324F1" w:rsidRPr="0081178F">
              <w:t>,</w:t>
            </w:r>
            <w:r w:rsidRPr="0081178F">
              <w:t xml:space="preserve"> NSW 2000</w:t>
            </w:r>
          </w:p>
        </w:tc>
      </w:tr>
      <w:tr w:rsidR="009F2673" w:rsidRPr="0081178F" w14:paraId="70104D8E" w14:textId="77777777" w:rsidTr="00C06B85">
        <w:tc>
          <w:tcPr>
            <w:tcW w:w="1577" w:type="pct"/>
          </w:tcPr>
          <w:p w14:paraId="670886AF" w14:textId="2BA8DD93" w:rsidR="009F2673" w:rsidRPr="0081178F" w:rsidRDefault="009F2673" w:rsidP="009E5A87">
            <w:pPr>
              <w:rPr>
                <w:i/>
              </w:rPr>
            </w:pPr>
            <w:r w:rsidRPr="0081178F">
              <w:rPr>
                <w:i/>
              </w:rPr>
              <w:t>Dose form:</w:t>
            </w:r>
          </w:p>
        </w:tc>
        <w:tc>
          <w:tcPr>
            <w:tcW w:w="3423" w:type="pct"/>
          </w:tcPr>
          <w:p w14:paraId="4D23C383" w14:textId="78CCAADE" w:rsidR="009F2673" w:rsidRPr="0081178F" w:rsidRDefault="00247D41" w:rsidP="009E5A87">
            <w:r w:rsidRPr="0081178F">
              <w:t xml:space="preserve">Solution </w:t>
            </w:r>
            <w:r w:rsidR="00C06B85" w:rsidRPr="0081178F">
              <w:t>for injection</w:t>
            </w:r>
          </w:p>
        </w:tc>
      </w:tr>
      <w:tr w:rsidR="009F2673" w:rsidRPr="0081178F" w14:paraId="09314A71" w14:textId="77777777" w:rsidTr="00C06B85">
        <w:tc>
          <w:tcPr>
            <w:tcW w:w="1577" w:type="pct"/>
          </w:tcPr>
          <w:p w14:paraId="3C7C400A" w14:textId="013F2B07" w:rsidR="009F2673" w:rsidRPr="0081178F" w:rsidRDefault="009F2673" w:rsidP="009E5A87">
            <w:pPr>
              <w:rPr>
                <w:i/>
              </w:rPr>
            </w:pPr>
            <w:r w:rsidRPr="0081178F">
              <w:rPr>
                <w:i/>
              </w:rPr>
              <w:t>Strength:</w:t>
            </w:r>
          </w:p>
        </w:tc>
        <w:tc>
          <w:tcPr>
            <w:tcW w:w="3423" w:type="pct"/>
          </w:tcPr>
          <w:p w14:paraId="05B1986D" w14:textId="4F919284" w:rsidR="009F2673" w:rsidRPr="0081178F" w:rsidRDefault="00C06B85" w:rsidP="009E5A87">
            <w:r w:rsidRPr="0081178F">
              <w:t>40</w:t>
            </w:r>
            <w:r w:rsidR="00247D41" w:rsidRPr="0081178F">
              <w:t xml:space="preserve"> </w:t>
            </w:r>
            <w:r w:rsidRPr="0081178F">
              <w:t>mg/0.4</w:t>
            </w:r>
            <w:r w:rsidR="00247D41" w:rsidRPr="0081178F">
              <w:t xml:space="preserve"> </w:t>
            </w:r>
            <w:r w:rsidRPr="0081178F">
              <w:t>mL</w:t>
            </w:r>
          </w:p>
        </w:tc>
      </w:tr>
      <w:tr w:rsidR="009F2673" w:rsidRPr="0081178F" w14:paraId="21E68252" w14:textId="77777777" w:rsidTr="00C06B85">
        <w:tc>
          <w:tcPr>
            <w:tcW w:w="1577" w:type="pct"/>
          </w:tcPr>
          <w:p w14:paraId="43019769" w14:textId="2CDB495E" w:rsidR="009F2673" w:rsidRPr="0081178F" w:rsidRDefault="009F2673" w:rsidP="009E5A87">
            <w:pPr>
              <w:rPr>
                <w:i/>
              </w:rPr>
            </w:pPr>
            <w:r w:rsidRPr="0081178F">
              <w:rPr>
                <w:i/>
              </w:rPr>
              <w:t>Containers:</w:t>
            </w:r>
          </w:p>
        </w:tc>
        <w:tc>
          <w:tcPr>
            <w:tcW w:w="3423" w:type="pct"/>
          </w:tcPr>
          <w:p w14:paraId="2F1A6020" w14:textId="6D4DEA59" w:rsidR="009F2673" w:rsidRPr="0081178F" w:rsidRDefault="00247D41" w:rsidP="008B592C">
            <w:r w:rsidRPr="0081178F">
              <w:t>Pre</w:t>
            </w:r>
            <w:r w:rsidR="004C04A3" w:rsidRPr="0081178F">
              <w:t>-</w:t>
            </w:r>
            <w:r w:rsidR="00C06B85" w:rsidRPr="0081178F">
              <w:t>filled syringe, pre</w:t>
            </w:r>
            <w:r w:rsidR="004C04A3" w:rsidRPr="0081178F">
              <w:t>-</w:t>
            </w:r>
            <w:r w:rsidR="00C06B85" w:rsidRPr="0081178F">
              <w:t>filled syringe with safety guard</w:t>
            </w:r>
            <w:r w:rsidR="000324F1" w:rsidRPr="0081178F">
              <w:t>,</w:t>
            </w:r>
            <w:r w:rsidR="008B592C" w:rsidRPr="0081178F">
              <w:t xml:space="preserve"> and </w:t>
            </w:r>
            <w:r w:rsidR="00C06B85" w:rsidRPr="0081178F">
              <w:t>pre</w:t>
            </w:r>
            <w:r w:rsidR="004C04A3" w:rsidRPr="0081178F">
              <w:t>-</w:t>
            </w:r>
            <w:r w:rsidR="00C06B85" w:rsidRPr="0081178F">
              <w:t>filled syringe in auto-injector pen</w:t>
            </w:r>
          </w:p>
        </w:tc>
      </w:tr>
      <w:tr w:rsidR="009F2673" w:rsidRPr="0081178F" w14:paraId="2282A669" w14:textId="77777777" w:rsidTr="00C06B85">
        <w:tc>
          <w:tcPr>
            <w:tcW w:w="1577" w:type="pct"/>
          </w:tcPr>
          <w:p w14:paraId="23223D56" w14:textId="35473553" w:rsidR="009F2673" w:rsidRPr="0081178F" w:rsidRDefault="009F2673" w:rsidP="009E5A87">
            <w:pPr>
              <w:rPr>
                <w:i/>
              </w:rPr>
            </w:pPr>
            <w:r w:rsidRPr="0081178F">
              <w:rPr>
                <w:i/>
              </w:rPr>
              <w:t>Pack size</w:t>
            </w:r>
            <w:r w:rsidR="00247D41" w:rsidRPr="0081178F">
              <w:rPr>
                <w:i/>
              </w:rPr>
              <w:t>s</w:t>
            </w:r>
            <w:r w:rsidRPr="0081178F">
              <w:rPr>
                <w:i/>
              </w:rPr>
              <w:t>:</w:t>
            </w:r>
          </w:p>
        </w:tc>
        <w:tc>
          <w:tcPr>
            <w:tcW w:w="3423" w:type="pct"/>
          </w:tcPr>
          <w:p w14:paraId="7397D2E6" w14:textId="22CD693D" w:rsidR="009F2673" w:rsidRPr="0081178F" w:rsidRDefault="00247D41" w:rsidP="009E5A87">
            <w:r w:rsidRPr="0081178F">
              <w:t>1, 2, 4 and 6</w:t>
            </w:r>
          </w:p>
        </w:tc>
      </w:tr>
      <w:tr w:rsidR="009F2673" w:rsidRPr="0081178F" w14:paraId="1DBF0E2A" w14:textId="77777777" w:rsidTr="00C06B85">
        <w:tc>
          <w:tcPr>
            <w:tcW w:w="1577" w:type="pct"/>
          </w:tcPr>
          <w:p w14:paraId="0936D082" w14:textId="77777777" w:rsidR="009F2673" w:rsidRPr="0081178F" w:rsidRDefault="009F2673" w:rsidP="009E5A87">
            <w:pPr>
              <w:rPr>
                <w:i/>
              </w:rPr>
            </w:pPr>
            <w:r w:rsidRPr="0081178F">
              <w:rPr>
                <w:i/>
              </w:rPr>
              <w:t>Approved therapeutic use:</w:t>
            </w:r>
          </w:p>
        </w:tc>
        <w:tc>
          <w:tcPr>
            <w:tcW w:w="3423" w:type="pct"/>
          </w:tcPr>
          <w:p w14:paraId="47AF4909" w14:textId="1A0564ED" w:rsidR="00247D41" w:rsidRPr="0081178F" w:rsidRDefault="00247D41" w:rsidP="00247D41">
            <w:pPr>
              <w:rPr>
                <w:b/>
                <w:bCs/>
                <w:i/>
                <w:iCs/>
              </w:rPr>
            </w:pPr>
            <w:r w:rsidRPr="0081178F">
              <w:rPr>
                <w:b/>
                <w:bCs/>
                <w:i/>
                <w:iCs/>
              </w:rPr>
              <w:t>Rheumatoid arthritis</w:t>
            </w:r>
          </w:p>
          <w:p w14:paraId="2A91B2F1" w14:textId="77777777" w:rsidR="00247D41" w:rsidRPr="0081178F" w:rsidRDefault="00247D41" w:rsidP="00247D41">
            <w:pPr>
              <w:rPr>
                <w:i/>
                <w:iCs/>
              </w:rPr>
            </w:pPr>
            <w:r w:rsidRPr="0081178F">
              <w:rPr>
                <w:i/>
                <w:iCs/>
              </w:rPr>
              <w:t>Yuflyma is indicated for reducing signs and symptoms, as well as inhibiting the progression of structural damage in adult patients with moderate to severely active rheumatoid arthritis. This includes the treatment of patients with recently diagnosed moderate to severely active disease who have not received methotrexate.</w:t>
            </w:r>
          </w:p>
          <w:p w14:paraId="328A84C5" w14:textId="77777777" w:rsidR="00247D41" w:rsidRPr="0081178F" w:rsidRDefault="00247D41" w:rsidP="00247D41">
            <w:pPr>
              <w:rPr>
                <w:i/>
                <w:iCs/>
              </w:rPr>
            </w:pPr>
            <w:r w:rsidRPr="0081178F">
              <w:rPr>
                <w:i/>
                <w:iCs/>
              </w:rPr>
              <w:t>Yuflyma can be used alone or in combination with methotrexate.</w:t>
            </w:r>
          </w:p>
          <w:p w14:paraId="07143C68" w14:textId="2B41BCA9" w:rsidR="00247D41" w:rsidRPr="0081178F" w:rsidRDefault="00247D41" w:rsidP="00247D41">
            <w:pPr>
              <w:rPr>
                <w:b/>
                <w:bCs/>
                <w:i/>
                <w:iCs/>
                <w:lang w:eastAsia="en-AU"/>
              </w:rPr>
            </w:pPr>
            <w:r w:rsidRPr="0081178F">
              <w:rPr>
                <w:b/>
                <w:bCs/>
                <w:i/>
                <w:iCs/>
                <w:lang w:eastAsia="en-AU"/>
              </w:rPr>
              <w:t>Juvenile idiopathic arthritis</w:t>
            </w:r>
          </w:p>
          <w:p w14:paraId="2E5E1628" w14:textId="60873875" w:rsidR="00247D41" w:rsidRPr="0081178F" w:rsidRDefault="00247D41" w:rsidP="00247D41">
            <w:pPr>
              <w:rPr>
                <w:i/>
                <w:iCs/>
                <w:lang w:eastAsia="en-AU"/>
              </w:rPr>
            </w:pPr>
            <w:r w:rsidRPr="0081178F">
              <w:rPr>
                <w:i/>
                <w:iCs/>
                <w:lang w:eastAsia="en-AU"/>
              </w:rPr>
              <w:t>Polyarticular juvenile idiopathic arthritis</w:t>
            </w:r>
          </w:p>
          <w:p w14:paraId="6A84D518" w14:textId="3F8CA5FD" w:rsidR="00247D41" w:rsidRPr="0081178F" w:rsidRDefault="00247D41" w:rsidP="00247D41">
            <w:pPr>
              <w:rPr>
                <w:i/>
                <w:iCs/>
                <w:lang w:eastAsia="en-AU"/>
              </w:rPr>
            </w:pPr>
            <w:r w:rsidRPr="0081178F">
              <w:rPr>
                <w:i/>
                <w:iCs/>
                <w:lang w:eastAsia="en-AU"/>
              </w:rPr>
              <w:t>Yuflyma in combination with methotrexate is indicated for reducing the signs and symptoms of moderately to severely active polyarticular juvenile idiopathic arthritis in patients 2</w:t>
            </w:r>
            <w:r w:rsidR="00467FF1" w:rsidRPr="0081178F">
              <w:rPr>
                <w:i/>
                <w:iCs/>
                <w:lang w:eastAsia="en-AU"/>
              </w:rPr>
              <w:t> </w:t>
            </w:r>
            <w:r w:rsidRPr="0081178F">
              <w:rPr>
                <w:i/>
                <w:iCs/>
                <w:lang w:eastAsia="en-AU"/>
              </w:rPr>
              <w:t>years of age and older who have had an inadequate response to one or more disease modifying antirheumatic drugs (DMARDs). Yuflyma can be given as monotherapy in case of intolerance to methotrexate or when continued treatment with methotrexate is inappropriate.</w:t>
            </w:r>
          </w:p>
          <w:p w14:paraId="04EFEE63" w14:textId="5F2F8842" w:rsidR="00247D41" w:rsidRPr="0081178F" w:rsidRDefault="00247D41" w:rsidP="00247D41">
            <w:pPr>
              <w:rPr>
                <w:i/>
                <w:iCs/>
                <w:lang w:eastAsia="en-AU"/>
              </w:rPr>
            </w:pPr>
            <w:proofErr w:type="spellStart"/>
            <w:r w:rsidRPr="0081178F">
              <w:rPr>
                <w:i/>
                <w:iCs/>
                <w:lang w:eastAsia="en-AU"/>
              </w:rPr>
              <w:t>Enthesitis</w:t>
            </w:r>
            <w:proofErr w:type="spellEnd"/>
            <w:r w:rsidRPr="0081178F">
              <w:rPr>
                <w:i/>
                <w:iCs/>
                <w:lang w:eastAsia="en-AU"/>
              </w:rPr>
              <w:t>-related arthritis</w:t>
            </w:r>
          </w:p>
          <w:p w14:paraId="0398F854" w14:textId="77777777" w:rsidR="00247D41" w:rsidRPr="0081178F" w:rsidRDefault="00247D41" w:rsidP="00247D41">
            <w:pPr>
              <w:rPr>
                <w:i/>
                <w:iCs/>
                <w:lang w:eastAsia="en-AU"/>
              </w:rPr>
            </w:pPr>
            <w:r w:rsidRPr="0081178F">
              <w:rPr>
                <w:i/>
                <w:iCs/>
                <w:lang w:eastAsia="en-AU"/>
              </w:rPr>
              <w:t xml:space="preserve">Yuflyma is indicated for the treatment of </w:t>
            </w:r>
            <w:proofErr w:type="spellStart"/>
            <w:r w:rsidRPr="0081178F">
              <w:rPr>
                <w:i/>
                <w:iCs/>
                <w:lang w:eastAsia="en-AU"/>
              </w:rPr>
              <w:t>enthesitis</w:t>
            </w:r>
            <w:proofErr w:type="spellEnd"/>
            <w:r w:rsidRPr="0081178F">
              <w:rPr>
                <w:i/>
                <w:iCs/>
                <w:lang w:eastAsia="en-AU"/>
              </w:rPr>
              <w:noBreakHyphen/>
              <w:t>related arthritis in children, who have had an inadequate response to, or who are intolerant to, conventional therapy.</w:t>
            </w:r>
          </w:p>
          <w:p w14:paraId="1E7B5003" w14:textId="214A312A" w:rsidR="00247D41" w:rsidRPr="0081178F" w:rsidRDefault="00247D41" w:rsidP="00247D41">
            <w:pPr>
              <w:rPr>
                <w:b/>
                <w:bCs/>
                <w:i/>
                <w:iCs/>
                <w:lang w:eastAsia="en-AU"/>
              </w:rPr>
            </w:pPr>
            <w:r w:rsidRPr="0081178F">
              <w:rPr>
                <w:b/>
                <w:bCs/>
                <w:i/>
                <w:iCs/>
                <w:lang w:eastAsia="en-AU"/>
              </w:rPr>
              <w:t>Psoriatic arthritis</w:t>
            </w:r>
          </w:p>
          <w:p w14:paraId="7BB93DFB" w14:textId="77777777" w:rsidR="00247D41" w:rsidRPr="0081178F" w:rsidRDefault="00247D41" w:rsidP="00247D41">
            <w:pPr>
              <w:rPr>
                <w:i/>
                <w:iCs/>
                <w:lang w:eastAsia="en-AU"/>
              </w:rPr>
            </w:pPr>
            <w:r w:rsidRPr="0081178F">
              <w:rPr>
                <w:i/>
                <w:iCs/>
                <w:lang w:eastAsia="en-AU"/>
              </w:rPr>
              <w:t>Yuflyma is indicated for the treatment of signs and symptoms, as well as inhibiting the progression of structural damage, of moderate to severely active psoriatic arthritis in adult patients where response to previous DMARDs has been inadequate.</w:t>
            </w:r>
          </w:p>
          <w:p w14:paraId="0C8BBD8C" w14:textId="3E61183E" w:rsidR="00247D41" w:rsidRPr="0081178F" w:rsidRDefault="00247D41" w:rsidP="00247D41">
            <w:pPr>
              <w:rPr>
                <w:b/>
                <w:bCs/>
                <w:i/>
                <w:iCs/>
                <w:lang w:eastAsia="en-AU"/>
              </w:rPr>
            </w:pPr>
            <w:r w:rsidRPr="0081178F">
              <w:rPr>
                <w:b/>
                <w:bCs/>
                <w:i/>
                <w:iCs/>
                <w:lang w:eastAsia="en-AU"/>
              </w:rPr>
              <w:t>Ankylosing spondylitis</w:t>
            </w:r>
          </w:p>
          <w:p w14:paraId="67F364F8" w14:textId="77777777" w:rsidR="00247D41" w:rsidRPr="0081178F" w:rsidRDefault="00247D41" w:rsidP="00247D41">
            <w:pPr>
              <w:rPr>
                <w:i/>
                <w:iCs/>
                <w:lang w:eastAsia="en-AU"/>
              </w:rPr>
            </w:pPr>
            <w:r w:rsidRPr="0081178F">
              <w:rPr>
                <w:i/>
                <w:iCs/>
                <w:lang w:eastAsia="en-AU"/>
              </w:rPr>
              <w:t>Yuflyma is indicated for reducing signs and symptoms in patients with active ankylosing spondylitis.</w:t>
            </w:r>
          </w:p>
          <w:p w14:paraId="7F757860" w14:textId="49750FDC" w:rsidR="00247D41" w:rsidRPr="0081178F" w:rsidRDefault="00247D41" w:rsidP="00247D41">
            <w:pPr>
              <w:rPr>
                <w:b/>
                <w:bCs/>
                <w:i/>
                <w:iCs/>
                <w:lang w:eastAsia="en-AU"/>
              </w:rPr>
            </w:pPr>
            <w:r w:rsidRPr="0081178F">
              <w:rPr>
                <w:b/>
                <w:bCs/>
                <w:i/>
                <w:iCs/>
                <w:lang w:eastAsia="en-AU"/>
              </w:rPr>
              <w:t>Crohn’s disease in adults and children (≥ 6 years)</w:t>
            </w:r>
          </w:p>
          <w:p w14:paraId="5897E57F" w14:textId="77777777" w:rsidR="00247D41" w:rsidRPr="0081178F" w:rsidRDefault="00247D41" w:rsidP="00247D41">
            <w:pPr>
              <w:rPr>
                <w:i/>
                <w:iCs/>
                <w:lang w:eastAsia="en-AU"/>
              </w:rPr>
            </w:pPr>
            <w:r w:rsidRPr="0081178F">
              <w:rPr>
                <w:i/>
                <w:iCs/>
                <w:lang w:eastAsia="en-AU"/>
              </w:rPr>
              <w:t xml:space="preserve">Yuflyma is indicated for the treatment of moderate to severe Crohn’s disease, to reduce the signs and symptoms of the disease and to induce and maintain clinical remission in </w:t>
            </w:r>
            <w:proofErr w:type="gramStart"/>
            <w:r w:rsidRPr="0081178F">
              <w:rPr>
                <w:i/>
                <w:iCs/>
                <w:lang w:eastAsia="en-AU"/>
              </w:rPr>
              <w:t>patients;</w:t>
            </w:r>
            <w:proofErr w:type="gramEnd"/>
          </w:p>
          <w:p w14:paraId="564C2542" w14:textId="77777777" w:rsidR="00247D41" w:rsidRPr="0081178F" w:rsidRDefault="00247D41" w:rsidP="00247D41">
            <w:pPr>
              <w:pStyle w:val="ListBullet"/>
              <w:rPr>
                <w:i/>
                <w:iCs/>
              </w:rPr>
            </w:pPr>
            <w:r w:rsidRPr="0081178F">
              <w:rPr>
                <w:i/>
                <w:iCs/>
              </w:rPr>
              <w:t>who have had an inadequate response to conventional therapies or,</w:t>
            </w:r>
          </w:p>
          <w:p w14:paraId="423E32F0" w14:textId="77777777" w:rsidR="00247D41" w:rsidRPr="0081178F" w:rsidRDefault="00247D41" w:rsidP="00247D41">
            <w:pPr>
              <w:pStyle w:val="ListBullet"/>
              <w:rPr>
                <w:i/>
                <w:iCs/>
              </w:rPr>
            </w:pPr>
            <w:r w:rsidRPr="0081178F">
              <w:rPr>
                <w:i/>
                <w:iCs/>
              </w:rPr>
              <w:t xml:space="preserve">who have lost response to or are intolerant to </w:t>
            </w:r>
            <w:proofErr w:type="gramStart"/>
            <w:r w:rsidRPr="0081178F">
              <w:rPr>
                <w:i/>
                <w:iCs/>
              </w:rPr>
              <w:t>infliximab</w:t>
            </w:r>
            <w:proofErr w:type="gramEnd"/>
          </w:p>
          <w:p w14:paraId="6734F27C" w14:textId="77777777" w:rsidR="00247D41" w:rsidRPr="0081178F" w:rsidRDefault="00247D41" w:rsidP="00247D41">
            <w:pPr>
              <w:rPr>
                <w:b/>
                <w:bCs/>
                <w:i/>
                <w:iCs/>
                <w:lang w:eastAsia="en-AU"/>
              </w:rPr>
            </w:pPr>
            <w:r w:rsidRPr="0081178F">
              <w:rPr>
                <w:b/>
                <w:bCs/>
                <w:i/>
                <w:iCs/>
                <w:lang w:eastAsia="en-AU"/>
              </w:rPr>
              <w:t>Ulcerative colitis</w:t>
            </w:r>
          </w:p>
          <w:p w14:paraId="75475BF4" w14:textId="5447E2B3" w:rsidR="00247D41" w:rsidRPr="0081178F" w:rsidRDefault="00247D41" w:rsidP="00247D41">
            <w:pPr>
              <w:rPr>
                <w:i/>
                <w:iCs/>
                <w:lang w:eastAsia="en-AU"/>
              </w:rPr>
            </w:pPr>
            <w:r w:rsidRPr="0081178F">
              <w:rPr>
                <w:i/>
                <w:iCs/>
                <w:lang w:eastAsia="en-AU"/>
              </w:rPr>
              <w:t>Yuflyma is indicated for the treatment of moderate to severe ulcerative colitis in adult patients who have had an inadequate response to conventional therapy or who are intolerant to or have medical contraindications for such therapies. Patients should show a clinical response within 8</w:t>
            </w:r>
            <w:r w:rsidR="00355485" w:rsidRPr="0081178F">
              <w:rPr>
                <w:i/>
                <w:iCs/>
                <w:lang w:eastAsia="en-AU"/>
              </w:rPr>
              <w:t> </w:t>
            </w:r>
            <w:r w:rsidRPr="0081178F">
              <w:rPr>
                <w:i/>
                <w:iCs/>
                <w:lang w:eastAsia="en-AU"/>
              </w:rPr>
              <w:t>weeks of treatment to continue treatment beyond that time. (</w:t>
            </w:r>
            <w:proofErr w:type="gramStart"/>
            <w:r w:rsidRPr="0081178F">
              <w:rPr>
                <w:i/>
                <w:iCs/>
                <w:lang w:eastAsia="en-AU"/>
              </w:rPr>
              <w:t>see</w:t>
            </w:r>
            <w:proofErr w:type="gramEnd"/>
            <w:r w:rsidRPr="0081178F">
              <w:rPr>
                <w:i/>
                <w:iCs/>
                <w:lang w:eastAsia="en-AU"/>
              </w:rPr>
              <w:t xml:space="preserve"> 5.1 Pharmacodynamic properties </w:t>
            </w:r>
            <w:r w:rsidR="00467FF1" w:rsidRPr="0081178F">
              <w:rPr>
                <w:i/>
                <w:iCs/>
                <w:lang w:eastAsia="en-AU"/>
              </w:rPr>
              <w:t>-</w:t>
            </w:r>
            <w:r w:rsidRPr="0081178F">
              <w:rPr>
                <w:i/>
                <w:iCs/>
                <w:lang w:eastAsia="en-AU"/>
              </w:rPr>
              <w:t xml:space="preserve"> clinical trials).</w:t>
            </w:r>
          </w:p>
          <w:p w14:paraId="4D9FA8D5" w14:textId="0F4CDB7C" w:rsidR="00247D41" w:rsidRPr="0081178F" w:rsidRDefault="00247D41" w:rsidP="00247D41">
            <w:pPr>
              <w:rPr>
                <w:b/>
                <w:bCs/>
                <w:i/>
                <w:iCs/>
                <w:lang w:eastAsia="en-AU"/>
              </w:rPr>
            </w:pPr>
            <w:r w:rsidRPr="0081178F">
              <w:rPr>
                <w:b/>
                <w:bCs/>
                <w:i/>
                <w:iCs/>
                <w:lang w:eastAsia="en-AU"/>
              </w:rPr>
              <w:t>Psoriasis in adults and children</w:t>
            </w:r>
          </w:p>
          <w:p w14:paraId="011CE3B3" w14:textId="77777777" w:rsidR="00247D41" w:rsidRPr="0081178F" w:rsidRDefault="00247D41" w:rsidP="00247D41">
            <w:pPr>
              <w:rPr>
                <w:i/>
                <w:iCs/>
                <w:lang w:eastAsia="en-AU"/>
              </w:rPr>
            </w:pPr>
            <w:r w:rsidRPr="0081178F">
              <w:rPr>
                <w:i/>
                <w:iCs/>
                <w:lang w:eastAsia="en-AU"/>
              </w:rPr>
              <w:t>Yuflyma is indicated for the treatment of moderate to severe chronic plaque psoriasis in adult patients who are candidates for systemic therapy or phototherapy.</w:t>
            </w:r>
          </w:p>
          <w:p w14:paraId="4C580838" w14:textId="77777777" w:rsidR="00247D41" w:rsidRPr="0081178F" w:rsidRDefault="00247D41" w:rsidP="00247D41">
            <w:pPr>
              <w:rPr>
                <w:i/>
                <w:iCs/>
                <w:lang w:eastAsia="en-AU"/>
              </w:rPr>
            </w:pPr>
            <w:r w:rsidRPr="0081178F">
              <w:rPr>
                <w:i/>
                <w:iCs/>
                <w:lang w:eastAsia="en-AU"/>
              </w:rPr>
              <w:t>Yuflyma is indicated for the treatment of severe chronic plaque psoriasis in children and adolescent patients from 4 years of age who have had an inadequate response to or are inappropriate candidates for topical therapy and phototherapy.</w:t>
            </w:r>
          </w:p>
          <w:p w14:paraId="68401D0A" w14:textId="407FBDFD" w:rsidR="00247D41" w:rsidRPr="0081178F" w:rsidRDefault="00247D41" w:rsidP="00247D41">
            <w:pPr>
              <w:rPr>
                <w:b/>
                <w:bCs/>
                <w:i/>
                <w:iCs/>
                <w:lang w:eastAsia="en-AU"/>
              </w:rPr>
            </w:pPr>
            <w:r w:rsidRPr="0081178F">
              <w:rPr>
                <w:b/>
                <w:bCs/>
                <w:i/>
                <w:iCs/>
                <w:lang w:eastAsia="en-AU"/>
              </w:rPr>
              <w:t>Hidradenitis suppurativa in adults and adolescents (from 12 years of age)</w:t>
            </w:r>
          </w:p>
          <w:p w14:paraId="7EA705FC" w14:textId="77777777" w:rsidR="00247D41" w:rsidRPr="0081178F" w:rsidRDefault="00247D41" w:rsidP="00247D41">
            <w:pPr>
              <w:rPr>
                <w:i/>
                <w:iCs/>
                <w:lang w:eastAsia="en-AU"/>
              </w:rPr>
            </w:pPr>
            <w:r w:rsidRPr="0081178F">
              <w:rPr>
                <w:i/>
                <w:iCs/>
                <w:lang w:eastAsia="en-AU"/>
              </w:rPr>
              <w:t xml:space="preserve">Yuflyma is indicated for the treatment of active moderate to severe hidradenitis suppurativa (acne </w:t>
            </w:r>
            <w:proofErr w:type="spellStart"/>
            <w:r w:rsidRPr="0081178F">
              <w:rPr>
                <w:i/>
                <w:iCs/>
                <w:lang w:eastAsia="en-AU"/>
              </w:rPr>
              <w:t>inversa</w:t>
            </w:r>
            <w:proofErr w:type="spellEnd"/>
            <w:r w:rsidRPr="0081178F">
              <w:rPr>
                <w:i/>
                <w:iCs/>
                <w:lang w:eastAsia="en-AU"/>
              </w:rPr>
              <w:t>) in patients with an inadequate response to conventional systemic hidradenitis suppurativa therapy.</w:t>
            </w:r>
          </w:p>
          <w:p w14:paraId="689D9054" w14:textId="77777777" w:rsidR="00247D41" w:rsidRPr="0081178F" w:rsidRDefault="00247D41" w:rsidP="00247D41">
            <w:pPr>
              <w:rPr>
                <w:b/>
                <w:bCs/>
                <w:i/>
                <w:iCs/>
                <w:lang w:eastAsia="en-AU"/>
              </w:rPr>
            </w:pPr>
            <w:r w:rsidRPr="0081178F">
              <w:rPr>
                <w:b/>
                <w:bCs/>
                <w:i/>
                <w:iCs/>
                <w:lang w:eastAsia="en-AU"/>
              </w:rPr>
              <w:t>Uveitis</w:t>
            </w:r>
          </w:p>
          <w:p w14:paraId="16E9ADD9" w14:textId="50E1B112" w:rsidR="00C06B85" w:rsidRPr="0081178F" w:rsidRDefault="00247D41" w:rsidP="00BA1947">
            <w:pPr>
              <w:rPr>
                <w:i/>
                <w:iCs/>
              </w:rPr>
            </w:pPr>
            <w:r w:rsidRPr="0081178F">
              <w:rPr>
                <w:i/>
                <w:iCs/>
                <w:lang w:eastAsia="en-AU"/>
              </w:rPr>
              <w:t>Yuflyma is indicated for the treatment of non-infectious intermediate, posterior and pan</w:t>
            </w:r>
            <w:r w:rsidRPr="0081178F">
              <w:rPr>
                <w:i/>
                <w:iCs/>
                <w:lang w:eastAsia="en-AU"/>
              </w:rPr>
              <w:noBreakHyphen/>
              <w:t>uveitis in adult patients who have had an inadequate response to corticosteroids, in patients in need of corticosteroid sparing, or in whom corticosteroid treatment is inappropriate.</w:t>
            </w:r>
          </w:p>
        </w:tc>
      </w:tr>
      <w:tr w:rsidR="009F2673" w:rsidRPr="0081178F" w14:paraId="1E0621A1" w14:textId="77777777" w:rsidTr="00C06B85">
        <w:tc>
          <w:tcPr>
            <w:tcW w:w="1577" w:type="pct"/>
          </w:tcPr>
          <w:p w14:paraId="458F1ACD" w14:textId="4D69DF40" w:rsidR="009F2673" w:rsidRPr="0081178F" w:rsidRDefault="009F2673" w:rsidP="009E5A87">
            <w:pPr>
              <w:rPr>
                <w:i/>
              </w:rPr>
            </w:pPr>
            <w:r w:rsidRPr="0081178F">
              <w:rPr>
                <w:i/>
              </w:rPr>
              <w:t>Route of administration:</w:t>
            </w:r>
          </w:p>
        </w:tc>
        <w:tc>
          <w:tcPr>
            <w:tcW w:w="3423" w:type="pct"/>
          </w:tcPr>
          <w:p w14:paraId="1E04177F" w14:textId="1A698EE1" w:rsidR="009F2673" w:rsidRPr="0081178F" w:rsidRDefault="00247D41" w:rsidP="009E5A87">
            <w:r w:rsidRPr="0081178F">
              <w:t>Subcutaneous</w:t>
            </w:r>
          </w:p>
        </w:tc>
      </w:tr>
      <w:tr w:rsidR="009F2673" w:rsidRPr="0081178F" w14:paraId="3EE19B1E" w14:textId="77777777" w:rsidTr="00C06B85">
        <w:tc>
          <w:tcPr>
            <w:tcW w:w="1577" w:type="pct"/>
          </w:tcPr>
          <w:p w14:paraId="6C44E3B2" w14:textId="77777777" w:rsidR="009F2673" w:rsidRPr="0081178F" w:rsidRDefault="009F2673" w:rsidP="009E5A87">
            <w:pPr>
              <w:rPr>
                <w:i/>
              </w:rPr>
            </w:pPr>
            <w:r w:rsidRPr="0081178F">
              <w:rPr>
                <w:i/>
              </w:rPr>
              <w:t>Dosage:</w:t>
            </w:r>
          </w:p>
        </w:tc>
        <w:tc>
          <w:tcPr>
            <w:tcW w:w="3423" w:type="pct"/>
          </w:tcPr>
          <w:p w14:paraId="6EBB9DB1" w14:textId="77777777" w:rsidR="00247D41" w:rsidRPr="0081178F" w:rsidRDefault="00247D41" w:rsidP="00247D41">
            <w:r w:rsidRPr="0081178F">
              <w:t>Yuflyma is intended for use under the guidance and supervision of a physician.</w:t>
            </w:r>
          </w:p>
          <w:p w14:paraId="2E9D7B80" w14:textId="77777777" w:rsidR="00247D41" w:rsidRPr="0081178F" w:rsidRDefault="00247D41" w:rsidP="00247D41">
            <w:r w:rsidRPr="0081178F">
              <w:t>Dosage of Yuflyma is based on multiple factors including the condition being treated, the age and the body weight of the patient.</w:t>
            </w:r>
          </w:p>
          <w:p w14:paraId="122F627A" w14:textId="77777777" w:rsidR="009F2673" w:rsidRPr="0081178F" w:rsidRDefault="009F2673" w:rsidP="009E5A87">
            <w:r w:rsidRPr="0081178F">
              <w:t>For further information regarding dosage, refer to the Product Information.</w:t>
            </w:r>
          </w:p>
        </w:tc>
      </w:tr>
      <w:tr w:rsidR="009F2673" w:rsidRPr="0081178F" w14:paraId="030460AF" w14:textId="77777777" w:rsidTr="00C06B85">
        <w:tc>
          <w:tcPr>
            <w:tcW w:w="1577" w:type="pct"/>
          </w:tcPr>
          <w:p w14:paraId="70089B99" w14:textId="77777777" w:rsidR="009F2673" w:rsidRPr="0081178F" w:rsidRDefault="009F2673" w:rsidP="009E5A87">
            <w:pPr>
              <w:rPr>
                <w:i/>
              </w:rPr>
            </w:pPr>
            <w:r w:rsidRPr="0081178F">
              <w:rPr>
                <w:i/>
              </w:rPr>
              <w:t>Pregnancy category:</w:t>
            </w:r>
          </w:p>
        </w:tc>
        <w:tc>
          <w:tcPr>
            <w:tcW w:w="3423" w:type="pct"/>
          </w:tcPr>
          <w:p w14:paraId="2F73E9EB" w14:textId="0BF6B505" w:rsidR="00F044FD" w:rsidRPr="0081178F" w:rsidRDefault="00F044FD" w:rsidP="009F2673">
            <w:r w:rsidRPr="0081178F">
              <w:t>C</w:t>
            </w:r>
          </w:p>
          <w:p w14:paraId="3EE291AD" w14:textId="48313EFE" w:rsidR="00F044FD" w:rsidRPr="0081178F" w:rsidRDefault="00F044FD" w:rsidP="00F044FD">
            <w:r w:rsidRPr="0081178F">
              <w:t xml:space="preserve">Drugs which, owing to their pharmacological effects, have </w:t>
            </w:r>
            <w:proofErr w:type="gramStart"/>
            <w:r w:rsidRPr="0081178F">
              <w:t>caused</w:t>
            </w:r>
            <w:proofErr w:type="gramEnd"/>
            <w:r w:rsidRPr="0081178F">
              <w:t xml:space="preserve"> or may be suspected of causing, harmful effects on the human fetus or neonate without causing malformations. These effects may be reversible. Accompanying texts should be consulted for further details.</w:t>
            </w:r>
          </w:p>
          <w:p w14:paraId="1F4DB423" w14:textId="3361FD55" w:rsidR="009F2673" w:rsidRPr="0081178F" w:rsidRDefault="009F2673" w:rsidP="009E5A87">
            <w:r w:rsidRPr="0081178F">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9FDD55E" w14:textId="77777777" w:rsidR="008E7846" w:rsidRPr="0081178F" w:rsidRDefault="008E7846" w:rsidP="008E7846">
      <w:pPr>
        <w:pStyle w:val="Heading3"/>
      </w:pPr>
      <w:bookmarkStart w:id="10" w:name="_Toc247691503"/>
      <w:bookmarkStart w:id="11" w:name="_Toc314842484"/>
      <w:bookmarkStart w:id="12" w:name="_Toc117858927"/>
      <w:r w:rsidRPr="0081178F">
        <w:t>Product background</w:t>
      </w:r>
      <w:bookmarkEnd w:id="10"/>
      <w:bookmarkEnd w:id="11"/>
      <w:bookmarkEnd w:id="12"/>
    </w:p>
    <w:p w14:paraId="79EF4F0A" w14:textId="0DB57C6D" w:rsidR="009F2673" w:rsidRPr="0081178F" w:rsidRDefault="009F2673" w:rsidP="009F2673">
      <w:r w:rsidRPr="0081178F">
        <w:t xml:space="preserve">This AusPAR describes the </w:t>
      </w:r>
      <w:r w:rsidR="001E359E" w:rsidRPr="0081178F">
        <w:t>submission</w:t>
      </w:r>
      <w:r w:rsidRPr="0081178F">
        <w:t xml:space="preserve"> by </w:t>
      </w:r>
      <w:proofErr w:type="spellStart"/>
      <w:r w:rsidR="00BA1947" w:rsidRPr="0081178F">
        <w:t>Celltrion</w:t>
      </w:r>
      <w:proofErr w:type="spellEnd"/>
      <w:r w:rsidR="00BA1947" w:rsidRPr="0081178F">
        <w:t xml:space="preserve"> Healthcare Australia Pty Ltd</w:t>
      </w:r>
      <w:r w:rsidRPr="0081178F">
        <w:t xml:space="preserve"> (the sponsor) to register </w:t>
      </w:r>
      <w:r w:rsidR="00C06B85" w:rsidRPr="0081178F">
        <w:t xml:space="preserve">Yuflyma </w:t>
      </w:r>
      <w:r w:rsidRPr="0081178F">
        <w:t>(</w:t>
      </w:r>
      <w:r w:rsidR="00C06B85" w:rsidRPr="0081178F">
        <w:t>adalimumab</w:t>
      </w:r>
      <w:r w:rsidRPr="0081178F">
        <w:t xml:space="preserve">) </w:t>
      </w:r>
      <w:r w:rsidR="00247D41" w:rsidRPr="0081178F">
        <w:t>40 mg/0.4 mL</w:t>
      </w:r>
      <w:r w:rsidRPr="0081178F">
        <w:t xml:space="preserve">, </w:t>
      </w:r>
      <w:r w:rsidR="00247D41" w:rsidRPr="0081178F">
        <w:t>solution for injection</w:t>
      </w:r>
      <w:r w:rsidRPr="0081178F">
        <w:t xml:space="preserve"> for the following proposed indication:</w:t>
      </w:r>
    </w:p>
    <w:p w14:paraId="417B2317" w14:textId="77777777" w:rsidR="00BA1947" w:rsidRPr="0081178F" w:rsidRDefault="00BA1947" w:rsidP="00BA1947">
      <w:pPr>
        <w:ind w:left="720"/>
        <w:rPr>
          <w:b/>
          <w:bCs/>
          <w:i/>
          <w:iCs/>
          <w:color w:val="000000" w:themeColor="text1"/>
        </w:rPr>
      </w:pPr>
      <w:r w:rsidRPr="0081178F">
        <w:rPr>
          <w:b/>
          <w:bCs/>
          <w:i/>
          <w:iCs/>
          <w:color w:val="000000" w:themeColor="text1"/>
        </w:rPr>
        <w:t>Rheumatoid arthritis</w:t>
      </w:r>
    </w:p>
    <w:p w14:paraId="2BFDF629" w14:textId="77777777" w:rsidR="00BA1947" w:rsidRPr="0081178F" w:rsidRDefault="00BA1947" w:rsidP="00BA1947">
      <w:pPr>
        <w:ind w:left="720"/>
        <w:rPr>
          <w:i/>
          <w:iCs/>
          <w:color w:val="000000" w:themeColor="text1"/>
        </w:rPr>
      </w:pPr>
      <w:r w:rsidRPr="0081178F">
        <w:rPr>
          <w:i/>
          <w:iCs/>
          <w:color w:val="000000" w:themeColor="text1"/>
        </w:rPr>
        <w:t>Yuflyma is indicated for reducing signs and symptoms, as well as inhibiting the progression of structural damage in adult patients with moderate to severely active rheumatoid arthritis. This includes the treatment of patients with recently diagnosed moderate to severely active disease who have not received methotrexate.</w:t>
      </w:r>
    </w:p>
    <w:p w14:paraId="48D93D57" w14:textId="77777777" w:rsidR="00BA1947" w:rsidRPr="0081178F" w:rsidRDefault="00BA1947" w:rsidP="00BA1947">
      <w:pPr>
        <w:ind w:left="720"/>
        <w:rPr>
          <w:i/>
          <w:iCs/>
          <w:color w:val="000000" w:themeColor="text1"/>
        </w:rPr>
      </w:pPr>
      <w:r w:rsidRPr="0081178F">
        <w:rPr>
          <w:i/>
          <w:iCs/>
          <w:color w:val="000000" w:themeColor="text1"/>
        </w:rPr>
        <w:t>Yuflyma can be used alone or in combination with methotrexate.</w:t>
      </w:r>
    </w:p>
    <w:p w14:paraId="51130028" w14:textId="77777777" w:rsidR="00BA1947" w:rsidRPr="0081178F" w:rsidRDefault="00BA1947" w:rsidP="00BA1947">
      <w:pPr>
        <w:ind w:left="720"/>
        <w:rPr>
          <w:b/>
          <w:bCs/>
          <w:i/>
          <w:iCs/>
          <w:color w:val="000000" w:themeColor="text1"/>
        </w:rPr>
      </w:pPr>
      <w:r w:rsidRPr="0081178F">
        <w:rPr>
          <w:b/>
          <w:bCs/>
          <w:i/>
          <w:iCs/>
          <w:color w:val="000000" w:themeColor="text1"/>
        </w:rPr>
        <w:t>Juvenile idiopathic arthritis</w:t>
      </w:r>
    </w:p>
    <w:p w14:paraId="60F9D84B" w14:textId="77777777" w:rsidR="00BA1947" w:rsidRPr="0081178F" w:rsidRDefault="00BA1947" w:rsidP="00BA1947">
      <w:pPr>
        <w:ind w:left="720"/>
        <w:rPr>
          <w:i/>
          <w:iCs/>
        </w:rPr>
      </w:pPr>
      <w:r w:rsidRPr="0081178F">
        <w:rPr>
          <w:i/>
          <w:iCs/>
        </w:rPr>
        <w:t>Polyarticular juvenile idiopathic arthritis</w:t>
      </w:r>
    </w:p>
    <w:p w14:paraId="6BEBA64F" w14:textId="77777777" w:rsidR="00BA1947" w:rsidRPr="0081178F" w:rsidRDefault="00BA1947" w:rsidP="00BA1947">
      <w:pPr>
        <w:ind w:left="720"/>
        <w:rPr>
          <w:i/>
          <w:iCs/>
        </w:rPr>
      </w:pPr>
      <w:r w:rsidRPr="0081178F">
        <w:rPr>
          <w:i/>
          <w:iCs/>
        </w:rPr>
        <w:t>Yuflyma in combination with methotrexate is indicated for reducing the signs and symptoms of moderately to severely active polyarticular juvenile idiopathic arthritis in patients 2 years of age and older who have had an inadequate response to one or more disease modifying anti-rheumatic drugs (DMARDs). Yuflyma can be given as monotherapy in case of intolerance to methotrexate or when continued treatment with methotrexate is inappropriate.</w:t>
      </w:r>
    </w:p>
    <w:p w14:paraId="4A582893" w14:textId="77777777" w:rsidR="00BA1947" w:rsidRPr="0081178F" w:rsidRDefault="00BA1947" w:rsidP="00BA1947">
      <w:pPr>
        <w:ind w:left="720"/>
        <w:rPr>
          <w:i/>
          <w:iCs/>
        </w:rPr>
      </w:pPr>
      <w:proofErr w:type="spellStart"/>
      <w:r w:rsidRPr="0081178F">
        <w:rPr>
          <w:i/>
          <w:iCs/>
        </w:rPr>
        <w:t>Enthesitis</w:t>
      </w:r>
      <w:proofErr w:type="spellEnd"/>
      <w:r w:rsidRPr="0081178F">
        <w:rPr>
          <w:i/>
          <w:iCs/>
        </w:rPr>
        <w:t>-related arthritis</w:t>
      </w:r>
    </w:p>
    <w:p w14:paraId="33195D41" w14:textId="77777777" w:rsidR="00BA1947" w:rsidRPr="0081178F" w:rsidRDefault="00BA1947" w:rsidP="00BA1947">
      <w:pPr>
        <w:ind w:left="720"/>
        <w:rPr>
          <w:i/>
          <w:iCs/>
        </w:rPr>
      </w:pPr>
      <w:r w:rsidRPr="0081178F">
        <w:rPr>
          <w:i/>
          <w:iCs/>
        </w:rPr>
        <w:t xml:space="preserve">Yuflyma is indicated for the treatment of </w:t>
      </w:r>
      <w:proofErr w:type="spellStart"/>
      <w:r w:rsidRPr="0081178F">
        <w:rPr>
          <w:i/>
          <w:iCs/>
        </w:rPr>
        <w:t>enthesitis</w:t>
      </w:r>
      <w:proofErr w:type="spellEnd"/>
      <w:r w:rsidRPr="0081178F">
        <w:rPr>
          <w:i/>
          <w:iCs/>
        </w:rPr>
        <w:t>-related arthritis in children, who have had an inadequate response to, or who are intolerant to, conventional therapy.</w:t>
      </w:r>
    </w:p>
    <w:p w14:paraId="6F1B55E3" w14:textId="77777777" w:rsidR="00BA1947" w:rsidRPr="0081178F" w:rsidRDefault="00BA1947" w:rsidP="00BA1947">
      <w:pPr>
        <w:ind w:left="720"/>
        <w:rPr>
          <w:b/>
          <w:bCs/>
          <w:i/>
          <w:iCs/>
        </w:rPr>
      </w:pPr>
      <w:r w:rsidRPr="0081178F">
        <w:rPr>
          <w:b/>
          <w:bCs/>
          <w:i/>
          <w:iCs/>
        </w:rPr>
        <w:t>Psoriatic arthritis</w:t>
      </w:r>
    </w:p>
    <w:p w14:paraId="06BAC60D" w14:textId="77777777" w:rsidR="00BA1947" w:rsidRPr="0081178F" w:rsidRDefault="00BA1947" w:rsidP="00BA1947">
      <w:pPr>
        <w:ind w:left="720"/>
        <w:rPr>
          <w:i/>
          <w:iCs/>
        </w:rPr>
      </w:pPr>
      <w:r w:rsidRPr="0081178F">
        <w:rPr>
          <w:i/>
          <w:iCs/>
        </w:rPr>
        <w:t>Yuflyma is indicated for the treatment of signs and symptoms, as well as inhibiting the progression of structural damage, of moderate to severely active psoriatic arthritis in adult patients where response to previous DMARDs has been inadequate.</w:t>
      </w:r>
    </w:p>
    <w:p w14:paraId="464C9971" w14:textId="77777777" w:rsidR="00BA1947" w:rsidRPr="0081178F" w:rsidRDefault="00BA1947" w:rsidP="00BA1947">
      <w:pPr>
        <w:ind w:left="720"/>
        <w:rPr>
          <w:b/>
          <w:bCs/>
          <w:i/>
          <w:iCs/>
          <w:color w:val="000000" w:themeColor="text1"/>
        </w:rPr>
      </w:pPr>
      <w:r w:rsidRPr="0081178F">
        <w:rPr>
          <w:b/>
          <w:bCs/>
          <w:i/>
          <w:iCs/>
          <w:color w:val="000000" w:themeColor="text1"/>
        </w:rPr>
        <w:t>Ankylosing spondylitis</w:t>
      </w:r>
    </w:p>
    <w:p w14:paraId="03A77126" w14:textId="77777777" w:rsidR="00BA1947" w:rsidRPr="0081178F" w:rsidRDefault="00BA1947" w:rsidP="00BA1947">
      <w:pPr>
        <w:ind w:left="720"/>
        <w:rPr>
          <w:i/>
          <w:iCs/>
        </w:rPr>
      </w:pPr>
      <w:r w:rsidRPr="0081178F">
        <w:rPr>
          <w:i/>
          <w:iCs/>
        </w:rPr>
        <w:t>Yuflyma is indicated for reducing signs and symptoms in patients with active ankylosing spondylitis.</w:t>
      </w:r>
    </w:p>
    <w:p w14:paraId="49AC8443" w14:textId="77777777" w:rsidR="00BA1947" w:rsidRPr="0081178F" w:rsidRDefault="00BA1947" w:rsidP="00BA1947">
      <w:pPr>
        <w:ind w:left="720"/>
        <w:rPr>
          <w:b/>
          <w:bCs/>
          <w:i/>
          <w:iCs/>
        </w:rPr>
      </w:pPr>
      <w:r w:rsidRPr="0081178F">
        <w:rPr>
          <w:b/>
          <w:bCs/>
          <w:i/>
          <w:iCs/>
        </w:rPr>
        <w:t>Crohn’s disease in adults and children (≥ 6 years)</w:t>
      </w:r>
    </w:p>
    <w:p w14:paraId="7A5AE6C9" w14:textId="77777777" w:rsidR="00BA1947" w:rsidRPr="0081178F" w:rsidRDefault="00BA1947" w:rsidP="00BA1947">
      <w:pPr>
        <w:ind w:left="720"/>
        <w:rPr>
          <w:i/>
          <w:iCs/>
        </w:rPr>
      </w:pPr>
      <w:r w:rsidRPr="0081178F">
        <w:rPr>
          <w:i/>
          <w:iCs/>
        </w:rPr>
        <w:t xml:space="preserve">Yuflyma is indicated for the treatment of moderate to severe Crohn’s disease, to reduce the signs and symptoms of the disease and to induce and maintain clinical remission in </w:t>
      </w:r>
      <w:proofErr w:type="gramStart"/>
      <w:r w:rsidRPr="0081178F">
        <w:rPr>
          <w:i/>
          <w:iCs/>
        </w:rPr>
        <w:t>patients;</w:t>
      </w:r>
      <w:proofErr w:type="gramEnd"/>
    </w:p>
    <w:p w14:paraId="0C54B52B" w14:textId="77777777" w:rsidR="00BA1947" w:rsidRPr="0081178F" w:rsidRDefault="00BA1947" w:rsidP="00BA1947">
      <w:pPr>
        <w:pStyle w:val="ListBullet"/>
        <w:ind w:left="1080"/>
        <w:rPr>
          <w:i/>
          <w:iCs/>
        </w:rPr>
      </w:pPr>
      <w:r w:rsidRPr="0081178F">
        <w:rPr>
          <w:i/>
          <w:iCs/>
        </w:rPr>
        <w:t>who have had an inadequate response to conventional therapies or,</w:t>
      </w:r>
    </w:p>
    <w:p w14:paraId="28B6E7BF" w14:textId="77777777" w:rsidR="00BA1947" w:rsidRPr="0081178F" w:rsidRDefault="00BA1947" w:rsidP="00BA1947">
      <w:pPr>
        <w:pStyle w:val="ListBullet"/>
        <w:ind w:left="1080"/>
        <w:rPr>
          <w:i/>
          <w:iCs/>
        </w:rPr>
      </w:pPr>
      <w:r w:rsidRPr="0081178F">
        <w:rPr>
          <w:i/>
          <w:iCs/>
        </w:rPr>
        <w:t xml:space="preserve">who have lost response to or are intolerant to </w:t>
      </w:r>
      <w:proofErr w:type="gramStart"/>
      <w:r w:rsidRPr="0081178F">
        <w:rPr>
          <w:i/>
          <w:iCs/>
        </w:rPr>
        <w:t>infliximab</w:t>
      </w:r>
      <w:proofErr w:type="gramEnd"/>
    </w:p>
    <w:p w14:paraId="0BE55BEA" w14:textId="77777777" w:rsidR="00BA1947" w:rsidRPr="0081178F" w:rsidRDefault="00BA1947" w:rsidP="00BA1947">
      <w:pPr>
        <w:pStyle w:val="ListBullet"/>
        <w:numPr>
          <w:ilvl w:val="0"/>
          <w:numId w:val="0"/>
        </w:numPr>
        <w:ind w:left="720"/>
        <w:rPr>
          <w:b/>
          <w:bCs/>
          <w:i/>
          <w:iCs/>
        </w:rPr>
      </w:pPr>
      <w:r w:rsidRPr="0081178F">
        <w:rPr>
          <w:b/>
          <w:bCs/>
          <w:i/>
          <w:iCs/>
        </w:rPr>
        <w:t>Ulcerative colitis</w:t>
      </w:r>
    </w:p>
    <w:p w14:paraId="7903C518" w14:textId="77777777" w:rsidR="00BA1947" w:rsidRPr="0081178F" w:rsidRDefault="00BA1947" w:rsidP="00BA1947">
      <w:pPr>
        <w:ind w:left="720"/>
        <w:rPr>
          <w:i/>
          <w:iCs/>
        </w:rPr>
      </w:pPr>
      <w:r w:rsidRPr="0081178F">
        <w:rPr>
          <w:i/>
          <w:iCs/>
        </w:rPr>
        <w:t>Yuflyma is indicated for the treatment of moderate to severe ulcerative colitis in adult patients who have had an inadequate response to conventional therapy or who are intolerant to or have medical contraindications for such therapies. Patients should show a clinical response within 8 weeks of treatment to continue treatment beyond that time. (</w:t>
      </w:r>
      <w:proofErr w:type="gramStart"/>
      <w:r w:rsidRPr="0081178F">
        <w:rPr>
          <w:i/>
          <w:iCs/>
        </w:rPr>
        <w:t>see</w:t>
      </w:r>
      <w:proofErr w:type="gramEnd"/>
      <w:r w:rsidRPr="0081178F">
        <w:rPr>
          <w:i/>
          <w:iCs/>
        </w:rPr>
        <w:t xml:space="preserve"> 5.1 Pharmacodynamic properties - clinical trials).</w:t>
      </w:r>
    </w:p>
    <w:p w14:paraId="20AD268D" w14:textId="77777777" w:rsidR="00BA1947" w:rsidRPr="0081178F" w:rsidRDefault="00BA1947" w:rsidP="00BA1947">
      <w:pPr>
        <w:ind w:left="720"/>
        <w:rPr>
          <w:b/>
          <w:bCs/>
          <w:i/>
          <w:iCs/>
        </w:rPr>
      </w:pPr>
      <w:r w:rsidRPr="0081178F">
        <w:rPr>
          <w:b/>
          <w:bCs/>
          <w:i/>
          <w:iCs/>
        </w:rPr>
        <w:t>Psoriasis in adults and children</w:t>
      </w:r>
    </w:p>
    <w:p w14:paraId="2DACBA61" w14:textId="77777777" w:rsidR="00BA1947" w:rsidRPr="0081178F" w:rsidRDefault="00BA1947" w:rsidP="00BA1947">
      <w:pPr>
        <w:ind w:left="720"/>
        <w:rPr>
          <w:i/>
          <w:iCs/>
        </w:rPr>
      </w:pPr>
      <w:r w:rsidRPr="0081178F">
        <w:rPr>
          <w:i/>
          <w:iCs/>
        </w:rPr>
        <w:t>Yuflyma is indicated for the treatment of moderate to severe chronic plaque psoriasis in adult patients who are candidates for systemic therapy or phototherapy.</w:t>
      </w:r>
    </w:p>
    <w:p w14:paraId="5676D5D5" w14:textId="77777777" w:rsidR="00BA1947" w:rsidRPr="0081178F" w:rsidRDefault="00BA1947" w:rsidP="00BA1947">
      <w:pPr>
        <w:ind w:left="720"/>
        <w:rPr>
          <w:i/>
          <w:iCs/>
        </w:rPr>
      </w:pPr>
      <w:r w:rsidRPr="0081178F">
        <w:rPr>
          <w:i/>
          <w:iCs/>
        </w:rPr>
        <w:t>Yuflyma is indicated for the treatment of severe chronic plaque psoriasis in children and adolescent patients from 4 years of age who have had an inadequate response to or are inappropriate candidates for topical therapy and phototherapy.</w:t>
      </w:r>
    </w:p>
    <w:p w14:paraId="27F627DE" w14:textId="77777777" w:rsidR="00BA1947" w:rsidRPr="0081178F" w:rsidRDefault="00BA1947" w:rsidP="00BA1947">
      <w:pPr>
        <w:ind w:left="720"/>
        <w:rPr>
          <w:b/>
          <w:bCs/>
          <w:i/>
          <w:iCs/>
        </w:rPr>
      </w:pPr>
      <w:r w:rsidRPr="0081178F">
        <w:rPr>
          <w:b/>
          <w:bCs/>
          <w:i/>
          <w:iCs/>
        </w:rPr>
        <w:t>Hidradenitis suppurativa in adults and adolescents (from 12 years of age)</w:t>
      </w:r>
    </w:p>
    <w:p w14:paraId="2964412C" w14:textId="77777777" w:rsidR="00BA1947" w:rsidRPr="0081178F" w:rsidRDefault="00BA1947" w:rsidP="00BA1947">
      <w:pPr>
        <w:ind w:left="720"/>
        <w:rPr>
          <w:i/>
          <w:iCs/>
        </w:rPr>
      </w:pPr>
      <w:r w:rsidRPr="0081178F">
        <w:rPr>
          <w:i/>
          <w:iCs/>
        </w:rPr>
        <w:t xml:space="preserve">Yuflyma is indicated for the treatment of active moderate to severe hidradenitis suppurativa (acne </w:t>
      </w:r>
      <w:proofErr w:type="spellStart"/>
      <w:r w:rsidRPr="0081178F">
        <w:rPr>
          <w:i/>
          <w:iCs/>
        </w:rPr>
        <w:t>inversa</w:t>
      </w:r>
      <w:proofErr w:type="spellEnd"/>
      <w:r w:rsidRPr="0081178F">
        <w:rPr>
          <w:i/>
          <w:iCs/>
        </w:rPr>
        <w:t>) in patients with an inadequate response to conventional systemic hidradenitis suppurativa therapy.</w:t>
      </w:r>
    </w:p>
    <w:p w14:paraId="06250071" w14:textId="77777777" w:rsidR="00BA1947" w:rsidRPr="0081178F" w:rsidRDefault="00BA1947" w:rsidP="00BA1947">
      <w:pPr>
        <w:ind w:left="720"/>
        <w:rPr>
          <w:b/>
          <w:bCs/>
          <w:i/>
          <w:iCs/>
        </w:rPr>
      </w:pPr>
      <w:r w:rsidRPr="0081178F">
        <w:rPr>
          <w:b/>
          <w:bCs/>
          <w:i/>
          <w:iCs/>
        </w:rPr>
        <w:t>Uveitis</w:t>
      </w:r>
    </w:p>
    <w:p w14:paraId="5D86F93C" w14:textId="7E7C8C88" w:rsidR="00BA1947" w:rsidRPr="0081178F" w:rsidRDefault="00BA1947" w:rsidP="00BA1947">
      <w:pPr>
        <w:ind w:left="720"/>
      </w:pPr>
      <w:r w:rsidRPr="0081178F">
        <w:rPr>
          <w:i/>
          <w:iCs/>
        </w:rPr>
        <w:t>Yuflyma is indicated for the treatment of non-infectious intermediate, posterior and pan-uveitis in adult patients who have had an inadequate response to corticosteroids, in patients in need of corticosteroid sparing, or in whom corticosteroid treatment is inappropriate.</w:t>
      </w:r>
    </w:p>
    <w:p w14:paraId="03AA5015" w14:textId="33EF5BA9" w:rsidR="00CE6970" w:rsidRPr="0081178F" w:rsidRDefault="00E37F91" w:rsidP="00CE6970">
      <w:bookmarkStart w:id="13" w:name="_Toc314842485"/>
      <w:bookmarkStart w:id="14" w:name="_Toc247691504"/>
      <w:r w:rsidRPr="0081178F">
        <w:t>Yuflyma (adalimumab) (</w:t>
      </w:r>
      <w:r w:rsidR="00355485" w:rsidRPr="0081178F">
        <w:t xml:space="preserve">previously known as ‘CT-P17’, the </w:t>
      </w:r>
      <w:r w:rsidRPr="0081178F">
        <w:t xml:space="preserve">sponsor’s drug development code) is a recombinant human monoclonal antibody that selectively binds </w:t>
      </w:r>
      <w:bookmarkStart w:id="15" w:name="_Hlk92448155"/>
      <w:r w:rsidRPr="0081178F">
        <w:t xml:space="preserve">directly to human tumour necrosis factor </w:t>
      </w:r>
      <w:r w:rsidR="00355485" w:rsidRPr="0081178F">
        <w:t>alpha</w:t>
      </w:r>
      <w:r w:rsidRPr="0081178F">
        <w:t xml:space="preserve"> (TNFα), a cytokine that is involved in normal inflammatory and immune responses but dysregulated </w:t>
      </w:r>
      <w:r w:rsidR="00355485" w:rsidRPr="0081178F">
        <w:t xml:space="preserve">responses </w:t>
      </w:r>
      <w:r w:rsidRPr="0081178F">
        <w:t>in inflammatory diseases.</w:t>
      </w:r>
      <w:bookmarkEnd w:id="15"/>
      <w:r w:rsidRPr="0081178F">
        <w:t xml:space="preserve"> The </w:t>
      </w:r>
      <w:r w:rsidR="005E11DA" w:rsidRPr="0081178F">
        <w:t>sponsor</w:t>
      </w:r>
      <w:r w:rsidRPr="0081178F">
        <w:t xml:space="preserve"> has developed </w:t>
      </w:r>
      <w:r w:rsidR="00355485" w:rsidRPr="0081178F">
        <w:t>Yuflyma</w:t>
      </w:r>
      <w:r w:rsidRPr="0081178F">
        <w:t xml:space="preserve"> as a proposed similar biological product to Humira</w:t>
      </w:r>
      <w:r w:rsidR="005E11DA" w:rsidRPr="0081178F">
        <w:t xml:space="preserve"> (sponsor: </w:t>
      </w:r>
      <w:proofErr w:type="spellStart"/>
      <w:r w:rsidR="005E11DA" w:rsidRPr="0081178F">
        <w:t>Abbvie</w:t>
      </w:r>
      <w:proofErr w:type="spellEnd"/>
      <w:r w:rsidR="005E11DA" w:rsidRPr="0081178F">
        <w:t xml:space="preserve"> Pty Ltd)</w:t>
      </w:r>
      <w:r w:rsidRPr="0081178F">
        <w:t>.</w:t>
      </w:r>
      <w:bookmarkStart w:id="16" w:name="_Ref79771821"/>
      <w:r w:rsidR="005E11DA" w:rsidRPr="0081178F">
        <w:rPr>
          <w:rStyle w:val="FootnoteReference"/>
        </w:rPr>
        <w:footnoteReference w:id="1"/>
      </w:r>
      <w:bookmarkEnd w:id="16"/>
      <w:r w:rsidR="005E11DA" w:rsidRPr="0081178F">
        <w:t xml:space="preserve"> Humira is th</w:t>
      </w:r>
      <w:r w:rsidR="00CE6970" w:rsidRPr="0081178F">
        <w:t>e first adalimumab drug approved for use in Australia</w:t>
      </w:r>
      <w:r w:rsidR="00355485" w:rsidRPr="0081178F">
        <w:t>, and is therefore considered to be</w:t>
      </w:r>
      <w:r w:rsidR="00CE6970" w:rsidRPr="0081178F">
        <w:t xml:space="preserve"> the </w:t>
      </w:r>
      <w:r w:rsidR="00355485" w:rsidRPr="0081178F">
        <w:t>‘</w:t>
      </w:r>
      <w:r w:rsidR="00CE6970" w:rsidRPr="0081178F">
        <w:t>innovator</w:t>
      </w:r>
      <w:r w:rsidR="00355485" w:rsidRPr="0081178F">
        <w:t>’</w:t>
      </w:r>
      <w:r w:rsidR="00CE6970" w:rsidRPr="0081178F">
        <w:t xml:space="preserve"> medicine</w:t>
      </w:r>
      <w:r w:rsidR="005E11DA" w:rsidRPr="0081178F">
        <w:t>.</w:t>
      </w:r>
      <w:r w:rsidR="00CE6970" w:rsidRPr="0081178F">
        <w:rPr>
          <w:rStyle w:val="FootnoteReference"/>
        </w:rPr>
        <w:footnoteReference w:id="2"/>
      </w:r>
      <w:r w:rsidR="005E11DA" w:rsidRPr="0081178F">
        <w:t xml:space="preserve"> It </w:t>
      </w:r>
      <w:r w:rsidR="00CE6970" w:rsidRPr="0081178F">
        <w:t xml:space="preserve">was registered in 2003 for the treatment of rheumatoid arthritis, and </w:t>
      </w:r>
      <w:r w:rsidR="00355485" w:rsidRPr="0081178F">
        <w:t xml:space="preserve">has </w:t>
      </w:r>
      <w:r w:rsidR="00CE6970" w:rsidRPr="0081178F">
        <w:t xml:space="preserve">subsequently </w:t>
      </w:r>
      <w:r w:rsidR="00355485" w:rsidRPr="0081178F">
        <w:t xml:space="preserve">been approved for </w:t>
      </w:r>
      <w:r w:rsidR="00CE6970" w:rsidRPr="0081178F">
        <w:t xml:space="preserve">a range of other inflammatory conditions including juvenile idiopathic arthritis, </w:t>
      </w:r>
      <w:proofErr w:type="spellStart"/>
      <w:r w:rsidR="00CE6970" w:rsidRPr="0081178F">
        <w:t>enthesitis</w:t>
      </w:r>
      <w:proofErr w:type="spellEnd"/>
      <w:r w:rsidR="005E11DA" w:rsidRPr="0081178F">
        <w:t xml:space="preserve"> </w:t>
      </w:r>
      <w:r w:rsidR="00CE6970" w:rsidRPr="0081178F">
        <w:t>related arthritis in children, psoriatic arthritis, ankylosing spondylitis, Crohn’s disease, ulcerative colitis, psoriasis, hidradenitis suppurativa and uveitis.</w:t>
      </w:r>
    </w:p>
    <w:p w14:paraId="039DD777" w14:textId="04582021" w:rsidR="00CE6970" w:rsidRPr="0081178F" w:rsidRDefault="00CE6970" w:rsidP="00CE6970">
      <w:r w:rsidRPr="0081178F">
        <w:t xml:space="preserve">To date, the TGA has approved other </w:t>
      </w:r>
      <w:r w:rsidR="00355485" w:rsidRPr="0081178F">
        <w:t xml:space="preserve">adalimumab </w:t>
      </w:r>
      <w:r w:rsidRPr="0081178F">
        <w:t xml:space="preserve">alternatives </w:t>
      </w:r>
      <w:r w:rsidR="00355485" w:rsidRPr="0081178F">
        <w:t xml:space="preserve">considered as biosimilars </w:t>
      </w:r>
      <w:r w:rsidRPr="0081178F">
        <w:t xml:space="preserve">to the innovator in Australia: </w:t>
      </w:r>
      <w:proofErr w:type="spellStart"/>
      <w:r w:rsidRPr="0081178F">
        <w:t>Hyrimoz</w:t>
      </w:r>
      <w:proofErr w:type="spellEnd"/>
      <w:r w:rsidRPr="0081178F">
        <w:t xml:space="preserve"> (sponsor: Sandoz Pty Ltd)</w:t>
      </w:r>
      <w:r w:rsidR="005E11DA" w:rsidRPr="0081178F">
        <w:t>,</w:t>
      </w:r>
      <w:r w:rsidRPr="0081178F">
        <w:rPr>
          <w:rStyle w:val="FootnoteReference"/>
        </w:rPr>
        <w:footnoteReference w:id="3"/>
      </w:r>
      <w:r w:rsidRPr="0081178F">
        <w:t xml:space="preserve"> </w:t>
      </w:r>
      <w:proofErr w:type="spellStart"/>
      <w:r w:rsidRPr="0081178F">
        <w:t>Hadlima</w:t>
      </w:r>
      <w:proofErr w:type="spellEnd"/>
      <w:r w:rsidRPr="0081178F">
        <w:t xml:space="preserve"> (sponsor: Samsung </w:t>
      </w:r>
      <w:proofErr w:type="spellStart"/>
      <w:r w:rsidRPr="0081178F">
        <w:t>Bioepis</w:t>
      </w:r>
      <w:proofErr w:type="spellEnd"/>
      <w:r w:rsidRPr="0081178F">
        <w:t xml:space="preserve"> AU Pty Ltd)</w:t>
      </w:r>
      <w:r w:rsidR="005E11DA" w:rsidRPr="0081178F">
        <w:t>,</w:t>
      </w:r>
      <w:r w:rsidRPr="0081178F">
        <w:rPr>
          <w:rStyle w:val="FootnoteReference"/>
        </w:rPr>
        <w:footnoteReference w:id="4"/>
      </w:r>
      <w:r w:rsidRPr="0081178F">
        <w:t xml:space="preserve"> </w:t>
      </w:r>
      <w:proofErr w:type="spellStart"/>
      <w:r w:rsidRPr="0081178F">
        <w:t>Idacio</w:t>
      </w:r>
      <w:proofErr w:type="spellEnd"/>
      <w:r w:rsidRPr="0081178F">
        <w:t xml:space="preserve"> (sponsor: Fresenius </w:t>
      </w:r>
      <w:proofErr w:type="spellStart"/>
      <w:r w:rsidRPr="0081178F">
        <w:t>Kabi</w:t>
      </w:r>
      <w:proofErr w:type="spellEnd"/>
      <w:r w:rsidRPr="0081178F">
        <w:t xml:space="preserve"> Australia Pty Ltd)</w:t>
      </w:r>
      <w:r w:rsidR="005E11DA" w:rsidRPr="0081178F">
        <w:t>,</w:t>
      </w:r>
      <w:r w:rsidRPr="0081178F">
        <w:rPr>
          <w:rStyle w:val="FootnoteReference"/>
        </w:rPr>
        <w:footnoteReference w:id="5"/>
      </w:r>
      <w:r w:rsidRPr="0081178F">
        <w:t xml:space="preserve"> and </w:t>
      </w:r>
      <w:proofErr w:type="spellStart"/>
      <w:r w:rsidRPr="0081178F">
        <w:t>Amgevita</w:t>
      </w:r>
      <w:proofErr w:type="spellEnd"/>
      <w:r w:rsidRPr="0081178F">
        <w:t xml:space="preserve"> (sponsor: Amgen Australia Pty Ltd)</w:t>
      </w:r>
      <w:r w:rsidR="005E11DA" w:rsidRPr="0081178F">
        <w:t>,</w:t>
      </w:r>
      <w:r w:rsidRPr="0081178F">
        <w:rPr>
          <w:rStyle w:val="FootnoteReference"/>
        </w:rPr>
        <w:footnoteReference w:id="6"/>
      </w:r>
      <w:r w:rsidRPr="0081178F">
        <w:t xml:space="preserve"> </w:t>
      </w:r>
      <w:proofErr w:type="spellStart"/>
      <w:r w:rsidRPr="0081178F">
        <w:t>Abrilada</w:t>
      </w:r>
      <w:proofErr w:type="spellEnd"/>
      <w:r w:rsidRPr="0081178F">
        <w:t xml:space="preserve"> (sponsor: Pfizer Australia Pty Ltd)</w:t>
      </w:r>
      <w:r w:rsidR="005E11DA" w:rsidRPr="0081178F">
        <w:t>,</w:t>
      </w:r>
      <w:r w:rsidRPr="0081178F">
        <w:rPr>
          <w:rStyle w:val="FootnoteReference"/>
        </w:rPr>
        <w:footnoteReference w:id="7"/>
      </w:r>
      <w:r w:rsidRPr="0081178F">
        <w:t xml:space="preserve"> and most recently </w:t>
      </w:r>
      <w:proofErr w:type="spellStart"/>
      <w:r w:rsidRPr="0081178F">
        <w:t>Hulio</w:t>
      </w:r>
      <w:proofErr w:type="spellEnd"/>
      <w:r w:rsidRPr="0081178F">
        <w:t xml:space="preserve"> (</w:t>
      </w:r>
      <w:proofErr w:type="spellStart"/>
      <w:r w:rsidR="00E37F91" w:rsidRPr="0081178F">
        <w:t>Alphapharm</w:t>
      </w:r>
      <w:proofErr w:type="spellEnd"/>
      <w:r w:rsidR="00E37F91" w:rsidRPr="0081178F">
        <w:t xml:space="preserve"> Pty Ltd).</w:t>
      </w:r>
      <w:r w:rsidR="00E37F91" w:rsidRPr="0081178F">
        <w:rPr>
          <w:rStyle w:val="FootnoteReference"/>
        </w:rPr>
        <w:footnoteReference w:id="8"/>
      </w:r>
    </w:p>
    <w:p w14:paraId="2766086C" w14:textId="43D53FEC" w:rsidR="00E37F91" w:rsidRPr="0081178F" w:rsidRDefault="00E37F91" w:rsidP="00E37F91">
      <w:bookmarkStart w:id="17" w:name="_Hlk92448208"/>
      <w:r w:rsidRPr="0081178F">
        <w:t xml:space="preserve">The proposed indications for </w:t>
      </w:r>
      <w:r w:rsidR="00355485" w:rsidRPr="0081178F">
        <w:t>Yuflyma</w:t>
      </w:r>
      <w:r w:rsidRPr="0081178F">
        <w:t xml:space="preserve"> are same with all indications currently approved for </w:t>
      </w:r>
      <w:r w:rsidR="003F761E" w:rsidRPr="0081178F">
        <w:t>European Union (</w:t>
      </w:r>
      <w:r w:rsidRPr="0081178F">
        <w:t>EU</w:t>
      </w:r>
      <w:r w:rsidR="003F761E" w:rsidRPr="0081178F">
        <w:t>)</w:t>
      </w:r>
      <w:r w:rsidRPr="0081178F">
        <w:t xml:space="preserve"> approved Humira, </w:t>
      </w:r>
      <w:r w:rsidR="005E11DA" w:rsidRPr="0081178F">
        <w:t>rheumatoid arthritis</w:t>
      </w:r>
      <w:r w:rsidRPr="0081178F">
        <w:t xml:space="preserve">, </w:t>
      </w:r>
      <w:r w:rsidR="005E11DA" w:rsidRPr="0081178F">
        <w:t>juvenile idiopathic arthritis</w:t>
      </w:r>
      <w:r w:rsidRPr="0081178F">
        <w:t xml:space="preserve">, </w:t>
      </w:r>
      <w:r w:rsidR="005E11DA" w:rsidRPr="0081178F">
        <w:t xml:space="preserve">axial </w:t>
      </w:r>
      <w:r w:rsidR="0065364B" w:rsidRPr="0081178F">
        <w:t>spondyloarthritis</w:t>
      </w:r>
      <w:r w:rsidR="005E11DA" w:rsidRPr="0081178F">
        <w:t>, psoriatic arthritis</w:t>
      </w:r>
      <w:r w:rsidRPr="0081178F">
        <w:t xml:space="preserve">, </w:t>
      </w:r>
      <w:r w:rsidR="005E11DA" w:rsidRPr="0081178F">
        <w:t>psoriasis, paediatric plaque psoriasis, hidradenitis suppurativa, Crohn’s disease</w:t>
      </w:r>
      <w:r w:rsidRPr="0081178F">
        <w:t xml:space="preserve">, </w:t>
      </w:r>
      <w:r w:rsidR="005E11DA" w:rsidRPr="0081178F">
        <w:t>p</w:t>
      </w:r>
      <w:r w:rsidRPr="0081178F">
        <w:t xml:space="preserve">aediatric Crohn’s disease, </w:t>
      </w:r>
      <w:r w:rsidR="005E11DA" w:rsidRPr="0081178F">
        <w:t xml:space="preserve">ulcerative colitis, </w:t>
      </w:r>
      <w:proofErr w:type="gramStart"/>
      <w:r w:rsidR="005E11DA" w:rsidRPr="0081178F">
        <w:t>uveitis</w:t>
      </w:r>
      <w:proofErr w:type="gramEnd"/>
      <w:r w:rsidR="005E11DA" w:rsidRPr="0081178F">
        <w:t xml:space="preserve"> and paediatric uveitis.</w:t>
      </w:r>
    </w:p>
    <w:bookmarkEnd w:id="17"/>
    <w:p w14:paraId="5323B9D5" w14:textId="4A36FD2B" w:rsidR="009F2673" w:rsidRPr="0081178F" w:rsidRDefault="009F2673" w:rsidP="009F2673">
      <w:r w:rsidRPr="0081178F">
        <w:t xml:space="preserve">This </w:t>
      </w:r>
      <w:r w:rsidR="00BB0B78" w:rsidRPr="0081178F">
        <w:t>submission</w:t>
      </w:r>
      <w:r w:rsidRPr="0081178F">
        <w:t xml:space="preserve"> was submitted through the TGA’s </w:t>
      </w:r>
      <w:hyperlink r:id="rId17" w:history="1">
        <w:r w:rsidRPr="0081178F">
          <w:rPr>
            <w:rStyle w:val="Hyperlink"/>
          </w:rPr>
          <w:t>Comparable Overseas Regulator</w:t>
        </w:r>
      </w:hyperlink>
      <w:r w:rsidRPr="0081178F">
        <w:t xml:space="preserve"> B (COR-B) process, using evaluation reports from </w:t>
      </w:r>
      <w:r w:rsidR="00E844A7" w:rsidRPr="0081178F">
        <w:t>European Medicines Agency (</w:t>
      </w:r>
      <w:r w:rsidR="00DB7C98" w:rsidRPr="0081178F">
        <w:t>EMA</w:t>
      </w:r>
      <w:r w:rsidR="00E844A7" w:rsidRPr="0081178F">
        <w:t>)</w:t>
      </w:r>
      <w:r w:rsidRPr="0081178F">
        <w:rPr>
          <w:iCs/>
        </w:rPr>
        <w:t xml:space="preserve">. </w:t>
      </w:r>
      <w:r w:rsidRPr="0081178F">
        <w:t>The full dossier was submitted to the TGA.</w:t>
      </w:r>
    </w:p>
    <w:p w14:paraId="1C9CFCFE" w14:textId="77777777" w:rsidR="008E7846" w:rsidRPr="0081178F" w:rsidRDefault="00386150" w:rsidP="008E7846">
      <w:pPr>
        <w:pStyle w:val="Heading3"/>
      </w:pPr>
      <w:bookmarkStart w:id="18" w:name="_Toc117858928"/>
      <w:r w:rsidRPr="0081178F">
        <w:t>Regulatory s</w:t>
      </w:r>
      <w:r w:rsidR="008E7846" w:rsidRPr="0081178F">
        <w:t>tatus</w:t>
      </w:r>
      <w:bookmarkEnd w:id="13"/>
      <w:bookmarkEnd w:id="14"/>
      <w:bookmarkEnd w:id="18"/>
    </w:p>
    <w:p w14:paraId="4DA2633B" w14:textId="3EC73387" w:rsidR="00332715" w:rsidRPr="0081178F" w:rsidRDefault="00332715" w:rsidP="00332715">
      <w:bookmarkStart w:id="19" w:name="_Toc247691505"/>
      <w:bookmarkStart w:id="20" w:name="_Toc314842486"/>
      <w:r w:rsidRPr="0081178F">
        <w:t>This product is considered a</w:t>
      </w:r>
      <w:r w:rsidR="00355485" w:rsidRPr="0081178F">
        <w:t>s a new</w:t>
      </w:r>
      <w:r w:rsidRPr="0081178F">
        <w:t xml:space="preserve"> biosimilar medicine for Australian regulatory purposes.</w:t>
      </w:r>
    </w:p>
    <w:p w14:paraId="114BFA28" w14:textId="70153E4A" w:rsidR="00332715" w:rsidRPr="0081178F" w:rsidRDefault="00332715" w:rsidP="00332715">
      <w:r w:rsidRPr="0081178F">
        <w:t xml:space="preserve">At the time the TGA considered this </w:t>
      </w:r>
      <w:r w:rsidR="00BB0B78" w:rsidRPr="0081178F">
        <w:t>submission</w:t>
      </w:r>
      <w:r w:rsidRPr="0081178F">
        <w:t xml:space="preserve">, a similar </w:t>
      </w:r>
      <w:r w:rsidR="00BB0B78" w:rsidRPr="0081178F">
        <w:t>submission</w:t>
      </w:r>
      <w:r w:rsidRPr="0081178F">
        <w:t xml:space="preserve"> had been approved in </w:t>
      </w:r>
      <w:r w:rsidR="005D3A00" w:rsidRPr="0081178F">
        <w:t xml:space="preserve">the EU </w:t>
      </w:r>
      <w:r w:rsidRPr="0081178F">
        <w:t xml:space="preserve">on </w:t>
      </w:r>
      <w:r w:rsidR="005D3A00" w:rsidRPr="0081178F">
        <w:t>11 February 2021</w:t>
      </w:r>
      <w:r w:rsidRPr="0081178F">
        <w:t xml:space="preserve">. </w:t>
      </w:r>
      <w:r w:rsidR="005D3A00" w:rsidRPr="0081178F">
        <w:t>S</w:t>
      </w:r>
      <w:r w:rsidRPr="0081178F">
        <w:t xml:space="preserve">imilar </w:t>
      </w:r>
      <w:r w:rsidR="00BB0B78" w:rsidRPr="0081178F">
        <w:t>submission</w:t>
      </w:r>
      <w:r w:rsidR="005D3A00" w:rsidRPr="0081178F">
        <w:t>s were</w:t>
      </w:r>
      <w:r w:rsidRPr="0081178F">
        <w:t xml:space="preserve"> under consideration in </w:t>
      </w:r>
      <w:r w:rsidR="005D3A00" w:rsidRPr="0081178F">
        <w:t>the United States of America (USA)</w:t>
      </w:r>
      <w:r w:rsidR="008B592C" w:rsidRPr="0081178F">
        <w:t xml:space="preserve"> (submitted on 24 November 2020)</w:t>
      </w:r>
      <w:r w:rsidR="005D3A00" w:rsidRPr="0081178F">
        <w:t xml:space="preserve"> and the United Kingdom</w:t>
      </w:r>
      <w:r w:rsidR="008B592C" w:rsidRPr="0081178F">
        <w:t xml:space="preserve"> (submitted on 21 January 2021)</w:t>
      </w:r>
      <w:r w:rsidR="005D3A00" w:rsidRPr="0081178F">
        <w:t>.</w:t>
      </w:r>
    </w:p>
    <w:p w14:paraId="18876622" w14:textId="52F81034" w:rsidR="00CE6970" w:rsidRPr="0081178F" w:rsidRDefault="00012C8D" w:rsidP="00332715">
      <w:r w:rsidRPr="0081178F">
        <w:t>In the EU, Yuflyma was approved for essentially the same conditions as requested in Australia</w:t>
      </w:r>
      <w:r w:rsidR="003F761E" w:rsidRPr="0081178F">
        <w:t>. In the</w:t>
      </w:r>
      <w:r w:rsidR="00CE6970" w:rsidRPr="0081178F">
        <w:t xml:space="preserve"> EU</w:t>
      </w:r>
      <w:r w:rsidR="003F761E" w:rsidRPr="0081178F">
        <w:t>,</w:t>
      </w:r>
      <w:r w:rsidR="00CE6970" w:rsidRPr="0081178F">
        <w:t xml:space="preserve"> </w:t>
      </w:r>
      <w:r w:rsidR="003F761E" w:rsidRPr="0081178F">
        <w:t>Yuflyma has also been</w:t>
      </w:r>
      <w:r w:rsidR="00CE6970" w:rsidRPr="0081178F">
        <w:t xml:space="preserve"> approved for axial spondyloarthritis, paediatric plaque</w:t>
      </w:r>
      <w:r w:rsidR="007775FE" w:rsidRPr="0081178F">
        <w:t xml:space="preserve"> psoriasis, paediatric ulcerative </w:t>
      </w:r>
      <w:proofErr w:type="gramStart"/>
      <w:r w:rsidR="007775FE" w:rsidRPr="0081178F">
        <w:t>colitis</w:t>
      </w:r>
      <w:proofErr w:type="gramEnd"/>
      <w:r w:rsidR="00CE6970" w:rsidRPr="0081178F">
        <w:t xml:space="preserve"> and paediatric uveitis.</w:t>
      </w:r>
    </w:p>
    <w:p w14:paraId="46FDCA12" w14:textId="77777777" w:rsidR="008E7846" w:rsidRPr="0081178F" w:rsidRDefault="008E7846" w:rsidP="00940A89">
      <w:pPr>
        <w:pStyle w:val="Heading3"/>
      </w:pPr>
      <w:bookmarkStart w:id="21" w:name="_Toc117858929"/>
      <w:r w:rsidRPr="0081178F">
        <w:t>Product Information</w:t>
      </w:r>
      <w:bookmarkEnd w:id="19"/>
      <w:bookmarkEnd w:id="20"/>
      <w:bookmarkEnd w:id="21"/>
    </w:p>
    <w:p w14:paraId="113DEAC9" w14:textId="3A9B40C0" w:rsidR="00332715" w:rsidRPr="0081178F" w:rsidRDefault="00332715" w:rsidP="00332715">
      <w:bookmarkStart w:id="22" w:name="_Toc504480011"/>
      <w:bookmarkStart w:id="23" w:name="_Toc247691506"/>
      <w:bookmarkStart w:id="24" w:name="_Toc314842487"/>
      <w:r w:rsidRPr="0081178F">
        <w:t xml:space="preserve">The Product Information (PI) approved with the submission which is described in this AusPAR can be found as Attachment 1. For the most recent PI, please refer to the TGA </w:t>
      </w:r>
      <w:hyperlink r:id="rId18" w:history="1">
        <w:r w:rsidRPr="0081178F">
          <w:rPr>
            <w:rStyle w:val="Hyperlink"/>
          </w:rPr>
          <w:t>PI/CMI search facility</w:t>
        </w:r>
        <w:r w:rsidRPr="0081178F">
          <w:rPr>
            <w:rStyle w:val="Hyperlink"/>
            <w:color w:val="auto"/>
            <w:u w:val="none"/>
          </w:rPr>
          <w:t>.</w:t>
        </w:r>
      </w:hyperlink>
    </w:p>
    <w:p w14:paraId="2A9D7949" w14:textId="77777777" w:rsidR="00500337" w:rsidRPr="0081178F" w:rsidRDefault="00500337" w:rsidP="00500337">
      <w:pPr>
        <w:pStyle w:val="Heading2"/>
      </w:pPr>
      <w:bookmarkStart w:id="25" w:name="_Toc117858930"/>
      <w:r w:rsidRPr="0081178F">
        <w:t>Registration timeline</w:t>
      </w:r>
      <w:bookmarkEnd w:id="22"/>
      <w:bookmarkEnd w:id="25"/>
    </w:p>
    <w:p w14:paraId="7642A1C2" w14:textId="77777777" w:rsidR="0074163C" w:rsidRPr="0081178F" w:rsidRDefault="0074163C" w:rsidP="0074163C">
      <w:r w:rsidRPr="0081178F">
        <w:t xml:space="preserve">The following table captures the key steps and dates for this </w:t>
      </w:r>
      <w:r w:rsidR="00804D99" w:rsidRPr="0081178F">
        <w:t>submission</w:t>
      </w:r>
      <w:r w:rsidRPr="0081178F">
        <w:t>.</w:t>
      </w:r>
    </w:p>
    <w:p w14:paraId="756D87D0" w14:textId="4FE51EC1" w:rsidR="0074163C" w:rsidRPr="0081178F" w:rsidRDefault="0074163C" w:rsidP="005C05CC">
      <w:pPr>
        <w:pStyle w:val="TableTitle"/>
      </w:pPr>
      <w:r w:rsidRPr="0081178F">
        <w:t xml:space="preserve">Table </w:t>
      </w:r>
      <w:r w:rsidR="003420A7">
        <w:fldChar w:fldCharType="begin"/>
      </w:r>
      <w:r w:rsidR="003420A7">
        <w:instrText xml:space="preserve"> SEQ Table \* ARABIC </w:instrText>
      </w:r>
      <w:r w:rsidR="003420A7">
        <w:fldChar w:fldCharType="separate"/>
      </w:r>
      <w:r w:rsidR="003538E0" w:rsidRPr="0081178F">
        <w:rPr>
          <w:noProof/>
        </w:rPr>
        <w:t>1</w:t>
      </w:r>
      <w:r w:rsidR="003420A7">
        <w:rPr>
          <w:noProof/>
        </w:rPr>
        <w:fldChar w:fldCharType="end"/>
      </w:r>
      <w:r w:rsidRPr="0081178F">
        <w:t xml:space="preserve">: Timeline for Submission </w:t>
      </w:r>
      <w:r w:rsidR="003A12A9" w:rsidRPr="0081178F">
        <w:t>PM-2021-01170-1-3</w:t>
      </w:r>
    </w:p>
    <w:tbl>
      <w:tblPr>
        <w:tblStyle w:val="TableTGAblue"/>
        <w:tblW w:w="0" w:type="auto"/>
        <w:tblLook w:val="04A0" w:firstRow="1" w:lastRow="0" w:firstColumn="1" w:lastColumn="0" w:noHBand="0" w:noVBand="1"/>
      </w:tblPr>
      <w:tblGrid>
        <w:gridCol w:w="4265"/>
        <w:gridCol w:w="4229"/>
      </w:tblGrid>
      <w:tr w:rsidR="0074163C" w:rsidRPr="0081178F" w14:paraId="64E19817" w14:textId="77777777" w:rsidTr="00247D41">
        <w:trPr>
          <w:cnfStyle w:val="100000000000" w:firstRow="1" w:lastRow="0" w:firstColumn="0" w:lastColumn="0" w:oddVBand="0" w:evenVBand="0" w:oddHBand="0" w:evenHBand="0" w:firstRowFirstColumn="0" w:firstRowLastColumn="0" w:lastRowFirstColumn="0" w:lastRowLastColumn="0"/>
        </w:trPr>
        <w:tc>
          <w:tcPr>
            <w:tcW w:w="4265" w:type="dxa"/>
            <w:tcBorders>
              <w:top w:val="single" w:sz="4" w:space="0" w:color="auto"/>
              <w:left w:val="single" w:sz="4" w:space="0" w:color="auto"/>
              <w:bottom w:val="single" w:sz="4" w:space="0" w:color="auto"/>
              <w:right w:val="single" w:sz="4" w:space="0" w:color="auto"/>
            </w:tcBorders>
          </w:tcPr>
          <w:p w14:paraId="4F8722DE" w14:textId="77777777" w:rsidR="0074163C" w:rsidRPr="0081178F" w:rsidRDefault="0074163C" w:rsidP="009E5A87">
            <w:r w:rsidRPr="0081178F">
              <w:t>Description</w:t>
            </w:r>
          </w:p>
        </w:tc>
        <w:tc>
          <w:tcPr>
            <w:tcW w:w="4229" w:type="dxa"/>
            <w:tcBorders>
              <w:top w:val="single" w:sz="4" w:space="0" w:color="auto"/>
              <w:left w:val="single" w:sz="4" w:space="0" w:color="auto"/>
              <w:bottom w:val="single" w:sz="4" w:space="0" w:color="auto"/>
              <w:right w:val="single" w:sz="4" w:space="0" w:color="auto"/>
            </w:tcBorders>
          </w:tcPr>
          <w:p w14:paraId="0E516D7A" w14:textId="77777777" w:rsidR="0074163C" w:rsidRPr="0081178F" w:rsidRDefault="0074163C" w:rsidP="009E5A87">
            <w:r w:rsidRPr="0081178F">
              <w:t>Date</w:t>
            </w:r>
          </w:p>
        </w:tc>
      </w:tr>
      <w:tr w:rsidR="00247D41" w:rsidRPr="0081178F" w14:paraId="50164C81" w14:textId="77777777" w:rsidTr="00247D41">
        <w:tc>
          <w:tcPr>
            <w:tcW w:w="4265" w:type="dxa"/>
            <w:tcBorders>
              <w:top w:val="single" w:sz="4" w:space="0" w:color="auto"/>
            </w:tcBorders>
          </w:tcPr>
          <w:p w14:paraId="3D94A217" w14:textId="77777777" w:rsidR="00247D41" w:rsidRPr="0081178F" w:rsidRDefault="00247D41" w:rsidP="00247D41">
            <w:r w:rsidRPr="0081178F">
              <w:t>Submission dossier accepted and first round evaluation commenced</w:t>
            </w:r>
          </w:p>
        </w:tc>
        <w:tc>
          <w:tcPr>
            <w:tcW w:w="4229" w:type="dxa"/>
          </w:tcPr>
          <w:p w14:paraId="0A1B303D" w14:textId="22C84515" w:rsidR="00247D41" w:rsidRPr="0081178F" w:rsidRDefault="00247D41" w:rsidP="00247D41">
            <w:r w:rsidRPr="0081178F">
              <w:rPr>
                <w:color w:val="000000"/>
              </w:rPr>
              <w:t>1 June 2021</w:t>
            </w:r>
          </w:p>
        </w:tc>
      </w:tr>
      <w:tr w:rsidR="00247D41" w:rsidRPr="0081178F" w14:paraId="544D56F7" w14:textId="77777777" w:rsidTr="00247D41">
        <w:tc>
          <w:tcPr>
            <w:tcW w:w="4265" w:type="dxa"/>
          </w:tcPr>
          <w:p w14:paraId="0281E17C" w14:textId="77777777" w:rsidR="00247D41" w:rsidRPr="0081178F" w:rsidRDefault="00247D41" w:rsidP="00247D41">
            <w:r w:rsidRPr="0081178F">
              <w:t>First round evaluation completed</w:t>
            </w:r>
          </w:p>
        </w:tc>
        <w:tc>
          <w:tcPr>
            <w:tcW w:w="4229" w:type="dxa"/>
            <w:tcBorders>
              <w:top w:val="single" w:sz="8" w:space="0" w:color="000000"/>
              <w:left w:val="single" w:sz="8" w:space="0" w:color="000000"/>
              <w:bottom w:val="single" w:sz="8" w:space="0" w:color="000000"/>
              <w:right w:val="single" w:sz="8" w:space="0" w:color="000000"/>
            </w:tcBorders>
          </w:tcPr>
          <w:p w14:paraId="4BB405BF" w14:textId="780F0201" w:rsidR="00247D41" w:rsidRPr="0081178F" w:rsidRDefault="00247D41" w:rsidP="00247D41">
            <w:r w:rsidRPr="0081178F">
              <w:t>29 September 2021</w:t>
            </w:r>
          </w:p>
        </w:tc>
      </w:tr>
      <w:tr w:rsidR="00247D41" w:rsidRPr="0081178F" w14:paraId="32993DA3" w14:textId="77777777" w:rsidTr="00247D41">
        <w:tc>
          <w:tcPr>
            <w:tcW w:w="4265" w:type="dxa"/>
          </w:tcPr>
          <w:p w14:paraId="360E25C3" w14:textId="77777777" w:rsidR="00247D41" w:rsidRPr="0081178F" w:rsidRDefault="00247D41" w:rsidP="00247D41">
            <w:r w:rsidRPr="0081178F">
              <w:t>Sponsor provides responses on questions raised in first round evaluation</w:t>
            </w:r>
          </w:p>
        </w:tc>
        <w:tc>
          <w:tcPr>
            <w:tcW w:w="4229" w:type="dxa"/>
            <w:tcBorders>
              <w:top w:val="single" w:sz="8" w:space="0" w:color="000000"/>
              <w:left w:val="single" w:sz="8" w:space="0" w:color="000000"/>
              <w:bottom w:val="single" w:sz="8" w:space="0" w:color="000000"/>
              <w:right w:val="single" w:sz="8" w:space="0" w:color="000000"/>
            </w:tcBorders>
          </w:tcPr>
          <w:p w14:paraId="57CB701F" w14:textId="72CCD639" w:rsidR="00247D41" w:rsidRPr="0081178F" w:rsidRDefault="00247D41" w:rsidP="00247D41">
            <w:r w:rsidRPr="0081178F">
              <w:t>29 October 2021</w:t>
            </w:r>
          </w:p>
        </w:tc>
      </w:tr>
      <w:tr w:rsidR="00247D41" w:rsidRPr="0081178F" w14:paraId="0A3A3E73" w14:textId="77777777" w:rsidTr="00247D41">
        <w:tc>
          <w:tcPr>
            <w:tcW w:w="4265" w:type="dxa"/>
          </w:tcPr>
          <w:p w14:paraId="3BDE7107" w14:textId="77777777" w:rsidR="00247D41" w:rsidRPr="0081178F" w:rsidRDefault="00247D41" w:rsidP="00247D41">
            <w:r w:rsidRPr="0081178F">
              <w:t>Second round evaluation completed</w:t>
            </w:r>
          </w:p>
        </w:tc>
        <w:tc>
          <w:tcPr>
            <w:tcW w:w="4229" w:type="dxa"/>
            <w:tcBorders>
              <w:top w:val="single" w:sz="8" w:space="0" w:color="000000"/>
              <w:left w:val="single" w:sz="8" w:space="0" w:color="000000"/>
              <w:bottom w:val="single" w:sz="8" w:space="0" w:color="000000"/>
              <w:right w:val="single" w:sz="8" w:space="0" w:color="000000"/>
            </w:tcBorders>
          </w:tcPr>
          <w:p w14:paraId="5FA2F913" w14:textId="77777777" w:rsidR="00247D41" w:rsidRPr="0081178F" w:rsidRDefault="00247D41" w:rsidP="00247D41">
            <w:r w:rsidRPr="0081178F">
              <w:t>16 December 2021</w:t>
            </w:r>
          </w:p>
        </w:tc>
      </w:tr>
      <w:tr w:rsidR="00247D41" w:rsidRPr="0081178F" w14:paraId="09495FC1" w14:textId="77777777" w:rsidTr="00247D41">
        <w:tc>
          <w:tcPr>
            <w:tcW w:w="4265" w:type="dxa"/>
          </w:tcPr>
          <w:p w14:paraId="777A6E82" w14:textId="691261D4" w:rsidR="00247D41" w:rsidRPr="0081178F" w:rsidRDefault="00247D41" w:rsidP="00247D41">
            <w:r w:rsidRPr="0081178F">
              <w:t>Delegate’s Overall benefit-risk assessment</w:t>
            </w:r>
          </w:p>
        </w:tc>
        <w:tc>
          <w:tcPr>
            <w:tcW w:w="4229" w:type="dxa"/>
            <w:tcBorders>
              <w:top w:val="single" w:sz="8" w:space="0" w:color="000000"/>
              <w:left w:val="single" w:sz="8" w:space="0" w:color="000000"/>
              <w:bottom w:val="single" w:sz="8" w:space="0" w:color="000000"/>
              <w:right w:val="single" w:sz="8" w:space="0" w:color="000000"/>
            </w:tcBorders>
          </w:tcPr>
          <w:p w14:paraId="2EEE5BED" w14:textId="29B8B6C2" w:rsidR="00247D41" w:rsidRPr="0081178F" w:rsidRDefault="00247D41" w:rsidP="00247D41">
            <w:r w:rsidRPr="0081178F">
              <w:t>4 January 2022</w:t>
            </w:r>
          </w:p>
        </w:tc>
      </w:tr>
      <w:tr w:rsidR="00247D41" w:rsidRPr="0081178F" w14:paraId="2710B89A" w14:textId="77777777" w:rsidTr="00247D41">
        <w:tc>
          <w:tcPr>
            <w:tcW w:w="4265" w:type="dxa"/>
          </w:tcPr>
          <w:p w14:paraId="5EEB1B9E" w14:textId="77777777" w:rsidR="00247D41" w:rsidRPr="0081178F" w:rsidRDefault="00247D41" w:rsidP="00247D41">
            <w:r w:rsidRPr="0081178F">
              <w:t>Sponsor’s pre-Advisory Committee response</w:t>
            </w:r>
          </w:p>
        </w:tc>
        <w:tc>
          <w:tcPr>
            <w:tcW w:w="4229" w:type="dxa"/>
            <w:tcBorders>
              <w:top w:val="single" w:sz="8" w:space="0" w:color="000000"/>
              <w:left w:val="single" w:sz="8" w:space="0" w:color="000000"/>
              <w:bottom w:val="single" w:sz="8" w:space="0" w:color="000000"/>
              <w:right w:val="single" w:sz="8" w:space="0" w:color="000000"/>
            </w:tcBorders>
          </w:tcPr>
          <w:p w14:paraId="7C8F788D" w14:textId="2E47F437" w:rsidR="00247D41" w:rsidRPr="0081178F" w:rsidRDefault="00247D41" w:rsidP="00247D41">
            <w:r w:rsidRPr="0081178F">
              <w:t>Not applicable</w:t>
            </w:r>
          </w:p>
        </w:tc>
      </w:tr>
      <w:tr w:rsidR="00247D41" w:rsidRPr="0081178F" w14:paraId="76ED907F" w14:textId="77777777" w:rsidTr="00247D41">
        <w:tc>
          <w:tcPr>
            <w:tcW w:w="4265" w:type="dxa"/>
          </w:tcPr>
          <w:p w14:paraId="4786BDB1" w14:textId="77777777" w:rsidR="00247D41" w:rsidRPr="0081178F" w:rsidRDefault="00247D41" w:rsidP="00247D41">
            <w:r w:rsidRPr="0081178F">
              <w:t>Advisory Committee meeting</w:t>
            </w:r>
          </w:p>
        </w:tc>
        <w:tc>
          <w:tcPr>
            <w:tcW w:w="4229" w:type="dxa"/>
            <w:tcBorders>
              <w:top w:val="single" w:sz="8" w:space="0" w:color="000000"/>
              <w:left w:val="single" w:sz="8" w:space="0" w:color="000000"/>
              <w:bottom w:val="single" w:sz="8" w:space="0" w:color="000000"/>
              <w:right w:val="single" w:sz="8" w:space="0" w:color="000000"/>
            </w:tcBorders>
          </w:tcPr>
          <w:p w14:paraId="17280FA9" w14:textId="19709D40" w:rsidR="00247D41" w:rsidRPr="0081178F" w:rsidRDefault="00247D41" w:rsidP="00247D41">
            <w:r w:rsidRPr="0081178F">
              <w:t>Not applicable</w:t>
            </w:r>
          </w:p>
        </w:tc>
      </w:tr>
      <w:tr w:rsidR="00247D41" w:rsidRPr="0081178F" w14:paraId="7ADA7230" w14:textId="77777777" w:rsidTr="00247D41">
        <w:tc>
          <w:tcPr>
            <w:tcW w:w="4265" w:type="dxa"/>
          </w:tcPr>
          <w:p w14:paraId="12CD4AA1" w14:textId="77777777" w:rsidR="00247D41" w:rsidRPr="0081178F" w:rsidRDefault="00247D41" w:rsidP="00247D41">
            <w:r w:rsidRPr="0081178F">
              <w:t>Registration decision (Outcome)</w:t>
            </w:r>
          </w:p>
        </w:tc>
        <w:tc>
          <w:tcPr>
            <w:tcW w:w="4229" w:type="dxa"/>
            <w:tcBorders>
              <w:top w:val="single" w:sz="8" w:space="0" w:color="000000"/>
              <w:left w:val="single" w:sz="8" w:space="0" w:color="000000"/>
              <w:bottom w:val="single" w:sz="8" w:space="0" w:color="000000"/>
              <w:right w:val="single" w:sz="8" w:space="0" w:color="000000"/>
            </w:tcBorders>
          </w:tcPr>
          <w:p w14:paraId="68B4CAF1" w14:textId="104D6DBB" w:rsidR="00247D41" w:rsidRPr="0081178F" w:rsidRDefault="00247D41" w:rsidP="00247D41">
            <w:r w:rsidRPr="0081178F">
              <w:t>28 February 2022</w:t>
            </w:r>
          </w:p>
        </w:tc>
      </w:tr>
      <w:tr w:rsidR="00247D41" w:rsidRPr="0081178F" w14:paraId="7361AD89" w14:textId="77777777" w:rsidTr="00247D41">
        <w:tc>
          <w:tcPr>
            <w:tcW w:w="4265" w:type="dxa"/>
          </w:tcPr>
          <w:p w14:paraId="295B9832" w14:textId="77777777" w:rsidR="00247D41" w:rsidRPr="0081178F" w:rsidRDefault="00247D41" w:rsidP="00247D41">
            <w:r w:rsidRPr="0081178F">
              <w:t>Completion of administrative activities and registration on the ARTG</w:t>
            </w:r>
          </w:p>
        </w:tc>
        <w:tc>
          <w:tcPr>
            <w:tcW w:w="4229" w:type="dxa"/>
            <w:tcBorders>
              <w:top w:val="single" w:sz="8" w:space="0" w:color="000000"/>
              <w:left w:val="single" w:sz="8" w:space="0" w:color="000000"/>
              <w:bottom w:val="single" w:sz="8" w:space="0" w:color="000000"/>
              <w:right w:val="single" w:sz="8" w:space="0" w:color="000000"/>
            </w:tcBorders>
          </w:tcPr>
          <w:p w14:paraId="39EA7A46" w14:textId="05774B5F" w:rsidR="00247D41" w:rsidRPr="0081178F" w:rsidRDefault="00247D41" w:rsidP="00247D41">
            <w:r w:rsidRPr="0081178F">
              <w:t>25 March 2022</w:t>
            </w:r>
          </w:p>
        </w:tc>
      </w:tr>
      <w:tr w:rsidR="00247D41" w:rsidRPr="0081178F" w14:paraId="5F332D60" w14:textId="77777777" w:rsidTr="00247D41">
        <w:tc>
          <w:tcPr>
            <w:tcW w:w="4265" w:type="dxa"/>
          </w:tcPr>
          <w:p w14:paraId="054B665F" w14:textId="77777777" w:rsidR="00247D41" w:rsidRPr="0081178F" w:rsidRDefault="00247D41" w:rsidP="00247D41">
            <w:r w:rsidRPr="0081178F">
              <w:t>Number of working days from submission dossier acceptance to registration decision*</w:t>
            </w:r>
          </w:p>
        </w:tc>
        <w:tc>
          <w:tcPr>
            <w:tcW w:w="4229" w:type="dxa"/>
            <w:tcBorders>
              <w:top w:val="single" w:sz="8" w:space="0" w:color="000000"/>
              <w:left w:val="single" w:sz="8" w:space="0" w:color="000000"/>
              <w:bottom w:val="single" w:sz="8" w:space="0" w:color="000000"/>
              <w:right w:val="single" w:sz="8" w:space="0" w:color="000000"/>
            </w:tcBorders>
          </w:tcPr>
          <w:p w14:paraId="38A2F8E5" w14:textId="4C9323F9" w:rsidR="00247D41" w:rsidRPr="0081178F" w:rsidRDefault="00247D41" w:rsidP="00247D41">
            <w:r w:rsidRPr="0081178F">
              <w:t>165</w:t>
            </w:r>
          </w:p>
        </w:tc>
      </w:tr>
    </w:tbl>
    <w:p w14:paraId="24FD4029" w14:textId="77777777" w:rsidR="0074163C" w:rsidRPr="0081178F" w:rsidRDefault="0074163C" w:rsidP="0074163C">
      <w:pPr>
        <w:pStyle w:val="TableDescription"/>
      </w:pPr>
      <w:r w:rsidRPr="0081178F">
        <w:t>*The COR-B process has a 175 working day evaluation and decision timeframe.</w:t>
      </w:r>
    </w:p>
    <w:p w14:paraId="126E8D8B" w14:textId="77777777" w:rsidR="008E7846" w:rsidRPr="0081178F" w:rsidRDefault="00006FAB" w:rsidP="008E7846">
      <w:pPr>
        <w:pStyle w:val="Heading2"/>
      </w:pPr>
      <w:bookmarkStart w:id="26" w:name="_Toc196046504"/>
      <w:bookmarkStart w:id="27" w:name="_Toc247691527"/>
      <w:bookmarkStart w:id="28" w:name="_Toc314842510"/>
      <w:bookmarkStart w:id="29" w:name="_Toc117858931"/>
      <w:bookmarkStart w:id="30" w:name="_Toc163441390"/>
      <w:bookmarkEnd w:id="1"/>
      <w:bookmarkEnd w:id="23"/>
      <w:bookmarkEnd w:id="24"/>
      <w:r w:rsidRPr="0081178F">
        <w:t xml:space="preserve">Submission overview </w:t>
      </w:r>
      <w:r w:rsidR="008E7846" w:rsidRPr="0081178F">
        <w:t>and risk/benefit assessment</w:t>
      </w:r>
      <w:bookmarkEnd w:id="26"/>
      <w:bookmarkEnd w:id="27"/>
      <w:bookmarkEnd w:id="28"/>
      <w:bookmarkEnd w:id="29"/>
    </w:p>
    <w:p w14:paraId="3638DA73" w14:textId="77777777" w:rsidR="005A79F5" w:rsidRPr="0081178F" w:rsidRDefault="005A79F5" w:rsidP="00364EFE">
      <w:pPr>
        <w:rPr>
          <w:i/>
        </w:rPr>
      </w:pPr>
      <w:bookmarkStart w:id="31" w:name="_Toc247691528"/>
      <w:bookmarkStart w:id="32" w:name="_Toc314842511"/>
      <w:r w:rsidRPr="0081178F">
        <w:t>A summary of the TGA’s assessment for this submission is provided below.</w:t>
      </w:r>
    </w:p>
    <w:p w14:paraId="1B278835" w14:textId="2D686349" w:rsidR="0074163C" w:rsidRPr="0081178F" w:rsidRDefault="0074163C" w:rsidP="0074163C">
      <w:r w:rsidRPr="0081178F">
        <w:t>This section is a TGA summary of wording used in TGA’s evaluation report, which discussed numerous aspects of overseas evaluation reports and included some information that was commercial-in-confidence.</w:t>
      </w:r>
    </w:p>
    <w:p w14:paraId="18B5B752" w14:textId="6FDAB65F" w:rsidR="005D3A00" w:rsidRPr="0081178F" w:rsidRDefault="005D3A00" w:rsidP="0074163C">
      <w:r w:rsidRPr="0081178F">
        <w:t>Relevant guidelines or guidance documents referred to by the Delegate are listed below:</w:t>
      </w:r>
    </w:p>
    <w:p w14:paraId="05BBB238" w14:textId="045163B1" w:rsidR="003F761E" w:rsidRPr="0081178F" w:rsidRDefault="003F761E" w:rsidP="003025D1">
      <w:pPr>
        <w:pStyle w:val="ListBullet"/>
      </w:pPr>
      <w:r w:rsidRPr="0081178F">
        <w:t>European Medicines Agency (EMA), Committee for Medicinal Products for Human Use (CHMP), Guideline on Similar Biological Medicinal Products Containing Monoclonal Antibodies - Non-clinical and Clinical Issues, EMA/CHMP/BMWP/403543/2010, 30 May 2012.</w:t>
      </w:r>
    </w:p>
    <w:p w14:paraId="30E7AF06" w14:textId="1AA5B0DE" w:rsidR="003F761E" w:rsidRPr="0081178F" w:rsidRDefault="003F761E" w:rsidP="003025D1">
      <w:pPr>
        <w:pStyle w:val="ListBullet"/>
      </w:pPr>
      <w:r w:rsidRPr="0081178F">
        <w:t>European Medicines Agency (EMA), Committee for Medicinal Products for Human Use (CHMP), Guideline on Similar Biological Medicinal Products Containing Biotechnology-Derived Proteins as Active Substance: Quality Issues (Revision 1), EMA/CHMP/BWP/247713/2012, 22 May 2014.</w:t>
      </w:r>
    </w:p>
    <w:p w14:paraId="492782A3" w14:textId="79C63B8D" w:rsidR="003F761E" w:rsidRPr="0081178F" w:rsidRDefault="003F761E" w:rsidP="003A12A9">
      <w:pPr>
        <w:pStyle w:val="ListBullet"/>
      </w:pPr>
      <w:r w:rsidRPr="0081178F">
        <w:t>European Medicines Agency (EMA), Committee for Medicinal Products for Human Use (CHMP), Guideline on Similar Biological Medicinal Products, CHMP/437/04 Rev 1, 23 October 2014.</w:t>
      </w:r>
    </w:p>
    <w:p w14:paraId="5E7C426D" w14:textId="77777777" w:rsidR="008E7846" w:rsidRPr="0081178F" w:rsidRDefault="008E7846" w:rsidP="008E7846">
      <w:pPr>
        <w:pStyle w:val="Heading3"/>
      </w:pPr>
      <w:bookmarkStart w:id="33" w:name="_Toc117858932"/>
      <w:r w:rsidRPr="0081178F">
        <w:t>Quality</w:t>
      </w:r>
      <w:bookmarkEnd w:id="31"/>
      <w:bookmarkEnd w:id="32"/>
      <w:bookmarkEnd w:id="33"/>
    </w:p>
    <w:p w14:paraId="1ABE2FEA" w14:textId="2225F06B" w:rsidR="00DB7C98" w:rsidRPr="0081178F" w:rsidRDefault="00DB7C98" w:rsidP="00DB7C98">
      <w:r w:rsidRPr="0081178F">
        <w:t>The active substance, adalimumab</w:t>
      </w:r>
      <w:r w:rsidR="00355485" w:rsidRPr="0081178F">
        <w:t xml:space="preserve">, </w:t>
      </w:r>
      <w:r w:rsidRPr="0081178F">
        <w:t xml:space="preserve">is a recombinant human monoclonal </w:t>
      </w:r>
      <w:r w:rsidR="00E844A7" w:rsidRPr="0081178F">
        <w:t xml:space="preserve">immunoglobulin </w:t>
      </w:r>
      <w:r w:rsidRPr="0081178F">
        <w:t xml:space="preserve">G1 antibody subclass antibody that selectively binds directly to human TNFα. The finished product is presented as a sterile solution for injection containing 40 mg of adalimumab as </w:t>
      </w:r>
      <w:r w:rsidR="007E0875" w:rsidRPr="0081178F">
        <w:t xml:space="preserve">the </w:t>
      </w:r>
      <w:r w:rsidRPr="0081178F">
        <w:t>active substance. The product is available in 0.4 mL single dose pre</w:t>
      </w:r>
      <w:r w:rsidR="004C04A3" w:rsidRPr="0081178F">
        <w:t>-</w:t>
      </w:r>
      <w:r w:rsidRPr="0081178F">
        <w:t xml:space="preserve">filled syringe, </w:t>
      </w:r>
      <w:r w:rsidR="003F761E" w:rsidRPr="0081178F">
        <w:t>pre</w:t>
      </w:r>
      <w:r w:rsidR="004C04A3" w:rsidRPr="0081178F">
        <w:noBreakHyphen/>
      </w:r>
      <w:r w:rsidR="003F761E" w:rsidRPr="0081178F">
        <w:t>filled syringe</w:t>
      </w:r>
      <w:r w:rsidRPr="0081178F">
        <w:t xml:space="preserve"> with needle safety guard or pre</w:t>
      </w:r>
      <w:r w:rsidR="004C04A3" w:rsidRPr="0081178F">
        <w:t>-</w:t>
      </w:r>
      <w:r w:rsidRPr="0081178F">
        <w:t>filled</w:t>
      </w:r>
      <w:r w:rsidR="0061141E" w:rsidRPr="0081178F">
        <w:t xml:space="preserve"> </w:t>
      </w:r>
      <w:r w:rsidRPr="0081178F">
        <w:t>pen (auto-injector).</w:t>
      </w:r>
    </w:p>
    <w:p w14:paraId="0D40F409" w14:textId="0D295873" w:rsidR="00DB7C98" w:rsidRPr="0081178F" w:rsidRDefault="00DB7C98" w:rsidP="00DB7C98">
      <w:r w:rsidRPr="0081178F">
        <w:t xml:space="preserve">A comprehensive comparability exercise comparing the physicochemical and biological properties of </w:t>
      </w:r>
      <w:r w:rsidR="007E0875" w:rsidRPr="0081178F">
        <w:t>Yuflyma</w:t>
      </w:r>
      <w:r w:rsidRPr="0081178F">
        <w:t xml:space="preserve"> to EU-</w:t>
      </w:r>
      <w:r w:rsidR="00DA64A7" w:rsidRPr="0081178F">
        <w:t xml:space="preserve">approved </w:t>
      </w:r>
      <w:r w:rsidR="003025D1" w:rsidRPr="0081178F">
        <w:t>Humira</w:t>
      </w:r>
      <w:r w:rsidRPr="0081178F">
        <w:t xml:space="preserve"> and US-</w:t>
      </w:r>
      <w:r w:rsidR="00DA64A7" w:rsidRPr="0081178F">
        <w:t xml:space="preserve">licensed </w:t>
      </w:r>
      <w:r w:rsidR="003025D1" w:rsidRPr="0081178F">
        <w:t>Humira</w:t>
      </w:r>
      <w:r w:rsidRPr="0081178F">
        <w:t xml:space="preserve"> demonstrated high similarity for physicochemical and biological quality attributes. </w:t>
      </w:r>
      <w:proofErr w:type="gramStart"/>
      <w:r w:rsidRPr="0081178F">
        <w:t>In particular, high</w:t>
      </w:r>
      <w:proofErr w:type="gramEnd"/>
      <w:r w:rsidRPr="0081178F">
        <w:t xml:space="preserve"> similarity was demonstrated for the following properties:</w:t>
      </w:r>
    </w:p>
    <w:p w14:paraId="0FDEB073" w14:textId="77777777" w:rsidR="00DB7C98" w:rsidRPr="0081178F" w:rsidRDefault="00DB7C98" w:rsidP="00DB7C98">
      <w:pPr>
        <w:pStyle w:val="ListBullet"/>
      </w:pPr>
      <w:r w:rsidRPr="0081178F">
        <w:t>Primary and higher order structure</w:t>
      </w:r>
    </w:p>
    <w:p w14:paraId="6D23E193" w14:textId="77777777" w:rsidR="00DB7C98" w:rsidRPr="0081178F" w:rsidRDefault="00DB7C98" w:rsidP="00DB7C98">
      <w:pPr>
        <w:pStyle w:val="ListBullet"/>
      </w:pPr>
      <w:r w:rsidRPr="0081178F">
        <w:t>Content and extractable volume</w:t>
      </w:r>
    </w:p>
    <w:p w14:paraId="1491AE47" w14:textId="77777777" w:rsidR="00DB7C98" w:rsidRPr="0081178F" w:rsidRDefault="00DB7C98" w:rsidP="00DB7C98">
      <w:pPr>
        <w:pStyle w:val="ListBullet"/>
      </w:pPr>
      <w:r w:rsidRPr="0081178F">
        <w:t>Size heterogeneity</w:t>
      </w:r>
    </w:p>
    <w:p w14:paraId="33D7A698" w14:textId="77777777" w:rsidR="00DB7C98" w:rsidRPr="0081178F" w:rsidRDefault="00DB7C98" w:rsidP="00DB7C98">
      <w:pPr>
        <w:pStyle w:val="ListBullet"/>
      </w:pPr>
      <w:r w:rsidRPr="0081178F">
        <w:t>Charge variants (with some minor exceptions)</w:t>
      </w:r>
    </w:p>
    <w:p w14:paraId="731EF606" w14:textId="77777777" w:rsidR="00DB7C98" w:rsidRPr="0081178F" w:rsidRDefault="00DB7C98" w:rsidP="00DB7C98">
      <w:pPr>
        <w:pStyle w:val="ListBullet"/>
      </w:pPr>
      <w:r w:rsidRPr="0081178F">
        <w:t>Glycan profiles</w:t>
      </w:r>
    </w:p>
    <w:p w14:paraId="05D13819" w14:textId="77777777" w:rsidR="00DB7C98" w:rsidRPr="0081178F" w:rsidRDefault="00DB7C98" w:rsidP="00DB7C98">
      <w:pPr>
        <w:pStyle w:val="ListBullet"/>
      </w:pPr>
      <w:r w:rsidRPr="0081178F">
        <w:t>Binding to soluble and transmembrane TNFα and neutralisation of TNFα</w:t>
      </w:r>
    </w:p>
    <w:p w14:paraId="4661CA8F" w14:textId="77777777" w:rsidR="00DB7C98" w:rsidRPr="0081178F" w:rsidRDefault="00DB7C98" w:rsidP="00DB7C98">
      <w:pPr>
        <w:pStyle w:val="ListBullet"/>
      </w:pPr>
      <w:r w:rsidRPr="0081178F">
        <w:t>Reverse signalling activity</w:t>
      </w:r>
    </w:p>
    <w:p w14:paraId="30A4A19F" w14:textId="46D2A7D6" w:rsidR="00DB7C98" w:rsidRPr="0081178F" w:rsidRDefault="00DB7C98" w:rsidP="00DB7C98">
      <w:pPr>
        <w:pStyle w:val="ListBullet"/>
      </w:pPr>
      <w:r w:rsidRPr="0081178F">
        <w:t>Binding to Fc-receptors (</w:t>
      </w:r>
      <w:proofErr w:type="spellStart"/>
      <w:r w:rsidRPr="0081178F">
        <w:t>FcγRIIIa</w:t>
      </w:r>
      <w:proofErr w:type="spellEnd"/>
      <w:r w:rsidRPr="0081178F">
        <w:t xml:space="preserve"> </w:t>
      </w:r>
      <w:r w:rsidR="003025D1" w:rsidRPr="0081178F">
        <w:t>(</w:t>
      </w:r>
      <w:r w:rsidRPr="0081178F">
        <w:t>V,</w:t>
      </w:r>
      <w:r w:rsidR="003025D1" w:rsidRPr="0081178F">
        <w:t xml:space="preserve"> </w:t>
      </w:r>
      <w:r w:rsidRPr="0081178F">
        <w:t>F</w:t>
      </w:r>
      <w:r w:rsidR="003025D1" w:rsidRPr="0081178F">
        <w:t>)</w:t>
      </w:r>
      <w:r w:rsidRPr="0081178F">
        <w:t xml:space="preserve">, </w:t>
      </w:r>
      <w:proofErr w:type="spellStart"/>
      <w:r w:rsidRPr="0081178F">
        <w:t>FcγRIIIb</w:t>
      </w:r>
      <w:proofErr w:type="spellEnd"/>
      <w:r w:rsidRPr="0081178F">
        <w:t xml:space="preserve">, </w:t>
      </w:r>
      <w:proofErr w:type="spellStart"/>
      <w:r w:rsidRPr="0081178F">
        <w:t>FcγRIIa</w:t>
      </w:r>
      <w:proofErr w:type="spellEnd"/>
      <w:r w:rsidRPr="0081178F">
        <w:t xml:space="preserve">, </w:t>
      </w:r>
      <w:proofErr w:type="spellStart"/>
      <w:r w:rsidRPr="0081178F">
        <w:t>FcγRIIb</w:t>
      </w:r>
      <w:proofErr w:type="spellEnd"/>
      <w:r w:rsidRPr="0081178F">
        <w:t xml:space="preserve">, </w:t>
      </w:r>
      <w:proofErr w:type="spellStart"/>
      <w:r w:rsidRPr="0081178F">
        <w:t>FcγRI</w:t>
      </w:r>
      <w:proofErr w:type="spellEnd"/>
      <w:r w:rsidRPr="0081178F">
        <w:t xml:space="preserve"> and </w:t>
      </w:r>
      <w:proofErr w:type="spellStart"/>
      <w:r w:rsidRPr="0081178F">
        <w:t>FcRn</w:t>
      </w:r>
      <w:proofErr w:type="spellEnd"/>
      <w:r w:rsidRPr="0081178F">
        <w:t>)</w:t>
      </w:r>
    </w:p>
    <w:p w14:paraId="36D92A27" w14:textId="7267C25F" w:rsidR="00DB7C98" w:rsidRPr="0081178F" w:rsidRDefault="00DB7C98" w:rsidP="00DB7C98">
      <w:pPr>
        <w:pStyle w:val="ListBullet"/>
      </w:pPr>
      <w:r w:rsidRPr="0081178F">
        <w:t xml:space="preserve">Binding to C1q and </w:t>
      </w:r>
      <w:r w:rsidR="00E844A7" w:rsidRPr="0081178F">
        <w:t>complement dependent cytotoxicity</w:t>
      </w:r>
      <w:r w:rsidRPr="0081178F">
        <w:t xml:space="preserve"> activity</w:t>
      </w:r>
    </w:p>
    <w:p w14:paraId="4432E865" w14:textId="12C51860" w:rsidR="00DB7C98" w:rsidRPr="0081178F" w:rsidRDefault="00E844A7" w:rsidP="00DB7C98">
      <w:pPr>
        <w:pStyle w:val="ListBullet"/>
      </w:pPr>
      <w:r w:rsidRPr="0081178F">
        <w:t>Antibody dependent cellular cytotoxicity</w:t>
      </w:r>
      <w:r w:rsidR="00DB7C98" w:rsidRPr="0081178F">
        <w:t xml:space="preserve"> activity</w:t>
      </w:r>
    </w:p>
    <w:p w14:paraId="700A3671" w14:textId="3CE74AA0" w:rsidR="00DB7C98" w:rsidRPr="0081178F" w:rsidRDefault="00DB7C98" w:rsidP="00DB7C98">
      <w:pPr>
        <w:pStyle w:val="ListBullet"/>
      </w:pPr>
      <w:r w:rsidRPr="0081178F">
        <w:t xml:space="preserve">Inhibition of TNFα-induced apoptosis, </w:t>
      </w:r>
      <w:r w:rsidR="00E844A7" w:rsidRPr="0081178F">
        <w:t>interleukin</w:t>
      </w:r>
      <w:r w:rsidRPr="0081178F">
        <w:t>-</w:t>
      </w:r>
      <w:proofErr w:type="gramStart"/>
      <w:r w:rsidRPr="0081178F">
        <w:t>8</w:t>
      </w:r>
      <w:proofErr w:type="gramEnd"/>
      <w:r w:rsidRPr="0081178F">
        <w:t xml:space="preserve"> and </w:t>
      </w:r>
      <w:r w:rsidR="00A46138" w:rsidRPr="0081178F">
        <w:t>vascular cell adhesion protein</w:t>
      </w:r>
      <w:r w:rsidR="00A46138" w:rsidRPr="0081178F">
        <w:noBreakHyphen/>
        <w:t xml:space="preserve">1 </w:t>
      </w:r>
      <w:r w:rsidRPr="0081178F">
        <w:t>release</w:t>
      </w:r>
    </w:p>
    <w:p w14:paraId="52D77F64" w14:textId="77777777" w:rsidR="00DB7C98" w:rsidRPr="0081178F" w:rsidRDefault="00DB7C98" w:rsidP="00DB7C98">
      <w:pPr>
        <w:pStyle w:val="ListBullet"/>
      </w:pPr>
      <w:r w:rsidRPr="0081178F">
        <w:t>Induction of regulatory macrophages and subsequent T-cell anti-proliferation</w:t>
      </w:r>
    </w:p>
    <w:p w14:paraId="303F005D" w14:textId="77777777" w:rsidR="00DB7C98" w:rsidRPr="0081178F" w:rsidRDefault="00DB7C98" w:rsidP="00DB7C98">
      <w:pPr>
        <w:pStyle w:val="ListBullet"/>
      </w:pPr>
      <w:r w:rsidRPr="0081178F">
        <w:t>Stability under accelerated and stressed conditions and forced degradation.</w:t>
      </w:r>
    </w:p>
    <w:p w14:paraId="7BFDABE0" w14:textId="15CF3785" w:rsidR="00DB7C98" w:rsidRPr="0081178F" w:rsidRDefault="00DB7C98" w:rsidP="00DB7C98">
      <w:r w:rsidRPr="0081178F">
        <w:t xml:space="preserve">Minor differences were observed in charge variants, and in </w:t>
      </w:r>
      <w:proofErr w:type="spellStart"/>
      <w:r w:rsidRPr="0081178F">
        <w:t>mannosylated</w:t>
      </w:r>
      <w:proofErr w:type="spellEnd"/>
      <w:r w:rsidRPr="0081178F">
        <w:t xml:space="preserve"> and </w:t>
      </w:r>
      <w:proofErr w:type="spellStart"/>
      <w:r w:rsidRPr="0081178F">
        <w:t>afucosylated</w:t>
      </w:r>
      <w:proofErr w:type="spellEnd"/>
      <w:r w:rsidRPr="0081178F">
        <w:t xml:space="preserve"> glycans, but the observed differences were small and deemed unlikely to have a clinical impact.</w:t>
      </w:r>
    </w:p>
    <w:p w14:paraId="4DB7A424" w14:textId="0EDF9293" w:rsidR="00DB7C98" w:rsidRPr="0081178F" w:rsidRDefault="00DB7C98" w:rsidP="00DB7C98">
      <w:r w:rsidRPr="0081178F">
        <w:t xml:space="preserve">A bridging study demonstrated high similarity between </w:t>
      </w:r>
      <w:r w:rsidR="001128D2" w:rsidRPr="0081178F">
        <w:t>Australian</w:t>
      </w:r>
      <w:r w:rsidR="003E06BD" w:rsidRPr="0081178F">
        <w:t>-</w:t>
      </w:r>
      <w:r w:rsidR="007E0875" w:rsidRPr="0081178F">
        <w:t xml:space="preserve">sourced </w:t>
      </w:r>
      <w:r w:rsidR="003025D1" w:rsidRPr="0081178F">
        <w:t>Humira</w:t>
      </w:r>
      <w:r w:rsidRPr="0081178F">
        <w:t xml:space="preserve"> and EU-</w:t>
      </w:r>
      <w:r w:rsidR="00B639CC" w:rsidRPr="0081178F">
        <w:t xml:space="preserve">approved </w:t>
      </w:r>
      <w:r w:rsidR="003025D1" w:rsidRPr="0081178F">
        <w:t>Humira</w:t>
      </w:r>
      <w:r w:rsidRPr="0081178F">
        <w:t xml:space="preserve">, supporting a conclusion of biosimilarity of </w:t>
      </w:r>
      <w:r w:rsidR="007E0875" w:rsidRPr="0081178F">
        <w:t xml:space="preserve">Yuflyma </w:t>
      </w:r>
      <w:r w:rsidRPr="0081178F">
        <w:t>with the Australian reference product.</w:t>
      </w:r>
    </w:p>
    <w:p w14:paraId="1920C4FC" w14:textId="57793397" w:rsidR="00DB7C98" w:rsidRPr="0081178F" w:rsidRDefault="00DB7C98" w:rsidP="00DB7C98">
      <w:r w:rsidRPr="0081178F">
        <w:t>The PI, Consumer Medicine Information</w:t>
      </w:r>
      <w:r w:rsidR="003025D1" w:rsidRPr="0081178F">
        <w:t xml:space="preserve"> (CMI)</w:t>
      </w:r>
      <w:r w:rsidRPr="0081178F">
        <w:t xml:space="preserve">, and Labels are acceptable from a </w:t>
      </w:r>
      <w:r w:rsidR="003025D1" w:rsidRPr="0081178F">
        <w:t>quality</w:t>
      </w:r>
      <w:r w:rsidRPr="0081178F">
        <w:t xml:space="preserve"> perspective.</w:t>
      </w:r>
    </w:p>
    <w:p w14:paraId="1931AB1A" w14:textId="55E9A6A1" w:rsidR="00DB7C98" w:rsidRPr="0081178F" w:rsidRDefault="003025D1" w:rsidP="00DB7C98">
      <w:r w:rsidRPr="0081178F">
        <w:t xml:space="preserve">All </w:t>
      </w:r>
      <w:r w:rsidR="00DB7C98" w:rsidRPr="0081178F">
        <w:t xml:space="preserve">outstanding issues </w:t>
      </w:r>
      <w:r w:rsidRPr="0081178F">
        <w:t>are resolved prior to approval</w:t>
      </w:r>
      <w:r w:rsidR="00DB7C98" w:rsidRPr="0081178F">
        <w:t>.</w:t>
      </w:r>
    </w:p>
    <w:p w14:paraId="217DB6B9" w14:textId="45856F14" w:rsidR="00DB7C98" w:rsidRPr="0081178F" w:rsidRDefault="00DB7C98" w:rsidP="00DB7C98">
      <w:pPr>
        <w:pStyle w:val="Heading4"/>
      </w:pPr>
      <w:r w:rsidRPr="0081178F">
        <w:t>Quality</w:t>
      </w:r>
      <w:r w:rsidR="003025D1" w:rsidRPr="0081178F">
        <w:t xml:space="preserve"> </w:t>
      </w:r>
      <w:r w:rsidRPr="0081178F">
        <w:t>related proposed conditions of registration</w:t>
      </w:r>
    </w:p>
    <w:p w14:paraId="6ED7AC79" w14:textId="2CCD4D9A" w:rsidR="00DB7C98" w:rsidRPr="0081178F" w:rsidRDefault="00DB7C98" w:rsidP="00DB7C98">
      <w:bookmarkStart w:id="34" w:name="_Toc88043920"/>
      <w:r w:rsidRPr="0081178F">
        <w:t xml:space="preserve">Laboratory </w:t>
      </w:r>
      <w:r w:rsidR="003025D1" w:rsidRPr="0081178F">
        <w:t>testing and compliance with certified product details</w:t>
      </w:r>
      <w:bookmarkEnd w:id="34"/>
    </w:p>
    <w:p w14:paraId="630092EB" w14:textId="1559CBC6" w:rsidR="00DB7C98" w:rsidRPr="0081178F" w:rsidRDefault="00DB7C98" w:rsidP="00DB7C98">
      <w:pPr>
        <w:pStyle w:val="ListBullet"/>
      </w:pPr>
      <w:r w:rsidRPr="0081178F">
        <w:t>All batches of Yuflyma supplied in Australia must comply with the product details and specifications approved during evaluation and detailed in the Certified Product Details (CPD).</w:t>
      </w:r>
    </w:p>
    <w:p w14:paraId="2811300B" w14:textId="078F74CC" w:rsidR="00DB7C98" w:rsidRPr="0081178F" w:rsidRDefault="00DB7C98" w:rsidP="00DB7C98">
      <w:pPr>
        <w:pStyle w:val="ListBullet"/>
      </w:pPr>
      <w:r w:rsidRPr="0081178F">
        <w:t xml:space="preserve">When requested by the TGA, the </w:t>
      </w:r>
      <w:r w:rsidR="005E11DA" w:rsidRPr="0081178F">
        <w:t>sponsor</w:t>
      </w:r>
      <w:r w:rsidRPr="0081178F">
        <w:t xml:space="preserve"> should be prepared to provide product samples, specified reference materials and documentary evidence to enable the TGA to conduct laboratory testing on the </w:t>
      </w:r>
      <w:r w:rsidR="00DE77BA" w:rsidRPr="0081178F">
        <w:t>product</w:t>
      </w:r>
      <w:r w:rsidRPr="0081178F">
        <w:t xml:space="preserve">. Outcomes of laboratory testing are published biannually in the TGA Database of Laboratory Testing Results </w:t>
      </w:r>
      <w:hyperlink r:id="rId19" w:history="1">
        <w:r w:rsidRPr="0081178F">
          <w:rPr>
            <w:rStyle w:val="Hyperlink"/>
          </w:rPr>
          <w:t>http://www.tga.gov.au/ws-labs-index</w:t>
        </w:r>
      </w:hyperlink>
      <w:r w:rsidRPr="0081178F">
        <w:t xml:space="preserve"> and periodically in testing reports on the TGA website.</w:t>
      </w:r>
    </w:p>
    <w:p w14:paraId="366CD456" w14:textId="77777777" w:rsidR="00DB7C98" w:rsidRPr="0081178F" w:rsidRDefault="00DB7C98" w:rsidP="00364EFE">
      <w:pPr>
        <w:pStyle w:val="Heading4"/>
      </w:pPr>
      <w:bookmarkStart w:id="35" w:name="_Toc491440826"/>
      <w:bookmarkStart w:id="36" w:name="_Toc88043921"/>
      <w:r w:rsidRPr="0081178F">
        <w:t>Certified Product Details</w:t>
      </w:r>
      <w:bookmarkEnd w:id="35"/>
      <w:bookmarkEnd w:id="36"/>
    </w:p>
    <w:p w14:paraId="081AC5E1" w14:textId="2580714E" w:rsidR="00DB7C98" w:rsidRPr="0081178F" w:rsidRDefault="00DB7C98" w:rsidP="00DB7C98">
      <w:r w:rsidRPr="0081178F">
        <w:t xml:space="preserve">The CPD, as described in Guidance 7: Certified Product Details of the Australian Regulatory Guidelines for Prescription Medicines (ARGPM) </w:t>
      </w:r>
      <w:r w:rsidR="003025D1" w:rsidRPr="0081178F">
        <w:t>(</w:t>
      </w:r>
      <w:hyperlink r:id="rId20" w:history="1">
        <w:r w:rsidR="003025D1" w:rsidRPr="0081178F">
          <w:rPr>
            <w:rStyle w:val="Hyperlink"/>
          </w:rPr>
          <w:t>http://www.tga.gov.au/industry/pm-argpm-guidance-7.htm</w:t>
        </w:r>
      </w:hyperlink>
      <w:r w:rsidR="003025D1" w:rsidRPr="0081178F">
        <w:rPr>
          <w:rStyle w:val="Hyperlink"/>
          <w:color w:val="000000" w:themeColor="text1"/>
        </w:rPr>
        <w:t>)</w:t>
      </w:r>
      <w:r w:rsidRPr="0081178F">
        <w:t xml:space="preserve">, in </w:t>
      </w:r>
      <w:r w:rsidR="00A46138" w:rsidRPr="0081178F">
        <w:t>portable document format (</w:t>
      </w:r>
      <w:r w:rsidRPr="0081178F">
        <w:t>PDF</w:t>
      </w:r>
      <w:r w:rsidR="00A46138" w:rsidRPr="0081178F">
        <w:t>)</w:t>
      </w:r>
      <w:r w:rsidRPr="0081178F">
        <w:t>, for the above products should be provided upon registration of these therapeutic goods. In addition, an updated CPD should be provided when changes to finished product specifications and test methods are approved in a Category 3 application</w:t>
      </w:r>
      <w:r w:rsidR="001C7A0B" w:rsidRPr="0081178F">
        <w:t>;</w:t>
      </w:r>
      <w:r w:rsidR="001C7A0B" w:rsidRPr="0081178F">
        <w:rPr>
          <w:rStyle w:val="FootnoteReference"/>
        </w:rPr>
        <w:footnoteReference w:id="9"/>
      </w:r>
      <w:r w:rsidRPr="0081178F">
        <w:t xml:space="preserve"> or notified through a self-assessable change.</w:t>
      </w:r>
    </w:p>
    <w:p w14:paraId="06260C07" w14:textId="4B8783D8" w:rsidR="00DB7C98" w:rsidRPr="0081178F" w:rsidRDefault="00DB7C98" w:rsidP="00DB7C98">
      <w:r w:rsidRPr="0081178F">
        <w:t xml:space="preserve">The CPD should be emailed to </w:t>
      </w:r>
      <w:hyperlink r:id="rId21" w:history="1">
        <w:r w:rsidR="00DE77BA" w:rsidRPr="0081178F">
          <w:rPr>
            <w:rStyle w:val="Hyperlink"/>
          </w:rPr>
          <w:t>biochemistry.testing</w:t>
        </w:r>
        <w:r w:rsidRPr="0081178F">
          <w:rPr>
            <w:rStyle w:val="Hyperlink"/>
          </w:rPr>
          <w:t>@health.gov.au</w:t>
        </w:r>
      </w:hyperlink>
      <w:r w:rsidRPr="0081178F">
        <w:t xml:space="preserve"> as a single PDF document.</w:t>
      </w:r>
    </w:p>
    <w:p w14:paraId="4A252819" w14:textId="77777777" w:rsidR="008E7846" w:rsidRPr="0081178F" w:rsidRDefault="008E7846" w:rsidP="008E7846">
      <w:pPr>
        <w:pStyle w:val="Heading3"/>
      </w:pPr>
      <w:bookmarkStart w:id="37" w:name="_Toc314842512"/>
      <w:bookmarkStart w:id="38" w:name="_Toc117858933"/>
      <w:r w:rsidRPr="0081178F">
        <w:t>Nonclinical</w:t>
      </w:r>
      <w:bookmarkEnd w:id="37"/>
      <w:bookmarkEnd w:id="38"/>
    </w:p>
    <w:p w14:paraId="1B134ED8" w14:textId="501F1525" w:rsidR="00DB7C98" w:rsidRPr="0081178F" w:rsidRDefault="00DB7C98" w:rsidP="00DB7C98">
      <w:r w:rsidRPr="0081178F">
        <w:t xml:space="preserve">The </w:t>
      </w:r>
      <w:r w:rsidR="00DE77BA" w:rsidRPr="0081178F">
        <w:t>nonclinical</w:t>
      </w:r>
      <w:r w:rsidRPr="0081178F">
        <w:t xml:space="preserve"> dossier was consistent with the </w:t>
      </w:r>
      <w:r w:rsidR="00DE77BA" w:rsidRPr="0081178F">
        <w:t>EMA g</w:t>
      </w:r>
      <w:r w:rsidRPr="0081178F">
        <w:t>uideline</w:t>
      </w:r>
      <w:r w:rsidR="00DE77BA" w:rsidRPr="0081178F">
        <w:t>.</w:t>
      </w:r>
      <w:bookmarkStart w:id="39" w:name="_Ref110191764"/>
      <w:r w:rsidR="00DE77BA" w:rsidRPr="0081178F">
        <w:rPr>
          <w:rStyle w:val="FootnoteReference"/>
        </w:rPr>
        <w:footnoteReference w:id="10"/>
      </w:r>
      <w:bookmarkEnd w:id="39"/>
      <w:r w:rsidRPr="0081178F">
        <w:t xml:space="preserve"> The overall quality of the nonclinical dossier was high. The nonclinical dossier contained comparative studies (</w:t>
      </w:r>
      <w:r w:rsidR="007E0875" w:rsidRPr="0081178F">
        <w:t xml:space="preserve">Yuflyma </w:t>
      </w:r>
      <w:r w:rsidR="003025D1" w:rsidRPr="0081178F">
        <w:t>versus</w:t>
      </w:r>
      <w:r w:rsidRPr="0081178F">
        <w:t xml:space="preserve"> EU-</w:t>
      </w:r>
      <w:r w:rsidR="001E449E" w:rsidRPr="0081178F">
        <w:t xml:space="preserve">approved </w:t>
      </w:r>
      <w:r w:rsidR="003025D1" w:rsidRPr="0081178F">
        <w:t>Humira</w:t>
      </w:r>
      <w:r w:rsidRPr="0081178F">
        <w:t>) on pharmacology, pharmacokinetics</w:t>
      </w:r>
      <w:r w:rsidR="00A46138" w:rsidRPr="0081178F">
        <w:t xml:space="preserve"> (PK)</w:t>
      </w:r>
      <w:r w:rsidRPr="0081178F">
        <w:t xml:space="preserve"> and repeat</w:t>
      </w:r>
      <w:r w:rsidR="00DE77BA" w:rsidRPr="0081178F">
        <w:t xml:space="preserve"> </w:t>
      </w:r>
      <w:r w:rsidRPr="0081178F">
        <w:t>dose toxicity.</w:t>
      </w:r>
    </w:p>
    <w:p w14:paraId="4EC46C45" w14:textId="7FD5DC0A" w:rsidR="00DB7C98" w:rsidRPr="0081178F" w:rsidRDefault="00DB7C98" w:rsidP="00DB7C98">
      <w:r w:rsidRPr="0081178F">
        <w:t xml:space="preserve">Comparable biological activity was demonstrated between </w:t>
      </w:r>
      <w:r w:rsidR="007E0875" w:rsidRPr="0081178F">
        <w:t xml:space="preserve">Yuflyma </w:t>
      </w:r>
      <w:r w:rsidRPr="0081178F">
        <w:t>and EU-</w:t>
      </w:r>
      <w:r w:rsidR="000B6737" w:rsidRPr="0081178F">
        <w:t xml:space="preserve">approved </w:t>
      </w:r>
      <w:r w:rsidR="003025D1" w:rsidRPr="0081178F">
        <w:t>Humira</w:t>
      </w:r>
      <w:r w:rsidRPr="0081178F">
        <w:t xml:space="preserve"> to support all proposed indications (</w:t>
      </w:r>
      <w:r w:rsidRPr="0081178F">
        <w:fldChar w:fldCharType="begin"/>
      </w:r>
      <w:r w:rsidRPr="0081178F">
        <w:instrText xml:space="preserve"> REF _Ref89077409 \h  \* MERGEFORMAT </w:instrText>
      </w:r>
      <w:r w:rsidRPr="0081178F">
        <w:fldChar w:fldCharType="separate"/>
      </w:r>
      <w:r w:rsidR="003538E0" w:rsidRPr="0081178F">
        <w:t>Table 2</w:t>
      </w:r>
      <w:r w:rsidRPr="0081178F">
        <w:fldChar w:fldCharType="end"/>
      </w:r>
      <w:r w:rsidRPr="0081178F">
        <w:t xml:space="preserve"> summarises the mechanism of action of adalimumab). </w:t>
      </w:r>
      <w:r w:rsidR="007E0875" w:rsidRPr="0081178F">
        <w:t xml:space="preserve">Yuflyma </w:t>
      </w:r>
      <w:r w:rsidRPr="0081178F">
        <w:t xml:space="preserve">was </w:t>
      </w:r>
      <w:proofErr w:type="gramStart"/>
      <w:r w:rsidRPr="0081178F">
        <w:t>similar to</w:t>
      </w:r>
      <w:proofErr w:type="gramEnd"/>
      <w:r w:rsidRPr="0081178F">
        <w:t xml:space="preserve"> EU-</w:t>
      </w:r>
      <w:r w:rsidR="00CB4944" w:rsidRPr="0081178F">
        <w:t xml:space="preserve">approved </w:t>
      </w:r>
      <w:r w:rsidR="003025D1" w:rsidRPr="0081178F">
        <w:t>Humira</w:t>
      </w:r>
      <w:r w:rsidRPr="0081178F">
        <w:t xml:space="preserve"> in binding to soluble TNFα and transmembrane TNFα, C1q and Fc receptors, and in TNFα neutralisation, </w:t>
      </w:r>
      <w:r w:rsidR="00E844A7" w:rsidRPr="0081178F">
        <w:t>complement dependent cytotoxicity</w:t>
      </w:r>
      <w:r w:rsidRPr="0081178F">
        <w:t xml:space="preserve">, </w:t>
      </w:r>
      <w:r w:rsidR="00E844A7" w:rsidRPr="0081178F">
        <w:t>antibody dependent cellular cytotoxicity</w:t>
      </w:r>
      <w:r w:rsidRPr="0081178F">
        <w:t xml:space="preserve"> and apoptotic activity (reverse signalling). </w:t>
      </w:r>
      <w:r w:rsidR="007E0875" w:rsidRPr="0081178F">
        <w:t>Yuflyma</w:t>
      </w:r>
      <w:r w:rsidRPr="0081178F">
        <w:t xml:space="preserve"> and EU-</w:t>
      </w:r>
      <w:r w:rsidR="00AE0C7F" w:rsidRPr="0081178F">
        <w:t xml:space="preserve">approved </w:t>
      </w:r>
      <w:r w:rsidR="003025D1" w:rsidRPr="0081178F">
        <w:t>Humira</w:t>
      </w:r>
      <w:r w:rsidRPr="0081178F">
        <w:t xml:space="preserve"> had comparable inhibition of TNFα-induced apoptosis, </w:t>
      </w:r>
      <w:r w:rsidR="00E844A7" w:rsidRPr="0081178F">
        <w:t>interleukin</w:t>
      </w:r>
      <w:r w:rsidRPr="0081178F">
        <w:t xml:space="preserve">-8 and </w:t>
      </w:r>
      <w:r w:rsidR="00A46138" w:rsidRPr="0081178F">
        <w:t>vascular cell adhesion protein-</w:t>
      </w:r>
      <w:r w:rsidRPr="0081178F">
        <w:t xml:space="preserve">1 release, regulatory macrophage induction and subsequent T-cell anti-proliferation. The minor differences in glycosylation between </w:t>
      </w:r>
      <w:r w:rsidR="007E0875" w:rsidRPr="0081178F">
        <w:t>Yuflyma</w:t>
      </w:r>
      <w:r w:rsidRPr="0081178F">
        <w:t xml:space="preserve"> and EU-</w:t>
      </w:r>
      <w:r w:rsidR="00AE0C7F" w:rsidRPr="0081178F">
        <w:t xml:space="preserve">approved </w:t>
      </w:r>
      <w:r w:rsidR="003025D1" w:rsidRPr="0081178F">
        <w:t>Humira</w:t>
      </w:r>
      <w:r w:rsidRPr="0081178F">
        <w:t xml:space="preserve"> had no meaningful difference in bioassays.</w:t>
      </w:r>
    </w:p>
    <w:p w14:paraId="607A8122" w14:textId="1132F4F9" w:rsidR="00DB7C98" w:rsidRPr="0081178F" w:rsidRDefault="00DB7C98" w:rsidP="005C05CC">
      <w:pPr>
        <w:pStyle w:val="TableTitle"/>
      </w:pPr>
      <w:bookmarkStart w:id="40" w:name="_Ref89077409"/>
      <w:r w:rsidRPr="0081178F">
        <w:t xml:space="preserve">Table </w:t>
      </w:r>
      <w:r w:rsidR="003420A7">
        <w:fldChar w:fldCharType="begin"/>
      </w:r>
      <w:r w:rsidR="003420A7">
        <w:instrText xml:space="preserve"> SEQ Table \* ARABIC </w:instrText>
      </w:r>
      <w:r w:rsidR="003420A7">
        <w:fldChar w:fldCharType="separate"/>
      </w:r>
      <w:r w:rsidR="003538E0" w:rsidRPr="0081178F">
        <w:rPr>
          <w:noProof/>
        </w:rPr>
        <w:t>2</w:t>
      </w:r>
      <w:r w:rsidR="003420A7">
        <w:rPr>
          <w:noProof/>
        </w:rPr>
        <w:fldChar w:fldCharType="end"/>
      </w:r>
      <w:bookmarkEnd w:id="40"/>
      <w:r w:rsidR="00DE77BA" w:rsidRPr="0081178F">
        <w:t>:</w:t>
      </w:r>
      <w:r w:rsidRPr="0081178F">
        <w:t xml:space="preserve"> Summary of mechanism of action of adalimumab</w:t>
      </w:r>
    </w:p>
    <w:p w14:paraId="56B8EF09" w14:textId="3557EFBC" w:rsidR="00DB7C98" w:rsidRPr="0081178F" w:rsidRDefault="004C3037" w:rsidP="005C05CC">
      <w:r w:rsidRPr="0081178F">
        <w:rPr>
          <w:noProof/>
          <w:lang w:val="en-GB" w:eastAsia="en-GB"/>
        </w:rPr>
        <w:drawing>
          <wp:inline distT="0" distB="0" distL="0" distR="0" wp14:anchorId="6BC396DB" wp14:editId="501B78CA">
            <wp:extent cx="5366657" cy="2397125"/>
            <wp:effectExtent l="0" t="0" r="5715" b="3175"/>
            <wp:docPr id="1" name="Picture 1" descr="Table 2: Summary of mechanism of action of adalim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2: Summary of mechanism of action of adalimumab"/>
                    <pic:cNvPicPr/>
                  </pic:nvPicPr>
                  <pic:blipFill>
                    <a:blip r:embed="rId22"/>
                    <a:stretch>
                      <a:fillRect/>
                    </a:stretch>
                  </pic:blipFill>
                  <pic:spPr>
                    <a:xfrm>
                      <a:off x="0" y="0"/>
                      <a:ext cx="5367109" cy="2397327"/>
                    </a:xfrm>
                    <a:prstGeom prst="rect">
                      <a:avLst/>
                    </a:prstGeom>
                  </pic:spPr>
                </pic:pic>
              </a:graphicData>
            </a:graphic>
          </wp:inline>
        </w:drawing>
      </w:r>
    </w:p>
    <w:p w14:paraId="2DA611C7" w14:textId="1BAAEB06" w:rsidR="004C3037" w:rsidRPr="0081178F" w:rsidRDefault="006A3642" w:rsidP="005C05CC">
      <w:pPr>
        <w:pStyle w:val="TableDescription"/>
      </w:pPr>
      <w:r w:rsidRPr="0081178F">
        <w:t xml:space="preserve">Abbreviations: </w:t>
      </w:r>
      <w:r w:rsidR="004C3037" w:rsidRPr="0081178F">
        <w:t>ADCC = antibody dependent cellular cytotoxicity; AS = ankylosing spondylitis; CD</w:t>
      </w:r>
      <w:r w:rsidR="007E0875" w:rsidRPr="0081178F">
        <w:t> </w:t>
      </w:r>
      <w:r w:rsidR="004C3037" w:rsidRPr="0081178F">
        <w:t>=</w:t>
      </w:r>
      <w:r w:rsidR="007E0875" w:rsidRPr="0081178F">
        <w:t> </w:t>
      </w:r>
      <w:r w:rsidR="004C3037" w:rsidRPr="0081178F">
        <w:t>Crohn’s disease; CDC = complement dependent cytotoxicity; HS = hidradenitis suppurativa; JIA</w:t>
      </w:r>
      <w:r w:rsidR="007E0875" w:rsidRPr="0081178F">
        <w:t> </w:t>
      </w:r>
      <w:r w:rsidR="004C3037" w:rsidRPr="0081178F">
        <w:t>=</w:t>
      </w:r>
      <w:r w:rsidR="007E0875" w:rsidRPr="0081178F">
        <w:t> </w:t>
      </w:r>
      <w:r w:rsidR="004C3037" w:rsidRPr="0081178F">
        <w:t xml:space="preserve">juvenile idiopathic arthritis; </w:t>
      </w:r>
      <w:proofErr w:type="spellStart"/>
      <w:r w:rsidR="004C3037" w:rsidRPr="0081178F">
        <w:t>mTNF</w:t>
      </w:r>
      <w:proofErr w:type="spellEnd"/>
      <w:r w:rsidR="004C3037" w:rsidRPr="0081178F">
        <w:t xml:space="preserve"> = membrane associated tumour necrosis factor; Ped</w:t>
      </w:r>
      <w:r w:rsidR="007E0875" w:rsidRPr="0081178F">
        <w:t> </w:t>
      </w:r>
      <w:r w:rsidR="004C3037" w:rsidRPr="0081178F">
        <w:t>=</w:t>
      </w:r>
      <w:r w:rsidR="007E0875" w:rsidRPr="0081178F">
        <w:t> </w:t>
      </w:r>
      <w:r w:rsidR="004C3037" w:rsidRPr="0081178F">
        <w:t xml:space="preserve">paediatric; PSA = psoriatic arthritis; </w:t>
      </w:r>
      <w:proofErr w:type="spellStart"/>
      <w:r w:rsidR="004C3037" w:rsidRPr="0081178F">
        <w:t>PsO</w:t>
      </w:r>
      <w:proofErr w:type="spellEnd"/>
      <w:r w:rsidR="004C3037" w:rsidRPr="0081178F">
        <w:t xml:space="preserve"> = plaque psoriasis; RA = rheumatoid arthritis;</w:t>
      </w:r>
      <w:r w:rsidR="00B62EF3" w:rsidRPr="0081178F">
        <w:t xml:space="preserve"> </w:t>
      </w:r>
      <w:proofErr w:type="spellStart"/>
      <w:r w:rsidR="00B62EF3" w:rsidRPr="0081178F">
        <w:t>sTNF</w:t>
      </w:r>
      <w:proofErr w:type="spellEnd"/>
      <w:r w:rsidR="007E0875" w:rsidRPr="0081178F">
        <w:t> </w:t>
      </w:r>
      <w:r w:rsidR="00B62EF3" w:rsidRPr="0081178F">
        <w:t>=</w:t>
      </w:r>
      <w:r w:rsidR="007E0875" w:rsidRPr="0081178F">
        <w:t> </w:t>
      </w:r>
      <w:r w:rsidR="00B62EF3" w:rsidRPr="0081178F">
        <w:t>soluble tumour necrosis factor;</w:t>
      </w:r>
      <w:r w:rsidR="007E0875" w:rsidRPr="0081178F">
        <w:t xml:space="preserve"> </w:t>
      </w:r>
      <w:r w:rsidR="00B62EF3" w:rsidRPr="0081178F">
        <w:t>TNFR = tumour necrosis factor receptor;</w:t>
      </w:r>
      <w:r w:rsidR="004C3037" w:rsidRPr="0081178F">
        <w:t xml:space="preserve"> UC = ulcerative colitis.</w:t>
      </w:r>
    </w:p>
    <w:p w14:paraId="0FB70583" w14:textId="0706F609" w:rsidR="00DB7C98" w:rsidRPr="0081178F" w:rsidRDefault="00DB7C98" w:rsidP="00DB7C98">
      <w:r w:rsidRPr="0081178F">
        <w:t xml:space="preserve">At equivalent doses, comparable serum kinetic profiles after </w:t>
      </w:r>
      <w:r w:rsidR="00DE77BA" w:rsidRPr="0081178F">
        <w:t>subcutaneous</w:t>
      </w:r>
      <w:r w:rsidRPr="0081178F">
        <w:t xml:space="preserve"> administration were evident for </w:t>
      </w:r>
      <w:r w:rsidR="007E0875" w:rsidRPr="0081178F">
        <w:t>Yuflyma</w:t>
      </w:r>
      <w:r w:rsidRPr="0081178F">
        <w:t xml:space="preserve"> and EU-</w:t>
      </w:r>
      <w:r w:rsidR="00C36C9C" w:rsidRPr="0081178F">
        <w:t xml:space="preserve">approved </w:t>
      </w:r>
      <w:r w:rsidR="003025D1" w:rsidRPr="0081178F">
        <w:t>Humira</w:t>
      </w:r>
      <w:r w:rsidRPr="0081178F">
        <w:t xml:space="preserve"> in toxicokinetic data obtained from monkeys.</w:t>
      </w:r>
    </w:p>
    <w:p w14:paraId="34D7A286" w14:textId="66ACB576" w:rsidR="00DB7C98" w:rsidRPr="0081178F" w:rsidRDefault="00DB7C98" w:rsidP="00DB7C98">
      <w:r w:rsidRPr="0081178F">
        <w:t xml:space="preserve">A </w:t>
      </w:r>
      <w:r w:rsidR="007E0875" w:rsidRPr="0081178F">
        <w:t xml:space="preserve">Good Laboratory </w:t>
      </w:r>
      <w:proofErr w:type="gramStart"/>
      <w:r w:rsidR="007E0875" w:rsidRPr="0081178F">
        <w:t>Practices</w:t>
      </w:r>
      <w:r w:rsidR="003E06BD" w:rsidRPr="0081178F">
        <w:t>;</w:t>
      </w:r>
      <w:proofErr w:type="gramEnd"/>
      <w:r w:rsidR="003E06BD" w:rsidRPr="0081178F">
        <w:rPr>
          <w:rStyle w:val="FootnoteReference"/>
        </w:rPr>
        <w:footnoteReference w:id="11"/>
      </w:r>
      <w:r w:rsidRPr="0081178F">
        <w:t>compliant 28-day repeat</w:t>
      </w:r>
      <w:r w:rsidR="00DE77BA" w:rsidRPr="0081178F">
        <w:t xml:space="preserve"> </w:t>
      </w:r>
      <w:r w:rsidRPr="0081178F">
        <w:t xml:space="preserve">dose toxicity study in monkeys showed similar findings for </w:t>
      </w:r>
      <w:r w:rsidR="007E0875" w:rsidRPr="0081178F">
        <w:t>Yuflyma</w:t>
      </w:r>
      <w:r w:rsidRPr="0081178F">
        <w:t xml:space="preserve"> and EU-</w:t>
      </w:r>
      <w:r w:rsidR="00C36C9C" w:rsidRPr="0081178F">
        <w:t xml:space="preserve">approved </w:t>
      </w:r>
      <w:r w:rsidR="003025D1" w:rsidRPr="0081178F">
        <w:t>Humira</w:t>
      </w:r>
      <w:r w:rsidRPr="0081178F">
        <w:t xml:space="preserve"> at equivalent doses. The proposed product for commercialisation was not used in the repeat</w:t>
      </w:r>
      <w:r w:rsidR="00DE77BA" w:rsidRPr="0081178F">
        <w:t xml:space="preserve"> </w:t>
      </w:r>
      <w:r w:rsidRPr="0081178F">
        <w:t xml:space="preserve">dose toxicity study, but the test product was shown to be sufficiently </w:t>
      </w:r>
      <w:proofErr w:type="gramStart"/>
      <w:r w:rsidRPr="0081178F">
        <w:t>similar to</w:t>
      </w:r>
      <w:proofErr w:type="gramEnd"/>
      <w:r w:rsidRPr="0081178F">
        <w:t xml:space="preserve"> the proposed commercial product based on physicochemical characterisation.</w:t>
      </w:r>
    </w:p>
    <w:p w14:paraId="05ECF9BE" w14:textId="77777777" w:rsidR="008E7846" w:rsidRPr="0081178F" w:rsidRDefault="008E7846" w:rsidP="008E7846">
      <w:pPr>
        <w:pStyle w:val="Heading3"/>
      </w:pPr>
      <w:bookmarkStart w:id="41" w:name="_Toc247691530"/>
      <w:bookmarkStart w:id="42" w:name="_Toc314842513"/>
      <w:bookmarkStart w:id="43" w:name="_Toc117858934"/>
      <w:r w:rsidRPr="0081178F">
        <w:t>Clinical</w:t>
      </w:r>
      <w:bookmarkEnd w:id="41"/>
      <w:bookmarkEnd w:id="42"/>
      <w:bookmarkEnd w:id="43"/>
    </w:p>
    <w:p w14:paraId="79560817" w14:textId="77777777" w:rsidR="0074163C" w:rsidRPr="0081178F" w:rsidRDefault="0074163C" w:rsidP="0074163C">
      <w:pPr>
        <w:pStyle w:val="Heading4"/>
      </w:pPr>
      <w:bookmarkStart w:id="44" w:name="_Toc98931928"/>
      <w:r w:rsidRPr="0081178F">
        <w:t>Summary of clinical studies</w:t>
      </w:r>
      <w:bookmarkEnd w:id="44"/>
    </w:p>
    <w:p w14:paraId="748146A0" w14:textId="2FF9F184" w:rsidR="0074163C" w:rsidRPr="0081178F" w:rsidRDefault="0074163C" w:rsidP="0074163C">
      <w:r w:rsidRPr="0081178F">
        <w:t>The clinical dossier consisted of</w:t>
      </w:r>
      <w:r w:rsidR="00DE77BA" w:rsidRPr="0081178F">
        <w:t xml:space="preserve"> five clinical studies</w:t>
      </w:r>
      <w:r w:rsidR="00EB36D6" w:rsidRPr="0081178F">
        <w:t>:</w:t>
      </w:r>
    </w:p>
    <w:p w14:paraId="6ACEA000" w14:textId="1D22A366" w:rsidR="00302C0B" w:rsidRPr="0081178F" w:rsidRDefault="00302C0B" w:rsidP="00DB7C98">
      <w:pPr>
        <w:pStyle w:val="ListBullet"/>
      </w:pPr>
      <w:r w:rsidRPr="0081178F">
        <w:t>3 Phase I studies:</w:t>
      </w:r>
    </w:p>
    <w:p w14:paraId="26BA1F3D" w14:textId="4F67FA28" w:rsidR="00DB7C98" w:rsidRPr="0081178F" w:rsidRDefault="00302C0B" w:rsidP="00302C0B">
      <w:pPr>
        <w:pStyle w:val="ListBullet2"/>
      </w:pPr>
      <w:r w:rsidRPr="0081178F">
        <w:t xml:space="preserve">Study </w:t>
      </w:r>
      <w:r w:rsidR="00DB7C98" w:rsidRPr="0081178F">
        <w:t xml:space="preserve">CT-P17 1.1 (PK study for biosimilarity): Phase </w:t>
      </w:r>
      <w:r w:rsidRPr="0081178F">
        <w:t>I</w:t>
      </w:r>
      <w:r w:rsidR="00DB7C98" w:rsidRPr="0081178F">
        <w:t>, randomised, double</w:t>
      </w:r>
      <w:r w:rsidRPr="0081178F">
        <w:t xml:space="preserve"> </w:t>
      </w:r>
      <w:r w:rsidR="00DB7C98" w:rsidRPr="0081178F">
        <w:t>blind, three</w:t>
      </w:r>
      <w:r w:rsidRPr="0081178F">
        <w:t xml:space="preserve"> </w:t>
      </w:r>
      <w:r w:rsidR="00DB7C98" w:rsidRPr="0081178F">
        <w:t>arm, parallel group, single</w:t>
      </w:r>
      <w:r w:rsidRPr="0081178F">
        <w:t xml:space="preserve"> </w:t>
      </w:r>
      <w:r w:rsidR="00DB7C98" w:rsidRPr="0081178F">
        <w:t xml:space="preserve">dose study to compare the PK and safety of </w:t>
      </w:r>
      <w:r w:rsidR="007E0875" w:rsidRPr="0081178F">
        <w:t>Yuflyma</w:t>
      </w:r>
      <w:r w:rsidR="00DB7C98" w:rsidRPr="0081178F">
        <w:t>, EU-</w:t>
      </w:r>
      <w:r w:rsidR="00CB4944" w:rsidRPr="0081178F">
        <w:t xml:space="preserve">approved </w:t>
      </w:r>
      <w:r w:rsidR="003025D1" w:rsidRPr="0081178F">
        <w:t>Humira</w:t>
      </w:r>
      <w:r w:rsidR="00DB7C98" w:rsidRPr="0081178F">
        <w:t>, and US-</w:t>
      </w:r>
      <w:r w:rsidR="00CB4944" w:rsidRPr="0081178F">
        <w:t xml:space="preserve">licensed </w:t>
      </w:r>
      <w:r w:rsidR="003025D1" w:rsidRPr="0081178F">
        <w:t>Humira</w:t>
      </w:r>
      <w:r w:rsidR="00DB7C98" w:rsidRPr="0081178F">
        <w:t xml:space="preserve"> in healthy subjects.</w:t>
      </w:r>
    </w:p>
    <w:p w14:paraId="4D4D2AF8" w14:textId="1B5D5925" w:rsidR="00DB7C98" w:rsidRPr="0081178F" w:rsidRDefault="00302C0B" w:rsidP="00302C0B">
      <w:pPr>
        <w:pStyle w:val="ListBullet2"/>
      </w:pPr>
      <w:r w:rsidRPr="0081178F">
        <w:t xml:space="preserve">Study </w:t>
      </w:r>
      <w:r w:rsidR="00DB7C98" w:rsidRPr="0081178F">
        <w:t xml:space="preserve">CT-P17 1.2 (pilot study): Phase </w:t>
      </w:r>
      <w:r w:rsidRPr="0081178F">
        <w:t>I</w:t>
      </w:r>
      <w:r w:rsidR="00DB7C98" w:rsidRPr="0081178F">
        <w:t xml:space="preserve"> randomised, double</w:t>
      </w:r>
      <w:r w:rsidRPr="0081178F">
        <w:t xml:space="preserve"> </w:t>
      </w:r>
      <w:r w:rsidR="00DB7C98" w:rsidRPr="0081178F">
        <w:t>blind, two</w:t>
      </w:r>
      <w:r w:rsidRPr="0081178F">
        <w:t xml:space="preserve"> </w:t>
      </w:r>
      <w:r w:rsidR="00DB7C98" w:rsidRPr="0081178F">
        <w:t>arm, parallel group, single</w:t>
      </w:r>
      <w:r w:rsidRPr="0081178F">
        <w:t xml:space="preserve"> </w:t>
      </w:r>
      <w:r w:rsidR="00DB7C98" w:rsidRPr="0081178F">
        <w:t>dose study to evaluate the safety (</w:t>
      </w:r>
      <w:r w:rsidR="00C74FE8" w:rsidRPr="0081178F">
        <w:t>treatment-emergent adverse events (</w:t>
      </w:r>
      <w:r w:rsidR="00DB7C98" w:rsidRPr="0081178F">
        <w:t>TEAEs</w:t>
      </w:r>
      <w:r w:rsidR="00C74FE8" w:rsidRPr="0081178F">
        <w:t>)</w:t>
      </w:r>
      <w:r w:rsidR="00DB7C98" w:rsidRPr="0081178F">
        <w:t xml:space="preserve">) and PK of </w:t>
      </w:r>
      <w:r w:rsidR="007E0875" w:rsidRPr="0081178F">
        <w:t>Yuflyma</w:t>
      </w:r>
      <w:r w:rsidR="00DB7C98" w:rsidRPr="0081178F">
        <w:t xml:space="preserve"> </w:t>
      </w:r>
      <w:r w:rsidR="003F761E" w:rsidRPr="0081178F">
        <w:t>pre</w:t>
      </w:r>
      <w:r w:rsidR="004C04A3" w:rsidRPr="0081178F">
        <w:t>-</w:t>
      </w:r>
      <w:r w:rsidR="003F761E" w:rsidRPr="0081178F">
        <w:t>filled syringe</w:t>
      </w:r>
      <w:r w:rsidR="00DB7C98" w:rsidRPr="0081178F">
        <w:t xml:space="preserve"> and EU-</w:t>
      </w:r>
      <w:r w:rsidR="00F5493B" w:rsidRPr="0081178F">
        <w:t xml:space="preserve">approved </w:t>
      </w:r>
      <w:r w:rsidR="003025D1" w:rsidRPr="0081178F">
        <w:t>Humira</w:t>
      </w:r>
      <w:r w:rsidR="00DB7C98" w:rsidRPr="0081178F">
        <w:t xml:space="preserve"> </w:t>
      </w:r>
      <w:r w:rsidR="003F761E" w:rsidRPr="0081178F">
        <w:t>pre</w:t>
      </w:r>
      <w:r w:rsidR="004C04A3" w:rsidRPr="0081178F">
        <w:t>-</w:t>
      </w:r>
      <w:r w:rsidR="003F761E" w:rsidRPr="0081178F">
        <w:t>filled syringe</w:t>
      </w:r>
      <w:r w:rsidR="00DB7C98" w:rsidRPr="0081178F">
        <w:t xml:space="preserve"> in 30 healthy male subjects. This was a pilot study with limited PK</w:t>
      </w:r>
      <w:r w:rsidR="007E0875" w:rsidRPr="0081178F">
        <w:t> </w:t>
      </w:r>
      <w:r w:rsidR="00DB7C98" w:rsidRPr="0081178F">
        <w:t>data collected as a secondary endpoint, so the evaluation findings informed the safety assessment but did not affect the overall assessment of biosimilarity.</w:t>
      </w:r>
    </w:p>
    <w:p w14:paraId="247654B2" w14:textId="73D0B25E" w:rsidR="00DB7C98" w:rsidRPr="0081178F" w:rsidRDefault="00302C0B" w:rsidP="00302C0B">
      <w:pPr>
        <w:pStyle w:val="ListBullet2"/>
      </w:pPr>
      <w:r w:rsidRPr="0081178F">
        <w:t xml:space="preserve">Study </w:t>
      </w:r>
      <w:r w:rsidR="00DB7C98" w:rsidRPr="0081178F">
        <w:t xml:space="preserve">CT-P17 1.3 (PK study comparing </w:t>
      </w:r>
      <w:r w:rsidR="003025D1" w:rsidRPr="0081178F">
        <w:t>auto-injector</w:t>
      </w:r>
      <w:r w:rsidR="00DB7C98" w:rsidRPr="0081178F">
        <w:t xml:space="preserve"> and </w:t>
      </w:r>
      <w:r w:rsidR="003F761E" w:rsidRPr="0081178F">
        <w:t>pre</w:t>
      </w:r>
      <w:r w:rsidR="004C04A3" w:rsidRPr="0081178F">
        <w:t>-</w:t>
      </w:r>
      <w:r w:rsidR="003F761E" w:rsidRPr="0081178F">
        <w:t>filled syringe</w:t>
      </w:r>
      <w:r w:rsidR="00DB7C98" w:rsidRPr="0081178F">
        <w:t>): Phase</w:t>
      </w:r>
      <w:r w:rsidRPr="0081178F">
        <w:t> I</w:t>
      </w:r>
      <w:r w:rsidR="00DB7C98" w:rsidRPr="0081178F">
        <w:t>, randomised, open</w:t>
      </w:r>
      <w:r w:rsidRPr="0081178F">
        <w:t xml:space="preserve"> </w:t>
      </w:r>
      <w:r w:rsidR="00DB7C98" w:rsidRPr="0081178F">
        <w:t>label, two</w:t>
      </w:r>
      <w:r w:rsidRPr="0081178F">
        <w:t xml:space="preserve"> </w:t>
      </w:r>
      <w:r w:rsidR="00DB7C98" w:rsidRPr="0081178F">
        <w:t>arm, parallel group, single</w:t>
      </w:r>
      <w:r w:rsidRPr="0081178F">
        <w:t xml:space="preserve"> </w:t>
      </w:r>
      <w:r w:rsidR="00DB7C98" w:rsidRPr="0081178F">
        <w:t xml:space="preserve">dose study designed to compare the PK and safety of </w:t>
      </w:r>
      <w:r w:rsidR="007E0875" w:rsidRPr="0081178F">
        <w:t>Yuflyma</w:t>
      </w:r>
      <w:r w:rsidR="00DB7C98" w:rsidRPr="0081178F">
        <w:t xml:space="preserve"> </w:t>
      </w:r>
      <w:r w:rsidR="007E0875" w:rsidRPr="0081178F">
        <w:t xml:space="preserve">via </w:t>
      </w:r>
      <w:r w:rsidR="00DE77BA" w:rsidRPr="0081178F">
        <w:t>subcutaneous</w:t>
      </w:r>
      <w:r w:rsidR="00DB7C98" w:rsidRPr="0081178F">
        <w:t xml:space="preserve"> administration </w:t>
      </w:r>
      <w:r w:rsidR="007E0875" w:rsidRPr="0081178F">
        <w:t xml:space="preserve">by </w:t>
      </w:r>
      <w:r w:rsidR="00DB7C98" w:rsidRPr="0081178F">
        <w:t>auto</w:t>
      </w:r>
      <w:r w:rsidR="003025D1" w:rsidRPr="0081178F">
        <w:t>-</w:t>
      </w:r>
      <w:r w:rsidR="00DB7C98" w:rsidRPr="0081178F">
        <w:t>injector and pre</w:t>
      </w:r>
      <w:r w:rsidR="004C04A3" w:rsidRPr="0081178F">
        <w:t>-</w:t>
      </w:r>
      <w:r w:rsidR="00DB7C98" w:rsidRPr="0081178F">
        <w:t>filled syringe in healthy subjects.</w:t>
      </w:r>
    </w:p>
    <w:p w14:paraId="3880B822" w14:textId="77777777" w:rsidR="00302C0B" w:rsidRPr="0081178F" w:rsidRDefault="00302C0B" w:rsidP="00DB7C98">
      <w:pPr>
        <w:pStyle w:val="ListBullet"/>
      </w:pPr>
      <w:r w:rsidRPr="0081178F">
        <w:t>2 Phase III studies:</w:t>
      </w:r>
    </w:p>
    <w:p w14:paraId="6A9BFA04" w14:textId="4908139D" w:rsidR="00DB7C98" w:rsidRPr="0081178F" w:rsidRDefault="00302C0B" w:rsidP="00302C0B">
      <w:pPr>
        <w:pStyle w:val="ListBullet2"/>
      </w:pPr>
      <w:r w:rsidRPr="0081178F">
        <w:t xml:space="preserve">Study </w:t>
      </w:r>
      <w:r w:rsidR="00DB7C98" w:rsidRPr="0081178F">
        <w:t xml:space="preserve">CT-P17 3.1 (comparative efficacy and safety study): Phase </w:t>
      </w:r>
      <w:r w:rsidRPr="0081178F">
        <w:t>III</w:t>
      </w:r>
      <w:r w:rsidR="00DB7C98" w:rsidRPr="0081178F">
        <w:t>, randomised, active</w:t>
      </w:r>
      <w:r w:rsidRPr="0081178F">
        <w:t xml:space="preserve"> </w:t>
      </w:r>
      <w:r w:rsidR="00DB7C98" w:rsidRPr="0081178F">
        <w:t>controlled, double</w:t>
      </w:r>
      <w:r w:rsidRPr="0081178F">
        <w:t xml:space="preserve"> </w:t>
      </w:r>
      <w:r w:rsidR="00DB7C98" w:rsidRPr="0081178F">
        <w:t xml:space="preserve">blind multicentre study to compare efficacy, PK, </w:t>
      </w:r>
      <w:r w:rsidR="00A46138" w:rsidRPr="0081178F">
        <w:t>pharmacodynamics (</w:t>
      </w:r>
      <w:r w:rsidR="00DB7C98" w:rsidRPr="0081178F">
        <w:t>PD</w:t>
      </w:r>
      <w:r w:rsidR="00A46138" w:rsidRPr="0081178F">
        <w:t>)</w:t>
      </w:r>
      <w:r w:rsidR="00DB7C98" w:rsidRPr="0081178F">
        <w:t>, safety, and usability of multiple single</w:t>
      </w:r>
      <w:r w:rsidRPr="0081178F">
        <w:t xml:space="preserve"> </w:t>
      </w:r>
      <w:r w:rsidR="00DB7C98" w:rsidRPr="0081178F">
        <w:t xml:space="preserve">doses (40 mg) of </w:t>
      </w:r>
      <w:r w:rsidR="007E0875" w:rsidRPr="0081178F">
        <w:t>Yuflyma</w:t>
      </w:r>
      <w:r w:rsidR="00DB7C98" w:rsidRPr="0081178F">
        <w:t xml:space="preserve"> </w:t>
      </w:r>
      <w:r w:rsidR="003F761E" w:rsidRPr="0081178F">
        <w:t>pre</w:t>
      </w:r>
      <w:r w:rsidR="004C04A3" w:rsidRPr="0081178F">
        <w:t>-</w:t>
      </w:r>
      <w:r w:rsidR="003F761E" w:rsidRPr="0081178F">
        <w:t>filled syringe</w:t>
      </w:r>
      <w:r w:rsidR="00DB7C98" w:rsidRPr="0081178F">
        <w:t xml:space="preserve"> with EU-</w:t>
      </w:r>
      <w:r w:rsidR="008B3333" w:rsidRPr="0081178F">
        <w:t xml:space="preserve">approved </w:t>
      </w:r>
      <w:r w:rsidR="003025D1" w:rsidRPr="0081178F">
        <w:t>Humira</w:t>
      </w:r>
      <w:r w:rsidR="00DB7C98" w:rsidRPr="0081178F">
        <w:t xml:space="preserve"> </w:t>
      </w:r>
      <w:r w:rsidR="003F761E" w:rsidRPr="0081178F">
        <w:t>pre</w:t>
      </w:r>
      <w:r w:rsidR="004C04A3" w:rsidRPr="0081178F">
        <w:t>-</w:t>
      </w:r>
      <w:r w:rsidR="003F761E" w:rsidRPr="0081178F">
        <w:t>filled syringe</w:t>
      </w:r>
      <w:r w:rsidR="00DB7C98" w:rsidRPr="0081178F">
        <w:t xml:space="preserve"> when co</w:t>
      </w:r>
      <w:r w:rsidR="007E0875" w:rsidRPr="0081178F">
        <w:noBreakHyphen/>
      </w:r>
      <w:r w:rsidR="00DB7C98" w:rsidRPr="0081178F">
        <w:t>administered with methotrexate in patients with moderate to severe active rheumatoid arthritis.</w:t>
      </w:r>
    </w:p>
    <w:p w14:paraId="7CD364FC" w14:textId="03522083" w:rsidR="00DB7C98" w:rsidRPr="0081178F" w:rsidRDefault="00302C0B" w:rsidP="00302C0B">
      <w:pPr>
        <w:pStyle w:val="ListBullet2"/>
      </w:pPr>
      <w:r w:rsidRPr="0081178F">
        <w:t xml:space="preserve">Study </w:t>
      </w:r>
      <w:r w:rsidR="00DB7C98" w:rsidRPr="0081178F">
        <w:t>CT-P17 3.2 (</w:t>
      </w:r>
      <w:r w:rsidR="003025D1" w:rsidRPr="0081178F">
        <w:t>auto-injector</w:t>
      </w:r>
      <w:r w:rsidR="00DB7C98" w:rsidRPr="0081178F">
        <w:t xml:space="preserve"> usability study): Phase </w:t>
      </w:r>
      <w:r w:rsidRPr="0081178F">
        <w:t>III</w:t>
      </w:r>
      <w:r w:rsidR="00DB7C98" w:rsidRPr="0081178F">
        <w:t>, open</w:t>
      </w:r>
      <w:r w:rsidRPr="0081178F">
        <w:t xml:space="preserve"> </w:t>
      </w:r>
      <w:r w:rsidR="00DB7C98" w:rsidRPr="0081178F">
        <w:t>label, single</w:t>
      </w:r>
      <w:r w:rsidRPr="0081178F">
        <w:t xml:space="preserve"> </w:t>
      </w:r>
      <w:r w:rsidR="00DB7C98" w:rsidRPr="0081178F">
        <w:t>arm, multiple</w:t>
      </w:r>
      <w:r w:rsidRPr="0081178F">
        <w:t xml:space="preserve"> </w:t>
      </w:r>
      <w:r w:rsidR="00DB7C98" w:rsidRPr="0081178F">
        <w:t xml:space="preserve">dose study designed to evaluate usability, safety, and efficacy of </w:t>
      </w:r>
      <w:r w:rsidR="00DE77BA" w:rsidRPr="0081178F">
        <w:t>subcutaneous</w:t>
      </w:r>
      <w:r w:rsidR="00DB7C98" w:rsidRPr="0081178F">
        <w:t xml:space="preserve"> administration via </w:t>
      </w:r>
      <w:r w:rsidR="003025D1" w:rsidRPr="0081178F">
        <w:t>auto-injector</w:t>
      </w:r>
      <w:r w:rsidR="00DB7C98" w:rsidRPr="0081178F">
        <w:t xml:space="preserve"> of </w:t>
      </w:r>
      <w:r w:rsidR="007E0875" w:rsidRPr="0081178F">
        <w:t xml:space="preserve">Yuflyma </w:t>
      </w:r>
      <w:r w:rsidR="00DB7C98" w:rsidRPr="0081178F">
        <w:t xml:space="preserve">in patients with moderate to severe active </w:t>
      </w:r>
      <w:r w:rsidR="005E11DA" w:rsidRPr="0081178F">
        <w:t>rheumatoid arthritis</w:t>
      </w:r>
      <w:r w:rsidR="00DB7C98" w:rsidRPr="0081178F">
        <w:t>.</w:t>
      </w:r>
    </w:p>
    <w:p w14:paraId="54D60936" w14:textId="77777777" w:rsidR="00DB7C98" w:rsidRPr="0081178F" w:rsidRDefault="00DB7C98" w:rsidP="00DB7C98">
      <w:pPr>
        <w:pStyle w:val="Heading4"/>
      </w:pPr>
      <w:r w:rsidRPr="0081178F">
        <w:t>Pharmacology</w:t>
      </w:r>
    </w:p>
    <w:p w14:paraId="322C4B96" w14:textId="27C7AAB4" w:rsidR="00DB7C98" w:rsidRPr="0081178F" w:rsidRDefault="00DB7C98" w:rsidP="00DB7C98">
      <w:pPr>
        <w:pStyle w:val="Heading5"/>
      </w:pPr>
      <w:r w:rsidRPr="0081178F">
        <w:t>Pharmacokinetics</w:t>
      </w:r>
    </w:p>
    <w:p w14:paraId="685C93B4" w14:textId="77777777" w:rsidR="00DB7C98" w:rsidRPr="0081178F" w:rsidRDefault="00DB7C98" w:rsidP="00DB7C98">
      <w:pPr>
        <w:pStyle w:val="Heading6"/>
      </w:pPr>
      <w:r w:rsidRPr="0081178F">
        <w:t>Study CT-P17 1.1</w:t>
      </w:r>
    </w:p>
    <w:p w14:paraId="429B54E7" w14:textId="7B4E622C" w:rsidR="00DB7C98" w:rsidRPr="0081178F" w:rsidRDefault="00C74FE8" w:rsidP="00A46138">
      <w:r w:rsidRPr="0081178F">
        <w:t xml:space="preserve">Study CT-P17 1.1 </w:t>
      </w:r>
      <w:r w:rsidR="00DB7C98" w:rsidRPr="0081178F">
        <w:t xml:space="preserve">was the pivotal comparative PK study. It was a Phase </w:t>
      </w:r>
      <w:r w:rsidR="00302C0B" w:rsidRPr="0081178F">
        <w:t>I</w:t>
      </w:r>
      <w:r w:rsidR="00DB7C98" w:rsidRPr="0081178F">
        <w:t>, randomised, double</w:t>
      </w:r>
      <w:r w:rsidR="00302C0B" w:rsidRPr="0081178F">
        <w:t xml:space="preserve"> </w:t>
      </w:r>
      <w:r w:rsidR="00DB7C98" w:rsidRPr="0081178F">
        <w:t>blind, three-arm, parallel group, single</w:t>
      </w:r>
      <w:r w:rsidR="00302C0B" w:rsidRPr="0081178F">
        <w:t xml:space="preserve"> </w:t>
      </w:r>
      <w:r w:rsidR="00DB7C98" w:rsidRPr="0081178F">
        <w:t xml:space="preserve">dose study to compare the PK and safety of </w:t>
      </w:r>
      <w:r w:rsidR="007E0875" w:rsidRPr="0081178F">
        <w:t xml:space="preserve">Yuflyma </w:t>
      </w:r>
      <w:r w:rsidR="00DB7C98" w:rsidRPr="0081178F">
        <w:t xml:space="preserve">and </w:t>
      </w:r>
      <w:r w:rsidR="003025D1" w:rsidRPr="0081178F">
        <w:t>Humira</w:t>
      </w:r>
      <w:r w:rsidR="00DB7C98" w:rsidRPr="0081178F">
        <w:t xml:space="preserve"> (US-licensed </w:t>
      </w:r>
      <w:r w:rsidR="003025D1" w:rsidRPr="0081178F">
        <w:t>Humira</w:t>
      </w:r>
      <w:r w:rsidR="00DB7C98" w:rsidRPr="0081178F">
        <w:t xml:space="preserve"> and EU-approved </w:t>
      </w:r>
      <w:r w:rsidR="003025D1" w:rsidRPr="0081178F">
        <w:t>Humira</w:t>
      </w:r>
      <w:r w:rsidR="00DB7C98" w:rsidRPr="0081178F">
        <w:t xml:space="preserve">) in healthy subjects. Subjects were randomly assigned to one of three treatment groups in a 1:1:1 ratio. In each treatment group, all subjects received a single 40 mg dose of either </w:t>
      </w:r>
      <w:r w:rsidR="007E0875" w:rsidRPr="0081178F">
        <w:t>Yuflyma</w:t>
      </w:r>
      <w:r w:rsidR="00DB7C98" w:rsidRPr="0081178F">
        <w:t>, US-</w:t>
      </w:r>
      <w:r w:rsidR="00CB4944" w:rsidRPr="0081178F">
        <w:t xml:space="preserve">licensed </w:t>
      </w:r>
      <w:r w:rsidR="003025D1" w:rsidRPr="0081178F">
        <w:t>Humira</w:t>
      </w:r>
      <w:r w:rsidR="00DB7C98" w:rsidRPr="0081178F">
        <w:t>, or EU</w:t>
      </w:r>
      <w:r w:rsidR="00302C0B" w:rsidRPr="0081178F">
        <w:noBreakHyphen/>
      </w:r>
      <w:r w:rsidR="00CB4944" w:rsidRPr="0081178F">
        <w:t xml:space="preserve">approved </w:t>
      </w:r>
      <w:r w:rsidR="003025D1" w:rsidRPr="0081178F">
        <w:t>Humira</w:t>
      </w:r>
      <w:r w:rsidR="00DB7C98" w:rsidRPr="0081178F">
        <w:t xml:space="preserve"> by </w:t>
      </w:r>
      <w:r w:rsidR="00DE77BA" w:rsidRPr="0081178F">
        <w:t>subcutaneous</w:t>
      </w:r>
      <w:r w:rsidR="00DB7C98" w:rsidRPr="0081178F">
        <w:t xml:space="preserve"> injection on Day 1 followed by 10</w:t>
      </w:r>
      <w:r w:rsidR="00467FF1" w:rsidRPr="0081178F">
        <w:t> </w:t>
      </w:r>
      <w:r w:rsidR="00DB7C98" w:rsidRPr="0081178F">
        <w:t xml:space="preserve">weeks (70 days) during which PK, safety, and immunogenicity measurements were made. The three primary endpoints of the study were </w:t>
      </w:r>
      <w:r w:rsidR="00A46138" w:rsidRPr="0081178F">
        <w:t>area under the concentration time curve from time zero to infinity (</w:t>
      </w:r>
      <w:r w:rsidR="00DB7C98" w:rsidRPr="0081178F">
        <w:t>AUC</w:t>
      </w:r>
      <w:r w:rsidR="00DB7C98" w:rsidRPr="0081178F">
        <w:rPr>
          <w:vertAlign w:val="subscript"/>
        </w:rPr>
        <w:t>0-inf</w:t>
      </w:r>
      <w:r w:rsidR="00A46138" w:rsidRPr="0081178F">
        <w:t>)</w:t>
      </w:r>
      <w:r w:rsidR="00DB7C98" w:rsidRPr="0081178F">
        <w:t xml:space="preserve">, </w:t>
      </w:r>
      <w:r w:rsidR="00A46138" w:rsidRPr="0081178F">
        <w:t>area under the concentration time curve from time zero to time of last quantifiable serum concentration (</w:t>
      </w:r>
      <w:r w:rsidR="00DB7C98" w:rsidRPr="0081178F">
        <w:t>AUC</w:t>
      </w:r>
      <w:r w:rsidR="00DB7C98" w:rsidRPr="0081178F">
        <w:rPr>
          <w:vertAlign w:val="subscript"/>
        </w:rPr>
        <w:t>0-last</w:t>
      </w:r>
      <w:r w:rsidR="00A46138" w:rsidRPr="0081178F">
        <w:t>)</w:t>
      </w:r>
      <w:r w:rsidR="00DB7C98" w:rsidRPr="0081178F">
        <w:t xml:space="preserve">, and </w:t>
      </w:r>
      <w:r w:rsidR="00A46138" w:rsidRPr="0081178F">
        <w:t>maximum serum concentration (</w:t>
      </w:r>
      <w:proofErr w:type="spellStart"/>
      <w:r w:rsidR="00DB7C98" w:rsidRPr="0081178F">
        <w:t>C</w:t>
      </w:r>
      <w:r w:rsidR="00DB7C98" w:rsidRPr="0081178F">
        <w:rPr>
          <w:vertAlign w:val="subscript"/>
        </w:rPr>
        <w:t>max</w:t>
      </w:r>
      <w:proofErr w:type="spellEnd"/>
      <w:r w:rsidR="00A46138" w:rsidRPr="0081178F">
        <w:t>).</w:t>
      </w:r>
    </w:p>
    <w:p w14:paraId="5C150D10" w14:textId="35BF822D" w:rsidR="00DB7C98" w:rsidRPr="0081178F" w:rsidRDefault="00DB7C98" w:rsidP="00DB7C98">
      <w:r w:rsidRPr="0081178F">
        <w:t xml:space="preserve">A total of 312 subjects were randomised. Four randomised subjects did not receive the study drug. A total of 5 subjects discontinued after study drug administration: 2 subjects were lost to follow-up, 2 subjects due to withdrawal by subject, and </w:t>
      </w:r>
      <w:r w:rsidR="00302C0B" w:rsidRPr="0081178F">
        <w:t>one</w:t>
      </w:r>
      <w:r w:rsidRPr="0081178F">
        <w:t xml:space="preserve"> subject due to an adverse event. The PK population consisted of 290 subjects: subjects whose terminal elimination rate constant could not be estimated as not having at least 3 time points following </w:t>
      </w:r>
      <w:proofErr w:type="spellStart"/>
      <w:r w:rsidR="00302C0B" w:rsidRPr="0081178F">
        <w:t>C</w:t>
      </w:r>
      <w:r w:rsidR="00302C0B" w:rsidRPr="0081178F">
        <w:rPr>
          <w:vertAlign w:val="subscript"/>
        </w:rPr>
        <w:t>max</w:t>
      </w:r>
      <w:proofErr w:type="spellEnd"/>
      <w:r w:rsidRPr="0081178F">
        <w:t xml:space="preserve"> were excluded from the PK population as per</w:t>
      </w:r>
      <w:r w:rsidR="000C4C71" w:rsidRPr="0081178F">
        <w:t>-</w:t>
      </w:r>
      <w:r w:rsidRPr="0081178F">
        <w:t xml:space="preserve">protocol. In addition, the </w:t>
      </w:r>
      <w:r w:rsidR="00A46138" w:rsidRPr="0081178F">
        <w:t>percentage of the area extrapolated for calculation of AUC</w:t>
      </w:r>
      <w:r w:rsidR="00A46138" w:rsidRPr="0081178F">
        <w:rPr>
          <w:vertAlign w:val="subscript"/>
        </w:rPr>
        <w:t>0-inf</w:t>
      </w:r>
      <w:r w:rsidR="00A46138" w:rsidRPr="0081178F">
        <w:t xml:space="preserve"> </w:t>
      </w:r>
      <w:r w:rsidRPr="0081178F">
        <w:t>(%</w:t>
      </w:r>
      <w:proofErr w:type="spellStart"/>
      <w:r w:rsidRPr="0081178F">
        <w:t>AUC</w:t>
      </w:r>
      <w:r w:rsidRPr="0081178F">
        <w:rPr>
          <w:vertAlign w:val="subscript"/>
        </w:rPr>
        <w:t>extrap</w:t>
      </w:r>
      <w:proofErr w:type="spellEnd"/>
      <w:r w:rsidRPr="0081178F">
        <w:t xml:space="preserve">) was required to be ≤ 20% to retain the subject’s </w:t>
      </w:r>
      <w:r w:rsidR="00302C0B" w:rsidRPr="0081178F">
        <w:t>AUC</w:t>
      </w:r>
      <w:r w:rsidR="00302C0B" w:rsidRPr="0081178F">
        <w:rPr>
          <w:vertAlign w:val="subscript"/>
        </w:rPr>
        <w:t>0-inf</w:t>
      </w:r>
      <w:r w:rsidRPr="0081178F">
        <w:t xml:space="preserve"> in statistical analysis.</w:t>
      </w:r>
    </w:p>
    <w:p w14:paraId="2EA31547" w14:textId="45B80C5A" w:rsidR="00DB7C98" w:rsidRPr="0081178F" w:rsidRDefault="00DB7C98" w:rsidP="00DB7C98">
      <w:r w:rsidRPr="0081178F">
        <w:t xml:space="preserve">The primary serum PK parameters of adalimumab are summarised by treatment for the PK population in </w:t>
      </w:r>
      <w:r w:rsidRPr="0081178F">
        <w:fldChar w:fldCharType="begin"/>
      </w:r>
      <w:r w:rsidRPr="0081178F">
        <w:instrText xml:space="preserve"> REF _Ref87364885 \h  \* MERGEFORMAT </w:instrText>
      </w:r>
      <w:r w:rsidRPr="0081178F">
        <w:fldChar w:fldCharType="separate"/>
      </w:r>
      <w:r w:rsidR="003538E0" w:rsidRPr="0081178F">
        <w:t>Table 3</w:t>
      </w:r>
      <w:r w:rsidRPr="0081178F">
        <w:fldChar w:fldCharType="end"/>
      </w:r>
      <w:r w:rsidRPr="0081178F">
        <w:t xml:space="preserve">. Mean serum concentrations of adalimumab versus time profiles for the PK population are presented in </w:t>
      </w:r>
      <w:r w:rsidRPr="0081178F">
        <w:fldChar w:fldCharType="begin"/>
      </w:r>
      <w:r w:rsidRPr="0081178F">
        <w:instrText xml:space="preserve"> REF _Ref87364786 \h  \* MERGEFORMAT </w:instrText>
      </w:r>
      <w:r w:rsidRPr="0081178F">
        <w:fldChar w:fldCharType="separate"/>
      </w:r>
      <w:r w:rsidR="003538E0" w:rsidRPr="0081178F">
        <w:t>Figure 1</w:t>
      </w:r>
      <w:r w:rsidRPr="0081178F">
        <w:fldChar w:fldCharType="end"/>
      </w:r>
      <w:r w:rsidRPr="0081178F">
        <w:t xml:space="preserve">. Statistical analyses of the PK parameters for the PK population supported a conclusion of PK equivalence between </w:t>
      </w:r>
      <w:r w:rsidR="007E0875" w:rsidRPr="0081178F">
        <w:t xml:space="preserve">Yuflyma </w:t>
      </w:r>
      <w:r w:rsidRPr="0081178F">
        <w:t>and EU</w:t>
      </w:r>
      <w:r w:rsidR="007E0875" w:rsidRPr="0081178F">
        <w:noBreakHyphen/>
        <w:t xml:space="preserve">approved </w:t>
      </w:r>
      <w:r w:rsidRPr="0081178F">
        <w:t>and US-</w:t>
      </w:r>
      <w:r w:rsidR="007E0875" w:rsidRPr="0081178F">
        <w:t xml:space="preserve">licensed </w:t>
      </w:r>
      <w:r w:rsidR="003025D1" w:rsidRPr="0081178F">
        <w:t>Humira</w:t>
      </w:r>
      <w:r w:rsidRPr="0081178F">
        <w:t xml:space="preserve"> (</w:t>
      </w:r>
      <w:r w:rsidRPr="0081178F">
        <w:fldChar w:fldCharType="begin"/>
      </w:r>
      <w:r w:rsidRPr="0081178F">
        <w:instrText xml:space="preserve"> REF _Ref87364683 \h  \* MERGEFORMAT </w:instrText>
      </w:r>
      <w:r w:rsidRPr="0081178F">
        <w:fldChar w:fldCharType="separate"/>
      </w:r>
      <w:r w:rsidR="003538E0" w:rsidRPr="0081178F">
        <w:t>Table 4</w:t>
      </w:r>
      <w:r w:rsidRPr="0081178F">
        <w:fldChar w:fldCharType="end"/>
      </w:r>
      <w:r w:rsidRPr="0081178F">
        <w:t>). Supplementary analyses based on all subjects who received a full dose also supported a conclusion of PK equivalence.</w:t>
      </w:r>
    </w:p>
    <w:p w14:paraId="4173FEF0" w14:textId="1A2D977B" w:rsidR="00DB7C98" w:rsidRPr="0081178F" w:rsidRDefault="00DB7C98" w:rsidP="00DB7C98">
      <w:proofErr w:type="gramStart"/>
      <w:r w:rsidRPr="0081178F">
        <w:t>The majority of</w:t>
      </w:r>
      <w:proofErr w:type="gramEnd"/>
      <w:r w:rsidRPr="0081178F">
        <w:t xml:space="preserve"> subjects had </w:t>
      </w:r>
      <w:r w:rsidR="00A46138" w:rsidRPr="0081178F">
        <w:t>anti-drug antibodies (</w:t>
      </w:r>
      <w:r w:rsidRPr="0081178F">
        <w:t>ADA</w:t>
      </w:r>
      <w:r w:rsidR="00A46138" w:rsidRPr="0081178F">
        <w:t>)</w:t>
      </w:r>
      <w:r w:rsidRPr="0081178F">
        <w:t xml:space="preserve"> following the single adalimumab </w:t>
      </w:r>
      <w:r w:rsidR="00DE77BA" w:rsidRPr="0081178F">
        <w:t>subcutaneous</w:t>
      </w:r>
      <w:r w:rsidRPr="0081178F">
        <w:t xml:space="preserve"> injection. An additional </w:t>
      </w:r>
      <w:r w:rsidR="00A46138" w:rsidRPr="0081178F">
        <w:t>analysis of covariance (</w:t>
      </w:r>
      <w:r w:rsidRPr="0081178F">
        <w:t>ANCOVA</w:t>
      </w:r>
      <w:r w:rsidR="00A46138" w:rsidRPr="0081178F">
        <w:t>)</w:t>
      </w:r>
      <w:r w:rsidRPr="0081178F">
        <w:t xml:space="preserve"> performed in subjects identified as having a positive ADA status also demonstrated equivalent PK. The small number of ADA negative subjects (3</w:t>
      </w:r>
      <w:r w:rsidR="008A14DB" w:rsidRPr="0081178F">
        <w:t> </w:t>
      </w:r>
      <w:r w:rsidRPr="0081178F">
        <w:t xml:space="preserve">(3.1%), 5 (5.4%), 5 (5.0%) in the </w:t>
      </w:r>
      <w:r w:rsidR="007E0875" w:rsidRPr="0081178F">
        <w:t>Yuflyma</w:t>
      </w:r>
      <w:r w:rsidRPr="0081178F">
        <w:t>, US</w:t>
      </w:r>
      <w:r w:rsidR="007E0875" w:rsidRPr="0081178F">
        <w:noBreakHyphen/>
        <w:t xml:space="preserve">licensed </w:t>
      </w:r>
      <w:r w:rsidR="003025D1" w:rsidRPr="0081178F">
        <w:t>Humira</w:t>
      </w:r>
      <w:r w:rsidRPr="0081178F">
        <w:t>, and EU-</w:t>
      </w:r>
      <w:r w:rsidR="007E0875" w:rsidRPr="0081178F">
        <w:t xml:space="preserve">approved </w:t>
      </w:r>
      <w:r w:rsidR="003025D1" w:rsidRPr="0081178F">
        <w:t>Humira</w:t>
      </w:r>
      <w:r w:rsidRPr="0081178F">
        <w:t xml:space="preserve"> treatment groups, respectively) did not allow ANCOVA for ADA negative subjects.</w:t>
      </w:r>
    </w:p>
    <w:p w14:paraId="1A08153B" w14:textId="0B5BCA93" w:rsidR="00DB7C98" w:rsidRPr="0081178F" w:rsidRDefault="00DB7C98" w:rsidP="005C05CC">
      <w:pPr>
        <w:pStyle w:val="FigureTitle"/>
      </w:pPr>
      <w:bookmarkStart w:id="45" w:name="_Ref87364786"/>
      <w:r w:rsidRPr="0081178F">
        <w:t xml:space="preserve">Figure </w:t>
      </w:r>
      <w:r w:rsidR="003420A7">
        <w:fldChar w:fldCharType="begin"/>
      </w:r>
      <w:r w:rsidR="003420A7">
        <w:instrText xml:space="preserve"> SEQ Figure \* ARABIC </w:instrText>
      </w:r>
      <w:r w:rsidR="003420A7">
        <w:fldChar w:fldCharType="separate"/>
      </w:r>
      <w:r w:rsidR="003538E0" w:rsidRPr="0081178F">
        <w:rPr>
          <w:noProof/>
        </w:rPr>
        <w:t>1</w:t>
      </w:r>
      <w:r w:rsidR="003420A7">
        <w:rPr>
          <w:noProof/>
        </w:rPr>
        <w:fldChar w:fldCharType="end"/>
      </w:r>
      <w:bookmarkEnd w:id="45"/>
      <w:r w:rsidR="008A14DB" w:rsidRPr="0081178F">
        <w:t>:</w:t>
      </w:r>
      <w:r w:rsidRPr="0081178F">
        <w:t xml:space="preserve"> Study CT-P17 1.1 Mean </w:t>
      </w:r>
      <w:r w:rsidR="008A14DB" w:rsidRPr="0081178F">
        <w:t>(±</w:t>
      </w:r>
      <w:r w:rsidR="00491F13" w:rsidRPr="0081178F">
        <w:t xml:space="preserve"> </w:t>
      </w:r>
      <w:r w:rsidR="008A14DB" w:rsidRPr="0081178F">
        <w:t>standard deviation) serum concentrations of adalimumab versus time (pharmacokinetic population)</w:t>
      </w:r>
    </w:p>
    <w:p w14:paraId="43233C52" w14:textId="4C3F93D4" w:rsidR="00DB7C98" w:rsidRPr="0081178F" w:rsidRDefault="00DB7C98" w:rsidP="005C05CC">
      <w:r w:rsidRPr="0081178F">
        <w:rPr>
          <w:noProof/>
          <w:lang w:val="en-GB" w:eastAsia="en-GB"/>
        </w:rPr>
        <w:drawing>
          <wp:inline distT="0" distB="0" distL="0" distR="0" wp14:anchorId="1A4B9525" wp14:editId="746E8942">
            <wp:extent cx="4517390" cy="5318760"/>
            <wp:effectExtent l="0" t="0" r="0" b="0"/>
            <wp:docPr id="23" name="Picture 23" descr="Figure 1: Study CT-P17 1.1 Mean (± standard deviation) serum concentrations of adalimumab versus time (pharmacokineti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1: Study CT-P17 1.1 Mean (± standard deviation) serum concentrations of adalimumab versus time (pharmacokinetic popul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7390" cy="5318760"/>
                    </a:xfrm>
                    <a:prstGeom prst="rect">
                      <a:avLst/>
                    </a:prstGeom>
                    <a:noFill/>
                    <a:ln>
                      <a:noFill/>
                    </a:ln>
                  </pic:spPr>
                </pic:pic>
              </a:graphicData>
            </a:graphic>
          </wp:inline>
        </w:drawing>
      </w:r>
    </w:p>
    <w:p w14:paraId="3E1700C3" w14:textId="3043B166" w:rsidR="006A3642" w:rsidRPr="0081178F" w:rsidRDefault="006A3642" w:rsidP="005C05CC">
      <w:pPr>
        <w:pStyle w:val="FigureDescription"/>
      </w:pPr>
      <w:r w:rsidRPr="0081178F">
        <w:t xml:space="preserve">Abbreviations: CT-P17 = </w:t>
      </w:r>
      <w:r w:rsidR="00B6699E" w:rsidRPr="0081178F">
        <w:t>Yuflyma (</w:t>
      </w:r>
      <w:r w:rsidRPr="0081178F">
        <w:t>adalimumab</w:t>
      </w:r>
      <w:r w:rsidR="00B6699E" w:rsidRPr="0081178F">
        <w:t>)</w:t>
      </w:r>
      <w:r w:rsidR="00B62EF3" w:rsidRPr="0081178F">
        <w:t>; EU = European Union; US = United States.</w:t>
      </w:r>
    </w:p>
    <w:p w14:paraId="73039CBF" w14:textId="7B4F9C59" w:rsidR="00DB7C98" w:rsidRPr="0081178F" w:rsidRDefault="00DB7C98" w:rsidP="005C05CC">
      <w:pPr>
        <w:pStyle w:val="TableTitle"/>
      </w:pPr>
      <w:bookmarkStart w:id="46" w:name="_Ref87364885"/>
      <w:r w:rsidRPr="0081178F">
        <w:t xml:space="preserve">Table </w:t>
      </w:r>
      <w:r w:rsidR="003420A7">
        <w:fldChar w:fldCharType="begin"/>
      </w:r>
      <w:r w:rsidR="003420A7">
        <w:instrText xml:space="preserve"> SEQ Table \* ARABIC </w:instrText>
      </w:r>
      <w:r w:rsidR="003420A7">
        <w:fldChar w:fldCharType="separate"/>
      </w:r>
      <w:r w:rsidR="003538E0" w:rsidRPr="0081178F">
        <w:rPr>
          <w:noProof/>
        </w:rPr>
        <w:t>3</w:t>
      </w:r>
      <w:r w:rsidR="003420A7">
        <w:rPr>
          <w:noProof/>
        </w:rPr>
        <w:fldChar w:fldCharType="end"/>
      </w:r>
      <w:bookmarkEnd w:id="46"/>
      <w:r w:rsidR="008A14DB" w:rsidRPr="0081178F">
        <w:t>:</w:t>
      </w:r>
      <w:r w:rsidRPr="0081178F">
        <w:t xml:space="preserve"> Study CT-P17 1.1 Primary </w:t>
      </w:r>
      <w:r w:rsidR="008A14DB" w:rsidRPr="0081178F">
        <w:t>pharmacokinetic parameters of adalimumab by treatment group (pharmacokinetic population)</w:t>
      </w:r>
    </w:p>
    <w:p w14:paraId="555A2332" w14:textId="50243A6B" w:rsidR="00B62EF3" w:rsidRPr="0081178F" w:rsidRDefault="00B62EF3" w:rsidP="005C05CC">
      <w:r w:rsidRPr="0081178F">
        <w:rPr>
          <w:noProof/>
          <w:lang w:val="en-GB" w:eastAsia="en-GB"/>
        </w:rPr>
        <w:drawing>
          <wp:inline distT="0" distB="0" distL="0" distR="0" wp14:anchorId="18E1FC0E" wp14:editId="68AAD4F3">
            <wp:extent cx="5400040" cy="4436745"/>
            <wp:effectExtent l="0" t="0" r="0" b="1905"/>
            <wp:docPr id="2" name="Picture 2" descr="Table 3: Study CT-P17 1.1 Primary pharmacokinetic parameters of adalimumab by treatment group (pharmacokineti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3: Study CT-P17 1.1 Primary pharmacokinetic parameters of adalimumab by treatment group (pharmacokinetic population)"/>
                    <pic:cNvPicPr/>
                  </pic:nvPicPr>
                  <pic:blipFill>
                    <a:blip r:embed="rId24"/>
                    <a:stretch>
                      <a:fillRect/>
                    </a:stretch>
                  </pic:blipFill>
                  <pic:spPr>
                    <a:xfrm>
                      <a:off x="0" y="0"/>
                      <a:ext cx="5400040" cy="4436745"/>
                    </a:xfrm>
                    <a:prstGeom prst="rect">
                      <a:avLst/>
                    </a:prstGeom>
                  </pic:spPr>
                </pic:pic>
              </a:graphicData>
            </a:graphic>
          </wp:inline>
        </w:drawing>
      </w:r>
    </w:p>
    <w:p w14:paraId="4E2F7906" w14:textId="2ECFAA8C" w:rsidR="00B62EF3" w:rsidRPr="0081178F" w:rsidRDefault="00B62EF3" w:rsidP="00B62EF3">
      <w:pPr>
        <w:pStyle w:val="TableDescription"/>
      </w:pPr>
      <w:r w:rsidRPr="0081178F">
        <w:t>Abbreviations: AUC</w:t>
      </w:r>
      <w:r w:rsidRPr="0081178F">
        <w:rPr>
          <w:vertAlign w:val="subscript"/>
        </w:rPr>
        <w:t>0-inf</w:t>
      </w:r>
      <w:r w:rsidR="00415C5B" w:rsidRPr="0081178F">
        <w:t xml:space="preserve"> =</w:t>
      </w:r>
      <w:r w:rsidRPr="0081178F">
        <w:t xml:space="preserve"> area under the concentration time curve from time zero to infinity; AUC</w:t>
      </w:r>
      <w:r w:rsidRPr="0081178F">
        <w:rPr>
          <w:vertAlign w:val="subscript"/>
        </w:rPr>
        <w:t>0</w:t>
      </w:r>
      <w:r w:rsidR="007E0875" w:rsidRPr="0081178F">
        <w:rPr>
          <w:vertAlign w:val="subscript"/>
        </w:rPr>
        <w:noBreakHyphen/>
      </w:r>
      <w:r w:rsidRPr="0081178F">
        <w:rPr>
          <w:vertAlign w:val="subscript"/>
        </w:rPr>
        <w:t>last</w:t>
      </w:r>
      <w:r w:rsidR="007E0875" w:rsidRPr="0081178F">
        <w:t> </w:t>
      </w:r>
      <w:r w:rsidR="00415C5B" w:rsidRPr="0081178F">
        <w:t>=</w:t>
      </w:r>
      <w:r w:rsidR="007E0875" w:rsidRPr="0081178F">
        <w:t> </w:t>
      </w:r>
      <w:r w:rsidRPr="0081178F">
        <w:t xml:space="preserve">area under the concentration time curve from time zero to the last quantifiable concentration; </w:t>
      </w:r>
      <w:proofErr w:type="spellStart"/>
      <w:r w:rsidRPr="0081178F">
        <w:t>C</w:t>
      </w:r>
      <w:r w:rsidRPr="0081178F">
        <w:rPr>
          <w:vertAlign w:val="subscript"/>
        </w:rPr>
        <w:t>max</w:t>
      </w:r>
      <w:proofErr w:type="spellEnd"/>
      <w:r w:rsidRPr="0081178F">
        <w:t xml:space="preserve"> </w:t>
      </w:r>
      <w:r w:rsidR="00415C5B" w:rsidRPr="0081178F">
        <w:t xml:space="preserve">= </w:t>
      </w:r>
      <w:r w:rsidRPr="0081178F">
        <w:t xml:space="preserve">maximum serum concentration; CT-P17 = </w:t>
      </w:r>
      <w:r w:rsidR="00661A61" w:rsidRPr="0081178F">
        <w:t>Yuflyma (</w:t>
      </w:r>
      <w:r w:rsidRPr="0081178F">
        <w:t>adalimumab</w:t>
      </w:r>
      <w:r w:rsidR="00661A61" w:rsidRPr="0081178F">
        <w:t>)</w:t>
      </w:r>
      <w:r w:rsidRPr="0081178F">
        <w:t>; %CV = percentage coefficient of variation; EU</w:t>
      </w:r>
      <w:r w:rsidR="00415C5B" w:rsidRPr="0081178F">
        <w:t xml:space="preserve"> = </w:t>
      </w:r>
      <w:r w:rsidRPr="0081178F">
        <w:t xml:space="preserve">European Union; </w:t>
      </w:r>
      <w:r w:rsidR="00415C5B" w:rsidRPr="0081178F">
        <w:t xml:space="preserve">N = number of </w:t>
      </w:r>
      <w:r w:rsidR="00491F13" w:rsidRPr="0081178F">
        <w:t>subjects</w:t>
      </w:r>
      <w:r w:rsidR="00415C5B" w:rsidRPr="0081178F">
        <w:t>;</w:t>
      </w:r>
      <w:r w:rsidR="00491F13" w:rsidRPr="0081178F">
        <w:t xml:space="preserve"> n = number of subjects in group;</w:t>
      </w:r>
      <w:r w:rsidR="00415C5B" w:rsidRPr="0081178F">
        <w:t xml:space="preserve"> </w:t>
      </w:r>
      <w:r w:rsidRPr="0081178F">
        <w:t>PK</w:t>
      </w:r>
      <w:r w:rsidR="00661A61" w:rsidRPr="0081178F">
        <w:t> </w:t>
      </w:r>
      <w:r w:rsidR="00415C5B" w:rsidRPr="0081178F">
        <w:t>=</w:t>
      </w:r>
      <w:r w:rsidR="00661A61" w:rsidRPr="0081178F">
        <w:t> </w:t>
      </w:r>
      <w:r w:rsidRPr="0081178F">
        <w:t>pharmacokinetics; SD</w:t>
      </w:r>
      <w:r w:rsidR="00415C5B" w:rsidRPr="0081178F">
        <w:t xml:space="preserve"> =</w:t>
      </w:r>
      <w:r w:rsidRPr="0081178F">
        <w:t xml:space="preserve"> standard deviation; US</w:t>
      </w:r>
      <w:r w:rsidR="00415C5B" w:rsidRPr="0081178F">
        <w:t xml:space="preserve"> =</w:t>
      </w:r>
      <w:r w:rsidRPr="0081178F">
        <w:t xml:space="preserve"> United States.</w:t>
      </w:r>
    </w:p>
    <w:p w14:paraId="1C3C66AF" w14:textId="723E82A4" w:rsidR="00DB7C98" w:rsidRPr="0081178F" w:rsidRDefault="00DB7C98" w:rsidP="005C05CC">
      <w:pPr>
        <w:pStyle w:val="TableTitle"/>
      </w:pPr>
      <w:bookmarkStart w:id="47" w:name="_Ref87364683"/>
      <w:r w:rsidRPr="0081178F">
        <w:t xml:space="preserve">Table </w:t>
      </w:r>
      <w:r w:rsidR="003420A7">
        <w:fldChar w:fldCharType="begin"/>
      </w:r>
      <w:r w:rsidR="003420A7">
        <w:instrText xml:space="preserve"> SEQ Table \* ARABIC </w:instrText>
      </w:r>
      <w:r w:rsidR="003420A7">
        <w:fldChar w:fldCharType="separate"/>
      </w:r>
      <w:r w:rsidR="003538E0" w:rsidRPr="0081178F">
        <w:rPr>
          <w:noProof/>
        </w:rPr>
        <w:t>4</w:t>
      </w:r>
      <w:r w:rsidR="003420A7">
        <w:rPr>
          <w:noProof/>
        </w:rPr>
        <w:fldChar w:fldCharType="end"/>
      </w:r>
      <w:bookmarkEnd w:id="47"/>
      <w:r w:rsidR="008A14DB" w:rsidRPr="0081178F">
        <w:t>:</w:t>
      </w:r>
      <w:r w:rsidRPr="0081178F">
        <w:t xml:space="preserve"> Study CT-P17 1.1 Statistical </w:t>
      </w:r>
      <w:r w:rsidR="008A14DB" w:rsidRPr="0081178F">
        <w:t xml:space="preserve">analysis </w:t>
      </w:r>
      <w:r w:rsidR="0051024E" w:rsidRPr="0081178F">
        <w:t xml:space="preserve">(analysis of covariance) </w:t>
      </w:r>
      <w:r w:rsidR="008A14DB" w:rsidRPr="0081178F">
        <w:t>of primary pharmacokinetic parameters for adalimumab by treatment (pharmacokinetic population)</w:t>
      </w:r>
    </w:p>
    <w:p w14:paraId="6C81DD5A" w14:textId="0EF50E78" w:rsidR="00415C5B" w:rsidRPr="0081178F" w:rsidRDefault="00415C5B" w:rsidP="00491F13">
      <w:r w:rsidRPr="0081178F">
        <w:rPr>
          <w:noProof/>
          <w:lang w:val="en-GB" w:eastAsia="en-GB"/>
        </w:rPr>
        <w:drawing>
          <wp:inline distT="0" distB="0" distL="0" distR="0" wp14:anchorId="6A38D879" wp14:editId="7521CDA9">
            <wp:extent cx="5400040" cy="3909060"/>
            <wp:effectExtent l="0" t="0" r="0" b="0"/>
            <wp:docPr id="24" name="Picture 24" descr="Table 4: Study CT-P17 1.1 Statistical analysis (analysis of covariance) of primary pharmacokinetic parameters for adalimumab by treatment (pharmacokineti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 4: Study CT-P17 1.1 Statistical analysis (analysis of covariance) of primary pharmacokinetic parameters for adalimumab by treatment (pharmacokinetic population)"/>
                    <pic:cNvPicPr/>
                  </pic:nvPicPr>
                  <pic:blipFill>
                    <a:blip r:embed="rId25"/>
                    <a:stretch>
                      <a:fillRect/>
                    </a:stretch>
                  </pic:blipFill>
                  <pic:spPr>
                    <a:xfrm>
                      <a:off x="0" y="0"/>
                      <a:ext cx="5400040" cy="3909060"/>
                    </a:xfrm>
                    <a:prstGeom prst="rect">
                      <a:avLst/>
                    </a:prstGeom>
                  </pic:spPr>
                </pic:pic>
              </a:graphicData>
            </a:graphic>
          </wp:inline>
        </w:drawing>
      </w:r>
    </w:p>
    <w:p w14:paraId="663E028B" w14:textId="16872481" w:rsidR="00415C5B" w:rsidRPr="0081178F" w:rsidRDefault="00415C5B" w:rsidP="00415C5B">
      <w:pPr>
        <w:pStyle w:val="TableDescription"/>
      </w:pPr>
      <w:r w:rsidRPr="0081178F">
        <w:t>Abbreviations: AUC</w:t>
      </w:r>
      <w:r w:rsidRPr="0081178F">
        <w:rPr>
          <w:vertAlign w:val="subscript"/>
        </w:rPr>
        <w:t>0-inf</w:t>
      </w:r>
      <w:r w:rsidRPr="0081178F">
        <w:t xml:space="preserve"> = area under the serum concentration time curve from time 0 to infinity; AUC</w:t>
      </w:r>
      <w:r w:rsidRPr="0081178F">
        <w:rPr>
          <w:vertAlign w:val="subscript"/>
        </w:rPr>
        <w:t>0</w:t>
      </w:r>
      <w:r w:rsidR="007E0875" w:rsidRPr="0081178F">
        <w:rPr>
          <w:vertAlign w:val="subscript"/>
        </w:rPr>
        <w:noBreakHyphen/>
      </w:r>
      <w:r w:rsidRPr="0081178F">
        <w:rPr>
          <w:vertAlign w:val="subscript"/>
        </w:rPr>
        <w:t>last</w:t>
      </w:r>
      <w:r w:rsidR="007E0875" w:rsidRPr="0081178F">
        <w:t> </w:t>
      </w:r>
      <w:r w:rsidRPr="0081178F">
        <w:t xml:space="preserve">= area under the serum concentration-time curve from time zero to the last quantifiable concentration; CI = confidence interval; </w:t>
      </w:r>
      <w:proofErr w:type="spellStart"/>
      <w:r w:rsidRPr="0081178F">
        <w:t>C</w:t>
      </w:r>
      <w:r w:rsidRPr="0081178F">
        <w:rPr>
          <w:vertAlign w:val="subscript"/>
        </w:rPr>
        <w:t>max</w:t>
      </w:r>
      <w:proofErr w:type="spellEnd"/>
      <w:r w:rsidRPr="0081178F">
        <w:t xml:space="preserve"> = maximum serum concentration; CT-P17 = </w:t>
      </w:r>
      <w:r w:rsidR="00036539" w:rsidRPr="0081178F">
        <w:t>Yuflyma (</w:t>
      </w:r>
      <w:r w:rsidRPr="0081178F">
        <w:t>adalimumab</w:t>
      </w:r>
      <w:r w:rsidR="00036539" w:rsidRPr="0081178F">
        <w:t>)</w:t>
      </w:r>
      <w:r w:rsidRPr="0081178F">
        <w:t xml:space="preserve">; EU = European Union; </w:t>
      </w:r>
      <w:r w:rsidR="00491F13" w:rsidRPr="0081178F">
        <w:t xml:space="preserve">n = number of subjects in group; </w:t>
      </w:r>
      <w:r w:rsidRPr="0081178F">
        <w:t>LS = least squares; PK</w:t>
      </w:r>
      <w:r w:rsidR="0068568D" w:rsidRPr="0081178F">
        <w:t> </w:t>
      </w:r>
      <w:r w:rsidRPr="0081178F">
        <w:t>=</w:t>
      </w:r>
      <w:r w:rsidR="0068568D" w:rsidRPr="0081178F">
        <w:t> </w:t>
      </w:r>
      <w:r w:rsidRPr="0081178F">
        <w:t>pharmacokinetic; US</w:t>
      </w:r>
      <w:r w:rsidR="007E0875" w:rsidRPr="0081178F">
        <w:t> </w:t>
      </w:r>
      <w:r w:rsidRPr="0081178F">
        <w:t>=</w:t>
      </w:r>
      <w:r w:rsidR="007E0875" w:rsidRPr="0081178F">
        <w:t> </w:t>
      </w:r>
      <w:r w:rsidRPr="0081178F">
        <w:t>United States.</w:t>
      </w:r>
    </w:p>
    <w:p w14:paraId="06ABEADE" w14:textId="17929855" w:rsidR="00415C5B" w:rsidRPr="0081178F" w:rsidRDefault="00415C5B" w:rsidP="00415C5B">
      <w:pPr>
        <w:pStyle w:val="TableDescription"/>
      </w:pPr>
      <w:r w:rsidRPr="0081178F">
        <w:t>An analysis of covariance was performed with the natural log-transformed PK parameters as the dependent variable, treatment as a fixed effect and gender (male or female), Day -1 body weight, and study centre as covariates.</w:t>
      </w:r>
    </w:p>
    <w:p w14:paraId="0EB893A0" w14:textId="6C82AB69" w:rsidR="00415C5B" w:rsidRPr="0081178F" w:rsidRDefault="00415C5B" w:rsidP="00415C5B">
      <w:pPr>
        <w:pStyle w:val="TableDescription"/>
      </w:pPr>
      <w:r w:rsidRPr="0081178F">
        <w:t>AUC</w:t>
      </w:r>
      <w:r w:rsidRPr="0081178F">
        <w:rPr>
          <w:vertAlign w:val="subscript"/>
        </w:rPr>
        <w:t>0-inf</w:t>
      </w:r>
      <w:r w:rsidRPr="0081178F">
        <w:t xml:space="preserve"> values were excluded from the statistical analysis after not meeting one or more of the following </w:t>
      </w:r>
      <w:proofErr w:type="gramStart"/>
      <w:r w:rsidRPr="0081178F">
        <w:t>criteria;</w:t>
      </w:r>
      <w:proofErr w:type="gramEnd"/>
      <w:r w:rsidRPr="0081178F">
        <w:t xml:space="preserve"> an adjusted correlation coefficient r</w:t>
      </w:r>
      <w:r w:rsidRPr="0081178F">
        <w:rPr>
          <w:vertAlign w:val="superscript"/>
        </w:rPr>
        <w:t>2</w:t>
      </w:r>
      <w:r w:rsidRPr="0081178F">
        <w:t xml:space="preserve"> of ≥ 0. 85 and an %</w:t>
      </w:r>
      <w:proofErr w:type="spellStart"/>
      <w:r w:rsidRPr="0081178F">
        <w:t>AUC</w:t>
      </w:r>
      <w:r w:rsidRPr="0081178F">
        <w:rPr>
          <w:vertAlign w:val="subscript"/>
        </w:rPr>
        <w:t>extrap</w:t>
      </w:r>
      <w:proofErr w:type="spellEnd"/>
      <w:r w:rsidRPr="0081178F">
        <w:t xml:space="preserve"> </w:t>
      </w:r>
      <w:r w:rsidR="00491F13" w:rsidRPr="0081178F">
        <w:t>(percentage of the area extrapolated for calculation of AUC</w:t>
      </w:r>
      <w:r w:rsidR="00491F13" w:rsidRPr="0081178F">
        <w:rPr>
          <w:vertAlign w:val="subscript"/>
        </w:rPr>
        <w:t>0-inf</w:t>
      </w:r>
      <w:r w:rsidR="00491F13" w:rsidRPr="0081178F">
        <w:t xml:space="preserve">) </w:t>
      </w:r>
      <w:r w:rsidRPr="0081178F">
        <w:t>≤ 20%.</w:t>
      </w:r>
    </w:p>
    <w:p w14:paraId="79446274" w14:textId="43E22484" w:rsidR="00415C5B" w:rsidRPr="0081178F" w:rsidRDefault="00415C5B" w:rsidP="00415C5B">
      <w:pPr>
        <w:pStyle w:val="TableDescription"/>
        <w:rPr>
          <w:rStyle w:val="Heading6Char"/>
          <w:rFonts w:eastAsia="Cambria"/>
          <w:bCs w:val="0"/>
          <w:i w:val="0"/>
          <w:szCs w:val="19"/>
        </w:rPr>
      </w:pPr>
      <w:r w:rsidRPr="0081178F">
        <w:t>(a) The least squares mean differences and 90% CIs for the differences were exponentiated to provide estimates of the ratio of geometric LS means and 90% CIs for the ratios.</w:t>
      </w:r>
    </w:p>
    <w:p w14:paraId="1D00E90D" w14:textId="01E2D48F" w:rsidR="00DB7C98" w:rsidRPr="0081178F" w:rsidRDefault="00DB7C98" w:rsidP="00C74FE8">
      <w:pPr>
        <w:pStyle w:val="Heading6"/>
      </w:pPr>
      <w:r w:rsidRPr="0081178F">
        <w:rPr>
          <w:rStyle w:val="Heading6Char"/>
          <w:rFonts w:eastAsia="Cambria"/>
          <w:bCs/>
          <w:i/>
        </w:rPr>
        <w:t>Study CT-P17 1.3</w:t>
      </w:r>
    </w:p>
    <w:p w14:paraId="46F95A55" w14:textId="5AB22F23" w:rsidR="00DB7C98" w:rsidRPr="0081178F" w:rsidRDefault="00C74FE8" w:rsidP="00DB7C98">
      <w:r w:rsidRPr="0081178F">
        <w:t xml:space="preserve">Study CT-P17 1.3 </w:t>
      </w:r>
      <w:r w:rsidR="00DB7C98" w:rsidRPr="0081178F">
        <w:t>was a randomised, open</w:t>
      </w:r>
      <w:r w:rsidRPr="0081178F">
        <w:t xml:space="preserve"> </w:t>
      </w:r>
      <w:r w:rsidR="00DB7C98" w:rsidRPr="0081178F">
        <w:t>label, two</w:t>
      </w:r>
      <w:r w:rsidRPr="0081178F">
        <w:t xml:space="preserve"> </w:t>
      </w:r>
      <w:r w:rsidR="00DB7C98" w:rsidRPr="0081178F">
        <w:t>arm, parallel</w:t>
      </w:r>
      <w:r w:rsidRPr="0081178F">
        <w:t xml:space="preserve"> </w:t>
      </w:r>
      <w:r w:rsidR="00DB7C98" w:rsidRPr="0081178F">
        <w:t>group, single</w:t>
      </w:r>
      <w:r w:rsidRPr="0081178F">
        <w:t xml:space="preserve"> </w:t>
      </w:r>
      <w:r w:rsidR="00DB7C98" w:rsidRPr="0081178F">
        <w:t xml:space="preserve">dose study, which was designed to compare the PK and safety of </w:t>
      </w:r>
      <w:r w:rsidR="00036539" w:rsidRPr="0081178F">
        <w:t>Yuflyma</w:t>
      </w:r>
      <w:r w:rsidR="00036539" w:rsidRPr="0081178F" w:rsidDel="00036539">
        <w:t xml:space="preserve"> </w:t>
      </w:r>
      <w:r w:rsidR="00036539" w:rsidRPr="0081178F">
        <w:t xml:space="preserve">via </w:t>
      </w:r>
      <w:r w:rsidR="00DE77BA" w:rsidRPr="0081178F">
        <w:t>subcutaneous</w:t>
      </w:r>
      <w:r w:rsidR="00DB7C98" w:rsidRPr="0081178F">
        <w:t xml:space="preserve"> administration </w:t>
      </w:r>
      <w:r w:rsidR="00036539" w:rsidRPr="0081178F">
        <w:t xml:space="preserve">by </w:t>
      </w:r>
      <w:r w:rsidR="003025D1" w:rsidRPr="0081178F">
        <w:t>auto-injector</w:t>
      </w:r>
      <w:r w:rsidR="00DB7C98" w:rsidRPr="0081178F">
        <w:t xml:space="preserve"> and </w:t>
      </w:r>
      <w:r w:rsidR="003F761E" w:rsidRPr="0081178F">
        <w:t>pre</w:t>
      </w:r>
      <w:r w:rsidR="004C04A3" w:rsidRPr="0081178F">
        <w:t>-</w:t>
      </w:r>
      <w:r w:rsidR="003F761E" w:rsidRPr="0081178F">
        <w:t>filled syringe</w:t>
      </w:r>
      <w:r w:rsidR="00DB7C98" w:rsidRPr="0081178F">
        <w:t xml:space="preserve"> in healthy subjects. 193 subjects were randomised 1:1 to two treatment groups to receive a single 40 mg dose of </w:t>
      </w:r>
      <w:r w:rsidR="00036539" w:rsidRPr="0081178F">
        <w:t>Yuflyma</w:t>
      </w:r>
      <w:r w:rsidR="00036539" w:rsidRPr="0081178F" w:rsidDel="00036539">
        <w:t xml:space="preserve"> </w:t>
      </w:r>
      <w:r w:rsidR="00DB7C98" w:rsidRPr="0081178F">
        <w:t xml:space="preserve">via either </w:t>
      </w:r>
      <w:r w:rsidR="003025D1" w:rsidRPr="0081178F">
        <w:t>auto-injector</w:t>
      </w:r>
      <w:r w:rsidR="00DB7C98" w:rsidRPr="0081178F">
        <w:t xml:space="preserve"> or </w:t>
      </w:r>
      <w:r w:rsidR="003F761E" w:rsidRPr="0081178F">
        <w:t>pre</w:t>
      </w:r>
      <w:r w:rsidR="004C04A3" w:rsidRPr="0081178F">
        <w:t>-</w:t>
      </w:r>
      <w:r w:rsidR="003F761E" w:rsidRPr="0081178F">
        <w:t>filled syringe</w:t>
      </w:r>
      <w:r w:rsidR="00DB7C98" w:rsidRPr="0081178F">
        <w:t xml:space="preserve"> on Day 1, followed by 10 weeks during which PK, safety, and immunogenicity measurements were made. The three primary endpoints of the study were </w:t>
      </w:r>
      <w:r w:rsidR="00302C0B" w:rsidRPr="0081178F">
        <w:t>AUC</w:t>
      </w:r>
      <w:r w:rsidR="00302C0B" w:rsidRPr="0081178F">
        <w:rPr>
          <w:vertAlign w:val="subscript"/>
        </w:rPr>
        <w:t>0-inf</w:t>
      </w:r>
      <w:r w:rsidR="00DB7C98" w:rsidRPr="0081178F">
        <w:t xml:space="preserve">, </w:t>
      </w:r>
      <w:r w:rsidR="00302C0B" w:rsidRPr="0081178F">
        <w:t>AUC</w:t>
      </w:r>
      <w:r w:rsidR="00302C0B" w:rsidRPr="0081178F">
        <w:rPr>
          <w:vertAlign w:val="subscript"/>
        </w:rPr>
        <w:t>0-last</w:t>
      </w:r>
      <w:r w:rsidR="00DB7C98" w:rsidRPr="0081178F">
        <w:t xml:space="preserve">, and </w:t>
      </w:r>
      <w:proofErr w:type="spellStart"/>
      <w:r w:rsidR="00302C0B" w:rsidRPr="0081178F">
        <w:t>C</w:t>
      </w:r>
      <w:r w:rsidR="00302C0B" w:rsidRPr="0081178F">
        <w:rPr>
          <w:vertAlign w:val="subscript"/>
        </w:rPr>
        <w:t>max</w:t>
      </w:r>
      <w:proofErr w:type="spellEnd"/>
      <w:r w:rsidR="00DB7C98" w:rsidRPr="0081178F">
        <w:t>. The PK population consisted of 164 subjects.</w:t>
      </w:r>
    </w:p>
    <w:p w14:paraId="670B5B13" w14:textId="489256EE" w:rsidR="00DB7C98" w:rsidRPr="0081178F" w:rsidRDefault="00DB7C98" w:rsidP="00DB7C98">
      <w:r w:rsidRPr="0081178F">
        <w:t>Statistical analyses for the PK population (</w:t>
      </w:r>
      <w:r w:rsidRPr="0081178F">
        <w:fldChar w:fldCharType="begin"/>
      </w:r>
      <w:r w:rsidRPr="0081178F">
        <w:instrText xml:space="preserve"> REF _Ref87368970 \h  \* MERGEFORMAT </w:instrText>
      </w:r>
      <w:r w:rsidRPr="0081178F">
        <w:fldChar w:fldCharType="separate"/>
      </w:r>
      <w:r w:rsidR="003538E0" w:rsidRPr="0081178F">
        <w:t>Table 5</w:t>
      </w:r>
      <w:r w:rsidRPr="0081178F">
        <w:fldChar w:fldCharType="end"/>
      </w:r>
      <w:r w:rsidRPr="0081178F">
        <w:t xml:space="preserve">), as well as supplementary analyses for all subjects who received a full dose, supported the conclusion of comparable PK for </w:t>
      </w:r>
      <w:r w:rsidR="00036539" w:rsidRPr="0081178F">
        <w:t>Yuflyma</w:t>
      </w:r>
      <w:r w:rsidRPr="0081178F">
        <w:t xml:space="preserve"> administered by </w:t>
      </w:r>
      <w:r w:rsidR="003025D1" w:rsidRPr="0081178F">
        <w:t>auto-injector</w:t>
      </w:r>
      <w:r w:rsidRPr="0081178F">
        <w:t xml:space="preserve"> and by </w:t>
      </w:r>
      <w:r w:rsidR="003F761E" w:rsidRPr="0081178F">
        <w:t>pre</w:t>
      </w:r>
      <w:r w:rsidR="004C04A3" w:rsidRPr="0081178F">
        <w:t>-</w:t>
      </w:r>
      <w:r w:rsidR="003F761E" w:rsidRPr="0081178F">
        <w:t>filled syringe</w:t>
      </w:r>
      <w:r w:rsidRPr="0081178F">
        <w:t>.</w:t>
      </w:r>
    </w:p>
    <w:p w14:paraId="39B1CCD5" w14:textId="75AD836F" w:rsidR="00DB7C98" w:rsidRPr="0081178F" w:rsidRDefault="00DB7C98" w:rsidP="00DB7C98">
      <w:proofErr w:type="gramStart"/>
      <w:r w:rsidRPr="0081178F">
        <w:t>The majority of</w:t>
      </w:r>
      <w:proofErr w:type="gramEnd"/>
      <w:r w:rsidRPr="0081178F">
        <w:t xml:space="preserve"> subjects (82 out of 84 subjects in the </w:t>
      </w:r>
      <w:r w:rsidR="00036539" w:rsidRPr="0081178F">
        <w:t>Yuflyma</w:t>
      </w:r>
      <w:r w:rsidRPr="0081178F">
        <w:t xml:space="preserve"> </w:t>
      </w:r>
      <w:r w:rsidR="003025D1" w:rsidRPr="0081178F">
        <w:t>auto-injector</w:t>
      </w:r>
      <w:r w:rsidRPr="0081178F">
        <w:t xml:space="preserve"> treatment group and 78 out of 80 subjects in the </w:t>
      </w:r>
      <w:r w:rsidR="00DE1DA1" w:rsidRPr="0081178F">
        <w:t xml:space="preserve">Yuflyma </w:t>
      </w:r>
      <w:r w:rsidR="003F761E" w:rsidRPr="0081178F">
        <w:t>pre</w:t>
      </w:r>
      <w:r w:rsidR="004C04A3" w:rsidRPr="0081178F">
        <w:t>-</w:t>
      </w:r>
      <w:r w:rsidR="003F761E" w:rsidRPr="0081178F">
        <w:t>filled syringe</w:t>
      </w:r>
      <w:r w:rsidRPr="0081178F">
        <w:t xml:space="preserve"> treatment group) had at least one ADA positive post-treatment result.</w:t>
      </w:r>
    </w:p>
    <w:p w14:paraId="750BD48D" w14:textId="1814F333" w:rsidR="00DB7C98" w:rsidRPr="0081178F" w:rsidRDefault="00DB7C98" w:rsidP="00B63655">
      <w:pPr>
        <w:pStyle w:val="FigureTitle"/>
      </w:pPr>
      <w:r w:rsidRPr="0081178F">
        <w:t xml:space="preserve">Figure </w:t>
      </w:r>
      <w:r w:rsidR="003420A7">
        <w:fldChar w:fldCharType="begin"/>
      </w:r>
      <w:r w:rsidR="003420A7">
        <w:instrText xml:space="preserve"> SEQ Figure \* ARABIC </w:instrText>
      </w:r>
      <w:r w:rsidR="003420A7">
        <w:fldChar w:fldCharType="separate"/>
      </w:r>
      <w:r w:rsidR="003538E0" w:rsidRPr="0081178F">
        <w:rPr>
          <w:noProof/>
        </w:rPr>
        <w:t>2</w:t>
      </w:r>
      <w:r w:rsidR="003420A7">
        <w:rPr>
          <w:noProof/>
        </w:rPr>
        <w:fldChar w:fldCharType="end"/>
      </w:r>
      <w:r w:rsidR="008A14DB" w:rsidRPr="0081178F">
        <w:t>:</w:t>
      </w:r>
      <w:r w:rsidRPr="0081178F">
        <w:t xml:space="preserve"> Study CT-P17 1.3 Mean </w:t>
      </w:r>
      <w:r w:rsidR="008A14DB" w:rsidRPr="0081178F">
        <w:t>(±</w:t>
      </w:r>
      <w:r w:rsidR="00491F13" w:rsidRPr="0081178F">
        <w:t xml:space="preserve"> </w:t>
      </w:r>
      <w:r w:rsidR="008A14DB" w:rsidRPr="0081178F">
        <w:t>standard deviation) serum adalimumab concentrations (pharmacokinetic population)</w:t>
      </w:r>
    </w:p>
    <w:p w14:paraId="61E628DF" w14:textId="2588BCD4" w:rsidR="00DB7C98" w:rsidRPr="0081178F" w:rsidRDefault="00DB7C98" w:rsidP="00DB7C98">
      <w:pPr>
        <w:rPr>
          <w:rFonts w:asciiTheme="minorHAnsi" w:hAnsiTheme="minorHAnsi"/>
        </w:rPr>
      </w:pPr>
      <w:r w:rsidRPr="0081178F">
        <w:rPr>
          <w:noProof/>
          <w:lang w:val="en-GB" w:eastAsia="en-GB"/>
        </w:rPr>
        <w:drawing>
          <wp:inline distT="0" distB="0" distL="0" distR="0" wp14:anchorId="0E409DB1" wp14:editId="00A69AAB">
            <wp:extent cx="5031671" cy="5835885"/>
            <wp:effectExtent l="0" t="0" r="0" b="0"/>
            <wp:docPr id="20" name="Picture 20" descr="Figure 2: Study CT-P17 1.3 Mean (± standard deviation) serum adalimumab concentrations (pharmacokineti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2: Study CT-P17 1.3 Mean (± standard deviation) serum adalimumab concentrations (pharmacokinetic popul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8266" cy="5843534"/>
                    </a:xfrm>
                    <a:prstGeom prst="rect">
                      <a:avLst/>
                    </a:prstGeom>
                    <a:noFill/>
                    <a:ln>
                      <a:noFill/>
                    </a:ln>
                  </pic:spPr>
                </pic:pic>
              </a:graphicData>
            </a:graphic>
          </wp:inline>
        </w:drawing>
      </w:r>
    </w:p>
    <w:p w14:paraId="0C5CEA52" w14:textId="1C982DC4" w:rsidR="00491F13" w:rsidRPr="0081178F" w:rsidRDefault="006A3642" w:rsidP="00B63655">
      <w:pPr>
        <w:pStyle w:val="FigureDescription"/>
      </w:pPr>
      <w:r w:rsidRPr="0081178F">
        <w:t xml:space="preserve">Abbreviations: </w:t>
      </w:r>
      <w:r w:rsidR="00491F13" w:rsidRPr="0081178F">
        <w:t xml:space="preserve">AI = auto-injector; </w:t>
      </w:r>
      <w:r w:rsidRPr="0081178F">
        <w:t xml:space="preserve">CT-P17 = </w:t>
      </w:r>
      <w:r w:rsidR="0061141E" w:rsidRPr="0081178F">
        <w:t>Yuflyma (</w:t>
      </w:r>
      <w:r w:rsidRPr="0081178F">
        <w:t>adalimumab</w:t>
      </w:r>
      <w:r w:rsidR="000E207C" w:rsidRPr="0081178F">
        <w:t>)</w:t>
      </w:r>
      <w:r w:rsidR="00491F13" w:rsidRPr="0081178F">
        <w:t>; PFS = pre</w:t>
      </w:r>
      <w:r w:rsidR="004C04A3" w:rsidRPr="0081178F">
        <w:t>-</w:t>
      </w:r>
      <w:r w:rsidR="00491F13" w:rsidRPr="0081178F">
        <w:t>filled syringe.</w:t>
      </w:r>
    </w:p>
    <w:p w14:paraId="290263DA" w14:textId="473C01EB" w:rsidR="00DB7C98" w:rsidRPr="0081178F" w:rsidRDefault="00DB7C98" w:rsidP="00AA7BE6">
      <w:pPr>
        <w:pStyle w:val="TableTitle"/>
      </w:pPr>
      <w:bookmarkStart w:id="48" w:name="_Ref87368970"/>
      <w:r w:rsidRPr="0081178F">
        <w:t xml:space="preserve">Table </w:t>
      </w:r>
      <w:r w:rsidR="003420A7">
        <w:fldChar w:fldCharType="begin"/>
      </w:r>
      <w:r w:rsidR="003420A7">
        <w:instrText xml:space="preserve"> SEQ Table \* ARABIC </w:instrText>
      </w:r>
      <w:r w:rsidR="003420A7">
        <w:fldChar w:fldCharType="separate"/>
      </w:r>
      <w:r w:rsidR="003538E0" w:rsidRPr="0081178F">
        <w:rPr>
          <w:noProof/>
        </w:rPr>
        <w:t>5</w:t>
      </w:r>
      <w:r w:rsidR="003420A7">
        <w:rPr>
          <w:noProof/>
        </w:rPr>
        <w:fldChar w:fldCharType="end"/>
      </w:r>
      <w:bookmarkEnd w:id="48"/>
      <w:r w:rsidR="008A14DB" w:rsidRPr="0081178F">
        <w:t>:</w:t>
      </w:r>
      <w:r w:rsidRPr="0081178F">
        <w:t xml:space="preserve"> Study CT-P17 1.3 Statistical </w:t>
      </w:r>
      <w:r w:rsidR="008A14DB" w:rsidRPr="0081178F">
        <w:t>analysis (analysis of covariance) of primary pharmacokinetic parameters (pharmacokinetic population)</w:t>
      </w:r>
    </w:p>
    <w:p w14:paraId="3928C3FA" w14:textId="7F4BEA43" w:rsidR="00B63655" w:rsidRPr="0081178F" w:rsidRDefault="00B63655" w:rsidP="00AA7BE6">
      <w:r w:rsidRPr="0081178F">
        <w:rPr>
          <w:noProof/>
          <w:lang w:val="en-GB" w:eastAsia="en-GB"/>
        </w:rPr>
        <w:drawing>
          <wp:inline distT="0" distB="0" distL="0" distR="0" wp14:anchorId="1E671144" wp14:editId="7E6EDD4D">
            <wp:extent cx="5312228" cy="1559560"/>
            <wp:effectExtent l="0" t="0" r="3175" b="2540"/>
            <wp:docPr id="25" name="Picture 25" descr="Table 5: Study CT-P17 1.3 Statistical analysis (analysis of covariance) of primary pharmacokinetic parameters (pharmacokineti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 5: Study CT-P17 1.3 Statistical analysis (analysis of covariance) of primary pharmacokinetic parameters (pharmacokinetic population)"/>
                    <pic:cNvPicPr/>
                  </pic:nvPicPr>
                  <pic:blipFill>
                    <a:blip r:embed="rId27"/>
                    <a:stretch>
                      <a:fillRect/>
                    </a:stretch>
                  </pic:blipFill>
                  <pic:spPr>
                    <a:xfrm>
                      <a:off x="0" y="0"/>
                      <a:ext cx="5312681" cy="1559693"/>
                    </a:xfrm>
                    <a:prstGeom prst="rect">
                      <a:avLst/>
                    </a:prstGeom>
                  </pic:spPr>
                </pic:pic>
              </a:graphicData>
            </a:graphic>
          </wp:inline>
        </w:drawing>
      </w:r>
    </w:p>
    <w:p w14:paraId="23B02662" w14:textId="15208190" w:rsidR="00AA7BE6" w:rsidRPr="0081178F" w:rsidRDefault="00AA7BE6" w:rsidP="00AA7BE6">
      <w:pPr>
        <w:pStyle w:val="TableDescription"/>
      </w:pPr>
      <w:r w:rsidRPr="0081178F">
        <w:t>Abbreviations: AI = auto-injector; AUC</w:t>
      </w:r>
      <w:r w:rsidRPr="0081178F">
        <w:rPr>
          <w:vertAlign w:val="subscript"/>
        </w:rPr>
        <w:t>0-inf</w:t>
      </w:r>
      <w:r w:rsidRPr="0081178F">
        <w:t xml:space="preserve"> = area under the serum concentration time curve from time zero to infinity; AUC</w:t>
      </w:r>
      <w:r w:rsidRPr="0081178F">
        <w:rPr>
          <w:vertAlign w:val="subscript"/>
        </w:rPr>
        <w:t>0-last</w:t>
      </w:r>
      <w:r w:rsidRPr="0081178F">
        <w:t xml:space="preserve"> = area under the serum concentration time curve from time zero to the last quantifiable concentration; CI = confidence interval; </w:t>
      </w:r>
      <w:proofErr w:type="spellStart"/>
      <w:r w:rsidRPr="0081178F">
        <w:t>C</w:t>
      </w:r>
      <w:r w:rsidRPr="0081178F">
        <w:rPr>
          <w:vertAlign w:val="subscript"/>
        </w:rPr>
        <w:t>max</w:t>
      </w:r>
      <w:proofErr w:type="spellEnd"/>
      <w:r w:rsidRPr="0081178F">
        <w:t xml:space="preserve"> = maximum serum concentration; CT</w:t>
      </w:r>
      <w:r w:rsidR="000E207C" w:rsidRPr="0081178F">
        <w:noBreakHyphen/>
      </w:r>
      <w:r w:rsidRPr="0081178F">
        <w:t>P17</w:t>
      </w:r>
      <w:r w:rsidR="00036539" w:rsidRPr="0081178F">
        <w:t> </w:t>
      </w:r>
      <w:r w:rsidRPr="0081178F">
        <w:t>=</w:t>
      </w:r>
      <w:r w:rsidR="00036539" w:rsidRPr="0081178F">
        <w:t> Yuflyma (</w:t>
      </w:r>
      <w:r w:rsidRPr="0081178F">
        <w:t>adalimumab</w:t>
      </w:r>
      <w:r w:rsidR="00036539" w:rsidRPr="0081178F">
        <w:t>)</w:t>
      </w:r>
      <w:r w:rsidRPr="0081178F">
        <w:t xml:space="preserve">; LSM = least squares </w:t>
      </w:r>
      <w:proofErr w:type="gramStart"/>
      <w:r w:rsidRPr="0081178F">
        <w:t>means</w:t>
      </w:r>
      <w:proofErr w:type="gramEnd"/>
      <w:r w:rsidRPr="0081178F">
        <w:t>; n = the number of subjects with non-zero pharmacokinetic values; PFS = pre</w:t>
      </w:r>
      <w:r w:rsidR="004C04A3" w:rsidRPr="0081178F">
        <w:t>-</w:t>
      </w:r>
      <w:r w:rsidRPr="0081178F">
        <w:t>filled syringe; PK = pharmacokinetic.</w:t>
      </w:r>
    </w:p>
    <w:p w14:paraId="771F0EA1" w14:textId="104154D1" w:rsidR="00AA7BE6" w:rsidRPr="0081178F" w:rsidRDefault="00AA7BE6" w:rsidP="00AA7BE6">
      <w:pPr>
        <w:pStyle w:val="TableDescription"/>
      </w:pPr>
      <w:r w:rsidRPr="0081178F">
        <w:t>An analysis of covariance (ANCOVA) was performed with the natural log-transformed PK parameters as the dependent variable, treatment as a fixed effect and stratification factors (gender (male or female), study centre, and body weight as measured on Day -1) as covariates.</w:t>
      </w:r>
    </w:p>
    <w:p w14:paraId="0E81FC36" w14:textId="60BFAA3E" w:rsidR="00AA7BE6" w:rsidRPr="0081178F" w:rsidRDefault="00AA7BE6" w:rsidP="00AA7BE6">
      <w:pPr>
        <w:pStyle w:val="TableDescription"/>
      </w:pPr>
      <w:r w:rsidRPr="0081178F">
        <w:t>AUC</w:t>
      </w:r>
      <w:r w:rsidRPr="0081178F">
        <w:rPr>
          <w:vertAlign w:val="subscript"/>
        </w:rPr>
        <w:t>0-inf</w:t>
      </w:r>
      <w:r w:rsidRPr="0081178F">
        <w:t xml:space="preserve"> PK parameter values were excluded from the statistical analysis after not meeting one or more of the following </w:t>
      </w:r>
      <w:proofErr w:type="gramStart"/>
      <w:r w:rsidRPr="0081178F">
        <w:t>criteria;</w:t>
      </w:r>
      <w:proofErr w:type="gramEnd"/>
      <w:r w:rsidRPr="0081178F">
        <w:t xml:space="preserve"> terminal elimination rate constant was calculated with an adjusted correlation coefficient r</w:t>
      </w:r>
      <w:r w:rsidRPr="0081178F">
        <w:rPr>
          <w:vertAlign w:val="superscript"/>
        </w:rPr>
        <w:t>2</w:t>
      </w:r>
      <w:r w:rsidRPr="0081178F">
        <w:t xml:space="preserve"> of ≥ 0.85 and/or a %</w:t>
      </w:r>
      <w:proofErr w:type="spellStart"/>
      <w:r w:rsidRPr="0081178F">
        <w:t>AUC</w:t>
      </w:r>
      <w:r w:rsidRPr="0081178F">
        <w:rPr>
          <w:vertAlign w:val="subscript"/>
        </w:rPr>
        <w:t>extrap</w:t>
      </w:r>
      <w:proofErr w:type="spellEnd"/>
      <w:r w:rsidRPr="0081178F">
        <w:t xml:space="preserve"> (percentage of the area extrapolated for calculation of AUC</w:t>
      </w:r>
      <w:r w:rsidRPr="0081178F">
        <w:rPr>
          <w:vertAlign w:val="subscript"/>
        </w:rPr>
        <w:t>0</w:t>
      </w:r>
      <w:r w:rsidRPr="0081178F">
        <w:rPr>
          <w:vertAlign w:val="subscript"/>
        </w:rPr>
        <w:noBreakHyphen/>
        <w:t>inf</w:t>
      </w:r>
      <w:r w:rsidRPr="0081178F">
        <w:t>) ≤ 20%.</w:t>
      </w:r>
    </w:p>
    <w:p w14:paraId="3E51C79D" w14:textId="0FB5FB8C" w:rsidR="00AA7BE6" w:rsidRPr="0081178F" w:rsidRDefault="00AA7BE6" w:rsidP="00AA7BE6">
      <w:pPr>
        <w:pStyle w:val="TableDescription"/>
      </w:pPr>
      <w:r w:rsidRPr="0081178F">
        <w:t>(a) The LSM differences and 90% CIs for the differences were exponentiated to provide estimates of the ratio of geometric LSM (</w:t>
      </w:r>
      <w:r w:rsidR="000E207C" w:rsidRPr="0081178F">
        <w:t xml:space="preserve">Yuflyma </w:t>
      </w:r>
      <w:r w:rsidRPr="0081178F">
        <w:t>AI/</w:t>
      </w:r>
      <w:r w:rsidR="000E207C" w:rsidRPr="0081178F">
        <w:t xml:space="preserve">Yuflyma </w:t>
      </w:r>
      <w:r w:rsidRPr="0081178F">
        <w:t>PFS) and 90% CIs for the ratios.</w:t>
      </w:r>
    </w:p>
    <w:p w14:paraId="742FE8BF" w14:textId="77777777" w:rsidR="00DB7C98" w:rsidRPr="0081178F" w:rsidRDefault="00DB7C98" w:rsidP="00DB7C98">
      <w:pPr>
        <w:pStyle w:val="Heading6"/>
      </w:pPr>
      <w:r w:rsidRPr="0081178F">
        <w:t>Study CT-P17 3.1</w:t>
      </w:r>
    </w:p>
    <w:p w14:paraId="6D00D9E0" w14:textId="1B171E1F" w:rsidR="00DB7C98" w:rsidRPr="0081178F" w:rsidRDefault="00F73D8A" w:rsidP="00DB7C98">
      <w:r w:rsidRPr="0081178F">
        <w:t xml:space="preserve">Study CT-P17 3.1 </w:t>
      </w:r>
      <w:r w:rsidR="00DB7C98" w:rsidRPr="0081178F">
        <w:t>was a randomised, double</w:t>
      </w:r>
      <w:r w:rsidR="00302C0B" w:rsidRPr="0081178F">
        <w:t xml:space="preserve"> </w:t>
      </w:r>
      <w:r w:rsidR="00DB7C98" w:rsidRPr="0081178F">
        <w:t>blind, study designed to evaluate efficacy and safety of multiple single</w:t>
      </w:r>
      <w:r w:rsidRPr="0081178F">
        <w:t xml:space="preserve"> </w:t>
      </w:r>
      <w:r w:rsidR="00DB7C98" w:rsidRPr="0081178F">
        <w:t xml:space="preserve">doses (40 mg every 2 weeks) of either </w:t>
      </w:r>
      <w:r w:rsidR="00036539" w:rsidRPr="0081178F">
        <w:t>Yuflyma</w:t>
      </w:r>
      <w:r w:rsidR="00DB7C98" w:rsidRPr="0081178F">
        <w:t xml:space="preserve"> or EU-</w:t>
      </w:r>
      <w:r w:rsidR="0046156D" w:rsidRPr="0081178F">
        <w:t xml:space="preserve">approved </w:t>
      </w:r>
      <w:r w:rsidR="003025D1" w:rsidRPr="0081178F">
        <w:t>Humira</w:t>
      </w:r>
      <w:r w:rsidR="00DB7C98" w:rsidRPr="0081178F">
        <w:t xml:space="preserve"> administered by </w:t>
      </w:r>
      <w:r w:rsidR="00DE77BA" w:rsidRPr="0081178F">
        <w:t>subcutaneous</w:t>
      </w:r>
      <w:r w:rsidR="00DB7C98" w:rsidRPr="0081178F">
        <w:t xml:space="preserve"> injection via </w:t>
      </w:r>
      <w:r w:rsidR="003F761E" w:rsidRPr="0081178F">
        <w:t>pre</w:t>
      </w:r>
      <w:r w:rsidR="004C04A3" w:rsidRPr="0081178F">
        <w:t>-</w:t>
      </w:r>
      <w:r w:rsidR="003F761E" w:rsidRPr="0081178F">
        <w:t>filled syringe</w:t>
      </w:r>
      <w:r w:rsidR="00DB7C98" w:rsidRPr="0081178F">
        <w:t xml:space="preserve"> in combination with </w:t>
      </w:r>
      <w:r w:rsidR="00302C0B" w:rsidRPr="0081178F">
        <w:t>methotrexate</w:t>
      </w:r>
      <w:r w:rsidR="00DB7C98" w:rsidRPr="0081178F">
        <w:t xml:space="preserve"> in patients with moderate to severe active </w:t>
      </w:r>
      <w:r w:rsidR="005E11DA" w:rsidRPr="0081178F">
        <w:t>rheumatoid arthritis</w:t>
      </w:r>
      <w:r w:rsidR="00DB7C98" w:rsidRPr="0081178F">
        <w:t xml:space="preserve">. Serum adalimumab trough </w:t>
      </w:r>
      <w:r w:rsidR="001128D2" w:rsidRPr="0081178F">
        <w:t>concentrations</w:t>
      </w:r>
      <w:r w:rsidR="00DB7C98" w:rsidRPr="0081178F">
        <w:t xml:space="preserve"> (</w:t>
      </w:r>
      <w:proofErr w:type="spellStart"/>
      <w:r w:rsidR="00DB7C98" w:rsidRPr="0081178F">
        <w:t>C</w:t>
      </w:r>
      <w:r w:rsidR="00DB7C98" w:rsidRPr="0081178F">
        <w:rPr>
          <w:vertAlign w:val="subscript"/>
        </w:rPr>
        <w:t>trough</w:t>
      </w:r>
      <w:proofErr w:type="spellEnd"/>
      <w:r w:rsidR="00DB7C98" w:rsidRPr="0081178F">
        <w:t xml:space="preserve">) were measured as a secondary endpoint. The PK population consisted of all patients who received at least one full dose of either of the study drugs and had at least </w:t>
      </w:r>
      <w:r w:rsidRPr="0081178F">
        <w:t>one</w:t>
      </w:r>
      <w:r w:rsidR="00DB7C98" w:rsidRPr="0081178F">
        <w:t xml:space="preserve"> post-treatment adalimumab concentration data.</w:t>
      </w:r>
    </w:p>
    <w:p w14:paraId="121930A7" w14:textId="6E816560" w:rsidR="00DB7C98" w:rsidRPr="0081178F" w:rsidRDefault="00DB7C98" w:rsidP="00DB7C98">
      <w:r w:rsidRPr="0081178F">
        <w:t xml:space="preserve">The mean </w:t>
      </w:r>
      <w:proofErr w:type="spellStart"/>
      <w:r w:rsidRPr="0081178F">
        <w:t>C</w:t>
      </w:r>
      <w:r w:rsidRPr="0081178F">
        <w:rPr>
          <w:vertAlign w:val="subscript"/>
        </w:rPr>
        <w:t>trough</w:t>
      </w:r>
      <w:proofErr w:type="spellEnd"/>
      <w:r w:rsidRPr="0081178F">
        <w:t xml:space="preserve"> of adalimumab for both treatment groups in the PK population and by ADA status increased following the first doses and appeared to reach the plateau before </w:t>
      </w:r>
      <w:r w:rsidR="00F73D8A" w:rsidRPr="0081178F">
        <w:t xml:space="preserve">Week </w:t>
      </w:r>
      <w:r w:rsidRPr="0081178F">
        <w:t xml:space="preserve">22 </w:t>
      </w:r>
      <w:r w:rsidR="003538E0" w:rsidRPr="0081178F">
        <w:t>(</w:t>
      </w:r>
      <w:r w:rsidR="003538E0" w:rsidRPr="0081178F">
        <w:fldChar w:fldCharType="begin"/>
      </w:r>
      <w:r w:rsidR="003538E0" w:rsidRPr="0081178F">
        <w:instrText xml:space="preserve"> REF _Ref117858872 \h </w:instrText>
      </w:r>
      <w:r w:rsidR="0081178F">
        <w:instrText xml:space="preserve"> \* MERGEFORMAT </w:instrText>
      </w:r>
      <w:r w:rsidR="003538E0" w:rsidRPr="0081178F">
        <w:fldChar w:fldCharType="separate"/>
      </w:r>
      <w:r w:rsidR="003538E0" w:rsidRPr="0081178F">
        <w:t xml:space="preserve">Figure </w:t>
      </w:r>
      <w:r w:rsidR="003538E0" w:rsidRPr="0081178F">
        <w:rPr>
          <w:noProof/>
        </w:rPr>
        <w:t>3</w:t>
      </w:r>
      <w:r w:rsidR="003538E0" w:rsidRPr="0081178F">
        <w:fldChar w:fldCharType="end"/>
      </w:r>
      <w:r w:rsidR="003538E0" w:rsidRPr="0081178F">
        <w:t>)</w:t>
      </w:r>
      <w:r w:rsidRPr="0081178F">
        <w:t xml:space="preserve">. The mean </w:t>
      </w:r>
      <w:proofErr w:type="spellStart"/>
      <w:r w:rsidR="00F73D8A" w:rsidRPr="0081178F">
        <w:t>C</w:t>
      </w:r>
      <w:r w:rsidR="00F73D8A" w:rsidRPr="0081178F">
        <w:rPr>
          <w:vertAlign w:val="subscript"/>
        </w:rPr>
        <w:t>trough</w:t>
      </w:r>
      <w:proofErr w:type="spellEnd"/>
      <w:r w:rsidR="00F73D8A" w:rsidRPr="0081178F">
        <w:t xml:space="preserve"> </w:t>
      </w:r>
      <w:r w:rsidRPr="0081178F">
        <w:t xml:space="preserve">of adalimumab was slightly (9% to 13%) higher in the </w:t>
      </w:r>
      <w:r w:rsidR="00036539" w:rsidRPr="0081178F">
        <w:t>Yuflyma</w:t>
      </w:r>
      <w:r w:rsidRPr="0081178F">
        <w:t xml:space="preserve"> treatment group compared with the </w:t>
      </w:r>
      <w:r w:rsidR="003025D1" w:rsidRPr="0081178F">
        <w:t>Humira</w:t>
      </w:r>
      <w:r w:rsidRPr="0081178F">
        <w:t xml:space="preserve"> treatment group. Adalimumab concentrations were lower in the ADA positive subgroup than the ADA negative subgroup in both treatment groups. </w:t>
      </w:r>
      <w:proofErr w:type="spellStart"/>
      <w:r w:rsidR="00F73D8A" w:rsidRPr="0081178F">
        <w:t>C</w:t>
      </w:r>
      <w:r w:rsidR="00F73D8A" w:rsidRPr="0081178F">
        <w:rPr>
          <w:vertAlign w:val="subscript"/>
        </w:rPr>
        <w:t>trough</w:t>
      </w:r>
      <w:proofErr w:type="spellEnd"/>
      <w:r w:rsidRPr="0081178F">
        <w:t xml:space="preserve"> tended to be lower in patients with higher ADA titre.</w:t>
      </w:r>
      <w:bookmarkStart w:id="49" w:name="_Ref87369396"/>
    </w:p>
    <w:p w14:paraId="5F5B3926" w14:textId="3CBD1D09" w:rsidR="00DB7C98" w:rsidRPr="0081178F" w:rsidRDefault="00DB7C98" w:rsidP="008A14DB">
      <w:pPr>
        <w:pStyle w:val="FigureTitle"/>
      </w:pPr>
      <w:bookmarkStart w:id="50" w:name="_Ref117858872"/>
      <w:r w:rsidRPr="0081178F">
        <w:t xml:space="preserve">Figure </w:t>
      </w:r>
      <w:r w:rsidR="003420A7">
        <w:fldChar w:fldCharType="begin"/>
      </w:r>
      <w:r w:rsidR="003420A7">
        <w:instrText xml:space="preserve"> SEQ Figure \* ARABIC </w:instrText>
      </w:r>
      <w:r w:rsidR="003420A7">
        <w:fldChar w:fldCharType="separate"/>
      </w:r>
      <w:r w:rsidR="003538E0" w:rsidRPr="0081178F">
        <w:rPr>
          <w:noProof/>
        </w:rPr>
        <w:t>3</w:t>
      </w:r>
      <w:r w:rsidR="003420A7">
        <w:rPr>
          <w:noProof/>
        </w:rPr>
        <w:fldChar w:fldCharType="end"/>
      </w:r>
      <w:bookmarkEnd w:id="49"/>
      <w:bookmarkEnd w:id="50"/>
      <w:r w:rsidR="008A14DB" w:rsidRPr="0081178F">
        <w:rPr>
          <w:noProof/>
        </w:rPr>
        <w:t>:</w:t>
      </w:r>
      <w:r w:rsidRPr="0081178F">
        <w:t xml:space="preserve"> Study CT-P17 3.1 Mean </w:t>
      </w:r>
      <w:r w:rsidR="008A14DB" w:rsidRPr="0081178F">
        <w:t>(±</w:t>
      </w:r>
      <w:r w:rsidR="00491F13" w:rsidRPr="0081178F">
        <w:t xml:space="preserve"> </w:t>
      </w:r>
      <w:r w:rsidR="008A14DB" w:rsidRPr="0081178F">
        <w:t xml:space="preserve">standard deviation) adalimumab trough concentration by treatment and </w:t>
      </w:r>
      <w:r w:rsidR="00C74FE8" w:rsidRPr="0081178F">
        <w:t>anti‐drug antibody</w:t>
      </w:r>
      <w:r w:rsidR="008A14DB" w:rsidRPr="0081178F">
        <w:t xml:space="preserve"> status</w:t>
      </w:r>
      <w:r w:rsidR="0051024E" w:rsidRPr="0081178F">
        <w:t xml:space="preserve"> (</w:t>
      </w:r>
      <w:r w:rsidR="008A14DB" w:rsidRPr="0081178F">
        <w:t>pharmacokinetic population</w:t>
      </w:r>
      <w:r w:rsidR="0051024E" w:rsidRPr="0081178F">
        <w:t>)</w:t>
      </w:r>
    </w:p>
    <w:p w14:paraId="7ED82B83" w14:textId="08886417" w:rsidR="00DB7C98" w:rsidRPr="0081178F" w:rsidRDefault="00DB7C98" w:rsidP="00DB7C98">
      <w:pPr>
        <w:rPr>
          <w:rFonts w:asciiTheme="minorHAnsi" w:hAnsiTheme="minorHAnsi"/>
          <w:szCs w:val="19"/>
        </w:rPr>
      </w:pPr>
      <w:r w:rsidRPr="0081178F">
        <w:rPr>
          <w:noProof/>
          <w:lang w:val="en-GB" w:eastAsia="en-GB"/>
        </w:rPr>
        <w:drawing>
          <wp:inline distT="0" distB="0" distL="0" distR="0" wp14:anchorId="51092F09" wp14:editId="1B6AC914">
            <wp:extent cx="4430485" cy="5097641"/>
            <wp:effectExtent l="0" t="0" r="8255" b="8255"/>
            <wp:docPr id="18" name="Picture 18" descr="Figure 3: Study CT-P17 3.1 Mean (± standard deviation) adalimumab trough concentration by treatment and anti‐drug antibody status (pharmacokineti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3: Study CT-P17 3.1 Mean (± standard deviation) adalimumab trough concentration by treatment and anti‐drug antibody status (pharmacokinetic popul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4606" cy="5102382"/>
                    </a:xfrm>
                    <a:prstGeom prst="rect">
                      <a:avLst/>
                    </a:prstGeom>
                    <a:noFill/>
                    <a:ln>
                      <a:noFill/>
                    </a:ln>
                  </pic:spPr>
                </pic:pic>
              </a:graphicData>
            </a:graphic>
          </wp:inline>
        </w:drawing>
      </w:r>
    </w:p>
    <w:p w14:paraId="73746DFD" w14:textId="0FCD9C54" w:rsidR="006A3642" w:rsidRPr="0081178F" w:rsidRDefault="006A3642" w:rsidP="009B1A02">
      <w:pPr>
        <w:pStyle w:val="FigureDescription"/>
      </w:pPr>
      <w:r w:rsidRPr="0081178F">
        <w:t xml:space="preserve">Abbreviations: </w:t>
      </w:r>
      <w:r w:rsidR="00AA7BE6" w:rsidRPr="0081178F">
        <w:t xml:space="preserve">ADA = anti-drug antibody; </w:t>
      </w:r>
      <w:r w:rsidRPr="0081178F">
        <w:t xml:space="preserve">CT-P17 = </w:t>
      </w:r>
      <w:r w:rsidR="000E207C" w:rsidRPr="0081178F">
        <w:t>Yuflyma (</w:t>
      </w:r>
      <w:r w:rsidRPr="0081178F">
        <w:t>adalimumab</w:t>
      </w:r>
      <w:r w:rsidR="000E207C" w:rsidRPr="0081178F">
        <w:t>)</w:t>
      </w:r>
      <w:r w:rsidR="00AA7BE6" w:rsidRPr="0081178F">
        <w:t>.</w:t>
      </w:r>
    </w:p>
    <w:p w14:paraId="460A4450" w14:textId="77777777" w:rsidR="00DB7C98" w:rsidRPr="0081178F" w:rsidRDefault="00DB7C98" w:rsidP="00DB7C98">
      <w:pPr>
        <w:pStyle w:val="Heading4"/>
      </w:pPr>
      <w:r w:rsidRPr="0081178F">
        <w:t>Efficacy</w:t>
      </w:r>
    </w:p>
    <w:p w14:paraId="12EB977E" w14:textId="77777777" w:rsidR="00DB7C98" w:rsidRPr="0081178F" w:rsidRDefault="00DB7C98" w:rsidP="00DB7C98">
      <w:pPr>
        <w:pStyle w:val="Heading5"/>
      </w:pPr>
      <w:r w:rsidRPr="0081178F">
        <w:t>Study CT-P17 3.1</w:t>
      </w:r>
    </w:p>
    <w:p w14:paraId="731F7BDC" w14:textId="60EB5690" w:rsidR="00DB7C98" w:rsidRPr="0081178F" w:rsidRDefault="00DB7C98" w:rsidP="00DB7C98">
      <w:r w:rsidRPr="0081178F">
        <w:t xml:space="preserve">The main efficacy study, </w:t>
      </w:r>
      <w:r w:rsidR="006430AA" w:rsidRPr="0081178F">
        <w:t xml:space="preserve">Study </w:t>
      </w:r>
      <w:r w:rsidRPr="0081178F">
        <w:t xml:space="preserve">CT-P17 3.1, was a </w:t>
      </w:r>
      <w:r w:rsidR="00302C0B" w:rsidRPr="0081178F">
        <w:t>Phase</w:t>
      </w:r>
      <w:r w:rsidRPr="0081178F">
        <w:t xml:space="preserve"> </w:t>
      </w:r>
      <w:r w:rsidR="00302C0B" w:rsidRPr="0081178F">
        <w:t>III</w:t>
      </w:r>
      <w:r w:rsidRPr="0081178F">
        <w:t>, randomised, active</w:t>
      </w:r>
      <w:r w:rsidR="00F73D8A" w:rsidRPr="0081178F">
        <w:t xml:space="preserve"> </w:t>
      </w:r>
      <w:r w:rsidRPr="0081178F">
        <w:t>controlled, double</w:t>
      </w:r>
      <w:r w:rsidR="00302C0B" w:rsidRPr="0081178F">
        <w:t xml:space="preserve"> </w:t>
      </w:r>
      <w:r w:rsidRPr="0081178F">
        <w:t xml:space="preserve">blind, multicentre study designed to evaluate efficacy, PK, PD, usability, overall </w:t>
      </w:r>
      <w:proofErr w:type="gramStart"/>
      <w:r w:rsidRPr="0081178F">
        <w:t>safety</w:t>
      </w:r>
      <w:proofErr w:type="gramEnd"/>
      <w:r w:rsidRPr="0081178F">
        <w:t xml:space="preserve"> and immunogenicity of multiple single</w:t>
      </w:r>
      <w:r w:rsidR="00F73D8A" w:rsidRPr="0081178F">
        <w:t xml:space="preserve"> </w:t>
      </w:r>
      <w:r w:rsidRPr="0081178F">
        <w:t xml:space="preserve">doses (40 mg) of either </w:t>
      </w:r>
      <w:r w:rsidR="00036539" w:rsidRPr="0081178F">
        <w:t>Yuflyma</w:t>
      </w:r>
      <w:r w:rsidRPr="0081178F">
        <w:t xml:space="preserve"> or EU</w:t>
      </w:r>
      <w:r w:rsidR="00036539" w:rsidRPr="0081178F">
        <w:noBreakHyphen/>
      </w:r>
      <w:r w:rsidR="00545EA3" w:rsidRPr="0081178F">
        <w:t xml:space="preserve">approved </w:t>
      </w:r>
      <w:r w:rsidR="003025D1" w:rsidRPr="0081178F">
        <w:t>Humira</w:t>
      </w:r>
      <w:r w:rsidRPr="0081178F">
        <w:t xml:space="preserve"> administered by </w:t>
      </w:r>
      <w:r w:rsidR="00DE77BA" w:rsidRPr="0081178F">
        <w:t>subcutaneous</w:t>
      </w:r>
      <w:r w:rsidRPr="0081178F">
        <w:t xml:space="preserve"> injection via </w:t>
      </w:r>
      <w:r w:rsidR="003F761E" w:rsidRPr="0081178F">
        <w:t>pre</w:t>
      </w:r>
      <w:r w:rsidR="004C04A3" w:rsidRPr="0081178F">
        <w:t>-</w:t>
      </w:r>
      <w:r w:rsidR="003F761E" w:rsidRPr="0081178F">
        <w:t>filled syringe</w:t>
      </w:r>
      <w:r w:rsidRPr="0081178F">
        <w:t xml:space="preserve"> every other week in combination with </w:t>
      </w:r>
      <w:r w:rsidR="00302C0B" w:rsidRPr="0081178F">
        <w:t>methotrexate</w:t>
      </w:r>
      <w:r w:rsidRPr="0081178F">
        <w:t xml:space="preserve"> in patients with moderate to severe active </w:t>
      </w:r>
      <w:r w:rsidR="005E11DA" w:rsidRPr="0081178F">
        <w:t>rheumatoid arthritis</w:t>
      </w:r>
      <w:r w:rsidRPr="0081178F">
        <w:t>.</w:t>
      </w:r>
    </w:p>
    <w:p w14:paraId="19DFA4E1" w14:textId="2667F008" w:rsidR="00DB7C98" w:rsidRPr="0081178F" w:rsidRDefault="00DB7C98" w:rsidP="00DB7C98">
      <w:r w:rsidRPr="0081178F">
        <w:t xml:space="preserve">The primary objective was to demonstrate that </w:t>
      </w:r>
      <w:r w:rsidR="00036539" w:rsidRPr="0081178F">
        <w:t>Yuflyma</w:t>
      </w:r>
      <w:r w:rsidRPr="0081178F">
        <w:t xml:space="preserve"> is equivalent to EU-</w:t>
      </w:r>
      <w:r w:rsidR="00036539" w:rsidRPr="0081178F">
        <w:t xml:space="preserve">approved </w:t>
      </w:r>
      <w:r w:rsidR="003025D1" w:rsidRPr="0081178F">
        <w:t>Humira</w:t>
      </w:r>
      <w:r w:rsidRPr="0081178F">
        <w:t xml:space="preserve"> in terms of efficacy as determined by clinical response according to the American College of Rheumatology </w:t>
      </w:r>
      <w:r w:rsidR="001C7A0B" w:rsidRPr="0081178F">
        <w:t xml:space="preserve">(ACR) </w:t>
      </w:r>
      <w:r w:rsidRPr="0081178F">
        <w:t>definition of a 20% improvement (ACR20)</w:t>
      </w:r>
      <w:bookmarkStart w:id="51" w:name="_Ref110195064"/>
      <w:r w:rsidR="001C7A0B" w:rsidRPr="0081178F">
        <w:rPr>
          <w:rStyle w:val="FootnoteReference"/>
        </w:rPr>
        <w:footnoteReference w:id="12"/>
      </w:r>
      <w:bookmarkEnd w:id="51"/>
      <w:r w:rsidRPr="0081178F">
        <w:t xml:space="preserve"> at Week</w:t>
      </w:r>
      <w:r w:rsidR="00467FF1" w:rsidRPr="0081178F">
        <w:t> </w:t>
      </w:r>
      <w:r w:rsidRPr="0081178F">
        <w:t>24. The secondary objectives were to evaluate additional efficacy, PK, PD, and overall safety outcomes, including immunogenicity and biomarker data, and device usability (</w:t>
      </w:r>
      <w:r w:rsidR="00036539" w:rsidRPr="0081178F">
        <w:t xml:space="preserve">in centres in </w:t>
      </w:r>
      <w:r w:rsidRPr="0081178F">
        <w:t>Bulgaria and Poland only).</w:t>
      </w:r>
    </w:p>
    <w:p w14:paraId="33C50C41" w14:textId="52358781" w:rsidR="00DB7C98" w:rsidRPr="0081178F" w:rsidRDefault="00DB7C98" w:rsidP="00DB7C98">
      <w:r w:rsidRPr="0081178F">
        <w:t>The study duration was 58 weeks (per</w:t>
      </w:r>
      <w:r w:rsidR="000C4C71" w:rsidRPr="0081178F">
        <w:t>-</w:t>
      </w:r>
      <w:r w:rsidRPr="0081178F">
        <w:t xml:space="preserve">protocol), including </w:t>
      </w:r>
      <w:r w:rsidR="00F73D8A" w:rsidRPr="0081178F">
        <w:t>s</w:t>
      </w:r>
      <w:r w:rsidRPr="0081178F">
        <w:t xml:space="preserve">creening (up to 6 weeks), two </w:t>
      </w:r>
      <w:r w:rsidR="00F73D8A" w:rsidRPr="0081178F">
        <w:t xml:space="preserve">treatment periods from </w:t>
      </w:r>
      <w:r w:rsidRPr="0081178F">
        <w:t>Week 0 to Week 48, and a 4-week off-dose period prior to the end</w:t>
      </w:r>
      <w:r w:rsidR="00F73D8A" w:rsidRPr="0081178F">
        <w:noBreakHyphen/>
      </w:r>
      <w:r w:rsidRPr="0081178F">
        <w:t>of-study visit (</w:t>
      </w:r>
      <w:r w:rsidRPr="0081178F">
        <w:fldChar w:fldCharType="begin"/>
      </w:r>
      <w:r w:rsidRPr="0081178F">
        <w:instrText xml:space="preserve"> REF _Ref87601757 \h  \* MERGEFORMAT </w:instrText>
      </w:r>
      <w:r w:rsidRPr="0081178F">
        <w:fldChar w:fldCharType="separate"/>
      </w:r>
      <w:r w:rsidR="003538E0" w:rsidRPr="0081178F">
        <w:t>Figure 4</w:t>
      </w:r>
      <w:r w:rsidRPr="0081178F">
        <w:fldChar w:fldCharType="end"/>
      </w:r>
      <w:r w:rsidRPr="0081178F">
        <w:t xml:space="preserve">). In Treatment Period I (Week 0 to Week 24), 648 patients were randomised 1:1 to receive either </w:t>
      </w:r>
      <w:r w:rsidR="00036539" w:rsidRPr="0081178F">
        <w:t>Yuflyma</w:t>
      </w:r>
      <w:r w:rsidRPr="0081178F">
        <w:t xml:space="preserve"> (40 mg/0.4 mL) or EU-</w:t>
      </w:r>
      <w:r w:rsidR="007D7DCF" w:rsidRPr="0081178F">
        <w:t xml:space="preserve">approved </w:t>
      </w:r>
      <w:r w:rsidR="003025D1" w:rsidRPr="0081178F">
        <w:t>Humira</w:t>
      </w:r>
      <w:r w:rsidRPr="0081178F">
        <w:t xml:space="preserve"> (40</w:t>
      </w:r>
      <w:r w:rsidR="00F73D8A" w:rsidRPr="0081178F">
        <w:t> </w:t>
      </w:r>
      <w:r w:rsidRPr="0081178F">
        <w:t>mg/0.4</w:t>
      </w:r>
      <w:r w:rsidR="00F73D8A" w:rsidRPr="0081178F">
        <w:t> </w:t>
      </w:r>
      <w:r w:rsidRPr="0081178F">
        <w:t xml:space="preserve">mL) as a </w:t>
      </w:r>
      <w:r w:rsidR="00DE77BA" w:rsidRPr="0081178F">
        <w:t>subcutaneous</w:t>
      </w:r>
      <w:r w:rsidRPr="0081178F">
        <w:t xml:space="preserve"> injection via </w:t>
      </w:r>
      <w:r w:rsidR="003F761E" w:rsidRPr="0081178F">
        <w:t>pre</w:t>
      </w:r>
      <w:r w:rsidR="004C04A3" w:rsidRPr="0081178F">
        <w:t>-</w:t>
      </w:r>
      <w:r w:rsidR="003F761E" w:rsidRPr="0081178F">
        <w:t>filled syringe</w:t>
      </w:r>
      <w:r w:rsidRPr="0081178F">
        <w:t xml:space="preserve"> </w:t>
      </w:r>
      <w:r w:rsidR="00F73D8A" w:rsidRPr="0081178F">
        <w:t>every other week</w:t>
      </w:r>
      <w:r w:rsidRPr="0081178F">
        <w:t xml:space="preserve"> up to Week 24. All patients received </w:t>
      </w:r>
      <w:r w:rsidR="00302C0B" w:rsidRPr="0081178F">
        <w:t>methotrexate</w:t>
      </w:r>
      <w:r w:rsidRPr="0081178F">
        <w:t xml:space="preserve"> (between 12.5 to 25 mg/week, or 10</w:t>
      </w:r>
      <w:r w:rsidR="00036539" w:rsidRPr="0081178F">
        <w:t> </w:t>
      </w:r>
      <w:r w:rsidRPr="0081178F">
        <w:t>mg/week if intolerant to a higher dose), and folic acid (</w:t>
      </w:r>
      <w:r w:rsidR="00F73D8A" w:rsidRPr="0081178F">
        <w:t>≥ </w:t>
      </w:r>
      <w:r w:rsidRPr="0081178F">
        <w:t>5 mg/week, oral dose). In Treatment Period II (after Week 24 to Week 48), there was a second randomisation process prior to dosing at Week 26. Patients who were initially randomly assigned to EU</w:t>
      </w:r>
      <w:r w:rsidR="00F73D8A" w:rsidRPr="0081178F">
        <w:noBreakHyphen/>
      </w:r>
      <w:r w:rsidR="00B15D64" w:rsidRPr="0081178F">
        <w:t xml:space="preserve">approved </w:t>
      </w:r>
      <w:r w:rsidR="003025D1" w:rsidRPr="0081178F">
        <w:t>Humira</w:t>
      </w:r>
      <w:r w:rsidRPr="0081178F">
        <w:t xml:space="preserve"> were randomised 1:1 to either continue EU-</w:t>
      </w:r>
      <w:r w:rsidR="009206DB" w:rsidRPr="0081178F">
        <w:t xml:space="preserve">approved </w:t>
      </w:r>
      <w:r w:rsidR="003025D1" w:rsidRPr="0081178F">
        <w:t>Humira</w:t>
      </w:r>
      <w:r w:rsidRPr="0081178F">
        <w:t xml:space="preserve"> or transition to </w:t>
      </w:r>
      <w:r w:rsidR="00036539" w:rsidRPr="0081178F">
        <w:t>Yuflyma</w:t>
      </w:r>
      <w:r w:rsidRPr="0081178F">
        <w:t xml:space="preserve">. All patients who were initially randomly assigned to </w:t>
      </w:r>
      <w:r w:rsidR="00036539" w:rsidRPr="0081178F">
        <w:t>Yuflyma</w:t>
      </w:r>
      <w:r w:rsidR="00036539" w:rsidRPr="0081178F" w:rsidDel="00036539">
        <w:t xml:space="preserve"> </w:t>
      </w:r>
      <w:r w:rsidRPr="0081178F">
        <w:t xml:space="preserve">continued treatment with </w:t>
      </w:r>
      <w:r w:rsidR="00036539" w:rsidRPr="0081178F">
        <w:t>Yuflyma</w:t>
      </w:r>
      <w:r w:rsidRPr="0081178F">
        <w:t xml:space="preserve">. Participant flow is shown in </w:t>
      </w:r>
      <w:r w:rsidRPr="0081178F">
        <w:fldChar w:fldCharType="begin"/>
      </w:r>
      <w:r w:rsidRPr="0081178F">
        <w:instrText xml:space="preserve"> REF _Ref87430127 \h  \* MERGEFORMAT </w:instrText>
      </w:r>
      <w:r w:rsidRPr="0081178F">
        <w:fldChar w:fldCharType="separate"/>
      </w:r>
      <w:r w:rsidR="003538E0" w:rsidRPr="0081178F">
        <w:t>Figure 5</w:t>
      </w:r>
      <w:r w:rsidRPr="0081178F">
        <w:fldChar w:fldCharType="end"/>
      </w:r>
      <w:r w:rsidRPr="0081178F">
        <w:t>.</w:t>
      </w:r>
    </w:p>
    <w:p w14:paraId="2973DC27" w14:textId="73B5052E" w:rsidR="00DB7C98" w:rsidRPr="0081178F" w:rsidRDefault="00DB7C98" w:rsidP="00E364C3">
      <w:pPr>
        <w:pStyle w:val="FigureTitle"/>
      </w:pPr>
      <w:bookmarkStart w:id="52" w:name="_Ref87601757"/>
      <w:r w:rsidRPr="0081178F">
        <w:t xml:space="preserve">Figure </w:t>
      </w:r>
      <w:r w:rsidR="003420A7">
        <w:fldChar w:fldCharType="begin"/>
      </w:r>
      <w:r w:rsidR="003420A7">
        <w:instrText xml:space="preserve"> SEQ Figure \* ARABIC </w:instrText>
      </w:r>
      <w:r w:rsidR="003420A7">
        <w:fldChar w:fldCharType="separate"/>
      </w:r>
      <w:r w:rsidR="003538E0" w:rsidRPr="0081178F">
        <w:rPr>
          <w:noProof/>
        </w:rPr>
        <w:t>4</w:t>
      </w:r>
      <w:r w:rsidR="003420A7">
        <w:rPr>
          <w:noProof/>
        </w:rPr>
        <w:fldChar w:fldCharType="end"/>
      </w:r>
      <w:bookmarkEnd w:id="52"/>
      <w:r w:rsidR="008A14DB" w:rsidRPr="0081178F">
        <w:t>: Study</w:t>
      </w:r>
      <w:r w:rsidRPr="0081178F">
        <w:t xml:space="preserve"> </w:t>
      </w:r>
      <w:r w:rsidR="008A14DB" w:rsidRPr="0081178F">
        <w:t xml:space="preserve">CT-P17 3.1 </w:t>
      </w:r>
      <w:r w:rsidRPr="0081178F">
        <w:t>Overview of study design</w:t>
      </w:r>
    </w:p>
    <w:p w14:paraId="2348A6BE" w14:textId="76DD30AF" w:rsidR="00747F03" w:rsidRPr="0081178F" w:rsidRDefault="00747F03" w:rsidP="00E364C3">
      <w:r w:rsidRPr="0081178F">
        <w:rPr>
          <w:noProof/>
          <w:lang w:val="en-GB" w:eastAsia="en-GB"/>
        </w:rPr>
        <w:drawing>
          <wp:inline distT="0" distB="0" distL="0" distR="0" wp14:anchorId="1EA19579" wp14:editId="34CF35DD">
            <wp:extent cx="5400040" cy="3862070"/>
            <wp:effectExtent l="0" t="0" r="0" b="5080"/>
            <wp:docPr id="26" name="Picture 26" descr="Figure 4: Study CT-P17 3.1 Overview of study design&#10;&#10;Study CT-P17 3.1 is a randomised, active controlled, double blind, Phase III study to compare efficacy and safety of CT-P17 with European Union approved Humira when co-administered with methotrexate in patients with moderate to severe active rheumatoid arthritis.&#10;&#10;Overall, it was planned that approximately 564 patients with moderate to severe active rheumatoid arthritis were to be enrolled in the study.&#10;&#10;Treatment Period I (from Week 0 to Week 24): On Day 1 (Week 0), patients who met all the inclusion criteria and none of the exclusion criteria were to be enrolled in the study and randomly assigned to receive either CT-P17 or EU-approved Humira prior to treatment using a 1:1 allocation ratio (approximately 282 patients per treatment group). Patients were to receive CT-P17 or European Union approved Humira every other week up to Week 24.&#10;&#10;Treatment Period II (after Treatment Period I and prior to end of study visit): Prior to dosing at Week 26, patients in the European Union approved Humira treatment group were to be randomly assigned in a ratio of 1:1 to either continue EU-approved Humira (Cohort 2) or undergo transition to CT-P17 (Cohort 3) from Week 26. All patients who were initially randomly assigned to CT-P17 at Day 1 (Week 0) were to continue their treatment with CT-P17 (Cohort 1) until the end of the study. The second randomisation process was also to be conducted in Cohort 1 prior to dosing at Week 26 to maintain the study bl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4: Study CT-P17 3.1 Overview of study design&#10;&#10;Study CT-P17 3.1 is a randomised, active controlled, double blind, Phase III study to compare efficacy and safety of CT-P17 with European Union approved Humira when co-administered with methotrexate in patients with moderate to severe active rheumatoid arthritis.&#10;&#10;Overall, it was planned that approximately 564 patients with moderate to severe active rheumatoid arthritis were to be enrolled in the study.&#10;&#10;Treatment Period I (from Week 0 to Week 24): On Day 1 (Week 0), patients who met all the inclusion criteria and none of the exclusion criteria were to be enrolled in the study and randomly assigned to receive either CT-P17 or EU-approved Humira prior to treatment using a 1:1 allocation ratio (approximately 282 patients per treatment group). Patients were to receive CT-P17 or European Union approved Humira every other week up to Week 24.&#10;&#10;Treatment Period II (after Treatment Period I and prior to end of study visit): Prior to dosing at Week 26, patients in the European Union approved Humira treatment group were to be randomly assigned in a ratio of 1:1 to either continue EU-approved Humira (Cohort 2) or undergo transition to CT-P17 (Cohort 3) from Week 26. All patients who were initially randomly assigned to CT-P17 at Day 1 (Week 0) were to continue their treatment with CT-P17 (Cohort 1) until the end of the study. The second randomisation process was also to be conducted in Cohort 1 prior to dosing at Week 26 to maintain the study blind."/>
                    <pic:cNvPicPr/>
                  </pic:nvPicPr>
                  <pic:blipFill>
                    <a:blip r:embed="rId29"/>
                    <a:stretch>
                      <a:fillRect/>
                    </a:stretch>
                  </pic:blipFill>
                  <pic:spPr>
                    <a:xfrm>
                      <a:off x="0" y="0"/>
                      <a:ext cx="5400040" cy="3862070"/>
                    </a:xfrm>
                    <a:prstGeom prst="rect">
                      <a:avLst/>
                    </a:prstGeom>
                  </pic:spPr>
                </pic:pic>
              </a:graphicData>
            </a:graphic>
          </wp:inline>
        </w:drawing>
      </w:r>
    </w:p>
    <w:p w14:paraId="5429E49B" w14:textId="17564E33" w:rsidR="00747F03" w:rsidRPr="0081178F" w:rsidRDefault="00747F03" w:rsidP="00E364C3">
      <w:pPr>
        <w:pStyle w:val="FigureDescription"/>
      </w:pPr>
      <w:r w:rsidRPr="0081178F">
        <w:t>Abbreviations: C =</w:t>
      </w:r>
      <w:r w:rsidR="00036539" w:rsidRPr="0081178F">
        <w:t xml:space="preserve"> </w:t>
      </w:r>
      <w:r w:rsidRPr="0081178F">
        <w:t>CT-P17</w:t>
      </w:r>
      <w:r w:rsidR="00092B9B" w:rsidRPr="0081178F">
        <w:t>;</w:t>
      </w:r>
      <w:r w:rsidR="00036539" w:rsidRPr="0081178F">
        <w:t xml:space="preserve"> </w:t>
      </w:r>
      <w:r w:rsidR="00092B9B" w:rsidRPr="0081178F">
        <w:t xml:space="preserve">CT-P17 = </w:t>
      </w:r>
      <w:r w:rsidR="00036539" w:rsidRPr="0081178F">
        <w:t>Yuflyma (adalimumab)</w:t>
      </w:r>
      <w:r w:rsidRPr="0081178F">
        <w:t>; EOS = end-of-study; H = Humira; N = number of patients; PD = pharmacodynamics; PK = pharmacokinetics; SC = subcutaneous.</w:t>
      </w:r>
    </w:p>
    <w:p w14:paraId="193088F1" w14:textId="6F9131C9" w:rsidR="00747F03" w:rsidRPr="0081178F" w:rsidRDefault="00747F03" w:rsidP="00E364C3">
      <w:pPr>
        <w:pStyle w:val="FigureDescription"/>
      </w:pPr>
      <w:r w:rsidRPr="0081178F">
        <w:t xml:space="preserve">* Prior to dosing at Week 26, all patients underwent the second randomisation process. Patients who were initially randomly assigned to European Union (EU)-approved Humira were randomised again in a ratio of 1:1 to either continue EU-approved Humira or undergo transition to </w:t>
      </w:r>
      <w:r w:rsidR="00036539" w:rsidRPr="0081178F">
        <w:t>Yuflyma</w:t>
      </w:r>
      <w:r w:rsidRPr="0081178F">
        <w:t xml:space="preserve">. All patients who were initially randomly assigned to </w:t>
      </w:r>
      <w:r w:rsidR="00036539" w:rsidRPr="0081178F">
        <w:t>Yuflyma</w:t>
      </w:r>
      <w:r w:rsidR="00036539" w:rsidRPr="0081178F" w:rsidDel="00036539">
        <w:t xml:space="preserve"> </w:t>
      </w:r>
      <w:r w:rsidRPr="0081178F">
        <w:t xml:space="preserve">at Day 1 (Week 0) continued their treatment with </w:t>
      </w:r>
      <w:r w:rsidR="00036539" w:rsidRPr="0081178F">
        <w:t>Yuflyma</w:t>
      </w:r>
      <w:r w:rsidRPr="0081178F">
        <w:t>. Patients who were randomi</w:t>
      </w:r>
      <w:r w:rsidR="007151F3" w:rsidRPr="0081178F">
        <w:t>s</w:t>
      </w:r>
      <w:r w:rsidRPr="0081178F">
        <w:t xml:space="preserve">ed to </w:t>
      </w:r>
      <w:r w:rsidR="00036539" w:rsidRPr="0081178F">
        <w:t>Yuflyma</w:t>
      </w:r>
      <w:r w:rsidR="00036539" w:rsidRPr="0081178F" w:rsidDel="00036539">
        <w:t xml:space="preserve"> </w:t>
      </w:r>
      <w:r w:rsidRPr="0081178F">
        <w:t>or EU-approved Humira received assigned study drug every other week from Week 26 and thereafter up to Week 48. Only the study centre visit is presented in this figure.</w:t>
      </w:r>
    </w:p>
    <w:p w14:paraId="5CD18308" w14:textId="5990160B" w:rsidR="00DB7C98" w:rsidRPr="0081178F" w:rsidRDefault="00DB7C98" w:rsidP="00E364C3">
      <w:pPr>
        <w:pStyle w:val="FigureDescription"/>
      </w:pPr>
      <w:r w:rsidRPr="0081178F">
        <w:t>1</w:t>
      </w:r>
      <w:r w:rsidR="0068568D" w:rsidRPr="0081178F">
        <w:t>.</w:t>
      </w:r>
      <w:r w:rsidRPr="0081178F">
        <w:t xml:space="preserve"> An </w:t>
      </w:r>
      <w:r w:rsidR="00036539" w:rsidRPr="0081178F">
        <w:t xml:space="preserve">end of study </w:t>
      </w:r>
      <w:r w:rsidRPr="0081178F">
        <w:t xml:space="preserve">visit occurred at Week 52 for all patients who completed or discontinued study treatment. The patients who discontinued early from the study treatment also visited the study centre until Week 52 by regular scheduled time interval for efficacy and safety assessments, even if they initiated </w:t>
      </w:r>
      <w:r w:rsidR="005E11DA" w:rsidRPr="0081178F">
        <w:t>rheumatoid arthritis</w:t>
      </w:r>
      <w:r w:rsidRPr="0081178F">
        <w:t xml:space="preserve"> medication changes (including those prohibited by the protocol).</w:t>
      </w:r>
    </w:p>
    <w:p w14:paraId="6C9CB2F4" w14:textId="07AA9225" w:rsidR="00DB7C98" w:rsidRPr="0081178F" w:rsidRDefault="00DB7C98" w:rsidP="00E364C3">
      <w:pPr>
        <w:pStyle w:val="FigureDescription"/>
      </w:pPr>
      <w:r w:rsidRPr="0081178F">
        <w:t>2</w:t>
      </w:r>
      <w:r w:rsidR="0068568D" w:rsidRPr="0081178F">
        <w:t>.</w:t>
      </w:r>
      <w:r w:rsidRPr="0081178F">
        <w:t xml:space="preserve"> An independent joint count assessor assigned to each study centre assessed joint counts. If possible, it was recommended that the joint count assessments were performed independently by the same person at each study centre throughout the entire study period.</w:t>
      </w:r>
    </w:p>
    <w:p w14:paraId="528A2DCE" w14:textId="35B5495E" w:rsidR="00DB7C98" w:rsidRPr="0081178F" w:rsidRDefault="00DB7C98" w:rsidP="00E364C3">
      <w:pPr>
        <w:pStyle w:val="FigureDescription"/>
      </w:pPr>
      <w:r w:rsidRPr="0081178F">
        <w:t>3</w:t>
      </w:r>
      <w:r w:rsidR="0068568D" w:rsidRPr="0081178F">
        <w:t>.</w:t>
      </w:r>
      <w:r w:rsidRPr="0081178F">
        <w:t xml:space="preserve"> Usability assessments were performed only for patients who self-injected the study drug (</w:t>
      </w:r>
      <w:r w:rsidR="00036539" w:rsidRPr="0081178F">
        <w:t xml:space="preserve">study centres in </w:t>
      </w:r>
      <w:r w:rsidRPr="0081178F">
        <w:t>Bulgaria and Poland only). For patients who the caregiver or trained study centre staff injected the study drug, usability assessment was unnecessary.</w:t>
      </w:r>
    </w:p>
    <w:p w14:paraId="1A0C18B9" w14:textId="6DBCB761" w:rsidR="00DB7C98" w:rsidRPr="0081178F" w:rsidRDefault="00DB7C98" w:rsidP="00CC279C">
      <w:pPr>
        <w:pStyle w:val="FigureTitle"/>
      </w:pPr>
      <w:bookmarkStart w:id="53" w:name="_Ref87430127"/>
      <w:r w:rsidRPr="0081178F">
        <w:t xml:space="preserve">Figure </w:t>
      </w:r>
      <w:r w:rsidR="003420A7">
        <w:fldChar w:fldCharType="begin"/>
      </w:r>
      <w:r w:rsidR="003420A7">
        <w:instrText xml:space="preserve"> SEQ Figure \* ARABIC </w:instrText>
      </w:r>
      <w:r w:rsidR="003420A7">
        <w:fldChar w:fldCharType="separate"/>
      </w:r>
      <w:r w:rsidR="003538E0" w:rsidRPr="0081178F">
        <w:rPr>
          <w:noProof/>
        </w:rPr>
        <w:t>5</w:t>
      </w:r>
      <w:r w:rsidR="003420A7">
        <w:rPr>
          <w:noProof/>
        </w:rPr>
        <w:fldChar w:fldCharType="end"/>
      </w:r>
      <w:bookmarkEnd w:id="53"/>
      <w:r w:rsidR="008A14DB" w:rsidRPr="0081178F">
        <w:t xml:space="preserve">: Study CT-P17 3.1 </w:t>
      </w:r>
      <w:r w:rsidR="0070048A" w:rsidRPr="0081178F">
        <w:t>Summary of patient disposition</w:t>
      </w:r>
    </w:p>
    <w:p w14:paraId="5D1D1F5D" w14:textId="417D1538" w:rsidR="00DB7C98" w:rsidRPr="0081178F" w:rsidRDefault="0070048A" w:rsidP="0070048A">
      <w:r w:rsidRPr="0081178F">
        <w:rPr>
          <w:noProof/>
          <w:lang w:val="en-GB" w:eastAsia="en-GB"/>
        </w:rPr>
        <w:drawing>
          <wp:inline distT="0" distB="0" distL="0" distR="0" wp14:anchorId="7617A93F" wp14:editId="1566DE5D">
            <wp:extent cx="5400040" cy="4263390"/>
            <wp:effectExtent l="0" t="0" r="0" b="3810"/>
            <wp:docPr id="3" name="Picture 3" descr="Figure 5: Study CT-P17 3.1 Summary of patient disposition&#10;&#10;A total of 800 patients were screened for the study. Of these, 152 patients were excluded from the study due to screening failure; the most frequently reported primary reason for screening failure was inclusion or exclusion criteria not met (126 patients).&#10;&#10;In Treatment Period I, a total of 648 patients were randomly assigned to study drug and initiated the study treatment (324 (100.0%) patients each in the CT-P17 and European Union approved Humira treatment groups).&#10;&#10;Of the 648 patients, 40 (6.2%) patients discontinued the study treatment (21 (6.5%) patients in the CT-P17 treatment group and 19 (5.9%) patients in the European Union approved Humira treatment group) in Treatment Period I. The proportion of patients who discontinued the study treatment was generally similar between the 2 treatment groups. Overall, the most frequently reported primary reason for study treatment discontinuation was withdrawal by patient followed by adverse event (17 (2.6%) patients and 15 (2.3%) patients, respectively).&#10;&#10;In Treatment Period II, 608 patients were randomly assigned to study drug and 607 patients initiated the study treatment in Treatment Period II (303 (100.0%) patients, 153 (100.0%) patients, and 151 (99.3%) patients in the CT-P17 maintenance, Humira maintenance, and switched to CT-P17 groups, respectively). One patient assigned to the switched to CT-P17 group did not initiate study treatment in Treatment Period II due to AE. Of the 607 patients who initiated the study treatment, 577 (94.9%) patients completed the study treatment (287 (94.7%), 147 (96.1%) and 143 (94.1%) patients in the CT-P17 maintenance, Humira maintenance, and switched to CT-P17 groups, respectively).&#10;&#10;The proportion of patients who discontinued the study treatment was generally similar among the 3 treatment groups (16 (5.3%), 6 (3.9%) and 9 (5.9%) patients in the CT-P17 maintenance, Humira maintenance, and switched to CT-P17 groups, respectively). Overall, the most frequently reported primary reason for study treatment discontinuation was withdrawal by patient followed by AE (13 (2.1%) patients and 12 (2.0%) patient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5: Study CT-P17 3.1 Summary of patient disposition&#10;&#10;A total of 800 patients were screened for the study. Of these, 152 patients were excluded from the study due to screening failure; the most frequently reported primary reason for screening failure was inclusion or exclusion criteria not met (126 patients).&#10;&#10;In Treatment Period I, a total of 648 patients were randomly assigned to study drug and initiated the study treatment (324 (100.0%) patients each in the CT-P17 and European Union approved Humira treatment groups).&#10;&#10;Of the 648 patients, 40 (6.2%) patients discontinued the study treatment (21 (6.5%) patients in the CT-P17 treatment group and 19 (5.9%) patients in the European Union approved Humira treatment group) in Treatment Period I. The proportion of patients who discontinued the study treatment was generally similar between the 2 treatment groups. Overall, the most frequently reported primary reason for study treatment discontinuation was withdrawal by patient followed by adverse event (17 (2.6%) patients and 15 (2.3%) patients, respectively).&#10;&#10;In Treatment Period II, 608 patients were randomly assigned to study drug and 607 patients initiated the study treatment in Treatment Period II (303 (100.0%) patients, 153 (100.0%) patients, and 151 (99.3%) patients in the CT-P17 maintenance, Humira maintenance, and switched to CT-P17 groups, respectively). One patient assigned to the switched to CT-P17 group did not initiate study treatment in Treatment Period II due to AE. Of the 607 patients who initiated the study treatment, 577 (94.9%) patients completed the study treatment (287 (94.7%), 147 (96.1%) and 143 (94.1%) patients in the CT-P17 maintenance, Humira maintenance, and switched to CT-P17 groups, respectively).&#10;&#10;The proportion of patients who discontinued the study treatment was generally similar among the 3 treatment groups (16 (5.3%), 6 (3.9%) and 9 (5.9%) patients in the CT-P17 maintenance, Humira maintenance, and switched to CT-P17 groups, respectively). Overall, the most frequently reported primary reason for study treatment discontinuation was withdrawal by patient followed by AE (13 (2.1%) patients and 12 (2.0%) patients, respectively)."/>
                    <pic:cNvPicPr/>
                  </pic:nvPicPr>
                  <pic:blipFill>
                    <a:blip r:embed="rId30"/>
                    <a:stretch>
                      <a:fillRect/>
                    </a:stretch>
                  </pic:blipFill>
                  <pic:spPr>
                    <a:xfrm>
                      <a:off x="0" y="0"/>
                      <a:ext cx="5400040" cy="4263390"/>
                    </a:xfrm>
                    <a:prstGeom prst="rect">
                      <a:avLst/>
                    </a:prstGeom>
                  </pic:spPr>
                </pic:pic>
              </a:graphicData>
            </a:graphic>
          </wp:inline>
        </w:drawing>
      </w:r>
    </w:p>
    <w:p w14:paraId="2FE3C9A2" w14:textId="530E3C9D" w:rsidR="0070048A" w:rsidRPr="0081178F" w:rsidRDefault="0070048A" w:rsidP="0070048A">
      <w:pPr>
        <w:pStyle w:val="FigureDescription"/>
      </w:pPr>
      <w:r w:rsidRPr="0081178F">
        <w:t xml:space="preserve">Abbreviations: CT-P17 = </w:t>
      </w:r>
      <w:r w:rsidR="00036539" w:rsidRPr="0081178F">
        <w:t>Yuflyma (</w:t>
      </w:r>
      <w:r w:rsidRPr="0081178F">
        <w:t>adalimumab</w:t>
      </w:r>
      <w:r w:rsidR="00036539" w:rsidRPr="0081178F">
        <w:t>)</w:t>
      </w:r>
      <w:r w:rsidRPr="0081178F">
        <w:t>; N = number of subjects; n = number of subjects in group.</w:t>
      </w:r>
    </w:p>
    <w:p w14:paraId="7E61591B" w14:textId="3168B10E" w:rsidR="0070048A" w:rsidRPr="0081178F" w:rsidRDefault="0070048A" w:rsidP="0070048A">
      <w:pPr>
        <w:pStyle w:val="FigureDescription"/>
      </w:pPr>
      <w:r w:rsidRPr="0081178F">
        <w:t xml:space="preserve">a Prior to dosing at Week 26, all patients underwent the second randomisation process. Patients who were initially randomly assigned to European Union (EU)-approved Humira were randomised again in a ratio of 1:1 to either continue EU-approved Humira or undergo transition to </w:t>
      </w:r>
      <w:r w:rsidR="00036539" w:rsidRPr="0081178F">
        <w:t>Yuflyma</w:t>
      </w:r>
      <w:r w:rsidRPr="0081178F">
        <w:t xml:space="preserve">. All patients who were initially randomly assigned to </w:t>
      </w:r>
      <w:r w:rsidR="00036539" w:rsidRPr="0081178F">
        <w:t>Yuflyma</w:t>
      </w:r>
      <w:r w:rsidR="00036539" w:rsidRPr="0081178F" w:rsidDel="00036539">
        <w:t xml:space="preserve"> </w:t>
      </w:r>
      <w:r w:rsidRPr="0081178F">
        <w:t xml:space="preserve">at Day 1 (Week 0) continued their treatment with </w:t>
      </w:r>
      <w:r w:rsidR="00036539" w:rsidRPr="0081178F">
        <w:t>Yuflyma</w:t>
      </w:r>
      <w:r w:rsidRPr="0081178F">
        <w:t>.</w:t>
      </w:r>
    </w:p>
    <w:p w14:paraId="45371930" w14:textId="1CC4E97F" w:rsidR="0070048A" w:rsidRPr="0081178F" w:rsidRDefault="0070048A" w:rsidP="0070048A">
      <w:pPr>
        <w:pStyle w:val="FigureDescription"/>
      </w:pPr>
      <w:r w:rsidRPr="0081178F">
        <w:t xml:space="preserve">b </w:t>
      </w:r>
      <w:proofErr w:type="gramStart"/>
      <w:r w:rsidRPr="0081178F">
        <w:t>The</w:t>
      </w:r>
      <w:proofErr w:type="gramEnd"/>
      <w:r w:rsidRPr="0081178F">
        <w:t xml:space="preserve"> numerical difference between patients who discontinued the study treatment due to adverse event (AE) in patient disposition and summary of treatment-emergent adverse event (TEAE) leading to discontinuation is due to the fact that patient disposition’s summary was based on the number of patients discontinued in each treatment period and the summary of TEAE leading to discontinuation was based on the start date of AE.</w:t>
      </w:r>
    </w:p>
    <w:p w14:paraId="4149086E" w14:textId="01FAD3D5" w:rsidR="00DB7C98" w:rsidRPr="0081178F" w:rsidRDefault="00DB7C98" w:rsidP="00DB7C98">
      <w:r w:rsidRPr="0081178F">
        <w:t xml:space="preserve">The study population was representative of </w:t>
      </w:r>
      <w:r w:rsidR="005E11DA" w:rsidRPr="0081178F">
        <w:t>rheumatoid arthritis</w:t>
      </w:r>
      <w:r w:rsidRPr="0081178F">
        <w:t xml:space="preserve"> patients in general, and the treatment groups were well balanced in terms of basic demographic characteristics, disease duration, disease severity and use of concomitant medication.</w:t>
      </w:r>
    </w:p>
    <w:p w14:paraId="29D52F0A" w14:textId="110A62B9" w:rsidR="00DB7C98" w:rsidRPr="0081178F" w:rsidRDefault="00DB7C98" w:rsidP="00DB7C98">
      <w:r w:rsidRPr="0081178F">
        <w:t>The primary efficacy endpoint was the proportion of patients achieving ACR20 response at Week 24 in the intent-to</w:t>
      </w:r>
      <w:r w:rsidR="00F73D8A" w:rsidRPr="0081178F">
        <w:t>-</w:t>
      </w:r>
      <w:r w:rsidRPr="0081178F">
        <w:t>treat (ITT)</w:t>
      </w:r>
      <w:r w:rsidR="00BB1BBA" w:rsidRPr="0081178F">
        <w:rPr>
          <w:rStyle w:val="FootnoteReference"/>
        </w:rPr>
        <w:footnoteReference w:id="13"/>
      </w:r>
      <w:r w:rsidRPr="0081178F">
        <w:t xml:space="preserve"> population. Equivalence was defined as a 95% </w:t>
      </w:r>
      <w:r w:rsidR="001128D2" w:rsidRPr="0081178F">
        <w:t>confidence interval (</w:t>
      </w:r>
      <w:r w:rsidRPr="0081178F">
        <w:t>CI</w:t>
      </w:r>
      <w:r w:rsidR="001128D2" w:rsidRPr="0081178F">
        <w:t>)</w:t>
      </w:r>
      <w:r w:rsidRPr="0081178F">
        <w:t xml:space="preserve"> for the estimate of treatment difference entirely within the predefined equivalence margin of -15% to 15%. The </w:t>
      </w:r>
      <w:r w:rsidR="005E11DA" w:rsidRPr="0081178F">
        <w:t>sponsor</w:t>
      </w:r>
      <w:r w:rsidRPr="0081178F">
        <w:t xml:space="preserve"> provided a justification for this equivalence margin based on a meta-analysis of two global studies.</w:t>
      </w:r>
      <w:r w:rsidR="00F73D8A" w:rsidRPr="0081178F">
        <w:rPr>
          <w:rStyle w:val="FootnoteReference"/>
        </w:rPr>
        <w:footnoteReference w:id="14"/>
      </w:r>
      <w:r w:rsidR="00C81C0E" w:rsidRPr="0081178F">
        <w:rPr>
          <w:vertAlign w:val="superscript"/>
        </w:rPr>
        <w:t>,</w:t>
      </w:r>
      <w:r w:rsidR="00C81C0E" w:rsidRPr="0081178F">
        <w:rPr>
          <w:rStyle w:val="FootnoteReference"/>
        </w:rPr>
        <w:footnoteReference w:id="15"/>
      </w:r>
      <w:r w:rsidRPr="0081178F">
        <w:t xml:space="preserve"> The evaluation concluded that the predefined equivalence margin of -15% to 15% was statistically justified.</w:t>
      </w:r>
    </w:p>
    <w:p w14:paraId="727A6C9E" w14:textId="4E396151" w:rsidR="00DB7C98" w:rsidRPr="0081178F" w:rsidRDefault="00DB7C98" w:rsidP="00DB7C98">
      <w:r w:rsidRPr="0081178F">
        <w:t>The primary endpoint was met, as the 95% CI for the estimate of treatment difference in ACR20 response was entirely within the predefined equivalence margin of -15% to 15% (</w:t>
      </w:r>
      <w:r w:rsidR="00036539" w:rsidRPr="0081178F">
        <w:t xml:space="preserve">see </w:t>
      </w:r>
      <w:r w:rsidRPr="0081178F">
        <w:fldChar w:fldCharType="begin"/>
      </w:r>
      <w:r w:rsidRPr="0081178F">
        <w:instrText xml:space="preserve"> REF _Ref87431826 \h  \* MERGEFORMAT </w:instrText>
      </w:r>
      <w:r w:rsidRPr="0081178F">
        <w:fldChar w:fldCharType="separate"/>
      </w:r>
      <w:r w:rsidR="003538E0" w:rsidRPr="0081178F">
        <w:t>Table 6</w:t>
      </w:r>
      <w:r w:rsidRPr="0081178F">
        <w:fldChar w:fldCharType="end"/>
      </w:r>
      <w:r w:rsidRPr="0081178F">
        <w:t xml:space="preserve">). Analysis of ACR20 response in the </w:t>
      </w:r>
      <w:r w:rsidR="00F73D8A" w:rsidRPr="0081178F">
        <w:t>per-protocol (</w:t>
      </w:r>
      <w:r w:rsidRPr="0081178F">
        <w:t>PP</w:t>
      </w:r>
      <w:r w:rsidR="00F73D8A" w:rsidRPr="0081178F">
        <w:t>)</w:t>
      </w:r>
      <w:r w:rsidR="00BB1BBA" w:rsidRPr="0081178F">
        <w:rPr>
          <w:rStyle w:val="FootnoteReference"/>
        </w:rPr>
        <w:footnoteReference w:id="16"/>
      </w:r>
      <w:r w:rsidRPr="0081178F">
        <w:t xml:space="preserve"> population produced a similar finding, as did sensitivity analyses based on country and disease activity. Additional analyses of the treatment difference in ACR20 response at Week 12 for the ITT and PP population stratified by disease activity, country, geographical region, ADA status, age, </w:t>
      </w:r>
      <w:proofErr w:type="gramStart"/>
      <w:r w:rsidRPr="0081178F">
        <w:t>sex</w:t>
      </w:r>
      <w:proofErr w:type="gramEnd"/>
      <w:r w:rsidRPr="0081178F">
        <w:t xml:space="preserve"> and </w:t>
      </w:r>
      <w:r w:rsidR="00F73D8A" w:rsidRPr="0081178F">
        <w:t>body mass index</w:t>
      </w:r>
      <w:r w:rsidRPr="0081178F">
        <w:t xml:space="preserve"> were also supportive of the primary endpoint.</w:t>
      </w:r>
    </w:p>
    <w:p w14:paraId="5DA5EF5E" w14:textId="3720608A" w:rsidR="00DB7C98" w:rsidRPr="0081178F" w:rsidRDefault="00DB7C98" w:rsidP="0051024E">
      <w:pPr>
        <w:pStyle w:val="TableTitle"/>
      </w:pPr>
      <w:bookmarkStart w:id="54" w:name="_Ref87431826"/>
      <w:r w:rsidRPr="0081178F">
        <w:t xml:space="preserve">Table </w:t>
      </w:r>
      <w:r w:rsidR="003420A7">
        <w:fldChar w:fldCharType="begin"/>
      </w:r>
      <w:r w:rsidR="003420A7">
        <w:instrText xml:space="preserve"> SEQ Table \* ARABIC </w:instrText>
      </w:r>
      <w:r w:rsidR="003420A7">
        <w:fldChar w:fldCharType="separate"/>
      </w:r>
      <w:r w:rsidR="003538E0" w:rsidRPr="0081178F">
        <w:rPr>
          <w:noProof/>
        </w:rPr>
        <w:t>6</w:t>
      </w:r>
      <w:r w:rsidR="003420A7">
        <w:rPr>
          <w:noProof/>
        </w:rPr>
        <w:fldChar w:fldCharType="end"/>
      </w:r>
      <w:bookmarkEnd w:id="54"/>
      <w:r w:rsidR="008A14DB" w:rsidRPr="0081178F">
        <w:t>:</w:t>
      </w:r>
      <w:r w:rsidRPr="0081178F">
        <w:t xml:space="preserve"> </w:t>
      </w:r>
      <w:r w:rsidR="0051024E" w:rsidRPr="0081178F">
        <w:t xml:space="preserve">Study CT-P17 3.1 </w:t>
      </w:r>
      <w:r w:rsidRPr="0081178F">
        <w:t xml:space="preserve">Proportion </w:t>
      </w:r>
      <w:r w:rsidR="008A14DB" w:rsidRPr="0081178F">
        <w:t xml:space="preserve">of patients achieving </w:t>
      </w:r>
      <w:r w:rsidR="0051024E" w:rsidRPr="0081178F">
        <w:t>response according to American College of Rheumatology </w:t>
      </w:r>
      <w:r w:rsidRPr="0081178F">
        <w:t xml:space="preserve">20 </w:t>
      </w:r>
      <w:r w:rsidR="0051024E" w:rsidRPr="0081178F">
        <w:t xml:space="preserve">criteria </w:t>
      </w:r>
      <w:r w:rsidRPr="0081178F">
        <w:t>at Week 24</w:t>
      </w:r>
      <w:r w:rsidR="0051024E" w:rsidRPr="0081178F">
        <w:t xml:space="preserve"> (intention-to-treat and per-protocol populations)</w:t>
      </w:r>
    </w:p>
    <w:p w14:paraId="41DCE0A9" w14:textId="1B484CF2" w:rsidR="00DB7C98" w:rsidRPr="0081178F" w:rsidRDefault="00DB7C98" w:rsidP="0051024E">
      <w:r w:rsidRPr="0081178F">
        <w:rPr>
          <w:noProof/>
          <w:lang w:val="en-GB" w:eastAsia="en-GB"/>
        </w:rPr>
        <w:drawing>
          <wp:inline distT="0" distB="0" distL="0" distR="0" wp14:anchorId="4827D774" wp14:editId="0FA37794">
            <wp:extent cx="5197928" cy="1701165"/>
            <wp:effectExtent l="0" t="0" r="3175" b="0"/>
            <wp:docPr id="15" name="Picture 15" descr="Table 6: Study CT-P17 3.1 Proportion of patients achieving response according to American College of Rheumatology 20 criteria at Week 24 (intention-to-treat and per-protocol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6: Study CT-P17 3.1 Proportion of patients achieving response according to American College of Rheumatology 20 criteria at Week 24 (intention-to-treat and per-protocol populatio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1536" cy="1712164"/>
                    </a:xfrm>
                    <a:prstGeom prst="rect">
                      <a:avLst/>
                    </a:prstGeom>
                    <a:noFill/>
                    <a:ln>
                      <a:noFill/>
                    </a:ln>
                  </pic:spPr>
                </pic:pic>
              </a:graphicData>
            </a:graphic>
          </wp:inline>
        </w:drawing>
      </w:r>
    </w:p>
    <w:p w14:paraId="3FBC8F7E" w14:textId="2F80968A" w:rsidR="006A3642" w:rsidRPr="0081178F" w:rsidRDefault="006A3642" w:rsidP="0051024E">
      <w:pPr>
        <w:pStyle w:val="TableDescription"/>
      </w:pPr>
      <w:r w:rsidRPr="0081178F">
        <w:t>Abbreviations:</w:t>
      </w:r>
      <w:r w:rsidR="0051024E" w:rsidRPr="0081178F">
        <w:t xml:space="preserve"> ACR20 = </w:t>
      </w:r>
      <w:r w:rsidR="00CB4944" w:rsidRPr="0081178F">
        <w:t>American College of Rheumatology criteria 20% improvement</w:t>
      </w:r>
      <w:r w:rsidR="0051024E" w:rsidRPr="0081178F">
        <w:t>; CI = confidence interval;</w:t>
      </w:r>
      <w:r w:rsidRPr="0081178F">
        <w:t xml:space="preserve"> CT-P17 = </w:t>
      </w:r>
      <w:r w:rsidR="00036539" w:rsidRPr="0081178F">
        <w:t>Yuflyma (</w:t>
      </w:r>
      <w:r w:rsidRPr="0081178F">
        <w:t>adalimumab</w:t>
      </w:r>
      <w:r w:rsidR="00036539" w:rsidRPr="0081178F">
        <w:t>)</w:t>
      </w:r>
      <w:r w:rsidR="0051024E" w:rsidRPr="0081178F">
        <w:t>; EU = European Union; ITT = intention-to-treat.</w:t>
      </w:r>
    </w:p>
    <w:p w14:paraId="0B7832AB" w14:textId="356C0EEC" w:rsidR="0051024E" w:rsidRPr="0081178F" w:rsidRDefault="0051024E" w:rsidP="0051024E">
      <w:pPr>
        <w:pStyle w:val="TableDescription"/>
      </w:pPr>
      <w:r w:rsidRPr="0081178F">
        <w:t>Patients who were terminated from the study prior to the week of interest, who continued the study or study treatment but did not visit the site for the evaluation of ACR20 at the week of interest, and with incomplete data for evaluation of ACR20 criteria at the week of interest are considered as non-responder.</w:t>
      </w:r>
    </w:p>
    <w:p w14:paraId="4B31DD23" w14:textId="0B5B6935" w:rsidR="0051024E" w:rsidRPr="0081178F" w:rsidRDefault="0051024E" w:rsidP="0051024E">
      <w:pPr>
        <w:pStyle w:val="TableDescription"/>
      </w:pPr>
      <w:r w:rsidRPr="0081178F">
        <w:t>* Estimate of the difference in proportion and 95% confidence interval between the two treatment groups are estimated using the exact binomial method using a Farrington-Manning score method.</w:t>
      </w:r>
    </w:p>
    <w:p w14:paraId="51A3825E" w14:textId="4EFB9908" w:rsidR="00DB7C98" w:rsidRPr="0081178F" w:rsidRDefault="00DB7C98" w:rsidP="00DB7C98">
      <w:r w:rsidRPr="0081178F">
        <w:t>Secondary efficacy endpoints included ACR20, ACR50, and ACR70</w:t>
      </w:r>
      <w:r w:rsidR="00BB1BBA" w:rsidRPr="0081178F">
        <w:t>;</w:t>
      </w:r>
      <w:r w:rsidR="00BB1BBA" w:rsidRPr="0081178F">
        <w:rPr>
          <w:vertAlign w:val="superscript"/>
        </w:rPr>
        <w:fldChar w:fldCharType="begin"/>
      </w:r>
      <w:r w:rsidR="00BB1BBA" w:rsidRPr="0081178F">
        <w:rPr>
          <w:vertAlign w:val="superscript"/>
        </w:rPr>
        <w:instrText xml:space="preserve"> NOTEREF _Ref110195064 \h  \* MERGEFORMAT </w:instrText>
      </w:r>
      <w:r w:rsidR="00BB1BBA" w:rsidRPr="0081178F">
        <w:rPr>
          <w:vertAlign w:val="superscript"/>
        </w:rPr>
      </w:r>
      <w:r w:rsidR="00BB1BBA" w:rsidRPr="0081178F">
        <w:rPr>
          <w:vertAlign w:val="superscript"/>
        </w:rPr>
        <w:fldChar w:fldCharType="separate"/>
      </w:r>
      <w:r w:rsidR="003538E0" w:rsidRPr="0081178F">
        <w:rPr>
          <w:vertAlign w:val="superscript"/>
        </w:rPr>
        <w:t>12</w:t>
      </w:r>
      <w:r w:rsidR="00BB1BBA" w:rsidRPr="0081178F">
        <w:rPr>
          <w:vertAlign w:val="superscript"/>
        </w:rPr>
        <w:fldChar w:fldCharType="end"/>
      </w:r>
      <w:r w:rsidRPr="0081178F">
        <w:t xml:space="preserve"> responses, individual components of the ACR, hybrid ACR responses, </w:t>
      </w:r>
      <w:r w:rsidR="00BB1BBA" w:rsidRPr="0081178F">
        <w:t>Disease Activity Score 28</w:t>
      </w:r>
      <w:r w:rsidR="005A1CE6" w:rsidRPr="0081178F">
        <w:t>;</w:t>
      </w:r>
      <w:r w:rsidR="005A1CE6" w:rsidRPr="0081178F">
        <w:rPr>
          <w:rStyle w:val="FootnoteReference"/>
        </w:rPr>
        <w:footnoteReference w:id="17"/>
      </w:r>
      <w:r w:rsidR="005A1CE6" w:rsidRPr="0081178F">
        <w:t xml:space="preserve"> </w:t>
      </w:r>
      <w:r w:rsidR="00092808" w:rsidRPr="0081178F">
        <w:t xml:space="preserve">with </w:t>
      </w:r>
      <w:r w:rsidR="00BB1BBA" w:rsidRPr="0081178F">
        <w:t>erythrocyte sedimentation rate</w:t>
      </w:r>
      <w:r w:rsidR="005A1CE6" w:rsidRPr="0081178F">
        <w:t xml:space="preserve"> (DAS28 ESR</w:t>
      </w:r>
      <w:r w:rsidRPr="0081178F">
        <w:t xml:space="preserve">), </w:t>
      </w:r>
      <w:r w:rsidR="00092808" w:rsidRPr="0081178F">
        <w:t xml:space="preserve">DAS28 with </w:t>
      </w:r>
      <w:r w:rsidR="00F73D8A" w:rsidRPr="0081178F">
        <w:t>C-reactive protein</w:t>
      </w:r>
      <w:r w:rsidR="005A1CE6" w:rsidRPr="0081178F">
        <w:t xml:space="preserve"> (DAS28 CRP</w:t>
      </w:r>
      <w:r w:rsidRPr="0081178F">
        <w:t xml:space="preserve">), individual components of DAS28, </w:t>
      </w:r>
      <w:r w:rsidR="00BB1BBA" w:rsidRPr="0081178F">
        <w:t>European League against Rheumatism (</w:t>
      </w:r>
      <w:r w:rsidRPr="0081178F">
        <w:t>EULAR</w:t>
      </w:r>
      <w:r w:rsidR="00BB1BBA" w:rsidRPr="0081178F">
        <w:t>)</w:t>
      </w:r>
      <w:r w:rsidRPr="0081178F">
        <w:t xml:space="preserve"> response,</w:t>
      </w:r>
      <w:r w:rsidR="00BB1BBA" w:rsidRPr="0081178F">
        <w:rPr>
          <w:rStyle w:val="FootnoteReference"/>
        </w:rPr>
        <w:footnoteReference w:id="18"/>
      </w:r>
      <w:r w:rsidRPr="0081178F">
        <w:t xml:space="preserve"> </w:t>
      </w:r>
      <w:r w:rsidR="00BB1BBA" w:rsidRPr="0081178F">
        <w:t>Clinical Disease Activity Index</w:t>
      </w:r>
      <w:r w:rsidRPr="0081178F">
        <w:t xml:space="preserve"> (CDAI), </w:t>
      </w:r>
      <w:r w:rsidR="008049F9" w:rsidRPr="0081178F">
        <w:t>Simplified Disease Activity Index</w:t>
      </w:r>
      <w:r w:rsidRPr="0081178F">
        <w:t xml:space="preserve"> (SDAI), 36-item short form health survey (SF-36),</w:t>
      </w:r>
      <w:r w:rsidR="00BB1BBA" w:rsidRPr="0081178F">
        <w:rPr>
          <w:rStyle w:val="FootnoteReference"/>
        </w:rPr>
        <w:footnoteReference w:id="19"/>
      </w:r>
      <w:r w:rsidRPr="0081178F">
        <w:t xml:space="preserve"> and joint damage progression. Safety, </w:t>
      </w:r>
      <w:proofErr w:type="gramStart"/>
      <w:r w:rsidRPr="0081178F">
        <w:t>immunogenicity</w:t>
      </w:r>
      <w:proofErr w:type="gramEnd"/>
      <w:r w:rsidRPr="0081178F">
        <w:t xml:space="preserve"> and device usability were also assessed as secondary endpoints.</w:t>
      </w:r>
    </w:p>
    <w:p w14:paraId="08CD3B3A" w14:textId="0AF95BEA" w:rsidR="00DB7C98" w:rsidRPr="0081178F" w:rsidRDefault="00DB7C98" w:rsidP="00DB7C98">
      <w:r w:rsidRPr="0081178F">
        <w:t xml:space="preserve">The proportions of patients achieving ACR20, ACR50, and ACR70 responses were similar at all time points up to Week 52 between the </w:t>
      </w:r>
      <w:r w:rsidR="00507C4D" w:rsidRPr="0081178F">
        <w:t>Yuflyma</w:t>
      </w:r>
      <w:r w:rsidR="00507C4D" w:rsidRPr="0081178F" w:rsidDel="00507C4D">
        <w:t xml:space="preserve"> </w:t>
      </w:r>
      <w:r w:rsidRPr="0081178F">
        <w:t>and EU-</w:t>
      </w:r>
      <w:r w:rsidR="0083045B" w:rsidRPr="0081178F">
        <w:t xml:space="preserve">approved </w:t>
      </w:r>
      <w:r w:rsidR="003025D1" w:rsidRPr="0081178F">
        <w:t>Humira</w:t>
      </w:r>
      <w:r w:rsidRPr="0081178F">
        <w:t xml:space="preserve"> treatment groups in both the ITT and PP populations, and similar efficacy was also maintained in patients who switched from EU-</w:t>
      </w:r>
      <w:r w:rsidR="00507C4D" w:rsidRPr="0081178F">
        <w:t xml:space="preserve">approved </w:t>
      </w:r>
      <w:r w:rsidR="003025D1" w:rsidRPr="0081178F">
        <w:t>Humira</w:t>
      </w:r>
      <w:r w:rsidRPr="0081178F">
        <w:t xml:space="preserve"> to </w:t>
      </w:r>
      <w:r w:rsidR="00092808" w:rsidRPr="0081178F">
        <w:t>Yuflyma</w:t>
      </w:r>
      <w:r w:rsidR="00092808" w:rsidRPr="0081178F" w:rsidDel="00092808">
        <w:t xml:space="preserve"> </w:t>
      </w:r>
      <w:r w:rsidRPr="0081178F">
        <w:t>from Week 26 (</w:t>
      </w:r>
      <w:r w:rsidRPr="0081178F">
        <w:fldChar w:fldCharType="begin"/>
      </w:r>
      <w:r w:rsidRPr="0081178F">
        <w:instrText xml:space="preserve"> REF _Ref87432752 \h  \* MERGEFORMAT </w:instrText>
      </w:r>
      <w:r w:rsidRPr="0081178F">
        <w:fldChar w:fldCharType="separate"/>
      </w:r>
      <w:r w:rsidR="003538E0" w:rsidRPr="0081178F">
        <w:t>Figure 6</w:t>
      </w:r>
      <w:r w:rsidRPr="0081178F">
        <w:fldChar w:fldCharType="end"/>
      </w:r>
      <w:r w:rsidRPr="0081178F">
        <w:t>). All individual components of the ACR criteria as well as the hybrid ACR response measure showed similar response between treatment groups across different visit time points in both ITT and PP populations.</w:t>
      </w:r>
    </w:p>
    <w:p w14:paraId="4465C2D6" w14:textId="2C9A89EE" w:rsidR="0070048A" w:rsidRPr="0081178F" w:rsidRDefault="00DB7C98" w:rsidP="00DB7C98">
      <w:r w:rsidRPr="0081178F">
        <w:t xml:space="preserve">The actual values and changes from </w:t>
      </w:r>
      <w:r w:rsidR="00F73D8A" w:rsidRPr="0081178F">
        <w:t>Baseline</w:t>
      </w:r>
      <w:r w:rsidRPr="0081178F">
        <w:t xml:space="preserve"> of disease activity as measured by DAS28</w:t>
      </w:r>
      <w:r w:rsidR="00092808" w:rsidRPr="0081178F">
        <w:t> CRP</w:t>
      </w:r>
      <w:r w:rsidRPr="0081178F">
        <w:t xml:space="preserve"> and DAS28</w:t>
      </w:r>
      <w:r w:rsidR="00092808" w:rsidRPr="0081178F">
        <w:t xml:space="preserve"> ESR </w:t>
      </w:r>
      <w:r w:rsidRPr="0081178F">
        <w:t xml:space="preserve">across different visit time points in both ITT and PP populations were similar between treatment arms. The difference between the mean change from </w:t>
      </w:r>
      <w:r w:rsidR="00F73D8A" w:rsidRPr="0081178F">
        <w:t>Baseline</w:t>
      </w:r>
      <w:r w:rsidRPr="0081178F">
        <w:t xml:space="preserve"> in DAS28</w:t>
      </w:r>
      <w:r w:rsidR="00507C4D" w:rsidRPr="0081178F">
        <w:t xml:space="preserve"> CRP</w:t>
      </w:r>
      <w:r w:rsidRPr="0081178F">
        <w:t xml:space="preserve"> at different visit time points did not exceed 0.6 in DAS28</w:t>
      </w:r>
      <w:r w:rsidR="00507C4D" w:rsidRPr="0081178F">
        <w:t xml:space="preserve"> CRP </w:t>
      </w:r>
      <w:r w:rsidRPr="0081178F">
        <w:t>score, generally considered to be the minimal difference of clinical importance. The 95% CI for the estimate of treatment difference in DAS28</w:t>
      </w:r>
      <w:r w:rsidR="00507C4D" w:rsidRPr="0081178F">
        <w:t xml:space="preserve"> CRP </w:t>
      </w:r>
      <w:r w:rsidRPr="0081178F">
        <w:t>at Week 24 in the ITT population was -0.01 (95% CI</w:t>
      </w:r>
      <w:r w:rsidR="00F73D8A" w:rsidRPr="0081178F">
        <w:t>:</w:t>
      </w:r>
      <w:r w:rsidRPr="0081178F">
        <w:t xml:space="preserve"> -0.19, 0.16). Efficacy findings based on EULAR response, CDAI, SDAI, SF-36 were similar for </w:t>
      </w:r>
      <w:proofErr w:type="spellStart"/>
      <w:r w:rsidR="00507C4D" w:rsidRPr="0081178F">
        <w:t>Yuflyma</w:t>
      </w:r>
      <w:proofErr w:type="spellEnd"/>
      <w:r w:rsidR="00507C4D" w:rsidRPr="0081178F" w:rsidDel="00507C4D">
        <w:t xml:space="preserve"> </w:t>
      </w:r>
      <w:r w:rsidRPr="0081178F">
        <w:t>and EU-</w:t>
      </w:r>
      <w:r w:rsidR="00DC6536" w:rsidRPr="0081178F">
        <w:t xml:space="preserve">approved </w:t>
      </w:r>
      <w:r w:rsidR="003025D1" w:rsidRPr="0081178F">
        <w:t>Humira</w:t>
      </w:r>
      <w:r w:rsidRPr="0081178F">
        <w:t>.</w:t>
      </w:r>
    </w:p>
    <w:p w14:paraId="0EF07060" w14:textId="2EBD6D67" w:rsidR="00DB7C98" w:rsidRPr="0081178F" w:rsidRDefault="00DB7C98" w:rsidP="007C19B9">
      <w:pPr>
        <w:pStyle w:val="FigureTitle"/>
        <w:pageBreakBefore/>
      </w:pPr>
      <w:bookmarkStart w:id="55" w:name="_Ref87432752"/>
      <w:r w:rsidRPr="0081178F">
        <w:t xml:space="preserve">Figure </w:t>
      </w:r>
      <w:r w:rsidR="003420A7">
        <w:fldChar w:fldCharType="begin"/>
      </w:r>
      <w:r w:rsidR="003420A7">
        <w:instrText xml:space="preserve"> SEQ Figure \* ARABIC </w:instrText>
      </w:r>
      <w:r w:rsidR="003420A7">
        <w:fldChar w:fldCharType="separate"/>
      </w:r>
      <w:r w:rsidR="003538E0" w:rsidRPr="0081178F">
        <w:rPr>
          <w:noProof/>
        </w:rPr>
        <w:t>6</w:t>
      </w:r>
      <w:r w:rsidR="003420A7">
        <w:rPr>
          <w:noProof/>
        </w:rPr>
        <w:fldChar w:fldCharType="end"/>
      </w:r>
      <w:bookmarkEnd w:id="55"/>
      <w:r w:rsidR="008A14DB" w:rsidRPr="0081178F">
        <w:t>:</w:t>
      </w:r>
      <w:r w:rsidRPr="0081178F">
        <w:t xml:space="preserve"> </w:t>
      </w:r>
      <w:r w:rsidR="00C74FE8" w:rsidRPr="0081178F">
        <w:t xml:space="preserve">Study CT-P17 3.1 </w:t>
      </w:r>
      <w:r w:rsidRPr="0081178F">
        <w:t xml:space="preserve">Proportions of </w:t>
      </w:r>
      <w:r w:rsidR="00C74FE8" w:rsidRPr="0081178F">
        <w:t xml:space="preserve">patients achieving response according to </w:t>
      </w:r>
      <w:r w:rsidR="0070048A" w:rsidRPr="0081178F">
        <w:t xml:space="preserve">American College of Rheumatology </w:t>
      </w:r>
      <w:r w:rsidRPr="0081178F">
        <w:t xml:space="preserve">20/50/70 </w:t>
      </w:r>
      <w:r w:rsidR="00507C4D" w:rsidRPr="0081178F">
        <w:t xml:space="preserve">criteria </w:t>
      </w:r>
      <w:r w:rsidRPr="0081178F">
        <w:t xml:space="preserve">during </w:t>
      </w:r>
      <w:r w:rsidR="00C74FE8" w:rsidRPr="0081178F">
        <w:t xml:space="preserve">overall period (intention-to-treat </w:t>
      </w:r>
      <w:r w:rsidRPr="0081178F">
        <w:t xml:space="preserve">and </w:t>
      </w:r>
      <w:r w:rsidR="00C74FE8" w:rsidRPr="0081178F">
        <w:t>per-protocol populations</w:t>
      </w:r>
      <w:r w:rsidRPr="0081178F">
        <w:t>)</w:t>
      </w:r>
    </w:p>
    <w:p w14:paraId="3913C42E" w14:textId="67EDF202" w:rsidR="00DB7C98" w:rsidRPr="0081178F" w:rsidRDefault="00DB7C98" w:rsidP="00D33E10">
      <w:r w:rsidRPr="0081178F">
        <w:rPr>
          <w:noProof/>
          <w:lang w:val="en-GB" w:eastAsia="en-GB"/>
        </w:rPr>
        <w:drawing>
          <wp:inline distT="0" distB="0" distL="0" distR="0" wp14:anchorId="3B816B96" wp14:editId="0B707871">
            <wp:extent cx="5214796" cy="5624678"/>
            <wp:effectExtent l="0" t="0" r="5080" b="0"/>
            <wp:docPr id="14" name="Picture 14" descr="Figure 6: Study CT-P17 3.1 Proportions of patients achieving response according to American College of Rheumatology 20/50/70 criteria during overall period (intention-to-treat and per-protocol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6: Study CT-P17 3.1 Proportions of patients achieving response according to American College of Rheumatology 20/50/70 criteria during overall period (intention-to-treat and per-protocol populati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4672" cy="5635330"/>
                    </a:xfrm>
                    <a:prstGeom prst="rect">
                      <a:avLst/>
                    </a:prstGeom>
                    <a:noFill/>
                    <a:ln>
                      <a:noFill/>
                    </a:ln>
                  </pic:spPr>
                </pic:pic>
              </a:graphicData>
            </a:graphic>
          </wp:inline>
        </w:drawing>
      </w:r>
    </w:p>
    <w:p w14:paraId="6523D02A" w14:textId="3654E293" w:rsidR="00D33E10" w:rsidRPr="0081178F" w:rsidRDefault="006A3642" w:rsidP="00D33E10">
      <w:pPr>
        <w:pStyle w:val="FigureDescription"/>
      </w:pPr>
      <w:r w:rsidRPr="0081178F">
        <w:t xml:space="preserve">Abbreviations: </w:t>
      </w:r>
      <w:r w:rsidR="00D33E10" w:rsidRPr="0081178F">
        <w:t>AC</w:t>
      </w:r>
      <w:r w:rsidR="00507C4D" w:rsidRPr="0081178F">
        <w:t>R</w:t>
      </w:r>
      <w:r w:rsidR="00D33E10" w:rsidRPr="0081178F">
        <w:t xml:space="preserve">20/50/70 = American College of Rheumatology </w:t>
      </w:r>
      <w:r w:rsidR="00507C4D" w:rsidRPr="0081178F">
        <w:t xml:space="preserve">criteria </w:t>
      </w:r>
      <w:r w:rsidR="00D33E10" w:rsidRPr="0081178F">
        <w:t>20</w:t>
      </w:r>
      <w:r w:rsidR="00507C4D" w:rsidRPr="0081178F">
        <w:t>%</w:t>
      </w:r>
      <w:r w:rsidR="00D33E10" w:rsidRPr="0081178F">
        <w:t>/50</w:t>
      </w:r>
      <w:r w:rsidR="00507C4D" w:rsidRPr="0081178F">
        <w:t>%</w:t>
      </w:r>
      <w:r w:rsidR="00D33E10" w:rsidRPr="0081178F">
        <w:t>/70</w:t>
      </w:r>
      <w:r w:rsidR="00507C4D" w:rsidRPr="0081178F">
        <w:t>% improvement</w:t>
      </w:r>
      <w:r w:rsidR="00D33E10" w:rsidRPr="0081178F">
        <w:t xml:space="preserve">; CT-P17 = </w:t>
      </w:r>
      <w:r w:rsidR="00507C4D" w:rsidRPr="0081178F">
        <w:t>Yuflyma (</w:t>
      </w:r>
      <w:r w:rsidR="00D33E10" w:rsidRPr="0081178F">
        <w:t>adalimumab</w:t>
      </w:r>
      <w:r w:rsidR="00507C4D" w:rsidRPr="0081178F">
        <w:t>)</w:t>
      </w:r>
      <w:r w:rsidR="00D33E10" w:rsidRPr="0081178F">
        <w:t>; ITT = intention-to-treat.</w:t>
      </w:r>
    </w:p>
    <w:p w14:paraId="4659E01E" w14:textId="751B03AA" w:rsidR="00DB7C98" w:rsidRPr="0081178F" w:rsidRDefault="00DB7C98" w:rsidP="00DB7C98">
      <w:r w:rsidRPr="0081178F">
        <w:t xml:space="preserve">The submission included subgroup analyses of efficacy by ADA status. The impact of ADA on efficacy in terms of ACR20/50/70 in </w:t>
      </w:r>
      <w:r w:rsidR="00F73D8A" w:rsidRPr="0081178F">
        <w:t xml:space="preserve">Treatment Period </w:t>
      </w:r>
      <w:r w:rsidRPr="0081178F">
        <w:t xml:space="preserve">I is shown in </w:t>
      </w:r>
      <w:r w:rsidRPr="0081178F">
        <w:fldChar w:fldCharType="begin"/>
      </w:r>
      <w:r w:rsidRPr="0081178F">
        <w:instrText xml:space="preserve"> REF _Ref87438258 \h  \* MERGEFORMAT </w:instrText>
      </w:r>
      <w:r w:rsidRPr="0081178F">
        <w:fldChar w:fldCharType="separate"/>
      </w:r>
      <w:r w:rsidR="003538E0" w:rsidRPr="0081178F">
        <w:t>Figure 7</w:t>
      </w:r>
      <w:r w:rsidRPr="0081178F">
        <w:fldChar w:fldCharType="end"/>
      </w:r>
      <w:r w:rsidRPr="0081178F">
        <w:t xml:space="preserve">. From </w:t>
      </w:r>
      <w:r w:rsidR="00F73D8A" w:rsidRPr="0081178F">
        <w:t>Week </w:t>
      </w:r>
      <w:r w:rsidRPr="0081178F">
        <w:t xml:space="preserve">26 onward, the mean differences between treatment arms grew slightly bigger, </w:t>
      </w:r>
      <w:proofErr w:type="gramStart"/>
      <w:r w:rsidRPr="0081178F">
        <w:t>in particular among</w:t>
      </w:r>
      <w:proofErr w:type="gramEnd"/>
      <w:r w:rsidRPr="0081178F">
        <w:t xml:space="preserve"> ADA positive patients (</w:t>
      </w:r>
      <w:r w:rsidR="000C4C71" w:rsidRPr="0081178F">
        <w:fldChar w:fldCharType="begin"/>
      </w:r>
      <w:r w:rsidR="000C4C71" w:rsidRPr="0081178F">
        <w:instrText xml:space="preserve"> REF _Ref117851006 \h </w:instrText>
      </w:r>
      <w:r w:rsidR="0081178F">
        <w:instrText xml:space="preserve"> \* MERGEFORMAT </w:instrText>
      </w:r>
      <w:r w:rsidR="000C4C71" w:rsidRPr="0081178F">
        <w:fldChar w:fldCharType="separate"/>
      </w:r>
      <w:r w:rsidR="003538E0" w:rsidRPr="0081178F">
        <w:t xml:space="preserve">Table </w:t>
      </w:r>
      <w:r w:rsidR="003538E0" w:rsidRPr="0081178F">
        <w:rPr>
          <w:noProof/>
        </w:rPr>
        <w:t>7</w:t>
      </w:r>
      <w:r w:rsidR="000C4C71" w:rsidRPr="0081178F">
        <w:fldChar w:fldCharType="end"/>
      </w:r>
      <w:r w:rsidRPr="0081178F">
        <w:t xml:space="preserve">). Among ADA negative </w:t>
      </w:r>
      <w:r w:rsidR="00F73D8A" w:rsidRPr="0081178F">
        <w:t>patients’</w:t>
      </w:r>
      <w:r w:rsidRPr="0081178F">
        <w:t xml:space="preserve"> differences between treatment arms in ACR20 response were small, with 95% CIs falling within the </w:t>
      </w:r>
      <w:r w:rsidR="006430AA" w:rsidRPr="0081178F">
        <w:t xml:space="preserve">± </w:t>
      </w:r>
      <w:r w:rsidRPr="0081178F">
        <w:t>15% range. Overall, ADA status did not have a clinically meaningful impact on efficacy.</w:t>
      </w:r>
    </w:p>
    <w:p w14:paraId="00F7BCB6" w14:textId="0A587359" w:rsidR="00DB7C98" w:rsidRPr="0081178F" w:rsidRDefault="00DB7C98" w:rsidP="006B74AA">
      <w:pPr>
        <w:pStyle w:val="FigureTitle"/>
      </w:pPr>
      <w:bookmarkStart w:id="56" w:name="_Ref87438258"/>
      <w:r w:rsidRPr="0081178F">
        <w:t xml:space="preserve">Figure </w:t>
      </w:r>
      <w:r w:rsidR="003420A7">
        <w:fldChar w:fldCharType="begin"/>
      </w:r>
      <w:r w:rsidR="003420A7">
        <w:instrText xml:space="preserve"> SEQ Figure \* ARABIC </w:instrText>
      </w:r>
      <w:r w:rsidR="003420A7">
        <w:fldChar w:fldCharType="separate"/>
      </w:r>
      <w:r w:rsidR="003538E0" w:rsidRPr="0081178F">
        <w:rPr>
          <w:noProof/>
        </w:rPr>
        <w:t>7</w:t>
      </w:r>
      <w:r w:rsidR="003420A7">
        <w:rPr>
          <w:noProof/>
        </w:rPr>
        <w:fldChar w:fldCharType="end"/>
      </w:r>
      <w:bookmarkEnd w:id="56"/>
      <w:r w:rsidR="00C74FE8" w:rsidRPr="0081178F">
        <w:t>:</w:t>
      </w:r>
      <w:r w:rsidRPr="0081178F">
        <w:t xml:space="preserve"> </w:t>
      </w:r>
      <w:r w:rsidR="006B74AA" w:rsidRPr="0081178F">
        <w:t xml:space="preserve">Study CT-P17 3.1 </w:t>
      </w:r>
      <w:r w:rsidRPr="0081178F">
        <w:t xml:space="preserve">Proportion of </w:t>
      </w:r>
      <w:r w:rsidR="00C74FE8" w:rsidRPr="0081178F">
        <w:t xml:space="preserve">patients achieving </w:t>
      </w:r>
      <w:r w:rsidR="007151F3" w:rsidRPr="0081178F">
        <w:t xml:space="preserve">American College of Rheumatology </w:t>
      </w:r>
      <w:r w:rsidRPr="0081178F">
        <w:t xml:space="preserve">20/50/70 </w:t>
      </w:r>
      <w:r w:rsidR="00507C4D" w:rsidRPr="0081178F">
        <w:t xml:space="preserve">criteria </w:t>
      </w:r>
      <w:r w:rsidRPr="0081178F">
        <w:t xml:space="preserve">by </w:t>
      </w:r>
      <w:r w:rsidR="00C74FE8" w:rsidRPr="0081178F">
        <w:t>post-treatment anti‐drug antibody status up t</w:t>
      </w:r>
      <w:r w:rsidRPr="0081178F">
        <w:t>o Week</w:t>
      </w:r>
      <w:r w:rsidR="00507C4D" w:rsidRPr="0081178F">
        <w:t> </w:t>
      </w:r>
      <w:r w:rsidRPr="0081178F">
        <w:t>24</w:t>
      </w:r>
      <w:r w:rsidR="007151F3" w:rsidRPr="0081178F">
        <w:t xml:space="preserve"> (</w:t>
      </w:r>
      <w:r w:rsidR="00C74FE8" w:rsidRPr="0081178F">
        <w:t>intention-to-treat population</w:t>
      </w:r>
      <w:r w:rsidR="007151F3" w:rsidRPr="0081178F">
        <w:t>)</w:t>
      </w:r>
    </w:p>
    <w:p w14:paraId="32815A92" w14:textId="3CB5009C" w:rsidR="00C74FE8" w:rsidRPr="0081178F" w:rsidRDefault="00DB7C98" w:rsidP="006B74AA">
      <w:r w:rsidRPr="0081178F">
        <w:rPr>
          <w:noProof/>
          <w:lang w:val="en-GB" w:eastAsia="en-GB"/>
        </w:rPr>
        <w:drawing>
          <wp:inline distT="0" distB="0" distL="0" distR="0" wp14:anchorId="6F09294A" wp14:editId="312C45B6">
            <wp:extent cx="4947719" cy="5251141"/>
            <wp:effectExtent l="0" t="0" r="5715" b="6985"/>
            <wp:docPr id="13" name="Picture 13" descr="Figure 7: Study CT-P17 3.1 Proportion of patients achieving American College of Rheumatology 20/50/70 criteria by post-treatment anti‐drug antibody status up to Week 24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7: Study CT-P17 3.1 Proportion of patients achieving American College of Rheumatology 20/50/70 criteria by post-treatment anti‐drug antibody status up to Week 24 (intention-to-treat popula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8939" cy="5263049"/>
                    </a:xfrm>
                    <a:prstGeom prst="rect">
                      <a:avLst/>
                    </a:prstGeom>
                    <a:noFill/>
                    <a:ln>
                      <a:noFill/>
                    </a:ln>
                  </pic:spPr>
                </pic:pic>
              </a:graphicData>
            </a:graphic>
          </wp:inline>
        </w:drawing>
      </w:r>
      <w:bookmarkStart w:id="57" w:name="_Ref87438354"/>
    </w:p>
    <w:p w14:paraId="06E528D5" w14:textId="310C2AE1" w:rsidR="006A3642" w:rsidRPr="0081178F" w:rsidRDefault="006A3642" w:rsidP="006B74AA">
      <w:pPr>
        <w:pStyle w:val="FigureDescription"/>
      </w:pPr>
      <w:r w:rsidRPr="0081178F">
        <w:t xml:space="preserve">Abbreviations: </w:t>
      </w:r>
      <w:r w:rsidR="006B74AA" w:rsidRPr="0081178F">
        <w:t>ADA = anti-drug antibody; A</w:t>
      </w:r>
      <w:r w:rsidR="00507C4D" w:rsidRPr="0081178F">
        <w:t>CR</w:t>
      </w:r>
      <w:r w:rsidR="006B74AA" w:rsidRPr="0081178F">
        <w:t xml:space="preserve">20/50/70 = </w:t>
      </w:r>
      <w:r w:rsidR="00507C4D" w:rsidRPr="0081178F">
        <w:t>American College of Rheumatology criteria 20%/50%/70% improvement</w:t>
      </w:r>
      <w:r w:rsidR="006B74AA" w:rsidRPr="0081178F">
        <w:t xml:space="preserve">; </w:t>
      </w:r>
      <w:r w:rsidRPr="0081178F">
        <w:t xml:space="preserve">CT-P17 = </w:t>
      </w:r>
      <w:r w:rsidR="00507C4D" w:rsidRPr="0081178F">
        <w:t>Yuflyma (</w:t>
      </w:r>
      <w:r w:rsidRPr="0081178F">
        <w:t>adalimumab</w:t>
      </w:r>
      <w:r w:rsidR="00507C4D" w:rsidRPr="0081178F">
        <w:t>)</w:t>
      </w:r>
      <w:r w:rsidR="006B74AA" w:rsidRPr="0081178F">
        <w:t>.</w:t>
      </w:r>
    </w:p>
    <w:p w14:paraId="564F0E79" w14:textId="42121980" w:rsidR="00DB7C98" w:rsidRPr="0081178F" w:rsidRDefault="00DB7C98" w:rsidP="00D33E10">
      <w:pPr>
        <w:pStyle w:val="TableTitle"/>
      </w:pPr>
      <w:bookmarkStart w:id="58" w:name="_Ref117851006"/>
      <w:r w:rsidRPr="0081178F">
        <w:t xml:space="preserve">Table </w:t>
      </w:r>
      <w:r w:rsidR="003420A7">
        <w:fldChar w:fldCharType="begin"/>
      </w:r>
      <w:r w:rsidR="003420A7">
        <w:instrText xml:space="preserve"> SEQ Table \* ARABIC </w:instrText>
      </w:r>
      <w:r w:rsidR="003420A7">
        <w:fldChar w:fldCharType="separate"/>
      </w:r>
      <w:r w:rsidR="003538E0" w:rsidRPr="0081178F">
        <w:rPr>
          <w:noProof/>
        </w:rPr>
        <w:t>7</w:t>
      </w:r>
      <w:r w:rsidR="003420A7">
        <w:rPr>
          <w:noProof/>
        </w:rPr>
        <w:fldChar w:fldCharType="end"/>
      </w:r>
      <w:bookmarkEnd w:id="57"/>
      <w:bookmarkEnd w:id="58"/>
      <w:r w:rsidR="00C74FE8" w:rsidRPr="0081178F">
        <w:t>:</w:t>
      </w:r>
      <w:r w:rsidRPr="0081178F">
        <w:t xml:space="preserve"> </w:t>
      </w:r>
      <w:r w:rsidR="00D33E10" w:rsidRPr="0081178F">
        <w:t xml:space="preserve">Study CT-P17 3.1 </w:t>
      </w:r>
      <w:r w:rsidRPr="0081178F">
        <w:t xml:space="preserve">Truncated summary of </w:t>
      </w:r>
      <w:r w:rsidR="00D33E10" w:rsidRPr="0081178F">
        <w:t xml:space="preserve">American College of Rheumatology </w:t>
      </w:r>
      <w:r w:rsidRPr="0081178F">
        <w:t>20</w:t>
      </w:r>
      <w:r w:rsidR="00507C4D" w:rsidRPr="0081178F">
        <w:t>% improvement</w:t>
      </w:r>
      <w:r w:rsidRPr="0081178F">
        <w:t xml:space="preserve"> by visit based </w:t>
      </w:r>
      <w:r w:rsidR="00C74FE8" w:rsidRPr="0081178F">
        <w:t>anti‐drug antibody</w:t>
      </w:r>
      <w:r w:rsidRPr="0081178F">
        <w:t xml:space="preserve"> status</w:t>
      </w:r>
      <w:r w:rsidR="00D33E10" w:rsidRPr="0081178F">
        <w:t xml:space="preserve"> (Treatment Period II Subset; </w:t>
      </w:r>
      <w:r w:rsidR="00C74FE8" w:rsidRPr="0081178F">
        <w:t xml:space="preserve">intention-to-treat </w:t>
      </w:r>
      <w:r w:rsidR="00D33E10" w:rsidRPr="0081178F">
        <w:t>p</w:t>
      </w:r>
      <w:r w:rsidRPr="0081178F">
        <w:t>opulation</w:t>
      </w:r>
      <w:r w:rsidR="00D33E10" w:rsidRPr="0081178F">
        <w:t>)</w:t>
      </w:r>
    </w:p>
    <w:p w14:paraId="31EB2581" w14:textId="31D8FD4D" w:rsidR="00DB7C98" w:rsidRPr="0081178F" w:rsidRDefault="00DB7C98" w:rsidP="00D33E10">
      <w:r w:rsidRPr="0081178F">
        <w:rPr>
          <w:noProof/>
          <w:lang w:val="en-GB" w:eastAsia="en-GB"/>
        </w:rPr>
        <w:drawing>
          <wp:inline distT="0" distB="0" distL="0" distR="0" wp14:anchorId="4D81E6E1" wp14:editId="464EE570">
            <wp:extent cx="5400040" cy="2338070"/>
            <wp:effectExtent l="0" t="0" r="0" b="5080"/>
            <wp:docPr id="12" name="Picture 12" descr="Table 7: Study CT-P17 3.1 Truncated summary of American College of Rheumatology 20% improvement by visit based anti‐drug antibody status (Treatment Period II Subset;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 7: Study CT-P17 3.1 Truncated summary of American College of Rheumatology 20% improvement by visit based anti‐drug antibody status (Treatment Period II Subset; intention-to-treat popula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2338070"/>
                    </a:xfrm>
                    <a:prstGeom prst="rect">
                      <a:avLst/>
                    </a:prstGeom>
                    <a:noFill/>
                    <a:ln>
                      <a:noFill/>
                    </a:ln>
                  </pic:spPr>
                </pic:pic>
              </a:graphicData>
            </a:graphic>
          </wp:inline>
        </w:drawing>
      </w:r>
    </w:p>
    <w:p w14:paraId="6C7A4085" w14:textId="13E6B470" w:rsidR="006A3642" w:rsidRPr="0081178F" w:rsidRDefault="006A3642" w:rsidP="00D33E10">
      <w:pPr>
        <w:pStyle w:val="TableDescription"/>
      </w:pPr>
      <w:r w:rsidRPr="0081178F">
        <w:t xml:space="preserve">Abbreviations: </w:t>
      </w:r>
      <w:r w:rsidR="00D33E10" w:rsidRPr="0081178F">
        <w:t xml:space="preserve">ADA = anti-drug antibody; </w:t>
      </w:r>
      <w:r w:rsidR="00507C4D" w:rsidRPr="0081178F">
        <w:t xml:space="preserve">ACR20/50/70 = American College of Rheumatology criteria 20%/50%/70% improvement; </w:t>
      </w:r>
      <w:r w:rsidR="00D33E10" w:rsidRPr="0081178F">
        <w:t xml:space="preserve">CI = confidence interval; CT-P17 = </w:t>
      </w:r>
      <w:r w:rsidR="00507C4D" w:rsidRPr="0081178F">
        <w:t>Yuflyma (</w:t>
      </w:r>
      <w:r w:rsidR="00D33E10" w:rsidRPr="0081178F">
        <w:t>adalimumab</w:t>
      </w:r>
      <w:r w:rsidR="00507C4D" w:rsidRPr="0081178F">
        <w:t>)</w:t>
      </w:r>
      <w:r w:rsidR="00D33E10" w:rsidRPr="0081178F">
        <w:t>; N= number of subjects.</w:t>
      </w:r>
    </w:p>
    <w:p w14:paraId="250A8EC5" w14:textId="77777777" w:rsidR="00DB7C98" w:rsidRPr="0081178F" w:rsidRDefault="00DB7C98" w:rsidP="00DB7C98">
      <w:pPr>
        <w:pStyle w:val="Heading4"/>
      </w:pPr>
      <w:r w:rsidRPr="0081178F">
        <w:t>Safety</w:t>
      </w:r>
    </w:p>
    <w:p w14:paraId="2113EB4B" w14:textId="1754E181" w:rsidR="00DB7C98" w:rsidRPr="0081178F" w:rsidRDefault="00DB7C98" w:rsidP="00DB7C98">
      <w:r w:rsidRPr="0081178F">
        <w:t xml:space="preserve">The clinical safety dataset included 1,166 subjects who were exposed to at least </w:t>
      </w:r>
      <w:r w:rsidR="006430AA" w:rsidRPr="0081178F">
        <w:t>one</w:t>
      </w:r>
      <w:r w:rsidRPr="0081178F">
        <w:t xml:space="preserve"> dose of </w:t>
      </w:r>
      <w:r w:rsidR="00507C4D" w:rsidRPr="0081178F">
        <w:t>Yuflyma</w:t>
      </w:r>
      <w:r w:rsidRPr="0081178F">
        <w:t>, EU-</w:t>
      </w:r>
      <w:r w:rsidR="00507C4D" w:rsidRPr="0081178F">
        <w:t xml:space="preserve">approved </w:t>
      </w:r>
      <w:r w:rsidR="003025D1" w:rsidRPr="0081178F">
        <w:t>Humira</w:t>
      </w:r>
      <w:r w:rsidRPr="0081178F">
        <w:t xml:space="preserve"> or US-</w:t>
      </w:r>
      <w:r w:rsidR="00507C4D" w:rsidRPr="0081178F">
        <w:t xml:space="preserve">licensed </w:t>
      </w:r>
      <w:r w:rsidR="003025D1" w:rsidRPr="0081178F">
        <w:t>Humira</w:t>
      </w:r>
      <w:r w:rsidRPr="0081178F">
        <w:t xml:space="preserve"> in 4 clinical studies. The main safety study was the Phase</w:t>
      </w:r>
      <w:r w:rsidR="00302C0B" w:rsidRPr="0081178F">
        <w:t> III</w:t>
      </w:r>
      <w:r w:rsidRPr="0081178F">
        <w:t xml:space="preserve"> study in patients with </w:t>
      </w:r>
      <w:r w:rsidR="005E11DA" w:rsidRPr="0081178F">
        <w:t>rheumatoid arthritis</w:t>
      </w:r>
      <w:r w:rsidRPr="0081178F">
        <w:t xml:space="preserve"> (</w:t>
      </w:r>
      <w:r w:rsidR="006430AA" w:rsidRPr="0081178F">
        <w:t>Study</w:t>
      </w:r>
      <w:r w:rsidR="00467FF1" w:rsidRPr="0081178F">
        <w:t> </w:t>
      </w:r>
      <w:r w:rsidRPr="0081178F">
        <w:t>CT</w:t>
      </w:r>
      <w:r w:rsidR="00467FF1" w:rsidRPr="0081178F">
        <w:noBreakHyphen/>
      </w:r>
      <w:r w:rsidRPr="0081178F">
        <w:t>P17</w:t>
      </w:r>
      <w:r w:rsidR="00467FF1" w:rsidRPr="0081178F">
        <w:t> </w:t>
      </w:r>
      <w:r w:rsidRPr="0081178F">
        <w:t>3.1). The 3 single</w:t>
      </w:r>
      <w:r w:rsidR="006430AA" w:rsidRPr="0081178F">
        <w:t xml:space="preserve"> </w:t>
      </w:r>
      <w:r w:rsidRPr="0081178F">
        <w:t>dose Phase</w:t>
      </w:r>
      <w:r w:rsidR="00302C0B" w:rsidRPr="0081178F">
        <w:t> I</w:t>
      </w:r>
      <w:r w:rsidRPr="0081178F">
        <w:t xml:space="preserve"> studies in healthy volunteers (PK study for biosimilarity </w:t>
      </w:r>
      <w:r w:rsidR="003025D1" w:rsidRPr="0081178F">
        <w:t>(</w:t>
      </w:r>
      <w:r w:rsidR="006430AA" w:rsidRPr="0081178F">
        <w:t xml:space="preserve">Study </w:t>
      </w:r>
      <w:r w:rsidRPr="0081178F">
        <w:t>CT-P17 1.1</w:t>
      </w:r>
      <w:r w:rsidR="003025D1" w:rsidRPr="0081178F">
        <w:t>)</w:t>
      </w:r>
      <w:r w:rsidRPr="0081178F">
        <w:t xml:space="preserve">, PK pilot study </w:t>
      </w:r>
      <w:r w:rsidR="003025D1" w:rsidRPr="0081178F">
        <w:t>(</w:t>
      </w:r>
      <w:r w:rsidR="006430AA" w:rsidRPr="0081178F">
        <w:t xml:space="preserve">Study </w:t>
      </w:r>
      <w:r w:rsidRPr="0081178F">
        <w:t>CT-P17 1.2</w:t>
      </w:r>
      <w:r w:rsidR="003025D1" w:rsidRPr="0081178F">
        <w:t>)</w:t>
      </w:r>
      <w:r w:rsidRPr="0081178F">
        <w:t xml:space="preserve">, and PK study comparing </w:t>
      </w:r>
      <w:r w:rsidR="003025D1" w:rsidRPr="0081178F">
        <w:t>auto-injector</w:t>
      </w:r>
      <w:r w:rsidRPr="0081178F">
        <w:t xml:space="preserve"> and </w:t>
      </w:r>
      <w:r w:rsidR="003F761E" w:rsidRPr="0081178F">
        <w:t>pre</w:t>
      </w:r>
      <w:r w:rsidR="004C04A3" w:rsidRPr="0081178F">
        <w:t>-</w:t>
      </w:r>
      <w:r w:rsidR="003F761E" w:rsidRPr="0081178F">
        <w:t>filled syringe</w:t>
      </w:r>
      <w:r w:rsidRPr="0081178F">
        <w:t xml:space="preserve"> </w:t>
      </w:r>
      <w:r w:rsidR="003025D1" w:rsidRPr="0081178F">
        <w:t>(</w:t>
      </w:r>
      <w:r w:rsidR="006430AA" w:rsidRPr="0081178F">
        <w:t xml:space="preserve">Study </w:t>
      </w:r>
      <w:r w:rsidRPr="0081178F">
        <w:t>CT-P17 1.3</w:t>
      </w:r>
      <w:r w:rsidR="003025D1" w:rsidRPr="0081178F">
        <w:t>)</w:t>
      </w:r>
      <w:r w:rsidRPr="0081178F">
        <w:t xml:space="preserve">) supported the assessment of similar safety. The evaluation also assessed safety and </w:t>
      </w:r>
      <w:r w:rsidR="003025D1" w:rsidRPr="0081178F">
        <w:t>auto-injector</w:t>
      </w:r>
      <w:r w:rsidRPr="0081178F">
        <w:t xml:space="preserve"> usability data for 62 patients with </w:t>
      </w:r>
      <w:r w:rsidR="005E11DA" w:rsidRPr="0081178F">
        <w:t>rheumatoid arthritis</w:t>
      </w:r>
      <w:r w:rsidRPr="0081178F">
        <w:t xml:space="preserve"> in Study CT-P17 3.2.</w:t>
      </w:r>
    </w:p>
    <w:p w14:paraId="143659EA" w14:textId="743EFEB0" w:rsidR="00DB7C98" w:rsidRPr="0081178F" w:rsidRDefault="00DB7C98" w:rsidP="003F5595">
      <w:pPr>
        <w:pStyle w:val="TableTitle"/>
      </w:pPr>
      <w:r w:rsidRPr="0081178F">
        <w:t xml:space="preserve">Table </w:t>
      </w:r>
      <w:r w:rsidR="003420A7">
        <w:fldChar w:fldCharType="begin"/>
      </w:r>
      <w:r w:rsidR="003420A7">
        <w:instrText xml:space="preserve"> SEQ Table \* ARABIC </w:instrText>
      </w:r>
      <w:r w:rsidR="003420A7">
        <w:fldChar w:fldCharType="separate"/>
      </w:r>
      <w:r w:rsidR="003538E0" w:rsidRPr="0081178F">
        <w:rPr>
          <w:noProof/>
        </w:rPr>
        <w:t>8</w:t>
      </w:r>
      <w:r w:rsidR="003420A7">
        <w:rPr>
          <w:noProof/>
        </w:rPr>
        <w:fldChar w:fldCharType="end"/>
      </w:r>
      <w:r w:rsidR="00C74FE8" w:rsidRPr="0081178F">
        <w:t>:</w:t>
      </w:r>
      <w:r w:rsidRPr="0081178F">
        <w:t xml:space="preserve"> </w:t>
      </w:r>
      <w:r w:rsidR="00C74FE8" w:rsidRPr="0081178F">
        <w:t xml:space="preserve">Studies CT-P17 1.1, 1.2, 1.3 and 3.1 </w:t>
      </w:r>
      <w:r w:rsidRPr="0081178F">
        <w:t xml:space="preserve">Number of subjects who received at least one dose of </w:t>
      </w:r>
      <w:r w:rsidR="00507C4D" w:rsidRPr="0081178F">
        <w:t>Yuflyma</w:t>
      </w:r>
      <w:r w:rsidR="00507C4D" w:rsidRPr="0081178F" w:rsidDel="00507C4D">
        <w:t xml:space="preserve"> </w:t>
      </w:r>
      <w:r w:rsidRPr="0081178F">
        <w:t xml:space="preserve">or reference product </w:t>
      </w:r>
      <w:r w:rsidR="00C74FE8" w:rsidRPr="0081178F">
        <w:t>(safety population)</w:t>
      </w:r>
    </w:p>
    <w:p w14:paraId="04242C4B" w14:textId="73259A26" w:rsidR="00DB7C98" w:rsidRPr="0081178F" w:rsidRDefault="00DB7C98" w:rsidP="003F5595">
      <w:r w:rsidRPr="0081178F">
        <w:rPr>
          <w:noProof/>
          <w:lang w:val="en-GB" w:eastAsia="en-GB"/>
        </w:rPr>
        <w:drawing>
          <wp:inline distT="0" distB="0" distL="0" distR="0" wp14:anchorId="0B832E44" wp14:editId="2493A1DA">
            <wp:extent cx="5400040" cy="1911350"/>
            <wp:effectExtent l="0" t="0" r="0" b="0"/>
            <wp:docPr id="11" name="Picture 11" descr="Table 8: Studies CT-P17 1.1, 1.2, 1.3 and 3.1 Number of subjects who received at least one dose of Yuflyma or reference product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8: Studies CT-P17 1.1, 1.2, 1.3 and 3.1 Number of subjects who received at least one dose of Yuflyma or reference product (safety popula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1911350"/>
                    </a:xfrm>
                    <a:prstGeom prst="rect">
                      <a:avLst/>
                    </a:prstGeom>
                    <a:noFill/>
                    <a:ln>
                      <a:noFill/>
                    </a:ln>
                  </pic:spPr>
                </pic:pic>
              </a:graphicData>
            </a:graphic>
          </wp:inline>
        </w:drawing>
      </w:r>
    </w:p>
    <w:p w14:paraId="04978FC8" w14:textId="2E5BBDC6" w:rsidR="006A3642" w:rsidRPr="0081178F" w:rsidRDefault="006A3642" w:rsidP="003F5595">
      <w:pPr>
        <w:pStyle w:val="TableDescription"/>
      </w:pPr>
      <w:r w:rsidRPr="0081178F">
        <w:t xml:space="preserve">Abbreviations: </w:t>
      </w:r>
      <w:r w:rsidR="003F5595" w:rsidRPr="0081178F">
        <w:t xml:space="preserve">AI = auto-injector; </w:t>
      </w:r>
      <w:r w:rsidRPr="0081178F">
        <w:t xml:space="preserve">CT-P17 = </w:t>
      </w:r>
      <w:r w:rsidR="00507C4D" w:rsidRPr="0081178F">
        <w:t>Yuflyma (</w:t>
      </w:r>
      <w:r w:rsidRPr="0081178F">
        <w:t>adalimumab</w:t>
      </w:r>
      <w:r w:rsidR="00507C4D" w:rsidRPr="0081178F">
        <w:t>)</w:t>
      </w:r>
      <w:r w:rsidR="003F5595" w:rsidRPr="0081178F">
        <w:t xml:space="preserve">; EU = European Union; </w:t>
      </w:r>
      <w:r w:rsidR="001339D0" w:rsidRPr="0081178F">
        <w:t xml:space="preserve">HV = healthy volunteer; </w:t>
      </w:r>
      <w:r w:rsidR="003F5595" w:rsidRPr="0081178F">
        <w:t>PFS = pre</w:t>
      </w:r>
      <w:r w:rsidR="004C04A3" w:rsidRPr="0081178F">
        <w:t>-</w:t>
      </w:r>
      <w:r w:rsidR="003F5595" w:rsidRPr="0081178F">
        <w:t>filled syringe; RA = rheumatoid arthritis.</w:t>
      </w:r>
    </w:p>
    <w:p w14:paraId="4B8AEDCA" w14:textId="3F69DB28" w:rsidR="00DB7C98" w:rsidRPr="0081178F" w:rsidRDefault="00DB7C98" w:rsidP="00DB7C98">
      <w:pPr>
        <w:pStyle w:val="Heading5"/>
      </w:pPr>
      <w:r w:rsidRPr="0081178F">
        <w:t>Study CT-P17 3.1</w:t>
      </w:r>
    </w:p>
    <w:p w14:paraId="2BD13DEB" w14:textId="4FA6984F" w:rsidR="00DB7C98" w:rsidRPr="0081178F" w:rsidRDefault="00DB7C98" w:rsidP="00DB7C98">
      <w:r w:rsidRPr="0081178F">
        <w:t xml:space="preserve">The Phase </w:t>
      </w:r>
      <w:r w:rsidR="00302C0B" w:rsidRPr="0081178F">
        <w:t>III</w:t>
      </w:r>
      <w:r w:rsidRPr="0081178F">
        <w:t xml:space="preserve"> study evaluated the safety of </w:t>
      </w:r>
      <w:r w:rsidR="001339D0" w:rsidRPr="0081178F">
        <w:t>Yuflyma</w:t>
      </w:r>
      <w:r w:rsidR="001339D0" w:rsidRPr="0081178F" w:rsidDel="001339D0">
        <w:t xml:space="preserve"> </w:t>
      </w:r>
      <w:r w:rsidRPr="0081178F">
        <w:t>compared to EU-</w:t>
      </w:r>
      <w:r w:rsidR="001339D0" w:rsidRPr="0081178F">
        <w:t xml:space="preserve">approved </w:t>
      </w:r>
      <w:r w:rsidR="003025D1" w:rsidRPr="0081178F">
        <w:t>Humira</w:t>
      </w:r>
      <w:r w:rsidRPr="0081178F">
        <w:t xml:space="preserve"> in patients with moderate to severe active </w:t>
      </w:r>
      <w:r w:rsidR="005E11DA" w:rsidRPr="0081178F">
        <w:t>rheumatoid arthritis</w:t>
      </w:r>
      <w:r w:rsidRPr="0081178F">
        <w:t xml:space="preserve"> up to Week 52. A summary of TEAEs is presented in </w:t>
      </w:r>
      <w:r w:rsidRPr="0081178F">
        <w:fldChar w:fldCharType="begin"/>
      </w:r>
      <w:r w:rsidRPr="0081178F">
        <w:instrText xml:space="preserve"> REF _Ref87860001 \h  \* MERGEFORMAT </w:instrText>
      </w:r>
      <w:r w:rsidRPr="0081178F">
        <w:fldChar w:fldCharType="separate"/>
      </w:r>
      <w:r w:rsidR="003538E0" w:rsidRPr="0081178F">
        <w:t>Table 9</w:t>
      </w:r>
      <w:r w:rsidRPr="0081178F">
        <w:fldChar w:fldCharType="end"/>
      </w:r>
      <w:r w:rsidRPr="0081178F">
        <w:t>.</w:t>
      </w:r>
      <w:bookmarkStart w:id="59" w:name="_Ref87610471"/>
      <w:r w:rsidRPr="0081178F">
        <w:t xml:space="preserve"> Overall, 1,531 TEAEs were reported in 447 (69.0%) patients in the initial randomisation and 1,418 TEAEs in 416 patients in the second randomisation. The proportion of patients who experienced at least </w:t>
      </w:r>
      <w:r w:rsidR="000C4C71" w:rsidRPr="0081178F">
        <w:t>one</w:t>
      </w:r>
      <w:r w:rsidRPr="0081178F">
        <w:t xml:space="preserve"> TEAE was similar between the </w:t>
      </w:r>
      <w:r w:rsidR="001339D0" w:rsidRPr="0081178F">
        <w:t>Yuflyma</w:t>
      </w:r>
      <w:r w:rsidR="001339D0" w:rsidRPr="0081178F" w:rsidDel="001339D0">
        <w:t xml:space="preserve"> </w:t>
      </w:r>
      <w:r w:rsidRPr="0081178F">
        <w:t xml:space="preserve">and </w:t>
      </w:r>
      <w:r w:rsidR="003025D1" w:rsidRPr="0081178F">
        <w:t>Humira</w:t>
      </w:r>
      <w:r w:rsidRPr="0081178F">
        <w:t xml:space="preserve"> treatment groups, and between the </w:t>
      </w:r>
      <w:r w:rsidR="001339D0" w:rsidRPr="0081178F">
        <w:t>Yuflyma</w:t>
      </w:r>
      <w:r w:rsidR="001339D0" w:rsidRPr="0081178F" w:rsidDel="001339D0">
        <w:t xml:space="preserve"> </w:t>
      </w:r>
      <w:r w:rsidRPr="0081178F">
        <w:t xml:space="preserve">maintenance, </w:t>
      </w:r>
      <w:r w:rsidR="003025D1" w:rsidRPr="0081178F">
        <w:t>Humira</w:t>
      </w:r>
      <w:r w:rsidRPr="0081178F">
        <w:t xml:space="preserve"> maintenance, and switched to </w:t>
      </w:r>
      <w:r w:rsidR="001339D0" w:rsidRPr="0081178F">
        <w:t>Yuflyma</w:t>
      </w:r>
      <w:r w:rsidR="001339D0" w:rsidRPr="0081178F" w:rsidDel="001339D0">
        <w:t xml:space="preserve"> </w:t>
      </w:r>
      <w:r w:rsidRPr="0081178F">
        <w:t xml:space="preserve">groups. </w:t>
      </w:r>
      <w:r w:rsidR="008049F9" w:rsidRPr="0081178F">
        <w:t>Treatment-emergent serious adverse events</w:t>
      </w:r>
      <w:r w:rsidR="006A3642" w:rsidRPr="0081178F">
        <w:t xml:space="preserve"> (TESAEs)</w:t>
      </w:r>
      <w:r w:rsidRPr="0081178F">
        <w:t xml:space="preserve"> and TEAEs leading to study drug discontinuation were generally similar between the treatment groups. The most frequently reported TEAEs by Preferred Term are summarised in </w:t>
      </w:r>
      <w:r w:rsidRPr="0081178F">
        <w:fldChar w:fldCharType="begin"/>
      </w:r>
      <w:r w:rsidRPr="0081178F">
        <w:instrText xml:space="preserve"> REF _Ref87860561 \h  \* MERGEFORMAT </w:instrText>
      </w:r>
      <w:r w:rsidRPr="0081178F">
        <w:fldChar w:fldCharType="separate"/>
      </w:r>
      <w:r w:rsidR="003538E0" w:rsidRPr="0081178F">
        <w:t>Table 10</w:t>
      </w:r>
      <w:r w:rsidRPr="0081178F">
        <w:fldChar w:fldCharType="end"/>
      </w:r>
      <w:r w:rsidRPr="0081178F">
        <w:t xml:space="preserve">. TEAEs considered by the investigator to be related to the study drug are summarised in </w:t>
      </w:r>
      <w:r w:rsidRPr="0081178F">
        <w:fldChar w:fldCharType="begin"/>
      </w:r>
      <w:r w:rsidRPr="0081178F">
        <w:instrText xml:space="preserve"> REF _Ref87861826 \h  \* MERGEFORMAT </w:instrText>
      </w:r>
      <w:r w:rsidRPr="0081178F">
        <w:fldChar w:fldCharType="separate"/>
      </w:r>
      <w:r w:rsidR="003538E0" w:rsidRPr="0081178F">
        <w:t>Table 11</w:t>
      </w:r>
      <w:r w:rsidRPr="0081178F">
        <w:fldChar w:fldCharType="end"/>
      </w:r>
      <w:r w:rsidRPr="0081178F">
        <w:t>.</w:t>
      </w:r>
    </w:p>
    <w:p w14:paraId="15412A8E" w14:textId="18104F1F" w:rsidR="00DB7C98" w:rsidRPr="0081178F" w:rsidRDefault="00DB7C98" w:rsidP="00DB7C98">
      <w:r w:rsidRPr="0081178F">
        <w:t xml:space="preserve">Adverse </w:t>
      </w:r>
      <w:r w:rsidR="001128D2" w:rsidRPr="0081178F">
        <w:t xml:space="preserve">events of special interest </w:t>
      </w:r>
      <w:r w:rsidRPr="0081178F">
        <w:t>(AESIs) included hypersensitivity/allergic reactions, injection site reactions, infections, malignancies, demyelinating disease, haematological reactions, heart failure, lupus</w:t>
      </w:r>
      <w:r w:rsidR="006430AA" w:rsidRPr="0081178F">
        <w:t xml:space="preserve"> </w:t>
      </w:r>
      <w:r w:rsidRPr="0081178F">
        <w:t xml:space="preserve">like syndrome, and liver enzyme elevations. Overall, the frequencies of AESIs were similar across the treatment groups. Small differences in TEAEs of haematological reactions and liver enzyme elevations in the </w:t>
      </w:r>
      <w:r w:rsidR="001339D0" w:rsidRPr="0081178F">
        <w:t>Yuflyma</w:t>
      </w:r>
      <w:r w:rsidR="001339D0" w:rsidRPr="0081178F" w:rsidDel="001339D0">
        <w:t xml:space="preserve"> </w:t>
      </w:r>
      <w:r w:rsidRPr="0081178F">
        <w:t>switch group were considered not to be clinically meaningful. There were no events of demyelinating disease or lupus</w:t>
      </w:r>
      <w:r w:rsidR="006430AA" w:rsidRPr="0081178F">
        <w:t xml:space="preserve"> </w:t>
      </w:r>
      <w:r w:rsidRPr="0081178F">
        <w:t xml:space="preserve">like syndrome in the </w:t>
      </w:r>
      <w:r w:rsidR="001339D0" w:rsidRPr="0081178F">
        <w:t>Yuflyma</w:t>
      </w:r>
      <w:r w:rsidR="001339D0" w:rsidRPr="0081178F" w:rsidDel="001339D0">
        <w:t xml:space="preserve"> </w:t>
      </w:r>
      <w:r w:rsidRPr="0081178F">
        <w:t>studies, and subjects with a history of moderate to severe heart failure were excluded from the studies.</w:t>
      </w:r>
    </w:p>
    <w:p w14:paraId="6E7571DE" w14:textId="4D2EC6D2" w:rsidR="00DB7C98" w:rsidRPr="0081178F" w:rsidRDefault="00DB7C98" w:rsidP="00584275">
      <w:pPr>
        <w:pStyle w:val="TableTitle"/>
      </w:pPr>
      <w:bookmarkStart w:id="60" w:name="_Ref87860001"/>
      <w:r w:rsidRPr="0081178F">
        <w:t xml:space="preserve">Table </w:t>
      </w:r>
      <w:r w:rsidR="003420A7">
        <w:fldChar w:fldCharType="begin"/>
      </w:r>
      <w:r w:rsidR="003420A7">
        <w:instrText xml:space="preserve"> SEQ Table \* ARABIC </w:instrText>
      </w:r>
      <w:r w:rsidR="003420A7">
        <w:fldChar w:fldCharType="separate"/>
      </w:r>
      <w:r w:rsidR="003538E0" w:rsidRPr="0081178F">
        <w:rPr>
          <w:noProof/>
        </w:rPr>
        <w:t>9</w:t>
      </w:r>
      <w:r w:rsidR="003420A7">
        <w:rPr>
          <w:noProof/>
        </w:rPr>
        <w:fldChar w:fldCharType="end"/>
      </w:r>
      <w:bookmarkEnd w:id="60"/>
      <w:r w:rsidR="00C74FE8" w:rsidRPr="0081178F">
        <w:t>:</w:t>
      </w:r>
      <w:r w:rsidRPr="0081178F">
        <w:t xml:space="preserve"> </w:t>
      </w:r>
      <w:r w:rsidR="00C74FE8" w:rsidRPr="0081178F">
        <w:t xml:space="preserve">Study CT-P17 3.1 </w:t>
      </w:r>
      <w:r w:rsidRPr="0081178F">
        <w:t>Summary of</w:t>
      </w:r>
      <w:r w:rsidR="00C74FE8" w:rsidRPr="0081178F">
        <w:t xml:space="preserve"> treatment-emergent adverse events</w:t>
      </w:r>
      <w:r w:rsidR="00584275" w:rsidRPr="0081178F">
        <w:t xml:space="preserve"> (overall period;</w:t>
      </w:r>
      <w:r w:rsidR="00C74FE8" w:rsidRPr="0081178F">
        <w:t xml:space="preserve"> safety population</w:t>
      </w:r>
      <w:r w:rsidR="00584275" w:rsidRPr="0081178F">
        <w:t>)</w:t>
      </w:r>
    </w:p>
    <w:p w14:paraId="70858B28" w14:textId="483A01BF" w:rsidR="00584275" w:rsidRPr="0081178F" w:rsidRDefault="00584275" w:rsidP="00584275">
      <w:r w:rsidRPr="0081178F">
        <w:rPr>
          <w:noProof/>
          <w:lang w:val="en-GB" w:eastAsia="en-GB"/>
        </w:rPr>
        <w:drawing>
          <wp:inline distT="0" distB="0" distL="0" distR="0" wp14:anchorId="1196CF58" wp14:editId="38EA83CB">
            <wp:extent cx="5257800" cy="6881495"/>
            <wp:effectExtent l="0" t="0" r="0" b="0"/>
            <wp:docPr id="19" name="Picture 19" descr="Table 9: Study CT-P17 3.1 Summary of treatment-emergent adverse events (overall perio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9: Study CT-P17 3.1 Summary of treatment-emergent adverse events (overall period; safety population)"/>
                    <pic:cNvPicPr/>
                  </pic:nvPicPr>
                  <pic:blipFill>
                    <a:blip r:embed="rId36"/>
                    <a:stretch>
                      <a:fillRect/>
                    </a:stretch>
                  </pic:blipFill>
                  <pic:spPr>
                    <a:xfrm>
                      <a:off x="0" y="0"/>
                      <a:ext cx="5260130" cy="6884545"/>
                    </a:xfrm>
                    <a:prstGeom prst="rect">
                      <a:avLst/>
                    </a:prstGeom>
                  </pic:spPr>
                </pic:pic>
              </a:graphicData>
            </a:graphic>
          </wp:inline>
        </w:drawing>
      </w:r>
    </w:p>
    <w:p w14:paraId="1BF9D85E" w14:textId="1635E364" w:rsidR="00584275" w:rsidRPr="0081178F" w:rsidRDefault="00584275" w:rsidP="00584275">
      <w:pPr>
        <w:pStyle w:val="TableDescription"/>
      </w:pPr>
      <w:r w:rsidRPr="0081178F">
        <w:t xml:space="preserve">Abbreviations: CT-P17 = </w:t>
      </w:r>
      <w:r w:rsidR="001339D0" w:rsidRPr="0081178F">
        <w:t>Yuflyma (</w:t>
      </w:r>
      <w:r w:rsidRPr="0081178F">
        <w:t>adalimumab</w:t>
      </w:r>
      <w:r w:rsidR="001339D0" w:rsidRPr="0081178F">
        <w:t>)</w:t>
      </w:r>
      <w:r w:rsidRPr="0081178F">
        <w:t>; N= number of subjects; TEAE = treatment-emergent adverse event; TESAE = treatment-emergent serious adverse event.</w:t>
      </w:r>
    </w:p>
    <w:p w14:paraId="510E59DD" w14:textId="342D130C" w:rsidR="00584275" w:rsidRPr="0081178F" w:rsidRDefault="00584275" w:rsidP="00584275">
      <w:pPr>
        <w:pStyle w:val="TableDescription"/>
      </w:pPr>
      <w:r w:rsidRPr="0081178F">
        <w:t xml:space="preserve">The total number of TEAEs count included all patient events. At each level of summarisation, a patient was counted once if they reported one or more events. The event </w:t>
      </w:r>
      <w:proofErr w:type="gramStart"/>
      <w:r w:rsidRPr="0081178F">
        <w:t>was considered to be</w:t>
      </w:r>
      <w:proofErr w:type="gramEnd"/>
      <w:r w:rsidRPr="0081178F">
        <w:t xml:space="preserve"> related if the relationship was defined as ‘possible’, ‘probable’ or ‘definite’.</w:t>
      </w:r>
    </w:p>
    <w:p w14:paraId="4254FFCD" w14:textId="44B80E83" w:rsidR="00584275" w:rsidRPr="0081178F" w:rsidRDefault="00584275" w:rsidP="00584275">
      <w:pPr>
        <w:pStyle w:val="TableDescription"/>
      </w:pPr>
      <w:r w:rsidRPr="0081178F">
        <w:t xml:space="preserve">a </w:t>
      </w:r>
      <w:proofErr w:type="spellStart"/>
      <w:r w:rsidRPr="0081178F">
        <w:t>A</w:t>
      </w:r>
      <w:proofErr w:type="spellEnd"/>
      <w:r w:rsidRPr="0081178F">
        <w:t xml:space="preserve"> patient in the </w:t>
      </w:r>
      <w:r w:rsidR="001339D0" w:rsidRPr="0081178F">
        <w:t>Yuflyma</w:t>
      </w:r>
      <w:r w:rsidR="001339D0" w:rsidRPr="0081178F" w:rsidDel="001339D0">
        <w:t xml:space="preserve"> </w:t>
      </w:r>
      <w:r w:rsidRPr="0081178F">
        <w:t>maintenance group reported Grade 1 TEAE of lung disorder which of causality was assessed as unknown by the investigator since this event occurred after end-of-study visit and diagnosis was not completed until the time of last report.</w:t>
      </w:r>
    </w:p>
    <w:p w14:paraId="7500AC98" w14:textId="2809BF4E" w:rsidR="00DB7C98" w:rsidRPr="0081178F" w:rsidRDefault="00DB7C98" w:rsidP="004C17BC">
      <w:pPr>
        <w:pStyle w:val="TableTitle"/>
      </w:pPr>
      <w:bookmarkStart w:id="61" w:name="_Ref87860561"/>
      <w:bookmarkEnd w:id="59"/>
      <w:r w:rsidRPr="0081178F">
        <w:t xml:space="preserve">Table </w:t>
      </w:r>
      <w:r w:rsidR="003420A7">
        <w:fldChar w:fldCharType="begin"/>
      </w:r>
      <w:r w:rsidR="003420A7">
        <w:instrText xml:space="preserve"> SEQ Table \* ARABIC </w:instrText>
      </w:r>
      <w:r w:rsidR="003420A7">
        <w:fldChar w:fldCharType="separate"/>
      </w:r>
      <w:r w:rsidR="003538E0" w:rsidRPr="0081178F">
        <w:rPr>
          <w:noProof/>
        </w:rPr>
        <w:t>10</w:t>
      </w:r>
      <w:r w:rsidR="003420A7">
        <w:rPr>
          <w:noProof/>
        </w:rPr>
        <w:fldChar w:fldCharType="end"/>
      </w:r>
      <w:bookmarkEnd w:id="61"/>
      <w:r w:rsidR="00C74FE8" w:rsidRPr="0081178F">
        <w:t>: Study CT-P17 3.1 Treatment-emergent adverse event</w:t>
      </w:r>
      <w:r w:rsidRPr="0081178F">
        <w:t>s reported for ≥</w:t>
      </w:r>
      <w:r w:rsidR="004C17BC" w:rsidRPr="0081178F">
        <w:t> </w:t>
      </w:r>
      <w:r w:rsidRPr="0081178F">
        <w:t xml:space="preserve">5% of patients in any </w:t>
      </w:r>
      <w:r w:rsidR="00C74FE8" w:rsidRPr="0081178F">
        <w:t xml:space="preserve">treatment group using </w:t>
      </w:r>
      <w:r w:rsidR="004C17BC" w:rsidRPr="0081178F">
        <w:t>Preferred Term</w:t>
      </w:r>
      <w:r w:rsidR="00C74FE8" w:rsidRPr="0081178F">
        <w:t xml:space="preserve"> (overall period</w:t>
      </w:r>
      <w:r w:rsidR="004C17BC" w:rsidRPr="0081178F">
        <w:t>; safety population</w:t>
      </w:r>
      <w:r w:rsidR="00C74FE8" w:rsidRPr="0081178F">
        <w:t>)</w:t>
      </w:r>
    </w:p>
    <w:p w14:paraId="2E230547" w14:textId="5BE4E73A" w:rsidR="006A3642" w:rsidRPr="0081178F" w:rsidRDefault="004C17BC" w:rsidP="004C17BC">
      <w:r w:rsidRPr="0081178F">
        <w:rPr>
          <w:noProof/>
          <w:lang w:val="en-GB" w:eastAsia="en-GB"/>
        </w:rPr>
        <w:drawing>
          <wp:inline distT="0" distB="0" distL="0" distR="0" wp14:anchorId="550DDEDB" wp14:editId="5A63CE58">
            <wp:extent cx="5268685" cy="2553335"/>
            <wp:effectExtent l="0" t="0" r="8255" b="0"/>
            <wp:docPr id="21" name="Picture 21" descr="Table 10: Study CT-P17 3.1 Treatment-emergent adverse events reported for ≥ 5% of patients in any treatment group using Preferred Term (overall perio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 10: Study CT-P17 3.1 Treatment-emergent adverse events reported for ≥ 5% of patients in any treatment group using Preferred Term (overall period; safety population)"/>
                    <pic:cNvPicPr/>
                  </pic:nvPicPr>
                  <pic:blipFill>
                    <a:blip r:embed="rId37"/>
                    <a:stretch>
                      <a:fillRect/>
                    </a:stretch>
                  </pic:blipFill>
                  <pic:spPr>
                    <a:xfrm>
                      <a:off x="0" y="0"/>
                      <a:ext cx="5269224" cy="2553596"/>
                    </a:xfrm>
                    <a:prstGeom prst="rect">
                      <a:avLst/>
                    </a:prstGeom>
                  </pic:spPr>
                </pic:pic>
              </a:graphicData>
            </a:graphic>
          </wp:inline>
        </w:drawing>
      </w:r>
    </w:p>
    <w:p w14:paraId="108E5082" w14:textId="52854241" w:rsidR="006A3642" w:rsidRPr="0081178F" w:rsidRDefault="006A3642" w:rsidP="004C17BC">
      <w:pPr>
        <w:pStyle w:val="TableDescription"/>
      </w:pPr>
      <w:r w:rsidRPr="0081178F">
        <w:t xml:space="preserve">Abbreviations: CT-P17 = </w:t>
      </w:r>
      <w:r w:rsidR="001339D0" w:rsidRPr="0081178F">
        <w:t>Yuflyma (</w:t>
      </w:r>
      <w:r w:rsidRPr="0081178F">
        <w:t>adalimumab</w:t>
      </w:r>
      <w:r w:rsidR="001339D0" w:rsidRPr="0081178F">
        <w:t>)</w:t>
      </w:r>
      <w:r w:rsidR="004C17BC" w:rsidRPr="0081178F">
        <w:t>; N</w:t>
      </w:r>
      <w:r w:rsidR="007151F3" w:rsidRPr="0081178F">
        <w:t xml:space="preserve"> </w:t>
      </w:r>
      <w:r w:rsidR="004C17BC" w:rsidRPr="0081178F">
        <w:t>= number of subjects.</w:t>
      </w:r>
    </w:p>
    <w:p w14:paraId="35EA3C9B" w14:textId="67FF7642" w:rsidR="00DB7C98" w:rsidRPr="0081178F" w:rsidRDefault="00DB7C98" w:rsidP="004C17BC">
      <w:pPr>
        <w:pStyle w:val="TableDescription"/>
      </w:pPr>
      <w:r w:rsidRPr="0081178F">
        <w:t xml:space="preserve">At each level of summarisation, a patient was counted only once if they reported </w:t>
      </w:r>
      <w:r w:rsidR="004C17BC" w:rsidRPr="0081178F">
        <w:t>one</w:t>
      </w:r>
      <w:r w:rsidRPr="0081178F">
        <w:t xml:space="preserve"> or more events. Preferred terms </w:t>
      </w:r>
      <w:r w:rsidR="004C17BC" w:rsidRPr="0081178F">
        <w:t>were</w:t>
      </w:r>
      <w:r w:rsidRPr="0081178F">
        <w:t xml:space="preserve"> arranged by decreasing total percentage and coded using Medical Dictionary for Regulatory Activities (MedDRA)</w:t>
      </w:r>
      <w:r w:rsidR="00D246F2" w:rsidRPr="0081178F">
        <w:rPr>
          <w:rStyle w:val="FootnoteReference"/>
        </w:rPr>
        <w:footnoteReference w:id="20"/>
      </w:r>
      <w:r w:rsidRPr="0081178F">
        <w:t xml:space="preserve"> dictionary, Version 22.0.</w:t>
      </w:r>
    </w:p>
    <w:p w14:paraId="7623C3AC" w14:textId="3F1BFB6C" w:rsidR="00DB7C98" w:rsidRPr="0081178F" w:rsidRDefault="00DB7C98" w:rsidP="007151F3">
      <w:pPr>
        <w:pStyle w:val="TableTitle"/>
      </w:pPr>
      <w:bookmarkStart w:id="62" w:name="_Ref87861826"/>
      <w:r w:rsidRPr="0081178F">
        <w:t xml:space="preserve">Table </w:t>
      </w:r>
      <w:r w:rsidR="003420A7">
        <w:fldChar w:fldCharType="begin"/>
      </w:r>
      <w:r w:rsidR="003420A7">
        <w:instrText xml:space="preserve"> SEQ Table \* ARABIC </w:instrText>
      </w:r>
      <w:r w:rsidR="003420A7">
        <w:fldChar w:fldCharType="separate"/>
      </w:r>
      <w:r w:rsidR="003538E0" w:rsidRPr="0081178F">
        <w:rPr>
          <w:noProof/>
        </w:rPr>
        <w:t>11</w:t>
      </w:r>
      <w:r w:rsidR="003420A7">
        <w:rPr>
          <w:noProof/>
        </w:rPr>
        <w:fldChar w:fldCharType="end"/>
      </w:r>
      <w:bookmarkEnd w:id="62"/>
      <w:r w:rsidR="00C74FE8" w:rsidRPr="0081178F">
        <w:t>:</w:t>
      </w:r>
      <w:r w:rsidRPr="0081178F">
        <w:t xml:space="preserve"> </w:t>
      </w:r>
      <w:r w:rsidR="00C74FE8" w:rsidRPr="0081178F">
        <w:t>Study CT-P17 3.1 Treatment-emergent adverse events considered by the investigator to be related to the study drug reported for ≥</w:t>
      </w:r>
      <w:r w:rsidR="007151F3" w:rsidRPr="0081178F">
        <w:t> </w:t>
      </w:r>
      <w:r w:rsidR="00C74FE8" w:rsidRPr="0081178F">
        <w:t xml:space="preserve">5% of patients in any treatment group using </w:t>
      </w:r>
      <w:r w:rsidR="007151F3" w:rsidRPr="0081178F">
        <w:t xml:space="preserve">Preferred Term </w:t>
      </w:r>
      <w:r w:rsidR="00C74FE8" w:rsidRPr="0081178F">
        <w:t>(overall period</w:t>
      </w:r>
      <w:r w:rsidR="007151F3" w:rsidRPr="0081178F">
        <w:t>; safety population</w:t>
      </w:r>
      <w:r w:rsidR="00C74FE8" w:rsidRPr="0081178F">
        <w:t>)</w:t>
      </w:r>
    </w:p>
    <w:p w14:paraId="43A97D38" w14:textId="3F643AB5" w:rsidR="004C17BC" w:rsidRPr="0081178F" w:rsidRDefault="004C17BC" w:rsidP="007151F3">
      <w:r w:rsidRPr="0081178F">
        <w:rPr>
          <w:noProof/>
          <w:lang w:val="en-GB" w:eastAsia="en-GB"/>
        </w:rPr>
        <w:drawing>
          <wp:inline distT="0" distB="0" distL="0" distR="0" wp14:anchorId="032CF57E" wp14:editId="5578A604">
            <wp:extent cx="5400040" cy="1853565"/>
            <wp:effectExtent l="0" t="0" r="0" b="0"/>
            <wp:docPr id="22" name="Picture 22" descr="Table 11: Study CT-P17 3.1 Treatment-emergent adverse events considered by the investigator to be related to the study drug reported for ≥ 5% of patients in any treatment group using Preferred Term (overall perio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 11: Study CT-P17 3.1 Treatment-emergent adverse events considered by the investigator to be related to the study drug reported for ≥ 5% of patients in any treatment group using Preferred Term (overall period; safety population)"/>
                    <pic:cNvPicPr/>
                  </pic:nvPicPr>
                  <pic:blipFill>
                    <a:blip r:embed="rId38"/>
                    <a:stretch>
                      <a:fillRect/>
                    </a:stretch>
                  </pic:blipFill>
                  <pic:spPr>
                    <a:xfrm>
                      <a:off x="0" y="0"/>
                      <a:ext cx="5400040" cy="1853565"/>
                    </a:xfrm>
                    <a:prstGeom prst="rect">
                      <a:avLst/>
                    </a:prstGeom>
                  </pic:spPr>
                </pic:pic>
              </a:graphicData>
            </a:graphic>
          </wp:inline>
        </w:drawing>
      </w:r>
    </w:p>
    <w:p w14:paraId="7F5C3B55" w14:textId="377BA7B9" w:rsidR="006A3642" w:rsidRPr="0081178F" w:rsidRDefault="006A3642" w:rsidP="007151F3">
      <w:pPr>
        <w:pStyle w:val="TableDescription"/>
      </w:pPr>
      <w:r w:rsidRPr="0081178F">
        <w:t xml:space="preserve">Abbreviations: </w:t>
      </w:r>
      <w:r w:rsidR="004C17BC" w:rsidRPr="0081178F">
        <w:t xml:space="preserve">CT-P17 = </w:t>
      </w:r>
      <w:r w:rsidR="001339D0" w:rsidRPr="0081178F">
        <w:t>Yuflyma (</w:t>
      </w:r>
      <w:r w:rsidR="004C17BC" w:rsidRPr="0081178F">
        <w:t>adalimumab</w:t>
      </w:r>
      <w:r w:rsidR="001339D0" w:rsidRPr="0081178F">
        <w:t>)</w:t>
      </w:r>
      <w:r w:rsidR="004C17BC" w:rsidRPr="0081178F">
        <w:t>; N</w:t>
      </w:r>
      <w:r w:rsidR="007151F3" w:rsidRPr="0081178F">
        <w:t xml:space="preserve"> </w:t>
      </w:r>
      <w:r w:rsidR="004C17BC" w:rsidRPr="0081178F">
        <w:t>= number of subjects.</w:t>
      </w:r>
    </w:p>
    <w:p w14:paraId="5DDEDEBB" w14:textId="78C628FF" w:rsidR="004C17BC" w:rsidRPr="0081178F" w:rsidRDefault="004C17BC" w:rsidP="007151F3">
      <w:pPr>
        <w:pStyle w:val="TableDescription"/>
      </w:pPr>
      <w:r w:rsidRPr="0081178F">
        <w:t>At each level of summari</w:t>
      </w:r>
      <w:r w:rsidR="007151F3" w:rsidRPr="0081178F">
        <w:t>s</w:t>
      </w:r>
      <w:r w:rsidRPr="0081178F">
        <w:t xml:space="preserve">ation, a patient was counted only once if they reported </w:t>
      </w:r>
      <w:r w:rsidR="007151F3" w:rsidRPr="0081178F">
        <w:t>one</w:t>
      </w:r>
      <w:r w:rsidRPr="0081178F">
        <w:t xml:space="preserve"> or more events. Preferred terms were arranged by decreasing total percentage and coded using Medical Dictionary for Regulatory Activities (MedDRA) dictionary, Version 22.0.</w:t>
      </w:r>
    </w:p>
    <w:p w14:paraId="4E0EFF08" w14:textId="77777777" w:rsidR="00DB7C98" w:rsidRPr="0081178F" w:rsidRDefault="00DB7C98" w:rsidP="00DB7C98">
      <w:pPr>
        <w:pStyle w:val="Heading5"/>
      </w:pPr>
      <w:r w:rsidRPr="0081178F">
        <w:t>Immunogenicity</w:t>
      </w:r>
    </w:p>
    <w:p w14:paraId="305ABB49" w14:textId="08856B4E" w:rsidR="00DB7C98" w:rsidRPr="0081178F" w:rsidRDefault="00DB7C98" w:rsidP="00DB7C98">
      <w:r w:rsidRPr="0081178F">
        <w:t xml:space="preserve">Comparative immunogenicity evaluations were conducted in three single dose studies in healthy volunteers (Studies CT-P17 1.1, </w:t>
      </w:r>
      <w:r w:rsidR="006430AA" w:rsidRPr="0081178F">
        <w:t xml:space="preserve">CT-P17 </w:t>
      </w:r>
      <w:r w:rsidRPr="0081178F">
        <w:t xml:space="preserve">1.2, </w:t>
      </w:r>
      <w:r w:rsidR="006430AA" w:rsidRPr="0081178F">
        <w:t xml:space="preserve">CT-P17 </w:t>
      </w:r>
      <w:r w:rsidRPr="0081178F">
        <w:t>1.3) and in one multiple</w:t>
      </w:r>
      <w:r w:rsidR="006430AA" w:rsidRPr="0081178F">
        <w:t xml:space="preserve"> </w:t>
      </w:r>
      <w:r w:rsidRPr="0081178F">
        <w:t xml:space="preserve">dose study in </w:t>
      </w:r>
      <w:r w:rsidR="005E11DA" w:rsidRPr="0081178F">
        <w:t>rheumatoid arthritis</w:t>
      </w:r>
      <w:r w:rsidRPr="0081178F">
        <w:t xml:space="preserve"> patients (Study CT-P17 3.1).</w:t>
      </w:r>
    </w:p>
    <w:p w14:paraId="23CFB025" w14:textId="64117E8C" w:rsidR="00DB7C98" w:rsidRPr="0081178F" w:rsidRDefault="00DB7C98" w:rsidP="00DB7C98">
      <w:r w:rsidRPr="0081178F">
        <w:t xml:space="preserve">In </w:t>
      </w:r>
      <w:r w:rsidR="006430AA" w:rsidRPr="0081178F">
        <w:t xml:space="preserve">Study </w:t>
      </w:r>
      <w:r w:rsidRPr="0081178F">
        <w:t xml:space="preserve">CT-P17 1.1, the rates of </w:t>
      </w:r>
      <w:r w:rsidR="001339D0" w:rsidRPr="0081178F">
        <w:t>antidrug antibody (</w:t>
      </w:r>
      <w:r w:rsidRPr="0081178F">
        <w:t>ADA</w:t>
      </w:r>
      <w:r w:rsidR="001339D0" w:rsidRPr="0081178F">
        <w:t>)</w:t>
      </w:r>
      <w:r w:rsidRPr="0081178F">
        <w:t xml:space="preserve"> conversion and </w:t>
      </w:r>
      <w:r w:rsidR="001128D2" w:rsidRPr="0081178F">
        <w:t>neutralising antibody</w:t>
      </w:r>
      <w:r w:rsidRPr="0081178F">
        <w:t xml:space="preserve"> </w:t>
      </w:r>
      <w:r w:rsidR="001339D0" w:rsidRPr="0081178F">
        <w:t>(</w:t>
      </w:r>
      <w:proofErr w:type="spellStart"/>
      <w:r w:rsidR="001339D0" w:rsidRPr="0081178F">
        <w:t>NAb</w:t>
      </w:r>
      <w:proofErr w:type="spellEnd"/>
      <w:r w:rsidR="001339D0" w:rsidRPr="0081178F">
        <w:t xml:space="preserve">) </w:t>
      </w:r>
      <w:r w:rsidRPr="0081178F">
        <w:t xml:space="preserve">conversion, as well as ADA titre results, were comparable for </w:t>
      </w:r>
      <w:r w:rsidR="001339D0" w:rsidRPr="0081178F">
        <w:t>Yuflyma</w:t>
      </w:r>
      <w:r w:rsidR="001339D0" w:rsidRPr="0081178F" w:rsidDel="001339D0">
        <w:t xml:space="preserve"> </w:t>
      </w:r>
      <w:r w:rsidRPr="0081178F">
        <w:t xml:space="preserve">and </w:t>
      </w:r>
      <w:r w:rsidR="003025D1" w:rsidRPr="0081178F">
        <w:t>Humira</w:t>
      </w:r>
      <w:r w:rsidRPr="0081178F">
        <w:t xml:space="preserve"> in healthy subjects following a single dose.</w:t>
      </w:r>
    </w:p>
    <w:p w14:paraId="71A54000" w14:textId="4D72A937" w:rsidR="00DB7C98" w:rsidRPr="0081178F" w:rsidRDefault="00DB7C98" w:rsidP="00DB7C98">
      <w:r w:rsidRPr="0081178F">
        <w:t xml:space="preserve">In </w:t>
      </w:r>
      <w:r w:rsidR="006430AA" w:rsidRPr="0081178F">
        <w:t xml:space="preserve">Study </w:t>
      </w:r>
      <w:r w:rsidRPr="0081178F">
        <w:t>CT-P17 3.1, the proportion of patients with ADA positive results up to Week</w:t>
      </w:r>
      <w:r w:rsidR="006430AA" w:rsidRPr="0081178F">
        <w:t> </w:t>
      </w:r>
      <w:r w:rsidRPr="0081178F">
        <w:t xml:space="preserve">24 (Treatment </w:t>
      </w:r>
      <w:r w:rsidR="00F73D8A" w:rsidRPr="0081178F">
        <w:t>Period</w:t>
      </w:r>
      <w:r w:rsidRPr="0081178F">
        <w:t xml:space="preserve"> I) was slightly lower in the </w:t>
      </w:r>
      <w:r w:rsidR="001339D0" w:rsidRPr="0081178F">
        <w:t>Yuflyma</w:t>
      </w:r>
      <w:r w:rsidR="001339D0" w:rsidRPr="0081178F" w:rsidDel="001339D0">
        <w:t xml:space="preserve"> </w:t>
      </w:r>
      <w:r w:rsidRPr="0081178F">
        <w:t xml:space="preserve">treatment group. According to the EMA </w:t>
      </w:r>
      <w:r w:rsidR="006430AA" w:rsidRPr="0081178F">
        <w:t>g</w:t>
      </w:r>
      <w:r w:rsidRPr="0081178F">
        <w:t>uideline</w:t>
      </w:r>
      <w:r w:rsidR="006430AA" w:rsidRPr="0081178F">
        <w:t>,</w:t>
      </w:r>
      <w:r w:rsidR="006430AA" w:rsidRPr="0081178F">
        <w:rPr>
          <w:vertAlign w:val="superscript"/>
        </w:rPr>
        <w:fldChar w:fldCharType="begin"/>
      </w:r>
      <w:r w:rsidR="006430AA" w:rsidRPr="0081178F">
        <w:rPr>
          <w:vertAlign w:val="superscript"/>
        </w:rPr>
        <w:instrText xml:space="preserve"> NOTEREF _Ref110191764 \h  \* MERGEFORMAT </w:instrText>
      </w:r>
      <w:r w:rsidR="006430AA" w:rsidRPr="0081178F">
        <w:rPr>
          <w:vertAlign w:val="superscript"/>
        </w:rPr>
      </w:r>
      <w:r w:rsidR="006430AA" w:rsidRPr="0081178F">
        <w:rPr>
          <w:vertAlign w:val="superscript"/>
        </w:rPr>
        <w:fldChar w:fldCharType="separate"/>
      </w:r>
      <w:r w:rsidR="003538E0" w:rsidRPr="0081178F">
        <w:rPr>
          <w:vertAlign w:val="superscript"/>
        </w:rPr>
        <w:t>10</w:t>
      </w:r>
      <w:r w:rsidR="006430AA" w:rsidRPr="0081178F">
        <w:rPr>
          <w:vertAlign w:val="superscript"/>
        </w:rPr>
        <w:fldChar w:fldCharType="end"/>
      </w:r>
      <w:r w:rsidRPr="0081178F">
        <w:t xml:space="preserve"> a lower immunogenicity for the biosimilar does not preclude biosimilarity. ADA titre levels were similar between the </w:t>
      </w:r>
      <w:r w:rsidR="001339D0" w:rsidRPr="0081178F">
        <w:t>Yuflyma</w:t>
      </w:r>
      <w:r w:rsidR="001339D0" w:rsidRPr="0081178F" w:rsidDel="001339D0">
        <w:t xml:space="preserve"> </w:t>
      </w:r>
      <w:r w:rsidRPr="0081178F">
        <w:t xml:space="preserve">and </w:t>
      </w:r>
      <w:r w:rsidR="003025D1" w:rsidRPr="0081178F">
        <w:t>Humira</w:t>
      </w:r>
      <w:r w:rsidRPr="0081178F">
        <w:t xml:space="preserve"> treatment groups. In </w:t>
      </w:r>
      <w:r w:rsidR="00F73D8A" w:rsidRPr="0081178F">
        <w:t>Treatment Period</w:t>
      </w:r>
      <w:r w:rsidRPr="0081178F">
        <w:t xml:space="preserve"> II, the proportion of patients with ADA/</w:t>
      </w:r>
      <w:proofErr w:type="spellStart"/>
      <w:r w:rsidRPr="0081178F">
        <w:t>N</w:t>
      </w:r>
      <w:r w:rsidR="001339D0" w:rsidRPr="0081178F">
        <w:t>A</w:t>
      </w:r>
      <w:r w:rsidRPr="0081178F">
        <w:t>b</w:t>
      </w:r>
      <w:proofErr w:type="spellEnd"/>
      <w:r w:rsidRPr="0081178F">
        <w:t xml:space="preserve"> positive results was overall comparable between treatment groups up to Week 52. ADA conversion was less frequent in Treatment Period II than in Treatment Period I (</w:t>
      </w:r>
      <w:r w:rsidRPr="0081178F">
        <w:fldChar w:fldCharType="begin"/>
      </w:r>
      <w:r w:rsidRPr="0081178F">
        <w:instrText xml:space="preserve"> REF _Ref87865178 \h  \* MERGEFORMAT </w:instrText>
      </w:r>
      <w:r w:rsidRPr="0081178F">
        <w:fldChar w:fldCharType="separate"/>
      </w:r>
      <w:r w:rsidR="003538E0" w:rsidRPr="0081178F">
        <w:t>Table 12</w:t>
      </w:r>
      <w:r w:rsidRPr="0081178F">
        <w:fldChar w:fldCharType="end"/>
      </w:r>
      <w:r w:rsidRPr="0081178F">
        <w:t xml:space="preserve">). Switching from </w:t>
      </w:r>
      <w:r w:rsidR="003025D1" w:rsidRPr="0081178F">
        <w:t>Humira</w:t>
      </w:r>
      <w:r w:rsidRPr="0081178F">
        <w:t xml:space="preserve"> to </w:t>
      </w:r>
      <w:r w:rsidR="001339D0" w:rsidRPr="0081178F">
        <w:t>Yuflyma</w:t>
      </w:r>
      <w:r w:rsidR="001339D0" w:rsidRPr="0081178F" w:rsidDel="001339D0">
        <w:t xml:space="preserve"> </w:t>
      </w:r>
      <w:r w:rsidRPr="0081178F">
        <w:t xml:space="preserve">at </w:t>
      </w:r>
      <w:r w:rsidR="00F73D8A" w:rsidRPr="0081178F">
        <w:t xml:space="preserve">Week </w:t>
      </w:r>
      <w:r w:rsidRPr="0081178F">
        <w:t>26 did not have a significant effect on ADA conversion.</w:t>
      </w:r>
    </w:p>
    <w:p w14:paraId="5335319B" w14:textId="2F1D80D4" w:rsidR="00DB7C98" w:rsidRPr="0081178F" w:rsidRDefault="00DB7C98" w:rsidP="007151F3">
      <w:pPr>
        <w:pStyle w:val="TableTitle"/>
      </w:pPr>
      <w:bookmarkStart w:id="63" w:name="_Ref87865178"/>
      <w:r w:rsidRPr="0081178F">
        <w:t xml:space="preserve">Table </w:t>
      </w:r>
      <w:r w:rsidR="003420A7">
        <w:fldChar w:fldCharType="begin"/>
      </w:r>
      <w:r w:rsidR="003420A7">
        <w:instrText xml:space="preserve"> SEQ Table \* ARABIC </w:instrText>
      </w:r>
      <w:r w:rsidR="003420A7">
        <w:fldChar w:fldCharType="separate"/>
      </w:r>
      <w:r w:rsidR="003538E0" w:rsidRPr="0081178F">
        <w:rPr>
          <w:noProof/>
        </w:rPr>
        <w:t>12</w:t>
      </w:r>
      <w:r w:rsidR="003420A7">
        <w:rPr>
          <w:noProof/>
        </w:rPr>
        <w:fldChar w:fldCharType="end"/>
      </w:r>
      <w:bookmarkEnd w:id="63"/>
      <w:r w:rsidR="00C74FE8" w:rsidRPr="0081178F">
        <w:t xml:space="preserve">: Study CT-P17 3.1 </w:t>
      </w:r>
      <w:r w:rsidRPr="0081178F">
        <w:t xml:space="preserve">Summary of </w:t>
      </w:r>
      <w:r w:rsidR="00C74FE8" w:rsidRPr="0081178F">
        <w:t>positive conversion in anti‐drug antibody or neutralising antibody</w:t>
      </w:r>
      <w:r w:rsidR="007151F3" w:rsidRPr="0081178F">
        <w:t xml:space="preserve"> (safety population)</w:t>
      </w:r>
    </w:p>
    <w:p w14:paraId="3ABCEC3D" w14:textId="48A07343" w:rsidR="00DB7C98" w:rsidRPr="0081178F" w:rsidRDefault="007151F3" w:rsidP="007151F3">
      <w:r w:rsidRPr="0081178F">
        <w:rPr>
          <w:noProof/>
          <w:lang w:val="en-GB" w:eastAsia="en-GB"/>
        </w:rPr>
        <w:drawing>
          <wp:inline distT="0" distB="0" distL="0" distR="0" wp14:anchorId="1D233088" wp14:editId="5B6FA5A4">
            <wp:extent cx="5400040" cy="2115820"/>
            <wp:effectExtent l="0" t="0" r="0" b="0"/>
            <wp:docPr id="27" name="Picture 27" descr="Table 12: Study CT-P17 3.1 Summary of positive conversion in anti‐drug antibody or neutralising antibod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 12: Study CT-P17 3.1 Summary of positive conversion in anti‐drug antibody or neutralising antibody (safety population)"/>
                    <pic:cNvPicPr/>
                  </pic:nvPicPr>
                  <pic:blipFill>
                    <a:blip r:embed="rId39"/>
                    <a:stretch>
                      <a:fillRect/>
                    </a:stretch>
                  </pic:blipFill>
                  <pic:spPr>
                    <a:xfrm>
                      <a:off x="0" y="0"/>
                      <a:ext cx="5400040" cy="2115820"/>
                    </a:xfrm>
                    <a:prstGeom prst="rect">
                      <a:avLst/>
                    </a:prstGeom>
                  </pic:spPr>
                </pic:pic>
              </a:graphicData>
            </a:graphic>
          </wp:inline>
        </w:drawing>
      </w:r>
    </w:p>
    <w:p w14:paraId="10951708" w14:textId="456C7511" w:rsidR="007151F3" w:rsidRPr="0081178F" w:rsidRDefault="006A3642" w:rsidP="007151F3">
      <w:pPr>
        <w:pStyle w:val="TableDescription"/>
      </w:pPr>
      <w:r w:rsidRPr="0081178F">
        <w:t xml:space="preserve">Abbreviations: </w:t>
      </w:r>
      <w:r w:rsidR="007151F3" w:rsidRPr="0081178F">
        <w:t xml:space="preserve">ADA = antidrug antibody; </w:t>
      </w:r>
      <w:r w:rsidRPr="0081178F">
        <w:t xml:space="preserve">CT-P17 = </w:t>
      </w:r>
      <w:r w:rsidR="001339D0" w:rsidRPr="0081178F">
        <w:t>Yuflyma (</w:t>
      </w:r>
      <w:r w:rsidRPr="0081178F">
        <w:t>adalimumab</w:t>
      </w:r>
      <w:r w:rsidR="001339D0" w:rsidRPr="0081178F">
        <w:t>)</w:t>
      </w:r>
      <w:r w:rsidR="007151F3" w:rsidRPr="0081178F">
        <w:t xml:space="preserve">; N = number of subjects; </w:t>
      </w:r>
      <w:proofErr w:type="spellStart"/>
      <w:r w:rsidR="007151F3" w:rsidRPr="0081178F">
        <w:t>N</w:t>
      </w:r>
      <w:r w:rsidR="001339D0" w:rsidRPr="0081178F">
        <w:t>A</w:t>
      </w:r>
      <w:r w:rsidR="007151F3" w:rsidRPr="0081178F">
        <w:t>b</w:t>
      </w:r>
      <w:proofErr w:type="spellEnd"/>
      <w:r w:rsidR="001339D0" w:rsidRPr="0081178F">
        <w:t> </w:t>
      </w:r>
      <w:r w:rsidR="007151F3" w:rsidRPr="0081178F">
        <w:t>= neutralising antibody.</w:t>
      </w:r>
    </w:p>
    <w:p w14:paraId="2D3C71A7" w14:textId="2D787047" w:rsidR="007151F3" w:rsidRPr="0081178F" w:rsidRDefault="007151F3" w:rsidP="007151F3">
      <w:pPr>
        <w:pStyle w:val="TableDescription"/>
      </w:pPr>
      <w:r w:rsidRPr="0081178F">
        <w:t xml:space="preserve">For Treatment Period I, the numerator is the number of patients with at least one ADA or </w:t>
      </w:r>
      <w:proofErr w:type="spellStart"/>
      <w:r w:rsidRPr="0081178F">
        <w:t>NAb</w:t>
      </w:r>
      <w:proofErr w:type="spellEnd"/>
      <w:r w:rsidRPr="0081178F">
        <w:t xml:space="preserve"> positive result after first study drug administration in Treatment Period I and before the first study drug administration in Treatment Period II. The denominator is the number of patients who had at least one ADA result after first study drug administration in Treatment Period I and before the first study drug administration in Treatment </w:t>
      </w:r>
      <w:proofErr w:type="gramStart"/>
      <w:r w:rsidRPr="0081178F">
        <w:t>Period II, and</w:t>
      </w:r>
      <w:proofErr w:type="gramEnd"/>
      <w:r w:rsidRPr="0081178F">
        <w:t xml:space="preserve"> had not any ADA positive (in case of ADA summary) or </w:t>
      </w:r>
      <w:proofErr w:type="spellStart"/>
      <w:r w:rsidRPr="0081178F">
        <w:t>NAb</w:t>
      </w:r>
      <w:proofErr w:type="spellEnd"/>
      <w:r w:rsidRPr="0081178F">
        <w:t xml:space="preserve"> positive (in case of </w:t>
      </w:r>
      <w:proofErr w:type="spellStart"/>
      <w:r w:rsidRPr="0081178F">
        <w:t>NAb</w:t>
      </w:r>
      <w:proofErr w:type="spellEnd"/>
      <w:r w:rsidRPr="0081178F">
        <w:t xml:space="preserve"> summary) result before the first study drug administration. For Treatment Period II, the numerator is the number of patients with at least one ADA or </w:t>
      </w:r>
      <w:proofErr w:type="spellStart"/>
      <w:r w:rsidRPr="0081178F">
        <w:t>NAb</w:t>
      </w:r>
      <w:proofErr w:type="spellEnd"/>
      <w:r w:rsidRPr="0081178F">
        <w:t xml:space="preserve"> positive result after first study drug administration in treatment period II (including the end-of-study (EOS) visit). The denominator is the number of patients who had at least one ADA result after first study drug administration in Treatment Period II (including the EOS visit</w:t>
      </w:r>
      <w:proofErr w:type="gramStart"/>
      <w:r w:rsidRPr="0081178F">
        <w:t>), and</w:t>
      </w:r>
      <w:proofErr w:type="gramEnd"/>
      <w:r w:rsidRPr="0081178F">
        <w:t xml:space="preserve"> had not any ADA positive (in case of ADA summary) or Nab positive (in case of </w:t>
      </w:r>
      <w:proofErr w:type="spellStart"/>
      <w:r w:rsidRPr="0081178F">
        <w:t>NAb</w:t>
      </w:r>
      <w:proofErr w:type="spellEnd"/>
      <w:r w:rsidRPr="0081178F">
        <w:t xml:space="preserve"> summary) result before the first study drug administration in Treatment Period II.</w:t>
      </w:r>
    </w:p>
    <w:p w14:paraId="60699987" w14:textId="4C6FA6DA" w:rsidR="00DB7C98" w:rsidRPr="0081178F" w:rsidRDefault="00DB7C98" w:rsidP="00DB7C98">
      <w:r w:rsidRPr="0081178F">
        <w:t xml:space="preserve">In </w:t>
      </w:r>
      <w:r w:rsidR="006430AA" w:rsidRPr="0081178F">
        <w:t xml:space="preserve">Study </w:t>
      </w:r>
      <w:r w:rsidRPr="0081178F">
        <w:t xml:space="preserve">CT-P17 3.1, the frequency of TEAEs was slightly higher among ADA positive than ADA negative patients, but a similar difference was observed in both treatment arms. There were no meaningful differences between treatment groups in the proportion of patients experiencing TEAEs for </w:t>
      </w:r>
      <w:r w:rsidR="006430AA" w:rsidRPr="0081178F">
        <w:t>System Organ Classes</w:t>
      </w:r>
      <w:r w:rsidRPr="0081178F">
        <w:t xml:space="preserve"> </w:t>
      </w:r>
      <w:r w:rsidR="006430AA" w:rsidRPr="0081178F">
        <w:t xml:space="preserve">infections and infestations, investigations and general disorder and administrative </w:t>
      </w:r>
      <w:r w:rsidRPr="0081178F">
        <w:t>site conditions within the ADA</w:t>
      </w:r>
      <w:r w:rsidR="006430AA" w:rsidRPr="0081178F">
        <w:t xml:space="preserve"> </w:t>
      </w:r>
      <w:r w:rsidRPr="0081178F">
        <w:t>positive patient subgroups.</w:t>
      </w:r>
    </w:p>
    <w:p w14:paraId="11CB8167" w14:textId="77777777" w:rsidR="008E7846" w:rsidRPr="0081178F" w:rsidRDefault="00386150" w:rsidP="007B6132">
      <w:pPr>
        <w:pStyle w:val="Heading3"/>
        <w:rPr>
          <w:lang w:eastAsia="en-AU"/>
        </w:rPr>
      </w:pPr>
      <w:bookmarkStart w:id="64" w:name="_Toc314842514"/>
      <w:bookmarkStart w:id="65" w:name="_Toc117858935"/>
      <w:r w:rsidRPr="0081178F">
        <w:rPr>
          <w:lang w:eastAsia="en-AU"/>
        </w:rPr>
        <w:t>Risk m</w:t>
      </w:r>
      <w:r w:rsidR="008E7846" w:rsidRPr="0081178F">
        <w:rPr>
          <w:lang w:eastAsia="en-AU"/>
        </w:rPr>
        <w:t xml:space="preserve">anagement </w:t>
      </w:r>
      <w:r w:rsidRPr="0081178F">
        <w:rPr>
          <w:lang w:eastAsia="en-AU"/>
        </w:rPr>
        <w:t>p</w:t>
      </w:r>
      <w:r w:rsidR="008E7846" w:rsidRPr="0081178F">
        <w:rPr>
          <w:lang w:eastAsia="en-AU"/>
        </w:rPr>
        <w:t>lan</w:t>
      </w:r>
      <w:bookmarkEnd w:id="64"/>
      <w:bookmarkEnd w:id="65"/>
    </w:p>
    <w:p w14:paraId="1CB00E6A" w14:textId="7EA8D746" w:rsidR="00014EB3" w:rsidRPr="0081178F" w:rsidRDefault="00014EB3" w:rsidP="00014EB3">
      <w:bookmarkStart w:id="66" w:name="_Toc247691531"/>
      <w:bookmarkStart w:id="67" w:name="_Toc314842515"/>
      <w:bookmarkStart w:id="68" w:name="_Toc196046505"/>
      <w:bookmarkStart w:id="69" w:name="_Toc196046949"/>
      <w:r w:rsidRPr="0081178F">
        <w:t>The sponsor has submitted EU-</w:t>
      </w:r>
      <w:r w:rsidR="006430AA" w:rsidRPr="0081178F">
        <w:t>risk management plan (</w:t>
      </w:r>
      <w:r w:rsidRPr="0081178F">
        <w:t>RMP</w:t>
      </w:r>
      <w:r w:rsidR="006430AA" w:rsidRPr="0081178F">
        <w:t>)</w:t>
      </w:r>
      <w:r w:rsidRPr="0081178F">
        <w:t xml:space="preserve"> version 1.0 (date</w:t>
      </w:r>
      <w:r w:rsidR="006430AA" w:rsidRPr="0081178F">
        <w:t>d</w:t>
      </w:r>
      <w:r w:rsidRPr="0081178F">
        <w:t xml:space="preserve"> 17</w:t>
      </w:r>
      <w:r w:rsidR="001339D0" w:rsidRPr="0081178F">
        <w:t> </w:t>
      </w:r>
      <w:r w:rsidRPr="0081178F">
        <w:t xml:space="preserve">February 2021; </w:t>
      </w:r>
      <w:r w:rsidR="001128D2" w:rsidRPr="0081178F">
        <w:t>data lock point (</w:t>
      </w:r>
      <w:r w:rsidRPr="0081178F">
        <w:t>DLP</w:t>
      </w:r>
      <w:r w:rsidR="001128D2" w:rsidRPr="0081178F">
        <w:t>)</w:t>
      </w:r>
      <w:r w:rsidRPr="0081178F">
        <w:t xml:space="preserve"> 25 June 2020) and </w:t>
      </w:r>
      <w:r w:rsidR="001128D2" w:rsidRPr="0081178F">
        <w:t>Australia specific annex (</w:t>
      </w:r>
      <w:r w:rsidRPr="0081178F">
        <w:t>ASA</w:t>
      </w:r>
      <w:r w:rsidR="001128D2" w:rsidRPr="0081178F">
        <w:t>)</w:t>
      </w:r>
      <w:r w:rsidRPr="0081178F">
        <w:t xml:space="preserve"> version 1.0 (date</w:t>
      </w:r>
      <w:r w:rsidR="006430AA" w:rsidRPr="0081178F">
        <w:t>d</w:t>
      </w:r>
      <w:r w:rsidRPr="0081178F">
        <w:t xml:space="preserve"> 15 March 2021) in support of this application. At </w:t>
      </w:r>
      <w:r w:rsidR="00CC342B" w:rsidRPr="0081178F">
        <w:t xml:space="preserve">the second </w:t>
      </w:r>
      <w:r w:rsidRPr="0081178F">
        <w:t xml:space="preserve">round </w:t>
      </w:r>
      <w:r w:rsidR="00CC342B" w:rsidRPr="0081178F">
        <w:t xml:space="preserve">of evaluation, </w:t>
      </w:r>
      <w:r w:rsidRPr="0081178F">
        <w:t>the sponsor submitted EU-RMP version 1.1 (date</w:t>
      </w:r>
      <w:r w:rsidR="00CC342B" w:rsidRPr="0081178F">
        <w:t>d</w:t>
      </w:r>
      <w:r w:rsidRPr="0081178F">
        <w:t xml:space="preserve"> 19 April 2021; DLP</w:t>
      </w:r>
      <w:r w:rsidR="001339D0" w:rsidRPr="0081178F">
        <w:t> </w:t>
      </w:r>
      <w:r w:rsidRPr="0081178F">
        <w:t>15</w:t>
      </w:r>
      <w:r w:rsidR="001339D0" w:rsidRPr="0081178F">
        <w:t> </w:t>
      </w:r>
      <w:r w:rsidRPr="0081178F">
        <w:t>April</w:t>
      </w:r>
      <w:r w:rsidR="001339D0" w:rsidRPr="0081178F">
        <w:t> </w:t>
      </w:r>
      <w:r w:rsidRPr="0081178F">
        <w:t>2021) and ASA version 2.0 (date</w:t>
      </w:r>
      <w:r w:rsidR="00CC342B" w:rsidRPr="0081178F">
        <w:t>d</w:t>
      </w:r>
      <w:r w:rsidRPr="0081178F">
        <w:t xml:space="preserve"> 19</w:t>
      </w:r>
      <w:r w:rsidR="00CC342B" w:rsidRPr="0081178F">
        <w:t> </w:t>
      </w:r>
      <w:r w:rsidRPr="0081178F">
        <w:t xml:space="preserve">October 2021). In response to </w:t>
      </w:r>
      <w:r w:rsidR="00CC342B" w:rsidRPr="0081178F">
        <w:t>the second round of evaluation</w:t>
      </w:r>
      <w:r w:rsidRPr="0081178F">
        <w:t xml:space="preserve"> recommendations</w:t>
      </w:r>
      <w:r w:rsidR="00CC342B" w:rsidRPr="0081178F">
        <w:t>,</w:t>
      </w:r>
      <w:r w:rsidRPr="0081178F">
        <w:t xml:space="preserve"> the sponsor submitted ASA version</w:t>
      </w:r>
      <w:r w:rsidR="00186C38" w:rsidRPr="0081178F">
        <w:t> </w:t>
      </w:r>
      <w:r w:rsidRPr="0081178F">
        <w:t>3.0 (date</w:t>
      </w:r>
      <w:r w:rsidR="00CC342B" w:rsidRPr="0081178F">
        <w:t>d</w:t>
      </w:r>
      <w:r w:rsidRPr="0081178F">
        <w:t xml:space="preserve"> 22 December 2021)</w:t>
      </w:r>
      <w:r w:rsidR="00CC342B" w:rsidRPr="0081178F">
        <w:t>.</w:t>
      </w:r>
    </w:p>
    <w:p w14:paraId="1A220737" w14:textId="402335B1" w:rsidR="0074163C" w:rsidRPr="0081178F" w:rsidRDefault="0074163C" w:rsidP="0074163C">
      <w:r w:rsidRPr="0081178F">
        <w:t xml:space="preserve">The summary of safety concerns and their associated risk monitoring and mitigation strategies are summarised in </w:t>
      </w:r>
      <w:r w:rsidR="00014EB3" w:rsidRPr="0081178F">
        <w:fldChar w:fldCharType="begin"/>
      </w:r>
      <w:r w:rsidR="00014EB3" w:rsidRPr="0081178F">
        <w:instrText xml:space="preserve"> REF _Ref97629131 \h </w:instrText>
      </w:r>
      <w:r w:rsidR="001C7A0B" w:rsidRPr="0081178F">
        <w:instrText xml:space="preserve"> \* MERGEFORMAT </w:instrText>
      </w:r>
      <w:r w:rsidR="00014EB3" w:rsidRPr="0081178F">
        <w:fldChar w:fldCharType="separate"/>
      </w:r>
      <w:r w:rsidR="003538E0" w:rsidRPr="0081178F">
        <w:t xml:space="preserve">Table </w:t>
      </w:r>
      <w:r w:rsidR="003538E0" w:rsidRPr="0081178F">
        <w:rPr>
          <w:noProof/>
        </w:rPr>
        <w:t>13</w:t>
      </w:r>
      <w:r w:rsidR="00014EB3" w:rsidRPr="0081178F">
        <w:fldChar w:fldCharType="end"/>
      </w:r>
      <w:r w:rsidRPr="0081178F">
        <w:t xml:space="preserve">. Further information regarding </w:t>
      </w:r>
      <w:r w:rsidR="00CC5044" w:rsidRPr="0081178F">
        <w:t>the TGA</w:t>
      </w:r>
      <w:r w:rsidR="00BF7063" w:rsidRPr="0081178F">
        <w:t>’</w:t>
      </w:r>
      <w:r w:rsidR="00CC5044" w:rsidRPr="0081178F">
        <w:t>s r</w:t>
      </w:r>
      <w:r w:rsidRPr="0081178F">
        <w:t xml:space="preserve">isk management approach can be found in </w:t>
      </w:r>
      <w:hyperlink r:id="rId40" w:history="1">
        <w:r w:rsidRPr="0081178F">
          <w:rPr>
            <w:rStyle w:val="Hyperlink"/>
          </w:rPr>
          <w:t>risk management plans for medicines and biologicals</w:t>
        </w:r>
      </w:hyperlink>
      <w:r w:rsidRPr="0081178F">
        <w:t xml:space="preserve"> and </w:t>
      </w:r>
      <w:hyperlink r:id="rId41" w:history="1">
        <w:r w:rsidRPr="0081178F">
          <w:rPr>
            <w:rStyle w:val="Hyperlink"/>
          </w:rPr>
          <w:t>the TGA's risk management approach</w:t>
        </w:r>
      </w:hyperlink>
      <w:r w:rsidRPr="0081178F">
        <w:t>.</w:t>
      </w:r>
    </w:p>
    <w:p w14:paraId="267B90C3" w14:textId="648E44A4" w:rsidR="0074163C" w:rsidRPr="0081178F" w:rsidRDefault="0074163C" w:rsidP="0074163C">
      <w:pPr>
        <w:pStyle w:val="TableTitle"/>
      </w:pPr>
      <w:bookmarkStart w:id="70" w:name="_Ref97629131"/>
      <w:r w:rsidRPr="0081178F">
        <w:t xml:space="preserve">Table </w:t>
      </w:r>
      <w:r w:rsidR="003420A7">
        <w:fldChar w:fldCharType="begin"/>
      </w:r>
      <w:r w:rsidR="003420A7">
        <w:instrText xml:space="preserve"> SEQ Table \* ARABIC </w:instrText>
      </w:r>
      <w:r w:rsidR="003420A7">
        <w:fldChar w:fldCharType="separate"/>
      </w:r>
      <w:r w:rsidR="003538E0" w:rsidRPr="0081178F">
        <w:rPr>
          <w:noProof/>
        </w:rPr>
        <w:t>13</w:t>
      </w:r>
      <w:r w:rsidR="003420A7">
        <w:rPr>
          <w:noProof/>
        </w:rPr>
        <w:fldChar w:fldCharType="end"/>
      </w:r>
      <w:bookmarkEnd w:id="70"/>
      <w:r w:rsidRPr="0081178F">
        <w:t>: Summary of safety concerns</w:t>
      </w:r>
    </w:p>
    <w:tbl>
      <w:tblPr>
        <w:tblStyle w:val="TableTGAblue"/>
        <w:tblW w:w="8500" w:type="dxa"/>
        <w:tblLayout w:type="fixed"/>
        <w:tblLook w:val="04A0" w:firstRow="1" w:lastRow="0" w:firstColumn="1" w:lastColumn="0" w:noHBand="0" w:noVBand="1"/>
      </w:tblPr>
      <w:tblGrid>
        <w:gridCol w:w="1325"/>
        <w:gridCol w:w="2923"/>
        <w:gridCol w:w="992"/>
        <w:gridCol w:w="1134"/>
        <w:gridCol w:w="992"/>
        <w:gridCol w:w="1134"/>
      </w:tblGrid>
      <w:tr w:rsidR="00014EB3" w:rsidRPr="0081178F" w14:paraId="2B7296EE" w14:textId="77777777" w:rsidTr="00014EB3">
        <w:trPr>
          <w:cnfStyle w:val="100000000000" w:firstRow="1" w:lastRow="0" w:firstColumn="0" w:lastColumn="0" w:oddVBand="0" w:evenVBand="0" w:oddHBand="0" w:evenHBand="0" w:firstRowFirstColumn="0" w:firstRowLastColumn="0" w:lastRowFirstColumn="0" w:lastRowLastColumn="0"/>
          <w:trHeight w:val="131"/>
        </w:trPr>
        <w:tc>
          <w:tcPr>
            <w:tcW w:w="4248" w:type="dxa"/>
            <w:gridSpan w:val="2"/>
            <w:vMerge w:val="restart"/>
            <w:tcBorders>
              <w:top w:val="single" w:sz="4" w:space="0" w:color="auto"/>
              <w:left w:val="single" w:sz="4" w:space="0" w:color="auto"/>
              <w:bottom w:val="single" w:sz="4" w:space="0" w:color="auto"/>
              <w:right w:val="single" w:sz="4" w:space="0" w:color="auto"/>
            </w:tcBorders>
            <w:hideMark/>
          </w:tcPr>
          <w:p w14:paraId="68CDDCC9" w14:textId="77777777" w:rsidR="00014EB3" w:rsidRPr="0081178F" w:rsidRDefault="00014EB3" w:rsidP="00014EB3">
            <w:pPr>
              <w:pStyle w:val="Tabletext"/>
              <w:ind w:left="0" w:right="0"/>
              <w:rPr>
                <w:snapToGrid w:val="0"/>
              </w:rPr>
            </w:pPr>
            <w:r w:rsidRPr="0081178F">
              <w:rPr>
                <w:snapToGrid w:val="0"/>
              </w:rPr>
              <w:t>Summary of safety concerns</w:t>
            </w:r>
          </w:p>
        </w:tc>
        <w:tc>
          <w:tcPr>
            <w:tcW w:w="2126" w:type="dxa"/>
            <w:gridSpan w:val="2"/>
            <w:tcBorders>
              <w:top w:val="single" w:sz="4" w:space="0" w:color="auto"/>
              <w:left w:val="single" w:sz="4" w:space="0" w:color="auto"/>
              <w:bottom w:val="single" w:sz="4" w:space="0" w:color="auto"/>
              <w:right w:val="single" w:sz="4" w:space="0" w:color="auto"/>
            </w:tcBorders>
            <w:hideMark/>
          </w:tcPr>
          <w:p w14:paraId="3C9BF724" w14:textId="77777777" w:rsidR="00014EB3" w:rsidRPr="0081178F" w:rsidRDefault="00014EB3" w:rsidP="00014EB3">
            <w:pPr>
              <w:pStyle w:val="Tabletext"/>
              <w:ind w:left="0" w:right="0"/>
              <w:rPr>
                <w:snapToGrid w:val="0"/>
                <w:sz w:val="18"/>
              </w:rPr>
            </w:pPr>
            <w:r w:rsidRPr="0081178F">
              <w:rPr>
                <w:snapToGrid w:val="0"/>
                <w:sz w:val="18"/>
              </w:rPr>
              <w:t>Pharmacovigilance</w:t>
            </w:r>
          </w:p>
        </w:tc>
        <w:tc>
          <w:tcPr>
            <w:tcW w:w="2126" w:type="dxa"/>
            <w:gridSpan w:val="2"/>
            <w:tcBorders>
              <w:top w:val="single" w:sz="4" w:space="0" w:color="auto"/>
              <w:left w:val="single" w:sz="4" w:space="0" w:color="auto"/>
              <w:bottom w:val="single" w:sz="4" w:space="0" w:color="auto"/>
              <w:right w:val="single" w:sz="4" w:space="0" w:color="auto"/>
            </w:tcBorders>
            <w:hideMark/>
          </w:tcPr>
          <w:p w14:paraId="4664FE0A" w14:textId="25A18AC4" w:rsidR="00014EB3" w:rsidRPr="0081178F" w:rsidRDefault="00014EB3" w:rsidP="00014EB3">
            <w:pPr>
              <w:pStyle w:val="Tabletext"/>
              <w:ind w:left="0" w:right="0"/>
              <w:rPr>
                <w:snapToGrid w:val="0"/>
                <w:sz w:val="18"/>
              </w:rPr>
            </w:pPr>
            <w:r w:rsidRPr="0081178F">
              <w:rPr>
                <w:snapToGrid w:val="0"/>
                <w:sz w:val="18"/>
              </w:rPr>
              <w:t xml:space="preserve">Risk </w:t>
            </w:r>
            <w:r w:rsidR="00CC342B" w:rsidRPr="0081178F">
              <w:rPr>
                <w:snapToGrid w:val="0"/>
                <w:sz w:val="18"/>
              </w:rPr>
              <w:t>m</w:t>
            </w:r>
            <w:r w:rsidRPr="0081178F">
              <w:rPr>
                <w:snapToGrid w:val="0"/>
                <w:sz w:val="18"/>
              </w:rPr>
              <w:t>inimisation</w:t>
            </w:r>
          </w:p>
        </w:tc>
      </w:tr>
      <w:tr w:rsidR="00014EB3" w:rsidRPr="0081178F" w14:paraId="02365975" w14:textId="77777777" w:rsidTr="00014EB3">
        <w:trPr>
          <w:trHeight w:val="150"/>
        </w:trPr>
        <w:tc>
          <w:tcPr>
            <w:tcW w:w="4248" w:type="dxa"/>
            <w:gridSpan w:val="2"/>
            <w:vMerge/>
            <w:tcBorders>
              <w:top w:val="single" w:sz="4" w:space="0" w:color="auto"/>
              <w:left w:val="single" w:sz="4" w:space="0" w:color="auto"/>
              <w:bottom w:val="single" w:sz="4" w:space="0" w:color="auto"/>
              <w:right w:val="single" w:sz="4" w:space="0" w:color="auto"/>
            </w:tcBorders>
            <w:shd w:val="clear" w:color="auto" w:fill="006DA7"/>
            <w:hideMark/>
          </w:tcPr>
          <w:p w14:paraId="6615055F" w14:textId="77777777" w:rsidR="00014EB3" w:rsidRPr="0081178F" w:rsidRDefault="00014EB3" w:rsidP="00014EB3">
            <w:pPr>
              <w:pStyle w:val="Tabletext"/>
              <w:ind w:left="0" w:right="0"/>
              <w:rPr>
                <w:b/>
                <w:snapToGrid w:val="0"/>
                <w:color w:val="FFFFFF" w:themeColor="background1"/>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006DA7"/>
            <w:hideMark/>
          </w:tcPr>
          <w:p w14:paraId="4F7BF057" w14:textId="77777777" w:rsidR="00014EB3" w:rsidRPr="0081178F" w:rsidRDefault="00014EB3" w:rsidP="00014EB3">
            <w:pPr>
              <w:pStyle w:val="Tabletext"/>
              <w:ind w:left="0" w:right="0"/>
              <w:rPr>
                <w:b/>
                <w:snapToGrid w:val="0"/>
                <w:color w:val="FFFFFF" w:themeColor="background1"/>
                <w:sz w:val="18"/>
              </w:rPr>
            </w:pPr>
            <w:r w:rsidRPr="0081178F">
              <w:rPr>
                <w:b/>
                <w:snapToGrid w:val="0"/>
                <w:color w:val="FFFFFF" w:themeColor="background1"/>
                <w:sz w:val="18"/>
              </w:rPr>
              <w:t>Routine</w:t>
            </w:r>
          </w:p>
        </w:tc>
        <w:tc>
          <w:tcPr>
            <w:tcW w:w="1134" w:type="dxa"/>
            <w:tcBorders>
              <w:top w:val="single" w:sz="4" w:space="0" w:color="auto"/>
              <w:left w:val="single" w:sz="4" w:space="0" w:color="auto"/>
              <w:bottom w:val="single" w:sz="4" w:space="0" w:color="auto"/>
              <w:right w:val="single" w:sz="4" w:space="0" w:color="auto"/>
            </w:tcBorders>
            <w:shd w:val="clear" w:color="auto" w:fill="006DA7"/>
            <w:hideMark/>
          </w:tcPr>
          <w:p w14:paraId="60C029D9" w14:textId="77777777" w:rsidR="00014EB3" w:rsidRPr="0081178F" w:rsidRDefault="00014EB3" w:rsidP="00014EB3">
            <w:pPr>
              <w:pStyle w:val="Tabletext"/>
              <w:ind w:left="0" w:right="0"/>
              <w:rPr>
                <w:b/>
                <w:snapToGrid w:val="0"/>
                <w:color w:val="FFFFFF" w:themeColor="background1"/>
                <w:sz w:val="18"/>
              </w:rPr>
            </w:pPr>
            <w:r w:rsidRPr="0081178F">
              <w:rPr>
                <w:b/>
                <w:snapToGrid w:val="0"/>
                <w:color w:val="FFFFFF" w:themeColor="background1"/>
                <w:sz w:val="18"/>
              </w:rPr>
              <w:t>Additional</w:t>
            </w:r>
          </w:p>
        </w:tc>
        <w:tc>
          <w:tcPr>
            <w:tcW w:w="992" w:type="dxa"/>
            <w:tcBorders>
              <w:top w:val="single" w:sz="4" w:space="0" w:color="auto"/>
              <w:left w:val="single" w:sz="4" w:space="0" w:color="auto"/>
              <w:bottom w:val="single" w:sz="4" w:space="0" w:color="auto"/>
              <w:right w:val="single" w:sz="4" w:space="0" w:color="auto"/>
            </w:tcBorders>
            <w:shd w:val="clear" w:color="auto" w:fill="006DA7"/>
            <w:hideMark/>
          </w:tcPr>
          <w:p w14:paraId="4712476B" w14:textId="77777777" w:rsidR="00014EB3" w:rsidRPr="0081178F" w:rsidRDefault="00014EB3" w:rsidP="00014EB3">
            <w:pPr>
              <w:pStyle w:val="Tabletext"/>
              <w:ind w:left="0" w:right="0"/>
              <w:rPr>
                <w:b/>
                <w:snapToGrid w:val="0"/>
                <w:color w:val="FFFFFF" w:themeColor="background1"/>
                <w:sz w:val="18"/>
              </w:rPr>
            </w:pPr>
            <w:r w:rsidRPr="0081178F">
              <w:rPr>
                <w:b/>
                <w:snapToGrid w:val="0"/>
                <w:color w:val="FFFFFF" w:themeColor="background1"/>
                <w:sz w:val="18"/>
              </w:rPr>
              <w:t>Routine</w:t>
            </w:r>
          </w:p>
        </w:tc>
        <w:tc>
          <w:tcPr>
            <w:tcW w:w="1134" w:type="dxa"/>
            <w:tcBorders>
              <w:top w:val="single" w:sz="4" w:space="0" w:color="auto"/>
              <w:left w:val="single" w:sz="4" w:space="0" w:color="auto"/>
              <w:bottom w:val="single" w:sz="4" w:space="0" w:color="auto"/>
              <w:right w:val="single" w:sz="4" w:space="0" w:color="auto"/>
            </w:tcBorders>
            <w:shd w:val="clear" w:color="auto" w:fill="006DA7"/>
            <w:hideMark/>
          </w:tcPr>
          <w:p w14:paraId="234AA8B1" w14:textId="77777777" w:rsidR="00014EB3" w:rsidRPr="0081178F" w:rsidRDefault="00014EB3" w:rsidP="00014EB3">
            <w:pPr>
              <w:pStyle w:val="Tabletext"/>
              <w:ind w:left="0" w:right="0"/>
              <w:rPr>
                <w:b/>
                <w:snapToGrid w:val="0"/>
                <w:color w:val="FFFFFF" w:themeColor="background1"/>
                <w:sz w:val="18"/>
              </w:rPr>
            </w:pPr>
            <w:r w:rsidRPr="0081178F">
              <w:rPr>
                <w:b/>
                <w:snapToGrid w:val="0"/>
                <w:color w:val="FFFFFF" w:themeColor="background1"/>
                <w:sz w:val="18"/>
              </w:rPr>
              <w:t>Additional</w:t>
            </w:r>
          </w:p>
        </w:tc>
      </w:tr>
      <w:tr w:rsidR="00014EB3" w:rsidRPr="0081178F" w14:paraId="236BB5B7" w14:textId="77777777" w:rsidTr="00014EB3">
        <w:trPr>
          <w:trHeight w:val="137"/>
        </w:trPr>
        <w:tc>
          <w:tcPr>
            <w:tcW w:w="1325" w:type="dxa"/>
            <w:vMerge w:val="restart"/>
            <w:tcBorders>
              <w:top w:val="single" w:sz="4" w:space="0" w:color="auto"/>
            </w:tcBorders>
            <w:hideMark/>
          </w:tcPr>
          <w:p w14:paraId="7A129818" w14:textId="77777777" w:rsidR="00014EB3" w:rsidRPr="0081178F" w:rsidRDefault="00014EB3" w:rsidP="00014EB3">
            <w:pPr>
              <w:pStyle w:val="Tabletext"/>
              <w:ind w:left="0" w:right="0"/>
              <w:rPr>
                <w:b/>
                <w:snapToGrid w:val="0"/>
              </w:rPr>
            </w:pPr>
            <w:r w:rsidRPr="0081178F">
              <w:rPr>
                <w:b/>
                <w:snapToGrid w:val="0"/>
              </w:rPr>
              <w:t>Important identified risks</w:t>
            </w:r>
          </w:p>
        </w:tc>
        <w:tc>
          <w:tcPr>
            <w:tcW w:w="2923" w:type="dxa"/>
            <w:tcBorders>
              <w:top w:val="single" w:sz="4" w:space="0" w:color="auto"/>
            </w:tcBorders>
            <w:hideMark/>
          </w:tcPr>
          <w:p w14:paraId="3661D293" w14:textId="77777777" w:rsidR="00014EB3" w:rsidRPr="0081178F" w:rsidRDefault="00014EB3" w:rsidP="00014EB3">
            <w:pPr>
              <w:pStyle w:val="Tabletext"/>
              <w:ind w:left="0" w:right="0"/>
              <w:rPr>
                <w:snapToGrid w:val="0"/>
              </w:rPr>
            </w:pPr>
            <w:r w:rsidRPr="0081178F">
              <w:rPr>
                <w:snapToGrid w:val="0"/>
              </w:rPr>
              <w:t>Serious infections</w:t>
            </w:r>
          </w:p>
        </w:tc>
        <w:tc>
          <w:tcPr>
            <w:tcW w:w="992" w:type="dxa"/>
            <w:tcBorders>
              <w:top w:val="single" w:sz="4" w:space="0" w:color="auto"/>
            </w:tcBorders>
            <w:hideMark/>
          </w:tcPr>
          <w:p w14:paraId="61D81390" w14:textId="77777777" w:rsidR="00014EB3" w:rsidRPr="0081178F" w:rsidRDefault="00014EB3" w:rsidP="00092B9B">
            <w:pPr>
              <w:pStyle w:val="Tabletext"/>
              <w:ind w:left="0" w:right="0"/>
              <w:jc w:val="center"/>
              <w:rPr>
                <w:snapToGrid w:val="0"/>
              </w:rPr>
            </w:pPr>
            <w:r w:rsidRPr="0081178F">
              <w:rPr>
                <w:snapToGrid w:val="0"/>
              </w:rPr>
              <w:sym w:font="Wingdings" w:char="F0FC"/>
            </w:r>
          </w:p>
        </w:tc>
        <w:tc>
          <w:tcPr>
            <w:tcW w:w="1134" w:type="dxa"/>
            <w:tcBorders>
              <w:top w:val="single" w:sz="4" w:space="0" w:color="auto"/>
            </w:tcBorders>
            <w:hideMark/>
          </w:tcPr>
          <w:p w14:paraId="39736410" w14:textId="77777777" w:rsidR="00014EB3" w:rsidRPr="0081178F" w:rsidRDefault="00014EB3" w:rsidP="00092B9B">
            <w:pPr>
              <w:pStyle w:val="Tabletext"/>
              <w:ind w:left="0" w:right="0"/>
              <w:jc w:val="center"/>
              <w:rPr>
                <w:snapToGrid w:val="0"/>
              </w:rPr>
            </w:pPr>
            <w:r w:rsidRPr="0081178F">
              <w:rPr>
                <w:snapToGrid w:val="0"/>
              </w:rPr>
              <w:t>–</w:t>
            </w:r>
          </w:p>
        </w:tc>
        <w:tc>
          <w:tcPr>
            <w:tcW w:w="992" w:type="dxa"/>
            <w:tcBorders>
              <w:top w:val="single" w:sz="4" w:space="0" w:color="auto"/>
            </w:tcBorders>
            <w:hideMark/>
          </w:tcPr>
          <w:p w14:paraId="1AD2911B" w14:textId="77777777" w:rsidR="00014EB3" w:rsidRPr="0081178F" w:rsidRDefault="00014EB3" w:rsidP="00092B9B">
            <w:pPr>
              <w:pStyle w:val="Tabletext"/>
              <w:ind w:left="0" w:right="0"/>
              <w:jc w:val="center"/>
              <w:rPr>
                <w:snapToGrid w:val="0"/>
              </w:rPr>
            </w:pPr>
            <w:r w:rsidRPr="0081178F">
              <w:rPr>
                <w:snapToGrid w:val="0"/>
              </w:rPr>
              <w:sym w:font="Wingdings" w:char="F0FC"/>
            </w:r>
          </w:p>
        </w:tc>
        <w:tc>
          <w:tcPr>
            <w:tcW w:w="1134" w:type="dxa"/>
            <w:tcBorders>
              <w:top w:val="single" w:sz="4" w:space="0" w:color="auto"/>
            </w:tcBorders>
            <w:hideMark/>
          </w:tcPr>
          <w:p w14:paraId="1B1583BD" w14:textId="77777777" w:rsidR="00014EB3" w:rsidRPr="0081178F" w:rsidRDefault="00014EB3" w:rsidP="00092B9B">
            <w:pPr>
              <w:pStyle w:val="Tabletext"/>
              <w:ind w:left="0" w:right="0"/>
              <w:jc w:val="center"/>
              <w:rPr>
                <w:snapToGrid w:val="0"/>
                <w:sz w:val="23"/>
              </w:rPr>
            </w:pPr>
            <w:r w:rsidRPr="0081178F">
              <w:rPr>
                <w:snapToGrid w:val="0"/>
                <w:sz w:val="23"/>
              </w:rPr>
              <w:sym w:font="Wingdings" w:char="F0FC"/>
            </w:r>
            <w:r w:rsidRPr="0081178F">
              <w:rPr>
                <w:snapToGrid w:val="0"/>
                <w:sz w:val="23"/>
              </w:rPr>
              <w:t>*</w:t>
            </w:r>
          </w:p>
        </w:tc>
      </w:tr>
      <w:tr w:rsidR="00014EB3" w:rsidRPr="0081178F" w14:paraId="5678446C" w14:textId="77777777" w:rsidTr="00014EB3">
        <w:trPr>
          <w:trHeight w:val="94"/>
        </w:trPr>
        <w:tc>
          <w:tcPr>
            <w:tcW w:w="1325" w:type="dxa"/>
            <w:vMerge/>
            <w:hideMark/>
          </w:tcPr>
          <w:p w14:paraId="7626EEF7" w14:textId="77777777" w:rsidR="00014EB3" w:rsidRPr="0081178F" w:rsidRDefault="00014EB3" w:rsidP="00014EB3">
            <w:pPr>
              <w:pStyle w:val="Tabletext"/>
              <w:ind w:left="0" w:right="0"/>
              <w:rPr>
                <w:b/>
                <w:snapToGrid w:val="0"/>
                <w:lang w:eastAsia="en-US"/>
              </w:rPr>
            </w:pPr>
          </w:p>
        </w:tc>
        <w:tc>
          <w:tcPr>
            <w:tcW w:w="2923" w:type="dxa"/>
            <w:hideMark/>
          </w:tcPr>
          <w:p w14:paraId="4EAA707E" w14:textId="77777777" w:rsidR="00014EB3" w:rsidRPr="0081178F" w:rsidRDefault="00014EB3" w:rsidP="00014EB3">
            <w:pPr>
              <w:pStyle w:val="Tabletext"/>
              <w:ind w:left="0" w:right="0"/>
              <w:rPr>
                <w:snapToGrid w:val="0"/>
              </w:rPr>
            </w:pPr>
            <w:r w:rsidRPr="0081178F">
              <w:rPr>
                <w:snapToGrid w:val="0"/>
              </w:rPr>
              <w:t>Tuberculosis</w:t>
            </w:r>
          </w:p>
        </w:tc>
        <w:tc>
          <w:tcPr>
            <w:tcW w:w="992" w:type="dxa"/>
            <w:hideMark/>
          </w:tcPr>
          <w:p w14:paraId="7BAA67DD" w14:textId="77777777" w:rsidR="00014EB3" w:rsidRPr="0081178F" w:rsidRDefault="00014EB3" w:rsidP="00092B9B">
            <w:pPr>
              <w:pStyle w:val="Tabletext"/>
              <w:ind w:left="0" w:right="0"/>
              <w:jc w:val="center"/>
              <w:rPr>
                <w:snapToGrid w:val="0"/>
              </w:rPr>
            </w:pPr>
            <w:r w:rsidRPr="0081178F">
              <w:rPr>
                <w:snapToGrid w:val="0"/>
              </w:rPr>
              <w:sym w:font="Wingdings" w:char="F0FC"/>
            </w:r>
          </w:p>
        </w:tc>
        <w:tc>
          <w:tcPr>
            <w:tcW w:w="1134" w:type="dxa"/>
            <w:hideMark/>
          </w:tcPr>
          <w:p w14:paraId="535F7E2C" w14:textId="77777777" w:rsidR="00014EB3" w:rsidRPr="0081178F" w:rsidRDefault="00014EB3" w:rsidP="00092B9B">
            <w:pPr>
              <w:pStyle w:val="Tabletext"/>
              <w:ind w:left="0" w:right="0"/>
              <w:jc w:val="center"/>
              <w:rPr>
                <w:snapToGrid w:val="0"/>
              </w:rPr>
            </w:pPr>
            <w:r w:rsidRPr="0081178F">
              <w:rPr>
                <w:snapToGrid w:val="0"/>
              </w:rPr>
              <w:t>–</w:t>
            </w:r>
          </w:p>
        </w:tc>
        <w:tc>
          <w:tcPr>
            <w:tcW w:w="992" w:type="dxa"/>
            <w:hideMark/>
          </w:tcPr>
          <w:p w14:paraId="1178459D" w14:textId="77777777" w:rsidR="00014EB3" w:rsidRPr="0081178F" w:rsidRDefault="00014EB3" w:rsidP="00092B9B">
            <w:pPr>
              <w:pStyle w:val="Tabletext"/>
              <w:ind w:left="0" w:right="0"/>
              <w:jc w:val="center"/>
              <w:rPr>
                <w:snapToGrid w:val="0"/>
              </w:rPr>
            </w:pPr>
            <w:r w:rsidRPr="0081178F">
              <w:rPr>
                <w:snapToGrid w:val="0"/>
              </w:rPr>
              <w:sym w:font="Wingdings" w:char="F0FC"/>
            </w:r>
          </w:p>
        </w:tc>
        <w:tc>
          <w:tcPr>
            <w:tcW w:w="1134" w:type="dxa"/>
            <w:hideMark/>
          </w:tcPr>
          <w:p w14:paraId="4E135387" w14:textId="77777777" w:rsidR="00014EB3" w:rsidRPr="0081178F" w:rsidRDefault="00014EB3" w:rsidP="00092B9B">
            <w:pPr>
              <w:pStyle w:val="Tabletext"/>
              <w:ind w:left="0" w:right="0"/>
              <w:jc w:val="center"/>
              <w:rPr>
                <w:snapToGrid w:val="0"/>
              </w:rPr>
            </w:pPr>
            <w:r w:rsidRPr="0081178F">
              <w:rPr>
                <w:snapToGrid w:val="0"/>
              </w:rPr>
              <w:sym w:font="Wingdings" w:char="F0FC"/>
            </w:r>
            <w:r w:rsidRPr="0081178F">
              <w:rPr>
                <w:snapToGrid w:val="0"/>
              </w:rPr>
              <w:t>*</w:t>
            </w:r>
          </w:p>
        </w:tc>
      </w:tr>
      <w:tr w:rsidR="00014EB3" w:rsidRPr="0081178F" w14:paraId="1C42D62E" w14:textId="77777777" w:rsidTr="00014EB3">
        <w:trPr>
          <w:trHeight w:val="94"/>
        </w:trPr>
        <w:tc>
          <w:tcPr>
            <w:tcW w:w="1325" w:type="dxa"/>
            <w:vMerge/>
            <w:hideMark/>
          </w:tcPr>
          <w:p w14:paraId="5EE5D007" w14:textId="77777777" w:rsidR="00014EB3" w:rsidRPr="0081178F" w:rsidRDefault="00014EB3" w:rsidP="00014EB3">
            <w:pPr>
              <w:pStyle w:val="Tabletext"/>
              <w:ind w:left="0" w:right="0"/>
              <w:rPr>
                <w:b/>
                <w:snapToGrid w:val="0"/>
                <w:lang w:eastAsia="en-US"/>
              </w:rPr>
            </w:pPr>
          </w:p>
        </w:tc>
        <w:tc>
          <w:tcPr>
            <w:tcW w:w="2923" w:type="dxa"/>
            <w:hideMark/>
          </w:tcPr>
          <w:p w14:paraId="316A92DB" w14:textId="77777777" w:rsidR="00014EB3" w:rsidRPr="0081178F" w:rsidRDefault="00014EB3" w:rsidP="00014EB3">
            <w:pPr>
              <w:pStyle w:val="Tabletext"/>
              <w:ind w:left="0" w:right="0"/>
              <w:rPr>
                <w:snapToGrid w:val="0"/>
              </w:rPr>
            </w:pPr>
            <w:r w:rsidRPr="0081178F">
              <w:rPr>
                <w:snapToGrid w:val="0"/>
              </w:rPr>
              <w:t>Malignancies</w:t>
            </w:r>
          </w:p>
        </w:tc>
        <w:tc>
          <w:tcPr>
            <w:tcW w:w="992" w:type="dxa"/>
            <w:hideMark/>
          </w:tcPr>
          <w:p w14:paraId="6090AE21" w14:textId="77777777" w:rsidR="00014EB3" w:rsidRPr="0081178F" w:rsidRDefault="00014EB3" w:rsidP="00092B9B">
            <w:pPr>
              <w:pStyle w:val="Tabletext"/>
              <w:ind w:left="0" w:right="0"/>
              <w:jc w:val="center"/>
              <w:rPr>
                <w:snapToGrid w:val="0"/>
                <w:sz w:val="23"/>
              </w:rPr>
            </w:pPr>
            <w:r w:rsidRPr="0081178F">
              <w:rPr>
                <w:snapToGrid w:val="0"/>
                <w:sz w:val="23"/>
              </w:rPr>
              <w:sym w:font="Wingdings" w:char="F0FC"/>
            </w:r>
          </w:p>
        </w:tc>
        <w:tc>
          <w:tcPr>
            <w:tcW w:w="1134" w:type="dxa"/>
            <w:hideMark/>
          </w:tcPr>
          <w:p w14:paraId="29750846" w14:textId="77777777" w:rsidR="00014EB3" w:rsidRPr="0081178F" w:rsidRDefault="00014EB3" w:rsidP="00092B9B">
            <w:pPr>
              <w:pStyle w:val="Tabletext"/>
              <w:ind w:left="0" w:right="0"/>
              <w:jc w:val="center"/>
              <w:rPr>
                <w:snapToGrid w:val="0"/>
              </w:rPr>
            </w:pPr>
            <w:r w:rsidRPr="0081178F">
              <w:rPr>
                <w:snapToGrid w:val="0"/>
              </w:rPr>
              <w:t>–</w:t>
            </w:r>
          </w:p>
        </w:tc>
        <w:tc>
          <w:tcPr>
            <w:tcW w:w="992" w:type="dxa"/>
            <w:hideMark/>
          </w:tcPr>
          <w:p w14:paraId="09CB2892" w14:textId="77777777" w:rsidR="00014EB3" w:rsidRPr="0081178F" w:rsidRDefault="00014EB3" w:rsidP="00092B9B">
            <w:pPr>
              <w:pStyle w:val="Tabletext"/>
              <w:ind w:left="0" w:right="0"/>
              <w:jc w:val="center"/>
              <w:rPr>
                <w:snapToGrid w:val="0"/>
              </w:rPr>
            </w:pPr>
            <w:r w:rsidRPr="0081178F">
              <w:rPr>
                <w:snapToGrid w:val="0"/>
              </w:rPr>
              <w:sym w:font="Wingdings" w:char="F0FC"/>
            </w:r>
          </w:p>
        </w:tc>
        <w:tc>
          <w:tcPr>
            <w:tcW w:w="1134" w:type="dxa"/>
            <w:hideMark/>
          </w:tcPr>
          <w:p w14:paraId="51E012EC" w14:textId="77777777" w:rsidR="00014EB3" w:rsidRPr="0081178F" w:rsidRDefault="00014EB3" w:rsidP="00092B9B">
            <w:pPr>
              <w:pStyle w:val="Tabletext"/>
              <w:ind w:left="0" w:right="0"/>
              <w:jc w:val="center"/>
              <w:rPr>
                <w:snapToGrid w:val="0"/>
              </w:rPr>
            </w:pPr>
            <w:r w:rsidRPr="0081178F">
              <w:rPr>
                <w:snapToGrid w:val="0"/>
              </w:rPr>
              <w:sym w:font="Wingdings" w:char="F0FC"/>
            </w:r>
            <w:r w:rsidRPr="0081178F">
              <w:rPr>
                <w:snapToGrid w:val="0"/>
              </w:rPr>
              <w:t>*</w:t>
            </w:r>
          </w:p>
        </w:tc>
      </w:tr>
      <w:tr w:rsidR="00014EB3" w:rsidRPr="0081178F" w14:paraId="3B800D30" w14:textId="77777777" w:rsidTr="00014EB3">
        <w:trPr>
          <w:trHeight w:val="94"/>
        </w:trPr>
        <w:tc>
          <w:tcPr>
            <w:tcW w:w="1325" w:type="dxa"/>
            <w:vMerge/>
            <w:hideMark/>
          </w:tcPr>
          <w:p w14:paraId="4B1F7282" w14:textId="77777777" w:rsidR="00014EB3" w:rsidRPr="0081178F" w:rsidRDefault="00014EB3" w:rsidP="00014EB3">
            <w:pPr>
              <w:pStyle w:val="Tabletext"/>
              <w:ind w:left="0" w:right="0"/>
              <w:rPr>
                <w:b/>
                <w:snapToGrid w:val="0"/>
                <w:lang w:eastAsia="en-US"/>
              </w:rPr>
            </w:pPr>
          </w:p>
        </w:tc>
        <w:tc>
          <w:tcPr>
            <w:tcW w:w="2923" w:type="dxa"/>
            <w:hideMark/>
          </w:tcPr>
          <w:p w14:paraId="1078D03A" w14:textId="543C6AFB" w:rsidR="00014EB3" w:rsidRPr="0081178F" w:rsidRDefault="00014EB3" w:rsidP="00014EB3">
            <w:pPr>
              <w:pStyle w:val="Tabletext"/>
              <w:ind w:left="0" w:right="0"/>
              <w:rPr>
                <w:snapToGrid w:val="0"/>
              </w:rPr>
            </w:pPr>
            <w:r w:rsidRPr="0081178F">
              <w:rPr>
                <w:snapToGrid w:val="0"/>
              </w:rPr>
              <w:t xml:space="preserve">Demyelinating disorders (including </w:t>
            </w:r>
            <w:r w:rsidR="00CC342B" w:rsidRPr="0081178F">
              <w:rPr>
                <w:snapToGrid w:val="0"/>
              </w:rPr>
              <w:t>multiple sclerosis</w:t>
            </w:r>
            <w:r w:rsidRPr="0081178F">
              <w:rPr>
                <w:snapToGrid w:val="0"/>
              </w:rPr>
              <w:t xml:space="preserve">, Guillain-Barre </w:t>
            </w:r>
            <w:r w:rsidR="00CC342B" w:rsidRPr="0081178F">
              <w:rPr>
                <w:snapToGrid w:val="0"/>
              </w:rPr>
              <w:t xml:space="preserve">syndrome </w:t>
            </w:r>
            <w:r w:rsidRPr="0081178F">
              <w:rPr>
                <w:snapToGrid w:val="0"/>
              </w:rPr>
              <w:t>and optic neuritis)</w:t>
            </w:r>
          </w:p>
        </w:tc>
        <w:tc>
          <w:tcPr>
            <w:tcW w:w="992" w:type="dxa"/>
            <w:hideMark/>
          </w:tcPr>
          <w:p w14:paraId="05D9033C" w14:textId="77777777" w:rsidR="00014EB3" w:rsidRPr="0081178F" w:rsidRDefault="00014EB3" w:rsidP="00092B9B">
            <w:pPr>
              <w:pStyle w:val="Tabletext"/>
              <w:ind w:left="0" w:right="0"/>
              <w:jc w:val="center"/>
              <w:rPr>
                <w:snapToGrid w:val="0"/>
                <w:color w:val="00B050"/>
              </w:rPr>
            </w:pPr>
            <w:r w:rsidRPr="0081178F">
              <w:rPr>
                <w:snapToGrid w:val="0"/>
              </w:rPr>
              <w:sym w:font="Wingdings" w:char="F0FC"/>
            </w:r>
          </w:p>
        </w:tc>
        <w:tc>
          <w:tcPr>
            <w:tcW w:w="1134" w:type="dxa"/>
            <w:hideMark/>
          </w:tcPr>
          <w:p w14:paraId="715DD72E" w14:textId="77777777" w:rsidR="00014EB3" w:rsidRPr="0081178F" w:rsidRDefault="00014EB3" w:rsidP="00092B9B">
            <w:pPr>
              <w:pStyle w:val="Tabletext"/>
              <w:ind w:left="0" w:right="0"/>
              <w:jc w:val="center"/>
              <w:rPr>
                <w:snapToGrid w:val="0"/>
                <w:color w:val="00B050"/>
              </w:rPr>
            </w:pPr>
            <w:r w:rsidRPr="0081178F">
              <w:rPr>
                <w:snapToGrid w:val="0"/>
              </w:rPr>
              <w:t>–</w:t>
            </w:r>
          </w:p>
        </w:tc>
        <w:tc>
          <w:tcPr>
            <w:tcW w:w="992" w:type="dxa"/>
            <w:hideMark/>
          </w:tcPr>
          <w:p w14:paraId="3814FD5E" w14:textId="77777777" w:rsidR="00014EB3" w:rsidRPr="0081178F" w:rsidRDefault="00014EB3" w:rsidP="00092B9B">
            <w:pPr>
              <w:pStyle w:val="Tabletext"/>
              <w:ind w:left="0" w:right="0"/>
              <w:jc w:val="center"/>
              <w:rPr>
                <w:snapToGrid w:val="0"/>
                <w:color w:val="00B050"/>
              </w:rPr>
            </w:pPr>
            <w:r w:rsidRPr="0081178F">
              <w:rPr>
                <w:snapToGrid w:val="0"/>
              </w:rPr>
              <w:sym w:font="Wingdings" w:char="F0FC"/>
            </w:r>
          </w:p>
        </w:tc>
        <w:tc>
          <w:tcPr>
            <w:tcW w:w="1134" w:type="dxa"/>
            <w:hideMark/>
          </w:tcPr>
          <w:p w14:paraId="1848CA28" w14:textId="77777777" w:rsidR="00014EB3" w:rsidRPr="0081178F" w:rsidRDefault="00014EB3" w:rsidP="00092B9B">
            <w:pPr>
              <w:pStyle w:val="Tabletext"/>
              <w:ind w:left="0" w:right="0"/>
              <w:jc w:val="center"/>
              <w:rPr>
                <w:snapToGrid w:val="0"/>
                <w:color w:val="00B050"/>
              </w:rPr>
            </w:pPr>
            <w:r w:rsidRPr="0081178F">
              <w:rPr>
                <w:snapToGrid w:val="0"/>
              </w:rPr>
              <w:sym w:font="Wingdings" w:char="F0FC"/>
            </w:r>
            <w:r w:rsidRPr="0081178F">
              <w:rPr>
                <w:snapToGrid w:val="0"/>
              </w:rPr>
              <w:t>*</w:t>
            </w:r>
          </w:p>
        </w:tc>
      </w:tr>
      <w:tr w:rsidR="00014EB3" w:rsidRPr="0081178F" w14:paraId="660BF791" w14:textId="77777777" w:rsidTr="00014EB3">
        <w:trPr>
          <w:trHeight w:val="187"/>
        </w:trPr>
        <w:tc>
          <w:tcPr>
            <w:tcW w:w="1325" w:type="dxa"/>
            <w:vMerge/>
            <w:hideMark/>
          </w:tcPr>
          <w:p w14:paraId="3A86CE2B" w14:textId="77777777" w:rsidR="00014EB3" w:rsidRPr="0081178F" w:rsidRDefault="00014EB3" w:rsidP="00014EB3">
            <w:pPr>
              <w:pStyle w:val="Tabletext"/>
              <w:ind w:left="0" w:right="0"/>
              <w:rPr>
                <w:b/>
                <w:snapToGrid w:val="0"/>
                <w:lang w:eastAsia="en-US"/>
              </w:rPr>
            </w:pPr>
          </w:p>
        </w:tc>
        <w:tc>
          <w:tcPr>
            <w:tcW w:w="2923" w:type="dxa"/>
            <w:hideMark/>
          </w:tcPr>
          <w:p w14:paraId="60A01864" w14:textId="5C3EE736" w:rsidR="00014EB3" w:rsidRPr="0081178F" w:rsidRDefault="00014EB3" w:rsidP="00014EB3">
            <w:pPr>
              <w:pStyle w:val="Tabletext"/>
              <w:ind w:left="0" w:right="0"/>
              <w:rPr>
                <w:rFonts w:asciiTheme="minorHAnsi" w:eastAsiaTheme="minorHAnsi" w:hAnsiTheme="minorHAnsi" w:cstheme="minorBidi"/>
                <w:color w:val="auto"/>
                <w:sz w:val="22"/>
                <w:szCs w:val="22"/>
              </w:rPr>
            </w:pPr>
            <w:r w:rsidRPr="0081178F">
              <w:rPr>
                <w:snapToGrid w:val="0"/>
              </w:rPr>
              <w:t>Bacillus Calmette-</w:t>
            </w:r>
            <w:proofErr w:type="spellStart"/>
            <w:r w:rsidRPr="0081178F">
              <w:rPr>
                <w:snapToGrid w:val="0"/>
              </w:rPr>
              <w:t>Guérin</w:t>
            </w:r>
            <w:proofErr w:type="spellEnd"/>
            <w:r w:rsidRPr="0081178F">
              <w:rPr>
                <w:snapToGrid w:val="0"/>
              </w:rPr>
              <w:t xml:space="preserve"> disease following live </w:t>
            </w:r>
            <w:r w:rsidR="00CC342B" w:rsidRPr="0081178F">
              <w:rPr>
                <w:snapToGrid w:val="0"/>
              </w:rPr>
              <w:t>Bacillus Calmette-</w:t>
            </w:r>
            <w:proofErr w:type="spellStart"/>
            <w:r w:rsidR="00CC342B" w:rsidRPr="0081178F">
              <w:rPr>
                <w:snapToGrid w:val="0"/>
              </w:rPr>
              <w:t>Guérin</w:t>
            </w:r>
            <w:proofErr w:type="spellEnd"/>
            <w:r w:rsidR="00CC342B" w:rsidRPr="0081178F">
              <w:rPr>
                <w:snapToGrid w:val="0"/>
              </w:rPr>
              <w:t xml:space="preserve"> </w:t>
            </w:r>
            <w:r w:rsidRPr="0081178F">
              <w:rPr>
                <w:snapToGrid w:val="0"/>
              </w:rPr>
              <w:t xml:space="preserve">vaccination in infants </w:t>
            </w:r>
            <w:proofErr w:type="gramStart"/>
            <w:r w:rsidRPr="0081178F">
              <w:rPr>
                <w:snapToGrid w:val="0"/>
              </w:rPr>
              <w:t>with in</w:t>
            </w:r>
            <w:proofErr w:type="gramEnd"/>
            <w:r w:rsidRPr="0081178F">
              <w:rPr>
                <w:snapToGrid w:val="0"/>
              </w:rPr>
              <w:t xml:space="preserve"> utero exposure </w:t>
            </w:r>
            <w:r w:rsidRPr="0081178F">
              <w:t>to Yuflyma</w:t>
            </w:r>
          </w:p>
        </w:tc>
        <w:tc>
          <w:tcPr>
            <w:tcW w:w="992" w:type="dxa"/>
            <w:hideMark/>
          </w:tcPr>
          <w:p w14:paraId="78D4AD2F" w14:textId="77777777" w:rsidR="00014EB3" w:rsidRPr="0081178F" w:rsidRDefault="00014EB3" w:rsidP="00092B9B">
            <w:pPr>
              <w:pStyle w:val="Tabletext"/>
              <w:ind w:left="0" w:right="0"/>
              <w:jc w:val="center"/>
              <w:rPr>
                <w:snapToGrid w:val="0"/>
                <w:color w:val="00B050"/>
              </w:rPr>
            </w:pPr>
            <w:r w:rsidRPr="0081178F">
              <w:rPr>
                <w:snapToGrid w:val="0"/>
              </w:rPr>
              <w:sym w:font="Wingdings" w:char="F0FC"/>
            </w:r>
          </w:p>
        </w:tc>
        <w:tc>
          <w:tcPr>
            <w:tcW w:w="1134" w:type="dxa"/>
            <w:hideMark/>
          </w:tcPr>
          <w:p w14:paraId="1204E3C1" w14:textId="77777777" w:rsidR="00014EB3" w:rsidRPr="0081178F" w:rsidRDefault="00014EB3" w:rsidP="00092B9B">
            <w:pPr>
              <w:pStyle w:val="Tabletext"/>
              <w:ind w:left="0" w:right="0"/>
              <w:jc w:val="center"/>
              <w:rPr>
                <w:snapToGrid w:val="0"/>
                <w:color w:val="00B050"/>
              </w:rPr>
            </w:pPr>
            <w:r w:rsidRPr="0081178F">
              <w:rPr>
                <w:snapToGrid w:val="0"/>
              </w:rPr>
              <w:t>–</w:t>
            </w:r>
          </w:p>
        </w:tc>
        <w:tc>
          <w:tcPr>
            <w:tcW w:w="992" w:type="dxa"/>
            <w:hideMark/>
          </w:tcPr>
          <w:p w14:paraId="60A22A5E" w14:textId="77777777" w:rsidR="00014EB3" w:rsidRPr="0081178F" w:rsidRDefault="00014EB3" w:rsidP="00092B9B">
            <w:pPr>
              <w:pStyle w:val="Tabletext"/>
              <w:ind w:left="0" w:right="0"/>
              <w:jc w:val="center"/>
              <w:rPr>
                <w:snapToGrid w:val="0"/>
                <w:color w:val="00B050"/>
              </w:rPr>
            </w:pPr>
            <w:r w:rsidRPr="0081178F">
              <w:rPr>
                <w:snapToGrid w:val="0"/>
              </w:rPr>
              <w:sym w:font="Wingdings" w:char="F0FC"/>
            </w:r>
          </w:p>
        </w:tc>
        <w:tc>
          <w:tcPr>
            <w:tcW w:w="1134" w:type="dxa"/>
            <w:hideMark/>
          </w:tcPr>
          <w:p w14:paraId="48404E63" w14:textId="77777777" w:rsidR="00014EB3" w:rsidRPr="0081178F" w:rsidRDefault="00014EB3" w:rsidP="00092B9B">
            <w:pPr>
              <w:pStyle w:val="Tabletext"/>
              <w:ind w:left="0" w:right="0"/>
              <w:jc w:val="center"/>
              <w:rPr>
                <w:snapToGrid w:val="0"/>
                <w:color w:val="00B050"/>
              </w:rPr>
            </w:pPr>
            <w:r w:rsidRPr="0081178F">
              <w:rPr>
                <w:snapToGrid w:val="0"/>
              </w:rPr>
              <w:sym w:font="Wingdings" w:char="F0FC"/>
            </w:r>
            <w:r w:rsidRPr="0081178F">
              <w:rPr>
                <w:snapToGrid w:val="0"/>
              </w:rPr>
              <w:t>*</w:t>
            </w:r>
          </w:p>
        </w:tc>
      </w:tr>
      <w:tr w:rsidR="00014EB3" w:rsidRPr="0081178F" w14:paraId="24B5B949" w14:textId="77777777" w:rsidTr="00014EB3">
        <w:trPr>
          <w:trHeight w:val="159"/>
        </w:trPr>
        <w:tc>
          <w:tcPr>
            <w:tcW w:w="1325" w:type="dxa"/>
            <w:vMerge w:val="restart"/>
            <w:hideMark/>
          </w:tcPr>
          <w:p w14:paraId="74255A14" w14:textId="77777777" w:rsidR="00014EB3" w:rsidRPr="0081178F" w:rsidRDefault="00014EB3" w:rsidP="00014EB3">
            <w:pPr>
              <w:pStyle w:val="Tabletext"/>
              <w:ind w:left="0" w:right="0"/>
              <w:rPr>
                <w:b/>
                <w:snapToGrid w:val="0"/>
                <w:color w:val="auto"/>
              </w:rPr>
            </w:pPr>
            <w:r w:rsidRPr="0081178F">
              <w:rPr>
                <w:b/>
                <w:snapToGrid w:val="0"/>
              </w:rPr>
              <w:t>Important potential risks</w:t>
            </w:r>
          </w:p>
        </w:tc>
        <w:tc>
          <w:tcPr>
            <w:tcW w:w="2923" w:type="dxa"/>
            <w:hideMark/>
          </w:tcPr>
          <w:p w14:paraId="57FD9A64" w14:textId="3698F540" w:rsidR="00014EB3" w:rsidRPr="0081178F" w:rsidRDefault="00014EB3" w:rsidP="00014EB3">
            <w:pPr>
              <w:pStyle w:val="Tabletext"/>
              <w:ind w:left="0" w:right="0"/>
              <w:rPr>
                <w:snapToGrid w:val="0"/>
              </w:rPr>
            </w:pPr>
            <w:r w:rsidRPr="0081178F">
              <w:rPr>
                <w:snapToGrid w:val="0"/>
              </w:rPr>
              <w:t xml:space="preserve">Progressive </w:t>
            </w:r>
            <w:r w:rsidR="00CC342B" w:rsidRPr="0081178F">
              <w:rPr>
                <w:snapToGrid w:val="0"/>
              </w:rPr>
              <w:t>multifocal leukoencephalopathy</w:t>
            </w:r>
          </w:p>
        </w:tc>
        <w:tc>
          <w:tcPr>
            <w:tcW w:w="992" w:type="dxa"/>
            <w:hideMark/>
          </w:tcPr>
          <w:p w14:paraId="3718C22C" w14:textId="77777777" w:rsidR="00014EB3" w:rsidRPr="0081178F" w:rsidRDefault="00014EB3" w:rsidP="00092B9B">
            <w:pPr>
              <w:pStyle w:val="Tabletext"/>
              <w:ind w:left="0" w:right="0"/>
              <w:jc w:val="center"/>
              <w:rPr>
                <w:snapToGrid w:val="0"/>
              </w:rPr>
            </w:pPr>
            <w:r w:rsidRPr="0081178F">
              <w:rPr>
                <w:snapToGrid w:val="0"/>
              </w:rPr>
              <w:sym w:font="Wingdings" w:char="F0FC"/>
            </w:r>
          </w:p>
        </w:tc>
        <w:tc>
          <w:tcPr>
            <w:tcW w:w="1134" w:type="dxa"/>
            <w:hideMark/>
          </w:tcPr>
          <w:p w14:paraId="4BDDF5A3" w14:textId="77777777" w:rsidR="00014EB3" w:rsidRPr="0081178F" w:rsidRDefault="00014EB3" w:rsidP="00092B9B">
            <w:pPr>
              <w:pStyle w:val="Tabletext"/>
              <w:ind w:left="0" w:right="0"/>
              <w:jc w:val="center"/>
              <w:rPr>
                <w:snapToGrid w:val="0"/>
              </w:rPr>
            </w:pPr>
            <w:r w:rsidRPr="0081178F">
              <w:rPr>
                <w:snapToGrid w:val="0"/>
              </w:rPr>
              <w:t>–</w:t>
            </w:r>
          </w:p>
        </w:tc>
        <w:tc>
          <w:tcPr>
            <w:tcW w:w="992" w:type="dxa"/>
            <w:hideMark/>
          </w:tcPr>
          <w:p w14:paraId="1D255E63" w14:textId="77777777" w:rsidR="00014EB3" w:rsidRPr="0081178F" w:rsidRDefault="00014EB3" w:rsidP="00092B9B">
            <w:pPr>
              <w:pStyle w:val="Tabletext"/>
              <w:ind w:left="0" w:right="0"/>
              <w:jc w:val="center"/>
              <w:rPr>
                <w:snapToGrid w:val="0"/>
              </w:rPr>
            </w:pPr>
            <w:r w:rsidRPr="0081178F">
              <w:rPr>
                <w:snapToGrid w:val="0"/>
              </w:rPr>
              <w:t>–</w:t>
            </w:r>
          </w:p>
        </w:tc>
        <w:tc>
          <w:tcPr>
            <w:tcW w:w="1134" w:type="dxa"/>
            <w:hideMark/>
          </w:tcPr>
          <w:p w14:paraId="3DA2AC38" w14:textId="77777777" w:rsidR="00014EB3" w:rsidRPr="0081178F" w:rsidRDefault="00014EB3" w:rsidP="00092B9B">
            <w:pPr>
              <w:pStyle w:val="Tabletext"/>
              <w:ind w:left="0" w:right="0"/>
              <w:jc w:val="center"/>
              <w:rPr>
                <w:snapToGrid w:val="0"/>
              </w:rPr>
            </w:pPr>
            <w:r w:rsidRPr="0081178F">
              <w:rPr>
                <w:snapToGrid w:val="0"/>
              </w:rPr>
              <w:t>–</w:t>
            </w:r>
          </w:p>
        </w:tc>
      </w:tr>
      <w:tr w:rsidR="00014EB3" w:rsidRPr="0081178F" w14:paraId="0B10D930" w14:textId="77777777" w:rsidTr="00014EB3">
        <w:trPr>
          <w:trHeight w:val="122"/>
        </w:trPr>
        <w:tc>
          <w:tcPr>
            <w:tcW w:w="1325" w:type="dxa"/>
            <w:vMerge/>
            <w:hideMark/>
          </w:tcPr>
          <w:p w14:paraId="6A91F04C" w14:textId="77777777" w:rsidR="00014EB3" w:rsidRPr="0081178F" w:rsidRDefault="00014EB3" w:rsidP="00014EB3">
            <w:pPr>
              <w:pStyle w:val="Tabletext"/>
              <w:ind w:left="0" w:right="0"/>
              <w:rPr>
                <w:b/>
                <w:snapToGrid w:val="0"/>
                <w:lang w:eastAsia="en-US"/>
              </w:rPr>
            </w:pPr>
          </w:p>
        </w:tc>
        <w:tc>
          <w:tcPr>
            <w:tcW w:w="2923" w:type="dxa"/>
            <w:hideMark/>
          </w:tcPr>
          <w:p w14:paraId="7BBC7816" w14:textId="5271E6D4" w:rsidR="00014EB3" w:rsidRPr="0081178F" w:rsidRDefault="00014EB3" w:rsidP="00014EB3">
            <w:pPr>
              <w:pStyle w:val="Tabletext"/>
              <w:ind w:left="0" w:right="0"/>
              <w:rPr>
                <w:snapToGrid w:val="0"/>
              </w:rPr>
            </w:pPr>
            <w:r w:rsidRPr="0081178F">
              <w:rPr>
                <w:snapToGrid w:val="0"/>
              </w:rPr>
              <w:t xml:space="preserve">Reversible </w:t>
            </w:r>
            <w:r w:rsidR="00CC342B" w:rsidRPr="0081178F">
              <w:rPr>
                <w:snapToGrid w:val="0"/>
              </w:rPr>
              <w:t>posterior leukoencephalopathy syndrome</w:t>
            </w:r>
          </w:p>
        </w:tc>
        <w:tc>
          <w:tcPr>
            <w:tcW w:w="992" w:type="dxa"/>
            <w:hideMark/>
          </w:tcPr>
          <w:p w14:paraId="0857D417" w14:textId="77777777" w:rsidR="00014EB3" w:rsidRPr="0081178F" w:rsidRDefault="00014EB3" w:rsidP="00092B9B">
            <w:pPr>
              <w:pStyle w:val="Tabletext"/>
              <w:ind w:left="0" w:right="0"/>
              <w:jc w:val="center"/>
              <w:rPr>
                <w:snapToGrid w:val="0"/>
              </w:rPr>
            </w:pPr>
            <w:r w:rsidRPr="0081178F">
              <w:rPr>
                <w:snapToGrid w:val="0"/>
              </w:rPr>
              <w:sym w:font="Wingdings" w:char="F0FC"/>
            </w:r>
          </w:p>
        </w:tc>
        <w:tc>
          <w:tcPr>
            <w:tcW w:w="1134" w:type="dxa"/>
            <w:hideMark/>
          </w:tcPr>
          <w:p w14:paraId="2C701FA4" w14:textId="77777777" w:rsidR="00014EB3" w:rsidRPr="0081178F" w:rsidRDefault="00014EB3" w:rsidP="00092B9B">
            <w:pPr>
              <w:pStyle w:val="Tabletext"/>
              <w:ind w:left="0" w:right="0"/>
              <w:jc w:val="center"/>
              <w:rPr>
                <w:snapToGrid w:val="0"/>
              </w:rPr>
            </w:pPr>
            <w:r w:rsidRPr="0081178F">
              <w:rPr>
                <w:snapToGrid w:val="0"/>
              </w:rPr>
              <w:t>–</w:t>
            </w:r>
          </w:p>
        </w:tc>
        <w:tc>
          <w:tcPr>
            <w:tcW w:w="992" w:type="dxa"/>
            <w:hideMark/>
          </w:tcPr>
          <w:p w14:paraId="647AB3A3" w14:textId="77777777" w:rsidR="00014EB3" w:rsidRPr="0081178F" w:rsidRDefault="00014EB3" w:rsidP="00092B9B">
            <w:pPr>
              <w:pStyle w:val="Tabletext"/>
              <w:ind w:left="0" w:right="0"/>
              <w:jc w:val="center"/>
              <w:rPr>
                <w:snapToGrid w:val="0"/>
                <w:color w:val="00B050"/>
              </w:rPr>
            </w:pPr>
            <w:r w:rsidRPr="0081178F">
              <w:rPr>
                <w:snapToGrid w:val="0"/>
              </w:rPr>
              <w:t>–</w:t>
            </w:r>
          </w:p>
        </w:tc>
        <w:tc>
          <w:tcPr>
            <w:tcW w:w="1134" w:type="dxa"/>
            <w:hideMark/>
          </w:tcPr>
          <w:p w14:paraId="524A64FB" w14:textId="77777777" w:rsidR="00014EB3" w:rsidRPr="0081178F" w:rsidRDefault="00014EB3" w:rsidP="00092B9B">
            <w:pPr>
              <w:pStyle w:val="Tabletext"/>
              <w:ind w:left="0" w:right="0"/>
              <w:jc w:val="center"/>
              <w:rPr>
                <w:snapToGrid w:val="0"/>
                <w:color w:val="00B050"/>
              </w:rPr>
            </w:pPr>
            <w:r w:rsidRPr="0081178F">
              <w:rPr>
                <w:snapToGrid w:val="0"/>
              </w:rPr>
              <w:t>–</w:t>
            </w:r>
          </w:p>
        </w:tc>
      </w:tr>
      <w:tr w:rsidR="00014EB3" w:rsidRPr="0081178F" w14:paraId="57D6A991" w14:textId="77777777" w:rsidTr="00014EB3">
        <w:trPr>
          <w:trHeight w:val="112"/>
        </w:trPr>
        <w:tc>
          <w:tcPr>
            <w:tcW w:w="1325" w:type="dxa"/>
            <w:vMerge/>
            <w:hideMark/>
          </w:tcPr>
          <w:p w14:paraId="2068BE69" w14:textId="77777777" w:rsidR="00014EB3" w:rsidRPr="0081178F" w:rsidRDefault="00014EB3" w:rsidP="00014EB3">
            <w:pPr>
              <w:pStyle w:val="Tabletext"/>
              <w:ind w:left="0" w:right="0"/>
              <w:rPr>
                <w:b/>
                <w:snapToGrid w:val="0"/>
                <w:lang w:eastAsia="en-US"/>
              </w:rPr>
            </w:pPr>
          </w:p>
        </w:tc>
        <w:tc>
          <w:tcPr>
            <w:tcW w:w="2923" w:type="dxa"/>
            <w:hideMark/>
          </w:tcPr>
          <w:p w14:paraId="6D5D8FEB" w14:textId="11EF9FCF" w:rsidR="00014EB3" w:rsidRPr="0081178F" w:rsidRDefault="00014EB3" w:rsidP="00014EB3">
            <w:pPr>
              <w:pStyle w:val="Tabletext"/>
              <w:ind w:left="0" w:right="0"/>
              <w:rPr>
                <w:snapToGrid w:val="0"/>
                <w:color w:val="auto"/>
              </w:rPr>
            </w:pPr>
            <w:r w:rsidRPr="0081178F">
              <w:rPr>
                <w:snapToGrid w:val="0"/>
              </w:rPr>
              <w:t xml:space="preserve">Adenocarcinoma of colon in </w:t>
            </w:r>
            <w:r w:rsidR="005E11DA" w:rsidRPr="0081178F">
              <w:t>ulcerative colitis</w:t>
            </w:r>
            <w:r w:rsidRPr="0081178F">
              <w:rPr>
                <w:snapToGrid w:val="0"/>
              </w:rPr>
              <w:t xml:space="preserve"> patients</w:t>
            </w:r>
          </w:p>
        </w:tc>
        <w:tc>
          <w:tcPr>
            <w:tcW w:w="992" w:type="dxa"/>
            <w:hideMark/>
          </w:tcPr>
          <w:p w14:paraId="3967190A" w14:textId="77777777" w:rsidR="00014EB3" w:rsidRPr="0081178F" w:rsidRDefault="00014EB3" w:rsidP="00092B9B">
            <w:pPr>
              <w:pStyle w:val="Tabletext"/>
              <w:ind w:left="0" w:right="0"/>
              <w:jc w:val="center"/>
              <w:rPr>
                <w:snapToGrid w:val="0"/>
                <w:color w:val="00B050"/>
              </w:rPr>
            </w:pPr>
            <w:r w:rsidRPr="0081178F">
              <w:rPr>
                <w:snapToGrid w:val="0"/>
              </w:rPr>
              <w:sym w:font="Wingdings" w:char="F0FC"/>
            </w:r>
          </w:p>
        </w:tc>
        <w:tc>
          <w:tcPr>
            <w:tcW w:w="1134" w:type="dxa"/>
            <w:hideMark/>
          </w:tcPr>
          <w:p w14:paraId="43387969" w14:textId="77777777" w:rsidR="00014EB3" w:rsidRPr="0081178F" w:rsidRDefault="00014EB3" w:rsidP="00092B9B">
            <w:pPr>
              <w:pStyle w:val="Tabletext"/>
              <w:ind w:left="0" w:right="0"/>
              <w:jc w:val="center"/>
              <w:rPr>
                <w:snapToGrid w:val="0"/>
                <w:color w:val="00B050"/>
              </w:rPr>
            </w:pPr>
            <w:r w:rsidRPr="0081178F">
              <w:rPr>
                <w:snapToGrid w:val="0"/>
              </w:rPr>
              <w:t>–</w:t>
            </w:r>
          </w:p>
        </w:tc>
        <w:tc>
          <w:tcPr>
            <w:tcW w:w="992" w:type="dxa"/>
            <w:hideMark/>
          </w:tcPr>
          <w:p w14:paraId="689696BF" w14:textId="77777777" w:rsidR="00014EB3" w:rsidRPr="0081178F" w:rsidRDefault="00014EB3" w:rsidP="00092B9B">
            <w:pPr>
              <w:pStyle w:val="Tabletext"/>
              <w:ind w:left="0" w:right="0"/>
              <w:jc w:val="center"/>
              <w:rPr>
                <w:snapToGrid w:val="0"/>
                <w:color w:val="auto"/>
              </w:rPr>
            </w:pPr>
            <w:r w:rsidRPr="0081178F">
              <w:rPr>
                <w:snapToGrid w:val="0"/>
              </w:rPr>
              <w:sym w:font="Wingdings" w:char="F0FC"/>
            </w:r>
          </w:p>
        </w:tc>
        <w:tc>
          <w:tcPr>
            <w:tcW w:w="1134" w:type="dxa"/>
            <w:hideMark/>
          </w:tcPr>
          <w:p w14:paraId="742202E9" w14:textId="77777777" w:rsidR="00014EB3" w:rsidRPr="0081178F" w:rsidRDefault="00014EB3" w:rsidP="00092B9B">
            <w:pPr>
              <w:pStyle w:val="Tabletext"/>
              <w:ind w:left="0" w:right="0"/>
              <w:jc w:val="center"/>
              <w:rPr>
                <w:snapToGrid w:val="0"/>
              </w:rPr>
            </w:pPr>
            <w:r w:rsidRPr="0081178F">
              <w:rPr>
                <w:snapToGrid w:val="0"/>
              </w:rPr>
              <w:t>–</w:t>
            </w:r>
          </w:p>
        </w:tc>
      </w:tr>
      <w:tr w:rsidR="00014EB3" w:rsidRPr="0081178F" w14:paraId="67EFB8AB" w14:textId="77777777" w:rsidTr="00014EB3">
        <w:trPr>
          <w:trHeight w:val="178"/>
        </w:trPr>
        <w:tc>
          <w:tcPr>
            <w:tcW w:w="1325" w:type="dxa"/>
            <w:vMerge w:val="restart"/>
            <w:hideMark/>
          </w:tcPr>
          <w:p w14:paraId="61340281" w14:textId="77777777" w:rsidR="00014EB3" w:rsidRPr="0081178F" w:rsidRDefault="00014EB3" w:rsidP="00014EB3">
            <w:pPr>
              <w:pStyle w:val="Tabletext"/>
              <w:ind w:left="0" w:right="0"/>
              <w:rPr>
                <w:b/>
                <w:snapToGrid w:val="0"/>
              </w:rPr>
            </w:pPr>
            <w:r w:rsidRPr="0081178F">
              <w:rPr>
                <w:b/>
                <w:snapToGrid w:val="0"/>
              </w:rPr>
              <w:t>Missing information</w:t>
            </w:r>
          </w:p>
        </w:tc>
        <w:tc>
          <w:tcPr>
            <w:tcW w:w="2923" w:type="dxa"/>
            <w:hideMark/>
          </w:tcPr>
          <w:p w14:paraId="2350FF1C" w14:textId="77777777" w:rsidR="00014EB3" w:rsidRPr="0081178F" w:rsidRDefault="00014EB3" w:rsidP="00014EB3">
            <w:pPr>
              <w:pStyle w:val="Tabletext"/>
              <w:ind w:left="0" w:right="0"/>
              <w:rPr>
                <w:snapToGrid w:val="0"/>
              </w:rPr>
            </w:pPr>
            <w:r w:rsidRPr="0081178F">
              <w:rPr>
                <w:snapToGrid w:val="0"/>
              </w:rPr>
              <w:t>Patients with immune-compromised conditions</w:t>
            </w:r>
          </w:p>
        </w:tc>
        <w:tc>
          <w:tcPr>
            <w:tcW w:w="992" w:type="dxa"/>
            <w:hideMark/>
          </w:tcPr>
          <w:p w14:paraId="75578C64" w14:textId="77777777" w:rsidR="00014EB3" w:rsidRPr="0081178F" w:rsidRDefault="00014EB3" w:rsidP="00092B9B">
            <w:pPr>
              <w:pStyle w:val="Tabletext"/>
              <w:ind w:left="0" w:right="0"/>
              <w:jc w:val="center"/>
              <w:rPr>
                <w:snapToGrid w:val="0"/>
              </w:rPr>
            </w:pPr>
            <w:r w:rsidRPr="0081178F">
              <w:rPr>
                <w:snapToGrid w:val="0"/>
              </w:rPr>
              <w:sym w:font="Wingdings" w:char="F0FC"/>
            </w:r>
          </w:p>
        </w:tc>
        <w:tc>
          <w:tcPr>
            <w:tcW w:w="1134" w:type="dxa"/>
            <w:hideMark/>
          </w:tcPr>
          <w:p w14:paraId="3AB1D383" w14:textId="77777777" w:rsidR="00014EB3" w:rsidRPr="0081178F" w:rsidRDefault="00014EB3" w:rsidP="00092B9B">
            <w:pPr>
              <w:pStyle w:val="Tabletext"/>
              <w:ind w:left="0" w:right="0"/>
              <w:jc w:val="center"/>
              <w:rPr>
                <w:snapToGrid w:val="0"/>
              </w:rPr>
            </w:pPr>
            <w:r w:rsidRPr="0081178F">
              <w:rPr>
                <w:snapToGrid w:val="0"/>
              </w:rPr>
              <w:t>–</w:t>
            </w:r>
          </w:p>
        </w:tc>
        <w:tc>
          <w:tcPr>
            <w:tcW w:w="992" w:type="dxa"/>
            <w:hideMark/>
          </w:tcPr>
          <w:p w14:paraId="530C13BE" w14:textId="77777777" w:rsidR="00014EB3" w:rsidRPr="0081178F" w:rsidRDefault="00014EB3" w:rsidP="00092B9B">
            <w:pPr>
              <w:pStyle w:val="Tabletext"/>
              <w:ind w:left="0" w:right="0"/>
              <w:jc w:val="center"/>
              <w:rPr>
                <w:snapToGrid w:val="0"/>
                <w:color w:val="00B050"/>
              </w:rPr>
            </w:pPr>
            <w:r w:rsidRPr="0081178F">
              <w:rPr>
                <w:snapToGrid w:val="0"/>
              </w:rPr>
              <w:sym w:font="Wingdings" w:char="F0FC"/>
            </w:r>
          </w:p>
        </w:tc>
        <w:tc>
          <w:tcPr>
            <w:tcW w:w="1134" w:type="dxa"/>
            <w:hideMark/>
          </w:tcPr>
          <w:p w14:paraId="115E40FC" w14:textId="77777777" w:rsidR="00014EB3" w:rsidRPr="0081178F" w:rsidRDefault="00014EB3" w:rsidP="00092B9B">
            <w:pPr>
              <w:pStyle w:val="Tabletext"/>
              <w:ind w:left="0" w:right="0"/>
              <w:jc w:val="center"/>
              <w:rPr>
                <w:snapToGrid w:val="0"/>
                <w:color w:val="00B050"/>
              </w:rPr>
            </w:pPr>
            <w:r w:rsidRPr="0081178F">
              <w:rPr>
                <w:snapToGrid w:val="0"/>
              </w:rPr>
              <w:t>–</w:t>
            </w:r>
          </w:p>
        </w:tc>
      </w:tr>
      <w:tr w:rsidR="00014EB3" w:rsidRPr="0081178F" w14:paraId="4D119E72" w14:textId="77777777" w:rsidTr="00014EB3">
        <w:trPr>
          <w:trHeight w:val="103"/>
        </w:trPr>
        <w:tc>
          <w:tcPr>
            <w:tcW w:w="1325" w:type="dxa"/>
            <w:vMerge/>
            <w:hideMark/>
          </w:tcPr>
          <w:p w14:paraId="728C7001" w14:textId="77777777" w:rsidR="00014EB3" w:rsidRPr="0081178F" w:rsidRDefault="00014EB3" w:rsidP="00014EB3">
            <w:pPr>
              <w:pStyle w:val="Tabletext"/>
              <w:ind w:left="0" w:right="0"/>
              <w:rPr>
                <w:b/>
                <w:snapToGrid w:val="0"/>
                <w:lang w:eastAsia="en-US"/>
              </w:rPr>
            </w:pPr>
          </w:p>
        </w:tc>
        <w:tc>
          <w:tcPr>
            <w:tcW w:w="2923" w:type="dxa"/>
            <w:hideMark/>
          </w:tcPr>
          <w:p w14:paraId="10B1C82F" w14:textId="21608057" w:rsidR="00014EB3" w:rsidRPr="0081178F" w:rsidRDefault="00014EB3" w:rsidP="00014EB3">
            <w:pPr>
              <w:pStyle w:val="Tabletext"/>
              <w:ind w:left="0" w:right="0"/>
              <w:rPr>
                <w:rFonts w:asciiTheme="minorHAnsi" w:eastAsiaTheme="minorHAnsi" w:hAnsiTheme="minorHAnsi" w:cstheme="minorBidi"/>
                <w:color w:val="auto"/>
                <w:sz w:val="22"/>
                <w:szCs w:val="22"/>
              </w:rPr>
            </w:pPr>
            <w:r w:rsidRPr="0081178F">
              <w:rPr>
                <w:snapToGrid w:val="0"/>
              </w:rPr>
              <w:t xml:space="preserve">Long-term safety information in the treatment of children aged from 6 years to </w:t>
            </w:r>
            <w:r w:rsidRPr="0081178F">
              <w:t>less than 18</w:t>
            </w:r>
            <w:r w:rsidR="001339D0" w:rsidRPr="0081178F">
              <w:t> </w:t>
            </w:r>
            <w:r w:rsidRPr="0081178F">
              <w:t xml:space="preserve">years with </w:t>
            </w:r>
            <w:r w:rsidR="005E11DA" w:rsidRPr="0081178F">
              <w:t>Crohn’s disease</w:t>
            </w:r>
          </w:p>
        </w:tc>
        <w:tc>
          <w:tcPr>
            <w:tcW w:w="992" w:type="dxa"/>
            <w:hideMark/>
          </w:tcPr>
          <w:p w14:paraId="0F596342" w14:textId="77777777" w:rsidR="00014EB3" w:rsidRPr="0081178F" w:rsidRDefault="00014EB3" w:rsidP="00092B9B">
            <w:pPr>
              <w:pStyle w:val="Tabletext"/>
              <w:ind w:left="0" w:right="0"/>
              <w:jc w:val="center"/>
              <w:rPr>
                <w:snapToGrid w:val="0"/>
                <w:color w:val="00B050"/>
              </w:rPr>
            </w:pPr>
            <w:r w:rsidRPr="0081178F">
              <w:rPr>
                <w:snapToGrid w:val="0"/>
              </w:rPr>
              <w:sym w:font="Wingdings" w:char="F0FC"/>
            </w:r>
          </w:p>
        </w:tc>
        <w:tc>
          <w:tcPr>
            <w:tcW w:w="1134" w:type="dxa"/>
            <w:hideMark/>
          </w:tcPr>
          <w:p w14:paraId="73418695" w14:textId="77777777" w:rsidR="00014EB3" w:rsidRPr="0081178F" w:rsidRDefault="00014EB3" w:rsidP="00092B9B">
            <w:pPr>
              <w:pStyle w:val="Tabletext"/>
              <w:ind w:left="0" w:right="0"/>
              <w:jc w:val="center"/>
              <w:rPr>
                <w:snapToGrid w:val="0"/>
                <w:color w:val="00B050"/>
              </w:rPr>
            </w:pPr>
            <w:r w:rsidRPr="0081178F">
              <w:rPr>
                <w:snapToGrid w:val="0"/>
              </w:rPr>
              <w:t>–</w:t>
            </w:r>
          </w:p>
        </w:tc>
        <w:tc>
          <w:tcPr>
            <w:tcW w:w="992" w:type="dxa"/>
            <w:hideMark/>
          </w:tcPr>
          <w:p w14:paraId="33D4F765" w14:textId="77777777" w:rsidR="00014EB3" w:rsidRPr="0081178F" w:rsidRDefault="00014EB3" w:rsidP="00092B9B">
            <w:pPr>
              <w:pStyle w:val="Tabletext"/>
              <w:ind w:left="0" w:right="0"/>
              <w:jc w:val="center"/>
              <w:rPr>
                <w:snapToGrid w:val="0"/>
                <w:color w:val="00B050"/>
              </w:rPr>
            </w:pPr>
            <w:r w:rsidRPr="0081178F">
              <w:rPr>
                <w:snapToGrid w:val="0"/>
              </w:rPr>
              <w:t>–</w:t>
            </w:r>
          </w:p>
        </w:tc>
        <w:tc>
          <w:tcPr>
            <w:tcW w:w="1134" w:type="dxa"/>
            <w:hideMark/>
          </w:tcPr>
          <w:p w14:paraId="0C239B83" w14:textId="77777777" w:rsidR="00014EB3" w:rsidRPr="0081178F" w:rsidRDefault="00014EB3" w:rsidP="00092B9B">
            <w:pPr>
              <w:pStyle w:val="Tabletext"/>
              <w:ind w:left="0" w:right="0"/>
              <w:jc w:val="center"/>
              <w:rPr>
                <w:snapToGrid w:val="0"/>
                <w:color w:val="00B050"/>
              </w:rPr>
            </w:pPr>
            <w:r w:rsidRPr="0081178F">
              <w:rPr>
                <w:snapToGrid w:val="0"/>
              </w:rPr>
              <w:t>–</w:t>
            </w:r>
          </w:p>
        </w:tc>
      </w:tr>
      <w:tr w:rsidR="00014EB3" w:rsidRPr="0081178F" w14:paraId="61EC3891" w14:textId="77777777" w:rsidTr="00014EB3">
        <w:trPr>
          <w:trHeight w:val="103"/>
        </w:trPr>
        <w:tc>
          <w:tcPr>
            <w:tcW w:w="1325" w:type="dxa"/>
            <w:vMerge/>
            <w:hideMark/>
          </w:tcPr>
          <w:p w14:paraId="37F85B8C" w14:textId="77777777" w:rsidR="00014EB3" w:rsidRPr="0081178F" w:rsidRDefault="00014EB3" w:rsidP="00014EB3">
            <w:pPr>
              <w:pStyle w:val="Tabletext"/>
              <w:ind w:left="0" w:right="0"/>
              <w:rPr>
                <w:b/>
                <w:snapToGrid w:val="0"/>
                <w:lang w:eastAsia="en-US"/>
              </w:rPr>
            </w:pPr>
          </w:p>
        </w:tc>
        <w:tc>
          <w:tcPr>
            <w:tcW w:w="2923" w:type="dxa"/>
            <w:hideMark/>
          </w:tcPr>
          <w:p w14:paraId="4DDCE56C" w14:textId="18DC0B1F" w:rsidR="00014EB3" w:rsidRPr="0081178F" w:rsidRDefault="00014EB3" w:rsidP="00014EB3">
            <w:pPr>
              <w:pStyle w:val="Tabletext"/>
              <w:ind w:left="0" w:right="0"/>
              <w:rPr>
                <w:snapToGrid w:val="0"/>
                <w:color w:val="auto"/>
              </w:rPr>
            </w:pPr>
            <w:r w:rsidRPr="0081178F">
              <w:rPr>
                <w:snapToGrid w:val="0"/>
              </w:rPr>
              <w:t xml:space="preserve">Episodic treatment in </w:t>
            </w:r>
            <w:r w:rsidR="005E11DA" w:rsidRPr="0081178F">
              <w:t>psoriasis</w:t>
            </w:r>
            <w:r w:rsidRPr="0081178F">
              <w:rPr>
                <w:snapToGrid w:val="0"/>
              </w:rPr>
              <w:t xml:space="preserve">, </w:t>
            </w:r>
            <w:r w:rsidR="005E11DA" w:rsidRPr="0081178F">
              <w:t>ulcerative colitis</w:t>
            </w:r>
            <w:r w:rsidRPr="0081178F">
              <w:rPr>
                <w:snapToGrid w:val="0"/>
              </w:rPr>
              <w:t xml:space="preserve">, and </w:t>
            </w:r>
            <w:r w:rsidR="005E11DA" w:rsidRPr="0081178F">
              <w:rPr>
                <w:snapToGrid w:val="0"/>
              </w:rPr>
              <w:t>juvenile idiopathic arthritis</w:t>
            </w:r>
          </w:p>
        </w:tc>
        <w:tc>
          <w:tcPr>
            <w:tcW w:w="992" w:type="dxa"/>
            <w:hideMark/>
          </w:tcPr>
          <w:p w14:paraId="2E5A38BA" w14:textId="77777777" w:rsidR="00014EB3" w:rsidRPr="0081178F" w:rsidRDefault="00014EB3" w:rsidP="00092B9B">
            <w:pPr>
              <w:pStyle w:val="Tabletext"/>
              <w:ind w:left="0" w:right="0"/>
              <w:jc w:val="center"/>
              <w:rPr>
                <w:snapToGrid w:val="0"/>
                <w:color w:val="00B050"/>
              </w:rPr>
            </w:pPr>
            <w:r w:rsidRPr="0081178F">
              <w:rPr>
                <w:snapToGrid w:val="0"/>
              </w:rPr>
              <w:sym w:font="Wingdings" w:char="F0FC"/>
            </w:r>
          </w:p>
        </w:tc>
        <w:tc>
          <w:tcPr>
            <w:tcW w:w="1134" w:type="dxa"/>
            <w:hideMark/>
          </w:tcPr>
          <w:p w14:paraId="563EFEE7" w14:textId="77777777" w:rsidR="00014EB3" w:rsidRPr="0081178F" w:rsidRDefault="00014EB3" w:rsidP="00092B9B">
            <w:pPr>
              <w:pStyle w:val="Tabletext"/>
              <w:ind w:left="0" w:right="0"/>
              <w:jc w:val="center"/>
              <w:rPr>
                <w:snapToGrid w:val="0"/>
                <w:color w:val="00B050"/>
              </w:rPr>
            </w:pPr>
            <w:r w:rsidRPr="0081178F">
              <w:rPr>
                <w:snapToGrid w:val="0"/>
              </w:rPr>
              <w:t>–</w:t>
            </w:r>
          </w:p>
        </w:tc>
        <w:tc>
          <w:tcPr>
            <w:tcW w:w="992" w:type="dxa"/>
            <w:hideMark/>
          </w:tcPr>
          <w:p w14:paraId="49C5BAC2" w14:textId="77777777" w:rsidR="00014EB3" w:rsidRPr="0081178F" w:rsidRDefault="00014EB3" w:rsidP="00092B9B">
            <w:pPr>
              <w:pStyle w:val="Tabletext"/>
              <w:ind w:left="0" w:right="0"/>
              <w:jc w:val="center"/>
              <w:rPr>
                <w:snapToGrid w:val="0"/>
                <w:color w:val="00B050"/>
              </w:rPr>
            </w:pPr>
            <w:r w:rsidRPr="0081178F">
              <w:rPr>
                <w:snapToGrid w:val="0"/>
              </w:rPr>
              <w:t>–</w:t>
            </w:r>
          </w:p>
        </w:tc>
        <w:tc>
          <w:tcPr>
            <w:tcW w:w="1134" w:type="dxa"/>
            <w:hideMark/>
          </w:tcPr>
          <w:p w14:paraId="419A9252" w14:textId="77777777" w:rsidR="00014EB3" w:rsidRPr="0081178F" w:rsidRDefault="00014EB3" w:rsidP="00092B9B">
            <w:pPr>
              <w:pStyle w:val="Tabletext"/>
              <w:ind w:left="0" w:right="0"/>
              <w:jc w:val="center"/>
              <w:rPr>
                <w:snapToGrid w:val="0"/>
                <w:color w:val="00B050"/>
              </w:rPr>
            </w:pPr>
            <w:r w:rsidRPr="0081178F">
              <w:rPr>
                <w:snapToGrid w:val="0"/>
              </w:rPr>
              <w:t>–</w:t>
            </w:r>
          </w:p>
        </w:tc>
      </w:tr>
      <w:tr w:rsidR="00014EB3" w:rsidRPr="0081178F" w14:paraId="2CD53963" w14:textId="77777777" w:rsidTr="00014EB3">
        <w:trPr>
          <w:trHeight w:val="103"/>
        </w:trPr>
        <w:tc>
          <w:tcPr>
            <w:tcW w:w="1325" w:type="dxa"/>
            <w:vMerge/>
            <w:hideMark/>
          </w:tcPr>
          <w:p w14:paraId="3E42F847" w14:textId="77777777" w:rsidR="00014EB3" w:rsidRPr="0081178F" w:rsidRDefault="00014EB3" w:rsidP="00014EB3">
            <w:pPr>
              <w:pStyle w:val="Tabletext"/>
              <w:ind w:left="0" w:right="0"/>
              <w:rPr>
                <w:b/>
                <w:snapToGrid w:val="0"/>
                <w:lang w:eastAsia="en-US"/>
              </w:rPr>
            </w:pPr>
          </w:p>
        </w:tc>
        <w:tc>
          <w:tcPr>
            <w:tcW w:w="2923" w:type="dxa"/>
            <w:hideMark/>
          </w:tcPr>
          <w:p w14:paraId="2A3BA153" w14:textId="77777777" w:rsidR="00014EB3" w:rsidRPr="0081178F" w:rsidRDefault="00014EB3" w:rsidP="00014EB3">
            <w:pPr>
              <w:pStyle w:val="Tabletext"/>
              <w:ind w:left="0" w:right="0"/>
              <w:rPr>
                <w:snapToGrid w:val="0"/>
                <w:color w:val="auto"/>
              </w:rPr>
            </w:pPr>
            <w:r w:rsidRPr="0081178F">
              <w:rPr>
                <w:snapToGrid w:val="0"/>
              </w:rPr>
              <w:t>Long-term safety data in the treatment of children with uveitis</w:t>
            </w:r>
          </w:p>
        </w:tc>
        <w:tc>
          <w:tcPr>
            <w:tcW w:w="992" w:type="dxa"/>
            <w:hideMark/>
          </w:tcPr>
          <w:p w14:paraId="4CA8A559" w14:textId="77777777" w:rsidR="00014EB3" w:rsidRPr="0081178F" w:rsidRDefault="00014EB3" w:rsidP="00092B9B">
            <w:pPr>
              <w:pStyle w:val="Tabletext"/>
              <w:ind w:left="0" w:right="0"/>
              <w:jc w:val="center"/>
              <w:rPr>
                <w:snapToGrid w:val="0"/>
              </w:rPr>
            </w:pPr>
            <w:r w:rsidRPr="0081178F">
              <w:rPr>
                <w:snapToGrid w:val="0"/>
              </w:rPr>
              <w:sym w:font="Wingdings" w:char="F0FC"/>
            </w:r>
          </w:p>
        </w:tc>
        <w:tc>
          <w:tcPr>
            <w:tcW w:w="1134" w:type="dxa"/>
            <w:hideMark/>
          </w:tcPr>
          <w:p w14:paraId="7CDC2A02" w14:textId="77777777" w:rsidR="00014EB3" w:rsidRPr="0081178F" w:rsidRDefault="00014EB3" w:rsidP="00092B9B">
            <w:pPr>
              <w:pStyle w:val="Tabletext"/>
              <w:ind w:left="0" w:right="0"/>
              <w:jc w:val="center"/>
              <w:rPr>
                <w:snapToGrid w:val="0"/>
              </w:rPr>
            </w:pPr>
            <w:r w:rsidRPr="0081178F">
              <w:rPr>
                <w:snapToGrid w:val="0"/>
              </w:rPr>
              <w:t>–</w:t>
            </w:r>
          </w:p>
        </w:tc>
        <w:tc>
          <w:tcPr>
            <w:tcW w:w="992" w:type="dxa"/>
            <w:hideMark/>
          </w:tcPr>
          <w:p w14:paraId="25449766" w14:textId="77777777" w:rsidR="00014EB3" w:rsidRPr="0081178F" w:rsidRDefault="00014EB3" w:rsidP="00092B9B">
            <w:pPr>
              <w:pStyle w:val="Tabletext"/>
              <w:ind w:left="0" w:right="0"/>
              <w:jc w:val="center"/>
              <w:rPr>
                <w:snapToGrid w:val="0"/>
              </w:rPr>
            </w:pPr>
            <w:r w:rsidRPr="0081178F">
              <w:rPr>
                <w:snapToGrid w:val="0"/>
              </w:rPr>
              <w:t>–</w:t>
            </w:r>
          </w:p>
        </w:tc>
        <w:tc>
          <w:tcPr>
            <w:tcW w:w="1134" w:type="dxa"/>
            <w:hideMark/>
          </w:tcPr>
          <w:p w14:paraId="5370E385" w14:textId="77777777" w:rsidR="00014EB3" w:rsidRPr="0081178F" w:rsidRDefault="00014EB3" w:rsidP="00092B9B">
            <w:pPr>
              <w:pStyle w:val="Tabletext"/>
              <w:ind w:left="0" w:right="0"/>
              <w:jc w:val="center"/>
              <w:rPr>
                <w:snapToGrid w:val="0"/>
              </w:rPr>
            </w:pPr>
            <w:r w:rsidRPr="0081178F">
              <w:rPr>
                <w:snapToGrid w:val="0"/>
              </w:rPr>
              <w:t>–</w:t>
            </w:r>
          </w:p>
        </w:tc>
      </w:tr>
      <w:tr w:rsidR="00014EB3" w:rsidRPr="0081178F" w14:paraId="3E34B09C" w14:textId="77777777" w:rsidTr="00014EB3">
        <w:trPr>
          <w:trHeight w:val="140"/>
        </w:trPr>
        <w:tc>
          <w:tcPr>
            <w:tcW w:w="1325" w:type="dxa"/>
            <w:vMerge/>
            <w:hideMark/>
          </w:tcPr>
          <w:p w14:paraId="0B075D2A" w14:textId="77777777" w:rsidR="00014EB3" w:rsidRPr="0081178F" w:rsidRDefault="00014EB3" w:rsidP="00014EB3">
            <w:pPr>
              <w:pStyle w:val="Tabletext"/>
              <w:ind w:left="0" w:right="0"/>
              <w:rPr>
                <w:b/>
                <w:snapToGrid w:val="0"/>
                <w:lang w:eastAsia="en-US"/>
              </w:rPr>
            </w:pPr>
          </w:p>
        </w:tc>
        <w:tc>
          <w:tcPr>
            <w:tcW w:w="2923" w:type="dxa"/>
            <w:hideMark/>
          </w:tcPr>
          <w:p w14:paraId="348DD1B3" w14:textId="3E516ECD" w:rsidR="00014EB3" w:rsidRPr="0081178F" w:rsidRDefault="00014EB3" w:rsidP="00014EB3">
            <w:pPr>
              <w:pStyle w:val="Tabletext"/>
              <w:ind w:left="0" w:right="0"/>
              <w:rPr>
                <w:snapToGrid w:val="0"/>
              </w:rPr>
            </w:pPr>
            <w:r w:rsidRPr="0081178F">
              <w:rPr>
                <w:snapToGrid w:val="0"/>
              </w:rPr>
              <w:t>Long-term safety information in the treatment of children from 6 years to less than 18 years with ulcerative colitis</w:t>
            </w:r>
          </w:p>
        </w:tc>
        <w:tc>
          <w:tcPr>
            <w:tcW w:w="992" w:type="dxa"/>
            <w:hideMark/>
          </w:tcPr>
          <w:p w14:paraId="3FB297C5" w14:textId="77777777" w:rsidR="00014EB3" w:rsidRPr="0081178F" w:rsidRDefault="00014EB3" w:rsidP="00092B9B">
            <w:pPr>
              <w:pStyle w:val="Tabletext"/>
              <w:ind w:left="0" w:right="0"/>
              <w:jc w:val="center"/>
              <w:rPr>
                <w:snapToGrid w:val="0"/>
              </w:rPr>
            </w:pPr>
            <w:r w:rsidRPr="0081178F">
              <w:rPr>
                <w:snapToGrid w:val="0"/>
              </w:rPr>
              <w:sym w:font="Wingdings" w:char="F0FC"/>
            </w:r>
          </w:p>
        </w:tc>
        <w:tc>
          <w:tcPr>
            <w:tcW w:w="1134" w:type="dxa"/>
            <w:hideMark/>
          </w:tcPr>
          <w:p w14:paraId="41752EF1" w14:textId="77777777" w:rsidR="00014EB3" w:rsidRPr="0081178F" w:rsidRDefault="00014EB3" w:rsidP="00092B9B">
            <w:pPr>
              <w:pStyle w:val="Tabletext"/>
              <w:ind w:left="0" w:right="0"/>
              <w:jc w:val="center"/>
              <w:rPr>
                <w:snapToGrid w:val="0"/>
              </w:rPr>
            </w:pPr>
            <w:r w:rsidRPr="0081178F">
              <w:rPr>
                <w:snapToGrid w:val="0"/>
              </w:rPr>
              <w:t>–</w:t>
            </w:r>
          </w:p>
        </w:tc>
        <w:tc>
          <w:tcPr>
            <w:tcW w:w="992" w:type="dxa"/>
            <w:hideMark/>
          </w:tcPr>
          <w:p w14:paraId="4796AD3D" w14:textId="77777777" w:rsidR="00014EB3" w:rsidRPr="0081178F" w:rsidRDefault="00014EB3" w:rsidP="00092B9B">
            <w:pPr>
              <w:pStyle w:val="Tabletext"/>
              <w:ind w:left="0" w:right="0"/>
              <w:jc w:val="center"/>
              <w:rPr>
                <w:snapToGrid w:val="0"/>
              </w:rPr>
            </w:pPr>
            <w:r w:rsidRPr="0081178F">
              <w:rPr>
                <w:snapToGrid w:val="0"/>
              </w:rPr>
              <w:t>–</w:t>
            </w:r>
          </w:p>
        </w:tc>
        <w:tc>
          <w:tcPr>
            <w:tcW w:w="1134" w:type="dxa"/>
            <w:hideMark/>
          </w:tcPr>
          <w:p w14:paraId="7A80E741" w14:textId="77777777" w:rsidR="00014EB3" w:rsidRPr="0081178F" w:rsidRDefault="00014EB3" w:rsidP="00092B9B">
            <w:pPr>
              <w:pStyle w:val="Tabletext"/>
              <w:ind w:left="0" w:right="0"/>
              <w:jc w:val="center"/>
              <w:rPr>
                <w:snapToGrid w:val="0"/>
              </w:rPr>
            </w:pPr>
            <w:r w:rsidRPr="0081178F">
              <w:rPr>
                <w:snapToGrid w:val="0"/>
              </w:rPr>
              <w:t>–</w:t>
            </w:r>
          </w:p>
        </w:tc>
      </w:tr>
    </w:tbl>
    <w:p w14:paraId="06681E3A" w14:textId="190447E6" w:rsidR="00014EB3" w:rsidRPr="0081178F" w:rsidRDefault="00014EB3" w:rsidP="00014EB3">
      <w:pPr>
        <w:pStyle w:val="TableDescription"/>
      </w:pPr>
      <w:r w:rsidRPr="0081178F">
        <w:t xml:space="preserve">* </w:t>
      </w:r>
      <w:r w:rsidR="00CC342B" w:rsidRPr="0081178F">
        <w:t>A</w:t>
      </w:r>
      <w:r w:rsidRPr="0081178F">
        <w:t xml:space="preserve">dult and paediatric </w:t>
      </w:r>
      <w:r w:rsidR="00CC342B" w:rsidRPr="0081178F">
        <w:t>patient reminder cards</w:t>
      </w:r>
    </w:p>
    <w:p w14:paraId="66A1CEA9" w14:textId="26BC827F" w:rsidR="00014EB3" w:rsidRPr="0081178F" w:rsidRDefault="00014EB3" w:rsidP="00014EB3">
      <w:pPr>
        <w:pStyle w:val="ListBullet"/>
      </w:pPr>
      <w:r w:rsidRPr="0081178F">
        <w:t xml:space="preserve">The summary of safety concerns generally aligns with Humira however, as noted by the clinical evaluator, the missing information ‘long-term safety information in the treatment of children from 6 years to less than 18 years with </w:t>
      </w:r>
      <w:r w:rsidR="005E11DA" w:rsidRPr="0081178F">
        <w:t>ulcerative colitis</w:t>
      </w:r>
      <w:r w:rsidRPr="0081178F">
        <w:t xml:space="preserve">’ has been added to the summary of safety concerns for Humira but has not been included for Yuflyma. At </w:t>
      </w:r>
      <w:r w:rsidR="00CC342B" w:rsidRPr="0081178F">
        <w:t>the second round of evaluation</w:t>
      </w:r>
      <w:r w:rsidRPr="0081178F">
        <w:t xml:space="preserve"> the sponsor included the requested safety concern. The summary of safety concerns for Yuflyma is acceptable as it aligns with the EU-RMP and with the innovator.</w:t>
      </w:r>
    </w:p>
    <w:p w14:paraId="688206E7" w14:textId="41E77CFF" w:rsidR="00014EB3" w:rsidRPr="0081178F" w:rsidRDefault="00014EB3" w:rsidP="00014EB3">
      <w:pPr>
        <w:pStyle w:val="ListBullet"/>
      </w:pPr>
      <w:r w:rsidRPr="0081178F">
        <w:t xml:space="preserve">Routine pharmacovigilance is proposed for all safety concerns. Additional pharmacovigilance is not proposed in the EU-RMP or ASA. At </w:t>
      </w:r>
      <w:r w:rsidR="00CC342B" w:rsidRPr="0081178F">
        <w:t>the second round of evaluation</w:t>
      </w:r>
      <w:r w:rsidRPr="0081178F">
        <w:t xml:space="preserve"> the sponsor adequately justified not participating in patient registries. The pharmacovigilance plan otherwise aligns with other adalimumab biosimilars and is considered acceptable.</w:t>
      </w:r>
    </w:p>
    <w:p w14:paraId="448476E5" w14:textId="6DF0A894" w:rsidR="00014EB3" w:rsidRPr="0081178F" w:rsidRDefault="00014EB3" w:rsidP="00014EB3">
      <w:pPr>
        <w:pStyle w:val="ListBullet"/>
      </w:pPr>
      <w:r w:rsidRPr="0081178F">
        <w:t>Routine risk minimisation is proposed for all of the important identified risks, for the important potential risk ‘adenocarcinoma of colon in ulcerative colitis patients’, and for the missing information ‘</w:t>
      </w:r>
      <w:r w:rsidR="00CC342B" w:rsidRPr="0081178F">
        <w:t>p</w:t>
      </w:r>
      <w:r w:rsidRPr="0081178F">
        <w:t xml:space="preserve">atients with immune compromised </w:t>
      </w:r>
      <w:proofErr w:type="gramStart"/>
      <w:r w:rsidRPr="0081178F">
        <w:t>conditions’</w:t>
      </w:r>
      <w:proofErr w:type="gramEnd"/>
      <w:r w:rsidRPr="0081178F">
        <w:t xml:space="preserve">. This aligns with the routine risk minimisation wording listed in the ASA for Humira, and with the information provided in the PI. The sponsor proposes an additional risk minimisation activity in the form of patient reminder cards for adult and paediatric patients. At </w:t>
      </w:r>
      <w:r w:rsidR="00CC342B" w:rsidRPr="0081178F">
        <w:t>the second round of evaluation</w:t>
      </w:r>
      <w:r w:rsidRPr="0081178F">
        <w:t xml:space="preserve"> the risk minimisation plan is acceptable, subject to revision of the additional risk minimisation materials for relevance in Australia.</w:t>
      </w:r>
    </w:p>
    <w:p w14:paraId="7F9BFA36" w14:textId="77777777" w:rsidR="008E7846" w:rsidRPr="0081178F" w:rsidRDefault="00AA0ED0" w:rsidP="008E7846">
      <w:pPr>
        <w:pStyle w:val="Heading3"/>
      </w:pPr>
      <w:bookmarkStart w:id="71" w:name="_Toc117858936"/>
      <w:r w:rsidRPr="0081178F">
        <w:t>Risk-benefit a</w:t>
      </w:r>
      <w:r w:rsidR="008E7846" w:rsidRPr="0081178F">
        <w:t>nalysis</w:t>
      </w:r>
      <w:bookmarkEnd w:id="66"/>
      <w:bookmarkEnd w:id="67"/>
      <w:bookmarkEnd w:id="71"/>
    </w:p>
    <w:p w14:paraId="1DDAECF8" w14:textId="77777777" w:rsidR="0074163C" w:rsidRPr="0081178F" w:rsidRDefault="0074163C" w:rsidP="0074163C">
      <w:pPr>
        <w:pStyle w:val="Heading4"/>
      </w:pPr>
      <w:bookmarkStart w:id="72" w:name="_Toc98931932"/>
      <w:r w:rsidRPr="0081178F">
        <w:t>Delegate’s considerations</w:t>
      </w:r>
      <w:bookmarkEnd w:id="72"/>
    </w:p>
    <w:p w14:paraId="72A2EAED" w14:textId="77777777" w:rsidR="00DB7C98" w:rsidRPr="0081178F" w:rsidRDefault="00DB7C98" w:rsidP="00CC342B">
      <w:pPr>
        <w:pStyle w:val="Heading5"/>
        <w:rPr>
          <w:rFonts w:eastAsia="Cambria"/>
        </w:rPr>
      </w:pPr>
      <w:r w:rsidRPr="0081178F">
        <w:t>Biosimilarity</w:t>
      </w:r>
    </w:p>
    <w:p w14:paraId="6F1B7AD5" w14:textId="77777777" w:rsidR="00DB7C98" w:rsidRPr="0081178F" w:rsidRDefault="00DB7C98" w:rsidP="00DB7C98">
      <w:pPr>
        <w:pStyle w:val="Heading6"/>
        <w:rPr>
          <w:color w:val="001523"/>
        </w:rPr>
      </w:pPr>
      <w:r w:rsidRPr="0081178F">
        <w:t>Quality</w:t>
      </w:r>
    </w:p>
    <w:p w14:paraId="0C443D96" w14:textId="0E285177" w:rsidR="00DB7C98" w:rsidRPr="0081178F" w:rsidRDefault="00DB7C98" w:rsidP="00DB7C98">
      <w:r w:rsidRPr="0081178F">
        <w:t xml:space="preserve">A comprehensive similarity exercise comparing the physicochemical and biological quality attributes of </w:t>
      </w:r>
      <w:r w:rsidR="001339D0" w:rsidRPr="0081178F">
        <w:t>Yuflyma</w:t>
      </w:r>
      <w:r w:rsidRPr="0081178F">
        <w:t>, EU-</w:t>
      </w:r>
      <w:r w:rsidR="001339D0" w:rsidRPr="0081178F">
        <w:t xml:space="preserve">approved </w:t>
      </w:r>
      <w:r w:rsidR="003025D1" w:rsidRPr="0081178F">
        <w:t>Humira</w:t>
      </w:r>
      <w:r w:rsidRPr="0081178F">
        <w:t xml:space="preserve"> and US-</w:t>
      </w:r>
      <w:r w:rsidR="001339D0" w:rsidRPr="0081178F">
        <w:t xml:space="preserve">licensed </w:t>
      </w:r>
      <w:r w:rsidR="003025D1" w:rsidRPr="0081178F">
        <w:t>Humira</w:t>
      </w:r>
      <w:r w:rsidRPr="0081178F">
        <w:t xml:space="preserve"> was conducted, in line with the general principles described in the </w:t>
      </w:r>
      <w:r w:rsidR="00CC342B" w:rsidRPr="0081178F">
        <w:t>EMA g</w:t>
      </w:r>
      <w:r w:rsidRPr="0081178F">
        <w:t>uideline.</w:t>
      </w:r>
      <w:r w:rsidR="00CC342B" w:rsidRPr="0081178F">
        <w:rPr>
          <w:rStyle w:val="FootnoteReference"/>
        </w:rPr>
        <w:footnoteReference w:id="21"/>
      </w:r>
      <w:r w:rsidRPr="0081178F">
        <w:t xml:space="preserve"> Similarity of physicochemical and biological quality attributes has been satisfactorily demonstrated.</w:t>
      </w:r>
    </w:p>
    <w:p w14:paraId="30FB4EE0" w14:textId="12D46019" w:rsidR="00DB7C98" w:rsidRPr="0081178F" w:rsidRDefault="00DB7C98" w:rsidP="00DB7C98">
      <w:r w:rsidRPr="0081178F">
        <w:t xml:space="preserve">A bridging study demonstrated high similarity between </w:t>
      </w:r>
      <w:r w:rsidR="001339D0" w:rsidRPr="0081178F">
        <w:t xml:space="preserve">Australian-sourced </w:t>
      </w:r>
      <w:r w:rsidR="003025D1" w:rsidRPr="0081178F">
        <w:t>Humira</w:t>
      </w:r>
      <w:r w:rsidRPr="0081178F">
        <w:t xml:space="preserve"> and EU-</w:t>
      </w:r>
      <w:r w:rsidR="001339D0" w:rsidRPr="0081178F">
        <w:t xml:space="preserve">approved </w:t>
      </w:r>
      <w:r w:rsidR="003025D1" w:rsidRPr="0081178F">
        <w:t>Humira</w:t>
      </w:r>
      <w:r w:rsidRPr="0081178F">
        <w:t xml:space="preserve">, supporting a conclusion of biosimilarity of </w:t>
      </w:r>
      <w:r w:rsidR="001339D0" w:rsidRPr="0081178F">
        <w:t>Yuflyma</w:t>
      </w:r>
      <w:r w:rsidR="001339D0" w:rsidRPr="0081178F" w:rsidDel="001339D0">
        <w:t xml:space="preserve"> </w:t>
      </w:r>
      <w:r w:rsidRPr="0081178F">
        <w:t>with the Australian reference product.</w:t>
      </w:r>
    </w:p>
    <w:p w14:paraId="340DC7BC" w14:textId="232522E9" w:rsidR="00DB7C98" w:rsidRPr="0081178F" w:rsidRDefault="00DB7C98" w:rsidP="00DB7C98">
      <w:pPr>
        <w:pStyle w:val="Heading6"/>
        <w:rPr>
          <w:color w:val="001523"/>
        </w:rPr>
      </w:pPr>
      <w:r w:rsidRPr="0081178F">
        <w:t>Nonclinical</w:t>
      </w:r>
    </w:p>
    <w:p w14:paraId="0FB44167" w14:textId="62130C29" w:rsidR="00DB7C98" w:rsidRPr="0081178F" w:rsidRDefault="00DB7C98" w:rsidP="00DB7C98">
      <w:r w:rsidRPr="0081178F">
        <w:t>The findings from the nonclinical studies support a conclusion of biosimilarity. The similarity in biological activity (</w:t>
      </w:r>
      <w:r w:rsidR="001339D0" w:rsidRPr="0081178F">
        <w:t>Yuflyma</w:t>
      </w:r>
      <w:r w:rsidR="001339D0" w:rsidRPr="0081178F" w:rsidDel="001339D0">
        <w:t xml:space="preserve"> </w:t>
      </w:r>
      <w:r w:rsidR="003025D1" w:rsidRPr="0081178F">
        <w:t>versus</w:t>
      </w:r>
      <w:r w:rsidRPr="0081178F">
        <w:t xml:space="preserve"> EU-</w:t>
      </w:r>
      <w:r w:rsidR="001339D0" w:rsidRPr="0081178F">
        <w:t xml:space="preserve">approved </w:t>
      </w:r>
      <w:r w:rsidR="003025D1" w:rsidRPr="0081178F">
        <w:t>Humira</w:t>
      </w:r>
      <w:r w:rsidRPr="0081178F">
        <w:t>) supports the proposed indications.</w:t>
      </w:r>
    </w:p>
    <w:p w14:paraId="113DD88C" w14:textId="77777777" w:rsidR="00DB7C98" w:rsidRPr="0081178F" w:rsidRDefault="00DB7C98" w:rsidP="00DB7C98">
      <w:pPr>
        <w:pStyle w:val="Heading6"/>
        <w:rPr>
          <w:rFonts w:asciiTheme="minorHAnsi" w:hAnsiTheme="minorHAnsi"/>
          <w:color w:val="001523"/>
        </w:rPr>
      </w:pPr>
      <w:r w:rsidRPr="0081178F">
        <w:t>Clinical pharmacology</w:t>
      </w:r>
    </w:p>
    <w:p w14:paraId="0CA93B52" w14:textId="33D625BA" w:rsidR="00DB7C98" w:rsidRPr="0081178F" w:rsidRDefault="00DB7C98" w:rsidP="00DB7C98">
      <w:r w:rsidRPr="0081178F">
        <w:t xml:space="preserve">The comparative PK study, </w:t>
      </w:r>
      <w:r w:rsidR="006430AA" w:rsidRPr="0081178F">
        <w:t xml:space="preserve">Study </w:t>
      </w:r>
      <w:r w:rsidRPr="0081178F">
        <w:t xml:space="preserve">CT-P17 1.1, demonstrated PK equivalence of </w:t>
      </w:r>
      <w:r w:rsidR="001339D0" w:rsidRPr="0081178F">
        <w:t>Yuflyma</w:t>
      </w:r>
      <w:r w:rsidR="001339D0" w:rsidRPr="0081178F" w:rsidDel="001339D0">
        <w:t xml:space="preserve"> </w:t>
      </w:r>
      <w:r w:rsidRPr="0081178F">
        <w:t>with both EU-</w:t>
      </w:r>
      <w:r w:rsidR="001339D0" w:rsidRPr="0081178F">
        <w:t>approved</w:t>
      </w:r>
      <w:r w:rsidRPr="0081178F">
        <w:t xml:space="preserve"> and US</w:t>
      </w:r>
      <w:r w:rsidR="00FA3C33" w:rsidRPr="0081178F">
        <w:t>-</w:t>
      </w:r>
      <w:r w:rsidR="001339D0" w:rsidRPr="0081178F">
        <w:t xml:space="preserve">licensed </w:t>
      </w:r>
      <w:r w:rsidR="003025D1" w:rsidRPr="0081178F">
        <w:t>Humira</w:t>
      </w:r>
      <w:r w:rsidRPr="0081178F">
        <w:t xml:space="preserve">. The study design was acceptable and complied with the CHMP </w:t>
      </w:r>
      <w:r w:rsidR="006430AA" w:rsidRPr="0081178F">
        <w:t>g</w:t>
      </w:r>
      <w:r w:rsidRPr="0081178F">
        <w:t>uideline</w:t>
      </w:r>
      <w:r w:rsidR="006430AA" w:rsidRPr="0081178F">
        <w:t>.</w:t>
      </w:r>
      <w:r w:rsidR="006430AA" w:rsidRPr="0081178F">
        <w:rPr>
          <w:vertAlign w:val="superscript"/>
        </w:rPr>
        <w:fldChar w:fldCharType="begin"/>
      </w:r>
      <w:r w:rsidR="006430AA" w:rsidRPr="0081178F">
        <w:rPr>
          <w:vertAlign w:val="superscript"/>
        </w:rPr>
        <w:instrText xml:space="preserve"> NOTEREF _Ref110191764 \h  \* MERGEFORMAT </w:instrText>
      </w:r>
      <w:r w:rsidR="006430AA" w:rsidRPr="0081178F">
        <w:rPr>
          <w:vertAlign w:val="superscript"/>
        </w:rPr>
      </w:r>
      <w:r w:rsidR="006430AA" w:rsidRPr="0081178F">
        <w:rPr>
          <w:vertAlign w:val="superscript"/>
        </w:rPr>
        <w:fldChar w:fldCharType="separate"/>
      </w:r>
      <w:r w:rsidR="003538E0" w:rsidRPr="0081178F">
        <w:rPr>
          <w:vertAlign w:val="superscript"/>
        </w:rPr>
        <w:t>10</w:t>
      </w:r>
      <w:r w:rsidR="006430AA" w:rsidRPr="0081178F">
        <w:rPr>
          <w:vertAlign w:val="superscript"/>
        </w:rPr>
        <w:fldChar w:fldCharType="end"/>
      </w:r>
      <w:r w:rsidRPr="0081178F">
        <w:t xml:space="preserve"> The main efficacy and safety study, </w:t>
      </w:r>
      <w:r w:rsidR="006430AA" w:rsidRPr="0081178F">
        <w:t xml:space="preserve">Study </w:t>
      </w:r>
      <w:r w:rsidRPr="0081178F">
        <w:t>CT-P17</w:t>
      </w:r>
      <w:r w:rsidR="00186C38" w:rsidRPr="0081178F">
        <w:t> </w:t>
      </w:r>
      <w:r w:rsidRPr="0081178F">
        <w:t>3.1, provided supportive comparative PK data (</w:t>
      </w:r>
      <w:proofErr w:type="spellStart"/>
      <w:r w:rsidR="00F73D8A" w:rsidRPr="0081178F">
        <w:t>C</w:t>
      </w:r>
      <w:r w:rsidR="00F73D8A" w:rsidRPr="0081178F">
        <w:rPr>
          <w:vertAlign w:val="subscript"/>
        </w:rPr>
        <w:t>trough</w:t>
      </w:r>
      <w:proofErr w:type="spellEnd"/>
      <w:r w:rsidRPr="0081178F">
        <w:t xml:space="preserve"> following repeated </w:t>
      </w:r>
      <w:r w:rsidR="00DE77BA" w:rsidRPr="0081178F">
        <w:t>subcutaneous</w:t>
      </w:r>
      <w:r w:rsidRPr="0081178F">
        <w:t xml:space="preserve"> injections) in a target patient population (</w:t>
      </w:r>
      <w:r w:rsidR="005E11DA" w:rsidRPr="0081178F">
        <w:t>rheumatoid arthritis</w:t>
      </w:r>
      <w:r w:rsidRPr="0081178F">
        <w:t xml:space="preserve">). In both </w:t>
      </w:r>
      <w:r w:rsidR="001339D0" w:rsidRPr="0081178F">
        <w:t>Yuflyma</w:t>
      </w:r>
      <w:r w:rsidR="001339D0" w:rsidRPr="0081178F" w:rsidDel="001339D0">
        <w:t xml:space="preserve"> </w:t>
      </w:r>
      <w:r w:rsidRPr="0081178F">
        <w:t>and EU</w:t>
      </w:r>
      <w:r w:rsidR="001339D0" w:rsidRPr="0081178F">
        <w:noBreakHyphen/>
        <w:t xml:space="preserve">approved </w:t>
      </w:r>
      <w:r w:rsidR="003025D1" w:rsidRPr="0081178F">
        <w:t>Humira</w:t>
      </w:r>
      <w:r w:rsidRPr="0081178F">
        <w:t xml:space="preserve"> treatment groups, patients with ADA had lower </w:t>
      </w:r>
      <w:proofErr w:type="spellStart"/>
      <w:r w:rsidR="00F73D8A" w:rsidRPr="0081178F">
        <w:t>C</w:t>
      </w:r>
      <w:r w:rsidR="00F73D8A" w:rsidRPr="0081178F">
        <w:rPr>
          <w:vertAlign w:val="subscript"/>
        </w:rPr>
        <w:t>trough</w:t>
      </w:r>
      <w:proofErr w:type="spellEnd"/>
      <w:r w:rsidRPr="0081178F">
        <w:t xml:space="preserve"> levels compared with patients without ADA. Study CT-P17 1.3 demonstrated comparable PK for </w:t>
      </w:r>
      <w:r w:rsidR="001339D0" w:rsidRPr="0081178F">
        <w:t>Yuflyma</w:t>
      </w:r>
      <w:r w:rsidR="001339D0" w:rsidRPr="0081178F" w:rsidDel="001339D0">
        <w:t xml:space="preserve"> </w:t>
      </w:r>
      <w:r w:rsidRPr="0081178F">
        <w:t xml:space="preserve">administered by </w:t>
      </w:r>
      <w:r w:rsidR="003025D1" w:rsidRPr="0081178F">
        <w:t>auto-injector</w:t>
      </w:r>
      <w:r w:rsidRPr="0081178F">
        <w:t xml:space="preserve"> and by </w:t>
      </w:r>
      <w:r w:rsidR="003F761E" w:rsidRPr="0081178F">
        <w:t>pre</w:t>
      </w:r>
      <w:r w:rsidR="004C04A3" w:rsidRPr="0081178F">
        <w:t>-</w:t>
      </w:r>
      <w:r w:rsidR="003F761E" w:rsidRPr="0081178F">
        <w:t>filled syringe</w:t>
      </w:r>
      <w:r w:rsidRPr="0081178F">
        <w:t>.</w:t>
      </w:r>
    </w:p>
    <w:p w14:paraId="53555EB4" w14:textId="77777777" w:rsidR="00DB7C98" w:rsidRPr="0081178F" w:rsidRDefault="00DB7C98" w:rsidP="00DB7C98">
      <w:r w:rsidRPr="0081178F">
        <w:t>The clinical PK data support a conclusion of biosimilarity.</w:t>
      </w:r>
    </w:p>
    <w:p w14:paraId="0D1EF5C9" w14:textId="77777777" w:rsidR="00DB7C98" w:rsidRPr="0081178F" w:rsidRDefault="00DB7C98" w:rsidP="00DB7C98">
      <w:pPr>
        <w:pStyle w:val="Heading6"/>
      </w:pPr>
      <w:r w:rsidRPr="0081178F">
        <w:t>Clinical efficacy</w:t>
      </w:r>
    </w:p>
    <w:p w14:paraId="77C7E40D" w14:textId="4B25D945" w:rsidR="00DB7C98" w:rsidRPr="0081178F" w:rsidRDefault="00DB7C98" w:rsidP="00DB7C98">
      <w:r w:rsidRPr="0081178F">
        <w:t xml:space="preserve">Similar efficacy of </w:t>
      </w:r>
      <w:r w:rsidR="001339D0" w:rsidRPr="0081178F">
        <w:t>Yuflyma</w:t>
      </w:r>
      <w:r w:rsidR="001339D0" w:rsidRPr="0081178F" w:rsidDel="001339D0">
        <w:t xml:space="preserve"> </w:t>
      </w:r>
      <w:r w:rsidRPr="0081178F">
        <w:t>to EU-</w:t>
      </w:r>
      <w:r w:rsidR="001339D0" w:rsidRPr="0081178F">
        <w:t xml:space="preserve">approved </w:t>
      </w:r>
      <w:r w:rsidR="003025D1" w:rsidRPr="0081178F">
        <w:t>Humira</w:t>
      </w:r>
      <w:r w:rsidRPr="0081178F">
        <w:t xml:space="preserve"> was demonstrated in </w:t>
      </w:r>
      <w:r w:rsidR="006430AA" w:rsidRPr="0081178F">
        <w:t>Study</w:t>
      </w:r>
      <w:r w:rsidR="001339D0" w:rsidRPr="0081178F">
        <w:t> </w:t>
      </w:r>
      <w:r w:rsidRPr="0081178F">
        <w:t>CT</w:t>
      </w:r>
      <w:r w:rsidR="001339D0" w:rsidRPr="0081178F">
        <w:noBreakHyphen/>
      </w:r>
      <w:r w:rsidRPr="0081178F">
        <w:t>P17</w:t>
      </w:r>
      <w:r w:rsidR="001339D0" w:rsidRPr="0081178F">
        <w:t> </w:t>
      </w:r>
      <w:r w:rsidRPr="0081178F">
        <w:t xml:space="preserve">3.1, a </w:t>
      </w:r>
      <w:r w:rsidR="00302C0B" w:rsidRPr="0081178F">
        <w:t>Phase</w:t>
      </w:r>
      <w:r w:rsidR="00CC342B" w:rsidRPr="0081178F">
        <w:t> </w:t>
      </w:r>
      <w:r w:rsidR="00302C0B" w:rsidRPr="0081178F">
        <w:t>III</w:t>
      </w:r>
      <w:r w:rsidRPr="0081178F">
        <w:t>, randomised, active</w:t>
      </w:r>
      <w:r w:rsidR="00CC342B" w:rsidRPr="0081178F">
        <w:t xml:space="preserve"> </w:t>
      </w:r>
      <w:r w:rsidRPr="0081178F">
        <w:t>controlled, double</w:t>
      </w:r>
      <w:r w:rsidR="00302C0B" w:rsidRPr="0081178F">
        <w:t xml:space="preserve"> </w:t>
      </w:r>
      <w:r w:rsidRPr="0081178F">
        <w:t xml:space="preserve">blind, multicentre study conducted in 648 subjects with moderate to severe active </w:t>
      </w:r>
      <w:r w:rsidR="005E11DA" w:rsidRPr="0081178F">
        <w:t>rheumatoid arthritis</w:t>
      </w:r>
      <w:r w:rsidRPr="0081178F">
        <w:t xml:space="preserve"> who had an inadequate response to </w:t>
      </w:r>
      <w:r w:rsidR="00302C0B" w:rsidRPr="0081178F">
        <w:t>methotrexate</w:t>
      </w:r>
      <w:r w:rsidRPr="0081178F">
        <w:t xml:space="preserve"> therapy. The design of the study was in line with the EMA guideline on assessment of biosimilarity.</w:t>
      </w:r>
      <w:r w:rsidR="008049F9" w:rsidRPr="0081178F">
        <w:rPr>
          <w:rStyle w:val="FootnoteReference"/>
        </w:rPr>
        <w:footnoteReference w:id="22"/>
      </w:r>
    </w:p>
    <w:p w14:paraId="4A84C43A" w14:textId="69B4F239" w:rsidR="00DB7C98" w:rsidRPr="0081178F" w:rsidRDefault="00DB7C98" w:rsidP="00DB7C98">
      <w:r w:rsidRPr="0081178F">
        <w:t xml:space="preserve">Patients were initially randomised in a 1:1 ratio to receive 40 mg/0.4 mL of either </w:t>
      </w:r>
      <w:r w:rsidR="001339D0" w:rsidRPr="0081178F">
        <w:t>Yuflyma</w:t>
      </w:r>
      <w:r w:rsidR="001339D0" w:rsidRPr="0081178F" w:rsidDel="001339D0">
        <w:t xml:space="preserve"> </w:t>
      </w:r>
      <w:r w:rsidRPr="0081178F">
        <w:t>or EU-</w:t>
      </w:r>
      <w:r w:rsidR="001339D0" w:rsidRPr="0081178F">
        <w:t xml:space="preserve">approved </w:t>
      </w:r>
      <w:r w:rsidR="003025D1" w:rsidRPr="0081178F">
        <w:t>Humira</w:t>
      </w:r>
      <w:r w:rsidRPr="0081178F">
        <w:t xml:space="preserve"> as a </w:t>
      </w:r>
      <w:r w:rsidR="00DE77BA" w:rsidRPr="0081178F">
        <w:t>subcutaneous</w:t>
      </w:r>
      <w:r w:rsidRPr="0081178F">
        <w:t xml:space="preserve"> injection via </w:t>
      </w:r>
      <w:r w:rsidR="003F761E" w:rsidRPr="0081178F">
        <w:t>pre</w:t>
      </w:r>
      <w:r w:rsidR="004C04A3" w:rsidRPr="0081178F">
        <w:t>-</w:t>
      </w:r>
      <w:r w:rsidR="003F761E" w:rsidRPr="0081178F">
        <w:t>filled syringe</w:t>
      </w:r>
      <w:r w:rsidRPr="0081178F">
        <w:t xml:space="preserve"> </w:t>
      </w:r>
      <w:r w:rsidR="00F73D8A" w:rsidRPr="0081178F">
        <w:t>every other week</w:t>
      </w:r>
      <w:r w:rsidRPr="0081178F">
        <w:t xml:space="preserve"> up to Week</w:t>
      </w:r>
      <w:r w:rsidR="00CC342B" w:rsidRPr="0081178F">
        <w:t> </w:t>
      </w:r>
      <w:r w:rsidRPr="0081178F">
        <w:t xml:space="preserve">24 (Treatment </w:t>
      </w:r>
      <w:r w:rsidR="00F73D8A" w:rsidRPr="0081178F">
        <w:t>Period</w:t>
      </w:r>
      <w:r w:rsidRPr="0081178F">
        <w:t xml:space="preserve"> I). Prior to dosing at Week 26, patients underwent a second randomisation process. Patients who were initially assigned to EU-</w:t>
      </w:r>
      <w:r w:rsidR="00B6699E" w:rsidRPr="0081178F">
        <w:t xml:space="preserve">approved </w:t>
      </w:r>
      <w:r w:rsidR="003025D1" w:rsidRPr="0081178F">
        <w:t>Humira</w:t>
      </w:r>
      <w:r w:rsidRPr="0081178F">
        <w:t xml:space="preserve"> were randomised again in a 1:1 ratio to either continue EU-</w:t>
      </w:r>
      <w:r w:rsidR="00B6699E" w:rsidRPr="0081178F">
        <w:t xml:space="preserve">approved </w:t>
      </w:r>
      <w:r w:rsidR="003025D1" w:rsidRPr="0081178F">
        <w:t>Humira</w:t>
      </w:r>
      <w:r w:rsidRPr="0081178F">
        <w:t xml:space="preserve"> or switch to </w:t>
      </w:r>
      <w:r w:rsidR="00B6699E" w:rsidRPr="0081178F">
        <w:t>Yuflyma</w:t>
      </w:r>
      <w:r w:rsidR="00B6699E" w:rsidRPr="0081178F" w:rsidDel="00B6699E">
        <w:t xml:space="preserve"> </w:t>
      </w:r>
      <w:r w:rsidRPr="0081178F">
        <w:t xml:space="preserve">(Treatment </w:t>
      </w:r>
      <w:r w:rsidR="00F73D8A" w:rsidRPr="0081178F">
        <w:t>Period</w:t>
      </w:r>
      <w:r w:rsidRPr="0081178F">
        <w:t xml:space="preserve"> II). All patients who were initially assigned to </w:t>
      </w:r>
      <w:r w:rsidR="00B6699E" w:rsidRPr="0081178F">
        <w:t>Yuflyma</w:t>
      </w:r>
      <w:r w:rsidRPr="0081178F">
        <w:t xml:space="preserve"> continued treatment with </w:t>
      </w:r>
      <w:r w:rsidR="00B6699E" w:rsidRPr="0081178F">
        <w:t>Yuflyma</w:t>
      </w:r>
      <w:r w:rsidR="00B6699E" w:rsidRPr="0081178F" w:rsidDel="00B6699E">
        <w:t xml:space="preserve"> </w:t>
      </w:r>
      <w:r w:rsidRPr="0081178F">
        <w:t xml:space="preserve">in Treatment </w:t>
      </w:r>
      <w:r w:rsidR="00F73D8A" w:rsidRPr="0081178F">
        <w:t>Period</w:t>
      </w:r>
      <w:r w:rsidRPr="0081178F">
        <w:t xml:space="preserve"> II.</w:t>
      </w:r>
    </w:p>
    <w:p w14:paraId="6268C880" w14:textId="3EE150F8" w:rsidR="00DB7C98" w:rsidRPr="0081178F" w:rsidRDefault="00DB7C98" w:rsidP="00DB7C98">
      <w:r w:rsidRPr="0081178F">
        <w:t>The primary endpoint was the proportion of patients achieving ACR20 response at Week</w:t>
      </w:r>
      <w:r w:rsidR="00CC342B" w:rsidRPr="0081178F">
        <w:t> </w:t>
      </w:r>
      <w:r w:rsidRPr="0081178F">
        <w:t>24 in the ITT population. 82.72% of patients in each treatment arm achieved ACR20 response at Week 24 (treatment difference estimate 0.00%; 95% CI</w:t>
      </w:r>
      <w:r w:rsidR="00CC342B" w:rsidRPr="0081178F">
        <w:t>:</w:t>
      </w:r>
      <w:r w:rsidRPr="0081178F">
        <w:t xml:space="preserve"> -5.94, 5.94). The primary endpoint was met, as the 95% CI for the treatment difference was within the pre</w:t>
      </w:r>
      <w:r w:rsidR="00B6699E" w:rsidRPr="0081178F">
        <w:noBreakHyphen/>
      </w:r>
      <w:r w:rsidRPr="0081178F">
        <w:t xml:space="preserve">defined equivalence margin of -15% to 15%. The pre-defined equivalence margin was statistically </w:t>
      </w:r>
      <w:proofErr w:type="gramStart"/>
      <w:r w:rsidRPr="0081178F">
        <w:t>justified, and</w:t>
      </w:r>
      <w:proofErr w:type="gramEnd"/>
      <w:r w:rsidRPr="0081178F">
        <w:t xml:space="preserve"> was in line with previous adalimumab biosimilar evaluations. Sensitivity analyses were supportive of the primary endpoint. Secondary efficacy endpoints, including ACR20, ACR50, ACR70, DAS28</w:t>
      </w:r>
      <w:r w:rsidR="00B6699E" w:rsidRPr="0081178F">
        <w:t xml:space="preserve"> ESR, </w:t>
      </w:r>
      <w:r w:rsidRPr="0081178F">
        <w:t>DAS28</w:t>
      </w:r>
      <w:r w:rsidR="00B6699E" w:rsidRPr="0081178F">
        <w:t xml:space="preserve"> CRP, </w:t>
      </w:r>
      <w:r w:rsidRPr="0081178F">
        <w:t xml:space="preserve">EULAR response, CDAI, SDAI, and SF-36, were supportive of similar efficacy of </w:t>
      </w:r>
      <w:r w:rsidR="00B6699E" w:rsidRPr="0081178F">
        <w:t xml:space="preserve">Yuflyma </w:t>
      </w:r>
      <w:r w:rsidRPr="0081178F">
        <w:t>to EU-</w:t>
      </w:r>
      <w:r w:rsidR="00B6699E" w:rsidRPr="0081178F">
        <w:t>approved Humira</w:t>
      </w:r>
      <w:r w:rsidRPr="0081178F">
        <w:t>. Similar efficacy was maintained through to Week 52, including in patients who switched from EU-</w:t>
      </w:r>
      <w:r w:rsidR="00B6699E" w:rsidRPr="0081178F">
        <w:t xml:space="preserve">approved </w:t>
      </w:r>
      <w:r w:rsidR="003025D1" w:rsidRPr="0081178F">
        <w:t>Humira</w:t>
      </w:r>
      <w:r w:rsidRPr="0081178F">
        <w:t xml:space="preserve"> to </w:t>
      </w:r>
      <w:r w:rsidR="00B6699E" w:rsidRPr="0081178F">
        <w:t>Yuflyma</w:t>
      </w:r>
      <w:r w:rsidR="00B6699E" w:rsidRPr="0081178F" w:rsidDel="00B6699E">
        <w:t xml:space="preserve"> </w:t>
      </w:r>
      <w:r w:rsidRPr="0081178F">
        <w:t>from Week 26. ADA status did not have a clinically meaningful impact on efficacy.</w:t>
      </w:r>
    </w:p>
    <w:p w14:paraId="68E0B1C3" w14:textId="77777777" w:rsidR="00DB7C98" w:rsidRPr="0081178F" w:rsidRDefault="00DB7C98" w:rsidP="00DB7C98">
      <w:r w:rsidRPr="0081178F">
        <w:t>The clinical efficacy data support a conclusion of biosimilarity.</w:t>
      </w:r>
    </w:p>
    <w:p w14:paraId="0F1068D3" w14:textId="77777777" w:rsidR="00DB7C98" w:rsidRPr="0081178F" w:rsidRDefault="00DB7C98" w:rsidP="00DB7C98">
      <w:pPr>
        <w:pStyle w:val="Heading6"/>
      </w:pPr>
      <w:r w:rsidRPr="0081178F">
        <w:t>Clinical safety</w:t>
      </w:r>
    </w:p>
    <w:p w14:paraId="0392181C" w14:textId="06106098" w:rsidR="00DB7C98" w:rsidRPr="0081178F" w:rsidRDefault="00DB7C98" w:rsidP="00DB7C98">
      <w:r w:rsidRPr="0081178F">
        <w:t xml:space="preserve">The safety population is sufficient for evaluation of similarity of safety. The safety of </w:t>
      </w:r>
      <w:r w:rsidR="00B6699E" w:rsidRPr="0081178F">
        <w:t>Yuflyma</w:t>
      </w:r>
      <w:r w:rsidR="00B6699E" w:rsidRPr="0081178F" w:rsidDel="00B6699E">
        <w:t xml:space="preserve"> </w:t>
      </w:r>
      <w:r w:rsidRPr="0081178F">
        <w:t>was comparable to EU-</w:t>
      </w:r>
      <w:r w:rsidR="00CB4944" w:rsidRPr="0081178F">
        <w:t xml:space="preserve">approved </w:t>
      </w:r>
      <w:r w:rsidR="003025D1" w:rsidRPr="0081178F">
        <w:t>Humira</w:t>
      </w:r>
      <w:r w:rsidRPr="0081178F">
        <w:t xml:space="preserve"> in the main efficacy and safety study, </w:t>
      </w:r>
      <w:r w:rsidR="006430AA" w:rsidRPr="0081178F">
        <w:t>Study</w:t>
      </w:r>
      <w:r w:rsidR="00CC342B" w:rsidRPr="0081178F">
        <w:t> </w:t>
      </w:r>
      <w:r w:rsidRPr="0081178F">
        <w:t>CT</w:t>
      </w:r>
      <w:r w:rsidR="00CC342B" w:rsidRPr="0081178F">
        <w:noBreakHyphen/>
      </w:r>
      <w:r w:rsidRPr="0081178F">
        <w:t>P17</w:t>
      </w:r>
      <w:r w:rsidR="00CC342B" w:rsidRPr="0081178F">
        <w:t> </w:t>
      </w:r>
      <w:r w:rsidRPr="0081178F">
        <w:t xml:space="preserve">3.1. The types and frequencies of TEAEs were generally similar for </w:t>
      </w:r>
      <w:r w:rsidR="00B6699E" w:rsidRPr="0081178F">
        <w:t>Yuflyma</w:t>
      </w:r>
      <w:r w:rsidR="00B6699E" w:rsidRPr="0081178F" w:rsidDel="00B6699E">
        <w:t xml:space="preserve"> </w:t>
      </w:r>
      <w:r w:rsidRPr="0081178F">
        <w:t>and EU-</w:t>
      </w:r>
      <w:r w:rsidR="00B6699E" w:rsidRPr="0081178F">
        <w:t xml:space="preserve">approved </w:t>
      </w:r>
      <w:r w:rsidR="003025D1" w:rsidRPr="0081178F">
        <w:t>Humira</w:t>
      </w:r>
      <w:r w:rsidRPr="0081178F">
        <w:t xml:space="preserve">, and consistent with historical data for </w:t>
      </w:r>
      <w:r w:rsidR="003025D1" w:rsidRPr="0081178F">
        <w:t>Humira</w:t>
      </w:r>
      <w:r w:rsidRPr="0081178F">
        <w:t>. No major differences in frequency or pattern of TESAEs, TEAEs leading to discontinuation of study drug, or AESIs were observed.</w:t>
      </w:r>
    </w:p>
    <w:p w14:paraId="16B39928" w14:textId="71A065C2" w:rsidR="00DB7C98" w:rsidRPr="0081178F" w:rsidRDefault="00DB7C98" w:rsidP="00DB7C98">
      <w:r w:rsidRPr="0081178F">
        <w:t xml:space="preserve">Immunogenicity findings were similar for </w:t>
      </w:r>
      <w:r w:rsidR="000E207C" w:rsidRPr="0081178F">
        <w:t xml:space="preserve">Yuflyma </w:t>
      </w:r>
      <w:r w:rsidRPr="0081178F">
        <w:t>and EU-</w:t>
      </w:r>
      <w:r w:rsidR="00CB4944" w:rsidRPr="0081178F">
        <w:t xml:space="preserve">approved </w:t>
      </w:r>
      <w:r w:rsidR="003025D1" w:rsidRPr="0081178F">
        <w:t>Humira</w:t>
      </w:r>
      <w:r w:rsidRPr="0081178F">
        <w:t xml:space="preserve"> in terms of ADA formation, ADA titre levels, </w:t>
      </w:r>
      <w:r w:rsidR="001128D2" w:rsidRPr="0081178F">
        <w:t>neutralising antibody</w:t>
      </w:r>
      <w:r w:rsidRPr="0081178F">
        <w:t xml:space="preserve"> formation, and the impact of ADA formation on clinical safety.</w:t>
      </w:r>
    </w:p>
    <w:p w14:paraId="030742BD" w14:textId="77777777" w:rsidR="00DB7C98" w:rsidRPr="0081178F" w:rsidRDefault="00DB7C98" w:rsidP="00DB7C98">
      <w:r w:rsidRPr="0081178F">
        <w:t>The clinical safety and immunogenicity data support a conclusion of biosimilarity.</w:t>
      </w:r>
    </w:p>
    <w:p w14:paraId="489810C5" w14:textId="77777777" w:rsidR="00DB7C98" w:rsidRPr="0081178F" w:rsidRDefault="00DB7C98" w:rsidP="00DB7C98">
      <w:pPr>
        <w:pStyle w:val="Heading5"/>
        <w:rPr>
          <w:lang w:eastAsia="ja-JP"/>
        </w:rPr>
      </w:pPr>
      <w:r w:rsidRPr="0081178F">
        <w:rPr>
          <w:lang w:eastAsia="ja-JP"/>
        </w:rPr>
        <w:t>Limitations of the data</w:t>
      </w:r>
    </w:p>
    <w:p w14:paraId="0CC833AF" w14:textId="388E4F4D" w:rsidR="00DB7C98" w:rsidRPr="0081178F" w:rsidRDefault="00DB7C98" w:rsidP="00DB7C98">
      <w:r w:rsidRPr="0081178F">
        <w:t xml:space="preserve">This application does not include 20 mg or 80 mg strengths. The lack of a 20 mg strength means that the proposed products are not suitable to deliver the 20 mg dose recommended in some paediatric settings. The draft PI has been amended to highlight that there is no dosage form of </w:t>
      </w:r>
      <w:r w:rsidR="00CC342B" w:rsidRPr="0081178F">
        <w:t>Yuflyma</w:t>
      </w:r>
      <w:r w:rsidRPr="0081178F">
        <w:t xml:space="preserve"> that is suitable to deliver a 20 mg dose, and that an alternative product should be used for patients requiring a 20 mg dose. The lack of an 80</w:t>
      </w:r>
      <w:r w:rsidR="00CC342B" w:rsidRPr="0081178F">
        <w:t> </w:t>
      </w:r>
      <w:r w:rsidRPr="0081178F">
        <w:t>mg strength is less critical, as 80 mg and 160 mg doses can be achieved with 2 or 4</w:t>
      </w:r>
      <w:r w:rsidR="00CC342B" w:rsidRPr="0081178F">
        <w:t> </w:t>
      </w:r>
      <w:r w:rsidRPr="0081178F">
        <w:t xml:space="preserve">injections of </w:t>
      </w:r>
      <w:r w:rsidR="00CC342B" w:rsidRPr="0081178F">
        <w:t>Yuflyma</w:t>
      </w:r>
      <w:r w:rsidRPr="0081178F">
        <w:t xml:space="preserve">, respectively. Whilst this may be less convenient than </w:t>
      </w:r>
      <w:r w:rsidR="00CC342B" w:rsidRPr="0081178F">
        <w:t>one</w:t>
      </w:r>
      <w:r w:rsidRPr="0081178F">
        <w:t xml:space="preserve"> or </w:t>
      </w:r>
      <w:r w:rsidR="00CC342B" w:rsidRPr="0081178F">
        <w:t>two</w:t>
      </w:r>
      <w:r w:rsidRPr="0081178F">
        <w:t xml:space="preserve"> injections of </w:t>
      </w:r>
      <w:r w:rsidR="003025D1" w:rsidRPr="0081178F">
        <w:t>Humira</w:t>
      </w:r>
      <w:r w:rsidRPr="0081178F">
        <w:t xml:space="preserve"> 80 mg, it is not critical to the efficacy and safety of the product. Other </w:t>
      </w:r>
      <w:r w:rsidR="00CC342B" w:rsidRPr="0081178F">
        <w:t>adalimumab</w:t>
      </w:r>
      <w:r w:rsidRPr="0081178F">
        <w:t xml:space="preserve"> biosimilar products have been registered without 20 mg and/or 80 mg strengths.</w:t>
      </w:r>
    </w:p>
    <w:p w14:paraId="77736A15" w14:textId="442415D5" w:rsidR="00DB7C98" w:rsidRPr="0081178F" w:rsidRDefault="00DB7C98" w:rsidP="00DB7C98">
      <w:r w:rsidRPr="0081178F">
        <w:t xml:space="preserve">The clinical efficacy of </w:t>
      </w:r>
      <w:r w:rsidR="00CC342B" w:rsidRPr="0081178F">
        <w:t>Yuflyma</w:t>
      </w:r>
      <w:r w:rsidRPr="0081178F">
        <w:t xml:space="preserve"> has been evaluated only in patients with </w:t>
      </w:r>
      <w:r w:rsidR="005E11DA" w:rsidRPr="0081178F">
        <w:t>rheumatoid arthritis</w:t>
      </w:r>
      <w:r w:rsidRPr="0081178F">
        <w:t xml:space="preserve">. The </w:t>
      </w:r>
      <w:r w:rsidR="005E11DA" w:rsidRPr="0081178F">
        <w:t>sponsor</w:t>
      </w:r>
      <w:r w:rsidRPr="0081178F">
        <w:t xml:space="preserve"> provided a justification for extrapolation to the other indications approved for </w:t>
      </w:r>
      <w:r w:rsidR="003025D1" w:rsidRPr="0081178F">
        <w:t>Humira</w:t>
      </w:r>
      <w:r w:rsidRPr="0081178F">
        <w:t xml:space="preserve"> based on the similarity shown in structural analysis, functional assays, and the clinical similarity of PK, efficacy, </w:t>
      </w:r>
      <w:proofErr w:type="gramStart"/>
      <w:r w:rsidRPr="0081178F">
        <w:t>safety</w:t>
      </w:r>
      <w:proofErr w:type="gramEnd"/>
      <w:r w:rsidRPr="0081178F">
        <w:t xml:space="preserve"> and immunogenicity. A comprehensive comparability exercise assessing the similarity in potency and drug related effects on Fc-receptors and effector cells has shown that </w:t>
      </w:r>
      <w:r w:rsidR="00B6699E" w:rsidRPr="0081178F">
        <w:t>Yuflyma</w:t>
      </w:r>
      <w:r w:rsidR="00B6699E" w:rsidRPr="0081178F" w:rsidDel="00B6699E">
        <w:t xml:space="preserve"> </w:t>
      </w:r>
      <w:r w:rsidRPr="0081178F">
        <w:t xml:space="preserve">is highly </w:t>
      </w:r>
      <w:proofErr w:type="gramStart"/>
      <w:r w:rsidRPr="0081178F">
        <w:t>similar to</w:t>
      </w:r>
      <w:proofErr w:type="gramEnd"/>
      <w:r w:rsidRPr="0081178F">
        <w:t xml:space="preserve"> </w:t>
      </w:r>
      <w:r w:rsidR="003025D1" w:rsidRPr="0081178F">
        <w:t>Humira</w:t>
      </w:r>
      <w:r w:rsidRPr="0081178F">
        <w:t xml:space="preserve"> across all studied known and suggested modes of action, supporting extrapolation of efficacy to all indications.</w:t>
      </w:r>
    </w:p>
    <w:p w14:paraId="21B99999" w14:textId="7B80F2F4" w:rsidR="00DB7C98" w:rsidRPr="0081178F" w:rsidRDefault="00DB7C98" w:rsidP="00DB7C98">
      <w:pPr>
        <w:pStyle w:val="Heading5"/>
      </w:pPr>
      <w:r w:rsidRPr="0081178F">
        <w:t xml:space="preserve">Proposed </w:t>
      </w:r>
      <w:r w:rsidR="00CC342B" w:rsidRPr="0081178F">
        <w:t>indications</w:t>
      </w:r>
    </w:p>
    <w:p w14:paraId="684640B2" w14:textId="0F081DBB" w:rsidR="00DB7C98" w:rsidRPr="0081178F" w:rsidRDefault="00DB7C98" w:rsidP="00DB7C98">
      <w:r w:rsidRPr="0081178F">
        <w:t xml:space="preserve">The proposed indications are the same as the approved Australian indications for </w:t>
      </w:r>
      <w:r w:rsidR="003025D1" w:rsidRPr="0081178F">
        <w:t>Humira</w:t>
      </w:r>
      <w:r w:rsidRPr="0081178F">
        <w:t xml:space="preserve">. The demonstration of biosimilarity to the Australian reference product, </w:t>
      </w:r>
      <w:r w:rsidR="003025D1" w:rsidRPr="0081178F">
        <w:t>Humira</w:t>
      </w:r>
      <w:r w:rsidRPr="0081178F">
        <w:t xml:space="preserve">, supports the use of </w:t>
      </w:r>
      <w:r w:rsidR="00CC342B" w:rsidRPr="0081178F">
        <w:t>Yuflyma</w:t>
      </w:r>
      <w:r w:rsidRPr="0081178F">
        <w:t xml:space="preserve"> in the proposed indications. The proposed indications are </w:t>
      </w:r>
      <w:proofErr w:type="gramStart"/>
      <w:r w:rsidRPr="0081178F">
        <w:t>similar to</w:t>
      </w:r>
      <w:proofErr w:type="gramEnd"/>
      <w:r w:rsidRPr="0081178F">
        <w:t xml:space="preserve"> the approved EU indications for </w:t>
      </w:r>
      <w:r w:rsidR="00CC342B" w:rsidRPr="0081178F">
        <w:t>Yuflyma</w:t>
      </w:r>
      <w:r w:rsidRPr="0081178F">
        <w:t xml:space="preserve">. There are some differences in the wording of the EU and Australian indications, but these differences do not meaningfully impact on the benefit-risk. There are several indications approved in the EU which are not approved for </w:t>
      </w:r>
      <w:r w:rsidR="003025D1" w:rsidRPr="0081178F">
        <w:t>Humira</w:t>
      </w:r>
      <w:r w:rsidRPr="0081178F">
        <w:t xml:space="preserve"> in Australia (axial spondyloarthritis without radiographic evidence of</w:t>
      </w:r>
      <w:r w:rsidR="0065364B" w:rsidRPr="0081178F">
        <w:t xml:space="preserve"> ankylosing spondylitis</w:t>
      </w:r>
      <w:r w:rsidRPr="0081178F">
        <w:t>, paediatric ulcerative colitis, paediatric uveitis), but these indications are not proposed in this application.</w:t>
      </w:r>
    </w:p>
    <w:p w14:paraId="0A946C0A" w14:textId="77777777" w:rsidR="0074163C" w:rsidRPr="0081178F" w:rsidRDefault="0074163C" w:rsidP="0074163C">
      <w:pPr>
        <w:pStyle w:val="Heading4"/>
      </w:pPr>
      <w:bookmarkStart w:id="73" w:name="_Toc98931933"/>
      <w:r w:rsidRPr="0081178F">
        <w:t>Proposed action</w:t>
      </w:r>
      <w:bookmarkEnd w:id="73"/>
    </w:p>
    <w:p w14:paraId="04F61F6A" w14:textId="37B1277F" w:rsidR="00014EB3" w:rsidRPr="0081178F" w:rsidRDefault="00014EB3" w:rsidP="00014EB3">
      <w:r w:rsidRPr="0081178F">
        <w:t xml:space="preserve">The submitted data support a conclusion of biosimilarity of </w:t>
      </w:r>
      <w:r w:rsidR="00CC342B" w:rsidRPr="0081178F">
        <w:t>Yuflyma</w:t>
      </w:r>
      <w:r w:rsidRPr="0081178F">
        <w:t xml:space="preserve"> to the Australian reference product, </w:t>
      </w:r>
      <w:r w:rsidR="003025D1" w:rsidRPr="0081178F">
        <w:t>Humira</w:t>
      </w:r>
      <w:r w:rsidRPr="0081178F">
        <w:t>. Only one strength (40 mg/0.4 mL) is proposed in this submission. The proposed products are not suitable to deliver a 20 mg dose, so the paediatric dosing guidance in the PI has been amended to address this limitation.</w:t>
      </w:r>
    </w:p>
    <w:p w14:paraId="7B016F1B" w14:textId="17199976" w:rsidR="0074163C" w:rsidRPr="0081178F" w:rsidRDefault="00014EB3" w:rsidP="00014EB3">
      <w:r w:rsidRPr="0081178F">
        <w:t>There are no outstanding clinical issues requiring expert advice. The</w:t>
      </w:r>
      <w:r w:rsidR="00994CF0" w:rsidRPr="0081178F">
        <w:t xml:space="preserve"> </w:t>
      </w:r>
      <w:r w:rsidRPr="0081178F">
        <w:t xml:space="preserve">issues with </w:t>
      </w:r>
      <w:r w:rsidR="008049F9" w:rsidRPr="0081178F">
        <w:t>Good Manufacturing Practice;</w:t>
      </w:r>
      <w:r w:rsidR="008049F9" w:rsidRPr="0081178F">
        <w:rPr>
          <w:rStyle w:val="FootnoteReference"/>
        </w:rPr>
        <w:footnoteReference w:id="23"/>
      </w:r>
      <w:r w:rsidRPr="0081178F">
        <w:t xml:space="preserve"> clearances </w:t>
      </w:r>
      <w:r w:rsidR="00994CF0" w:rsidRPr="0081178F">
        <w:t>were resolved prior to approval</w:t>
      </w:r>
      <w:r w:rsidRPr="0081178F">
        <w:t>.</w:t>
      </w:r>
    </w:p>
    <w:p w14:paraId="775B3409" w14:textId="77777777" w:rsidR="0074163C" w:rsidRPr="0081178F" w:rsidRDefault="0074163C" w:rsidP="0074163C">
      <w:pPr>
        <w:pStyle w:val="Heading4"/>
      </w:pPr>
      <w:bookmarkStart w:id="74" w:name="_Toc98931936"/>
      <w:bookmarkStart w:id="75" w:name="_Toc247691532"/>
      <w:bookmarkStart w:id="76" w:name="_Toc314842516"/>
      <w:bookmarkEnd w:id="30"/>
      <w:bookmarkEnd w:id="68"/>
      <w:bookmarkEnd w:id="69"/>
      <w:r w:rsidRPr="0081178F">
        <w:t>Advisory Committee considerations</w:t>
      </w:r>
      <w:bookmarkEnd w:id="74"/>
    </w:p>
    <w:p w14:paraId="4C22811B" w14:textId="21BF54C7" w:rsidR="0074163C" w:rsidRPr="0081178F" w:rsidRDefault="0074163C" w:rsidP="0074163C">
      <w:r w:rsidRPr="0081178F">
        <w:t xml:space="preserve">The Delegate did not refer this </w:t>
      </w:r>
      <w:r w:rsidR="00BB0B78" w:rsidRPr="0081178F">
        <w:t>submission</w:t>
      </w:r>
      <w:r w:rsidRPr="0081178F">
        <w:t xml:space="preserve"> to the Advisory Committee on Medicines</w:t>
      </w:r>
      <w:r w:rsidR="007F6547" w:rsidRPr="0081178F">
        <w:t xml:space="preserve"> (ACM)</w:t>
      </w:r>
      <w:r w:rsidRPr="0081178F">
        <w:t xml:space="preserve"> for advice.</w:t>
      </w:r>
    </w:p>
    <w:p w14:paraId="62BFCBDD" w14:textId="4A96A2D1" w:rsidR="008E7846" w:rsidRPr="0081178F" w:rsidRDefault="008E7846" w:rsidP="00D212F3">
      <w:pPr>
        <w:pStyle w:val="Heading2"/>
      </w:pPr>
      <w:bookmarkStart w:id="77" w:name="_Toc117858937"/>
      <w:r w:rsidRPr="0081178F">
        <w:t>Outcome</w:t>
      </w:r>
      <w:bookmarkEnd w:id="75"/>
      <w:bookmarkEnd w:id="76"/>
      <w:bookmarkEnd w:id="77"/>
    </w:p>
    <w:p w14:paraId="72FCBC11" w14:textId="44FC233C" w:rsidR="0074163C" w:rsidRPr="0081178F" w:rsidRDefault="0074163C" w:rsidP="0074163C">
      <w:bookmarkStart w:id="78" w:name="_Toc247691533"/>
      <w:bookmarkStart w:id="79" w:name="_Toc314842517"/>
      <w:r w:rsidRPr="0081178F">
        <w:t xml:space="preserve">Based on a review of quality, </w:t>
      </w:r>
      <w:r w:rsidR="00CC5044" w:rsidRPr="0081178F">
        <w:t>safety,</w:t>
      </w:r>
      <w:r w:rsidRPr="0081178F">
        <w:t xml:space="preserve"> and efficacy, the TGA approved the registration of </w:t>
      </w:r>
      <w:r w:rsidR="00C06B85" w:rsidRPr="0081178F">
        <w:t xml:space="preserve">Yuflyma </w:t>
      </w:r>
      <w:r w:rsidRPr="0081178F">
        <w:t>(</w:t>
      </w:r>
      <w:r w:rsidR="00C06B85" w:rsidRPr="0081178F">
        <w:t>adalimumab</w:t>
      </w:r>
      <w:r w:rsidRPr="0081178F">
        <w:t xml:space="preserve">) </w:t>
      </w:r>
      <w:r w:rsidR="00247D41" w:rsidRPr="0081178F">
        <w:t>40 mg/0.4 mL</w:t>
      </w:r>
      <w:r w:rsidRPr="0081178F">
        <w:t xml:space="preserve">, </w:t>
      </w:r>
      <w:r w:rsidR="00247D41" w:rsidRPr="0081178F">
        <w:t>solution for injection</w:t>
      </w:r>
      <w:r w:rsidRPr="0081178F">
        <w:t xml:space="preserve">, </w:t>
      </w:r>
      <w:r w:rsidR="00247D41" w:rsidRPr="0081178F">
        <w:t>pre</w:t>
      </w:r>
      <w:r w:rsidR="004C04A3" w:rsidRPr="0081178F">
        <w:t>-</w:t>
      </w:r>
      <w:r w:rsidR="00247D41" w:rsidRPr="0081178F">
        <w:t>filled syringe, pre</w:t>
      </w:r>
      <w:r w:rsidR="00AE5253" w:rsidRPr="0081178F">
        <w:t>-</w:t>
      </w:r>
      <w:r w:rsidR="00247D41" w:rsidRPr="0081178F">
        <w:t>filled syringe with safety guard and pre</w:t>
      </w:r>
      <w:r w:rsidR="00AE5253" w:rsidRPr="0081178F">
        <w:t>-</w:t>
      </w:r>
      <w:r w:rsidR="00247D41" w:rsidRPr="0081178F">
        <w:t>filled syringe in auto-injector pen</w:t>
      </w:r>
      <w:r w:rsidRPr="0081178F">
        <w:t>, indicated:</w:t>
      </w:r>
    </w:p>
    <w:p w14:paraId="3C81BEC8" w14:textId="77777777" w:rsidR="00247D41" w:rsidRPr="0081178F" w:rsidRDefault="00247D41" w:rsidP="00247D41">
      <w:pPr>
        <w:ind w:left="720"/>
        <w:rPr>
          <w:b/>
          <w:bCs/>
          <w:i/>
          <w:iCs/>
        </w:rPr>
      </w:pPr>
      <w:r w:rsidRPr="0081178F">
        <w:rPr>
          <w:b/>
          <w:bCs/>
          <w:i/>
          <w:iCs/>
        </w:rPr>
        <w:t>Rheumatoid arthritis</w:t>
      </w:r>
    </w:p>
    <w:p w14:paraId="5880D100" w14:textId="77777777" w:rsidR="00247D41" w:rsidRPr="0081178F" w:rsidRDefault="00247D41" w:rsidP="00247D41">
      <w:pPr>
        <w:ind w:left="720"/>
        <w:rPr>
          <w:i/>
          <w:iCs/>
        </w:rPr>
      </w:pPr>
      <w:r w:rsidRPr="0081178F">
        <w:rPr>
          <w:i/>
          <w:iCs/>
        </w:rPr>
        <w:t>Yuflyma is indicated for reducing signs and symptoms, as well as inhibiting the progression of structural damage in adult patients with moderate to severely active rheumatoid arthritis. This includes the treatment of patients with recently diagnosed moderate to severely active disease who have not received methotrexate.</w:t>
      </w:r>
    </w:p>
    <w:p w14:paraId="60DEDEBD" w14:textId="77777777" w:rsidR="00247D41" w:rsidRPr="0081178F" w:rsidRDefault="00247D41" w:rsidP="00247D41">
      <w:pPr>
        <w:ind w:left="720"/>
        <w:rPr>
          <w:i/>
          <w:iCs/>
        </w:rPr>
      </w:pPr>
      <w:r w:rsidRPr="0081178F">
        <w:rPr>
          <w:i/>
          <w:iCs/>
        </w:rPr>
        <w:t>Yuflyma can be used alone or in combination with methotrexate.</w:t>
      </w:r>
    </w:p>
    <w:p w14:paraId="6113EE85" w14:textId="77777777" w:rsidR="00247D41" w:rsidRPr="0081178F" w:rsidRDefault="00247D41" w:rsidP="00247D41">
      <w:pPr>
        <w:ind w:left="720"/>
        <w:rPr>
          <w:b/>
          <w:bCs/>
          <w:i/>
          <w:iCs/>
          <w:lang w:eastAsia="en-AU"/>
        </w:rPr>
      </w:pPr>
      <w:r w:rsidRPr="0081178F">
        <w:rPr>
          <w:b/>
          <w:bCs/>
          <w:i/>
          <w:iCs/>
          <w:lang w:eastAsia="en-AU"/>
        </w:rPr>
        <w:t>Juvenile idiopathic arthritis</w:t>
      </w:r>
    </w:p>
    <w:p w14:paraId="54B259CE" w14:textId="77777777" w:rsidR="00247D41" w:rsidRPr="0081178F" w:rsidRDefault="00247D41" w:rsidP="00247D41">
      <w:pPr>
        <w:ind w:left="720"/>
        <w:rPr>
          <w:i/>
          <w:iCs/>
          <w:lang w:eastAsia="en-AU"/>
        </w:rPr>
      </w:pPr>
      <w:r w:rsidRPr="0081178F">
        <w:rPr>
          <w:i/>
          <w:iCs/>
          <w:lang w:eastAsia="en-AU"/>
        </w:rPr>
        <w:t>Polyarticular juvenile idiopathic arthritis</w:t>
      </w:r>
    </w:p>
    <w:p w14:paraId="592C067B" w14:textId="77777777" w:rsidR="00247D41" w:rsidRPr="0081178F" w:rsidRDefault="00247D41" w:rsidP="00247D41">
      <w:pPr>
        <w:ind w:left="720"/>
        <w:rPr>
          <w:i/>
          <w:iCs/>
          <w:lang w:eastAsia="en-AU"/>
        </w:rPr>
      </w:pPr>
      <w:r w:rsidRPr="0081178F">
        <w:rPr>
          <w:i/>
          <w:iCs/>
          <w:lang w:eastAsia="en-AU"/>
        </w:rPr>
        <w:t>Yuflyma in combination with methotrexate is indicated for reducing the signs and symptoms of moderately to severely active polyarticular juvenile idiopathic arthritis in patients 2 years of age and older who have had an inadequate response to one or more disease modifying antirheumatic drugs (DMARDs). Yuflyma can be given as monotherapy in case of intolerance to methotrexate or when continued treatment with methotrexate is inappropriate.</w:t>
      </w:r>
    </w:p>
    <w:p w14:paraId="090183F0" w14:textId="77777777" w:rsidR="00247D41" w:rsidRPr="0081178F" w:rsidRDefault="00247D41" w:rsidP="00247D41">
      <w:pPr>
        <w:ind w:left="720"/>
        <w:rPr>
          <w:i/>
          <w:iCs/>
          <w:lang w:eastAsia="en-AU"/>
        </w:rPr>
      </w:pPr>
      <w:proofErr w:type="spellStart"/>
      <w:r w:rsidRPr="0081178F">
        <w:rPr>
          <w:i/>
          <w:iCs/>
          <w:lang w:eastAsia="en-AU"/>
        </w:rPr>
        <w:t>Enthesitis</w:t>
      </w:r>
      <w:proofErr w:type="spellEnd"/>
      <w:r w:rsidRPr="0081178F">
        <w:rPr>
          <w:i/>
          <w:iCs/>
          <w:lang w:eastAsia="en-AU"/>
        </w:rPr>
        <w:t>-related arthritis</w:t>
      </w:r>
    </w:p>
    <w:p w14:paraId="1A2F4D34" w14:textId="77777777" w:rsidR="00247D41" w:rsidRPr="0081178F" w:rsidRDefault="00247D41" w:rsidP="00247D41">
      <w:pPr>
        <w:ind w:left="720"/>
        <w:rPr>
          <w:i/>
          <w:iCs/>
          <w:lang w:eastAsia="en-AU"/>
        </w:rPr>
      </w:pPr>
      <w:r w:rsidRPr="0081178F">
        <w:rPr>
          <w:i/>
          <w:iCs/>
          <w:lang w:eastAsia="en-AU"/>
        </w:rPr>
        <w:t xml:space="preserve">Yuflyma is indicated for the treatment of </w:t>
      </w:r>
      <w:proofErr w:type="spellStart"/>
      <w:r w:rsidRPr="0081178F">
        <w:rPr>
          <w:i/>
          <w:iCs/>
          <w:lang w:eastAsia="en-AU"/>
        </w:rPr>
        <w:t>enthesitis</w:t>
      </w:r>
      <w:proofErr w:type="spellEnd"/>
      <w:r w:rsidRPr="0081178F">
        <w:rPr>
          <w:i/>
          <w:iCs/>
          <w:lang w:eastAsia="en-AU"/>
        </w:rPr>
        <w:noBreakHyphen/>
        <w:t>related arthritis in children, who have had an inadequate response to, or who are intolerant to, conventional therapy.</w:t>
      </w:r>
    </w:p>
    <w:p w14:paraId="23B19484" w14:textId="77777777" w:rsidR="00247D41" w:rsidRPr="0081178F" w:rsidRDefault="00247D41" w:rsidP="00247D41">
      <w:pPr>
        <w:ind w:left="720"/>
        <w:rPr>
          <w:b/>
          <w:bCs/>
          <w:i/>
          <w:iCs/>
          <w:lang w:eastAsia="en-AU"/>
        </w:rPr>
      </w:pPr>
      <w:r w:rsidRPr="0081178F">
        <w:rPr>
          <w:b/>
          <w:bCs/>
          <w:i/>
          <w:iCs/>
          <w:lang w:eastAsia="en-AU"/>
        </w:rPr>
        <w:t>Psoriatic arthritis</w:t>
      </w:r>
    </w:p>
    <w:p w14:paraId="6E9B5083" w14:textId="77777777" w:rsidR="00247D41" w:rsidRPr="0081178F" w:rsidRDefault="00247D41" w:rsidP="00247D41">
      <w:pPr>
        <w:ind w:left="720"/>
        <w:rPr>
          <w:i/>
          <w:iCs/>
          <w:lang w:eastAsia="en-AU"/>
        </w:rPr>
      </w:pPr>
      <w:r w:rsidRPr="0081178F">
        <w:rPr>
          <w:i/>
          <w:iCs/>
          <w:lang w:eastAsia="en-AU"/>
        </w:rPr>
        <w:t>Yuflyma is indicated for the treatment of signs and symptoms, as well as inhibiting the progression of structural damage, of moderate to severely active psoriatic arthritis in adult patients where response to previous DMARDs has been inadequate.</w:t>
      </w:r>
    </w:p>
    <w:p w14:paraId="576C9325" w14:textId="77777777" w:rsidR="00247D41" w:rsidRPr="0081178F" w:rsidRDefault="00247D41" w:rsidP="00247D41">
      <w:pPr>
        <w:ind w:left="720"/>
        <w:rPr>
          <w:b/>
          <w:bCs/>
          <w:i/>
          <w:iCs/>
          <w:lang w:eastAsia="en-AU"/>
        </w:rPr>
      </w:pPr>
      <w:r w:rsidRPr="0081178F">
        <w:rPr>
          <w:b/>
          <w:bCs/>
          <w:i/>
          <w:iCs/>
          <w:lang w:eastAsia="en-AU"/>
        </w:rPr>
        <w:t>Ankylosing spondylitis</w:t>
      </w:r>
    </w:p>
    <w:p w14:paraId="7B55DF75" w14:textId="77777777" w:rsidR="00247D41" w:rsidRPr="0081178F" w:rsidRDefault="00247D41" w:rsidP="00247D41">
      <w:pPr>
        <w:ind w:left="720"/>
        <w:rPr>
          <w:i/>
          <w:iCs/>
          <w:lang w:eastAsia="en-AU"/>
        </w:rPr>
      </w:pPr>
      <w:r w:rsidRPr="0081178F">
        <w:rPr>
          <w:i/>
          <w:iCs/>
          <w:lang w:eastAsia="en-AU"/>
        </w:rPr>
        <w:t>Yuflyma is indicated for reducing signs and symptoms in patients with active ankylosing spondylitis.</w:t>
      </w:r>
    </w:p>
    <w:p w14:paraId="286A96B9" w14:textId="77777777" w:rsidR="00247D41" w:rsidRPr="0081178F" w:rsidRDefault="00247D41" w:rsidP="00247D41">
      <w:pPr>
        <w:ind w:left="720"/>
        <w:rPr>
          <w:b/>
          <w:bCs/>
          <w:i/>
          <w:iCs/>
          <w:lang w:eastAsia="en-AU"/>
        </w:rPr>
      </w:pPr>
      <w:r w:rsidRPr="0081178F">
        <w:rPr>
          <w:b/>
          <w:bCs/>
          <w:i/>
          <w:iCs/>
          <w:lang w:eastAsia="en-AU"/>
        </w:rPr>
        <w:t>Crohn’s disease in adults and children (≥ 6 years)</w:t>
      </w:r>
    </w:p>
    <w:p w14:paraId="1C24FD91" w14:textId="77777777" w:rsidR="00247D41" w:rsidRPr="0081178F" w:rsidRDefault="00247D41" w:rsidP="00247D41">
      <w:pPr>
        <w:ind w:left="720"/>
        <w:rPr>
          <w:i/>
          <w:iCs/>
          <w:lang w:eastAsia="en-AU"/>
        </w:rPr>
      </w:pPr>
      <w:r w:rsidRPr="0081178F">
        <w:rPr>
          <w:i/>
          <w:iCs/>
          <w:lang w:eastAsia="en-AU"/>
        </w:rPr>
        <w:t xml:space="preserve">Yuflyma is indicated for the treatment of moderate to severe Crohn’s disease, to reduce the signs and symptoms of the disease and to induce and maintain clinical remission in </w:t>
      </w:r>
      <w:proofErr w:type="gramStart"/>
      <w:r w:rsidRPr="0081178F">
        <w:rPr>
          <w:i/>
          <w:iCs/>
          <w:lang w:eastAsia="en-AU"/>
        </w:rPr>
        <w:t>patients;</w:t>
      </w:r>
      <w:proofErr w:type="gramEnd"/>
    </w:p>
    <w:p w14:paraId="52206CA8" w14:textId="77777777" w:rsidR="00247D41" w:rsidRPr="0081178F" w:rsidRDefault="00247D41" w:rsidP="00247D41">
      <w:pPr>
        <w:pStyle w:val="ListBullet"/>
        <w:ind w:left="1080"/>
        <w:rPr>
          <w:i/>
          <w:iCs/>
        </w:rPr>
      </w:pPr>
      <w:r w:rsidRPr="0081178F">
        <w:rPr>
          <w:i/>
          <w:iCs/>
        </w:rPr>
        <w:t>who have had an inadequate response to conventional therapies or,</w:t>
      </w:r>
    </w:p>
    <w:p w14:paraId="40F53FB9" w14:textId="6C215F45" w:rsidR="00247D41" w:rsidRPr="0081178F" w:rsidRDefault="00247D41" w:rsidP="00247D41">
      <w:pPr>
        <w:pStyle w:val="ListBullet"/>
        <w:ind w:left="1080"/>
        <w:rPr>
          <w:i/>
          <w:iCs/>
        </w:rPr>
      </w:pPr>
      <w:r w:rsidRPr="0081178F">
        <w:rPr>
          <w:i/>
          <w:iCs/>
        </w:rPr>
        <w:lastRenderedPageBreak/>
        <w:t xml:space="preserve">who have lost response to or are intolerant to </w:t>
      </w:r>
      <w:proofErr w:type="gramStart"/>
      <w:r w:rsidRPr="0081178F">
        <w:rPr>
          <w:i/>
          <w:iCs/>
        </w:rPr>
        <w:t>infliximab</w:t>
      </w:r>
      <w:r w:rsidR="00E844A7" w:rsidRPr="0081178F">
        <w:rPr>
          <w:i/>
          <w:iCs/>
        </w:rPr>
        <w:t>.</w:t>
      </w:r>
      <w:proofErr w:type="gramEnd"/>
    </w:p>
    <w:p w14:paraId="1B9A7C1E" w14:textId="77777777" w:rsidR="00247D41" w:rsidRPr="0081178F" w:rsidRDefault="00247D41" w:rsidP="00247D41">
      <w:pPr>
        <w:ind w:left="720"/>
        <w:rPr>
          <w:b/>
          <w:bCs/>
          <w:i/>
          <w:iCs/>
          <w:lang w:eastAsia="en-AU"/>
        </w:rPr>
      </w:pPr>
      <w:r w:rsidRPr="0081178F">
        <w:rPr>
          <w:b/>
          <w:bCs/>
          <w:i/>
          <w:iCs/>
          <w:lang w:eastAsia="en-AU"/>
        </w:rPr>
        <w:t>Ulcerative colitis</w:t>
      </w:r>
    </w:p>
    <w:p w14:paraId="1098518F" w14:textId="37C34BD2" w:rsidR="00247D41" w:rsidRPr="0081178F" w:rsidRDefault="00247D41" w:rsidP="00247D41">
      <w:pPr>
        <w:ind w:left="720"/>
        <w:rPr>
          <w:i/>
          <w:iCs/>
          <w:lang w:eastAsia="en-AU"/>
        </w:rPr>
      </w:pPr>
      <w:r w:rsidRPr="0081178F">
        <w:rPr>
          <w:i/>
          <w:iCs/>
          <w:lang w:eastAsia="en-AU"/>
        </w:rPr>
        <w:t>Yuflyma is indicated for the treatment of moderate to severe ulcerative colitis in adult patients who have had an inadequate response to conventional therapy or who are intolerant to or have medical contraindications for such therapies. Patients should show a clinical response within 8 weeks of treatment to continue treatment beyond that time. (</w:t>
      </w:r>
      <w:proofErr w:type="gramStart"/>
      <w:r w:rsidRPr="0081178F">
        <w:rPr>
          <w:i/>
          <w:iCs/>
          <w:lang w:eastAsia="en-AU"/>
        </w:rPr>
        <w:t>see</w:t>
      </w:r>
      <w:proofErr w:type="gramEnd"/>
      <w:r w:rsidRPr="0081178F">
        <w:rPr>
          <w:i/>
          <w:iCs/>
          <w:lang w:eastAsia="en-AU"/>
        </w:rPr>
        <w:t xml:space="preserve"> 5.1 Pharmacodynamic properties </w:t>
      </w:r>
      <w:r w:rsidR="00467FF1" w:rsidRPr="0081178F">
        <w:rPr>
          <w:i/>
          <w:iCs/>
          <w:lang w:eastAsia="en-AU"/>
        </w:rPr>
        <w:t>-</w:t>
      </w:r>
      <w:r w:rsidRPr="0081178F">
        <w:rPr>
          <w:i/>
          <w:iCs/>
          <w:lang w:eastAsia="en-AU"/>
        </w:rPr>
        <w:t xml:space="preserve"> clinical trials).</w:t>
      </w:r>
    </w:p>
    <w:p w14:paraId="3E7D9971" w14:textId="77777777" w:rsidR="00247D41" w:rsidRPr="0081178F" w:rsidRDefault="00247D41" w:rsidP="00247D41">
      <w:pPr>
        <w:ind w:left="720"/>
        <w:rPr>
          <w:b/>
          <w:bCs/>
          <w:i/>
          <w:iCs/>
          <w:lang w:eastAsia="en-AU"/>
        </w:rPr>
      </w:pPr>
      <w:r w:rsidRPr="0081178F">
        <w:rPr>
          <w:b/>
          <w:bCs/>
          <w:i/>
          <w:iCs/>
          <w:lang w:eastAsia="en-AU"/>
        </w:rPr>
        <w:t>Psoriasis in adults and children</w:t>
      </w:r>
    </w:p>
    <w:p w14:paraId="73744A41" w14:textId="77777777" w:rsidR="00247D41" w:rsidRPr="0081178F" w:rsidRDefault="00247D41" w:rsidP="00247D41">
      <w:pPr>
        <w:ind w:left="720"/>
        <w:rPr>
          <w:i/>
          <w:iCs/>
          <w:lang w:eastAsia="en-AU"/>
        </w:rPr>
      </w:pPr>
      <w:r w:rsidRPr="0081178F">
        <w:rPr>
          <w:i/>
          <w:iCs/>
          <w:lang w:eastAsia="en-AU"/>
        </w:rPr>
        <w:t>Yuflyma is indicated for the treatment of moderate to severe chronic plaque psoriasis in adult patients who are candidates for systemic therapy or phototherapy.</w:t>
      </w:r>
    </w:p>
    <w:p w14:paraId="4F51A762" w14:textId="77777777" w:rsidR="00247D41" w:rsidRPr="0081178F" w:rsidRDefault="00247D41" w:rsidP="00247D41">
      <w:pPr>
        <w:ind w:left="720"/>
        <w:rPr>
          <w:i/>
          <w:iCs/>
          <w:lang w:eastAsia="en-AU"/>
        </w:rPr>
      </w:pPr>
      <w:r w:rsidRPr="0081178F">
        <w:rPr>
          <w:i/>
          <w:iCs/>
          <w:lang w:eastAsia="en-AU"/>
        </w:rPr>
        <w:t>Yuflyma is indicated for the treatment of severe chronic plaque psoriasis in children and adolescent patients from 4 years of age who have had an inadequate response to or are inappropriate candidates for topical therapy and phototherapy.</w:t>
      </w:r>
    </w:p>
    <w:p w14:paraId="0A8F398A" w14:textId="77777777" w:rsidR="00247D41" w:rsidRPr="0081178F" w:rsidRDefault="00247D41" w:rsidP="00247D41">
      <w:pPr>
        <w:ind w:left="720"/>
        <w:rPr>
          <w:b/>
          <w:bCs/>
          <w:i/>
          <w:iCs/>
          <w:lang w:eastAsia="en-AU"/>
        </w:rPr>
      </w:pPr>
      <w:r w:rsidRPr="0081178F">
        <w:rPr>
          <w:b/>
          <w:bCs/>
          <w:i/>
          <w:iCs/>
          <w:lang w:eastAsia="en-AU"/>
        </w:rPr>
        <w:t>Hidradenitis suppurativa in adults and adolescents (from 12 years of age)</w:t>
      </w:r>
    </w:p>
    <w:p w14:paraId="339F1BEE" w14:textId="77777777" w:rsidR="00247D41" w:rsidRPr="0081178F" w:rsidRDefault="00247D41" w:rsidP="00247D41">
      <w:pPr>
        <w:ind w:left="720"/>
        <w:rPr>
          <w:i/>
          <w:iCs/>
          <w:lang w:eastAsia="en-AU"/>
        </w:rPr>
      </w:pPr>
      <w:r w:rsidRPr="0081178F">
        <w:rPr>
          <w:i/>
          <w:iCs/>
          <w:lang w:eastAsia="en-AU"/>
        </w:rPr>
        <w:t xml:space="preserve">Yuflyma is indicated for the treatment of active moderate to severe hidradenitis suppurativa (acne </w:t>
      </w:r>
      <w:proofErr w:type="spellStart"/>
      <w:r w:rsidRPr="0081178F">
        <w:rPr>
          <w:i/>
          <w:iCs/>
          <w:lang w:eastAsia="en-AU"/>
        </w:rPr>
        <w:t>inversa</w:t>
      </w:r>
      <w:proofErr w:type="spellEnd"/>
      <w:r w:rsidRPr="0081178F">
        <w:rPr>
          <w:i/>
          <w:iCs/>
          <w:lang w:eastAsia="en-AU"/>
        </w:rPr>
        <w:t>) in patients with an inadequate response to conventional systemic hidradenitis suppurativa therapy.</w:t>
      </w:r>
    </w:p>
    <w:p w14:paraId="79FF4729" w14:textId="77777777" w:rsidR="00247D41" w:rsidRPr="0081178F" w:rsidRDefault="00247D41" w:rsidP="00247D41">
      <w:pPr>
        <w:ind w:left="720"/>
        <w:rPr>
          <w:b/>
          <w:bCs/>
          <w:i/>
          <w:iCs/>
          <w:lang w:eastAsia="en-AU"/>
        </w:rPr>
      </w:pPr>
      <w:r w:rsidRPr="0081178F">
        <w:rPr>
          <w:b/>
          <w:bCs/>
          <w:i/>
          <w:iCs/>
          <w:lang w:eastAsia="en-AU"/>
        </w:rPr>
        <w:t>Uveitis</w:t>
      </w:r>
    </w:p>
    <w:p w14:paraId="7F8442AF" w14:textId="7EB0CB0A" w:rsidR="00247D41" w:rsidRPr="0081178F" w:rsidRDefault="00247D41" w:rsidP="00247D41">
      <w:pPr>
        <w:ind w:left="720"/>
      </w:pPr>
      <w:r w:rsidRPr="0081178F">
        <w:rPr>
          <w:i/>
          <w:iCs/>
          <w:lang w:eastAsia="en-AU"/>
        </w:rPr>
        <w:t>Yuflyma is indicated for the treatment of non-infectious intermediate, posterior and pan</w:t>
      </w:r>
      <w:r w:rsidRPr="0081178F">
        <w:rPr>
          <w:i/>
          <w:iCs/>
          <w:lang w:eastAsia="en-AU"/>
        </w:rPr>
        <w:noBreakHyphen/>
        <w:t>uveitis in adult patients who have had an inadequate response to corticosteroids, in patients in need of corticosteroid sparing, or in whom corticosteroid treatment is inappropriate.</w:t>
      </w:r>
    </w:p>
    <w:p w14:paraId="4F38A7F4" w14:textId="77777777" w:rsidR="00D23139" w:rsidRPr="0081178F" w:rsidRDefault="00D23139" w:rsidP="00D212F3">
      <w:pPr>
        <w:pStyle w:val="Heading3"/>
      </w:pPr>
      <w:bookmarkStart w:id="80" w:name="_Toc117858938"/>
      <w:r w:rsidRPr="0081178F">
        <w:t>Specific conditions of registration applying to these goods</w:t>
      </w:r>
      <w:bookmarkEnd w:id="80"/>
    </w:p>
    <w:p w14:paraId="1E545686" w14:textId="4081E7BA" w:rsidR="00BA1947" w:rsidRPr="0081178F" w:rsidRDefault="00BA1947" w:rsidP="00BA1947">
      <w:pPr>
        <w:pStyle w:val="ListBullet"/>
      </w:pPr>
      <w:r w:rsidRPr="0081178F">
        <w:t>The Yuflyma EU-</w:t>
      </w:r>
      <w:r w:rsidR="00E844A7" w:rsidRPr="0081178F">
        <w:t xml:space="preserve">risk management plan </w:t>
      </w:r>
      <w:r w:rsidRPr="0081178F">
        <w:t xml:space="preserve">(RMP) (version 1.1, dated 19 April 2021, data lock point 15 April 2021), with Australian </w:t>
      </w:r>
      <w:r w:rsidR="00E844A7" w:rsidRPr="0081178F">
        <w:t>specific anne</w:t>
      </w:r>
      <w:r w:rsidRPr="0081178F">
        <w:t xml:space="preserve">x (version 3.0, dated 22 December 2021), included with </w:t>
      </w:r>
      <w:r w:rsidR="00E844A7" w:rsidRPr="0081178F">
        <w:t xml:space="preserve">Submission </w:t>
      </w:r>
      <w:r w:rsidRPr="0081178F">
        <w:t>PM-2021-01170-1-3, and any subsequent revisions, as agreed with the TGA will be implemented in Australia.</w:t>
      </w:r>
    </w:p>
    <w:p w14:paraId="09A21D6B" w14:textId="2B7200A8" w:rsidR="00BA1947" w:rsidRPr="0081178F" w:rsidRDefault="00BA1947" w:rsidP="00BA1947">
      <w:pPr>
        <w:pStyle w:val="ListBullet"/>
        <w:numPr>
          <w:ilvl w:val="0"/>
          <w:numId w:val="0"/>
        </w:numPr>
        <w:ind w:left="360"/>
      </w:pPr>
      <w:r w:rsidRPr="0081178F">
        <w:t>An obligatory component of risk management plans is routine pharmacovigilance. Routine pharmacovigilance includes the submission of periodic safety update reports (PSURs).</w:t>
      </w:r>
    </w:p>
    <w:p w14:paraId="14740757" w14:textId="30A2C1B5" w:rsidR="00BA1947" w:rsidRPr="0081178F" w:rsidRDefault="00BA1947" w:rsidP="00BA1947">
      <w:pPr>
        <w:pStyle w:val="ListBullet"/>
        <w:numPr>
          <w:ilvl w:val="0"/>
          <w:numId w:val="0"/>
        </w:numPr>
        <w:ind w:left="360"/>
      </w:pPr>
      <w:r w:rsidRPr="0081178F">
        <w:t xml:space="preserve">Reports are to be provided in line with the current published list of EU reference dates and frequency of submission of PSURs until the period covered by such reports is not less than three years from the date of </w:t>
      </w:r>
      <w:r w:rsidR="00E844A7" w:rsidRPr="0081178F">
        <w:t>the</w:t>
      </w:r>
      <w:r w:rsidRPr="0081178F">
        <w:t xml:space="preserve"> approval letter.</w:t>
      </w:r>
    </w:p>
    <w:p w14:paraId="22F992DE" w14:textId="3D44C9A5" w:rsidR="00BA1947" w:rsidRPr="0081178F" w:rsidRDefault="00BA1947" w:rsidP="00BA1947">
      <w:pPr>
        <w:pStyle w:val="ListBullet"/>
        <w:numPr>
          <w:ilvl w:val="0"/>
          <w:numId w:val="0"/>
        </w:numPr>
        <w:ind w:left="360"/>
      </w:pPr>
      <w:r w:rsidRPr="0081178F">
        <w:t xml:space="preserve">The reports are to at least meet the requirements for PSURs as described in the European Medicines Agency’s Guideline on </w:t>
      </w:r>
      <w:r w:rsidR="00E844A7" w:rsidRPr="0081178F">
        <w:t xml:space="preserve">Good Pharmacovigilance Practices </w:t>
      </w:r>
      <w:r w:rsidRPr="0081178F">
        <w:t>(GVP) Module VII-periodic safety update report (Rev 1), Part VII.B Structures and processes. Note that submission of a PSUR does not constitute an application to vary the registration.</w:t>
      </w:r>
    </w:p>
    <w:p w14:paraId="73A2A82A" w14:textId="22345CDE" w:rsidR="00BA1947" w:rsidRPr="0081178F" w:rsidRDefault="00BA1947" w:rsidP="00BA1947">
      <w:pPr>
        <w:pStyle w:val="ListBullet"/>
      </w:pPr>
      <w:r w:rsidRPr="0081178F">
        <w:t xml:space="preserve">Laboratory </w:t>
      </w:r>
      <w:r w:rsidR="00E844A7" w:rsidRPr="0081178F">
        <w:t xml:space="preserve">testing and compliance with </w:t>
      </w:r>
      <w:r w:rsidRPr="0081178F">
        <w:t>Certified Product Details (CPD)</w:t>
      </w:r>
    </w:p>
    <w:p w14:paraId="4F7D18BC" w14:textId="3A45EEE8" w:rsidR="00BA1947" w:rsidRPr="0081178F" w:rsidRDefault="00BA1947" w:rsidP="00BA1947">
      <w:pPr>
        <w:pStyle w:val="ListBullet2"/>
      </w:pPr>
      <w:r w:rsidRPr="0081178F">
        <w:t>All batches of Yuflyma supplied in Australia must comply with the product details and specifications approved during evaluation and detailed in the Certified Product Details (CPD).</w:t>
      </w:r>
    </w:p>
    <w:p w14:paraId="57639186" w14:textId="3E676C3D" w:rsidR="00BA1947" w:rsidRPr="0081178F" w:rsidRDefault="00BA1947" w:rsidP="00BA1947">
      <w:pPr>
        <w:pStyle w:val="ListBullet2"/>
      </w:pPr>
      <w:r w:rsidRPr="0081178F">
        <w:t xml:space="preserve">When requested by the TGA, the </w:t>
      </w:r>
      <w:r w:rsidR="005E11DA" w:rsidRPr="0081178F">
        <w:t>sponsor</w:t>
      </w:r>
      <w:r w:rsidRPr="0081178F">
        <w:t xml:space="preserve"> should be prepared to provide product samples, specified reference materials and documentary evidence to enable the TGA to conduct laboratory testing on the </w:t>
      </w:r>
      <w:r w:rsidR="00E844A7" w:rsidRPr="0081178F">
        <w:t>product</w:t>
      </w:r>
      <w:r w:rsidRPr="0081178F">
        <w:t xml:space="preserve">. Outcomes of laboratory testing </w:t>
      </w:r>
      <w:r w:rsidRPr="0081178F">
        <w:lastRenderedPageBreak/>
        <w:t xml:space="preserve">are published biannually in the TGA Database of Laboratory Testing Results </w:t>
      </w:r>
      <w:hyperlink r:id="rId42" w:history="1">
        <w:r w:rsidR="00E844A7" w:rsidRPr="0081178F">
          <w:rPr>
            <w:rStyle w:val="Hyperlink"/>
          </w:rPr>
          <w:t>http://www.tga.gov.au/ws-labs-index</w:t>
        </w:r>
      </w:hyperlink>
      <w:r w:rsidR="00E844A7" w:rsidRPr="0081178F">
        <w:t xml:space="preserve"> </w:t>
      </w:r>
      <w:r w:rsidRPr="0081178F">
        <w:t>and periodically in testing reports on the TGA website.</w:t>
      </w:r>
    </w:p>
    <w:p w14:paraId="21D2B7B2" w14:textId="5D4E9798" w:rsidR="00BA1947" w:rsidRPr="0081178F" w:rsidRDefault="00BA1947" w:rsidP="00BA1947">
      <w:pPr>
        <w:pStyle w:val="ListBullet"/>
      </w:pPr>
      <w:r w:rsidRPr="0081178F">
        <w:t>Certified Product Details</w:t>
      </w:r>
    </w:p>
    <w:p w14:paraId="6CBAF567" w14:textId="20B0337C" w:rsidR="00BA1947" w:rsidRPr="0081178F" w:rsidRDefault="00BA1947" w:rsidP="00BA1947">
      <w:pPr>
        <w:pStyle w:val="ListBullet"/>
        <w:numPr>
          <w:ilvl w:val="0"/>
          <w:numId w:val="0"/>
        </w:numPr>
        <w:ind w:left="360"/>
      </w:pPr>
      <w:r w:rsidRPr="0081178F">
        <w:t xml:space="preserve">The Certified Product Details (CPD), as described in Guidance 7: Certified Product Details of the Australian Regulatory Guidelines for Prescription Medicines (ARGPM) </w:t>
      </w:r>
      <w:r w:rsidR="003025D1" w:rsidRPr="0081178F">
        <w:t>(</w:t>
      </w:r>
      <w:hyperlink r:id="rId43" w:history="1">
        <w:r w:rsidR="003025D1" w:rsidRPr="0081178F">
          <w:rPr>
            <w:rStyle w:val="Hyperlink"/>
          </w:rPr>
          <w:t>http://www.tga.gov.au/industry/pm-argpm-guidance-7.htm</w:t>
        </w:r>
      </w:hyperlink>
      <w:r w:rsidR="003025D1" w:rsidRPr="0081178F">
        <w:t>)</w:t>
      </w:r>
      <w:r w:rsidRPr="0081178F">
        <w:t>,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7265E2EB" w14:textId="0E045142" w:rsidR="00BA1947" w:rsidRPr="0081178F" w:rsidRDefault="00BA1947" w:rsidP="00BA1947">
      <w:pPr>
        <w:pStyle w:val="ListBullet"/>
        <w:numPr>
          <w:ilvl w:val="0"/>
          <w:numId w:val="0"/>
        </w:numPr>
        <w:ind w:left="360"/>
      </w:pPr>
      <w:r w:rsidRPr="0081178F">
        <w:t xml:space="preserve">The CPD should be emailed to </w:t>
      </w:r>
      <w:r w:rsidR="00E844A7" w:rsidRPr="0081178F">
        <w:t>biochemistry.testing</w:t>
      </w:r>
      <w:r w:rsidRPr="0081178F">
        <w:t>@health.gov.au as a single PDF document.</w:t>
      </w:r>
    </w:p>
    <w:p w14:paraId="04ABFED9" w14:textId="40F373C9" w:rsidR="00BA1947" w:rsidRPr="0081178F" w:rsidRDefault="00BA1947" w:rsidP="00BA1947">
      <w:pPr>
        <w:pStyle w:val="ListBullet"/>
      </w:pPr>
      <w:r w:rsidRPr="0081178F">
        <w:t>For all injectable products the Product Information must be included with the product as a package insert.</w:t>
      </w:r>
    </w:p>
    <w:p w14:paraId="7C6FA5BB" w14:textId="743DAA78" w:rsidR="008E7846" w:rsidRPr="0081178F" w:rsidRDefault="00A80B5B" w:rsidP="00D23139">
      <w:pPr>
        <w:pStyle w:val="Heading2"/>
      </w:pPr>
      <w:bookmarkStart w:id="81" w:name="_Toc117858939"/>
      <w:r w:rsidRPr="0081178F">
        <w:t xml:space="preserve">Attachment 1. </w:t>
      </w:r>
      <w:r w:rsidR="008E7846" w:rsidRPr="0081178F">
        <w:t xml:space="preserve">Product </w:t>
      </w:r>
      <w:r w:rsidR="00AA0ED0" w:rsidRPr="0081178F">
        <w:t>I</w:t>
      </w:r>
      <w:r w:rsidR="008E7846" w:rsidRPr="0081178F">
        <w:t>nformation</w:t>
      </w:r>
      <w:bookmarkEnd w:id="78"/>
      <w:bookmarkEnd w:id="79"/>
      <w:bookmarkEnd w:id="81"/>
    </w:p>
    <w:p w14:paraId="6236005A" w14:textId="13D8CD00" w:rsidR="00523A21" w:rsidRPr="0081178F" w:rsidRDefault="006136D7" w:rsidP="00C80137">
      <w:r w:rsidRPr="0081178F">
        <w:t xml:space="preserve">The PI for </w:t>
      </w:r>
      <w:r w:rsidR="00C06B85" w:rsidRPr="0081178F">
        <w:t xml:space="preserve">Yuflyma </w:t>
      </w:r>
      <w:r w:rsidRPr="0081178F">
        <w:t>approved with the submission which is described in this AusPAR is at Attachment 1.</w:t>
      </w:r>
      <w:r w:rsidR="00CC5044" w:rsidRPr="0081178F">
        <w:t xml:space="preserve"> </w:t>
      </w:r>
      <w:r w:rsidR="0074163C" w:rsidRPr="0081178F">
        <w:t xml:space="preserve">For the most recent PI, please refer to the TGA </w:t>
      </w:r>
      <w:hyperlink r:id="rId44" w:history="1">
        <w:r w:rsidR="0074163C" w:rsidRPr="0081178F">
          <w:rPr>
            <w:rStyle w:val="Hyperlink"/>
          </w:rPr>
          <w:t>PI/CMI search facility</w:t>
        </w:r>
        <w:r w:rsidR="0074163C" w:rsidRPr="0081178F">
          <w:rPr>
            <w:rStyle w:val="Hyperlink"/>
            <w:color w:val="auto"/>
            <w:u w:val="none"/>
          </w:rPr>
          <w:t>.</w:t>
        </w:r>
      </w:hyperlink>
    </w:p>
    <w:p w14:paraId="2FBA1969" w14:textId="1B4765EC" w:rsidR="00744121" w:rsidRPr="0081178F" w:rsidRDefault="00744121" w:rsidP="00744121"/>
    <w:p w14:paraId="116DAB96" w14:textId="77777777" w:rsidR="00C80137" w:rsidRPr="0081178F" w:rsidRDefault="00C80137" w:rsidP="003A7F6C">
      <w:pPr>
        <w:pStyle w:val="TableTitle"/>
        <w:sectPr w:rsidR="00C80137" w:rsidRPr="0081178F" w:rsidSect="00B452CE">
          <w:headerReference w:type="even" r:id="rId45"/>
          <w:headerReference w:type="default" r:id="rId46"/>
          <w:headerReference w:type="first" r:id="rId47"/>
          <w:footerReference w:type="first" r:id="rId4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81178F" w14:paraId="6C6327DB" w14:textId="77777777" w:rsidTr="00A05FA4">
        <w:trPr>
          <w:trHeight w:hRule="exact" w:val="704"/>
        </w:trPr>
        <w:tc>
          <w:tcPr>
            <w:tcW w:w="9175" w:type="dxa"/>
          </w:tcPr>
          <w:p w14:paraId="375C562F" w14:textId="77777777" w:rsidR="001C32CD" w:rsidRPr="0081178F" w:rsidRDefault="001C32CD" w:rsidP="00A05FA4">
            <w:pPr>
              <w:pStyle w:val="TGASignoff"/>
            </w:pPr>
            <w:r w:rsidRPr="0081178F">
              <w:lastRenderedPageBreak/>
              <w:t>Therapeutic Goods Administration</w:t>
            </w:r>
          </w:p>
        </w:tc>
      </w:tr>
      <w:tr w:rsidR="001C32CD" w:rsidRPr="004C239D" w14:paraId="78077C16" w14:textId="77777777" w:rsidTr="00A05FA4">
        <w:trPr>
          <w:trHeight w:val="1221"/>
        </w:trPr>
        <w:tc>
          <w:tcPr>
            <w:tcW w:w="9175" w:type="dxa"/>
            <w:tcMar>
              <w:top w:w="28" w:type="dxa"/>
            </w:tcMar>
          </w:tcPr>
          <w:p w14:paraId="32FCF425" w14:textId="77777777" w:rsidR="001C32CD" w:rsidRPr="0081178F" w:rsidRDefault="001C32CD" w:rsidP="00A05FA4">
            <w:pPr>
              <w:pStyle w:val="Address"/>
            </w:pPr>
            <w:r w:rsidRPr="0081178F">
              <w:t>PO Box 100 Woden ACT 2606 Australia</w:t>
            </w:r>
          </w:p>
          <w:p w14:paraId="2D2F0563" w14:textId="7F3D3820" w:rsidR="001C32CD" w:rsidRPr="0081178F" w:rsidRDefault="001C32CD" w:rsidP="00A05FA4">
            <w:pPr>
              <w:pStyle w:val="Address"/>
            </w:pPr>
            <w:r w:rsidRPr="0081178F">
              <w:t xml:space="preserve">Email: </w:t>
            </w:r>
            <w:hyperlink r:id="rId49" w:history="1">
              <w:r w:rsidRPr="0081178F">
                <w:rPr>
                  <w:rStyle w:val="Hyperlink"/>
                </w:rPr>
                <w:t>info@tga.gov.au</w:t>
              </w:r>
            </w:hyperlink>
            <w:r w:rsidRPr="0081178F">
              <w:t xml:space="preserve">  Phone: 1800 020 </w:t>
            </w:r>
            <w:proofErr w:type="gramStart"/>
            <w:r w:rsidRPr="0081178F">
              <w:t>653  Fax</w:t>
            </w:r>
            <w:proofErr w:type="gramEnd"/>
            <w:r w:rsidRPr="0081178F">
              <w:t>: 02 6232 8605</w:t>
            </w:r>
          </w:p>
          <w:p w14:paraId="7FEE678D" w14:textId="6A9F11E1" w:rsidR="001C32CD" w:rsidRPr="004C239D" w:rsidRDefault="003420A7" w:rsidP="00A05FA4">
            <w:pPr>
              <w:pStyle w:val="Address"/>
              <w:spacing w:line="260" w:lineRule="atLeast"/>
              <w:rPr>
                <w:b/>
                <w:color w:val="0000FF"/>
                <w:u w:val="single"/>
              </w:rPr>
            </w:pPr>
            <w:hyperlink r:id="rId50" w:history="1">
              <w:r w:rsidR="007C6B9B" w:rsidRPr="0081178F">
                <w:rPr>
                  <w:rStyle w:val="Hyperlink"/>
                  <w:b/>
                </w:rPr>
                <w:t>https://www.tga.gov.au</w:t>
              </w:r>
            </w:hyperlink>
          </w:p>
        </w:tc>
      </w:tr>
    </w:tbl>
    <w:p w14:paraId="52305F89" w14:textId="77777777" w:rsidR="00774E1D" w:rsidRPr="008A5E0B" w:rsidRDefault="00774E1D" w:rsidP="004C239D"/>
    <w:sectPr w:rsidR="00774E1D" w:rsidRPr="008A5E0B" w:rsidSect="001C32CD">
      <w:headerReference w:type="even" r:id="rId51"/>
      <w:headerReference w:type="default" r:id="rId52"/>
      <w:footerReference w:type="default" r:id="rId53"/>
      <w:headerReference w:type="first" r:id="rId54"/>
      <w:footerReference w:type="first" r:id="rId5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9B38B" w14:textId="77777777" w:rsidR="000324F1" w:rsidRDefault="000324F1" w:rsidP="00C40A36">
      <w:pPr>
        <w:spacing w:after="0"/>
      </w:pPr>
      <w:r>
        <w:separator/>
      </w:r>
    </w:p>
  </w:endnote>
  <w:endnote w:type="continuationSeparator" w:id="0">
    <w:p w14:paraId="41EA7E14" w14:textId="77777777" w:rsidR="000324F1" w:rsidRDefault="000324F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0324F1" w:rsidRPr="00487162" w14:paraId="22F39475" w14:textId="77777777" w:rsidTr="00DB750B">
      <w:trPr>
        <w:trHeight w:val="269"/>
      </w:trPr>
      <w:tc>
        <w:tcPr>
          <w:tcW w:w="7371" w:type="dxa"/>
          <w:tcMar>
            <w:top w:w="142" w:type="dxa"/>
            <w:bottom w:w="0" w:type="dxa"/>
          </w:tcMar>
        </w:tcPr>
        <w:p w14:paraId="69668D05" w14:textId="1E39F279" w:rsidR="000324F1" w:rsidRPr="00487162" w:rsidRDefault="000324F1" w:rsidP="00460036">
          <w:pPr>
            <w:pStyle w:val="Footer"/>
          </w:pPr>
          <w:r w:rsidRPr="00487162">
            <w:t>AusPA</w:t>
          </w:r>
          <w:r>
            <w:t xml:space="preserve">R - </w:t>
          </w:r>
          <w:r w:rsidRPr="00C06B85">
            <w:t xml:space="preserve">Yuflyma </w:t>
          </w:r>
          <w:r>
            <w:t>-</w:t>
          </w:r>
          <w:r w:rsidRPr="00460036">
            <w:t xml:space="preserve"> </w:t>
          </w:r>
          <w:r w:rsidRPr="00C06B85">
            <w:t xml:space="preserve">adalimumab </w:t>
          </w:r>
          <w:r>
            <w:t xml:space="preserve">- </w:t>
          </w:r>
          <w:proofErr w:type="spellStart"/>
          <w:r w:rsidRPr="00BA1947">
            <w:t>Celltrion</w:t>
          </w:r>
          <w:proofErr w:type="spellEnd"/>
          <w:r w:rsidRPr="00BA1947">
            <w:t xml:space="preserve"> Healthcare Australia Pty Ltd</w:t>
          </w:r>
          <w:r>
            <w:t xml:space="preserve"> - </w:t>
          </w:r>
          <w:r w:rsidRPr="00BA1947">
            <w:t>PM-2021-01170-1-3</w:t>
          </w:r>
          <w:r>
            <w:br/>
          </w:r>
          <w:r w:rsidR="00092B9B">
            <w:t>Final 2</w:t>
          </w:r>
          <w:r w:rsidR="003538E0">
            <w:t>8</w:t>
          </w:r>
          <w:r w:rsidR="00092B9B">
            <w:t xml:space="preserve"> October </w:t>
          </w:r>
          <w:r w:rsidR="0096288C">
            <w:t>20</w:t>
          </w:r>
          <w:r w:rsidR="00092B9B">
            <w:t>22</w:t>
          </w:r>
        </w:p>
      </w:tc>
      <w:tc>
        <w:tcPr>
          <w:tcW w:w="1490" w:type="dxa"/>
          <w:tcMar>
            <w:top w:w="142" w:type="dxa"/>
            <w:bottom w:w="0" w:type="dxa"/>
          </w:tcMar>
        </w:tcPr>
        <w:p w14:paraId="1E3CF0EE" w14:textId="132E5186" w:rsidR="000324F1" w:rsidRPr="00487162" w:rsidRDefault="000324F1" w:rsidP="00DB750B">
          <w:pPr>
            <w:pStyle w:val="Footer"/>
            <w:jc w:val="right"/>
          </w:pPr>
          <w:r w:rsidRPr="00487162">
            <w:t xml:space="preserve">Page </w:t>
          </w:r>
          <w:r>
            <w:fldChar w:fldCharType="begin"/>
          </w:r>
          <w:r>
            <w:instrText xml:space="preserve"> PAGE  \* Arabic </w:instrText>
          </w:r>
          <w:r>
            <w:fldChar w:fldCharType="separate"/>
          </w:r>
          <w:r w:rsidR="00661A61">
            <w:rPr>
              <w:noProof/>
            </w:rPr>
            <w:t>18</w:t>
          </w:r>
          <w:r>
            <w:fldChar w:fldCharType="end"/>
          </w:r>
          <w:r w:rsidRPr="00487162">
            <w:t xml:space="preserve"> of </w:t>
          </w:r>
          <w:r w:rsidR="003420A7">
            <w:fldChar w:fldCharType="begin"/>
          </w:r>
          <w:r w:rsidR="003420A7">
            <w:instrText xml:space="preserve"> NUMPAGES  \* Arabic </w:instrText>
          </w:r>
          <w:r w:rsidR="003420A7">
            <w:fldChar w:fldCharType="separate"/>
          </w:r>
          <w:r w:rsidR="00661A61">
            <w:rPr>
              <w:noProof/>
            </w:rPr>
            <w:t>40</w:t>
          </w:r>
          <w:r w:rsidR="003420A7">
            <w:rPr>
              <w:noProof/>
            </w:rPr>
            <w:fldChar w:fldCharType="end"/>
          </w:r>
        </w:p>
      </w:tc>
    </w:tr>
  </w:tbl>
  <w:p w14:paraId="7593169B" w14:textId="77777777" w:rsidR="000324F1" w:rsidRDefault="000324F1"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324F1" w:rsidRPr="00487162" w14:paraId="15EC9542" w14:textId="77777777" w:rsidTr="00E45619">
      <w:trPr>
        <w:trHeight w:val="269"/>
      </w:trPr>
      <w:tc>
        <w:tcPr>
          <w:tcW w:w="4519" w:type="dxa"/>
          <w:tcBorders>
            <w:top w:val="single" w:sz="4" w:space="0" w:color="auto"/>
          </w:tcBorders>
          <w:tcMar>
            <w:top w:w="142" w:type="dxa"/>
            <w:bottom w:w="0" w:type="dxa"/>
          </w:tcMar>
        </w:tcPr>
        <w:p w14:paraId="3CF2A63A" w14:textId="77777777" w:rsidR="000324F1" w:rsidRPr="00487162" w:rsidRDefault="000324F1" w:rsidP="00FE1DEE">
          <w:pPr>
            <w:pStyle w:val="Footer"/>
          </w:pPr>
          <w:r w:rsidRPr="00487162">
            <w:t>Document title, Part #, Section # - Section title</w:t>
          </w:r>
        </w:p>
        <w:p w14:paraId="43DFC14F" w14:textId="77777777" w:rsidR="000324F1" w:rsidRPr="00487162" w:rsidRDefault="000324F1" w:rsidP="00FE1DEE">
          <w:pPr>
            <w:pStyle w:val="Footer"/>
          </w:pPr>
          <w:r w:rsidRPr="00487162">
            <w:t>V1.0 October 2010</w:t>
          </w:r>
        </w:p>
      </w:tc>
      <w:tc>
        <w:tcPr>
          <w:tcW w:w="4342" w:type="dxa"/>
          <w:tcBorders>
            <w:top w:val="single" w:sz="4" w:space="0" w:color="auto"/>
          </w:tcBorders>
          <w:tcMar>
            <w:top w:w="142" w:type="dxa"/>
            <w:bottom w:w="0" w:type="dxa"/>
          </w:tcMar>
        </w:tcPr>
        <w:p w14:paraId="7A07BD0D" w14:textId="77777777" w:rsidR="000324F1" w:rsidRPr="00487162" w:rsidRDefault="000324F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3420A7">
            <w:fldChar w:fldCharType="begin"/>
          </w:r>
          <w:r w:rsidR="003420A7">
            <w:instrText xml:space="preserve"> NUMPAGES  </w:instrText>
          </w:r>
          <w:r w:rsidR="003420A7">
            <w:fldChar w:fldCharType="separate"/>
          </w:r>
          <w:r>
            <w:rPr>
              <w:noProof/>
            </w:rPr>
            <w:t>21</w:t>
          </w:r>
          <w:r w:rsidR="003420A7">
            <w:rPr>
              <w:noProof/>
            </w:rPr>
            <w:fldChar w:fldCharType="end"/>
          </w:r>
        </w:p>
      </w:tc>
    </w:tr>
  </w:tbl>
  <w:p w14:paraId="3026D06E" w14:textId="77777777" w:rsidR="000324F1" w:rsidRDefault="000324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D7D26" w14:textId="77777777" w:rsidR="000324F1" w:rsidRPr="001C32CD" w:rsidRDefault="000324F1"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324F1" w14:paraId="22C74B8A" w14:textId="77777777" w:rsidTr="0010601F">
      <w:trPr>
        <w:trHeight w:val="108"/>
      </w:trPr>
      <w:tc>
        <w:tcPr>
          <w:tcW w:w="8875" w:type="dxa"/>
          <w:gridSpan w:val="2"/>
          <w:tcBorders>
            <w:bottom w:val="single" w:sz="4" w:space="0" w:color="auto"/>
          </w:tcBorders>
          <w:tcMar>
            <w:right w:w="284" w:type="dxa"/>
          </w:tcMar>
        </w:tcPr>
        <w:p w14:paraId="0E3FA3DD" w14:textId="77777777" w:rsidR="000324F1" w:rsidRDefault="000324F1" w:rsidP="006E08B3">
          <w:pPr>
            <w:pStyle w:val="Heading3"/>
          </w:pPr>
          <w:r>
            <w:t>Copyright</w:t>
          </w:r>
        </w:p>
        <w:p w14:paraId="3A7E14C0" w14:textId="77777777" w:rsidR="000324F1" w:rsidRDefault="000324F1" w:rsidP="006E08B3">
          <w:r>
            <w:rPr>
              <w:rFonts w:cs="Arial"/>
            </w:rPr>
            <w:t>©</w:t>
          </w:r>
          <w:r>
            <w:t xml:space="preserve"> Commonwealth of Australia [add year]</w:t>
          </w:r>
        </w:p>
        <w:p w14:paraId="11EEDDD3" w14:textId="77777777" w:rsidR="000324F1" w:rsidRDefault="000324F1" w:rsidP="006E08B3"/>
        <w:p w14:paraId="13C0937D" w14:textId="77777777" w:rsidR="000324F1" w:rsidRDefault="000324F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5DE6DFDA" w14:textId="77777777" w:rsidR="000324F1" w:rsidRDefault="000324F1" w:rsidP="006E08B3"/>
        <w:p w14:paraId="7D2685EF" w14:textId="77777777" w:rsidR="000324F1" w:rsidRDefault="000324F1" w:rsidP="006E08B3">
          <w:pPr>
            <w:pStyle w:val="Heading3"/>
          </w:pPr>
          <w:r>
            <w:t>Confidentiality</w:t>
          </w:r>
        </w:p>
        <w:p w14:paraId="49ED1690" w14:textId="77777777" w:rsidR="000324F1" w:rsidRDefault="000324F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7876C27" w14:textId="77777777" w:rsidR="000324F1" w:rsidRDefault="000324F1" w:rsidP="006E08B3"/>
        <w:p w14:paraId="114CE5D8" w14:textId="77777777" w:rsidR="000324F1" w:rsidRDefault="000324F1" w:rsidP="006E08B3">
          <w:r>
            <w:t>For submission made by individuals, all personal details, other than your name, will be removed from your submission before it is published on the TGA’s Internet site.</w:t>
          </w:r>
        </w:p>
        <w:p w14:paraId="4E1A427F" w14:textId="77777777" w:rsidR="000324F1" w:rsidRDefault="000324F1" w:rsidP="006E08B3"/>
        <w:p w14:paraId="6075D05C" w14:textId="77777777" w:rsidR="000324F1" w:rsidRDefault="000324F1" w:rsidP="006E08B3">
          <w:r>
            <w:t>In addition, a list of parties making submissions will be published. If you do not wish to be identified with your submission you must specifically request this in the space provided in the submission coversheet.</w:t>
          </w:r>
        </w:p>
      </w:tc>
    </w:tr>
    <w:tr w:rsidR="000324F1" w14:paraId="6005B0F3" w14:textId="77777777" w:rsidTr="0010601F">
      <w:trPr>
        <w:trHeight w:val="417"/>
      </w:trPr>
      <w:tc>
        <w:tcPr>
          <w:tcW w:w="4519" w:type="dxa"/>
          <w:tcBorders>
            <w:top w:val="single" w:sz="4" w:space="0" w:color="auto"/>
          </w:tcBorders>
          <w:tcMar>
            <w:top w:w="142" w:type="dxa"/>
            <w:bottom w:w="0" w:type="dxa"/>
          </w:tcMar>
        </w:tcPr>
        <w:p w14:paraId="52A9B91C" w14:textId="77777777" w:rsidR="000324F1" w:rsidRDefault="000324F1" w:rsidP="006E08B3">
          <w:r>
            <w:t>Document title, Part #, Section # - Section title</w:t>
          </w:r>
        </w:p>
        <w:p w14:paraId="542F480E" w14:textId="77777777" w:rsidR="000324F1" w:rsidRDefault="000324F1" w:rsidP="006E08B3">
          <w:r>
            <w:t>V1.0 October 2010</w:t>
          </w:r>
        </w:p>
      </w:tc>
      <w:tc>
        <w:tcPr>
          <w:tcW w:w="4356" w:type="dxa"/>
          <w:tcBorders>
            <w:top w:val="single" w:sz="4" w:space="0" w:color="auto"/>
          </w:tcBorders>
          <w:tcMar>
            <w:top w:w="142" w:type="dxa"/>
            <w:bottom w:w="0" w:type="dxa"/>
          </w:tcMar>
        </w:tcPr>
        <w:p w14:paraId="34EC159B" w14:textId="77777777" w:rsidR="000324F1" w:rsidRDefault="000324F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3420A7">
            <w:fldChar w:fldCharType="begin"/>
          </w:r>
          <w:r w:rsidR="003420A7">
            <w:instrText xml:space="preserve"> NUMPAGES  \* Arabic </w:instrText>
          </w:r>
          <w:r w:rsidR="003420A7">
            <w:fldChar w:fldCharType="separate"/>
          </w:r>
          <w:r>
            <w:rPr>
              <w:noProof/>
            </w:rPr>
            <w:t>21</w:t>
          </w:r>
          <w:r w:rsidR="003420A7">
            <w:rPr>
              <w:noProof/>
            </w:rPr>
            <w:fldChar w:fldCharType="end"/>
          </w:r>
          <w:r>
            <w:t xml:space="preserve">  </w:t>
          </w:r>
        </w:p>
      </w:tc>
    </w:tr>
  </w:tbl>
  <w:p w14:paraId="55624BB8" w14:textId="77777777" w:rsidR="000324F1" w:rsidRDefault="000324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BBAB1" w14:textId="77777777" w:rsidR="000324F1" w:rsidRDefault="000324F1" w:rsidP="00C40A36">
      <w:pPr>
        <w:spacing w:after="0"/>
      </w:pPr>
      <w:r>
        <w:separator/>
      </w:r>
    </w:p>
  </w:footnote>
  <w:footnote w:type="continuationSeparator" w:id="0">
    <w:p w14:paraId="08AB39B2" w14:textId="77777777" w:rsidR="000324F1" w:rsidRDefault="000324F1" w:rsidP="00C40A36">
      <w:pPr>
        <w:spacing w:after="0"/>
      </w:pPr>
      <w:r>
        <w:continuationSeparator/>
      </w:r>
    </w:p>
  </w:footnote>
  <w:footnote w:id="1">
    <w:p w14:paraId="5139077F" w14:textId="77777777" w:rsidR="000324F1" w:rsidRPr="00F33E42" w:rsidRDefault="000324F1" w:rsidP="005E11DA">
      <w:pPr>
        <w:pStyle w:val="FootnoteText"/>
      </w:pPr>
      <w:r>
        <w:rPr>
          <w:rStyle w:val="FootnoteReference"/>
        </w:rPr>
        <w:footnoteRef/>
      </w:r>
      <w:r>
        <w:t xml:space="preserve"> </w:t>
      </w:r>
      <w:r w:rsidRPr="00BD5A5B">
        <w:t>Humira was first registered on the ARTG on 28</w:t>
      </w:r>
      <w:r>
        <w:t xml:space="preserve"> August </w:t>
      </w:r>
      <w:r w:rsidRPr="00BD5A5B">
        <w:t>2012 (ARTG number</w:t>
      </w:r>
      <w:r>
        <w:t>s</w:t>
      </w:r>
      <w:r w:rsidRPr="00BD5A5B">
        <w:t>: 199410</w:t>
      </w:r>
      <w:r>
        <w:t xml:space="preserve">, </w:t>
      </w:r>
      <w:r w:rsidRPr="00BD5A5B">
        <w:t>19941</w:t>
      </w:r>
      <w:r>
        <w:t xml:space="preserve">1 and </w:t>
      </w:r>
      <w:r w:rsidRPr="00BD5A5B">
        <w:t>19941</w:t>
      </w:r>
      <w:r>
        <w:t>2</w:t>
      </w:r>
      <w:r w:rsidRPr="00BD5A5B">
        <w:t>).</w:t>
      </w:r>
    </w:p>
  </w:footnote>
  <w:footnote w:id="2">
    <w:p w14:paraId="37CEF77E" w14:textId="77777777" w:rsidR="000324F1" w:rsidRPr="00FA04C6" w:rsidRDefault="000324F1" w:rsidP="00CE6970">
      <w:pPr>
        <w:pStyle w:val="FootnoteText"/>
        <w:rPr>
          <w:lang w:val="en-US"/>
        </w:rPr>
      </w:pPr>
      <w:r>
        <w:rPr>
          <w:rStyle w:val="FootnoteReference"/>
        </w:rPr>
        <w:footnoteRef/>
      </w:r>
      <w:r>
        <w:t xml:space="preserve"> An innovator</w:t>
      </w:r>
      <w:r w:rsidRPr="00FA04C6">
        <w:t xml:space="preserve"> reference medicine is the existing medicine already on the market that biosimilar </w:t>
      </w:r>
      <w:r>
        <w:t xml:space="preserve">medicines </w:t>
      </w:r>
      <w:r w:rsidRPr="00FA04C6">
        <w:t>are developed to be similar to</w:t>
      </w:r>
      <w:r>
        <w:t>.</w:t>
      </w:r>
    </w:p>
  </w:footnote>
  <w:footnote w:id="3">
    <w:p w14:paraId="595F9146" w14:textId="77777777" w:rsidR="000324F1" w:rsidRDefault="000324F1" w:rsidP="00CE6970">
      <w:pPr>
        <w:pStyle w:val="FootnoteText"/>
      </w:pPr>
      <w:r>
        <w:rPr>
          <w:rStyle w:val="FootnoteReference"/>
        </w:rPr>
        <w:footnoteRef/>
      </w:r>
      <w:r>
        <w:t xml:space="preserve"> </w:t>
      </w:r>
      <w:r w:rsidRPr="00BD5A5B">
        <w:t>Hyrimoz</w:t>
      </w:r>
      <w:r>
        <w:t xml:space="preserve"> </w:t>
      </w:r>
      <w:r w:rsidRPr="00BD5A5B">
        <w:t>was first registered on the ARTG on 1</w:t>
      </w:r>
      <w:r>
        <w:t xml:space="preserve"> March </w:t>
      </w:r>
      <w:r w:rsidRPr="00BD5A5B">
        <w:t>2019</w:t>
      </w:r>
      <w:r>
        <w:t xml:space="preserve"> </w:t>
      </w:r>
      <w:r w:rsidRPr="00BD5A5B">
        <w:t>(ARTG number</w:t>
      </w:r>
      <w:r>
        <w:t>s</w:t>
      </w:r>
      <w:r w:rsidRPr="00BD5A5B">
        <w:t>: 291937</w:t>
      </w:r>
      <w:r>
        <w:t xml:space="preserve"> and </w:t>
      </w:r>
      <w:r w:rsidRPr="00BD5A5B">
        <w:t>29193</w:t>
      </w:r>
      <w:r>
        <w:t>8</w:t>
      </w:r>
      <w:r w:rsidRPr="00BD5A5B">
        <w:t>).</w:t>
      </w:r>
    </w:p>
  </w:footnote>
  <w:footnote w:id="4">
    <w:p w14:paraId="4255083D" w14:textId="77777777" w:rsidR="000324F1" w:rsidRPr="0054074E" w:rsidRDefault="000324F1" w:rsidP="00CE6970">
      <w:pPr>
        <w:pStyle w:val="FootnoteText"/>
      </w:pPr>
      <w:r>
        <w:rPr>
          <w:rStyle w:val="FootnoteReference"/>
        </w:rPr>
        <w:footnoteRef/>
      </w:r>
      <w:r>
        <w:t xml:space="preserve"> </w:t>
      </w:r>
      <w:r w:rsidRPr="00BD5A5B">
        <w:t>Hadlima was first registered on the ARTG on 24</w:t>
      </w:r>
      <w:r>
        <w:t xml:space="preserve"> January </w:t>
      </w:r>
      <w:r w:rsidRPr="00BD5A5B">
        <w:t>2018 (ARTG number</w:t>
      </w:r>
      <w:r>
        <w:t>s</w:t>
      </w:r>
      <w:r w:rsidRPr="00BD5A5B">
        <w:t>: 284248 and 28424</w:t>
      </w:r>
      <w:r>
        <w:t>9</w:t>
      </w:r>
      <w:r w:rsidRPr="00BD5A5B">
        <w:t>).</w:t>
      </w:r>
    </w:p>
  </w:footnote>
  <w:footnote w:id="5">
    <w:p w14:paraId="5329F5E2" w14:textId="77777777" w:rsidR="000324F1" w:rsidRPr="00A32ACA" w:rsidRDefault="000324F1" w:rsidP="00CE6970">
      <w:pPr>
        <w:pStyle w:val="FootnoteText"/>
      </w:pPr>
      <w:r>
        <w:rPr>
          <w:rStyle w:val="FootnoteReference"/>
        </w:rPr>
        <w:footnoteRef/>
      </w:r>
      <w:r>
        <w:t xml:space="preserve"> Idacio </w:t>
      </w:r>
      <w:r w:rsidRPr="00BD5A5B">
        <w:t xml:space="preserve">was first registered on the ARTG on </w:t>
      </w:r>
      <w:r w:rsidRPr="001C39C8">
        <w:t>17</w:t>
      </w:r>
      <w:r>
        <w:t xml:space="preserve"> June </w:t>
      </w:r>
      <w:r w:rsidRPr="001C39C8">
        <w:t xml:space="preserve">2020 </w:t>
      </w:r>
      <w:r w:rsidRPr="00BD5A5B">
        <w:t>(ARTG number</w:t>
      </w:r>
      <w:r>
        <w:t>s</w:t>
      </w:r>
      <w:r w:rsidRPr="00BD5A5B">
        <w:t xml:space="preserve">: </w:t>
      </w:r>
      <w:r w:rsidRPr="001C39C8">
        <w:t>320241</w:t>
      </w:r>
      <w:r>
        <w:t xml:space="preserve">, </w:t>
      </w:r>
      <w:r w:rsidRPr="001C39C8">
        <w:t>32024</w:t>
      </w:r>
      <w:r>
        <w:t>2</w:t>
      </w:r>
      <w:r w:rsidRPr="001C39C8">
        <w:t xml:space="preserve"> </w:t>
      </w:r>
      <w:r w:rsidRPr="00BD5A5B">
        <w:t xml:space="preserve">and </w:t>
      </w:r>
      <w:r w:rsidRPr="001C39C8">
        <w:t>32024</w:t>
      </w:r>
      <w:r>
        <w:t>3</w:t>
      </w:r>
      <w:r w:rsidRPr="00BD5A5B">
        <w:t>).</w:t>
      </w:r>
    </w:p>
  </w:footnote>
  <w:footnote w:id="6">
    <w:p w14:paraId="0BCAC442" w14:textId="77777777" w:rsidR="000324F1" w:rsidRPr="0054074E" w:rsidRDefault="000324F1" w:rsidP="00CE6970">
      <w:pPr>
        <w:pStyle w:val="FootnoteText"/>
      </w:pPr>
      <w:r>
        <w:rPr>
          <w:rStyle w:val="FootnoteReference"/>
        </w:rPr>
        <w:footnoteRef/>
      </w:r>
      <w:r>
        <w:t xml:space="preserve"> </w:t>
      </w:r>
      <w:r w:rsidRPr="001C39C8">
        <w:t>Amgevita was first registered on the ARTG on 9</w:t>
      </w:r>
      <w:r>
        <w:t xml:space="preserve"> November </w:t>
      </w:r>
      <w:r w:rsidRPr="001C39C8">
        <w:t>2017 (ARTG number: 273536).</w:t>
      </w:r>
    </w:p>
  </w:footnote>
  <w:footnote w:id="7">
    <w:p w14:paraId="7CD7D3B1" w14:textId="5EAEEEC8" w:rsidR="000324F1" w:rsidRPr="00F33E42" w:rsidRDefault="000324F1" w:rsidP="00CE6970">
      <w:pPr>
        <w:pStyle w:val="FootnoteText"/>
      </w:pPr>
      <w:r>
        <w:rPr>
          <w:rStyle w:val="FootnoteReference"/>
        </w:rPr>
        <w:footnoteRef/>
      </w:r>
      <w:r>
        <w:t xml:space="preserve"> </w:t>
      </w:r>
      <w:r w:rsidRPr="001C39C8">
        <w:t>Abrilada was first registered on the ARTG on 22</w:t>
      </w:r>
      <w:r>
        <w:t xml:space="preserve"> February </w:t>
      </w:r>
      <w:r w:rsidRPr="001C39C8">
        <w:t>2021</w:t>
      </w:r>
      <w:r>
        <w:t xml:space="preserve"> </w:t>
      </w:r>
      <w:r w:rsidRPr="001C39C8">
        <w:t>(ARTG number</w:t>
      </w:r>
      <w:r>
        <w:t>s</w:t>
      </w:r>
      <w:r w:rsidRPr="001C39C8">
        <w:t>: 334496</w:t>
      </w:r>
      <w:r>
        <w:t xml:space="preserve">, </w:t>
      </w:r>
      <w:r w:rsidRPr="001C39C8">
        <w:t>33449</w:t>
      </w:r>
      <w:r>
        <w:t xml:space="preserve">7, </w:t>
      </w:r>
      <w:r w:rsidRPr="001C39C8">
        <w:t>33449</w:t>
      </w:r>
      <w:r>
        <w:t xml:space="preserve">8 and </w:t>
      </w:r>
      <w:r w:rsidRPr="001C39C8">
        <w:t>33449</w:t>
      </w:r>
      <w:r>
        <w:t>9</w:t>
      </w:r>
      <w:r w:rsidRPr="001C39C8">
        <w:t>).</w:t>
      </w:r>
    </w:p>
  </w:footnote>
  <w:footnote w:id="8">
    <w:p w14:paraId="44737379" w14:textId="780B4831" w:rsidR="000324F1" w:rsidRDefault="000324F1">
      <w:pPr>
        <w:pStyle w:val="FootnoteText"/>
      </w:pPr>
      <w:r>
        <w:rPr>
          <w:rStyle w:val="FootnoteReference"/>
        </w:rPr>
        <w:footnoteRef/>
      </w:r>
      <w:r>
        <w:t xml:space="preserve"> </w:t>
      </w:r>
      <w:r w:rsidRPr="00E37F91">
        <w:t>Hulio</w:t>
      </w:r>
      <w:r>
        <w:t xml:space="preserve"> </w:t>
      </w:r>
      <w:r w:rsidRPr="001C39C8">
        <w:t>was first registered on the ARTG on</w:t>
      </w:r>
      <w:r>
        <w:t xml:space="preserve"> </w:t>
      </w:r>
      <w:r w:rsidRPr="00E37F91">
        <w:t>14 May 2021</w:t>
      </w:r>
      <w:r>
        <w:t xml:space="preserve"> </w:t>
      </w:r>
      <w:r w:rsidRPr="001C39C8">
        <w:t>(ARTG number:</w:t>
      </w:r>
      <w:r w:rsidRPr="00E37F91">
        <w:t xml:space="preserve"> 334800, 334801, 334802</w:t>
      </w:r>
      <w:r>
        <w:t>).</w:t>
      </w:r>
    </w:p>
  </w:footnote>
  <w:footnote w:id="9">
    <w:p w14:paraId="50A697EA" w14:textId="539841C1" w:rsidR="000324F1" w:rsidRDefault="000324F1">
      <w:pPr>
        <w:pStyle w:val="FootnoteText"/>
      </w:pPr>
      <w:r>
        <w:rPr>
          <w:rStyle w:val="FootnoteReference"/>
        </w:rPr>
        <w:footnoteRef/>
      </w:r>
      <w:r>
        <w:t xml:space="preserve"> </w:t>
      </w:r>
      <w:r w:rsidRPr="001C7A0B">
        <w:t xml:space="preserve">A </w:t>
      </w:r>
      <w:r w:rsidRPr="001C7A0B">
        <w:rPr>
          <w:b/>
          <w:bCs/>
        </w:rPr>
        <w:t>Category 3 application</w:t>
      </w:r>
      <w:r w:rsidRPr="001C7A0B">
        <w:t xml:space="preserve"> relates to updates to the quality data of medicines already included on the Australian Register of Therapeutic Goods (ARTG) which, in the opinion of the TGA, do not need to be supported by clinical, non-clinical or bioequivalence data.</w:t>
      </w:r>
    </w:p>
  </w:footnote>
  <w:footnote w:id="10">
    <w:p w14:paraId="7E1D3C4C" w14:textId="085745E8" w:rsidR="000324F1" w:rsidRDefault="000324F1">
      <w:pPr>
        <w:pStyle w:val="FootnoteText"/>
      </w:pPr>
      <w:r>
        <w:rPr>
          <w:rStyle w:val="FootnoteReference"/>
        </w:rPr>
        <w:footnoteRef/>
      </w:r>
      <w:r>
        <w:t xml:space="preserve"> </w:t>
      </w:r>
      <w:r w:rsidRPr="00DE77BA">
        <w:t>European Medicines Agency (EMA), Committee for Medicinal Products for Human Use (CHMP), Guideline on Similar Biological Medicinal Products Containing Monoclonal Antibodies - Non-clinical and Clinical Issues, EMA/CHMP/BMWP/403543/2010, 30 May 2012.</w:t>
      </w:r>
    </w:p>
  </w:footnote>
  <w:footnote w:id="11">
    <w:p w14:paraId="0DECBB04" w14:textId="519A3130" w:rsidR="003E06BD" w:rsidRDefault="003E06BD">
      <w:pPr>
        <w:pStyle w:val="FootnoteText"/>
      </w:pPr>
      <w:r>
        <w:rPr>
          <w:rStyle w:val="FootnoteReference"/>
        </w:rPr>
        <w:footnoteRef/>
      </w:r>
      <w:r>
        <w:t xml:space="preserve"> </w:t>
      </w:r>
      <w:r w:rsidRPr="003E06BD">
        <w:rPr>
          <w:b/>
          <w:bCs/>
        </w:rPr>
        <w:t>Good Laboratory Practice</w:t>
      </w:r>
      <w:r w:rsidRPr="003E06BD">
        <w:t xml:space="preserve"> is a code of standards following the International Council on Harmonisation (ICH) relevant to testing of medicines in laboratories during drug development.</w:t>
      </w:r>
    </w:p>
  </w:footnote>
  <w:footnote w:id="12">
    <w:p w14:paraId="350B1B3E" w14:textId="265260E0" w:rsidR="000324F1" w:rsidRDefault="000324F1">
      <w:pPr>
        <w:pStyle w:val="FootnoteText"/>
      </w:pPr>
      <w:r>
        <w:rPr>
          <w:rStyle w:val="FootnoteReference"/>
        </w:rPr>
        <w:footnoteRef/>
      </w:r>
      <w:r>
        <w:t xml:space="preserve"> </w:t>
      </w:r>
      <w:r w:rsidRPr="001C7A0B">
        <w:t xml:space="preserve">The </w:t>
      </w:r>
      <w:r w:rsidRPr="001C7A0B">
        <w:rPr>
          <w:b/>
          <w:bCs/>
        </w:rPr>
        <w:t>ACR (American College of Rheumatology)</w:t>
      </w:r>
      <w:r w:rsidRPr="001C7A0B">
        <w:t xml:space="preserve"> criteria are a standardised measure of disease improvement widely used in rheumatology trials, but less so clinically. The ACR20 is a composite measure defined as both improvement of 20% in the number of tender and number of swollen joints, and a 20% improvement in three of the following five criteria: patient global assessment, physician global assessment, a patient functional ability measure (most often the Health Assessment Questionnaire (HAQ), Visual Analog Scale (VAS) for Pain, and erythrocyte sedimentation rate (ESR) or C-reactive protein (CRP). ACR50 and ACR70 are the same instruments with an improvement of 50% and 70% respectively.</w:t>
      </w:r>
    </w:p>
  </w:footnote>
  <w:footnote w:id="13">
    <w:p w14:paraId="6EB61F77" w14:textId="0B772B61" w:rsidR="000324F1" w:rsidRDefault="000324F1">
      <w:pPr>
        <w:pStyle w:val="FootnoteText"/>
      </w:pPr>
      <w:r>
        <w:rPr>
          <w:rStyle w:val="FootnoteReference"/>
        </w:rPr>
        <w:footnoteRef/>
      </w:r>
      <w:r>
        <w:t xml:space="preserve"> </w:t>
      </w:r>
      <w:r w:rsidRPr="00BB1BBA">
        <w:t xml:space="preserve">The randomised clinical trials analysed by the </w:t>
      </w:r>
      <w:r w:rsidRPr="00BB1BBA">
        <w:rPr>
          <w:b/>
          <w:bCs/>
        </w:rPr>
        <w:t>intention-to-treat (ITT)</w:t>
      </w:r>
      <w:r w:rsidRPr="00BB1BBA">
        <w:t xml:space="preserve"> approach provide unbiased comparisons among the treatment groups. In the ITT population, none of the subjects are excluded, regardless of treatment compliance or attrition due to dropout or crossover, and the subjects are analysed according to the randomisation scheme. A modified intention-to-treat analysis (mITT) may sometimes be conducted excluding subjects post-randomisation.</w:t>
      </w:r>
    </w:p>
  </w:footnote>
  <w:footnote w:id="14">
    <w:p w14:paraId="4C716B92" w14:textId="01393FBE" w:rsidR="000324F1" w:rsidRDefault="000324F1">
      <w:pPr>
        <w:pStyle w:val="FootnoteText"/>
      </w:pPr>
      <w:r>
        <w:rPr>
          <w:rStyle w:val="FootnoteReference"/>
        </w:rPr>
        <w:footnoteRef/>
      </w:r>
      <w:r>
        <w:t xml:space="preserve"> </w:t>
      </w:r>
      <w:r w:rsidRPr="008049F9">
        <w:t>Keystone</w:t>
      </w:r>
      <w:r>
        <w:t xml:space="preserve">, E.C. et al. </w:t>
      </w:r>
      <w:r w:rsidRPr="00C81C0E">
        <w:t xml:space="preserve">Radiographic, Clinical, </w:t>
      </w:r>
      <w:r>
        <w:t>a</w:t>
      </w:r>
      <w:r w:rsidRPr="00C81C0E">
        <w:t xml:space="preserve">nd Functional Outcomes </w:t>
      </w:r>
      <w:r>
        <w:t>o</w:t>
      </w:r>
      <w:r w:rsidRPr="00C81C0E">
        <w:t>f Treatment With Adalimumab (</w:t>
      </w:r>
      <w:r>
        <w:t>a</w:t>
      </w:r>
      <w:r w:rsidRPr="00C81C0E">
        <w:t xml:space="preserve"> Human Anti-</w:t>
      </w:r>
      <w:r>
        <w:t>t</w:t>
      </w:r>
      <w:r w:rsidRPr="00C81C0E">
        <w:t xml:space="preserve">umor Necrosis Factor Monoclonal Antibody) </w:t>
      </w:r>
      <w:r>
        <w:t>i</w:t>
      </w:r>
      <w:r w:rsidRPr="00C81C0E">
        <w:t xml:space="preserve">n Patients With Active Rheumatoid Arthritis Receiving Concomitant Methotrexate Therapy: </w:t>
      </w:r>
      <w:r>
        <w:t>a</w:t>
      </w:r>
      <w:r w:rsidRPr="00C81C0E">
        <w:t xml:space="preserve"> Randomized, Placebo-Controlled, 52-Week Trial</w:t>
      </w:r>
      <w:r>
        <w:t xml:space="preserve">, </w:t>
      </w:r>
      <w:r w:rsidRPr="00C81C0E">
        <w:rPr>
          <w:i/>
          <w:iCs/>
        </w:rPr>
        <w:t>Arthritis Rheum</w:t>
      </w:r>
      <w:r>
        <w:t>. 2004; 50(5): 1400-1411.</w:t>
      </w:r>
    </w:p>
  </w:footnote>
  <w:footnote w:id="15">
    <w:p w14:paraId="567A1871" w14:textId="252F9B99" w:rsidR="000324F1" w:rsidRDefault="000324F1" w:rsidP="00C81C0E">
      <w:pPr>
        <w:pStyle w:val="FootnoteText"/>
      </w:pPr>
      <w:r>
        <w:rPr>
          <w:rStyle w:val="FootnoteReference"/>
        </w:rPr>
        <w:footnoteRef/>
      </w:r>
      <w:r>
        <w:t xml:space="preserve"> </w:t>
      </w:r>
      <w:r w:rsidRPr="00C81C0E">
        <w:t>Weinblatt</w:t>
      </w:r>
      <w:r>
        <w:t xml:space="preserve">, M.E. et al. </w:t>
      </w:r>
      <w:r w:rsidRPr="00C81C0E">
        <w:t xml:space="preserve">Adalimumab, a Fully Human Anti-tumor Necrosis Factor Alpha Monoclonal Antibody, for the Treatment </w:t>
      </w:r>
      <w:r>
        <w:t>o</w:t>
      </w:r>
      <w:r w:rsidRPr="00C81C0E">
        <w:t xml:space="preserve">f Rheumatoid Arthritis </w:t>
      </w:r>
      <w:r>
        <w:t>i</w:t>
      </w:r>
      <w:r w:rsidRPr="00C81C0E">
        <w:t>n Patients Taking Concomitant Methotrexate: the ARMADA Trial</w:t>
      </w:r>
      <w:r>
        <w:t xml:space="preserve">, </w:t>
      </w:r>
      <w:r w:rsidRPr="00C81C0E">
        <w:rPr>
          <w:i/>
          <w:iCs/>
        </w:rPr>
        <w:t>Arthritis Rheum</w:t>
      </w:r>
      <w:r>
        <w:t>, 2003; 48(1): 35-45.</w:t>
      </w:r>
    </w:p>
  </w:footnote>
  <w:footnote w:id="16">
    <w:p w14:paraId="0EC372FA" w14:textId="62C38B1B" w:rsidR="000324F1" w:rsidRDefault="000324F1">
      <w:pPr>
        <w:pStyle w:val="FootnoteText"/>
      </w:pPr>
      <w:r>
        <w:rPr>
          <w:rStyle w:val="FootnoteReference"/>
        </w:rPr>
        <w:footnoteRef/>
      </w:r>
      <w:r>
        <w:t xml:space="preserve"> </w:t>
      </w:r>
      <w:r w:rsidRPr="00BB1BBA">
        <w:t xml:space="preserve">The </w:t>
      </w:r>
      <w:r w:rsidRPr="00BB1BBA">
        <w:rPr>
          <w:b/>
          <w:bCs/>
        </w:rPr>
        <w:t>per-protocol (PP)</w:t>
      </w:r>
      <w:r w:rsidRPr="00BB1BBA">
        <w:t xml:space="preserve"> analysis is restricted to the participants who strictly adhered to the protocol. Also known as ‘on-treatment’ analysis.</w:t>
      </w:r>
    </w:p>
  </w:footnote>
  <w:footnote w:id="17">
    <w:p w14:paraId="720D3960" w14:textId="31441D3E" w:rsidR="005A1CE6" w:rsidRDefault="005A1CE6" w:rsidP="005A1CE6">
      <w:pPr>
        <w:pStyle w:val="FootnoteText"/>
      </w:pPr>
      <w:r>
        <w:rPr>
          <w:rStyle w:val="FootnoteReference"/>
        </w:rPr>
        <w:footnoteRef/>
      </w:r>
      <w:r>
        <w:t xml:space="preserve"> </w:t>
      </w:r>
      <w:r w:rsidRPr="00BB1BBA">
        <w:t xml:space="preserve">The </w:t>
      </w:r>
      <w:r w:rsidRPr="00BB1BBA">
        <w:rPr>
          <w:b/>
          <w:bCs/>
        </w:rPr>
        <w:t>Disease Activity Score 28 (DAS28)</w:t>
      </w:r>
      <w:r w:rsidRPr="00BB1BBA">
        <w:t xml:space="preserve"> is a system developed and validated by the European League Against Rheumatism (EULAR) to measure the progress and improvement of rheumatoid arthritis. Calculation of a DAS28 score involves the combination of an examination of 28 specified joints for tenderness upon touching and swelling, </w:t>
      </w:r>
      <w:r>
        <w:t>either the</w:t>
      </w:r>
      <w:r w:rsidRPr="00BB1BBA">
        <w:t xml:space="preserve"> erythrocyte sedimentation rate (ESR</w:t>
      </w:r>
      <w:r>
        <w:t>, known as DAS28 ESR) or C-reactive protein (CRP, known as DAS28 CRP) level</w:t>
      </w:r>
      <w:r w:rsidRPr="00BB1BBA">
        <w:t xml:space="preserve"> via blood sample, and the patient’s subjective assessment of disease activity during the preceding 7 days on a scale between 0 (‘no activity’)and 100 (‘highest activity possible’. DAS28 is often used in clinical trials for the development of rheumatoid arthritis (RA).</w:t>
      </w:r>
      <w:r>
        <w:t xml:space="preserve"> </w:t>
      </w:r>
      <w:r w:rsidRPr="00BB1BBA">
        <w:t>DAS28 values range from 2.0 to 10.0; higher values mean a higher disease activity.</w:t>
      </w:r>
    </w:p>
  </w:footnote>
  <w:footnote w:id="18">
    <w:p w14:paraId="77D0EC7F" w14:textId="44448C6C" w:rsidR="000324F1" w:rsidRDefault="000324F1">
      <w:pPr>
        <w:pStyle w:val="FootnoteText"/>
      </w:pPr>
      <w:r>
        <w:rPr>
          <w:rStyle w:val="FootnoteReference"/>
        </w:rPr>
        <w:footnoteRef/>
      </w:r>
      <w:r>
        <w:t xml:space="preserve"> </w:t>
      </w:r>
      <w:r w:rsidRPr="00BB1BBA">
        <w:t xml:space="preserve">EULAR response criteria = </w:t>
      </w:r>
      <w:r w:rsidRPr="00BB1BBA">
        <w:rPr>
          <w:b/>
          <w:bCs/>
        </w:rPr>
        <w:t>The European League against Rheumatism (EULAR) response</w:t>
      </w:r>
      <w:r w:rsidRPr="00BB1BBA">
        <w:t xml:space="preserve"> criteria are based on the assessment of disease activity using the Disease Activity Score (DAS), a statistically-derived index consisting of number of tender joints, number of swollen joints, erythrocyte sedimentation rate, and global disease activity.</w:t>
      </w:r>
    </w:p>
  </w:footnote>
  <w:footnote w:id="19">
    <w:p w14:paraId="1322C6D0" w14:textId="6E73E112" w:rsidR="000324F1" w:rsidRDefault="000324F1">
      <w:pPr>
        <w:pStyle w:val="FootnoteText"/>
      </w:pPr>
      <w:r>
        <w:rPr>
          <w:rStyle w:val="FootnoteReference"/>
        </w:rPr>
        <w:footnoteRef/>
      </w:r>
      <w:r>
        <w:t xml:space="preserve"> </w:t>
      </w:r>
      <w:r w:rsidRPr="00BB1BBA">
        <w:t xml:space="preserve">The </w:t>
      </w:r>
      <w:r w:rsidRPr="00BB1BBA">
        <w:rPr>
          <w:b/>
          <w:bCs/>
        </w:rPr>
        <w:t>SF-36</w:t>
      </w:r>
      <w:r w:rsidRPr="00BB1BBA">
        <w:t xml:space="preserve"> is a multi-purpose, short-form health survey with only 36 questions. It yields an 8-scale profile of functional health and well-being scores as well as psychometrically-based physical and mental health summary measures and a preference-based health utility index. It measures eight domains of health: physical functioning, role limitations due to physical health, bodily pain, general health perceptions, vitality, social functioning, role limitations due to emotional problems, and mental health. It yields scale scores for each of these eight health domains, and two summary measures of physical and mental health. It is a generic measure, as opposed to one that targets a specific age, disease, or treatment group. The SF-36 is available for two recall periods: standard (4-week recall) and acute (1-week recall).</w:t>
      </w:r>
    </w:p>
  </w:footnote>
  <w:footnote w:id="20">
    <w:p w14:paraId="4E68AD93" w14:textId="003FC9AA" w:rsidR="000324F1" w:rsidRDefault="000324F1">
      <w:pPr>
        <w:pStyle w:val="FootnoteText"/>
      </w:pPr>
      <w:r>
        <w:rPr>
          <w:rStyle w:val="FootnoteReference"/>
        </w:rPr>
        <w:footnoteRef/>
      </w:r>
      <w:r>
        <w:t xml:space="preserve"> </w:t>
      </w:r>
      <w:r w:rsidRPr="00D246F2">
        <w:t xml:space="preserve">The </w:t>
      </w:r>
      <w:r w:rsidRPr="00D246F2">
        <w:rPr>
          <w:b/>
          <w:bCs/>
        </w:rPr>
        <w:t>Medical Dictionary for Regulatory Activities (MedDRA)</w:t>
      </w:r>
      <w:r w:rsidRPr="00D246F2">
        <w:t xml:space="preserve"> is a single standardised international medical terminology, developed as a project of the International Council for Harmonisation of Technical Requirements for Pharmaceuticals for Human Use (ICH) which can be used for regulatory communication and evaluation of data pertaining to medicinal products for human use. As a result, MedDRA is designed for use in the registration, documentation and safety monitoring of medicinal products through all phases of the development cycle (that is, from clinical trials to post-marketing surveillance). Furthermore, MedDRA supports ICH electronic communication within the ICH’s Electronic Common Technical Document (eCTD) and the E2B Individual Case Safety Report.</w:t>
      </w:r>
    </w:p>
  </w:footnote>
  <w:footnote w:id="21">
    <w:p w14:paraId="3CEFDDDB" w14:textId="0D6FF204" w:rsidR="000324F1" w:rsidRDefault="000324F1">
      <w:pPr>
        <w:pStyle w:val="FootnoteText"/>
      </w:pPr>
      <w:r>
        <w:rPr>
          <w:rStyle w:val="FootnoteReference"/>
        </w:rPr>
        <w:footnoteRef/>
      </w:r>
      <w:r>
        <w:t xml:space="preserve"> </w:t>
      </w:r>
      <w:r w:rsidRPr="00CC342B">
        <w:t>European Medicines Agency (EMA), Committee for Medicinal Products for Human Use (CHMP), Guideline on Similar Biological Medicinal Products Containing Biotechnology-Derived Proteins as Active Substance: Quality Issues (Revision 1), EMA/CHMP/BWP/247713/2012, 22 May 2014.</w:t>
      </w:r>
    </w:p>
  </w:footnote>
  <w:footnote w:id="22">
    <w:p w14:paraId="2564AE88" w14:textId="6ED4F7F3" w:rsidR="000324F1" w:rsidRDefault="000324F1">
      <w:pPr>
        <w:pStyle w:val="FootnoteText"/>
      </w:pPr>
      <w:r>
        <w:rPr>
          <w:rStyle w:val="FootnoteReference"/>
        </w:rPr>
        <w:footnoteRef/>
      </w:r>
      <w:r>
        <w:t xml:space="preserve"> </w:t>
      </w:r>
      <w:r w:rsidRPr="008049F9">
        <w:t>European Medicines Agency (EMA), Committee for Medicinal Products for Human Use (CHMP), Guideline on Similar Biological Medicinal Products, CHMP/437/04 Rev 1, 23 October 2014.</w:t>
      </w:r>
    </w:p>
  </w:footnote>
  <w:footnote w:id="23">
    <w:p w14:paraId="4A810319" w14:textId="375991F6" w:rsidR="000324F1" w:rsidRDefault="000324F1">
      <w:pPr>
        <w:pStyle w:val="FootnoteText"/>
      </w:pPr>
      <w:r>
        <w:rPr>
          <w:rStyle w:val="FootnoteReference"/>
        </w:rPr>
        <w:footnoteRef/>
      </w:r>
      <w:r>
        <w:t xml:space="preserve"> </w:t>
      </w:r>
      <w:r w:rsidRPr="008049F9">
        <w:rPr>
          <w:b/>
          <w:bCs/>
        </w:rPr>
        <w:t>Good Manufacturing Practice (GMP)</w:t>
      </w:r>
      <w:r w:rsidRPr="008049F9">
        <w:t xml:space="preserve"> describes a set of principles and procedures that when followed helps ensure that therapeutic goods are of high quality.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2A322" w14:textId="77777777" w:rsidR="000324F1" w:rsidRDefault="000324F1"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1C2EE" w14:textId="77777777" w:rsidR="000324F1" w:rsidRDefault="000324F1">
    <w:pPr>
      <w:rPr>
        <w:noProof/>
        <w:lang w:eastAsia="en-AU"/>
      </w:rPr>
    </w:pPr>
    <w:r w:rsidRPr="00347824">
      <w:rPr>
        <w:noProof/>
        <w:lang w:val="en-GB" w:eastAsia="en-GB"/>
      </w:rPr>
      <w:drawing>
        <wp:anchor distT="0" distB="0" distL="114300" distR="114300" simplePos="0" relativeHeight="251659264" behindDoc="1" locked="0" layoutInCell="1" allowOverlap="1" wp14:anchorId="2570600F" wp14:editId="6321EE6C">
          <wp:simplePos x="0" y="0"/>
          <wp:positionH relativeFrom="column">
            <wp:posOffset>-1089660</wp:posOffset>
          </wp:positionH>
          <wp:positionV relativeFrom="paragraph">
            <wp:posOffset>-585470</wp:posOffset>
          </wp:positionV>
          <wp:extent cx="7572375" cy="10706100"/>
          <wp:effectExtent l="19050" t="0" r="0" b="0"/>
          <wp:wrapNone/>
          <wp:docPr id="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BA667" w14:textId="77777777" w:rsidR="000324F1" w:rsidRDefault="000324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3A03A" w14:textId="77777777" w:rsidR="000324F1" w:rsidRDefault="000324F1">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489A4" w14:textId="77777777" w:rsidR="000324F1" w:rsidRDefault="000324F1">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960F6" w14:textId="77777777" w:rsidR="000324F1" w:rsidRDefault="000324F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4C77A" w14:textId="77777777" w:rsidR="000324F1" w:rsidRDefault="000324F1"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6B89D" w14:textId="77777777" w:rsidR="000324F1" w:rsidRDefault="000324F1" w:rsidP="006E08B3">
    <w:r>
      <w:t>Therapeutic Goods Administration</w:t>
    </w:r>
  </w:p>
  <w:p w14:paraId="1FE53D99" w14:textId="77777777" w:rsidR="000324F1" w:rsidRDefault="000324F1"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CFDCC63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776599C"/>
    <w:multiLevelType w:val="hybridMultilevel"/>
    <w:tmpl w:val="DF0C7C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9108CD"/>
    <w:multiLevelType w:val="hybridMultilevel"/>
    <w:tmpl w:val="861E964C"/>
    <w:lvl w:ilvl="0" w:tplc="64B4CFDE">
      <w:start w:val="1"/>
      <w:numFmt w:val="bullet"/>
      <w:pStyle w:val="Bulletlis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F91803"/>
    <w:multiLevelType w:val="hybridMultilevel"/>
    <w:tmpl w:val="B85C54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A416DCA"/>
    <w:multiLevelType w:val="hybridMultilevel"/>
    <w:tmpl w:val="F8CC7362"/>
    <w:lvl w:ilvl="0" w:tplc="561E445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7"/>
  </w:num>
  <w:num w:numId="17">
    <w:abstractNumId w:val="7"/>
  </w:num>
  <w:num w:numId="18">
    <w:abstractNumId w:val="7"/>
  </w:num>
  <w:num w:numId="19">
    <w:abstractNumId w:val="9"/>
  </w:num>
  <w:num w:numId="20">
    <w:abstractNumId w:val="9"/>
  </w:num>
  <w:num w:numId="21">
    <w:abstractNumId w:val="9"/>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3"/>
  </w:num>
  <w:num w:numId="28">
    <w:abstractNumId w:val="15"/>
  </w:num>
  <w:num w:numId="29">
    <w:abstractNumId w:val="8"/>
  </w:num>
  <w:num w:numId="30">
    <w:abstractNumId w:val="10"/>
  </w:num>
  <w:num w:numId="31">
    <w:abstractNumId w:val="5"/>
  </w:num>
  <w:num w:numId="32">
    <w:abstractNumId w:val="14"/>
  </w:num>
  <w:num w:numId="33">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11"/>
  </w:num>
  <w:num w:numId="36">
    <w:abstractNumId w:val="6"/>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B85"/>
    <w:rsid w:val="00002031"/>
    <w:rsid w:val="00003B06"/>
    <w:rsid w:val="00004734"/>
    <w:rsid w:val="00006B22"/>
    <w:rsid w:val="00006FAB"/>
    <w:rsid w:val="0001276A"/>
    <w:rsid w:val="00012C8D"/>
    <w:rsid w:val="00014EB3"/>
    <w:rsid w:val="000246AE"/>
    <w:rsid w:val="00025C67"/>
    <w:rsid w:val="000324F1"/>
    <w:rsid w:val="00036539"/>
    <w:rsid w:val="00044772"/>
    <w:rsid w:val="0004541C"/>
    <w:rsid w:val="00052CD0"/>
    <w:rsid w:val="0005559E"/>
    <w:rsid w:val="000604D6"/>
    <w:rsid w:val="0007075B"/>
    <w:rsid w:val="000734D8"/>
    <w:rsid w:val="00077775"/>
    <w:rsid w:val="000815FD"/>
    <w:rsid w:val="00090471"/>
    <w:rsid w:val="00092808"/>
    <w:rsid w:val="00092B9B"/>
    <w:rsid w:val="00096AA7"/>
    <w:rsid w:val="000A3AED"/>
    <w:rsid w:val="000B3532"/>
    <w:rsid w:val="000B3A75"/>
    <w:rsid w:val="000B6737"/>
    <w:rsid w:val="000C00C2"/>
    <w:rsid w:val="000C4C71"/>
    <w:rsid w:val="000C690F"/>
    <w:rsid w:val="000D1295"/>
    <w:rsid w:val="000D391B"/>
    <w:rsid w:val="000D3B86"/>
    <w:rsid w:val="000D3D6D"/>
    <w:rsid w:val="000D4FC7"/>
    <w:rsid w:val="000E207C"/>
    <w:rsid w:val="000E6196"/>
    <w:rsid w:val="000F4869"/>
    <w:rsid w:val="000F5B42"/>
    <w:rsid w:val="000F6E6F"/>
    <w:rsid w:val="001050A1"/>
    <w:rsid w:val="0010601F"/>
    <w:rsid w:val="0010788A"/>
    <w:rsid w:val="00107A31"/>
    <w:rsid w:val="00110EA5"/>
    <w:rsid w:val="001128D2"/>
    <w:rsid w:val="00112F56"/>
    <w:rsid w:val="00117C1F"/>
    <w:rsid w:val="00122C2E"/>
    <w:rsid w:val="00124ACD"/>
    <w:rsid w:val="00125318"/>
    <w:rsid w:val="001305A2"/>
    <w:rsid w:val="00133238"/>
    <w:rsid w:val="001339D0"/>
    <w:rsid w:val="00133A1B"/>
    <w:rsid w:val="0014197B"/>
    <w:rsid w:val="001447CD"/>
    <w:rsid w:val="001516B1"/>
    <w:rsid w:val="00154746"/>
    <w:rsid w:val="00154EBB"/>
    <w:rsid w:val="00156316"/>
    <w:rsid w:val="00161181"/>
    <w:rsid w:val="00161D56"/>
    <w:rsid w:val="00162D14"/>
    <w:rsid w:val="00163780"/>
    <w:rsid w:val="00165389"/>
    <w:rsid w:val="0017693F"/>
    <w:rsid w:val="0018110E"/>
    <w:rsid w:val="00181684"/>
    <w:rsid w:val="001843C6"/>
    <w:rsid w:val="001850E0"/>
    <w:rsid w:val="00185407"/>
    <w:rsid w:val="00186C38"/>
    <w:rsid w:val="001A03AF"/>
    <w:rsid w:val="001A2158"/>
    <w:rsid w:val="001A525F"/>
    <w:rsid w:val="001A5A00"/>
    <w:rsid w:val="001A66B8"/>
    <w:rsid w:val="001B09F9"/>
    <w:rsid w:val="001B1DA4"/>
    <w:rsid w:val="001B5C90"/>
    <w:rsid w:val="001B6448"/>
    <w:rsid w:val="001C32CD"/>
    <w:rsid w:val="001C7A0B"/>
    <w:rsid w:val="001D2984"/>
    <w:rsid w:val="001D6A02"/>
    <w:rsid w:val="001E07CF"/>
    <w:rsid w:val="001E359E"/>
    <w:rsid w:val="001E449E"/>
    <w:rsid w:val="001E59F1"/>
    <w:rsid w:val="001F2CEE"/>
    <w:rsid w:val="001F49EB"/>
    <w:rsid w:val="001F6CBA"/>
    <w:rsid w:val="00201D4E"/>
    <w:rsid w:val="00206601"/>
    <w:rsid w:val="002076C9"/>
    <w:rsid w:val="00220B8A"/>
    <w:rsid w:val="002257F3"/>
    <w:rsid w:val="002314EA"/>
    <w:rsid w:val="00233456"/>
    <w:rsid w:val="002339A5"/>
    <w:rsid w:val="0024717D"/>
    <w:rsid w:val="00247D41"/>
    <w:rsid w:val="00250271"/>
    <w:rsid w:val="00250F35"/>
    <w:rsid w:val="00257848"/>
    <w:rsid w:val="002578E8"/>
    <w:rsid w:val="0027084A"/>
    <w:rsid w:val="00271E85"/>
    <w:rsid w:val="00280265"/>
    <w:rsid w:val="00286434"/>
    <w:rsid w:val="00286C59"/>
    <w:rsid w:val="00291957"/>
    <w:rsid w:val="002942D1"/>
    <w:rsid w:val="0029501A"/>
    <w:rsid w:val="002A3721"/>
    <w:rsid w:val="002B1638"/>
    <w:rsid w:val="002B3624"/>
    <w:rsid w:val="002C2BEF"/>
    <w:rsid w:val="002D0952"/>
    <w:rsid w:val="002E40B3"/>
    <w:rsid w:val="002E4C9A"/>
    <w:rsid w:val="002F11F8"/>
    <w:rsid w:val="002F3F56"/>
    <w:rsid w:val="002F44B5"/>
    <w:rsid w:val="002F5122"/>
    <w:rsid w:val="003025D1"/>
    <w:rsid w:val="00302C0B"/>
    <w:rsid w:val="00306F46"/>
    <w:rsid w:val="00311AC0"/>
    <w:rsid w:val="00312A28"/>
    <w:rsid w:val="003176FC"/>
    <w:rsid w:val="00324E45"/>
    <w:rsid w:val="0032583B"/>
    <w:rsid w:val="00327883"/>
    <w:rsid w:val="00332715"/>
    <w:rsid w:val="00334640"/>
    <w:rsid w:val="00335504"/>
    <w:rsid w:val="00340C18"/>
    <w:rsid w:val="003420A7"/>
    <w:rsid w:val="003442FD"/>
    <w:rsid w:val="00347824"/>
    <w:rsid w:val="00350567"/>
    <w:rsid w:val="003521E8"/>
    <w:rsid w:val="003538E0"/>
    <w:rsid w:val="00355485"/>
    <w:rsid w:val="00364EFE"/>
    <w:rsid w:val="00367188"/>
    <w:rsid w:val="00370CE3"/>
    <w:rsid w:val="003728F3"/>
    <w:rsid w:val="003735BC"/>
    <w:rsid w:val="0037496E"/>
    <w:rsid w:val="00383221"/>
    <w:rsid w:val="00386150"/>
    <w:rsid w:val="003874CE"/>
    <w:rsid w:val="00390900"/>
    <w:rsid w:val="00397344"/>
    <w:rsid w:val="003A12A9"/>
    <w:rsid w:val="003A6D32"/>
    <w:rsid w:val="003A7F6C"/>
    <w:rsid w:val="003B4D60"/>
    <w:rsid w:val="003B7373"/>
    <w:rsid w:val="003B7E39"/>
    <w:rsid w:val="003C58DC"/>
    <w:rsid w:val="003D1E62"/>
    <w:rsid w:val="003E06BD"/>
    <w:rsid w:val="003E0B99"/>
    <w:rsid w:val="003E118E"/>
    <w:rsid w:val="003E2486"/>
    <w:rsid w:val="003E3208"/>
    <w:rsid w:val="003F0B04"/>
    <w:rsid w:val="003F0BB1"/>
    <w:rsid w:val="003F5595"/>
    <w:rsid w:val="003F761E"/>
    <w:rsid w:val="00401341"/>
    <w:rsid w:val="0040134E"/>
    <w:rsid w:val="00415C5B"/>
    <w:rsid w:val="004334C7"/>
    <w:rsid w:val="00440A2D"/>
    <w:rsid w:val="00441C3F"/>
    <w:rsid w:val="00444D1A"/>
    <w:rsid w:val="0045186A"/>
    <w:rsid w:val="004530C2"/>
    <w:rsid w:val="00454BDC"/>
    <w:rsid w:val="004564A7"/>
    <w:rsid w:val="00456765"/>
    <w:rsid w:val="00460036"/>
    <w:rsid w:val="0046156D"/>
    <w:rsid w:val="004617BF"/>
    <w:rsid w:val="00463658"/>
    <w:rsid w:val="004637A0"/>
    <w:rsid w:val="00467FF1"/>
    <w:rsid w:val="004722CC"/>
    <w:rsid w:val="00482712"/>
    <w:rsid w:val="00490483"/>
    <w:rsid w:val="00491F13"/>
    <w:rsid w:val="004936E4"/>
    <w:rsid w:val="00494E60"/>
    <w:rsid w:val="00497487"/>
    <w:rsid w:val="004A2771"/>
    <w:rsid w:val="004A6189"/>
    <w:rsid w:val="004A7390"/>
    <w:rsid w:val="004B7B76"/>
    <w:rsid w:val="004C04A3"/>
    <w:rsid w:val="004C17BC"/>
    <w:rsid w:val="004C239D"/>
    <w:rsid w:val="004C2B1B"/>
    <w:rsid w:val="004C2DCA"/>
    <w:rsid w:val="004C3037"/>
    <w:rsid w:val="004C4FBE"/>
    <w:rsid w:val="004C61D2"/>
    <w:rsid w:val="004E4C70"/>
    <w:rsid w:val="004F0C4A"/>
    <w:rsid w:val="004F0F38"/>
    <w:rsid w:val="004F47D6"/>
    <w:rsid w:val="00500337"/>
    <w:rsid w:val="00501921"/>
    <w:rsid w:val="00505417"/>
    <w:rsid w:val="00507C4D"/>
    <w:rsid w:val="0051024E"/>
    <w:rsid w:val="0052149B"/>
    <w:rsid w:val="00523A21"/>
    <w:rsid w:val="00527D6A"/>
    <w:rsid w:val="00530354"/>
    <w:rsid w:val="0053625B"/>
    <w:rsid w:val="005434C6"/>
    <w:rsid w:val="00543B39"/>
    <w:rsid w:val="00545CDB"/>
    <w:rsid w:val="00545EA3"/>
    <w:rsid w:val="00546154"/>
    <w:rsid w:val="00550096"/>
    <w:rsid w:val="00555280"/>
    <w:rsid w:val="00557FF9"/>
    <w:rsid w:val="00562327"/>
    <w:rsid w:val="00565482"/>
    <w:rsid w:val="005711D5"/>
    <w:rsid w:val="0057388B"/>
    <w:rsid w:val="00576378"/>
    <w:rsid w:val="00577130"/>
    <w:rsid w:val="00577945"/>
    <w:rsid w:val="00577E38"/>
    <w:rsid w:val="00584275"/>
    <w:rsid w:val="00585322"/>
    <w:rsid w:val="005857C6"/>
    <w:rsid w:val="00592F6E"/>
    <w:rsid w:val="00593AD1"/>
    <w:rsid w:val="005A1AF1"/>
    <w:rsid w:val="005A1CE6"/>
    <w:rsid w:val="005A68B6"/>
    <w:rsid w:val="005A79F5"/>
    <w:rsid w:val="005B2D23"/>
    <w:rsid w:val="005C05CC"/>
    <w:rsid w:val="005C494B"/>
    <w:rsid w:val="005C5570"/>
    <w:rsid w:val="005C5B66"/>
    <w:rsid w:val="005C7875"/>
    <w:rsid w:val="005C79A4"/>
    <w:rsid w:val="005D3A00"/>
    <w:rsid w:val="005D5442"/>
    <w:rsid w:val="005E11DA"/>
    <w:rsid w:val="00603F32"/>
    <w:rsid w:val="00605AD4"/>
    <w:rsid w:val="0061141E"/>
    <w:rsid w:val="006136D7"/>
    <w:rsid w:val="00625A6E"/>
    <w:rsid w:val="00626498"/>
    <w:rsid w:val="00632398"/>
    <w:rsid w:val="00640FC3"/>
    <w:rsid w:val="00642020"/>
    <w:rsid w:val="006430AA"/>
    <w:rsid w:val="006430EE"/>
    <w:rsid w:val="00643CE5"/>
    <w:rsid w:val="006440CE"/>
    <w:rsid w:val="0065337B"/>
    <w:rsid w:val="0065364B"/>
    <w:rsid w:val="0065419D"/>
    <w:rsid w:val="006603BC"/>
    <w:rsid w:val="006604D8"/>
    <w:rsid w:val="00661A61"/>
    <w:rsid w:val="00664A5B"/>
    <w:rsid w:val="0066735C"/>
    <w:rsid w:val="006763D2"/>
    <w:rsid w:val="00680C08"/>
    <w:rsid w:val="0068568D"/>
    <w:rsid w:val="006901BA"/>
    <w:rsid w:val="006916A0"/>
    <w:rsid w:val="006931B1"/>
    <w:rsid w:val="006A0B57"/>
    <w:rsid w:val="006A15C0"/>
    <w:rsid w:val="006A3642"/>
    <w:rsid w:val="006A58A8"/>
    <w:rsid w:val="006B74AA"/>
    <w:rsid w:val="006C3E2A"/>
    <w:rsid w:val="006C642F"/>
    <w:rsid w:val="006C798B"/>
    <w:rsid w:val="006D03E5"/>
    <w:rsid w:val="006D5D3E"/>
    <w:rsid w:val="006E08B3"/>
    <w:rsid w:val="006E7D4A"/>
    <w:rsid w:val="006F17AC"/>
    <w:rsid w:val="006F25B8"/>
    <w:rsid w:val="006F572E"/>
    <w:rsid w:val="0070048A"/>
    <w:rsid w:val="007046D6"/>
    <w:rsid w:val="00704A90"/>
    <w:rsid w:val="00705DB0"/>
    <w:rsid w:val="007151F3"/>
    <w:rsid w:val="0072292E"/>
    <w:rsid w:val="00722B57"/>
    <w:rsid w:val="00730F8A"/>
    <w:rsid w:val="00735A8C"/>
    <w:rsid w:val="0074163C"/>
    <w:rsid w:val="0074253D"/>
    <w:rsid w:val="00744121"/>
    <w:rsid w:val="0074429B"/>
    <w:rsid w:val="00747F03"/>
    <w:rsid w:val="007615BC"/>
    <w:rsid w:val="00762F05"/>
    <w:rsid w:val="007652FF"/>
    <w:rsid w:val="007703EF"/>
    <w:rsid w:val="00770CAC"/>
    <w:rsid w:val="00770EF1"/>
    <w:rsid w:val="0077131A"/>
    <w:rsid w:val="00773EF7"/>
    <w:rsid w:val="00774E1D"/>
    <w:rsid w:val="007765D8"/>
    <w:rsid w:val="0077675A"/>
    <w:rsid w:val="007775FE"/>
    <w:rsid w:val="00780355"/>
    <w:rsid w:val="007819FD"/>
    <w:rsid w:val="00785717"/>
    <w:rsid w:val="00785721"/>
    <w:rsid w:val="00793A59"/>
    <w:rsid w:val="007A46F5"/>
    <w:rsid w:val="007A6505"/>
    <w:rsid w:val="007B6132"/>
    <w:rsid w:val="007B6E9F"/>
    <w:rsid w:val="007C1216"/>
    <w:rsid w:val="007C19B9"/>
    <w:rsid w:val="007C1AF7"/>
    <w:rsid w:val="007C6B9B"/>
    <w:rsid w:val="007D53B6"/>
    <w:rsid w:val="007D7DCF"/>
    <w:rsid w:val="007E0875"/>
    <w:rsid w:val="007E1A15"/>
    <w:rsid w:val="007F6547"/>
    <w:rsid w:val="008049F9"/>
    <w:rsid w:val="00804D99"/>
    <w:rsid w:val="00805D27"/>
    <w:rsid w:val="00806DCB"/>
    <w:rsid w:val="008110BC"/>
    <w:rsid w:val="0081178F"/>
    <w:rsid w:val="00812880"/>
    <w:rsid w:val="00821776"/>
    <w:rsid w:val="0083045B"/>
    <w:rsid w:val="008321F5"/>
    <w:rsid w:val="00832369"/>
    <w:rsid w:val="00833ED8"/>
    <w:rsid w:val="00834660"/>
    <w:rsid w:val="00836BC2"/>
    <w:rsid w:val="0085156D"/>
    <w:rsid w:val="00852B28"/>
    <w:rsid w:val="0085641B"/>
    <w:rsid w:val="00857136"/>
    <w:rsid w:val="00865B03"/>
    <w:rsid w:val="00866C1E"/>
    <w:rsid w:val="00875A6B"/>
    <w:rsid w:val="00885B11"/>
    <w:rsid w:val="00886D15"/>
    <w:rsid w:val="00887DD8"/>
    <w:rsid w:val="00891BA9"/>
    <w:rsid w:val="00896018"/>
    <w:rsid w:val="008960DD"/>
    <w:rsid w:val="0089635C"/>
    <w:rsid w:val="008A14DB"/>
    <w:rsid w:val="008A2B9D"/>
    <w:rsid w:val="008A3D9F"/>
    <w:rsid w:val="008A5E0B"/>
    <w:rsid w:val="008A6D59"/>
    <w:rsid w:val="008B3333"/>
    <w:rsid w:val="008B4B03"/>
    <w:rsid w:val="008B592C"/>
    <w:rsid w:val="008B596F"/>
    <w:rsid w:val="008C159F"/>
    <w:rsid w:val="008C1623"/>
    <w:rsid w:val="008C1850"/>
    <w:rsid w:val="008C51A9"/>
    <w:rsid w:val="008E59AF"/>
    <w:rsid w:val="008E7846"/>
    <w:rsid w:val="008F02E5"/>
    <w:rsid w:val="008F1CCC"/>
    <w:rsid w:val="008F2967"/>
    <w:rsid w:val="008F6943"/>
    <w:rsid w:val="00902A21"/>
    <w:rsid w:val="0091523F"/>
    <w:rsid w:val="00920330"/>
    <w:rsid w:val="009206DB"/>
    <w:rsid w:val="009219D7"/>
    <w:rsid w:val="00922D53"/>
    <w:rsid w:val="00923B70"/>
    <w:rsid w:val="00924482"/>
    <w:rsid w:val="00930237"/>
    <w:rsid w:val="00937C17"/>
    <w:rsid w:val="00940A89"/>
    <w:rsid w:val="00941F77"/>
    <w:rsid w:val="00946EA5"/>
    <w:rsid w:val="009556D7"/>
    <w:rsid w:val="00960520"/>
    <w:rsid w:val="0096288C"/>
    <w:rsid w:val="00963C08"/>
    <w:rsid w:val="009752A5"/>
    <w:rsid w:val="0098585A"/>
    <w:rsid w:val="00985BFC"/>
    <w:rsid w:val="00994CF0"/>
    <w:rsid w:val="009A0471"/>
    <w:rsid w:val="009A4CED"/>
    <w:rsid w:val="009A690D"/>
    <w:rsid w:val="009B1A02"/>
    <w:rsid w:val="009B1D12"/>
    <w:rsid w:val="009B416B"/>
    <w:rsid w:val="009C4BD5"/>
    <w:rsid w:val="009D7B77"/>
    <w:rsid w:val="009E0BB0"/>
    <w:rsid w:val="009E0CAE"/>
    <w:rsid w:val="009E3FBB"/>
    <w:rsid w:val="009E5A87"/>
    <w:rsid w:val="009F2673"/>
    <w:rsid w:val="009F7353"/>
    <w:rsid w:val="00A04F85"/>
    <w:rsid w:val="00A05FA4"/>
    <w:rsid w:val="00A102E4"/>
    <w:rsid w:val="00A1219C"/>
    <w:rsid w:val="00A12C42"/>
    <w:rsid w:val="00A14DF7"/>
    <w:rsid w:val="00A22D57"/>
    <w:rsid w:val="00A3246D"/>
    <w:rsid w:val="00A36FA7"/>
    <w:rsid w:val="00A44DDB"/>
    <w:rsid w:val="00A46138"/>
    <w:rsid w:val="00A475B7"/>
    <w:rsid w:val="00A47AF7"/>
    <w:rsid w:val="00A47C3E"/>
    <w:rsid w:val="00A50226"/>
    <w:rsid w:val="00A60BAD"/>
    <w:rsid w:val="00A6411E"/>
    <w:rsid w:val="00A77F87"/>
    <w:rsid w:val="00A80B5B"/>
    <w:rsid w:val="00A84E36"/>
    <w:rsid w:val="00A964D1"/>
    <w:rsid w:val="00AA0ED0"/>
    <w:rsid w:val="00AA7BE6"/>
    <w:rsid w:val="00AC2B40"/>
    <w:rsid w:val="00AC2BB2"/>
    <w:rsid w:val="00AC2C3C"/>
    <w:rsid w:val="00AC512D"/>
    <w:rsid w:val="00AD0083"/>
    <w:rsid w:val="00AD3935"/>
    <w:rsid w:val="00AE0C7F"/>
    <w:rsid w:val="00AE5253"/>
    <w:rsid w:val="00AE65EB"/>
    <w:rsid w:val="00AE67A7"/>
    <w:rsid w:val="00AF1D94"/>
    <w:rsid w:val="00AF2313"/>
    <w:rsid w:val="00AF60C5"/>
    <w:rsid w:val="00B009C6"/>
    <w:rsid w:val="00B01548"/>
    <w:rsid w:val="00B06842"/>
    <w:rsid w:val="00B130C5"/>
    <w:rsid w:val="00B13EBD"/>
    <w:rsid w:val="00B1406F"/>
    <w:rsid w:val="00B15D64"/>
    <w:rsid w:val="00B21D29"/>
    <w:rsid w:val="00B25034"/>
    <w:rsid w:val="00B33588"/>
    <w:rsid w:val="00B33863"/>
    <w:rsid w:val="00B37D17"/>
    <w:rsid w:val="00B4175E"/>
    <w:rsid w:val="00B41C85"/>
    <w:rsid w:val="00B452CE"/>
    <w:rsid w:val="00B54C25"/>
    <w:rsid w:val="00B62EF3"/>
    <w:rsid w:val="00B63655"/>
    <w:rsid w:val="00B639CC"/>
    <w:rsid w:val="00B6699E"/>
    <w:rsid w:val="00B76B91"/>
    <w:rsid w:val="00B77EB1"/>
    <w:rsid w:val="00B811C6"/>
    <w:rsid w:val="00B855B0"/>
    <w:rsid w:val="00B92E08"/>
    <w:rsid w:val="00BA1947"/>
    <w:rsid w:val="00BB034B"/>
    <w:rsid w:val="00BB0B78"/>
    <w:rsid w:val="00BB1BBA"/>
    <w:rsid w:val="00BB75D6"/>
    <w:rsid w:val="00BC622A"/>
    <w:rsid w:val="00BE0A78"/>
    <w:rsid w:val="00BE6542"/>
    <w:rsid w:val="00BE79F0"/>
    <w:rsid w:val="00BF046D"/>
    <w:rsid w:val="00BF1190"/>
    <w:rsid w:val="00BF3774"/>
    <w:rsid w:val="00BF5D04"/>
    <w:rsid w:val="00BF7063"/>
    <w:rsid w:val="00C009AA"/>
    <w:rsid w:val="00C06B85"/>
    <w:rsid w:val="00C1164D"/>
    <w:rsid w:val="00C16861"/>
    <w:rsid w:val="00C34133"/>
    <w:rsid w:val="00C346AB"/>
    <w:rsid w:val="00C36C9C"/>
    <w:rsid w:val="00C404A6"/>
    <w:rsid w:val="00C40A36"/>
    <w:rsid w:val="00C44419"/>
    <w:rsid w:val="00C45E7B"/>
    <w:rsid w:val="00C471B1"/>
    <w:rsid w:val="00C525A2"/>
    <w:rsid w:val="00C52E24"/>
    <w:rsid w:val="00C6316B"/>
    <w:rsid w:val="00C634A9"/>
    <w:rsid w:val="00C64586"/>
    <w:rsid w:val="00C70A36"/>
    <w:rsid w:val="00C70D53"/>
    <w:rsid w:val="00C73D0B"/>
    <w:rsid w:val="00C74F5C"/>
    <w:rsid w:val="00C74FE8"/>
    <w:rsid w:val="00C772FF"/>
    <w:rsid w:val="00C80137"/>
    <w:rsid w:val="00C801AF"/>
    <w:rsid w:val="00C80256"/>
    <w:rsid w:val="00C81C0E"/>
    <w:rsid w:val="00C94CD4"/>
    <w:rsid w:val="00C9747E"/>
    <w:rsid w:val="00CB4944"/>
    <w:rsid w:val="00CB6BC0"/>
    <w:rsid w:val="00CC15D4"/>
    <w:rsid w:val="00CC1B7C"/>
    <w:rsid w:val="00CC279C"/>
    <w:rsid w:val="00CC342B"/>
    <w:rsid w:val="00CC5044"/>
    <w:rsid w:val="00CC727F"/>
    <w:rsid w:val="00CE6970"/>
    <w:rsid w:val="00CF15C3"/>
    <w:rsid w:val="00CF2B6F"/>
    <w:rsid w:val="00CF2F3E"/>
    <w:rsid w:val="00CF58B6"/>
    <w:rsid w:val="00CF5DAD"/>
    <w:rsid w:val="00D0062D"/>
    <w:rsid w:val="00D017ED"/>
    <w:rsid w:val="00D040D3"/>
    <w:rsid w:val="00D04C65"/>
    <w:rsid w:val="00D153D8"/>
    <w:rsid w:val="00D201D2"/>
    <w:rsid w:val="00D212F3"/>
    <w:rsid w:val="00D224FE"/>
    <w:rsid w:val="00D23139"/>
    <w:rsid w:val="00D246F2"/>
    <w:rsid w:val="00D2545F"/>
    <w:rsid w:val="00D33E10"/>
    <w:rsid w:val="00D425BB"/>
    <w:rsid w:val="00D453FA"/>
    <w:rsid w:val="00D56348"/>
    <w:rsid w:val="00D6493E"/>
    <w:rsid w:val="00D7195D"/>
    <w:rsid w:val="00D72CBA"/>
    <w:rsid w:val="00D7301E"/>
    <w:rsid w:val="00D744DA"/>
    <w:rsid w:val="00D83AE1"/>
    <w:rsid w:val="00D854AC"/>
    <w:rsid w:val="00D855D4"/>
    <w:rsid w:val="00D902C9"/>
    <w:rsid w:val="00D93466"/>
    <w:rsid w:val="00DA1124"/>
    <w:rsid w:val="00DA64A7"/>
    <w:rsid w:val="00DA64CB"/>
    <w:rsid w:val="00DB06B8"/>
    <w:rsid w:val="00DB0E6B"/>
    <w:rsid w:val="00DB6124"/>
    <w:rsid w:val="00DB750B"/>
    <w:rsid w:val="00DB75B7"/>
    <w:rsid w:val="00DB7C98"/>
    <w:rsid w:val="00DC0A2F"/>
    <w:rsid w:val="00DC1948"/>
    <w:rsid w:val="00DC6536"/>
    <w:rsid w:val="00DC6E02"/>
    <w:rsid w:val="00DD28CD"/>
    <w:rsid w:val="00DD3B0A"/>
    <w:rsid w:val="00DE02AE"/>
    <w:rsid w:val="00DE1DA1"/>
    <w:rsid w:val="00DE39D1"/>
    <w:rsid w:val="00DE77BA"/>
    <w:rsid w:val="00DF1D7F"/>
    <w:rsid w:val="00DF4BE4"/>
    <w:rsid w:val="00DF7C6F"/>
    <w:rsid w:val="00E02382"/>
    <w:rsid w:val="00E02FB4"/>
    <w:rsid w:val="00E13FC7"/>
    <w:rsid w:val="00E20571"/>
    <w:rsid w:val="00E235F7"/>
    <w:rsid w:val="00E23659"/>
    <w:rsid w:val="00E239D4"/>
    <w:rsid w:val="00E26130"/>
    <w:rsid w:val="00E33D42"/>
    <w:rsid w:val="00E364C3"/>
    <w:rsid w:val="00E37F91"/>
    <w:rsid w:val="00E40B22"/>
    <w:rsid w:val="00E44ED1"/>
    <w:rsid w:val="00E45619"/>
    <w:rsid w:val="00E4588F"/>
    <w:rsid w:val="00E46DA3"/>
    <w:rsid w:val="00E51BB1"/>
    <w:rsid w:val="00E55CB0"/>
    <w:rsid w:val="00E624A5"/>
    <w:rsid w:val="00E64BA4"/>
    <w:rsid w:val="00E7344E"/>
    <w:rsid w:val="00E74475"/>
    <w:rsid w:val="00E82665"/>
    <w:rsid w:val="00E844A7"/>
    <w:rsid w:val="00EB0798"/>
    <w:rsid w:val="00EB36D6"/>
    <w:rsid w:val="00EB40AD"/>
    <w:rsid w:val="00EB586E"/>
    <w:rsid w:val="00EB5FC8"/>
    <w:rsid w:val="00EC1221"/>
    <w:rsid w:val="00EC463D"/>
    <w:rsid w:val="00EC724D"/>
    <w:rsid w:val="00EC7A85"/>
    <w:rsid w:val="00ED2922"/>
    <w:rsid w:val="00ED3CAD"/>
    <w:rsid w:val="00ED5A41"/>
    <w:rsid w:val="00EE1DE8"/>
    <w:rsid w:val="00EE27C2"/>
    <w:rsid w:val="00EF4BAD"/>
    <w:rsid w:val="00EF59DC"/>
    <w:rsid w:val="00F033EC"/>
    <w:rsid w:val="00F044FD"/>
    <w:rsid w:val="00F04F68"/>
    <w:rsid w:val="00F12670"/>
    <w:rsid w:val="00F14B27"/>
    <w:rsid w:val="00F3148D"/>
    <w:rsid w:val="00F325C5"/>
    <w:rsid w:val="00F32FE0"/>
    <w:rsid w:val="00F35298"/>
    <w:rsid w:val="00F47333"/>
    <w:rsid w:val="00F47E37"/>
    <w:rsid w:val="00F53C07"/>
    <w:rsid w:val="00F5493B"/>
    <w:rsid w:val="00F54B65"/>
    <w:rsid w:val="00F63DBF"/>
    <w:rsid w:val="00F640B6"/>
    <w:rsid w:val="00F66DF2"/>
    <w:rsid w:val="00F73D8A"/>
    <w:rsid w:val="00F80E40"/>
    <w:rsid w:val="00F8398E"/>
    <w:rsid w:val="00F848D9"/>
    <w:rsid w:val="00F931CE"/>
    <w:rsid w:val="00FA3C33"/>
    <w:rsid w:val="00FA4BBA"/>
    <w:rsid w:val="00FA5069"/>
    <w:rsid w:val="00FA5B82"/>
    <w:rsid w:val="00FA639E"/>
    <w:rsid w:val="00FC1FCA"/>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0EFD4"/>
  <w15:docId w15:val="{B3C39DBB-45FC-4D29-9BEC-C24E588C9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styleId="ListParagraph">
    <w:name w:val="List Paragraph"/>
    <w:basedOn w:val="Normal"/>
    <w:uiPriority w:val="34"/>
    <w:qFormat/>
    <w:rsid w:val="00DB7C98"/>
    <w:pPr>
      <w:adjustRightInd w:val="0"/>
      <w:snapToGrid w:val="0"/>
      <w:spacing w:before="180" w:after="180"/>
      <w:ind w:left="720"/>
      <w:contextualSpacing/>
    </w:pPr>
    <w:rPr>
      <w:rFonts w:eastAsia="MS Mincho"/>
      <w:szCs w:val="20"/>
      <w:lang w:eastAsia="ja-JP"/>
    </w:rPr>
  </w:style>
  <w:style w:type="character" w:customStyle="1" w:styleId="BulletlistChar">
    <w:name w:val="Bullet list Char"/>
    <w:basedOn w:val="DefaultParagraphFont"/>
    <w:link w:val="Bulletlist"/>
    <w:locked/>
    <w:rsid w:val="00014EB3"/>
    <w:rPr>
      <w:rFonts w:ascii="Cambria" w:eastAsia="Times New Roman" w:hAnsi="Cambria" w:cs="Times New Roman"/>
      <w:kern w:val="2"/>
      <w:sz w:val="23"/>
    </w:rPr>
  </w:style>
  <w:style w:type="paragraph" w:customStyle="1" w:styleId="Bulletlist">
    <w:name w:val="Bullet list"/>
    <w:basedOn w:val="Normal"/>
    <w:link w:val="BulletlistChar"/>
    <w:qFormat/>
    <w:rsid w:val="00014EB3"/>
    <w:pPr>
      <w:numPr>
        <w:numId w:val="36"/>
      </w:numPr>
      <w:snapToGrid w:val="0"/>
      <w:spacing w:before="0" w:after="180" w:line="252" w:lineRule="auto"/>
      <w:ind w:left="426" w:hanging="284"/>
    </w:pPr>
    <w:rPr>
      <w:rFonts w:eastAsia="Times New Roman"/>
      <w:kern w:val="2"/>
      <w:sz w:val="23"/>
    </w:rPr>
  </w:style>
  <w:style w:type="character" w:customStyle="1" w:styleId="StandardChar">
    <w:name w:val="Standard Char"/>
    <w:basedOn w:val="DefaultParagraphFont"/>
    <w:link w:val="Standard"/>
    <w:locked/>
    <w:rsid w:val="00014EB3"/>
    <w:rPr>
      <w:rFonts w:ascii="Cambria" w:eastAsia="Times New Roman" w:hAnsi="Cambria" w:cs="Times New Roman"/>
      <w:kern w:val="16"/>
      <w:sz w:val="23"/>
      <w:szCs w:val="24"/>
    </w:rPr>
  </w:style>
  <w:style w:type="paragraph" w:customStyle="1" w:styleId="Standard">
    <w:name w:val="Standard"/>
    <w:basedOn w:val="Normal"/>
    <w:link w:val="StandardChar"/>
    <w:qFormat/>
    <w:rsid w:val="00014EB3"/>
    <w:pPr>
      <w:snapToGrid w:val="0"/>
      <w:spacing w:before="0" w:after="220" w:line="252" w:lineRule="auto"/>
    </w:pPr>
    <w:rPr>
      <w:rFonts w:eastAsia="Times New Roman"/>
      <w:kern w:val="16"/>
      <w:sz w:val="23"/>
      <w:szCs w:val="24"/>
    </w:rPr>
  </w:style>
  <w:style w:type="table" w:customStyle="1" w:styleId="TableGrid1">
    <w:name w:val="Table Grid1"/>
    <w:basedOn w:val="TableNormal"/>
    <w:uiPriority w:val="59"/>
    <w:rsid w:val="00014EB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C30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148496">
      <w:bodyDiv w:val="1"/>
      <w:marLeft w:val="0"/>
      <w:marRight w:val="0"/>
      <w:marTop w:val="0"/>
      <w:marBottom w:val="0"/>
      <w:divBdr>
        <w:top w:val="none" w:sz="0" w:space="0" w:color="auto"/>
        <w:left w:val="none" w:sz="0" w:space="0" w:color="auto"/>
        <w:bottom w:val="none" w:sz="0" w:space="0" w:color="auto"/>
        <w:right w:val="none" w:sz="0" w:space="0" w:color="auto"/>
      </w:divBdr>
    </w:div>
    <w:div w:id="217867448">
      <w:bodyDiv w:val="1"/>
      <w:marLeft w:val="0"/>
      <w:marRight w:val="0"/>
      <w:marTop w:val="0"/>
      <w:marBottom w:val="0"/>
      <w:divBdr>
        <w:top w:val="none" w:sz="0" w:space="0" w:color="auto"/>
        <w:left w:val="none" w:sz="0" w:space="0" w:color="auto"/>
        <w:bottom w:val="none" w:sz="0" w:space="0" w:color="auto"/>
        <w:right w:val="none" w:sz="0" w:space="0" w:color="auto"/>
      </w:divBdr>
    </w:div>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380710105">
      <w:bodyDiv w:val="1"/>
      <w:marLeft w:val="0"/>
      <w:marRight w:val="0"/>
      <w:marTop w:val="0"/>
      <w:marBottom w:val="0"/>
      <w:divBdr>
        <w:top w:val="none" w:sz="0" w:space="0" w:color="auto"/>
        <w:left w:val="none" w:sz="0" w:space="0" w:color="auto"/>
        <w:bottom w:val="none" w:sz="0" w:space="0" w:color="auto"/>
        <w:right w:val="none" w:sz="0" w:space="0" w:color="auto"/>
      </w:divBdr>
    </w:div>
    <w:div w:id="614950423">
      <w:bodyDiv w:val="1"/>
      <w:marLeft w:val="0"/>
      <w:marRight w:val="0"/>
      <w:marTop w:val="0"/>
      <w:marBottom w:val="0"/>
      <w:divBdr>
        <w:top w:val="none" w:sz="0" w:space="0" w:color="auto"/>
        <w:left w:val="none" w:sz="0" w:space="0" w:color="auto"/>
        <w:bottom w:val="none" w:sz="0" w:space="0" w:color="auto"/>
        <w:right w:val="none" w:sz="0" w:space="0" w:color="auto"/>
      </w:divBdr>
    </w:div>
    <w:div w:id="616378060">
      <w:bodyDiv w:val="1"/>
      <w:marLeft w:val="0"/>
      <w:marRight w:val="0"/>
      <w:marTop w:val="0"/>
      <w:marBottom w:val="0"/>
      <w:divBdr>
        <w:top w:val="none" w:sz="0" w:space="0" w:color="auto"/>
        <w:left w:val="none" w:sz="0" w:space="0" w:color="auto"/>
        <w:bottom w:val="none" w:sz="0" w:space="0" w:color="auto"/>
        <w:right w:val="none" w:sz="0" w:space="0" w:color="auto"/>
      </w:divBdr>
    </w:div>
    <w:div w:id="1353804164">
      <w:bodyDiv w:val="1"/>
      <w:marLeft w:val="0"/>
      <w:marRight w:val="0"/>
      <w:marTop w:val="0"/>
      <w:marBottom w:val="0"/>
      <w:divBdr>
        <w:top w:val="none" w:sz="0" w:space="0" w:color="auto"/>
        <w:left w:val="none" w:sz="0" w:space="0" w:color="auto"/>
        <w:bottom w:val="none" w:sz="0" w:space="0" w:color="auto"/>
        <w:right w:val="none" w:sz="0" w:space="0" w:color="auto"/>
      </w:divBdr>
    </w:div>
    <w:div w:id="1509908138">
      <w:bodyDiv w:val="1"/>
      <w:marLeft w:val="0"/>
      <w:marRight w:val="0"/>
      <w:marTop w:val="0"/>
      <w:marBottom w:val="0"/>
      <w:divBdr>
        <w:top w:val="none" w:sz="0" w:space="0" w:color="auto"/>
        <w:left w:val="none" w:sz="0" w:space="0" w:color="auto"/>
        <w:bottom w:val="none" w:sz="0" w:space="0" w:color="auto"/>
        <w:right w:val="none" w:sz="0" w:space="0" w:color="auto"/>
      </w:divBdr>
    </w:div>
    <w:div w:id="1616712002">
      <w:bodyDiv w:val="1"/>
      <w:marLeft w:val="0"/>
      <w:marRight w:val="0"/>
      <w:marTop w:val="0"/>
      <w:marBottom w:val="0"/>
      <w:divBdr>
        <w:top w:val="none" w:sz="0" w:space="0" w:color="auto"/>
        <w:left w:val="none" w:sz="0" w:space="0" w:color="auto"/>
        <w:bottom w:val="none" w:sz="0" w:space="0" w:color="auto"/>
        <w:right w:val="none" w:sz="0" w:space="0" w:color="auto"/>
      </w:divBdr>
    </w:div>
    <w:div w:id="1702323644">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1943800273">
      <w:bodyDiv w:val="1"/>
      <w:marLeft w:val="0"/>
      <w:marRight w:val="0"/>
      <w:marTop w:val="0"/>
      <w:marBottom w:val="0"/>
      <w:divBdr>
        <w:top w:val="none" w:sz="0" w:space="0" w:color="auto"/>
        <w:left w:val="none" w:sz="0" w:space="0" w:color="auto"/>
        <w:bottom w:val="none" w:sz="0" w:space="0" w:color="auto"/>
        <w:right w:val="none" w:sz="0" w:space="0" w:color="auto"/>
      </w:divBdr>
    </w:div>
    <w:div w:id="1974600544">
      <w:bodyDiv w:val="1"/>
      <w:marLeft w:val="0"/>
      <w:marRight w:val="0"/>
      <w:marTop w:val="0"/>
      <w:marBottom w:val="0"/>
      <w:divBdr>
        <w:top w:val="none" w:sz="0" w:space="0" w:color="auto"/>
        <w:left w:val="none" w:sz="0" w:space="0" w:color="auto"/>
        <w:bottom w:val="none" w:sz="0" w:space="0" w:color="auto"/>
        <w:right w:val="none" w:sz="0" w:space="0" w:color="auto"/>
      </w:divBdr>
    </w:div>
    <w:div w:id="2047875948">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tga.gov.au/picmi-search-facility"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mailto:Biochemistry.Testing@health.gov.au" TargetMode="External"/><Relationship Id="rId34" Type="http://schemas.openxmlformats.org/officeDocument/2006/relationships/image" Target="media/image14.png"/><Relationship Id="rId42" Type="http://schemas.openxmlformats.org/officeDocument/2006/relationships/hyperlink" Target="http://www.tga.gov.au/ws-labs-index" TargetMode="External"/><Relationship Id="rId47" Type="http://schemas.openxmlformats.org/officeDocument/2006/relationships/header" Target="header5.xml"/><Relationship Id="rId50" Type="http://schemas.openxmlformats.org/officeDocument/2006/relationships/hyperlink" Target="https://www.tga.gov.au" TargetMode="External"/><Relationship Id="rId55"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yperlink" Target="mailto:tga.copyright@tga.gov.au" TargetMode="External"/><Relationship Id="rId17" Type="http://schemas.openxmlformats.org/officeDocument/2006/relationships/hyperlink" Target="https://www.tga.gov.au/comparable-overseas-regulators-cors-timeframes-and-milestones"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ww.tga.gov.au/black-triangle-scheme" TargetMode="External"/><Relationship Id="rId20" Type="http://schemas.openxmlformats.org/officeDocument/2006/relationships/hyperlink" Target="http://www.tga.gov.au/industry/pm-argpm-guidance-7.htm" TargetMode="External"/><Relationship Id="rId29" Type="http://schemas.openxmlformats.org/officeDocument/2006/relationships/image" Target="media/image9.png"/><Relationship Id="rId41" Type="http://schemas.openxmlformats.org/officeDocument/2006/relationships/hyperlink" Target="https://www.tga.gov.au/tgas-risk-management-approach" TargetMode="Externa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ga.gov.au/australian-public-assessment-report-auspar-guidance"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s://www.tga.gov.au/publication/risk-management-plans-medicines-and-biologicals" TargetMode="External"/><Relationship Id="rId45" Type="http://schemas.openxmlformats.org/officeDocument/2006/relationships/header" Target="header3.xml"/><Relationship Id="rId53" Type="http://schemas.openxmlformats.org/officeDocument/2006/relationships/footer" Target="foot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mailto:info@tga.gov.au" TargetMode="External"/><Relationship Id="rId57" Type="http://schemas.openxmlformats.org/officeDocument/2006/relationships/theme" Target="theme/theme1.xml"/><Relationship Id="rId10" Type="http://schemas.openxmlformats.org/officeDocument/2006/relationships/hyperlink" Target="https://www.tga.gov.au" TargetMode="External"/><Relationship Id="rId19" Type="http://schemas.openxmlformats.org/officeDocument/2006/relationships/hyperlink" Target="http://www.tga.gov.au/ws-labs-index" TargetMode="External"/><Relationship Id="rId31" Type="http://schemas.openxmlformats.org/officeDocument/2006/relationships/image" Target="media/image11.png"/><Relationship Id="rId44" Type="http://schemas.openxmlformats.org/officeDocument/2006/relationships/hyperlink" Target="https://www.tga.gov.au/picmi-search-facility" TargetMode="External"/><Relationship Id="rId52" Type="http://schemas.openxmlformats.org/officeDocument/2006/relationships/header" Target="header7.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www.tga.gov.au/industry/pm-argpm-guidance-7.htm" TargetMode="External"/><Relationship Id="rId48" Type="http://schemas.openxmlformats.org/officeDocument/2006/relationships/footer" Target="footer2.xm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eader" Target="header6.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4E65842D469A429474DC408262B134" ma:contentTypeVersion="15" ma:contentTypeDescription="Create a new document." ma:contentTypeScope="" ma:versionID="f37d6bfa5a7a808b5c0073e2c8af912e">
  <xsd:schema xmlns:xsd="http://www.w3.org/2001/XMLSchema" xmlns:xs="http://www.w3.org/2001/XMLSchema" xmlns:p="http://schemas.microsoft.com/office/2006/metadata/properties" xmlns:ns2="89b15a63-38c8-4eea-9abd-342bc08182bf" xmlns:ns3="3e1aaea5-0fcd-4400-8b2f-fe3903c1dab1" targetNamespace="http://schemas.microsoft.com/office/2006/metadata/properties" ma:root="true" ma:fieldsID="9990133d2252aaccbfe47b4ee7d4feaf" ns2:_="" ns3:_="">
    <xsd:import namespace="89b15a63-38c8-4eea-9abd-342bc08182bf"/>
    <xsd:import namespace="3e1aaea5-0fcd-4400-8b2f-fe3903c1da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b15a63-38c8-4eea-9abd-342bc08182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c818f4d-29cc-4a72-a7a1-3a190602c7b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1aaea5-0fcd-4400-8b2f-fe3903c1dab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19b6165-a65b-4eb2-83da-5065cba7965c}" ma:internalName="TaxCatchAll" ma:showField="CatchAllData" ma:web="3e1aaea5-0fcd-4400-8b2f-fe3903c1d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0AFF73-F98E-44A6-993C-AF8773B1D6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b15a63-38c8-4eea-9abd-342bc08182bf"/>
    <ds:schemaRef ds:uri="3e1aaea5-0fcd-4400-8b2f-fe3903c1d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4EBE5A-E7E0-4389-B0FD-632B326B6182}">
  <ds:schemaRefs>
    <ds:schemaRef ds:uri="http://schemas.openxmlformats.org/officeDocument/2006/bibliography"/>
  </ds:schemaRefs>
</ds:datastoreItem>
</file>

<file path=customXml/itemProps3.xml><?xml version="1.0" encoding="utf-8"?>
<ds:datastoreItem xmlns:ds="http://schemas.openxmlformats.org/officeDocument/2006/customXml" ds:itemID="{D31C8A81-A949-4215-A35D-DEB2F90907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40</Pages>
  <Words>10915</Words>
  <Characters>62222</Characters>
  <Application>Microsoft Office Word</Application>
  <DocSecurity>0</DocSecurity>
  <Lines>518</Lines>
  <Paragraphs>145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Australian public assessment report for</vt:lpstr>
      <vt:lpstr>Australian public assessment report for</vt:lpstr>
    </vt:vector>
  </TitlesOfParts>
  <Company>Department of Health and Aged Care</Company>
  <LinksUpToDate>false</LinksUpToDate>
  <CharactersWithSpaces>72992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Yuflyma</dc:title>
  <dc:subject>prescription medicine regulation</dc:subject>
  <dc:creator>Therapeutic Goods Administration</dc:creator>
  <cp:keywords/>
  <cp:lastModifiedBy>PITKIN, Brendan</cp:lastModifiedBy>
  <cp:revision>20</cp:revision>
  <cp:lastPrinted>2019-08-14T04:30:00Z</cp:lastPrinted>
  <dcterms:created xsi:type="dcterms:W3CDTF">2022-10-11T23:13:00Z</dcterms:created>
  <dcterms:modified xsi:type="dcterms:W3CDTF">2022-11-08T00:44:00Z</dcterms:modified>
  <cp:category/>
</cp:coreProperties>
</file>