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73CC5" w14:textId="77777777" w:rsidR="009A2C9F" w:rsidRDefault="009A2C9F"/>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00A0D06" w14:textId="77777777" w:rsidTr="00BF1190">
        <w:trPr>
          <w:trHeight w:val="1863"/>
        </w:trPr>
        <w:tc>
          <w:tcPr>
            <w:tcW w:w="3652" w:type="dxa"/>
            <w:tcBorders>
              <w:top w:val="nil"/>
              <w:left w:val="nil"/>
              <w:bottom w:val="nil"/>
              <w:right w:val="nil"/>
            </w:tcBorders>
          </w:tcPr>
          <w:p w14:paraId="586EDC66" w14:textId="63C346C4" w:rsidR="008E7846" w:rsidRPr="00096AA7" w:rsidRDefault="00C25763" w:rsidP="00F931CE">
            <w:pPr>
              <w:pStyle w:val="Date"/>
              <w:framePr w:hSpace="0" w:wrap="auto" w:vAnchor="margin" w:hAnchor="text" w:yAlign="inline"/>
              <w:suppressOverlap w:val="0"/>
            </w:pPr>
            <w:r>
              <w:t xml:space="preserve">October </w:t>
            </w:r>
            <w:r w:rsidR="008F510B">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D6BC49F" w14:textId="77777777" w:rsidTr="0032583B">
        <w:trPr>
          <w:trHeight w:val="868"/>
        </w:trPr>
        <w:tc>
          <w:tcPr>
            <w:tcW w:w="9079" w:type="dxa"/>
          </w:tcPr>
          <w:p w14:paraId="0CA26790" w14:textId="387D6E25" w:rsidR="0032583B" w:rsidRPr="00A964D1" w:rsidRDefault="0032583B" w:rsidP="00F931CE">
            <w:pPr>
              <w:pStyle w:val="Title"/>
              <w:framePr w:hSpace="0" w:wrap="auto" w:vAnchor="margin" w:yAlign="inline"/>
            </w:pPr>
            <w:r w:rsidRPr="00A964D1">
              <w:t>Australian Public Assessment Report for</w:t>
            </w:r>
            <w:r w:rsidR="00AF2313">
              <w:t xml:space="preserve"> </w:t>
            </w:r>
            <w:proofErr w:type="spellStart"/>
            <w:r w:rsidR="008F510B" w:rsidRPr="008F510B">
              <w:t>Xpovio</w:t>
            </w:r>
            <w:proofErr w:type="spellEnd"/>
          </w:p>
        </w:tc>
      </w:tr>
      <w:tr w:rsidR="0032583B" w:rsidRPr="00B64760" w14:paraId="7E8F8173" w14:textId="77777777" w:rsidTr="0032583B">
        <w:tc>
          <w:tcPr>
            <w:tcW w:w="9079" w:type="dxa"/>
          </w:tcPr>
          <w:p w14:paraId="3A62E247" w14:textId="3617B446" w:rsidR="0032583B" w:rsidRPr="008E7846" w:rsidRDefault="00BB75D6" w:rsidP="00F931CE">
            <w:pPr>
              <w:pStyle w:val="Subtitle"/>
              <w:framePr w:hSpace="0" w:wrap="auto" w:vAnchor="margin" w:yAlign="inline"/>
            </w:pPr>
            <w:r>
              <w:t>Active ingredients</w:t>
            </w:r>
            <w:r w:rsidR="0032583B" w:rsidRPr="008E7846">
              <w:t xml:space="preserve">: </w:t>
            </w:r>
            <w:r w:rsidR="009A577D">
              <w:t>S</w:t>
            </w:r>
            <w:r w:rsidR="008F510B" w:rsidRPr="008F510B">
              <w:t>elinexor</w:t>
            </w:r>
          </w:p>
        </w:tc>
      </w:tr>
      <w:tr w:rsidR="0032583B" w:rsidRPr="00B64760" w14:paraId="01F8C596" w14:textId="77777777" w:rsidTr="0032583B">
        <w:trPr>
          <w:trHeight w:val="486"/>
        </w:trPr>
        <w:tc>
          <w:tcPr>
            <w:tcW w:w="9079" w:type="dxa"/>
          </w:tcPr>
          <w:p w14:paraId="626619CD" w14:textId="1C60F4CA" w:rsidR="008F510B" w:rsidRPr="008F510B" w:rsidRDefault="00460036" w:rsidP="008F510B">
            <w:pPr>
              <w:pStyle w:val="Subtitle"/>
              <w:framePr w:hSpace="0" w:wrap="auto" w:vAnchor="margin" w:yAlign="inline"/>
            </w:pPr>
            <w:r>
              <w:t>Sponsor:</w:t>
            </w:r>
            <w:r w:rsidR="008F510B">
              <w:t xml:space="preserve"> </w:t>
            </w:r>
            <w:proofErr w:type="spellStart"/>
            <w:r w:rsidR="008F510B" w:rsidRPr="008F510B">
              <w:t>Antengene</w:t>
            </w:r>
            <w:proofErr w:type="spellEnd"/>
            <w:r w:rsidR="008F510B" w:rsidRPr="008F510B">
              <w:t xml:space="preserve"> (</w:t>
            </w:r>
            <w:proofErr w:type="spellStart"/>
            <w:r w:rsidR="008F510B" w:rsidRPr="008F510B">
              <w:t>Aus</w:t>
            </w:r>
            <w:proofErr w:type="spellEnd"/>
            <w:r w:rsidR="008F510B" w:rsidRPr="008F510B">
              <w:t>) Pty Ltd</w:t>
            </w:r>
          </w:p>
        </w:tc>
      </w:tr>
    </w:tbl>
    <w:p w14:paraId="3FC0C57D" w14:textId="77777777" w:rsidR="008E7846" w:rsidRPr="0085156D" w:rsidRDefault="008E7846" w:rsidP="0085156D">
      <w:r w:rsidRPr="0085156D">
        <w:br w:type="page"/>
      </w:r>
    </w:p>
    <w:p w14:paraId="61651684" w14:textId="77777777" w:rsidR="008E7846" w:rsidRPr="001F6CBA" w:rsidRDefault="008E7846" w:rsidP="008E7846">
      <w:pPr>
        <w:pStyle w:val="NonTOCHeading2"/>
      </w:pPr>
      <w:r w:rsidRPr="001F6CBA">
        <w:lastRenderedPageBreak/>
        <w:t>About the Therapeutic Goods Administration (TGA)</w:t>
      </w:r>
    </w:p>
    <w:p w14:paraId="7E1DA914"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52EC7061"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53A02CDA"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42E58B73"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7B2395F6" w14:textId="5971026A"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8" w:history="1">
        <w:r w:rsidRPr="000F15B4">
          <w:rPr>
            <w:rStyle w:val="Hyperlink"/>
          </w:rPr>
          <w:t>TGA website</w:t>
        </w:r>
      </w:hyperlink>
      <w:r w:rsidRPr="003C6D1F">
        <w:t>.</w:t>
      </w:r>
    </w:p>
    <w:p w14:paraId="1F3D00BF" w14:textId="77777777" w:rsidR="008E7846" w:rsidRDefault="008E7846" w:rsidP="00875A6B">
      <w:pPr>
        <w:pStyle w:val="NonTOCHeading2"/>
      </w:pPr>
      <w:r>
        <w:t xml:space="preserve">About </w:t>
      </w:r>
      <w:proofErr w:type="spellStart"/>
      <w:r>
        <w:t>AusPARs</w:t>
      </w:r>
      <w:proofErr w:type="spellEnd"/>
    </w:p>
    <w:p w14:paraId="025254F7" w14:textId="5F768E1A" w:rsidR="00AF2313" w:rsidRPr="003C6D1F" w:rsidRDefault="00AF2313" w:rsidP="00AF2313">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9"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B923656"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233B5A56"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w:t>
      </w:r>
      <w:proofErr w:type="spellStart"/>
      <w:r w:rsidR="008110BC">
        <w:t>AusPAR</w:t>
      </w:r>
      <w:proofErr w:type="spellEnd"/>
      <w:r w:rsidR="008110BC">
        <w:t xml:space="preserve"> is an important part of the transparency of the TGA’s decision-making process.</w:t>
      </w:r>
    </w:p>
    <w:p w14:paraId="37055E99" w14:textId="77777777" w:rsidR="00AF2313" w:rsidRPr="003C6D1F" w:rsidRDefault="00AF2313" w:rsidP="00AF2313">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640AE6C0" w14:textId="77777777" w:rsidR="00924482" w:rsidRPr="00DF1D7F" w:rsidRDefault="00924482" w:rsidP="00F54B65">
      <w:pPr>
        <w:pStyle w:val="LegalSubheading"/>
        <w:spacing w:before="3120"/>
      </w:pPr>
      <w:r w:rsidRPr="00DF1D7F">
        <w:t>Copyright</w:t>
      </w:r>
    </w:p>
    <w:p w14:paraId="1143456B" w14:textId="62365402"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AF2313">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5CCAE266"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6E5C5CA9" w14:textId="77777777" w:rsidR="0089635C" w:rsidRPr="0089635C" w:rsidRDefault="0089635C" w:rsidP="0010788A">
          <w:pPr>
            <w:pStyle w:val="Contents"/>
          </w:pPr>
          <w:r w:rsidRPr="0010788A">
            <w:t>Contents</w:t>
          </w:r>
        </w:p>
        <w:p w14:paraId="2916FE78" w14:textId="5A364BEC" w:rsidR="006737A0"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19396504" w:history="1">
            <w:r w:rsidR="006737A0" w:rsidRPr="00A92F8A">
              <w:rPr>
                <w:rStyle w:val="Hyperlink"/>
                <w:noProof/>
              </w:rPr>
              <w:t>List of abbreviations</w:t>
            </w:r>
            <w:r w:rsidR="006737A0">
              <w:rPr>
                <w:noProof/>
                <w:webHidden/>
              </w:rPr>
              <w:tab/>
            </w:r>
            <w:r w:rsidR="006737A0">
              <w:rPr>
                <w:noProof/>
                <w:webHidden/>
              </w:rPr>
              <w:fldChar w:fldCharType="begin"/>
            </w:r>
            <w:r w:rsidR="006737A0">
              <w:rPr>
                <w:noProof/>
                <w:webHidden/>
              </w:rPr>
              <w:instrText xml:space="preserve"> PAGEREF _Toc119396504 \h </w:instrText>
            </w:r>
            <w:r w:rsidR="006737A0">
              <w:rPr>
                <w:noProof/>
                <w:webHidden/>
              </w:rPr>
            </w:r>
            <w:r w:rsidR="006737A0">
              <w:rPr>
                <w:noProof/>
                <w:webHidden/>
              </w:rPr>
              <w:fldChar w:fldCharType="separate"/>
            </w:r>
            <w:r w:rsidR="006737A0">
              <w:rPr>
                <w:noProof/>
                <w:webHidden/>
              </w:rPr>
              <w:t>4</w:t>
            </w:r>
            <w:r w:rsidR="006737A0">
              <w:rPr>
                <w:noProof/>
                <w:webHidden/>
              </w:rPr>
              <w:fldChar w:fldCharType="end"/>
            </w:r>
          </w:hyperlink>
        </w:p>
        <w:p w14:paraId="722D0E78" w14:textId="38E8BE3E" w:rsidR="006737A0" w:rsidRDefault="006737A0">
          <w:pPr>
            <w:pStyle w:val="TOC1"/>
            <w:rPr>
              <w:rFonts w:asciiTheme="minorHAnsi" w:eastAsiaTheme="minorEastAsia" w:hAnsiTheme="minorHAnsi" w:cstheme="minorBidi"/>
              <w:b w:val="0"/>
              <w:noProof/>
              <w:sz w:val="22"/>
              <w:lang w:eastAsia="en-AU"/>
            </w:rPr>
          </w:pPr>
          <w:hyperlink w:anchor="_Toc119396505" w:history="1">
            <w:r w:rsidRPr="00A92F8A">
              <w:rPr>
                <w:rStyle w:val="Hyperlink"/>
                <w:noProof/>
              </w:rPr>
              <w:t>Product submission</w:t>
            </w:r>
            <w:r>
              <w:rPr>
                <w:noProof/>
                <w:webHidden/>
              </w:rPr>
              <w:tab/>
            </w:r>
            <w:r>
              <w:rPr>
                <w:noProof/>
                <w:webHidden/>
              </w:rPr>
              <w:fldChar w:fldCharType="begin"/>
            </w:r>
            <w:r>
              <w:rPr>
                <w:noProof/>
                <w:webHidden/>
              </w:rPr>
              <w:instrText xml:space="preserve"> PAGEREF _Toc119396505 \h </w:instrText>
            </w:r>
            <w:r>
              <w:rPr>
                <w:noProof/>
                <w:webHidden/>
              </w:rPr>
            </w:r>
            <w:r>
              <w:rPr>
                <w:noProof/>
                <w:webHidden/>
              </w:rPr>
              <w:fldChar w:fldCharType="separate"/>
            </w:r>
            <w:r>
              <w:rPr>
                <w:noProof/>
                <w:webHidden/>
              </w:rPr>
              <w:t>7</w:t>
            </w:r>
            <w:r>
              <w:rPr>
                <w:noProof/>
                <w:webHidden/>
              </w:rPr>
              <w:fldChar w:fldCharType="end"/>
            </w:r>
          </w:hyperlink>
        </w:p>
        <w:p w14:paraId="4590F95F" w14:textId="4B8C9937" w:rsidR="006737A0" w:rsidRDefault="006737A0">
          <w:pPr>
            <w:pStyle w:val="TOC2"/>
            <w:rPr>
              <w:rFonts w:asciiTheme="minorHAnsi" w:eastAsiaTheme="minorEastAsia" w:hAnsiTheme="minorHAnsi" w:cstheme="minorBidi"/>
              <w:b w:val="0"/>
              <w:noProof/>
              <w:sz w:val="22"/>
              <w:lang w:eastAsia="en-AU"/>
            </w:rPr>
          </w:pPr>
          <w:hyperlink w:anchor="_Toc119396506" w:history="1">
            <w:r w:rsidRPr="00A92F8A">
              <w:rPr>
                <w:rStyle w:val="Hyperlink"/>
                <w:noProof/>
                <w:lang w:eastAsia="en-AU"/>
              </w:rPr>
              <w:t>Submission details</w:t>
            </w:r>
            <w:r>
              <w:rPr>
                <w:noProof/>
                <w:webHidden/>
              </w:rPr>
              <w:tab/>
            </w:r>
            <w:r>
              <w:rPr>
                <w:noProof/>
                <w:webHidden/>
              </w:rPr>
              <w:fldChar w:fldCharType="begin"/>
            </w:r>
            <w:r>
              <w:rPr>
                <w:noProof/>
                <w:webHidden/>
              </w:rPr>
              <w:instrText xml:space="preserve"> PAGEREF _Toc119396506 \h </w:instrText>
            </w:r>
            <w:r>
              <w:rPr>
                <w:noProof/>
                <w:webHidden/>
              </w:rPr>
            </w:r>
            <w:r>
              <w:rPr>
                <w:noProof/>
                <w:webHidden/>
              </w:rPr>
              <w:fldChar w:fldCharType="separate"/>
            </w:r>
            <w:r>
              <w:rPr>
                <w:noProof/>
                <w:webHidden/>
              </w:rPr>
              <w:t>7</w:t>
            </w:r>
            <w:r>
              <w:rPr>
                <w:noProof/>
                <w:webHidden/>
              </w:rPr>
              <w:fldChar w:fldCharType="end"/>
            </w:r>
          </w:hyperlink>
        </w:p>
        <w:p w14:paraId="65BB7B04" w14:textId="1169A2D7" w:rsidR="006737A0" w:rsidRDefault="006737A0">
          <w:pPr>
            <w:pStyle w:val="TOC2"/>
            <w:rPr>
              <w:rFonts w:asciiTheme="minorHAnsi" w:eastAsiaTheme="minorEastAsia" w:hAnsiTheme="minorHAnsi" w:cstheme="minorBidi"/>
              <w:b w:val="0"/>
              <w:noProof/>
              <w:sz w:val="22"/>
              <w:lang w:eastAsia="en-AU"/>
            </w:rPr>
          </w:pPr>
          <w:hyperlink w:anchor="_Toc119396507" w:history="1">
            <w:r w:rsidRPr="00A92F8A">
              <w:rPr>
                <w:rStyle w:val="Hyperlink"/>
                <w:noProof/>
              </w:rPr>
              <w:t>Product background</w:t>
            </w:r>
            <w:r>
              <w:rPr>
                <w:noProof/>
                <w:webHidden/>
              </w:rPr>
              <w:tab/>
            </w:r>
            <w:r>
              <w:rPr>
                <w:noProof/>
                <w:webHidden/>
              </w:rPr>
              <w:fldChar w:fldCharType="begin"/>
            </w:r>
            <w:r>
              <w:rPr>
                <w:noProof/>
                <w:webHidden/>
              </w:rPr>
              <w:instrText xml:space="preserve"> PAGEREF _Toc119396507 \h </w:instrText>
            </w:r>
            <w:r>
              <w:rPr>
                <w:noProof/>
                <w:webHidden/>
              </w:rPr>
            </w:r>
            <w:r>
              <w:rPr>
                <w:noProof/>
                <w:webHidden/>
              </w:rPr>
              <w:fldChar w:fldCharType="separate"/>
            </w:r>
            <w:r>
              <w:rPr>
                <w:noProof/>
                <w:webHidden/>
              </w:rPr>
              <w:t>9</w:t>
            </w:r>
            <w:r>
              <w:rPr>
                <w:noProof/>
                <w:webHidden/>
              </w:rPr>
              <w:fldChar w:fldCharType="end"/>
            </w:r>
          </w:hyperlink>
        </w:p>
        <w:p w14:paraId="646B298F" w14:textId="7F724C08" w:rsidR="006737A0" w:rsidRDefault="006737A0">
          <w:pPr>
            <w:pStyle w:val="TOC2"/>
            <w:rPr>
              <w:rFonts w:asciiTheme="minorHAnsi" w:eastAsiaTheme="minorEastAsia" w:hAnsiTheme="minorHAnsi" w:cstheme="minorBidi"/>
              <w:b w:val="0"/>
              <w:noProof/>
              <w:sz w:val="22"/>
              <w:lang w:eastAsia="en-AU"/>
            </w:rPr>
          </w:pPr>
          <w:hyperlink w:anchor="_Toc119396508" w:history="1">
            <w:r w:rsidRPr="00A92F8A">
              <w:rPr>
                <w:rStyle w:val="Hyperlink"/>
                <w:noProof/>
              </w:rPr>
              <w:t>Regulatory status</w:t>
            </w:r>
            <w:r>
              <w:rPr>
                <w:noProof/>
                <w:webHidden/>
              </w:rPr>
              <w:tab/>
            </w:r>
            <w:r>
              <w:rPr>
                <w:noProof/>
                <w:webHidden/>
              </w:rPr>
              <w:fldChar w:fldCharType="begin"/>
            </w:r>
            <w:r>
              <w:rPr>
                <w:noProof/>
                <w:webHidden/>
              </w:rPr>
              <w:instrText xml:space="preserve"> PAGEREF _Toc119396508 \h </w:instrText>
            </w:r>
            <w:r>
              <w:rPr>
                <w:noProof/>
                <w:webHidden/>
              </w:rPr>
            </w:r>
            <w:r>
              <w:rPr>
                <w:noProof/>
                <w:webHidden/>
              </w:rPr>
              <w:fldChar w:fldCharType="separate"/>
            </w:r>
            <w:r>
              <w:rPr>
                <w:noProof/>
                <w:webHidden/>
              </w:rPr>
              <w:t>11</w:t>
            </w:r>
            <w:r>
              <w:rPr>
                <w:noProof/>
                <w:webHidden/>
              </w:rPr>
              <w:fldChar w:fldCharType="end"/>
            </w:r>
          </w:hyperlink>
        </w:p>
        <w:p w14:paraId="7E263C5F" w14:textId="4F9EF04A" w:rsidR="006737A0" w:rsidRDefault="006737A0">
          <w:pPr>
            <w:pStyle w:val="TOC2"/>
            <w:rPr>
              <w:rFonts w:asciiTheme="minorHAnsi" w:eastAsiaTheme="minorEastAsia" w:hAnsiTheme="minorHAnsi" w:cstheme="minorBidi"/>
              <w:b w:val="0"/>
              <w:noProof/>
              <w:sz w:val="22"/>
              <w:lang w:eastAsia="en-AU"/>
            </w:rPr>
          </w:pPr>
          <w:hyperlink w:anchor="_Toc119396509" w:history="1">
            <w:r w:rsidRPr="00A92F8A">
              <w:rPr>
                <w:rStyle w:val="Hyperlink"/>
                <w:noProof/>
              </w:rPr>
              <w:t>Product Information</w:t>
            </w:r>
            <w:r>
              <w:rPr>
                <w:noProof/>
                <w:webHidden/>
              </w:rPr>
              <w:tab/>
            </w:r>
            <w:r>
              <w:rPr>
                <w:noProof/>
                <w:webHidden/>
              </w:rPr>
              <w:fldChar w:fldCharType="begin"/>
            </w:r>
            <w:r>
              <w:rPr>
                <w:noProof/>
                <w:webHidden/>
              </w:rPr>
              <w:instrText xml:space="preserve"> PAGEREF _Toc119396509 \h </w:instrText>
            </w:r>
            <w:r>
              <w:rPr>
                <w:noProof/>
                <w:webHidden/>
              </w:rPr>
            </w:r>
            <w:r>
              <w:rPr>
                <w:noProof/>
                <w:webHidden/>
              </w:rPr>
              <w:fldChar w:fldCharType="separate"/>
            </w:r>
            <w:r>
              <w:rPr>
                <w:noProof/>
                <w:webHidden/>
              </w:rPr>
              <w:t>12</w:t>
            </w:r>
            <w:r>
              <w:rPr>
                <w:noProof/>
                <w:webHidden/>
              </w:rPr>
              <w:fldChar w:fldCharType="end"/>
            </w:r>
          </w:hyperlink>
        </w:p>
        <w:p w14:paraId="1BE6F828" w14:textId="3E6DB14F" w:rsidR="006737A0" w:rsidRDefault="006737A0">
          <w:pPr>
            <w:pStyle w:val="TOC1"/>
            <w:rPr>
              <w:rFonts w:asciiTheme="minorHAnsi" w:eastAsiaTheme="minorEastAsia" w:hAnsiTheme="minorHAnsi" w:cstheme="minorBidi"/>
              <w:b w:val="0"/>
              <w:noProof/>
              <w:sz w:val="22"/>
              <w:lang w:eastAsia="en-AU"/>
            </w:rPr>
          </w:pPr>
          <w:hyperlink w:anchor="_Toc119396510" w:history="1">
            <w:r w:rsidRPr="00A92F8A">
              <w:rPr>
                <w:rStyle w:val="Hyperlink"/>
                <w:noProof/>
              </w:rPr>
              <w:t>Registration timeline</w:t>
            </w:r>
            <w:r>
              <w:rPr>
                <w:noProof/>
                <w:webHidden/>
              </w:rPr>
              <w:tab/>
            </w:r>
            <w:r>
              <w:rPr>
                <w:noProof/>
                <w:webHidden/>
              </w:rPr>
              <w:fldChar w:fldCharType="begin"/>
            </w:r>
            <w:r>
              <w:rPr>
                <w:noProof/>
                <w:webHidden/>
              </w:rPr>
              <w:instrText xml:space="preserve"> PAGEREF _Toc119396510 \h </w:instrText>
            </w:r>
            <w:r>
              <w:rPr>
                <w:noProof/>
                <w:webHidden/>
              </w:rPr>
            </w:r>
            <w:r>
              <w:rPr>
                <w:noProof/>
                <w:webHidden/>
              </w:rPr>
              <w:fldChar w:fldCharType="separate"/>
            </w:r>
            <w:r>
              <w:rPr>
                <w:noProof/>
                <w:webHidden/>
              </w:rPr>
              <w:t>13</w:t>
            </w:r>
            <w:r>
              <w:rPr>
                <w:noProof/>
                <w:webHidden/>
              </w:rPr>
              <w:fldChar w:fldCharType="end"/>
            </w:r>
          </w:hyperlink>
        </w:p>
        <w:p w14:paraId="06CAE2E3" w14:textId="47037971" w:rsidR="006737A0" w:rsidRDefault="006737A0">
          <w:pPr>
            <w:pStyle w:val="TOC1"/>
            <w:rPr>
              <w:rFonts w:asciiTheme="minorHAnsi" w:eastAsiaTheme="minorEastAsia" w:hAnsiTheme="minorHAnsi" w:cstheme="minorBidi"/>
              <w:b w:val="0"/>
              <w:noProof/>
              <w:sz w:val="22"/>
              <w:lang w:eastAsia="en-AU"/>
            </w:rPr>
          </w:pPr>
          <w:hyperlink w:anchor="_Toc119396511" w:history="1">
            <w:r w:rsidRPr="00A92F8A">
              <w:rPr>
                <w:rStyle w:val="Hyperlink"/>
                <w:noProof/>
              </w:rPr>
              <w:t>Submission overview and risk/benefit assessment</w:t>
            </w:r>
            <w:r>
              <w:rPr>
                <w:noProof/>
                <w:webHidden/>
              </w:rPr>
              <w:tab/>
            </w:r>
            <w:r>
              <w:rPr>
                <w:noProof/>
                <w:webHidden/>
              </w:rPr>
              <w:fldChar w:fldCharType="begin"/>
            </w:r>
            <w:r>
              <w:rPr>
                <w:noProof/>
                <w:webHidden/>
              </w:rPr>
              <w:instrText xml:space="preserve"> PAGEREF _Toc119396511 \h </w:instrText>
            </w:r>
            <w:r>
              <w:rPr>
                <w:noProof/>
                <w:webHidden/>
              </w:rPr>
            </w:r>
            <w:r>
              <w:rPr>
                <w:noProof/>
                <w:webHidden/>
              </w:rPr>
              <w:fldChar w:fldCharType="separate"/>
            </w:r>
            <w:r>
              <w:rPr>
                <w:noProof/>
                <w:webHidden/>
              </w:rPr>
              <w:t>13</w:t>
            </w:r>
            <w:r>
              <w:rPr>
                <w:noProof/>
                <w:webHidden/>
              </w:rPr>
              <w:fldChar w:fldCharType="end"/>
            </w:r>
          </w:hyperlink>
        </w:p>
        <w:p w14:paraId="306ED577" w14:textId="3F8BE2B2" w:rsidR="006737A0" w:rsidRDefault="006737A0">
          <w:pPr>
            <w:pStyle w:val="TOC2"/>
            <w:rPr>
              <w:rFonts w:asciiTheme="minorHAnsi" w:eastAsiaTheme="minorEastAsia" w:hAnsiTheme="minorHAnsi" w:cstheme="minorBidi"/>
              <w:b w:val="0"/>
              <w:noProof/>
              <w:sz w:val="22"/>
              <w:lang w:eastAsia="en-AU"/>
            </w:rPr>
          </w:pPr>
          <w:hyperlink w:anchor="_Toc119396512" w:history="1">
            <w:r w:rsidRPr="00A92F8A">
              <w:rPr>
                <w:rStyle w:val="Hyperlink"/>
                <w:noProof/>
              </w:rPr>
              <w:t>Quality</w:t>
            </w:r>
            <w:r>
              <w:rPr>
                <w:noProof/>
                <w:webHidden/>
              </w:rPr>
              <w:tab/>
            </w:r>
            <w:r>
              <w:rPr>
                <w:noProof/>
                <w:webHidden/>
              </w:rPr>
              <w:fldChar w:fldCharType="begin"/>
            </w:r>
            <w:r>
              <w:rPr>
                <w:noProof/>
                <w:webHidden/>
              </w:rPr>
              <w:instrText xml:space="preserve"> PAGEREF _Toc119396512 \h </w:instrText>
            </w:r>
            <w:r>
              <w:rPr>
                <w:noProof/>
                <w:webHidden/>
              </w:rPr>
            </w:r>
            <w:r>
              <w:rPr>
                <w:noProof/>
                <w:webHidden/>
              </w:rPr>
              <w:fldChar w:fldCharType="separate"/>
            </w:r>
            <w:r>
              <w:rPr>
                <w:noProof/>
                <w:webHidden/>
              </w:rPr>
              <w:t>14</w:t>
            </w:r>
            <w:r>
              <w:rPr>
                <w:noProof/>
                <w:webHidden/>
              </w:rPr>
              <w:fldChar w:fldCharType="end"/>
            </w:r>
          </w:hyperlink>
        </w:p>
        <w:p w14:paraId="26FFF625" w14:textId="4AA65B3E" w:rsidR="006737A0" w:rsidRDefault="006737A0">
          <w:pPr>
            <w:pStyle w:val="TOC2"/>
            <w:rPr>
              <w:rFonts w:asciiTheme="minorHAnsi" w:eastAsiaTheme="minorEastAsia" w:hAnsiTheme="minorHAnsi" w:cstheme="minorBidi"/>
              <w:b w:val="0"/>
              <w:noProof/>
              <w:sz w:val="22"/>
              <w:lang w:eastAsia="en-AU"/>
            </w:rPr>
          </w:pPr>
          <w:hyperlink w:anchor="_Toc119396513" w:history="1">
            <w:r w:rsidRPr="00A92F8A">
              <w:rPr>
                <w:rStyle w:val="Hyperlink"/>
                <w:noProof/>
              </w:rPr>
              <w:t>Nonclinical</w:t>
            </w:r>
            <w:r>
              <w:rPr>
                <w:noProof/>
                <w:webHidden/>
              </w:rPr>
              <w:tab/>
            </w:r>
            <w:r>
              <w:rPr>
                <w:noProof/>
                <w:webHidden/>
              </w:rPr>
              <w:fldChar w:fldCharType="begin"/>
            </w:r>
            <w:r>
              <w:rPr>
                <w:noProof/>
                <w:webHidden/>
              </w:rPr>
              <w:instrText xml:space="preserve"> PAGEREF _Toc119396513 \h </w:instrText>
            </w:r>
            <w:r>
              <w:rPr>
                <w:noProof/>
                <w:webHidden/>
              </w:rPr>
            </w:r>
            <w:r>
              <w:rPr>
                <w:noProof/>
                <w:webHidden/>
              </w:rPr>
              <w:fldChar w:fldCharType="separate"/>
            </w:r>
            <w:r>
              <w:rPr>
                <w:noProof/>
                <w:webHidden/>
              </w:rPr>
              <w:t>15</w:t>
            </w:r>
            <w:r>
              <w:rPr>
                <w:noProof/>
                <w:webHidden/>
              </w:rPr>
              <w:fldChar w:fldCharType="end"/>
            </w:r>
          </w:hyperlink>
        </w:p>
        <w:p w14:paraId="4492C0F5" w14:textId="25360E88" w:rsidR="006737A0" w:rsidRDefault="006737A0">
          <w:pPr>
            <w:pStyle w:val="TOC2"/>
            <w:rPr>
              <w:rFonts w:asciiTheme="minorHAnsi" w:eastAsiaTheme="minorEastAsia" w:hAnsiTheme="minorHAnsi" w:cstheme="minorBidi"/>
              <w:b w:val="0"/>
              <w:noProof/>
              <w:sz w:val="22"/>
              <w:lang w:eastAsia="en-AU"/>
            </w:rPr>
          </w:pPr>
          <w:hyperlink w:anchor="_Toc119396514" w:history="1">
            <w:r w:rsidRPr="00A92F8A">
              <w:rPr>
                <w:rStyle w:val="Hyperlink"/>
                <w:noProof/>
              </w:rPr>
              <w:t>Clinical</w:t>
            </w:r>
            <w:r>
              <w:rPr>
                <w:noProof/>
                <w:webHidden/>
              </w:rPr>
              <w:tab/>
            </w:r>
            <w:r>
              <w:rPr>
                <w:noProof/>
                <w:webHidden/>
              </w:rPr>
              <w:fldChar w:fldCharType="begin"/>
            </w:r>
            <w:r>
              <w:rPr>
                <w:noProof/>
                <w:webHidden/>
              </w:rPr>
              <w:instrText xml:space="preserve"> PAGEREF _Toc119396514 \h </w:instrText>
            </w:r>
            <w:r>
              <w:rPr>
                <w:noProof/>
                <w:webHidden/>
              </w:rPr>
            </w:r>
            <w:r>
              <w:rPr>
                <w:noProof/>
                <w:webHidden/>
              </w:rPr>
              <w:fldChar w:fldCharType="separate"/>
            </w:r>
            <w:r>
              <w:rPr>
                <w:noProof/>
                <w:webHidden/>
              </w:rPr>
              <w:t>16</w:t>
            </w:r>
            <w:r>
              <w:rPr>
                <w:noProof/>
                <w:webHidden/>
              </w:rPr>
              <w:fldChar w:fldCharType="end"/>
            </w:r>
          </w:hyperlink>
        </w:p>
        <w:p w14:paraId="4D0156D6" w14:textId="0E25A133" w:rsidR="006737A0" w:rsidRDefault="006737A0">
          <w:pPr>
            <w:pStyle w:val="TOC2"/>
            <w:rPr>
              <w:rFonts w:asciiTheme="minorHAnsi" w:eastAsiaTheme="minorEastAsia" w:hAnsiTheme="minorHAnsi" w:cstheme="minorBidi"/>
              <w:b w:val="0"/>
              <w:noProof/>
              <w:sz w:val="22"/>
              <w:lang w:eastAsia="en-AU"/>
            </w:rPr>
          </w:pPr>
          <w:hyperlink w:anchor="_Toc119396515" w:history="1">
            <w:r w:rsidRPr="00A92F8A">
              <w:rPr>
                <w:rStyle w:val="Hyperlink"/>
                <w:noProof/>
                <w:lang w:eastAsia="en-AU"/>
              </w:rPr>
              <w:t>Risk management plan</w:t>
            </w:r>
            <w:r>
              <w:rPr>
                <w:noProof/>
                <w:webHidden/>
              </w:rPr>
              <w:tab/>
            </w:r>
            <w:r>
              <w:rPr>
                <w:noProof/>
                <w:webHidden/>
              </w:rPr>
              <w:fldChar w:fldCharType="begin"/>
            </w:r>
            <w:r>
              <w:rPr>
                <w:noProof/>
                <w:webHidden/>
              </w:rPr>
              <w:instrText xml:space="preserve"> PAGEREF _Toc119396515 \h </w:instrText>
            </w:r>
            <w:r>
              <w:rPr>
                <w:noProof/>
                <w:webHidden/>
              </w:rPr>
            </w:r>
            <w:r>
              <w:rPr>
                <w:noProof/>
                <w:webHidden/>
              </w:rPr>
              <w:fldChar w:fldCharType="separate"/>
            </w:r>
            <w:r>
              <w:rPr>
                <w:noProof/>
                <w:webHidden/>
              </w:rPr>
              <w:t>58</w:t>
            </w:r>
            <w:r>
              <w:rPr>
                <w:noProof/>
                <w:webHidden/>
              </w:rPr>
              <w:fldChar w:fldCharType="end"/>
            </w:r>
          </w:hyperlink>
        </w:p>
        <w:p w14:paraId="476D35CB" w14:textId="6552A782" w:rsidR="006737A0" w:rsidRDefault="006737A0">
          <w:pPr>
            <w:pStyle w:val="TOC2"/>
            <w:rPr>
              <w:rFonts w:asciiTheme="minorHAnsi" w:eastAsiaTheme="minorEastAsia" w:hAnsiTheme="minorHAnsi" w:cstheme="minorBidi"/>
              <w:b w:val="0"/>
              <w:noProof/>
              <w:sz w:val="22"/>
              <w:lang w:eastAsia="en-AU"/>
            </w:rPr>
          </w:pPr>
          <w:hyperlink w:anchor="_Toc119396516" w:history="1">
            <w:r w:rsidRPr="00A92F8A">
              <w:rPr>
                <w:rStyle w:val="Hyperlink"/>
                <w:noProof/>
              </w:rPr>
              <w:t>Risk-benefit analysis</w:t>
            </w:r>
            <w:r>
              <w:rPr>
                <w:noProof/>
                <w:webHidden/>
              </w:rPr>
              <w:tab/>
            </w:r>
            <w:r>
              <w:rPr>
                <w:noProof/>
                <w:webHidden/>
              </w:rPr>
              <w:fldChar w:fldCharType="begin"/>
            </w:r>
            <w:r>
              <w:rPr>
                <w:noProof/>
                <w:webHidden/>
              </w:rPr>
              <w:instrText xml:space="preserve"> PAGEREF _Toc119396516 \h </w:instrText>
            </w:r>
            <w:r>
              <w:rPr>
                <w:noProof/>
                <w:webHidden/>
              </w:rPr>
            </w:r>
            <w:r>
              <w:rPr>
                <w:noProof/>
                <w:webHidden/>
              </w:rPr>
              <w:fldChar w:fldCharType="separate"/>
            </w:r>
            <w:r>
              <w:rPr>
                <w:noProof/>
                <w:webHidden/>
              </w:rPr>
              <w:t>60</w:t>
            </w:r>
            <w:r>
              <w:rPr>
                <w:noProof/>
                <w:webHidden/>
              </w:rPr>
              <w:fldChar w:fldCharType="end"/>
            </w:r>
          </w:hyperlink>
        </w:p>
        <w:p w14:paraId="43B595B9" w14:textId="2217F0C8" w:rsidR="006737A0" w:rsidRDefault="006737A0">
          <w:pPr>
            <w:pStyle w:val="TOC1"/>
            <w:rPr>
              <w:rFonts w:asciiTheme="minorHAnsi" w:eastAsiaTheme="minorEastAsia" w:hAnsiTheme="minorHAnsi" w:cstheme="minorBidi"/>
              <w:b w:val="0"/>
              <w:noProof/>
              <w:sz w:val="22"/>
              <w:lang w:eastAsia="en-AU"/>
            </w:rPr>
          </w:pPr>
          <w:hyperlink w:anchor="_Toc119396517" w:history="1">
            <w:r w:rsidRPr="00A92F8A">
              <w:rPr>
                <w:rStyle w:val="Hyperlink"/>
                <w:noProof/>
              </w:rPr>
              <w:t>Outcome</w:t>
            </w:r>
            <w:r>
              <w:rPr>
                <w:noProof/>
                <w:webHidden/>
              </w:rPr>
              <w:tab/>
            </w:r>
            <w:r>
              <w:rPr>
                <w:noProof/>
                <w:webHidden/>
              </w:rPr>
              <w:fldChar w:fldCharType="begin"/>
            </w:r>
            <w:r>
              <w:rPr>
                <w:noProof/>
                <w:webHidden/>
              </w:rPr>
              <w:instrText xml:space="preserve"> PAGEREF _Toc119396517 \h </w:instrText>
            </w:r>
            <w:r>
              <w:rPr>
                <w:noProof/>
                <w:webHidden/>
              </w:rPr>
            </w:r>
            <w:r>
              <w:rPr>
                <w:noProof/>
                <w:webHidden/>
              </w:rPr>
              <w:fldChar w:fldCharType="separate"/>
            </w:r>
            <w:r>
              <w:rPr>
                <w:noProof/>
                <w:webHidden/>
              </w:rPr>
              <w:t>77</w:t>
            </w:r>
            <w:r>
              <w:rPr>
                <w:noProof/>
                <w:webHidden/>
              </w:rPr>
              <w:fldChar w:fldCharType="end"/>
            </w:r>
          </w:hyperlink>
        </w:p>
        <w:p w14:paraId="283DA00B" w14:textId="16AB642F" w:rsidR="006737A0" w:rsidRDefault="006737A0">
          <w:pPr>
            <w:pStyle w:val="TOC2"/>
            <w:rPr>
              <w:rFonts w:asciiTheme="minorHAnsi" w:eastAsiaTheme="minorEastAsia" w:hAnsiTheme="minorHAnsi" w:cstheme="minorBidi"/>
              <w:b w:val="0"/>
              <w:noProof/>
              <w:sz w:val="22"/>
              <w:lang w:eastAsia="en-AU"/>
            </w:rPr>
          </w:pPr>
          <w:hyperlink w:anchor="_Toc119396518" w:history="1">
            <w:r w:rsidRPr="00A92F8A">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_Toc119396518 \h </w:instrText>
            </w:r>
            <w:r>
              <w:rPr>
                <w:noProof/>
                <w:webHidden/>
              </w:rPr>
            </w:r>
            <w:r>
              <w:rPr>
                <w:noProof/>
                <w:webHidden/>
              </w:rPr>
              <w:fldChar w:fldCharType="separate"/>
            </w:r>
            <w:r>
              <w:rPr>
                <w:noProof/>
                <w:webHidden/>
              </w:rPr>
              <w:t>77</w:t>
            </w:r>
            <w:r>
              <w:rPr>
                <w:noProof/>
                <w:webHidden/>
              </w:rPr>
              <w:fldChar w:fldCharType="end"/>
            </w:r>
          </w:hyperlink>
        </w:p>
        <w:p w14:paraId="5F31848F" w14:textId="21D4E209" w:rsidR="006737A0" w:rsidRDefault="006737A0">
          <w:pPr>
            <w:pStyle w:val="TOC1"/>
            <w:rPr>
              <w:rFonts w:asciiTheme="minorHAnsi" w:eastAsiaTheme="minorEastAsia" w:hAnsiTheme="minorHAnsi" w:cstheme="minorBidi"/>
              <w:b w:val="0"/>
              <w:noProof/>
              <w:sz w:val="22"/>
              <w:lang w:eastAsia="en-AU"/>
            </w:rPr>
          </w:pPr>
          <w:hyperlink w:anchor="_Toc119396519" w:history="1">
            <w:r w:rsidRPr="00A92F8A">
              <w:rPr>
                <w:rStyle w:val="Hyperlink"/>
                <w:noProof/>
              </w:rPr>
              <w:t>Attachment 1. Product Information</w:t>
            </w:r>
            <w:r>
              <w:rPr>
                <w:noProof/>
                <w:webHidden/>
              </w:rPr>
              <w:tab/>
            </w:r>
            <w:r>
              <w:rPr>
                <w:noProof/>
                <w:webHidden/>
              </w:rPr>
              <w:fldChar w:fldCharType="begin"/>
            </w:r>
            <w:r>
              <w:rPr>
                <w:noProof/>
                <w:webHidden/>
              </w:rPr>
              <w:instrText xml:space="preserve"> PAGEREF _Toc119396519 \h </w:instrText>
            </w:r>
            <w:r>
              <w:rPr>
                <w:noProof/>
                <w:webHidden/>
              </w:rPr>
            </w:r>
            <w:r>
              <w:rPr>
                <w:noProof/>
                <w:webHidden/>
              </w:rPr>
              <w:fldChar w:fldCharType="separate"/>
            </w:r>
            <w:r>
              <w:rPr>
                <w:noProof/>
                <w:webHidden/>
              </w:rPr>
              <w:t>78</w:t>
            </w:r>
            <w:r>
              <w:rPr>
                <w:noProof/>
                <w:webHidden/>
              </w:rPr>
              <w:fldChar w:fldCharType="end"/>
            </w:r>
          </w:hyperlink>
        </w:p>
        <w:p w14:paraId="40F93F26" w14:textId="09B7557E" w:rsidR="003A7F6C" w:rsidRPr="00B811C6" w:rsidRDefault="00C525A2" w:rsidP="00EB36D6">
          <w:r>
            <w:fldChar w:fldCharType="end"/>
          </w:r>
        </w:p>
      </w:sdtContent>
    </w:sdt>
    <w:bookmarkStart w:id="2" w:name="_Toc314842482" w:displacedByCustomXml="prev"/>
    <w:p w14:paraId="34F85EC3" w14:textId="77777777" w:rsidR="00FD119B" w:rsidRDefault="00FD119B">
      <w:pPr>
        <w:spacing w:before="0" w:after="200" w:line="0" w:lineRule="auto"/>
      </w:pPr>
      <w:r>
        <w:br w:type="page"/>
      </w:r>
    </w:p>
    <w:p w14:paraId="7300B80E" w14:textId="24376109" w:rsidR="00833ED8" w:rsidRDefault="00AF2313" w:rsidP="008F510B">
      <w:pPr>
        <w:pStyle w:val="Heading2"/>
      </w:pPr>
      <w:bookmarkStart w:id="3" w:name="_Toc98931917"/>
      <w:bookmarkStart w:id="4" w:name="_Toc119396504"/>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3F6139" w14:paraId="6024B45E" w14:textId="77777777" w:rsidTr="00B01CD2">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3A9642D9" w14:textId="77777777" w:rsidR="003F6139" w:rsidRDefault="003F6139" w:rsidP="00B01CD2">
            <w:pPr>
              <w:rPr>
                <w:color w:val="FFFFFF"/>
              </w:rPr>
            </w:pPr>
            <w:r>
              <w:t>Abbreviation</w:t>
            </w:r>
          </w:p>
        </w:tc>
        <w:tc>
          <w:tcPr>
            <w:tcW w:w="3282" w:type="pct"/>
            <w:hideMark/>
          </w:tcPr>
          <w:p w14:paraId="318F43B1" w14:textId="77777777" w:rsidR="003F6139" w:rsidRDefault="003F6139" w:rsidP="00B01CD2">
            <w:r>
              <w:t>Meaning</w:t>
            </w:r>
          </w:p>
        </w:tc>
      </w:tr>
      <w:tr w:rsidR="003F6139" w14:paraId="0E9D57CE"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B285688" w14:textId="77777777" w:rsidR="003F6139" w:rsidRDefault="003F6139" w:rsidP="00B01CD2">
            <w:r>
              <w:t>ACM</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58C9E2F" w14:textId="77777777" w:rsidR="003F6139" w:rsidRDefault="003F6139" w:rsidP="00B01CD2">
            <w:r>
              <w:t>Advisory Committee on Medicines</w:t>
            </w:r>
          </w:p>
        </w:tc>
      </w:tr>
      <w:tr w:rsidR="003F6139" w14:paraId="6FEA650B"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453E2E70" w14:textId="77777777" w:rsidR="003F6139" w:rsidRDefault="003F6139" w:rsidP="00B01CD2">
            <w:pPr>
              <w:rPr>
                <w:color w:val="000000"/>
              </w:rPr>
            </w:pPr>
            <w:r>
              <w:rPr>
                <w:color w:val="000000"/>
              </w:rPr>
              <w:t>AE</w:t>
            </w:r>
          </w:p>
        </w:tc>
        <w:tc>
          <w:tcPr>
            <w:tcW w:w="3987" w:type="pct"/>
            <w:gridSpan w:val="2"/>
            <w:tcBorders>
              <w:top w:val="single" w:sz="8" w:space="0" w:color="002C47"/>
              <w:left w:val="single" w:sz="8" w:space="0" w:color="002C47"/>
              <w:bottom w:val="single" w:sz="8" w:space="0" w:color="002C47"/>
              <w:right w:val="single" w:sz="8" w:space="0" w:color="002C47"/>
            </w:tcBorders>
          </w:tcPr>
          <w:p w14:paraId="7D8845CB" w14:textId="77777777" w:rsidR="003F6139" w:rsidRDefault="003F6139" w:rsidP="00B01CD2">
            <w:r>
              <w:t>Adverse event</w:t>
            </w:r>
          </w:p>
        </w:tc>
      </w:tr>
      <w:tr w:rsidR="003F6139" w14:paraId="7B937388"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0E335135" w14:textId="77777777" w:rsidR="003F6139" w:rsidRDefault="003F6139" w:rsidP="00B01CD2">
            <w:pPr>
              <w:rPr>
                <w:color w:val="000000"/>
              </w:rPr>
            </w:pPr>
            <w:r>
              <w:rPr>
                <w:color w:val="000000"/>
              </w:rPr>
              <w:t>ALT</w:t>
            </w:r>
          </w:p>
        </w:tc>
        <w:tc>
          <w:tcPr>
            <w:tcW w:w="3987" w:type="pct"/>
            <w:gridSpan w:val="2"/>
            <w:tcBorders>
              <w:top w:val="single" w:sz="8" w:space="0" w:color="002C47"/>
              <w:left w:val="single" w:sz="8" w:space="0" w:color="002C47"/>
              <w:bottom w:val="single" w:sz="8" w:space="0" w:color="002C47"/>
              <w:right w:val="single" w:sz="8" w:space="0" w:color="002C47"/>
            </w:tcBorders>
          </w:tcPr>
          <w:p w14:paraId="61BF1B9E" w14:textId="77777777" w:rsidR="003F6139" w:rsidRDefault="003F6139" w:rsidP="00B01CD2">
            <w:r>
              <w:t>Alanine aminotransferase</w:t>
            </w:r>
          </w:p>
        </w:tc>
      </w:tr>
      <w:tr w:rsidR="003F6139" w14:paraId="5545F1F1"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62C42144" w14:textId="77777777" w:rsidR="003F6139" w:rsidRDefault="003F6139" w:rsidP="00B01CD2">
            <w:pPr>
              <w:rPr>
                <w:color w:val="000000"/>
              </w:rPr>
            </w:pPr>
            <w:r>
              <w:rPr>
                <w:color w:val="000000"/>
              </w:rPr>
              <w:t>AML</w:t>
            </w:r>
          </w:p>
        </w:tc>
        <w:tc>
          <w:tcPr>
            <w:tcW w:w="3987" w:type="pct"/>
            <w:gridSpan w:val="2"/>
            <w:tcBorders>
              <w:top w:val="single" w:sz="8" w:space="0" w:color="002C47"/>
              <w:left w:val="single" w:sz="8" w:space="0" w:color="002C47"/>
              <w:bottom w:val="single" w:sz="8" w:space="0" w:color="002C47"/>
              <w:right w:val="single" w:sz="8" w:space="0" w:color="002C47"/>
            </w:tcBorders>
          </w:tcPr>
          <w:p w14:paraId="193D0718" w14:textId="3C84CE26" w:rsidR="003F6139" w:rsidRDefault="003F6139" w:rsidP="00B01CD2">
            <w:pPr>
              <w:rPr>
                <w:color w:val="000000"/>
              </w:rPr>
            </w:pPr>
            <w:r>
              <w:t>A</w:t>
            </w:r>
            <w:r w:rsidRPr="009B0C6F">
              <w:t>cute myeloid leuk</w:t>
            </w:r>
            <w:r w:rsidR="00B01CD2">
              <w:t>a</w:t>
            </w:r>
            <w:r w:rsidRPr="009B0C6F">
              <w:t>emia</w:t>
            </w:r>
          </w:p>
        </w:tc>
      </w:tr>
      <w:tr w:rsidR="003F6139" w14:paraId="604B581D"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75F9CAA" w14:textId="77777777" w:rsidR="003F6139" w:rsidRDefault="003F6139" w:rsidP="00B01CD2">
            <w:r>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A0A181A" w14:textId="77777777" w:rsidR="003F6139" w:rsidRDefault="003F6139" w:rsidP="00B01CD2">
            <w:r>
              <w:t>Australian Register of Therapeutic Goods</w:t>
            </w:r>
          </w:p>
        </w:tc>
      </w:tr>
      <w:tr w:rsidR="003F6139" w14:paraId="0E0043AE"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hideMark/>
          </w:tcPr>
          <w:p w14:paraId="458032FE" w14:textId="77777777" w:rsidR="003F6139" w:rsidRDefault="003F6139" w:rsidP="00B01CD2">
            <w:r>
              <w:t>ASA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623107AC" w14:textId="77777777" w:rsidR="003F6139" w:rsidRDefault="003F6139" w:rsidP="00B01CD2">
            <w:r>
              <w:t>Australia specific annex</w:t>
            </w:r>
          </w:p>
        </w:tc>
      </w:tr>
      <w:tr w:rsidR="003F6139" w14:paraId="0751BE20"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3B3116CB" w14:textId="77777777" w:rsidR="003F6139" w:rsidRDefault="003F6139" w:rsidP="00B01CD2">
            <w:pPr>
              <w:rPr>
                <w:color w:val="000000"/>
              </w:rPr>
            </w:pPr>
            <w:r>
              <w:rPr>
                <w:color w:val="000000"/>
              </w:rPr>
              <w:t>AST</w:t>
            </w:r>
          </w:p>
        </w:tc>
        <w:tc>
          <w:tcPr>
            <w:tcW w:w="3987" w:type="pct"/>
            <w:gridSpan w:val="2"/>
            <w:tcBorders>
              <w:top w:val="single" w:sz="8" w:space="0" w:color="002C47"/>
              <w:left w:val="single" w:sz="8" w:space="0" w:color="002C47"/>
              <w:bottom w:val="single" w:sz="8" w:space="0" w:color="002C47"/>
              <w:right w:val="single" w:sz="8" w:space="0" w:color="002C47"/>
            </w:tcBorders>
          </w:tcPr>
          <w:p w14:paraId="65444681" w14:textId="77777777" w:rsidR="003F6139" w:rsidRDefault="003F6139" w:rsidP="00B01CD2">
            <w:r>
              <w:t>Aspartate aminotransferase</w:t>
            </w:r>
          </w:p>
        </w:tc>
      </w:tr>
      <w:tr w:rsidR="003F6139" w14:paraId="1481A58D"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65F77D62" w14:textId="77777777" w:rsidR="003F6139" w:rsidRDefault="003F6139" w:rsidP="00B01CD2">
            <w:pPr>
              <w:rPr>
                <w:color w:val="000000"/>
              </w:rPr>
            </w:pPr>
            <w:r>
              <w:rPr>
                <w:color w:val="000000"/>
              </w:rPr>
              <w:t>AUC</w:t>
            </w:r>
          </w:p>
        </w:tc>
        <w:tc>
          <w:tcPr>
            <w:tcW w:w="3987" w:type="pct"/>
            <w:gridSpan w:val="2"/>
            <w:tcBorders>
              <w:top w:val="single" w:sz="8" w:space="0" w:color="002C47"/>
              <w:left w:val="single" w:sz="8" w:space="0" w:color="002C47"/>
              <w:bottom w:val="single" w:sz="8" w:space="0" w:color="002C47"/>
              <w:right w:val="single" w:sz="8" w:space="0" w:color="002C47"/>
            </w:tcBorders>
          </w:tcPr>
          <w:p w14:paraId="6291F570" w14:textId="4F3D2634" w:rsidR="003F6139" w:rsidRDefault="003F6139" w:rsidP="00B01CD2">
            <w:pPr>
              <w:rPr>
                <w:rFonts w:cs="Calibri"/>
              </w:rPr>
            </w:pPr>
            <w:r>
              <w:rPr>
                <w:rFonts w:cs="Calibri"/>
              </w:rPr>
              <w:t xml:space="preserve">Area under </w:t>
            </w:r>
            <w:r w:rsidR="00B01CD2">
              <w:rPr>
                <w:rFonts w:cs="Calibri"/>
              </w:rPr>
              <w:t xml:space="preserve">the </w:t>
            </w:r>
            <w:r>
              <w:rPr>
                <w:rFonts w:cs="Calibri"/>
              </w:rPr>
              <w:t>concentration time curve</w:t>
            </w:r>
          </w:p>
        </w:tc>
      </w:tr>
      <w:tr w:rsidR="003F6139" w14:paraId="79C85AB5"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4CB8E039" w14:textId="77777777" w:rsidR="003F6139" w:rsidRDefault="003F6139" w:rsidP="00B01CD2">
            <w:pPr>
              <w:rPr>
                <w:color w:val="000000"/>
              </w:rPr>
            </w:pPr>
            <w:r w:rsidRPr="00DA4A9A">
              <w:rPr>
                <w:rFonts w:cs="Calibri"/>
              </w:rPr>
              <w:t>AUC</w:t>
            </w:r>
            <w:r w:rsidRPr="00DA4A9A">
              <w:rPr>
                <w:rFonts w:cs="Calibri"/>
                <w:vertAlign w:val="subscript"/>
              </w:rPr>
              <w:t>0-∞</w:t>
            </w:r>
          </w:p>
        </w:tc>
        <w:tc>
          <w:tcPr>
            <w:tcW w:w="3987" w:type="pct"/>
            <w:gridSpan w:val="2"/>
            <w:tcBorders>
              <w:top w:val="single" w:sz="8" w:space="0" w:color="002C47"/>
              <w:left w:val="single" w:sz="8" w:space="0" w:color="002C47"/>
              <w:bottom w:val="single" w:sz="8" w:space="0" w:color="002C47"/>
              <w:right w:val="single" w:sz="8" w:space="0" w:color="002C47"/>
            </w:tcBorders>
          </w:tcPr>
          <w:p w14:paraId="6B7EC7EA" w14:textId="77777777" w:rsidR="003F6139" w:rsidRDefault="003F6139" w:rsidP="00B01CD2">
            <w:pPr>
              <w:rPr>
                <w:color w:val="000000"/>
              </w:rPr>
            </w:pPr>
            <w:r>
              <w:rPr>
                <w:rFonts w:cs="Calibri"/>
              </w:rPr>
              <w:t>A</w:t>
            </w:r>
            <w:r w:rsidRPr="000B4537">
              <w:rPr>
                <w:rFonts w:cs="Calibri"/>
              </w:rPr>
              <w:t xml:space="preserve">rea </w:t>
            </w:r>
            <w:r>
              <w:rPr>
                <w:rFonts w:cs="Calibri"/>
              </w:rPr>
              <w:t>u</w:t>
            </w:r>
            <w:r w:rsidRPr="000B4537">
              <w:rPr>
                <w:rFonts w:cs="Calibri"/>
              </w:rPr>
              <w:t xml:space="preserve">nder </w:t>
            </w:r>
            <w:r>
              <w:rPr>
                <w:rFonts w:cs="Calibri"/>
              </w:rPr>
              <w:t>t</w:t>
            </w:r>
            <w:r w:rsidRPr="000B4537">
              <w:rPr>
                <w:rFonts w:cs="Calibri"/>
              </w:rPr>
              <w:t xml:space="preserve">he </w:t>
            </w:r>
            <w:r>
              <w:rPr>
                <w:rFonts w:cs="Calibri"/>
              </w:rPr>
              <w:t>c</w:t>
            </w:r>
            <w:r w:rsidRPr="000B4537">
              <w:rPr>
                <w:rFonts w:cs="Calibri"/>
              </w:rPr>
              <w:t>oncentration</w:t>
            </w:r>
            <w:r>
              <w:rPr>
                <w:rFonts w:cs="Calibri"/>
              </w:rPr>
              <w:t xml:space="preserve"> </w:t>
            </w:r>
            <w:r w:rsidRPr="000B4537">
              <w:rPr>
                <w:rFonts w:cs="Calibri"/>
              </w:rPr>
              <w:t xml:space="preserve">time </w:t>
            </w:r>
            <w:r>
              <w:rPr>
                <w:rFonts w:cs="Calibri"/>
              </w:rPr>
              <w:t>c</w:t>
            </w:r>
            <w:r w:rsidRPr="000B4537">
              <w:rPr>
                <w:rFonts w:cs="Calibri"/>
              </w:rPr>
              <w:t xml:space="preserve">urve </w:t>
            </w:r>
            <w:r>
              <w:rPr>
                <w:rFonts w:cs="Calibri"/>
              </w:rPr>
              <w:t>f</w:t>
            </w:r>
            <w:r w:rsidRPr="000B4537">
              <w:rPr>
                <w:rFonts w:cs="Calibri"/>
              </w:rPr>
              <w:t xml:space="preserve">rom </w:t>
            </w:r>
            <w:r>
              <w:rPr>
                <w:rFonts w:cs="Calibri"/>
              </w:rPr>
              <w:t>t</w:t>
            </w:r>
            <w:r w:rsidRPr="000B4537">
              <w:rPr>
                <w:rFonts w:cs="Calibri"/>
              </w:rPr>
              <w:t xml:space="preserve">ime </w:t>
            </w:r>
            <w:r>
              <w:rPr>
                <w:rFonts w:cs="Calibri"/>
              </w:rPr>
              <w:t>z</w:t>
            </w:r>
            <w:r w:rsidRPr="000B4537">
              <w:rPr>
                <w:rFonts w:cs="Calibri"/>
              </w:rPr>
              <w:t xml:space="preserve">ero </w:t>
            </w:r>
            <w:r>
              <w:rPr>
                <w:rFonts w:cs="Calibri"/>
              </w:rPr>
              <w:t>t</w:t>
            </w:r>
            <w:r w:rsidRPr="000B4537">
              <w:rPr>
                <w:rFonts w:cs="Calibri"/>
              </w:rPr>
              <w:t xml:space="preserve">o </w:t>
            </w:r>
            <w:r>
              <w:rPr>
                <w:rFonts w:cs="Calibri"/>
              </w:rPr>
              <w:t>i</w:t>
            </w:r>
            <w:r w:rsidRPr="000B4537">
              <w:rPr>
                <w:rFonts w:cs="Calibri"/>
              </w:rPr>
              <w:t>nfinity</w:t>
            </w:r>
          </w:p>
        </w:tc>
      </w:tr>
      <w:tr w:rsidR="003F6139" w14:paraId="73F63E5C"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164CD7F4" w14:textId="77777777" w:rsidR="003F6139" w:rsidRDefault="003F6139" w:rsidP="00B01CD2">
            <w:pPr>
              <w:rPr>
                <w:color w:val="000000"/>
              </w:rPr>
            </w:pPr>
            <w:r w:rsidRPr="00DA4A9A">
              <w:rPr>
                <w:rFonts w:cs="Calibri"/>
              </w:rPr>
              <w:t>AUC</w:t>
            </w:r>
            <w:r w:rsidRPr="00DA4A9A">
              <w:rPr>
                <w:rFonts w:cs="Calibri"/>
                <w:vertAlign w:val="subscript"/>
              </w:rPr>
              <w:t>0-t</w:t>
            </w:r>
          </w:p>
        </w:tc>
        <w:tc>
          <w:tcPr>
            <w:tcW w:w="3987" w:type="pct"/>
            <w:gridSpan w:val="2"/>
            <w:tcBorders>
              <w:top w:val="single" w:sz="8" w:space="0" w:color="002C47"/>
              <w:left w:val="single" w:sz="8" w:space="0" w:color="002C47"/>
              <w:bottom w:val="single" w:sz="8" w:space="0" w:color="002C47"/>
              <w:right w:val="single" w:sz="8" w:space="0" w:color="002C47"/>
            </w:tcBorders>
          </w:tcPr>
          <w:p w14:paraId="1D056B68" w14:textId="58FFA646" w:rsidR="003F6139" w:rsidRDefault="003F6139">
            <w:pPr>
              <w:rPr>
                <w:color w:val="000000"/>
              </w:rPr>
            </w:pPr>
            <w:r>
              <w:rPr>
                <w:rFonts w:cs="Calibri"/>
              </w:rPr>
              <w:t xml:space="preserve">Area under </w:t>
            </w:r>
            <w:r w:rsidR="00B01CD2">
              <w:rPr>
                <w:rFonts w:cs="Calibri"/>
              </w:rPr>
              <w:t xml:space="preserve">the </w:t>
            </w:r>
            <w:r>
              <w:rPr>
                <w:rFonts w:cs="Calibri"/>
              </w:rPr>
              <w:t xml:space="preserve">concentration time curve </w:t>
            </w:r>
            <w:r w:rsidR="00B01CD2">
              <w:rPr>
                <w:rFonts w:cs="Calibri"/>
              </w:rPr>
              <w:t>over the dosing interval</w:t>
            </w:r>
          </w:p>
        </w:tc>
      </w:tr>
      <w:tr w:rsidR="003F6139" w14:paraId="7CC8E093"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48C3377F" w14:textId="77777777" w:rsidR="003F6139" w:rsidRDefault="003F6139" w:rsidP="00B01CD2">
            <w:pPr>
              <w:rPr>
                <w:color w:val="000000"/>
              </w:rPr>
            </w:pPr>
            <w:r>
              <w:rPr>
                <w:color w:val="000000"/>
              </w:rPr>
              <w:t>CF/F</w:t>
            </w:r>
          </w:p>
        </w:tc>
        <w:tc>
          <w:tcPr>
            <w:tcW w:w="3987" w:type="pct"/>
            <w:gridSpan w:val="2"/>
            <w:tcBorders>
              <w:top w:val="single" w:sz="8" w:space="0" w:color="002C47"/>
              <w:left w:val="single" w:sz="8" w:space="0" w:color="002C47"/>
              <w:bottom w:val="single" w:sz="8" w:space="0" w:color="002C47"/>
              <w:right w:val="single" w:sz="8" w:space="0" w:color="002C47"/>
            </w:tcBorders>
          </w:tcPr>
          <w:p w14:paraId="0434E885" w14:textId="77777777" w:rsidR="003F6139" w:rsidRDefault="003F6139" w:rsidP="00B01CD2">
            <w:pPr>
              <w:rPr>
                <w:color w:val="000000"/>
              </w:rPr>
            </w:pPr>
            <w:r>
              <w:t>A</w:t>
            </w:r>
            <w:r w:rsidRPr="009B0C6F">
              <w:t>pparent</w:t>
            </w:r>
            <w:r>
              <w:rPr>
                <w:color w:val="000000"/>
              </w:rPr>
              <w:t xml:space="preserve"> oral</w:t>
            </w:r>
            <w:r w:rsidRPr="0081556B">
              <w:rPr>
                <w:color w:val="000000"/>
              </w:rPr>
              <w:t xml:space="preserve"> clearance</w:t>
            </w:r>
          </w:p>
        </w:tc>
      </w:tr>
      <w:tr w:rsidR="003F6139" w14:paraId="5D69BB7E"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415C5253" w14:textId="77777777" w:rsidR="003F6139" w:rsidRDefault="003F6139" w:rsidP="00B01CD2">
            <w:pPr>
              <w:rPr>
                <w:color w:val="000000"/>
              </w:rPr>
            </w:pPr>
            <w:r>
              <w:rPr>
                <w:color w:val="000000"/>
              </w:rPr>
              <w:t>CI</w:t>
            </w:r>
          </w:p>
        </w:tc>
        <w:tc>
          <w:tcPr>
            <w:tcW w:w="3987" w:type="pct"/>
            <w:gridSpan w:val="2"/>
            <w:tcBorders>
              <w:top w:val="single" w:sz="8" w:space="0" w:color="002C47"/>
              <w:left w:val="single" w:sz="8" w:space="0" w:color="002C47"/>
              <w:bottom w:val="single" w:sz="8" w:space="0" w:color="002C47"/>
              <w:right w:val="single" w:sz="8" w:space="0" w:color="002C47"/>
            </w:tcBorders>
          </w:tcPr>
          <w:p w14:paraId="0DCF1BCA" w14:textId="77777777" w:rsidR="003F6139" w:rsidRDefault="003F6139" w:rsidP="00B01CD2">
            <w:pPr>
              <w:rPr>
                <w:color w:val="000000"/>
              </w:rPr>
            </w:pPr>
            <w:r>
              <w:rPr>
                <w:rFonts w:cs="Calibri"/>
              </w:rPr>
              <w:t>Confidence interval</w:t>
            </w:r>
          </w:p>
        </w:tc>
      </w:tr>
      <w:tr w:rsidR="003F6139" w14:paraId="37865171"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3C4AC9EF" w14:textId="77777777" w:rsidR="003F6139" w:rsidRDefault="003F6139" w:rsidP="00B01CD2">
            <w:pPr>
              <w:rPr>
                <w:color w:val="000000"/>
              </w:rPr>
            </w:pPr>
            <w:proofErr w:type="spellStart"/>
            <w:r>
              <w:rPr>
                <w:color w:val="000000"/>
              </w:rPr>
              <w:t>C</w:t>
            </w:r>
            <w:r w:rsidRPr="0081556B">
              <w:rPr>
                <w:color w:val="000000"/>
                <w:vertAlign w:val="subscript"/>
              </w:rPr>
              <w:t>max</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1C31A4A7" w14:textId="77777777" w:rsidR="003F6139" w:rsidRDefault="003F6139" w:rsidP="00B01CD2">
            <w:pPr>
              <w:rPr>
                <w:color w:val="000000"/>
              </w:rPr>
            </w:pPr>
            <w:r>
              <w:rPr>
                <w:rFonts w:cs="Calibri"/>
              </w:rPr>
              <w:t>Maximum concentration</w:t>
            </w:r>
          </w:p>
        </w:tc>
      </w:tr>
      <w:tr w:rsidR="003F6139" w14:paraId="0E76733F"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36EF2D6C" w14:textId="77777777" w:rsidR="003F6139" w:rsidRDefault="003F6139" w:rsidP="00B01CD2">
            <w:pPr>
              <w:rPr>
                <w:color w:val="000000"/>
              </w:rPr>
            </w:pPr>
            <w:r>
              <w:rPr>
                <w:color w:val="000000"/>
              </w:rPr>
              <w:t>CMI</w:t>
            </w:r>
          </w:p>
        </w:tc>
        <w:tc>
          <w:tcPr>
            <w:tcW w:w="3987" w:type="pct"/>
            <w:gridSpan w:val="2"/>
            <w:tcBorders>
              <w:top w:val="single" w:sz="8" w:space="0" w:color="002C47"/>
              <w:left w:val="single" w:sz="8" w:space="0" w:color="002C47"/>
              <w:bottom w:val="single" w:sz="8" w:space="0" w:color="002C47"/>
              <w:right w:val="single" w:sz="8" w:space="0" w:color="002C47"/>
            </w:tcBorders>
          </w:tcPr>
          <w:p w14:paraId="10AE6C1E" w14:textId="77777777" w:rsidR="003F6139" w:rsidRDefault="003F6139" w:rsidP="00B01CD2">
            <w:r>
              <w:t>Consumer Medicines Information</w:t>
            </w:r>
          </w:p>
        </w:tc>
      </w:tr>
      <w:tr w:rsidR="003F6139" w14:paraId="7438C0CD"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71300223" w14:textId="77777777" w:rsidR="003F6139" w:rsidRDefault="003F6139" w:rsidP="00B01CD2">
            <w:pPr>
              <w:rPr>
                <w:color w:val="000000"/>
              </w:rPr>
            </w:pPr>
            <w:r>
              <w:rPr>
                <w:color w:val="000000"/>
              </w:rPr>
              <w:t>CNS</w:t>
            </w:r>
          </w:p>
        </w:tc>
        <w:tc>
          <w:tcPr>
            <w:tcW w:w="3987" w:type="pct"/>
            <w:gridSpan w:val="2"/>
            <w:tcBorders>
              <w:top w:val="single" w:sz="8" w:space="0" w:color="002C47"/>
              <w:left w:val="single" w:sz="8" w:space="0" w:color="002C47"/>
              <w:bottom w:val="single" w:sz="8" w:space="0" w:color="002C47"/>
              <w:right w:val="single" w:sz="8" w:space="0" w:color="002C47"/>
            </w:tcBorders>
          </w:tcPr>
          <w:p w14:paraId="59CEF924" w14:textId="77777777" w:rsidR="003F6139" w:rsidRDefault="003F6139" w:rsidP="00B01CD2">
            <w:pPr>
              <w:rPr>
                <w:color w:val="000000"/>
              </w:rPr>
            </w:pPr>
            <w:r>
              <w:rPr>
                <w:color w:val="000000"/>
              </w:rPr>
              <w:t>Central nervous system</w:t>
            </w:r>
          </w:p>
        </w:tc>
      </w:tr>
      <w:tr w:rsidR="003F6139" w14:paraId="6DD4F9CE"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404979CD" w14:textId="77777777" w:rsidR="003F6139" w:rsidRDefault="003F6139" w:rsidP="00B01CD2">
            <w:pPr>
              <w:rPr>
                <w:color w:val="000000"/>
              </w:rPr>
            </w:pPr>
            <w:r>
              <w:rPr>
                <w:color w:val="000000"/>
              </w:rPr>
              <w:t>CR</w:t>
            </w:r>
          </w:p>
        </w:tc>
        <w:tc>
          <w:tcPr>
            <w:tcW w:w="3987" w:type="pct"/>
            <w:gridSpan w:val="2"/>
            <w:tcBorders>
              <w:top w:val="single" w:sz="8" w:space="0" w:color="002C47"/>
              <w:left w:val="single" w:sz="8" w:space="0" w:color="002C47"/>
              <w:bottom w:val="single" w:sz="8" w:space="0" w:color="002C47"/>
              <w:right w:val="single" w:sz="8" w:space="0" w:color="002C47"/>
            </w:tcBorders>
          </w:tcPr>
          <w:p w14:paraId="5DD274BA" w14:textId="77777777" w:rsidR="003F6139" w:rsidRDefault="003F6139" w:rsidP="00B01CD2">
            <w:r>
              <w:t>Complete response</w:t>
            </w:r>
          </w:p>
        </w:tc>
      </w:tr>
      <w:tr w:rsidR="003F6139" w14:paraId="13D83360"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1E8045CE" w14:textId="77777777" w:rsidR="003F6139" w:rsidRDefault="003F6139" w:rsidP="00B01CD2">
            <w:pPr>
              <w:rPr>
                <w:color w:val="000000"/>
              </w:rPr>
            </w:pPr>
            <w:r w:rsidRPr="00DA4A9A">
              <w:rPr>
                <w:rFonts w:cs="Calibri"/>
              </w:rPr>
              <w:t>CV</w:t>
            </w:r>
          </w:p>
        </w:tc>
        <w:tc>
          <w:tcPr>
            <w:tcW w:w="3987" w:type="pct"/>
            <w:gridSpan w:val="2"/>
            <w:tcBorders>
              <w:top w:val="single" w:sz="8" w:space="0" w:color="002C47"/>
              <w:left w:val="single" w:sz="8" w:space="0" w:color="002C47"/>
              <w:bottom w:val="single" w:sz="8" w:space="0" w:color="002C47"/>
              <w:right w:val="single" w:sz="8" w:space="0" w:color="002C47"/>
            </w:tcBorders>
          </w:tcPr>
          <w:p w14:paraId="3A02ADF4" w14:textId="77777777" w:rsidR="003F6139" w:rsidRDefault="003F6139" w:rsidP="00B01CD2">
            <w:pPr>
              <w:rPr>
                <w:color w:val="000000"/>
              </w:rPr>
            </w:pPr>
            <w:r>
              <w:rPr>
                <w:rFonts w:eastAsiaTheme="minorHAnsi" w:cs="Calibri"/>
              </w:rPr>
              <w:t>C</w:t>
            </w:r>
            <w:r w:rsidRPr="00DA4A9A">
              <w:rPr>
                <w:rFonts w:eastAsiaTheme="minorHAnsi" w:cs="Calibri"/>
              </w:rPr>
              <w:t>oefficient of variation</w:t>
            </w:r>
          </w:p>
        </w:tc>
      </w:tr>
      <w:tr w:rsidR="003F6139" w14:paraId="4B684968"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8379329" w14:textId="77777777" w:rsidR="003F6139" w:rsidRDefault="003F6139" w:rsidP="00B01CD2">
            <w:r>
              <w:t>DLP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71568F5" w14:textId="77777777" w:rsidR="003F6139" w:rsidRDefault="003F6139" w:rsidP="00B01CD2">
            <w:r>
              <w:t>Data lock point</w:t>
            </w:r>
          </w:p>
        </w:tc>
      </w:tr>
      <w:tr w:rsidR="003F6139" w14:paraId="073F2E21"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7AD502C7" w14:textId="77777777" w:rsidR="003F6139" w:rsidRDefault="003F6139" w:rsidP="00B01CD2">
            <w:pPr>
              <w:rPr>
                <w:color w:val="000000"/>
              </w:rPr>
            </w:pPr>
            <w:r>
              <w:rPr>
                <w:color w:val="000000"/>
              </w:rPr>
              <w:t>DOR</w:t>
            </w:r>
          </w:p>
        </w:tc>
        <w:tc>
          <w:tcPr>
            <w:tcW w:w="3987" w:type="pct"/>
            <w:gridSpan w:val="2"/>
            <w:tcBorders>
              <w:top w:val="single" w:sz="8" w:space="0" w:color="002C47"/>
              <w:left w:val="single" w:sz="8" w:space="0" w:color="002C47"/>
              <w:bottom w:val="single" w:sz="8" w:space="0" w:color="002C47"/>
              <w:right w:val="single" w:sz="8" w:space="0" w:color="002C47"/>
            </w:tcBorders>
          </w:tcPr>
          <w:p w14:paraId="58D890FD" w14:textId="77777777" w:rsidR="003F6139" w:rsidRDefault="003F6139" w:rsidP="00B01CD2">
            <w:pPr>
              <w:rPr>
                <w:color w:val="000000"/>
              </w:rPr>
            </w:pPr>
            <w:r>
              <w:rPr>
                <w:rFonts w:eastAsiaTheme="minorHAnsi" w:cs="Calibri"/>
                <w:color w:val="000000"/>
              </w:rPr>
              <w:t>Duration of response</w:t>
            </w:r>
          </w:p>
        </w:tc>
      </w:tr>
      <w:tr w:rsidR="003F6139" w14:paraId="1204E5BA"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1DD950E7" w14:textId="77777777" w:rsidR="003F6139" w:rsidRDefault="003F6139" w:rsidP="00B01CD2">
            <w:pPr>
              <w:rPr>
                <w:color w:val="000000"/>
              </w:rPr>
            </w:pPr>
            <w:r>
              <w:rPr>
                <w:color w:val="000000"/>
              </w:rPr>
              <w:t>ECOG PS</w:t>
            </w:r>
          </w:p>
        </w:tc>
        <w:tc>
          <w:tcPr>
            <w:tcW w:w="3987" w:type="pct"/>
            <w:gridSpan w:val="2"/>
            <w:tcBorders>
              <w:top w:val="single" w:sz="8" w:space="0" w:color="002C47"/>
              <w:left w:val="single" w:sz="8" w:space="0" w:color="002C47"/>
              <w:bottom w:val="single" w:sz="8" w:space="0" w:color="002C47"/>
              <w:right w:val="single" w:sz="8" w:space="0" w:color="002C47"/>
            </w:tcBorders>
          </w:tcPr>
          <w:p w14:paraId="35016823" w14:textId="77777777" w:rsidR="003F6139" w:rsidRDefault="003F6139" w:rsidP="00B01CD2">
            <w:pPr>
              <w:rPr>
                <w:rFonts w:eastAsiaTheme="minorHAnsi" w:cs="Calibri"/>
                <w:color w:val="000000"/>
              </w:rPr>
            </w:pPr>
            <w:r>
              <w:t>Eastern Cooperative Oncology Group performance status</w:t>
            </w:r>
          </w:p>
        </w:tc>
      </w:tr>
      <w:tr w:rsidR="003F6139" w14:paraId="20502C5E"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60EDD055" w14:textId="77777777" w:rsidR="003F6139" w:rsidRDefault="003F6139" w:rsidP="00B01CD2">
            <w:pPr>
              <w:rPr>
                <w:color w:val="000000"/>
              </w:rPr>
            </w:pPr>
            <w:proofErr w:type="spellStart"/>
            <w:r>
              <w:rPr>
                <w:color w:val="000000"/>
              </w:rPr>
              <w:t>EoT</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1E5E3CD3" w14:textId="77777777" w:rsidR="003F6139" w:rsidRDefault="003F6139" w:rsidP="00B01CD2">
            <w:r>
              <w:t>End of treatment</w:t>
            </w:r>
          </w:p>
        </w:tc>
      </w:tr>
      <w:tr w:rsidR="003F6139" w14:paraId="631E20C5"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3EC2D117" w14:textId="77777777" w:rsidR="003F6139" w:rsidRDefault="003F6139" w:rsidP="00B01CD2">
            <w:pPr>
              <w:rPr>
                <w:color w:val="000000"/>
              </w:rPr>
            </w:pPr>
            <w:r>
              <w:rPr>
                <w:color w:val="000000"/>
              </w:rPr>
              <w:t>EU</w:t>
            </w:r>
          </w:p>
        </w:tc>
        <w:tc>
          <w:tcPr>
            <w:tcW w:w="3987" w:type="pct"/>
            <w:gridSpan w:val="2"/>
            <w:tcBorders>
              <w:top w:val="single" w:sz="8" w:space="0" w:color="002C47"/>
              <w:left w:val="single" w:sz="8" w:space="0" w:color="002C47"/>
              <w:bottom w:val="single" w:sz="8" w:space="0" w:color="002C47"/>
              <w:right w:val="single" w:sz="8" w:space="0" w:color="002C47"/>
            </w:tcBorders>
          </w:tcPr>
          <w:p w14:paraId="52DC2902" w14:textId="77777777" w:rsidR="003F6139" w:rsidRDefault="003F6139" w:rsidP="00B01CD2">
            <w:pPr>
              <w:rPr>
                <w:color w:val="000000"/>
              </w:rPr>
            </w:pPr>
            <w:r>
              <w:rPr>
                <w:color w:val="000000"/>
              </w:rPr>
              <w:t>European Union</w:t>
            </w:r>
          </w:p>
        </w:tc>
      </w:tr>
      <w:tr w:rsidR="003F6139" w14:paraId="38AC66D1"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15DC06C0" w14:textId="77777777" w:rsidR="003F6139" w:rsidRDefault="003F6139" w:rsidP="00B01CD2">
            <w:pPr>
              <w:rPr>
                <w:color w:val="000000"/>
              </w:rPr>
            </w:pPr>
            <w:r>
              <w:rPr>
                <w:color w:val="000000"/>
              </w:rPr>
              <w:t>FACT-MM</w:t>
            </w:r>
          </w:p>
        </w:tc>
        <w:tc>
          <w:tcPr>
            <w:tcW w:w="3987" w:type="pct"/>
            <w:gridSpan w:val="2"/>
            <w:tcBorders>
              <w:top w:val="single" w:sz="8" w:space="0" w:color="002C47"/>
              <w:left w:val="single" w:sz="8" w:space="0" w:color="002C47"/>
              <w:bottom w:val="single" w:sz="8" w:space="0" w:color="002C47"/>
              <w:right w:val="single" w:sz="8" w:space="0" w:color="002C47"/>
            </w:tcBorders>
          </w:tcPr>
          <w:p w14:paraId="34FBBDC8" w14:textId="77777777" w:rsidR="003F6139" w:rsidRDefault="003F6139" w:rsidP="00B01CD2">
            <w:r w:rsidRPr="00282AA1">
              <w:t>Functional Assessment of Cancer Therapy–Multiple Myeloma</w:t>
            </w:r>
          </w:p>
        </w:tc>
      </w:tr>
      <w:tr w:rsidR="003F6139" w14:paraId="616D651E"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48F12C81" w14:textId="77777777" w:rsidR="003F6139" w:rsidRDefault="003F6139" w:rsidP="00B01CD2">
            <w:pPr>
              <w:rPr>
                <w:color w:val="000000"/>
              </w:rPr>
            </w:pPr>
            <w:r>
              <w:rPr>
                <w:color w:val="000000"/>
              </w:rPr>
              <w:t>GLP</w:t>
            </w:r>
          </w:p>
        </w:tc>
        <w:tc>
          <w:tcPr>
            <w:tcW w:w="3987" w:type="pct"/>
            <w:gridSpan w:val="2"/>
            <w:tcBorders>
              <w:top w:val="single" w:sz="8" w:space="0" w:color="002C47"/>
              <w:left w:val="single" w:sz="8" w:space="0" w:color="002C47"/>
              <w:bottom w:val="single" w:sz="8" w:space="0" w:color="002C47"/>
              <w:right w:val="single" w:sz="8" w:space="0" w:color="002C47"/>
            </w:tcBorders>
          </w:tcPr>
          <w:p w14:paraId="67451CC3" w14:textId="77777777" w:rsidR="003F6139" w:rsidRDefault="003F6139" w:rsidP="00B01CD2">
            <w:pPr>
              <w:rPr>
                <w:color w:val="000000"/>
              </w:rPr>
            </w:pPr>
            <w:r>
              <w:t>Good Laboratory Practice</w:t>
            </w:r>
          </w:p>
        </w:tc>
      </w:tr>
      <w:tr w:rsidR="003F6139" w14:paraId="039E1D06"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3CCD088A" w14:textId="77777777" w:rsidR="003F6139" w:rsidRDefault="003F6139" w:rsidP="00B01CD2">
            <w:pPr>
              <w:rPr>
                <w:color w:val="000000"/>
              </w:rPr>
            </w:pPr>
            <w:r>
              <w:rPr>
                <w:color w:val="000000"/>
              </w:rPr>
              <w:lastRenderedPageBreak/>
              <w:t>GMP</w:t>
            </w:r>
          </w:p>
        </w:tc>
        <w:tc>
          <w:tcPr>
            <w:tcW w:w="3987" w:type="pct"/>
            <w:gridSpan w:val="2"/>
            <w:tcBorders>
              <w:top w:val="single" w:sz="8" w:space="0" w:color="002C47"/>
              <w:left w:val="single" w:sz="8" w:space="0" w:color="002C47"/>
              <w:bottom w:val="single" w:sz="8" w:space="0" w:color="002C47"/>
              <w:right w:val="single" w:sz="8" w:space="0" w:color="002C47"/>
            </w:tcBorders>
          </w:tcPr>
          <w:p w14:paraId="20CD6B67" w14:textId="77777777" w:rsidR="003F6139" w:rsidRDefault="003F6139" w:rsidP="00B01CD2">
            <w:pPr>
              <w:rPr>
                <w:color w:val="000000"/>
              </w:rPr>
            </w:pPr>
            <w:r>
              <w:rPr>
                <w:color w:val="000000"/>
              </w:rPr>
              <w:t>Good Manufacturing Practice</w:t>
            </w:r>
          </w:p>
        </w:tc>
      </w:tr>
      <w:tr w:rsidR="003F6139" w14:paraId="4F669679"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63CC110C" w14:textId="77777777" w:rsidR="003F6139" w:rsidRDefault="003F6139" w:rsidP="00B01CD2">
            <w:pPr>
              <w:rPr>
                <w:color w:val="000000"/>
              </w:rPr>
            </w:pPr>
            <w:r>
              <w:rPr>
                <w:color w:val="000000"/>
              </w:rPr>
              <w:t>HIV</w:t>
            </w:r>
          </w:p>
        </w:tc>
        <w:tc>
          <w:tcPr>
            <w:tcW w:w="3987" w:type="pct"/>
            <w:gridSpan w:val="2"/>
            <w:tcBorders>
              <w:top w:val="single" w:sz="8" w:space="0" w:color="002C47"/>
              <w:left w:val="single" w:sz="8" w:space="0" w:color="002C47"/>
              <w:bottom w:val="single" w:sz="8" w:space="0" w:color="002C47"/>
              <w:right w:val="single" w:sz="8" w:space="0" w:color="002C47"/>
            </w:tcBorders>
          </w:tcPr>
          <w:p w14:paraId="26B6D719" w14:textId="77777777" w:rsidR="003F6139" w:rsidRDefault="003F6139" w:rsidP="00B01CD2">
            <w:r>
              <w:t>Human immunodeficiency virus</w:t>
            </w:r>
          </w:p>
        </w:tc>
      </w:tr>
      <w:tr w:rsidR="003F6139" w14:paraId="6B1BFF85"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2DA7893C" w14:textId="77777777" w:rsidR="003F6139" w:rsidRDefault="003F6139" w:rsidP="00B01CD2">
            <w:pPr>
              <w:rPr>
                <w:color w:val="000000"/>
              </w:rPr>
            </w:pPr>
            <w:r>
              <w:rPr>
                <w:color w:val="000000"/>
              </w:rPr>
              <w:t>IA</w:t>
            </w:r>
          </w:p>
        </w:tc>
        <w:tc>
          <w:tcPr>
            <w:tcW w:w="3987" w:type="pct"/>
            <w:gridSpan w:val="2"/>
            <w:tcBorders>
              <w:top w:val="single" w:sz="8" w:space="0" w:color="002C47"/>
              <w:left w:val="single" w:sz="8" w:space="0" w:color="002C47"/>
              <w:bottom w:val="single" w:sz="8" w:space="0" w:color="002C47"/>
              <w:right w:val="single" w:sz="8" w:space="0" w:color="002C47"/>
            </w:tcBorders>
          </w:tcPr>
          <w:p w14:paraId="0F487E25" w14:textId="77777777" w:rsidR="003F6139" w:rsidRDefault="003F6139" w:rsidP="00B01CD2">
            <w:r>
              <w:rPr>
                <w:lang w:eastAsia="ja-JP"/>
              </w:rPr>
              <w:t>I</w:t>
            </w:r>
            <w:r w:rsidRPr="00B725B6">
              <w:rPr>
                <w:lang w:eastAsia="ja-JP"/>
              </w:rPr>
              <w:t>nterim analysis</w:t>
            </w:r>
          </w:p>
        </w:tc>
      </w:tr>
      <w:tr w:rsidR="003F6139" w14:paraId="75D11D54"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2C26865B" w14:textId="77777777" w:rsidR="003F6139" w:rsidRDefault="003F6139" w:rsidP="00B01CD2">
            <w:pPr>
              <w:rPr>
                <w:color w:val="000000"/>
              </w:rPr>
            </w:pPr>
            <w:r>
              <w:t>IC</w:t>
            </w:r>
            <w:r w:rsidRPr="007C4D33">
              <w:rPr>
                <w:vertAlign w:val="subscript"/>
              </w:rPr>
              <w:t>50</w:t>
            </w:r>
          </w:p>
        </w:tc>
        <w:tc>
          <w:tcPr>
            <w:tcW w:w="3987" w:type="pct"/>
            <w:gridSpan w:val="2"/>
            <w:tcBorders>
              <w:top w:val="single" w:sz="8" w:space="0" w:color="002C47"/>
              <w:left w:val="single" w:sz="8" w:space="0" w:color="002C47"/>
              <w:bottom w:val="single" w:sz="8" w:space="0" w:color="002C47"/>
              <w:right w:val="single" w:sz="8" w:space="0" w:color="002C47"/>
            </w:tcBorders>
          </w:tcPr>
          <w:p w14:paraId="5CFD2068" w14:textId="77777777" w:rsidR="003F6139" w:rsidRDefault="003F6139" w:rsidP="00B01CD2">
            <w:pPr>
              <w:rPr>
                <w:color w:val="000000"/>
              </w:rPr>
            </w:pPr>
            <w:r>
              <w:rPr>
                <w:color w:val="000000"/>
              </w:rPr>
              <w:t>Inhibitory concentration, 50%</w:t>
            </w:r>
          </w:p>
        </w:tc>
      </w:tr>
      <w:tr w:rsidR="003F6139" w14:paraId="2713F6C2"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725F20C4" w14:textId="77777777" w:rsidR="003F6139" w:rsidRDefault="003F6139" w:rsidP="00B01CD2">
            <w:pPr>
              <w:rPr>
                <w:color w:val="000000"/>
              </w:rPr>
            </w:pPr>
            <w:r>
              <w:rPr>
                <w:color w:val="000000"/>
              </w:rPr>
              <w:t>IgA</w:t>
            </w:r>
          </w:p>
        </w:tc>
        <w:tc>
          <w:tcPr>
            <w:tcW w:w="3987" w:type="pct"/>
            <w:gridSpan w:val="2"/>
            <w:tcBorders>
              <w:top w:val="single" w:sz="8" w:space="0" w:color="002C47"/>
              <w:left w:val="single" w:sz="8" w:space="0" w:color="002C47"/>
              <w:bottom w:val="single" w:sz="8" w:space="0" w:color="002C47"/>
              <w:right w:val="single" w:sz="8" w:space="0" w:color="002C47"/>
            </w:tcBorders>
          </w:tcPr>
          <w:p w14:paraId="4678E5C8" w14:textId="77777777" w:rsidR="003F6139" w:rsidRDefault="003F6139" w:rsidP="00B01CD2">
            <w:pPr>
              <w:rPr>
                <w:rFonts w:eastAsiaTheme="minorHAnsi" w:cs="Calibri"/>
                <w:color w:val="000000"/>
              </w:rPr>
            </w:pPr>
            <w:r>
              <w:rPr>
                <w:rFonts w:eastAsiaTheme="minorHAnsi" w:cs="Calibri"/>
                <w:color w:val="000000"/>
              </w:rPr>
              <w:t>Immunoglobin A</w:t>
            </w:r>
          </w:p>
        </w:tc>
      </w:tr>
      <w:tr w:rsidR="003F6139" w14:paraId="614C429C"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43EE46CB" w14:textId="77777777" w:rsidR="003F6139" w:rsidRDefault="003F6139" w:rsidP="00B01CD2">
            <w:pPr>
              <w:rPr>
                <w:color w:val="000000"/>
              </w:rPr>
            </w:pPr>
            <w:proofErr w:type="spellStart"/>
            <w:r>
              <w:rPr>
                <w:color w:val="000000"/>
              </w:rPr>
              <w:t>IMiD</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271EBD2E" w14:textId="648BF9AA" w:rsidR="003F6139" w:rsidRDefault="003F6139">
            <w:pPr>
              <w:rPr>
                <w:color w:val="000000"/>
              </w:rPr>
            </w:pPr>
            <w:r>
              <w:rPr>
                <w:color w:val="000000"/>
              </w:rPr>
              <w:t>I</w:t>
            </w:r>
            <w:r w:rsidRPr="000823B9">
              <w:rPr>
                <w:color w:val="000000"/>
              </w:rPr>
              <w:t xml:space="preserve">mmunomodulatory </w:t>
            </w:r>
            <w:r w:rsidR="00A92905">
              <w:rPr>
                <w:color w:val="000000"/>
              </w:rPr>
              <w:t>imide</w:t>
            </w:r>
            <w:r w:rsidR="00A92905" w:rsidRPr="000823B9">
              <w:rPr>
                <w:color w:val="000000"/>
              </w:rPr>
              <w:t xml:space="preserve"> </w:t>
            </w:r>
            <w:r w:rsidR="003A366E">
              <w:rPr>
                <w:color w:val="000000"/>
              </w:rPr>
              <w:t>drug / immunomodulatory drug product</w:t>
            </w:r>
          </w:p>
        </w:tc>
      </w:tr>
      <w:tr w:rsidR="003F6139" w14:paraId="08D1F565"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45A43DA7" w14:textId="77777777" w:rsidR="003F6139" w:rsidRDefault="003F6139" w:rsidP="00B01CD2">
            <w:pPr>
              <w:rPr>
                <w:color w:val="000000"/>
              </w:rPr>
            </w:pPr>
            <w:r>
              <w:rPr>
                <w:color w:val="000000"/>
              </w:rPr>
              <w:t>IMWG</w:t>
            </w:r>
          </w:p>
        </w:tc>
        <w:tc>
          <w:tcPr>
            <w:tcW w:w="3987" w:type="pct"/>
            <w:gridSpan w:val="2"/>
            <w:tcBorders>
              <w:top w:val="single" w:sz="8" w:space="0" w:color="002C47"/>
              <w:left w:val="single" w:sz="8" w:space="0" w:color="002C47"/>
              <w:bottom w:val="single" w:sz="8" w:space="0" w:color="002C47"/>
              <w:right w:val="single" w:sz="8" w:space="0" w:color="002C47"/>
            </w:tcBorders>
          </w:tcPr>
          <w:p w14:paraId="48DE077C" w14:textId="77777777" w:rsidR="003F6139" w:rsidRDefault="003F6139" w:rsidP="00B01CD2">
            <w:pPr>
              <w:rPr>
                <w:rFonts w:eastAsiaTheme="minorHAnsi" w:cs="Calibri"/>
                <w:color w:val="000000"/>
              </w:rPr>
            </w:pPr>
            <w:r w:rsidRPr="00B40FF4">
              <w:t>International Myeloma Working Group</w:t>
            </w:r>
          </w:p>
        </w:tc>
      </w:tr>
      <w:tr w:rsidR="003F6139" w14:paraId="61B6A8F1"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79BFD2E5" w14:textId="77777777" w:rsidR="003F6139" w:rsidRDefault="003F6139" w:rsidP="00B01CD2">
            <w:pPr>
              <w:rPr>
                <w:color w:val="000000"/>
              </w:rPr>
            </w:pPr>
            <w:r>
              <w:rPr>
                <w:color w:val="000000"/>
              </w:rPr>
              <w:t>IRC</w:t>
            </w:r>
          </w:p>
        </w:tc>
        <w:tc>
          <w:tcPr>
            <w:tcW w:w="3987" w:type="pct"/>
            <w:gridSpan w:val="2"/>
            <w:tcBorders>
              <w:top w:val="single" w:sz="8" w:space="0" w:color="002C47"/>
              <w:left w:val="single" w:sz="8" w:space="0" w:color="002C47"/>
              <w:bottom w:val="single" w:sz="8" w:space="0" w:color="002C47"/>
              <w:right w:val="single" w:sz="8" w:space="0" w:color="002C47"/>
            </w:tcBorders>
          </w:tcPr>
          <w:p w14:paraId="4F0A85AA" w14:textId="77777777" w:rsidR="003F6139" w:rsidRDefault="003F6139" w:rsidP="00B01CD2">
            <w:r>
              <w:t>I</w:t>
            </w:r>
            <w:r w:rsidRPr="0058247A">
              <w:t>ndependent review committees</w:t>
            </w:r>
          </w:p>
        </w:tc>
      </w:tr>
      <w:tr w:rsidR="003F6139" w14:paraId="04BB265A"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377C0BC1" w14:textId="77777777" w:rsidR="003F6139" w:rsidRDefault="003F6139" w:rsidP="00B01CD2">
            <w:pPr>
              <w:rPr>
                <w:color w:val="000000"/>
              </w:rPr>
            </w:pPr>
            <w:r>
              <w:rPr>
                <w:color w:val="000000"/>
              </w:rPr>
              <w:t>ITT</w:t>
            </w:r>
          </w:p>
        </w:tc>
        <w:tc>
          <w:tcPr>
            <w:tcW w:w="3987" w:type="pct"/>
            <w:gridSpan w:val="2"/>
            <w:tcBorders>
              <w:top w:val="single" w:sz="8" w:space="0" w:color="002C47"/>
              <w:left w:val="single" w:sz="8" w:space="0" w:color="002C47"/>
              <w:bottom w:val="single" w:sz="8" w:space="0" w:color="002C47"/>
              <w:right w:val="single" w:sz="8" w:space="0" w:color="002C47"/>
            </w:tcBorders>
          </w:tcPr>
          <w:p w14:paraId="2CDBBBAA" w14:textId="77777777" w:rsidR="003F6139" w:rsidRDefault="003F6139" w:rsidP="00B01CD2">
            <w:r>
              <w:t>Intent to treat</w:t>
            </w:r>
          </w:p>
        </w:tc>
      </w:tr>
      <w:tr w:rsidR="003F6139" w14:paraId="6E95F425"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1ABB0A03" w14:textId="77777777" w:rsidR="003F6139" w:rsidRDefault="003F6139" w:rsidP="00B01CD2">
            <w:pPr>
              <w:rPr>
                <w:color w:val="000000"/>
              </w:rPr>
            </w:pPr>
            <w:r>
              <w:rPr>
                <w:color w:val="000000"/>
              </w:rPr>
              <w:t>K</w:t>
            </w:r>
            <w:r w:rsidRPr="00B15798">
              <w:rPr>
                <w:color w:val="000000"/>
                <w:vertAlign w:val="subscript"/>
              </w:rPr>
              <w:t>a</w:t>
            </w:r>
          </w:p>
        </w:tc>
        <w:tc>
          <w:tcPr>
            <w:tcW w:w="3987" w:type="pct"/>
            <w:gridSpan w:val="2"/>
            <w:tcBorders>
              <w:top w:val="single" w:sz="8" w:space="0" w:color="002C47"/>
              <w:left w:val="single" w:sz="8" w:space="0" w:color="002C47"/>
              <w:bottom w:val="single" w:sz="8" w:space="0" w:color="002C47"/>
              <w:right w:val="single" w:sz="8" w:space="0" w:color="002C47"/>
            </w:tcBorders>
          </w:tcPr>
          <w:p w14:paraId="147BDB3A" w14:textId="77777777" w:rsidR="003F6139" w:rsidRDefault="003F6139" w:rsidP="00B01CD2">
            <w:pPr>
              <w:rPr>
                <w:color w:val="000000"/>
              </w:rPr>
            </w:pPr>
            <w:r>
              <w:t>A</w:t>
            </w:r>
            <w:r w:rsidRPr="009B0C6F">
              <w:t>bsorption rate constant</w:t>
            </w:r>
          </w:p>
        </w:tc>
      </w:tr>
      <w:tr w:rsidR="003F6139" w14:paraId="0C2C9EB4"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09C41280" w14:textId="77777777" w:rsidR="003F6139" w:rsidRDefault="003F6139" w:rsidP="00B01CD2">
            <w:pPr>
              <w:rPr>
                <w:color w:val="000000"/>
              </w:rPr>
            </w:pPr>
            <w:proofErr w:type="spellStart"/>
            <w:r>
              <w:rPr>
                <w:color w:val="000000"/>
              </w:rPr>
              <w:t>mAB</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42067112" w14:textId="77777777" w:rsidR="003F6139" w:rsidRDefault="003F6139" w:rsidP="00B01CD2">
            <w:pPr>
              <w:rPr>
                <w:color w:val="000000"/>
              </w:rPr>
            </w:pPr>
            <w:r>
              <w:rPr>
                <w:color w:val="000000"/>
              </w:rPr>
              <w:t>Monoclonal antibody</w:t>
            </w:r>
          </w:p>
        </w:tc>
      </w:tr>
      <w:tr w:rsidR="003F6139" w14:paraId="4BFD40E4"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26D106BB" w14:textId="77777777" w:rsidR="003F6139" w:rsidRDefault="003F6139" w:rsidP="00B01CD2">
            <w:pPr>
              <w:rPr>
                <w:color w:val="000000"/>
              </w:rPr>
            </w:pPr>
            <w:proofErr w:type="spellStart"/>
            <w:r>
              <w:rPr>
                <w:color w:val="000000"/>
              </w:rPr>
              <w:t>mITT</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3BFBF546" w14:textId="77777777" w:rsidR="003F6139" w:rsidRDefault="003F6139" w:rsidP="00B01CD2">
            <w:r>
              <w:t>Modified intent to treat</w:t>
            </w:r>
          </w:p>
        </w:tc>
      </w:tr>
      <w:tr w:rsidR="003F6139" w14:paraId="36F31DB0"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4DAF4916" w14:textId="77777777" w:rsidR="003F6139" w:rsidRDefault="003F6139" w:rsidP="00B01CD2">
            <w:pPr>
              <w:rPr>
                <w:color w:val="000000"/>
              </w:rPr>
            </w:pPr>
            <w:r>
              <w:rPr>
                <w:color w:val="000000"/>
              </w:rPr>
              <w:t>MR</w:t>
            </w:r>
          </w:p>
        </w:tc>
        <w:tc>
          <w:tcPr>
            <w:tcW w:w="3987" w:type="pct"/>
            <w:gridSpan w:val="2"/>
            <w:tcBorders>
              <w:top w:val="single" w:sz="8" w:space="0" w:color="002C47"/>
              <w:left w:val="single" w:sz="8" w:space="0" w:color="002C47"/>
              <w:bottom w:val="single" w:sz="8" w:space="0" w:color="002C47"/>
              <w:right w:val="single" w:sz="8" w:space="0" w:color="002C47"/>
            </w:tcBorders>
          </w:tcPr>
          <w:p w14:paraId="5893BE29" w14:textId="77777777" w:rsidR="003F6139" w:rsidRDefault="003F6139" w:rsidP="00B01CD2">
            <w:r>
              <w:t>Minimal response</w:t>
            </w:r>
          </w:p>
        </w:tc>
      </w:tr>
      <w:tr w:rsidR="003F6139" w14:paraId="45D786CB"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27C6A6E8" w14:textId="77777777" w:rsidR="003F6139" w:rsidRDefault="003F6139" w:rsidP="00B01CD2">
            <w:pPr>
              <w:rPr>
                <w:color w:val="000000"/>
              </w:rPr>
            </w:pPr>
            <w:r>
              <w:rPr>
                <w:color w:val="000000"/>
              </w:rPr>
              <w:t>mTOR</w:t>
            </w:r>
          </w:p>
        </w:tc>
        <w:tc>
          <w:tcPr>
            <w:tcW w:w="3987" w:type="pct"/>
            <w:gridSpan w:val="2"/>
            <w:tcBorders>
              <w:top w:val="single" w:sz="8" w:space="0" w:color="002C47"/>
              <w:left w:val="single" w:sz="8" w:space="0" w:color="002C47"/>
              <w:bottom w:val="single" w:sz="8" w:space="0" w:color="002C47"/>
              <w:right w:val="single" w:sz="8" w:space="0" w:color="002C47"/>
            </w:tcBorders>
          </w:tcPr>
          <w:p w14:paraId="0AFDCE14" w14:textId="77777777" w:rsidR="003F6139" w:rsidRDefault="003F6139" w:rsidP="00B01CD2">
            <w:pPr>
              <w:rPr>
                <w:color w:val="000000"/>
              </w:rPr>
            </w:pPr>
            <w:r>
              <w:rPr>
                <w:color w:val="000000"/>
              </w:rPr>
              <w:t>M</w:t>
            </w:r>
            <w:r w:rsidRPr="000823B9">
              <w:rPr>
                <w:color w:val="000000"/>
              </w:rPr>
              <w:t>ammalian target of rapamycin</w:t>
            </w:r>
          </w:p>
        </w:tc>
      </w:tr>
      <w:tr w:rsidR="003F6139" w14:paraId="5D11321D"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785AF60E" w14:textId="77777777" w:rsidR="003F6139" w:rsidRDefault="003F6139" w:rsidP="00B01CD2">
            <w:pPr>
              <w:rPr>
                <w:color w:val="000000"/>
              </w:rPr>
            </w:pPr>
            <w:r>
              <w:rPr>
                <w:color w:val="000000"/>
              </w:rPr>
              <w:t>NYHA</w:t>
            </w:r>
          </w:p>
        </w:tc>
        <w:tc>
          <w:tcPr>
            <w:tcW w:w="3987" w:type="pct"/>
            <w:gridSpan w:val="2"/>
            <w:tcBorders>
              <w:top w:val="single" w:sz="8" w:space="0" w:color="002C47"/>
              <w:left w:val="single" w:sz="8" w:space="0" w:color="002C47"/>
              <w:bottom w:val="single" w:sz="8" w:space="0" w:color="002C47"/>
              <w:right w:val="single" w:sz="8" w:space="0" w:color="002C47"/>
            </w:tcBorders>
          </w:tcPr>
          <w:p w14:paraId="549E6EE5" w14:textId="77777777" w:rsidR="003F6139" w:rsidRDefault="003F6139" w:rsidP="00B01CD2">
            <w:pPr>
              <w:rPr>
                <w:rFonts w:eastAsiaTheme="minorHAnsi" w:cs="Calibri"/>
                <w:color w:val="000000"/>
              </w:rPr>
            </w:pPr>
            <w:r>
              <w:t>New York Heart Association</w:t>
            </w:r>
          </w:p>
        </w:tc>
      </w:tr>
      <w:tr w:rsidR="003F6139" w14:paraId="12E08F11"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77BC6417" w14:textId="77777777" w:rsidR="003F6139" w:rsidRDefault="003F6139" w:rsidP="00B01CD2">
            <w:pPr>
              <w:rPr>
                <w:color w:val="000000"/>
              </w:rPr>
            </w:pPr>
            <w:r>
              <w:rPr>
                <w:color w:val="000000"/>
              </w:rPr>
              <w:t>ORR</w:t>
            </w:r>
          </w:p>
        </w:tc>
        <w:tc>
          <w:tcPr>
            <w:tcW w:w="3987" w:type="pct"/>
            <w:gridSpan w:val="2"/>
            <w:tcBorders>
              <w:top w:val="single" w:sz="8" w:space="0" w:color="002C47"/>
              <w:left w:val="single" w:sz="8" w:space="0" w:color="002C47"/>
              <w:bottom w:val="single" w:sz="8" w:space="0" w:color="002C47"/>
              <w:right w:val="single" w:sz="8" w:space="0" w:color="002C47"/>
            </w:tcBorders>
          </w:tcPr>
          <w:p w14:paraId="1158B33B" w14:textId="77777777" w:rsidR="003F6139" w:rsidRDefault="003F6139" w:rsidP="00B01CD2">
            <w:r>
              <w:t>Overall response rate</w:t>
            </w:r>
          </w:p>
        </w:tc>
      </w:tr>
      <w:tr w:rsidR="003F6139" w14:paraId="58453572"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4BDD2E3B" w14:textId="77777777" w:rsidR="003F6139" w:rsidRDefault="003F6139" w:rsidP="00B01CD2">
            <w:pPr>
              <w:rPr>
                <w:color w:val="000000"/>
              </w:rPr>
            </w:pPr>
            <w:r>
              <w:rPr>
                <w:color w:val="000000"/>
              </w:rPr>
              <w:t>OS</w:t>
            </w:r>
          </w:p>
        </w:tc>
        <w:tc>
          <w:tcPr>
            <w:tcW w:w="3987" w:type="pct"/>
            <w:gridSpan w:val="2"/>
            <w:tcBorders>
              <w:top w:val="single" w:sz="8" w:space="0" w:color="002C47"/>
              <w:left w:val="single" w:sz="8" w:space="0" w:color="002C47"/>
              <w:bottom w:val="single" w:sz="8" w:space="0" w:color="002C47"/>
              <w:right w:val="single" w:sz="8" w:space="0" w:color="002C47"/>
            </w:tcBorders>
          </w:tcPr>
          <w:p w14:paraId="7F4369F7" w14:textId="77777777" w:rsidR="003F6139" w:rsidRDefault="003F6139" w:rsidP="00B01CD2">
            <w:pPr>
              <w:rPr>
                <w:color w:val="000000"/>
              </w:rPr>
            </w:pPr>
            <w:r>
              <w:rPr>
                <w:color w:val="000000"/>
              </w:rPr>
              <w:t>Overall survival</w:t>
            </w:r>
          </w:p>
        </w:tc>
      </w:tr>
      <w:tr w:rsidR="003F6139" w14:paraId="0BD3E611"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7220350C" w14:textId="77777777" w:rsidR="003F6139" w:rsidRDefault="003F6139" w:rsidP="00B01CD2">
            <w:pPr>
              <w:rPr>
                <w:color w:val="000000"/>
              </w:rPr>
            </w:pPr>
            <w:r>
              <w:rPr>
                <w:color w:val="000000"/>
              </w:rPr>
              <w:t>PFS</w:t>
            </w:r>
          </w:p>
        </w:tc>
        <w:tc>
          <w:tcPr>
            <w:tcW w:w="3987" w:type="pct"/>
            <w:gridSpan w:val="2"/>
            <w:tcBorders>
              <w:top w:val="single" w:sz="8" w:space="0" w:color="002C47"/>
              <w:left w:val="single" w:sz="8" w:space="0" w:color="002C47"/>
              <w:bottom w:val="single" w:sz="8" w:space="0" w:color="002C47"/>
              <w:right w:val="single" w:sz="8" w:space="0" w:color="002C47"/>
            </w:tcBorders>
          </w:tcPr>
          <w:p w14:paraId="589FF702" w14:textId="77777777" w:rsidR="003F6139" w:rsidRDefault="003F6139" w:rsidP="00B01CD2">
            <w:pPr>
              <w:rPr>
                <w:color w:val="000000"/>
              </w:rPr>
            </w:pPr>
            <w:r>
              <w:t>Progression free survival</w:t>
            </w:r>
          </w:p>
        </w:tc>
      </w:tr>
      <w:tr w:rsidR="003F6139" w14:paraId="15EFB79A"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5B2DC196" w14:textId="77777777" w:rsidR="003F6139" w:rsidRDefault="003F6139" w:rsidP="00B01CD2">
            <w:pPr>
              <w:rPr>
                <w:color w:val="000000"/>
              </w:rPr>
            </w:pPr>
            <w:r>
              <w:rPr>
                <w:color w:val="000000"/>
              </w:rPr>
              <w:t>PI</w:t>
            </w:r>
          </w:p>
        </w:tc>
        <w:tc>
          <w:tcPr>
            <w:tcW w:w="3987" w:type="pct"/>
            <w:gridSpan w:val="2"/>
            <w:tcBorders>
              <w:top w:val="single" w:sz="8" w:space="0" w:color="002C47"/>
              <w:left w:val="single" w:sz="8" w:space="0" w:color="002C47"/>
              <w:bottom w:val="single" w:sz="8" w:space="0" w:color="002C47"/>
              <w:right w:val="single" w:sz="8" w:space="0" w:color="002C47"/>
            </w:tcBorders>
          </w:tcPr>
          <w:p w14:paraId="0568862A" w14:textId="77777777" w:rsidR="003F6139" w:rsidRDefault="003F6139" w:rsidP="00B01CD2">
            <w:pPr>
              <w:rPr>
                <w:color w:val="000000"/>
              </w:rPr>
            </w:pPr>
            <w:r>
              <w:rPr>
                <w:color w:val="000000"/>
              </w:rPr>
              <w:t>Product Information</w:t>
            </w:r>
          </w:p>
        </w:tc>
      </w:tr>
      <w:tr w:rsidR="003F6139" w14:paraId="0FFBE8AD"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28634738" w14:textId="77777777" w:rsidR="003F6139" w:rsidRDefault="003F6139" w:rsidP="00B01CD2">
            <w:pPr>
              <w:rPr>
                <w:color w:val="000000"/>
              </w:rPr>
            </w:pPr>
            <w:r>
              <w:rPr>
                <w:color w:val="000000"/>
              </w:rPr>
              <w:t>PP</w:t>
            </w:r>
          </w:p>
        </w:tc>
        <w:tc>
          <w:tcPr>
            <w:tcW w:w="3987" w:type="pct"/>
            <w:gridSpan w:val="2"/>
            <w:tcBorders>
              <w:top w:val="single" w:sz="8" w:space="0" w:color="002C47"/>
              <w:left w:val="single" w:sz="8" w:space="0" w:color="002C47"/>
              <w:bottom w:val="single" w:sz="8" w:space="0" w:color="002C47"/>
              <w:right w:val="single" w:sz="8" w:space="0" w:color="002C47"/>
            </w:tcBorders>
          </w:tcPr>
          <w:p w14:paraId="03AFF2A2" w14:textId="77777777" w:rsidR="003F6139" w:rsidRDefault="003F6139" w:rsidP="00B01CD2">
            <w:r>
              <w:t>Per-protocol</w:t>
            </w:r>
          </w:p>
        </w:tc>
      </w:tr>
      <w:tr w:rsidR="003F6139" w14:paraId="51007D00"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4E19F4B0" w14:textId="77777777" w:rsidR="003F6139" w:rsidRDefault="003F6139" w:rsidP="00B01CD2">
            <w:pPr>
              <w:rPr>
                <w:color w:val="000000"/>
              </w:rPr>
            </w:pPr>
            <w:r>
              <w:rPr>
                <w:color w:val="000000"/>
              </w:rPr>
              <w:t>PR</w:t>
            </w:r>
          </w:p>
        </w:tc>
        <w:tc>
          <w:tcPr>
            <w:tcW w:w="3987" w:type="pct"/>
            <w:gridSpan w:val="2"/>
            <w:tcBorders>
              <w:top w:val="single" w:sz="8" w:space="0" w:color="002C47"/>
              <w:left w:val="single" w:sz="8" w:space="0" w:color="002C47"/>
              <w:bottom w:val="single" w:sz="8" w:space="0" w:color="002C47"/>
              <w:right w:val="single" w:sz="8" w:space="0" w:color="002C47"/>
            </w:tcBorders>
          </w:tcPr>
          <w:p w14:paraId="54CCD47C" w14:textId="77777777" w:rsidR="003F6139" w:rsidRDefault="003F6139" w:rsidP="00B01CD2">
            <w:pPr>
              <w:rPr>
                <w:rFonts w:eastAsiaTheme="minorHAnsi" w:cs="Calibri"/>
                <w:color w:val="000000"/>
              </w:rPr>
            </w:pPr>
            <w:r>
              <w:rPr>
                <w:rFonts w:eastAsiaTheme="minorHAnsi" w:cs="Calibri"/>
                <w:color w:val="000000"/>
              </w:rPr>
              <w:t>Partial response</w:t>
            </w:r>
          </w:p>
        </w:tc>
      </w:tr>
      <w:tr w:rsidR="003F6139" w14:paraId="57481D68"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1AC84EAE" w14:textId="77777777" w:rsidR="003F6139" w:rsidRDefault="003F6139" w:rsidP="00B01CD2">
            <w:pPr>
              <w:rPr>
                <w:color w:val="000000"/>
              </w:rPr>
            </w:pPr>
            <w:r>
              <w:rPr>
                <w:color w:val="000000"/>
              </w:rPr>
              <w:t>Q/F</w:t>
            </w:r>
          </w:p>
        </w:tc>
        <w:tc>
          <w:tcPr>
            <w:tcW w:w="3987" w:type="pct"/>
            <w:gridSpan w:val="2"/>
            <w:tcBorders>
              <w:top w:val="single" w:sz="8" w:space="0" w:color="002C47"/>
              <w:left w:val="single" w:sz="8" w:space="0" w:color="002C47"/>
              <w:bottom w:val="single" w:sz="8" w:space="0" w:color="002C47"/>
              <w:right w:val="single" w:sz="8" w:space="0" w:color="002C47"/>
            </w:tcBorders>
          </w:tcPr>
          <w:p w14:paraId="117F2F59" w14:textId="77777777" w:rsidR="003F6139" w:rsidRDefault="003F6139" w:rsidP="00B01CD2">
            <w:pPr>
              <w:rPr>
                <w:color w:val="000000"/>
              </w:rPr>
            </w:pPr>
            <w:r>
              <w:t>A</w:t>
            </w:r>
            <w:r w:rsidRPr="009B0C6F">
              <w:t>pparent intercompartmental clearance</w:t>
            </w:r>
          </w:p>
        </w:tc>
      </w:tr>
      <w:tr w:rsidR="003F6139" w14:paraId="6E170543"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049D01D7" w14:textId="77777777" w:rsidR="003F6139" w:rsidRDefault="003F6139" w:rsidP="00B01CD2">
            <w:pPr>
              <w:rPr>
                <w:color w:val="000000"/>
              </w:rPr>
            </w:pPr>
            <w:r w:rsidRPr="00793B55">
              <w:rPr>
                <w:color w:val="000000"/>
              </w:rPr>
              <w:t>R-ISS</w:t>
            </w:r>
          </w:p>
        </w:tc>
        <w:tc>
          <w:tcPr>
            <w:tcW w:w="3987" w:type="pct"/>
            <w:gridSpan w:val="2"/>
            <w:tcBorders>
              <w:top w:val="single" w:sz="8" w:space="0" w:color="002C47"/>
              <w:left w:val="single" w:sz="8" w:space="0" w:color="002C47"/>
              <w:bottom w:val="single" w:sz="8" w:space="0" w:color="002C47"/>
              <w:right w:val="single" w:sz="8" w:space="0" w:color="002C47"/>
            </w:tcBorders>
          </w:tcPr>
          <w:p w14:paraId="165C4D88" w14:textId="77777777" w:rsidR="003F6139" w:rsidRDefault="003F6139" w:rsidP="00B01CD2">
            <w:pPr>
              <w:rPr>
                <w:rFonts w:eastAsiaTheme="minorHAnsi" w:cs="Calibri"/>
                <w:color w:val="000000"/>
              </w:rPr>
            </w:pPr>
            <w:r w:rsidRPr="00793B55">
              <w:rPr>
                <w:rFonts w:eastAsiaTheme="minorHAnsi" w:cs="Calibri"/>
                <w:color w:val="000000"/>
              </w:rPr>
              <w:t>Revised International Staging System</w:t>
            </w:r>
          </w:p>
        </w:tc>
      </w:tr>
      <w:tr w:rsidR="003F6139" w14:paraId="0D79E992"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431D7A6" w14:textId="77777777" w:rsidR="003F6139" w:rsidRDefault="003F6139" w:rsidP="00B01CD2">
            <w:r>
              <w:t>RMP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72ABBF9" w14:textId="77777777" w:rsidR="003F6139" w:rsidRDefault="003F6139" w:rsidP="00B01CD2">
            <w:r>
              <w:t>Risk management plan</w:t>
            </w:r>
          </w:p>
        </w:tc>
      </w:tr>
      <w:tr w:rsidR="003F6139" w14:paraId="321388EC"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19023CAA" w14:textId="77777777" w:rsidR="003F6139" w:rsidRDefault="003F6139" w:rsidP="00B01CD2">
            <w:pPr>
              <w:rPr>
                <w:color w:val="000000"/>
              </w:rPr>
            </w:pPr>
            <w:r>
              <w:rPr>
                <w:color w:val="000000"/>
              </w:rPr>
              <w:t>RNA</w:t>
            </w:r>
          </w:p>
        </w:tc>
        <w:tc>
          <w:tcPr>
            <w:tcW w:w="3987" w:type="pct"/>
            <w:gridSpan w:val="2"/>
            <w:tcBorders>
              <w:top w:val="single" w:sz="8" w:space="0" w:color="002C47"/>
              <w:left w:val="single" w:sz="8" w:space="0" w:color="002C47"/>
              <w:bottom w:val="single" w:sz="8" w:space="0" w:color="002C47"/>
              <w:right w:val="single" w:sz="8" w:space="0" w:color="002C47"/>
            </w:tcBorders>
          </w:tcPr>
          <w:p w14:paraId="05DE0932" w14:textId="77777777" w:rsidR="003F6139" w:rsidRDefault="003F6139" w:rsidP="00B01CD2">
            <w:r>
              <w:t>Ribonucleic acid</w:t>
            </w:r>
          </w:p>
        </w:tc>
      </w:tr>
      <w:tr w:rsidR="003F6139" w14:paraId="23271E48"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3278A3B2" w14:textId="77777777" w:rsidR="003F6139" w:rsidRDefault="003F6139" w:rsidP="00B01CD2">
            <w:pPr>
              <w:rPr>
                <w:color w:val="000000"/>
              </w:rPr>
            </w:pPr>
            <w:r>
              <w:rPr>
                <w:color w:val="000000"/>
              </w:rPr>
              <w:lastRenderedPageBreak/>
              <w:t>RR DLBCL</w:t>
            </w:r>
          </w:p>
        </w:tc>
        <w:tc>
          <w:tcPr>
            <w:tcW w:w="3987" w:type="pct"/>
            <w:gridSpan w:val="2"/>
            <w:tcBorders>
              <w:top w:val="single" w:sz="8" w:space="0" w:color="002C47"/>
              <w:left w:val="single" w:sz="8" w:space="0" w:color="002C47"/>
              <w:bottom w:val="single" w:sz="8" w:space="0" w:color="002C47"/>
              <w:right w:val="single" w:sz="8" w:space="0" w:color="002C47"/>
            </w:tcBorders>
          </w:tcPr>
          <w:p w14:paraId="592CB4F6" w14:textId="77777777" w:rsidR="003F6139" w:rsidRDefault="003F6139" w:rsidP="00B01CD2">
            <w:pPr>
              <w:rPr>
                <w:color w:val="000000"/>
              </w:rPr>
            </w:pPr>
            <w:r>
              <w:rPr>
                <w:color w:val="000000"/>
              </w:rPr>
              <w:t>R</w:t>
            </w:r>
            <w:r w:rsidRPr="000823B9">
              <w:rPr>
                <w:color w:val="000000"/>
              </w:rPr>
              <w:t>elapsed or refractory diffuse large B-cell lymphoma</w:t>
            </w:r>
          </w:p>
        </w:tc>
      </w:tr>
      <w:tr w:rsidR="003F6139" w14:paraId="031A03F4"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2EC16CA0" w14:textId="77777777" w:rsidR="003F6139" w:rsidRDefault="003F6139" w:rsidP="00B01CD2">
            <w:pPr>
              <w:rPr>
                <w:color w:val="000000"/>
              </w:rPr>
            </w:pPr>
            <w:r>
              <w:rPr>
                <w:color w:val="000000"/>
              </w:rPr>
              <w:t>RRMM</w:t>
            </w:r>
          </w:p>
        </w:tc>
        <w:tc>
          <w:tcPr>
            <w:tcW w:w="3987" w:type="pct"/>
            <w:gridSpan w:val="2"/>
            <w:tcBorders>
              <w:top w:val="single" w:sz="8" w:space="0" w:color="002C47"/>
              <w:left w:val="single" w:sz="8" w:space="0" w:color="002C47"/>
              <w:bottom w:val="single" w:sz="8" w:space="0" w:color="002C47"/>
              <w:right w:val="single" w:sz="8" w:space="0" w:color="002C47"/>
            </w:tcBorders>
          </w:tcPr>
          <w:p w14:paraId="4D710001" w14:textId="77777777" w:rsidR="003F6139" w:rsidRDefault="003F6139" w:rsidP="00B01CD2">
            <w:pPr>
              <w:rPr>
                <w:color w:val="000000"/>
              </w:rPr>
            </w:pPr>
            <w:r>
              <w:rPr>
                <w:color w:val="000000"/>
              </w:rPr>
              <w:t>R</w:t>
            </w:r>
            <w:r w:rsidRPr="000823B9">
              <w:rPr>
                <w:color w:val="000000"/>
              </w:rPr>
              <w:t>elapsed or refractory multiple myeloma</w:t>
            </w:r>
          </w:p>
        </w:tc>
      </w:tr>
      <w:tr w:rsidR="003F6139" w14:paraId="759B9DC1"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18165619" w14:textId="77777777" w:rsidR="003F6139" w:rsidRDefault="003F6139" w:rsidP="00B01CD2">
            <w:pPr>
              <w:rPr>
                <w:color w:val="000000"/>
              </w:rPr>
            </w:pPr>
            <w:r>
              <w:rPr>
                <w:color w:val="000000"/>
              </w:rPr>
              <w:t>SAE</w:t>
            </w:r>
          </w:p>
        </w:tc>
        <w:tc>
          <w:tcPr>
            <w:tcW w:w="3987" w:type="pct"/>
            <w:gridSpan w:val="2"/>
            <w:tcBorders>
              <w:top w:val="single" w:sz="8" w:space="0" w:color="002C47"/>
              <w:left w:val="single" w:sz="8" w:space="0" w:color="002C47"/>
              <w:bottom w:val="single" w:sz="8" w:space="0" w:color="002C47"/>
              <w:right w:val="single" w:sz="8" w:space="0" w:color="002C47"/>
            </w:tcBorders>
          </w:tcPr>
          <w:p w14:paraId="2BF1C83D" w14:textId="77777777" w:rsidR="003F6139" w:rsidRDefault="003F6139" w:rsidP="00B01CD2">
            <w:r>
              <w:t>Serious adverse event</w:t>
            </w:r>
          </w:p>
        </w:tc>
      </w:tr>
      <w:tr w:rsidR="003F6139" w14:paraId="231D035F"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6DFFEDE5" w14:textId="77777777" w:rsidR="003F6139" w:rsidRDefault="003F6139" w:rsidP="00B01CD2">
            <w:pPr>
              <w:rPr>
                <w:color w:val="000000"/>
              </w:rPr>
            </w:pPr>
            <w:proofErr w:type="spellStart"/>
            <w:r>
              <w:rPr>
                <w:color w:val="000000"/>
              </w:rPr>
              <w:t>sCR</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0E5662E7" w14:textId="77777777" w:rsidR="003F6139" w:rsidRDefault="003F6139" w:rsidP="00B01CD2">
            <w:r>
              <w:t>S</w:t>
            </w:r>
            <w:r w:rsidRPr="00021D96">
              <w:t>tringent complete response</w:t>
            </w:r>
          </w:p>
        </w:tc>
      </w:tr>
      <w:tr w:rsidR="003F6139" w14:paraId="7D47FD74"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2B1729FB" w14:textId="77777777" w:rsidR="003F6139" w:rsidRDefault="003F6139" w:rsidP="00B01CD2">
            <w:pPr>
              <w:rPr>
                <w:color w:val="000000"/>
              </w:rPr>
            </w:pPr>
            <w:r>
              <w:rPr>
                <w:color w:val="000000"/>
              </w:rPr>
              <w:t>Sd</w:t>
            </w:r>
          </w:p>
        </w:tc>
        <w:tc>
          <w:tcPr>
            <w:tcW w:w="3987" w:type="pct"/>
            <w:gridSpan w:val="2"/>
            <w:tcBorders>
              <w:top w:val="single" w:sz="8" w:space="0" w:color="002C47"/>
              <w:left w:val="single" w:sz="8" w:space="0" w:color="002C47"/>
              <w:bottom w:val="single" w:sz="8" w:space="0" w:color="002C47"/>
              <w:right w:val="single" w:sz="8" w:space="0" w:color="002C47"/>
            </w:tcBorders>
          </w:tcPr>
          <w:p w14:paraId="32B24D30" w14:textId="68F5D5EF" w:rsidR="003F6139" w:rsidRDefault="003F6139">
            <w:r>
              <w:t xml:space="preserve">Regimen of </w:t>
            </w:r>
            <w:proofErr w:type="spellStart"/>
            <w:r>
              <w:t>s</w:t>
            </w:r>
            <w:r w:rsidRPr="00C67E95">
              <w:t>elinexor</w:t>
            </w:r>
            <w:proofErr w:type="spellEnd"/>
            <w:r w:rsidRPr="00C67E95">
              <w:t xml:space="preserve"> </w:t>
            </w:r>
            <w:r w:rsidR="00B857CE">
              <w:t>and</w:t>
            </w:r>
            <w:r w:rsidRPr="00C67E95">
              <w:t xml:space="preserve"> dexamethasone</w:t>
            </w:r>
          </w:p>
        </w:tc>
      </w:tr>
      <w:tr w:rsidR="003F6139" w14:paraId="3A542668"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4DD3553C" w14:textId="77777777" w:rsidR="003F6139" w:rsidRDefault="003F6139" w:rsidP="00B01CD2">
            <w:pPr>
              <w:rPr>
                <w:color w:val="000000"/>
              </w:rPr>
            </w:pPr>
            <w:proofErr w:type="spellStart"/>
            <w:r>
              <w:rPr>
                <w:color w:val="000000"/>
              </w:rPr>
              <w:t>SdX</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3F79AFA5" w14:textId="77777777" w:rsidR="003F6139" w:rsidRDefault="003F6139" w:rsidP="00B01CD2">
            <w:r>
              <w:t>C</w:t>
            </w:r>
            <w:r w:rsidRPr="00F415EF">
              <w:t>ross</w:t>
            </w:r>
            <w:r>
              <w:t xml:space="preserve"> </w:t>
            </w:r>
            <w:r w:rsidRPr="00F415EF">
              <w:t>over to r</w:t>
            </w:r>
            <w:r>
              <w:t>egimen</w:t>
            </w:r>
            <w:r w:rsidRPr="00F415EF">
              <w:t xml:space="preserve"> </w:t>
            </w:r>
            <w:r>
              <w:t xml:space="preserve">of </w:t>
            </w:r>
            <w:proofErr w:type="spellStart"/>
            <w:r w:rsidRPr="00F415EF">
              <w:t>selinexor</w:t>
            </w:r>
            <w:proofErr w:type="spellEnd"/>
            <w:r w:rsidRPr="00F415EF">
              <w:t xml:space="preserve"> </w:t>
            </w:r>
            <w:r>
              <w:t>and</w:t>
            </w:r>
            <w:r w:rsidRPr="00F415EF">
              <w:t xml:space="preserve"> dexamethasone</w:t>
            </w:r>
          </w:p>
        </w:tc>
      </w:tr>
      <w:tr w:rsidR="003F6139" w14:paraId="7E78AC7D"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495238F9" w14:textId="77777777" w:rsidR="003F6139" w:rsidRDefault="003F6139" w:rsidP="00B01CD2">
            <w:pPr>
              <w:rPr>
                <w:color w:val="000000"/>
              </w:rPr>
            </w:pPr>
            <w:r>
              <w:rPr>
                <w:color w:val="000000"/>
              </w:rPr>
              <w:t>SINE</w:t>
            </w:r>
          </w:p>
        </w:tc>
        <w:tc>
          <w:tcPr>
            <w:tcW w:w="3987" w:type="pct"/>
            <w:gridSpan w:val="2"/>
            <w:tcBorders>
              <w:top w:val="single" w:sz="8" w:space="0" w:color="002C47"/>
              <w:left w:val="single" w:sz="8" w:space="0" w:color="002C47"/>
              <w:bottom w:val="single" w:sz="8" w:space="0" w:color="002C47"/>
              <w:right w:val="single" w:sz="8" w:space="0" w:color="002C47"/>
            </w:tcBorders>
          </w:tcPr>
          <w:p w14:paraId="72609673" w14:textId="77777777" w:rsidR="003F6139" w:rsidRDefault="003F6139" w:rsidP="00B01CD2">
            <w:pPr>
              <w:rPr>
                <w:color w:val="000000"/>
              </w:rPr>
            </w:pPr>
            <w:r>
              <w:t>Selective inhibitor of nuclear export</w:t>
            </w:r>
          </w:p>
        </w:tc>
      </w:tr>
      <w:tr w:rsidR="003F6139" w14:paraId="4A56DAD7"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767E3B35" w14:textId="77777777" w:rsidR="003F6139" w:rsidRDefault="003F6139" w:rsidP="00B01CD2">
            <w:pPr>
              <w:rPr>
                <w:color w:val="000000"/>
              </w:rPr>
            </w:pPr>
            <w:proofErr w:type="spellStart"/>
            <w:r w:rsidRPr="006F009F">
              <w:t>SVd</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63B24D93" w14:textId="77777777" w:rsidR="003F6139" w:rsidRDefault="003F6139" w:rsidP="00B01CD2">
            <w:pPr>
              <w:rPr>
                <w:rFonts w:eastAsiaTheme="minorHAnsi" w:cs="Calibri"/>
                <w:color w:val="000000"/>
              </w:rPr>
            </w:pPr>
            <w:r>
              <w:t xml:space="preserve">Regimen of </w:t>
            </w:r>
            <w:proofErr w:type="spellStart"/>
            <w:r>
              <w:t>s</w:t>
            </w:r>
            <w:r w:rsidRPr="006F009F">
              <w:t>elinexor</w:t>
            </w:r>
            <w:proofErr w:type="spellEnd"/>
            <w:r>
              <w:t xml:space="preserve">, </w:t>
            </w:r>
            <w:r w:rsidRPr="006F009F">
              <w:t>bortezomib and dexamethasone</w:t>
            </w:r>
          </w:p>
        </w:tc>
      </w:tr>
      <w:tr w:rsidR="003F6139" w14:paraId="07DC7070"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01164D2A" w14:textId="77777777" w:rsidR="003F6139" w:rsidRDefault="003F6139" w:rsidP="00B01CD2">
            <w:pPr>
              <w:rPr>
                <w:color w:val="000000"/>
              </w:rPr>
            </w:pPr>
            <w:proofErr w:type="spellStart"/>
            <w:r w:rsidRPr="00F415EF">
              <w:t>SVdX</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4F9AFCAE" w14:textId="77777777" w:rsidR="003F6139" w:rsidRDefault="003F6139" w:rsidP="00B01CD2">
            <w:r>
              <w:t xml:space="preserve">Cross over to regimen of </w:t>
            </w:r>
            <w:proofErr w:type="spellStart"/>
            <w:r>
              <w:t>s</w:t>
            </w:r>
            <w:r w:rsidRPr="006F009F">
              <w:t>elinexor</w:t>
            </w:r>
            <w:proofErr w:type="spellEnd"/>
            <w:r>
              <w:t xml:space="preserve">, </w:t>
            </w:r>
            <w:r w:rsidRPr="006F009F">
              <w:t>bortezomib and dexamethasone</w:t>
            </w:r>
          </w:p>
        </w:tc>
      </w:tr>
      <w:tr w:rsidR="003F6139" w14:paraId="0A9202D0"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2ED233BB" w14:textId="77777777" w:rsidR="003F6139" w:rsidRDefault="003F6139" w:rsidP="00B01CD2">
            <w:pPr>
              <w:rPr>
                <w:color w:val="000000"/>
              </w:rPr>
            </w:pPr>
            <w:r w:rsidRPr="0081556B">
              <w:rPr>
                <w:color w:val="000000"/>
              </w:rPr>
              <w:t>t</w:t>
            </w:r>
            <w:r w:rsidRPr="0081556B">
              <w:rPr>
                <w:color w:val="000000"/>
                <w:vertAlign w:val="subscript"/>
              </w:rPr>
              <w:t>1/2</w:t>
            </w:r>
          </w:p>
        </w:tc>
        <w:tc>
          <w:tcPr>
            <w:tcW w:w="3987" w:type="pct"/>
            <w:gridSpan w:val="2"/>
            <w:tcBorders>
              <w:top w:val="single" w:sz="8" w:space="0" w:color="002C47"/>
              <w:left w:val="single" w:sz="8" w:space="0" w:color="002C47"/>
              <w:bottom w:val="single" w:sz="8" w:space="0" w:color="002C47"/>
              <w:right w:val="single" w:sz="8" w:space="0" w:color="002C47"/>
            </w:tcBorders>
          </w:tcPr>
          <w:p w14:paraId="51176BDE" w14:textId="77777777" w:rsidR="003F6139" w:rsidRDefault="003F6139" w:rsidP="00B01CD2">
            <w:pPr>
              <w:rPr>
                <w:color w:val="000000"/>
              </w:rPr>
            </w:pPr>
            <w:r>
              <w:rPr>
                <w:color w:val="000000"/>
              </w:rPr>
              <w:t>Half life</w:t>
            </w:r>
          </w:p>
        </w:tc>
      </w:tr>
      <w:tr w:rsidR="003F6139" w14:paraId="4D421570"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1E828CE7" w14:textId="77777777" w:rsidR="003F6139" w:rsidRDefault="003F6139" w:rsidP="00B01CD2">
            <w:pPr>
              <w:rPr>
                <w:color w:val="000000"/>
              </w:rPr>
            </w:pPr>
            <w:r>
              <w:rPr>
                <w:color w:val="000000"/>
              </w:rPr>
              <w:t>TEAE</w:t>
            </w:r>
          </w:p>
        </w:tc>
        <w:tc>
          <w:tcPr>
            <w:tcW w:w="3987" w:type="pct"/>
            <w:gridSpan w:val="2"/>
            <w:tcBorders>
              <w:top w:val="single" w:sz="8" w:space="0" w:color="002C47"/>
              <w:left w:val="single" w:sz="8" w:space="0" w:color="002C47"/>
              <w:bottom w:val="single" w:sz="8" w:space="0" w:color="002C47"/>
              <w:right w:val="single" w:sz="8" w:space="0" w:color="002C47"/>
            </w:tcBorders>
          </w:tcPr>
          <w:p w14:paraId="11643B42" w14:textId="77777777" w:rsidR="003F6139" w:rsidRDefault="003F6139" w:rsidP="00B01CD2">
            <w:r>
              <w:t>Treatment emergence adverse event</w:t>
            </w:r>
          </w:p>
        </w:tc>
      </w:tr>
      <w:tr w:rsidR="003F6139" w14:paraId="42BCA47F"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7B3D47F2" w14:textId="77777777" w:rsidR="003F6139" w:rsidRDefault="003F6139" w:rsidP="00B01CD2">
            <w:pPr>
              <w:rPr>
                <w:color w:val="000000"/>
              </w:rPr>
            </w:pPr>
            <w:r>
              <w:rPr>
                <w:color w:val="000000"/>
              </w:rPr>
              <w:t>TF1</w:t>
            </w:r>
          </w:p>
        </w:tc>
        <w:tc>
          <w:tcPr>
            <w:tcW w:w="3987" w:type="pct"/>
            <w:gridSpan w:val="2"/>
            <w:tcBorders>
              <w:top w:val="single" w:sz="8" w:space="0" w:color="002C47"/>
              <w:left w:val="single" w:sz="8" w:space="0" w:color="002C47"/>
              <w:bottom w:val="single" w:sz="8" w:space="0" w:color="002C47"/>
              <w:right w:val="single" w:sz="8" w:space="0" w:color="002C47"/>
            </w:tcBorders>
          </w:tcPr>
          <w:p w14:paraId="78FDFC15" w14:textId="77777777" w:rsidR="003F6139" w:rsidRDefault="003F6139" w:rsidP="00B01CD2">
            <w:pPr>
              <w:rPr>
                <w:color w:val="000000"/>
              </w:rPr>
            </w:pPr>
            <w:r>
              <w:rPr>
                <w:color w:val="000000"/>
              </w:rPr>
              <w:t>Tablet formulation 1</w:t>
            </w:r>
          </w:p>
        </w:tc>
      </w:tr>
      <w:tr w:rsidR="003F6139" w14:paraId="4090C28F"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59FF6125" w14:textId="77777777" w:rsidR="003F6139" w:rsidRDefault="003F6139" w:rsidP="00B01CD2">
            <w:pPr>
              <w:rPr>
                <w:color w:val="000000"/>
              </w:rPr>
            </w:pPr>
            <w:r>
              <w:rPr>
                <w:color w:val="000000"/>
              </w:rPr>
              <w:t>TF2</w:t>
            </w:r>
          </w:p>
        </w:tc>
        <w:tc>
          <w:tcPr>
            <w:tcW w:w="3987" w:type="pct"/>
            <w:gridSpan w:val="2"/>
            <w:tcBorders>
              <w:top w:val="single" w:sz="8" w:space="0" w:color="002C47"/>
              <w:left w:val="single" w:sz="8" w:space="0" w:color="002C47"/>
              <w:bottom w:val="single" w:sz="8" w:space="0" w:color="002C47"/>
              <w:right w:val="single" w:sz="8" w:space="0" w:color="002C47"/>
            </w:tcBorders>
          </w:tcPr>
          <w:p w14:paraId="353EAD72" w14:textId="77777777" w:rsidR="003F6139" w:rsidRDefault="003F6139" w:rsidP="00B01CD2">
            <w:pPr>
              <w:rPr>
                <w:color w:val="000000"/>
              </w:rPr>
            </w:pPr>
            <w:r>
              <w:rPr>
                <w:color w:val="000000"/>
              </w:rPr>
              <w:t>Tablet formulation 2</w:t>
            </w:r>
          </w:p>
        </w:tc>
      </w:tr>
      <w:tr w:rsidR="003F6139" w14:paraId="545F1D75"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C84C11E" w14:textId="77777777" w:rsidR="003F6139" w:rsidRDefault="003F6139" w:rsidP="00B01CD2">
            <w:r>
              <w:t>TGA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BF15538" w14:textId="77777777" w:rsidR="003F6139" w:rsidRDefault="003F6139" w:rsidP="00B01CD2">
            <w:r>
              <w:t>Therapeutic Goods Administration</w:t>
            </w:r>
          </w:p>
        </w:tc>
      </w:tr>
      <w:tr w:rsidR="003F6139" w14:paraId="68475ADA"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5FFA02B8" w14:textId="77777777" w:rsidR="003F6139" w:rsidRDefault="003F6139" w:rsidP="00B01CD2">
            <w:pPr>
              <w:rPr>
                <w:color w:val="000000"/>
              </w:rPr>
            </w:pPr>
            <w:proofErr w:type="spellStart"/>
            <w:r>
              <w:rPr>
                <w:color w:val="000000"/>
              </w:rPr>
              <w:t>T</w:t>
            </w:r>
            <w:r w:rsidRPr="00901497">
              <w:rPr>
                <w:color w:val="000000"/>
                <w:vertAlign w:val="subscript"/>
              </w:rPr>
              <w:t>max</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1547384B" w14:textId="77777777" w:rsidR="003F6139" w:rsidRDefault="003F6139" w:rsidP="00B01CD2">
            <w:pPr>
              <w:rPr>
                <w:color w:val="000000"/>
              </w:rPr>
            </w:pPr>
            <w:r>
              <w:t xml:space="preserve">Time to </w:t>
            </w:r>
            <w:r w:rsidRPr="00966EE1">
              <w:t>maximum concentration</w:t>
            </w:r>
          </w:p>
        </w:tc>
      </w:tr>
      <w:tr w:rsidR="003F6139" w14:paraId="4B010048"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14755396" w14:textId="77777777" w:rsidR="003F6139" w:rsidRDefault="003F6139" w:rsidP="00B01CD2">
            <w:r>
              <w:t>TRAE</w:t>
            </w:r>
          </w:p>
        </w:tc>
        <w:tc>
          <w:tcPr>
            <w:tcW w:w="3987" w:type="pct"/>
            <w:gridSpan w:val="2"/>
            <w:tcBorders>
              <w:top w:val="single" w:sz="8" w:space="0" w:color="002C47"/>
              <w:left w:val="single" w:sz="8" w:space="0" w:color="002C47"/>
              <w:bottom w:val="single" w:sz="8" w:space="0" w:color="002C47"/>
              <w:right w:val="single" w:sz="8" w:space="0" w:color="002C47"/>
            </w:tcBorders>
          </w:tcPr>
          <w:p w14:paraId="741454AA" w14:textId="77777777" w:rsidR="003F6139" w:rsidRDefault="003F6139" w:rsidP="00B01CD2">
            <w:r w:rsidRPr="007430FB">
              <w:t>Treatment</w:t>
            </w:r>
            <w:r>
              <w:t xml:space="preserve"> </w:t>
            </w:r>
            <w:r w:rsidRPr="007430FB">
              <w:t>related adverse events</w:t>
            </w:r>
          </w:p>
        </w:tc>
      </w:tr>
      <w:tr w:rsidR="003F6139" w14:paraId="3026EB79"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0074B42F" w14:textId="77777777" w:rsidR="003F6139" w:rsidRDefault="003F6139" w:rsidP="00B01CD2">
            <w:pPr>
              <w:rPr>
                <w:color w:val="000000"/>
              </w:rPr>
            </w:pPr>
            <w:r>
              <w:rPr>
                <w:color w:val="000000"/>
              </w:rPr>
              <w:t>TRSAE</w:t>
            </w:r>
          </w:p>
        </w:tc>
        <w:tc>
          <w:tcPr>
            <w:tcW w:w="3987" w:type="pct"/>
            <w:gridSpan w:val="2"/>
            <w:tcBorders>
              <w:top w:val="single" w:sz="8" w:space="0" w:color="002C47"/>
              <w:left w:val="single" w:sz="8" w:space="0" w:color="002C47"/>
              <w:bottom w:val="single" w:sz="8" w:space="0" w:color="002C47"/>
              <w:right w:val="single" w:sz="8" w:space="0" w:color="002C47"/>
            </w:tcBorders>
          </w:tcPr>
          <w:p w14:paraId="18312360" w14:textId="77777777" w:rsidR="003F6139" w:rsidRDefault="003F6139" w:rsidP="00B01CD2">
            <w:r>
              <w:t>Treatment related serious adverse event</w:t>
            </w:r>
          </w:p>
        </w:tc>
      </w:tr>
      <w:tr w:rsidR="003F6139" w14:paraId="5D99FE1F"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60245EE1" w14:textId="77777777" w:rsidR="003F6139" w:rsidRDefault="003F6139" w:rsidP="00B01CD2">
            <w:pPr>
              <w:rPr>
                <w:color w:val="000000"/>
              </w:rPr>
            </w:pPr>
            <w:r>
              <w:rPr>
                <w:color w:val="000000"/>
              </w:rPr>
              <w:t>TSP</w:t>
            </w:r>
          </w:p>
        </w:tc>
        <w:tc>
          <w:tcPr>
            <w:tcW w:w="3987" w:type="pct"/>
            <w:gridSpan w:val="2"/>
            <w:tcBorders>
              <w:top w:val="single" w:sz="8" w:space="0" w:color="002C47"/>
              <w:left w:val="single" w:sz="8" w:space="0" w:color="002C47"/>
              <w:bottom w:val="single" w:sz="8" w:space="0" w:color="002C47"/>
              <w:right w:val="single" w:sz="8" w:space="0" w:color="002C47"/>
            </w:tcBorders>
          </w:tcPr>
          <w:p w14:paraId="6E58BEBB" w14:textId="77777777" w:rsidR="003F6139" w:rsidRDefault="003F6139" w:rsidP="00B01CD2">
            <w:pPr>
              <w:rPr>
                <w:color w:val="000000"/>
              </w:rPr>
            </w:pPr>
            <w:r>
              <w:t>Tumour suppressor protein</w:t>
            </w:r>
          </w:p>
        </w:tc>
      </w:tr>
      <w:tr w:rsidR="003F6139" w14:paraId="3FC53A84"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77B6E491" w14:textId="77777777" w:rsidR="003F6139" w:rsidRDefault="003F6139" w:rsidP="00B01CD2">
            <w:pPr>
              <w:rPr>
                <w:color w:val="000000"/>
              </w:rPr>
            </w:pPr>
            <w:r>
              <w:rPr>
                <w:color w:val="000000"/>
              </w:rPr>
              <w:t>ULN</w:t>
            </w:r>
          </w:p>
        </w:tc>
        <w:tc>
          <w:tcPr>
            <w:tcW w:w="3987" w:type="pct"/>
            <w:gridSpan w:val="2"/>
            <w:tcBorders>
              <w:top w:val="single" w:sz="8" w:space="0" w:color="002C47"/>
              <w:left w:val="single" w:sz="8" w:space="0" w:color="002C47"/>
              <w:bottom w:val="single" w:sz="8" w:space="0" w:color="002C47"/>
              <w:right w:val="single" w:sz="8" w:space="0" w:color="002C47"/>
            </w:tcBorders>
          </w:tcPr>
          <w:p w14:paraId="3E6B91CD" w14:textId="77777777" w:rsidR="003F6139" w:rsidRDefault="003F6139" w:rsidP="00B01CD2">
            <w:r>
              <w:t>U</w:t>
            </w:r>
            <w:r w:rsidRPr="000A1B6A">
              <w:t>pper limit of normal</w:t>
            </w:r>
          </w:p>
        </w:tc>
      </w:tr>
      <w:tr w:rsidR="003F6139" w14:paraId="4A59EB2F"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0C62BA04" w14:textId="77777777" w:rsidR="003F6139" w:rsidRDefault="003F6139" w:rsidP="00B01CD2">
            <w:pPr>
              <w:rPr>
                <w:color w:val="000000"/>
              </w:rPr>
            </w:pPr>
            <w:r>
              <w:rPr>
                <w:color w:val="000000"/>
              </w:rPr>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4286D9AF" w14:textId="77777777" w:rsidR="003F6139" w:rsidRDefault="003F6139" w:rsidP="00B01CD2">
            <w:pPr>
              <w:rPr>
                <w:color w:val="000000"/>
              </w:rPr>
            </w:pPr>
            <w:r>
              <w:rPr>
                <w:color w:val="000000"/>
              </w:rPr>
              <w:t>United States of America</w:t>
            </w:r>
          </w:p>
        </w:tc>
      </w:tr>
      <w:tr w:rsidR="003F6139" w14:paraId="08E72D54"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76A05764" w14:textId="77777777" w:rsidR="003F6139" w:rsidRDefault="003F6139" w:rsidP="00B01CD2">
            <w:pPr>
              <w:rPr>
                <w:color w:val="000000"/>
              </w:rPr>
            </w:pPr>
            <w:proofErr w:type="spellStart"/>
            <w:r>
              <w:rPr>
                <w:color w:val="000000"/>
              </w:rPr>
              <w:t>Vc</w:t>
            </w:r>
            <w:proofErr w:type="spellEnd"/>
            <w:r>
              <w:rPr>
                <w:color w:val="000000"/>
              </w:rPr>
              <w:t>/F</w:t>
            </w:r>
          </w:p>
        </w:tc>
        <w:tc>
          <w:tcPr>
            <w:tcW w:w="3987" w:type="pct"/>
            <w:gridSpan w:val="2"/>
            <w:tcBorders>
              <w:top w:val="single" w:sz="8" w:space="0" w:color="002C47"/>
              <w:left w:val="single" w:sz="8" w:space="0" w:color="002C47"/>
              <w:bottom w:val="single" w:sz="8" w:space="0" w:color="002C47"/>
              <w:right w:val="single" w:sz="8" w:space="0" w:color="002C47"/>
            </w:tcBorders>
          </w:tcPr>
          <w:p w14:paraId="0045980F" w14:textId="77777777" w:rsidR="003F6139" w:rsidRDefault="003F6139" w:rsidP="00B01CD2">
            <w:pPr>
              <w:rPr>
                <w:color w:val="000000"/>
              </w:rPr>
            </w:pPr>
            <w:r>
              <w:t>A</w:t>
            </w:r>
            <w:r w:rsidRPr="009B0C6F">
              <w:t>pparent central volume</w:t>
            </w:r>
          </w:p>
        </w:tc>
      </w:tr>
      <w:tr w:rsidR="003F6139" w14:paraId="0542CBEB"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27C293A2" w14:textId="77777777" w:rsidR="003F6139" w:rsidRDefault="003F6139" w:rsidP="00B01CD2">
            <w:pPr>
              <w:rPr>
                <w:color w:val="000000"/>
              </w:rPr>
            </w:pPr>
            <w:proofErr w:type="spellStart"/>
            <w:r>
              <w:rPr>
                <w:color w:val="000000"/>
              </w:rPr>
              <w:t>Vd</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6EA684D5" w14:textId="77777777" w:rsidR="003F6139" w:rsidRDefault="003F6139" w:rsidP="00B01CD2">
            <w:pPr>
              <w:rPr>
                <w:rFonts w:eastAsiaTheme="minorHAnsi" w:cs="Calibri"/>
                <w:color w:val="000000"/>
              </w:rPr>
            </w:pPr>
            <w:r>
              <w:rPr>
                <w:rFonts w:eastAsiaTheme="minorHAnsi" w:cs="Calibri"/>
                <w:color w:val="000000"/>
              </w:rPr>
              <w:t xml:space="preserve">Regimen of </w:t>
            </w:r>
            <w:r w:rsidRPr="00793B55">
              <w:rPr>
                <w:rFonts w:eastAsiaTheme="minorHAnsi" w:cs="Calibri"/>
                <w:color w:val="000000"/>
              </w:rPr>
              <w:t>bortezomib and dexamethasone</w:t>
            </w:r>
          </w:p>
        </w:tc>
      </w:tr>
      <w:tr w:rsidR="003F6139" w14:paraId="76A06344"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6E959ADC" w14:textId="77777777" w:rsidR="003F6139" w:rsidRDefault="003F6139" w:rsidP="00B01CD2">
            <w:pPr>
              <w:rPr>
                <w:color w:val="000000"/>
              </w:rPr>
            </w:pPr>
            <w:r>
              <w:rPr>
                <w:color w:val="000000"/>
              </w:rPr>
              <w:t>VGPR</w:t>
            </w:r>
          </w:p>
        </w:tc>
        <w:tc>
          <w:tcPr>
            <w:tcW w:w="3987" w:type="pct"/>
            <w:gridSpan w:val="2"/>
            <w:tcBorders>
              <w:top w:val="single" w:sz="8" w:space="0" w:color="002C47"/>
              <w:left w:val="single" w:sz="8" w:space="0" w:color="002C47"/>
              <w:bottom w:val="single" w:sz="8" w:space="0" w:color="002C47"/>
              <w:right w:val="single" w:sz="8" w:space="0" w:color="002C47"/>
            </w:tcBorders>
          </w:tcPr>
          <w:p w14:paraId="7C62D55E" w14:textId="77777777" w:rsidR="003F6139" w:rsidRDefault="003F6139" w:rsidP="00B01CD2">
            <w:r>
              <w:t>Very good partial response</w:t>
            </w:r>
          </w:p>
        </w:tc>
      </w:tr>
      <w:tr w:rsidR="003F6139" w14:paraId="162133C8"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020D2C1B" w14:textId="77777777" w:rsidR="003F6139" w:rsidRDefault="003F6139" w:rsidP="00B01CD2">
            <w:pPr>
              <w:rPr>
                <w:color w:val="000000"/>
              </w:rPr>
            </w:pPr>
            <w:proofErr w:type="spellStart"/>
            <w:r>
              <w:rPr>
                <w:color w:val="000000"/>
              </w:rPr>
              <w:t>Vp</w:t>
            </w:r>
            <w:proofErr w:type="spellEnd"/>
            <w:r>
              <w:rPr>
                <w:color w:val="000000"/>
              </w:rPr>
              <w:t>/F</w:t>
            </w:r>
          </w:p>
        </w:tc>
        <w:tc>
          <w:tcPr>
            <w:tcW w:w="3987" w:type="pct"/>
            <w:gridSpan w:val="2"/>
            <w:tcBorders>
              <w:top w:val="single" w:sz="8" w:space="0" w:color="002C47"/>
              <w:left w:val="single" w:sz="8" w:space="0" w:color="002C47"/>
              <w:bottom w:val="single" w:sz="8" w:space="0" w:color="002C47"/>
              <w:right w:val="single" w:sz="8" w:space="0" w:color="002C47"/>
            </w:tcBorders>
          </w:tcPr>
          <w:p w14:paraId="4E61B9C9" w14:textId="77777777" w:rsidR="003F6139" w:rsidRDefault="003F6139" w:rsidP="00B01CD2">
            <w:pPr>
              <w:rPr>
                <w:color w:val="000000"/>
              </w:rPr>
            </w:pPr>
            <w:r>
              <w:t>A</w:t>
            </w:r>
            <w:r w:rsidRPr="009B0C6F">
              <w:t>pparent peripheral volume</w:t>
            </w:r>
          </w:p>
        </w:tc>
      </w:tr>
      <w:tr w:rsidR="003F6139" w14:paraId="0FF8BD5A" w14:textId="77777777" w:rsidTr="00B01CD2">
        <w:trPr>
          <w:cantSplit/>
        </w:trPr>
        <w:tc>
          <w:tcPr>
            <w:tcW w:w="1013" w:type="pct"/>
            <w:tcBorders>
              <w:top w:val="single" w:sz="8" w:space="0" w:color="002C47"/>
              <w:left w:val="single" w:sz="8" w:space="0" w:color="002C47"/>
              <w:bottom w:val="single" w:sz="8" w:space="0" w:color="002C47"/>
              <w:right w:val="single" w:sz="8" w:space="0" w:color="002C47"/>
            </w:tcBorders>
          </w:tcPr>
          <w:p w14:paraId="12CC4F62" w14:textId="77777777" w:rsidR="003F6139" w:rsidRDefault="003F6139" w:rsidP="00B01CD2">
            <w:pPr>
              <w:rPr>
                <w:color w:val="000000"/>
              </w:rPr>
            </w:pPr>
            <w:r>
              <w:rPr>
                <w:color w:val="000000"/>
              </w:rPr>
              <w:t>XPO1</w:t>
            </w:r>
          </w:p>
        </w:tc>
        <w:tc>
          <w:tcPr>
            <w:tcW w:w="3987" w:type="pct"/>
            <w:gridSpan w:val="2"/>
            <w:tcBorders>
              <w:top w:val="single" w:sz="8" w:space="0" w:color="002C47"/>
              <w:left w:val="single" w:sz="8" w:space="0" w:color="002C47"/>
              <w:bottom w:val="single" w:sz="8" w:space="0" w:color="002C47"/>
              <w:right w:val="single" w:sz="8" w:space="0" w:color="002C47"/>
            </w:tcBorders>
          </w:tcPr>
          <w:p w14:paraId="430E2045" w14:textId="77777777" w:rsidR="003F6139" w:rsidRDefault="003F6139" w:rsidP="00B01CD2">
            <w:pPr>
              <w:rPr>
                <w:color w:val="000000"/>
              </w:rPr>
            </w:pPr>
            <w:r>
              <w:t>Exportin 1</w:t>
            </w:r>
          </w:p>
        </w:tc>
      </w:tr>
    </w:tbl>
    <w:p w14:paraId="51BC5DDB" w14:textId="44F0DB1F" w:rsidR="009F2673" w:rsidRPr="008F510B" w:rsidRDefault="00FD119B" w:rsidP="008F510B">
      <w:pPr>
        <w:spacing w:before="0" w:after="200" w:line="0" w:lineRule="auto"/>
        <w:rPr>
          <w:b/>
          <w:i/>
          <w:sz w:val="24"/>
          <w:szCs w:val="24"/>
        </w:rPr>
      </w:pPr>
      <w:r w:rsidRPr="00FD119B">
        <w:rPr>
          <w:b/>
          <w:i/>
          <w:sz w:val="24"/>
          <w:szCs w:val="24"/>
        </w:rPr>
        <w:br w:type="page"/>
      </w:r>
    </w:p>
    <w:p w14:paraId="42697BBE" w14:textId="77777777" w:rsidR="008E7846" w:rsidRDefault="009F2673" w:rsidP="008E7846">
      <w:pPr>
        <w:pStyle w:val="Heading2"/>
      </w:pPr>
      <w:bookmarkStart w:id="5" w:name="_Toc119396505"/>
      <w:r>
        <w:lastRenderedPageBreak/>
        <w:t>Pr</w:t>
      </w:r>
      <w:r w:rsidR="008E7846">
        <w:t>oduct submission</w:t>
      </w:r>
      <w:bookmarkEnd w:id="0"/>
      <w:bookmarkEnd w:id="2"/>
      <w:bookmarkEnd w:id="5"/>
    </w:p>
    <w:p w14:paraId="629EC83E" w14:textId="77777777" w:rsidR="008E7846" w:rsidRDefault="008E7846" w:rsidP="009E5A87">
      <w:pPr>
        <w:pStyle w:val="Heading3"/>
        <w:rPr>
          <w:lang w:eastAsia="en-AU"/>
        </w:rPr>
      </w:pPr>
      <w:bookmarkStart w:id="6" w:name="_Toc247691502"/>
      <w:bookmarkStart w:id="7" w:name="_Toc314842483"/>
      <w:bookmarkStart w:id="8" w:name="_Toc119396506"/>
      <w:r>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9F2673" w:rsidRPr="003D1E62" w14:paraId="04F13C45" w14:textId="77777777" w:rsidTr="006026A9">
        <w:tc>
          <w:tcPr>
            <w:tcW w:w="1577" w:type="pct"/>
          </w:tcPr>
          <w:p w14:paraId="0074E578" w14:textId="77777777" w:rsidR="009F2673" w:rsidRPr="003D1E62" w:rsidRDefault="009F2673" w:rsidP="009E5A87">
            <w:pPr>
              <w:rPr>
                <w:i/>
              </w:rPr>
            </w:pPr>
            <w:r>
              <w:rPr>
                <w:i/>
              </w:rPr>
              <w:t>Type of s</w:t>
            </w:r>
            <w:r w:rsidRPr="003D1E62">
              <w:rPr>
                <w:i/>
              </w:rPr>
              <w:t>ubmission</w:t>
            </w:r>
            <w:r>
              <w:rPr>
                <w:i/>
              </w:rPr>
              <w:t>:</w:t>
            </w:r>
          </w:p>
        </w:tc>
        <w:tc>
          <w:tcPr>
            <w:tcW w:w="3423" w:type="pct"/>
          </w:tcPr>
          <w:p w14:paraId="1F93D223" w14:textId="5DA8B971" w:rsidR="009F2673" w:rsidRPr="003D1E62" w:rsidRDefault="009F2673" w:rsidP="009E5A87">
            <w:r w:rsidRPr="003D1E62">
              <w:t xml:space="preserve">New </w:t>
            </w:r>
            <w:r>
              <w:t>c</w:t>
            </w:r>
            <w:r w:rsidRPr="003D1E62">
              <w:t xml:space="preserve">hemical </w:t>
            </w:r>
            <w:r>
              <w:t>e</w:t>
            </w:r>
            <w:r w:rsidRPr="003D1E62">
              <w:t>ntity</w:t>
            </w:r>
          </w:p>
        </w:tc>
      </w:tr>
      <w:tr w:rsidR="009F2673" w:rsidRPr="003D1E62" w14:paraId="70D17EF0" w14:textId="77777777" w:rsidTr="006026A9">
        <w:tc>
          <w:tcPr>
            <w:tcW w:w="1577" w:type="pct"/>
          </w:tcPr>
          <w:p w14:paraId="35A1E0D9" w14:textId="49BFFE40" w:rsidR="009F2673" w:rsidRPr="003D1E62" w:rsidRDefault="009F2673" w:rsidP="009E5A87">
            <w:pPr>
              <w:rPr>
                <w:i/>
              </w:rPr>
            </w:pPr>
            <w:r w:rsidRPr="00460036">
              <w:rPr>
                <w:i/>
              </w:rPr>
              <w:t>Product name:</w:t>
            </w:r>
          </w:p>
        </w:tc>
        <w:tc>
          <w:tcPr>
            <w:tcW w:w="3423" w:type="pct"/>
          </w:tcPr>
          <w:p w14:paraId="1E3BA263" w14:textId="2A03E9DF" w:rsidR="009F2673" w:rsidRPr="003D1E62" w:rsidRDefault="006026A9" w:rsidP="009E5A87">
            <w:proofErr w:type="spellStart"/>
            <w:r w:rsidRPr="006026A9">
              <w:t>Xpovio</w:t>
            </w:r>
            <w:proofErr w:type="spellEnd"/>
          </w:p>
        </w:tc>
      </w:tr>
      <w:tr w:rsidR="009F2673" w:rsidRPr="003D1E62" w14:paraId="1C814F18" w14:textId="77777777" w:rsidTr="006026A9">
        <w:tc>
          <w:tcPr>
            <w:tcW w:w="1577" w:type="pct"/>
          </w:tcPr>
          <w:p w14:paraId="2FFFA843" w14:textId="635EDE1E" w:rsidR="009F2673" w:rsidRPr="003D1E62" w:rsidRDefault="009F2673" w:rsidP="009E5A87">
            <w:pPr>
              <w:rPr>
                <w:i/>
              </w:rPr>
            </w:pPr>
            <w:r w:rsidRPr="00460036">
              <w:rPr>
                <w:i/>
              </w:rPr>
              <w:t>Active ingredient:</w:t>
            </w:r>
          </w:p>
        </w:tc>
        <w:tc>
          <w:tcPr>
            <w:tcW w:w="3423" w:type="pct"/>
          </w:tcPr>
          <w:p w14:paraId="7DE6DB8B" w14:textId="057081A0" w:rsidR="009F2673" w:rsidRPr="003D1E62" w:rsidRDefault="006026A9" w:rsidP="009E5A87">
            <w:r>
              <w:t>S</w:t>
            </w:r>
            <w:r w:rsidRPr="004446DE">
              <w:t>elinexor</w:t>
            </w:r>
          </w:p>
        </w:tc>
      </w:tr>
      <w:tr w:rsidR="009F2673" w:rsidRPr="003D1E62" w14:paraId="0026DE57" w14:textId="77777777" w:rsidTr="006026A9">
        <w:tc>
          <w:tcPr>
            <w:tcW w:w="1577" w:type="pct"/>
          </w:tcPr>
          <w:p w14:paraId="27C41F44" w14:textId="77777777" w:rsidR="009F2673" w:rsidRPr="009F2673" w:rsidRDefault="009F2673" w:rsidP="009E5A87">
            <w:pPr>
              <w:rPr>
                <w:i/>
              </w:rPr>
            </w:pPr>
            <w:r w:rsidRPr="003D1E62">
              <w:rPr>
                <w:i/>
              </w:rPr>
              <w:t>Decision</w:t>
            </w:r>
            <w:r w:rsidRPr="009F2673">
              <w:rPr>
                <w:i/>
              </w:rPr>
              <w:t>:</w:t>
            </w:r>
          </w:p>
        </w:tc>
        <w:tc>
          <w:tcPr>
            <w:tcW w:w="3423" w:type="pct"/>
          </w:tcPr>
          <w:p w14:paraId="29F03B7C" w14:textId="37388FB1" w:rsidR="009F2673" w:rsidRPr="003D1E62" w:rsidRDefault="009F2673" w:rsidP="009E5A87">
            <w:r w:rsidRPr="00460036">
              <w:t>Approved</w:t>
            </w:r>
          </w:p>
        </w:tc>
      </w:tr>
      <w:tr w:rsidR="009F2673" w:rsidRPr="003D1E62" w14:paraId="4E2BD8B6" w14:textId="77777777" w:rsidTr="006026A9">
        <w:tc>
          <w:tcPr>
            <w:tcW w:w="1577" w:type="pct"/>
          </w:tcPr>
          <w:p w14:paraId="6E2C5E5C" w14:textId="77777777" w:rsidR="009F2673" w:rsidRPr="003D1E62" w:rsidRDefault="009F2673" w:rsidP="009E5A87">
            <w:pPr>
              <w:rPr>
                <w:i/>
              </w:rPr>
            </w:pPr>
            <w:r w:rsidRPr="003D1E62">
              <w:rPr>
                <w:i/>
              </w:rPr>
              <w:t xml:space="preserve">Date of </w:t>
            </w:r>
            <w:r>
              <w:rPr>
                <w:i/>
              </w:rPr>
              <w:t>d</w:t>
            </w:r>
            <w:r w:rsidRPr="003D1E62">
              <w:rPr>
                <w:i/>
              </w:rPr>
              <w:t>ecision:</w:t>
            </w:r>
          </w:p>
        </w:tc>
        <w:tc>
          <w:tcPr>
            <w:tcW w:w="3423" w:type="pct"/>
          </w:tcPr>
          <w:p w14:paraId="372CD673" w14:textId="2EBC6F76" w:rsidR="009F2673" w:rsidRPr="003D1E62" w:rsidRDefault="006026A9" w:rsidP="009E5A87">
            <w:r>
              <w:t>3 March 2022</w:t>
            </w:r>
          </w:p>
        </w:tc>
      </w:tr>
      <w:tr w:rsidR="009F2673" w:rsidRPr="003D1E62" w14:paraId="4DDB1B7A" w14:textId="77777777" w:rsidTr="006026A9">
        <w:tc>
          <w:tcPr>
            <w:tcW w:w="1577" w:type="pct"/>
          </w:tcPr>
          <w:p w14:paraId="03259D48" w14:textId="77777777" w:rsidR="009F2673" w:rsidRPr="00441C3F" w:rsidRDefault="009F2673" w:rsidP="009E5A87">
            <w:pPr>
              <w:rPr>
                <w:i/>
              </w:rPr>
            </w:pPr>
            <w:r w:rsidRPr="00441C3F">
              <w:rPr>
                <w:i/>
              </w:rPr>
              <w:t>Date of entry onto ARTG</w:t>
            </w:r>
            <w:r>
              <w:rPr>
                <w:i/>
              </w:rPr>
              <w:t>:</w:t>
            </w:r>
          </w:p>
        </w:tc>
        <w:tc>
          <w:tcPr>
            <w:tcW w:w="3423" w:type="pct"/>
          </w:tcPr>
          <w:p w14:paraId="550F7A7E" w14:textId="6F1C3628" w:rsidR="009F2673" w:rsidRPr="009F2673" w:rsidRDefault="006026A9" w:rsidP="009E5A87">
            <w:r>
              <w:t>8 March 2022</w:t>
            </w:r>
            <w:r w:rsidR="009F2673" w:rsidRPr="009F2673">
              <w:t xml:space="preserve"> </w:t>
            </w:r>
          </w:p>
        </w:tc>
      </w:tr>
      <w:tr w:rsidR="009F2673" w:rsidRPr="003D1E62" w14:paraId="3315199D" w14:textId="77777777" w:rsidTr="006026A9">
        <w:tc>
          <w:tcPr>
            <w:tcW w:w="1577" w:type="pct"/>
          </w:tcPr>
          <w:p w14:paraId="69B9F0C8" w14:textId="6693B91A" w:rsidR="009F2673" w:rsidRPr="00441C3F" w:rsidRDefault="009F2673" w:rsidP="009E5A87">
            <w:pPr>
              <w:rPr>
                <w:i/>
              </w:rPr>
            </w:pPr>
            <w:r>
              <w:rPr>
                <w:i/>
              </w:rPr>
              <w:t>ARTG number:</w:t>
            </w:r>
          </w:p>
        </w:tc>
        <w:tc>
          <w:tcPr>
            <w:tcW w:w="3423" w:type="pct"/>
          </w:tcPr>
          <w:p w14:paraId="1D572437" w14:textId="2669A7B7" w:rsidR="009F2673" w:rsidRPr="00441C3F" w:rsidRDefault="006026A9" w:rsidP="009E5A87">
            <w:r w:rsidRPr="004446DE">
              <w:t>346589</w:t>
            </w:r>
          </w:p>
        </w:tc>
      </w:tr>
      <w:tr w:rsidR="009F2673" w:rsidRPr="003D1E62" w14:paraId="23E68A39" w14:textId="77777777" w:rsidTr="006026A9">
        <w:tc>
          <w:tcPr>
            <w:tcW w:w="1577" w:type="pct"/>
          </w:tcPr>
          <w:p w14:paraId="4B846863" w14:textId="214B0A89" w:rsidR="009F2673" w:rsidRDefault="001B1DA4" w:rsidP="009E5A87">
            <w:pPr>
              <w:rPr>
                <w:i/>
              </w:rPr>
            </w:pPr>
            <w:r>
              <w:rPr>
                <w:rFonts w:ascii="Wingdings 3" w:hAnsi="Wingdings 3"/>
                <w:sz w:val="34"/>
                <w:szCs w:val="34"/>
                <w:lang w:eastAsia="en-AU"/>
              </w:rPr>
              <w:t></w:t>
            </w:r>
            <w:hyperlink r:id="rId14" w:history="1">
              <w:r w:rsidR="009F2673" w:rsidRPr="009F2673">
                <w:rPr>
                  <w:rStyle w:val="Hyperlink"/>
                  <w:i/>
                </w:rPr>
                <w:t>Black Triangle Scheme</w:t>
              </w:r>
            </w:hyperlink>
            <w:r w:rsidR="009F2673">
              <w:rPr>
                <w:i/>
              </w:rPr>
              <w:t>:</w:t>
            </w:r>
          </w:p>
        </w:tc>
        <w:tc>
          <w:tcPr>
            <w:tcW w:w="3423" w:type="pct"/>
          </w:tcPr>
          <w:p w14:paraId="31A57B54" w14:textId="1EC0AEAD" w:rsidR="009F2673" w:rsidRDefault="009F2673" w:rsidP="009E5A87">
            <w:r>
              <w:t>Yes</w:t>
            </w:r>
          </w:p>
          <w:p w14:paraId="15CE3C28" w14:textId="1F0C2AD2" w:rsidR="009F2673" w:rsidRPr="00487162" w:rsidRDefault="009F2673" w:rsidP="009E5A87">
            <w:r>
              <w:t xml:space="preserve">This product will remain in the scheme for 5 years, starting on the date the product is first supplied in </w:t>
            </w:r>
            <w:r w:rsidRPr="00D453FA">
              <w:t>Australia</w:t>
            </w:r>
          </w:p>
        </w:tc>
      </w:tr>
      <w:tr w:rsidR="009F2673" w:rsidRPr="003D1E62" w14:paraId="295C52B1" w14:textId="77777777" w:rsidTr="006026A9">
        <w:tc>
          <w:tcPr>
            <w:tcW w:w="1577" w:type="pct"/>
          </w:tcPr>
          <w:p w14:paraId="5E516F51"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22077B91" w14:textId="77777777" w:rsidR="009F2673" w:rsidRDefault="006026A9" w:rsidP="009E5A87">
            <w:pPr>
              <w:rPr>
                <w:lang w:val="es-ES"/>
              </w:rPr>
            </w:pPr>
            <w:proofErr w:type="spellStart"/>
            <w:r w:rsidRPr="004446DE">
              <w:rPr>
                <w:lang w:val="es-ES"/>
              </w:rPr>
              <w:t>Antengene</w:t>
            </w:r>
            <w:proofErr w:type="spellEnd"/>
            <w:r w:rsidRPr="004446DE">
              <w:rPr>
                <w:lang w:val="es-ES"/>
              </w:rPr>
              <w:t xml:space="preserve"> (</w:t>
            </w:r>
            <w:proofErr w:type="spellStart"/>
            <w:r w:rsidRPr="004446DE">
              <w:rPr>
                <w:lang w:val="es-ES"/>
              </w:rPr>
              <w:t>Aus</w:t>
            </w:r>
            <w:proofErr w:type="spellEnd"/>
            <w:r w:rsidRPr="004446DE">
              <w:rPr>
                <w:lang w:val="es-ES"/>
              </w:rPr>
              <w:t xml:space="preserve">) </w:t>
            </w:r>
            <w:proofErr w:type="spellStart"/>
            <w:r w:rsidRPr="004446DE">
              <w:rPr>
                <w:lang w:val="es-ES"/>
              </w:rPr>
              <w:t>Pty</w:t>
            </w:r>
            <w:proofErr w:type="spellEnd"/>
            <w:r w:rsidRPr="004446DE">
              <w:rPr>
                <w:lang w:val="es-ES"/>
              </w:rPr>
              <w:t xml:space="preserve"> </w:t>
            </w:r>
            <w:proofErr w:type="spellStart"/>
            <w:r w:rsidRPr="004446DE">
              <w:rPr>
                <w:lang w:val="es-ES"/>
              </w:rPr>
              <w:t>Ltd</w:t>
            </w:r>
            <w:proofErr w:type="spellEnd"/>
          </w:p>
          <w:p w14:paraId="7D682429" w14:textId="77777777" w:rsidR="006026A9" w:rsidRPr="00AD2491" w:rsidRDefault="006026A9" w:rsidP="006026A9">
            <w:pPr>
              <w:rPr>
                <w:lang w:val="es-ES"/>
              </w:rPr>
            </w:pPr>
            <w:proofErr w:type="spellStart"/>
            <w:r w:rsidRPr="00AD2491">
              <w:rPr>
                <w:lang w:val="es-ES"/>
              </w:rPr>
              <w:t>Level</w:t>
            </w:r>
            <w:proofErr w:type="spellEnd"/>
            <w:r w:rsidRPr="00AD2491">
              <w:rPr>
                <w:lang w:val="es-ES"/>
              </w:rPr>
              <w:t xml:space="preserve"> 17, 31 Queen St</w:t>
            </w:r>
            <w:r>
              <w:rPr>
                <w:lang w:val="es-ES"/>
              </w:rPr>
              <w:t>reet,</w:t>
            </w:r>
          </w:p>
          <w:p w14:paraId="7528629F" w14:textId="1F40367A" w:rsidR="006026A9" w:rsidRDefault="006026A9" w:rsidP="006026A9">
            <w:r w:rsidRPr="00AD2491">
              <w:rPr>
                <w:lang w:val="es-ES"/>
              </w:rPr>
              <w:t>Melbourne</w:t>
            </w:r>
            <w:r>
              <w:rPr>
                <w:lang w:val="es-ES"/>
              </w:rPr>
              <w:t>, VIC</w:t>
            </w:r>
            <w:r w:rsidRPr="00AD2491">
              <w:rPr>
                <w:lang w:val="es-ES"/>
              </w:rPr>
              <w:t xml:space="preserve"> 3000</w:t>
            </w:r>
          </w:p>
        </w:tc>
      </w:tr>
      <w:tr w:rsidR="009F2673" w:rsidRPr="003D1E62" w14:paraId="4F3DB982" w14:textId="77777777" w:rsidTr="006026A9">
        <w:tc>
          <w:tcPr>
            <w:tcW w:w="1577" w:type="pct"/>
          </w:tcPr>
          <w:p w14:paraId="55DD1D8D" w14:textId="61D50670" w:rsidR="009F2673" w:rsidRPr="00487162" w:rsidRDefault="009F2673" w:rsidP="009E5A87">
            <w:pPr>
              <w:rPr>
                <w:i/>
              </w:rPr>
            </w:pPr>
            <w:r>
              <w:rPr>
                <w:i/>
              </w:rPr>
              <w:t>Dose form:</w:t>
            </w:r>
          </w:p>
        </w:tc>
        <w:tc>
          <w:tcPr>
            <w:tcW w:w="3423" w:type="pct"/>
          </w:tcPr>
          <w:p w14:paraId="1EC38E7B" w14:textId="6265E009" w:rsidR="009F2673" w:rsidRDefault="006026A9" w:rsidP="009E5A87">
            <w:r>
              <w:t>Film coated tablet</w:t>
            </w:r>
          </w:p>
        </w:tc>
      </w:tr>
      <w:tr w:rsidR="009F2673" w:rsidRPr="003D1E62" w14:paraId="0B6A800E" w14:textId="77777777" w:rsidTr="006026A9">
        <w:tc>
          <w:tcPr>
            <w:tcW w:w="1577" w:type="pct"/>
          </w:tcPr>
          <w:p w14:paraId="0E028C3E" w14:textId="61D87EFF" w:rsidR="009F2673" w:rsidRPr="00487162" w:rsidRDefault="009F2673" w:rsidP="009E5A87">
            <w:pPr>
              <w:rPr>
                <w:i/>
              </w:rPr>
            </w:pPr>
            <w:r w:rsidRPr="00487162">
              <w:rPr>
                <w:i/>
              </w:rPr>
              <w:t>Strength:</w:t>
            </w:r>
          </w:p>
        </w:tc>
        <w:tc>
          <w:tcPr>
            <w:tcW w:w="3423" w:type="pct"/>
          </w:tcPr>
          <w:p w14:paraId="12CADC1A" w14:textId="185F7C1B" w:rsidR="009F2673" w:rsidRDefault="006026A9" w:rsidP="009E5A87">
            <w:r>
              <w:t>20 mg</w:t>
            </w:r>
          </w:p>
        </w:tc>
      </w:tr>
      <w:tr w:rsidR="009F2673" w:rsidRPr="003D1E62" w14:paraId="0F3DD708" w14:textId="77777777" w:rsidTr="006026A9">
        <w:tc>
          <w:tcPr>
            <w:tcW w:w="1577" w:type="pct"/>
          </w:tcPr>
          <w:p w14:paraId="0FBF4BD1" w14:textId="28B74DD6" w:rsidR="009F2673" w:rsidRPr="00487162" w:rsidRDefault="009F2673" w:rsidP="009E5A87">
            <w:pPr>
              <w:rPr>
                <w:i/>
              </w:rPr>
            </w:pPr>
            <w:r w:rsidRPr="00487162">
              <w:rPr>
                <w:i/>
              </w:rPr>
              <w:t>Container:</w:t>
            </w:r>
          </w:p>
        </w:tc>
        <w:tc>
          <w:tcPr>
            <w:tcW w:w="3423" w:type="pct"/>
          </w:tcPr>
          <w:p w14:paraId="38CC4347" w14:textId="417CE15B" w:rsidR="009F2673" w:rsidRDefault="006026A9" w:rsidP="009E5A87">
            <w:r>
              <w:t>Blister pack</w:t>
            </w:r>
          </w:p>
        </w:tc>
      </w:tr>
      <w:tr w:rsidR="009F2673" w:rsidRPr="003D1E62" w14:paraId="3390F941" w14:textId="77777777" w:rsidTr="006026A9">
        <w:tc>
          <w:tcPr>
            <w:tcW w:w="1577" w:type="pct"/>
          </w:tcPr>
          <w:p w14:paraId="526F1862" w14:textId="0E9E9CF8" w:rsidR="009F2673" w:rsidRPr="00487162" w:rsidRDefault="009F2673" w:rsidP="009E5A87">
            <w:pPr>
              <w:rPr>
                <w:i/>
              </w:rPr>
            </w:pPr>
            <w:r w:rsidRPr="00487162">
              <w:rPr>
                <w:i/>
              </w:rPr>
              <w:t>Pack size</w:t>
            </w:r>
            <w:r w:rsidR="006026A9">
              <w:rPr>
                <w:i/>
              </w:rPr>
              <w:t>s</w:t>
            </w:r>
            <w:r w:rsidRPr="00487162">
              <w:rPr>
                <w:i/>
              </w:rPr>
              <w:t>:</w:t>
            </w:r>
          </w:p>
        </w:tc>
        <w:tc>
          <w:tcPr>
            <w:tcW w:w="3423" w:type="pct"/>
          </w:tcPr>
          <w:p w14:paraId="0B075693" w14:textId="684A22E2" w:rsidR="009F2673" w:rsidRDefault="006026A9" w:rsidP="009E5A87">
            <w:r w:rsidRPr="00AD2491">
              <w:t>16</w:t>
            </w:r>
            <w:r>
              <w:t xml:space="preserve">, </w:t>
            </w:r>
            <w:r w:rsidRPr="00AD2491">
              <w:t>20</w:t>
            </w:r>
            <w:r>
              <w:t xml:space="preserve">, </w:t>
            </w:r>
            <w:r w:rsidRPr="00AD2491">
              <w:t xml:space="preserve">24 </w:t>
            </w:r>
            <w:r>
              <w:t>and 3</w:t>
            </w:r>
            <w:r w:rsidRPr="00AD2491">
              <w:t>2</w:t>
            </w:r>
            <w:r w:rsidR="00B01CD2">
              <w:t xml:space="preserve"> tablets</w:t>
            </w:r>
          </w:p>
        </w:tc>
      </w:tr>
      <w:tr w:rsidR="009F2673" w:rsidRPr="003D1E62" w14:paraId="58627102" w14:textId="77777777" w:rsidTr="006026A9">
        <w:tc>
          <w:tcPr>
            <w:tcW w:w="1577" w:type="pct"/>
          </w:tcPr>
          <w:p w14:paraId="5BB700C3"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23" w:type="pct"/>
          </w:tcPr>
          <w:p w14:paraId="41368D62" w14:textId="77777777" w:rsidR="006026A9" w:rsidRPr="006026A9" w:rsidRDefault="006026A9" w:rsidP="006026A9">
            <w:pPr>
              <w:rPr>
                <w:i/>
                <w:iCs/>
              </w:rPr>
            </w:pPr>
            <w:proofErr w:type="spellStart"/>
            <w:r w:rsidRPr="006026A9">
              <w:rPr>
                <w:i/>
                <w:iCs/>
              </w:rPr>
              <w:t>Xpovio</w:t>
            </w:r>
            <w:proofErr w:type="spellEnd"/>
            <w:r w:rsidRPr="006026A9">
              <w:rPr>
                <w:i/>
                <w:iCs/>
              </w:rPr>
              <w:t xml:space="preserve"> is indicated:</w:t>
            </w:r>
          </w:p>
          <w:p w14:paraId="64DACE6D" w14:textId="0804A28B" w:rsidR="006026A9" w:rsidRPr="000B3827" w:rsidRDefault="006026A9" w:rsidP="000B3827">
            <w:pPr>
              <w:pStyle w:val="ListBullet"/>
              <w:rPr>
                <w:i/>
              </w:rPr>
            </w:pPr>
            <w:r w:rsidRPr="000B3827">
              <w:rPr>
                <w:i/>
              </w:rPr>
              <w:t>In combination with bortezomib and dexamethasone for the treatment of adult patients with multiple myeloma who have received at least one prior therapy.</w:t>
            </w:r>
          </w:p>
          <w:p w14:paraId="16A523FD" w14:textId="34DC72AF" w:rsidR="009F2673" w:rsidRPr="00487162" w:rsidRDefault="006026A9" w:rsidP="000B3827">
            <w:pPr>
              <w:pStyle w:val="ListBullet"/>
            </w:pPr>
            <w:r w:rsidRPr="000B3827">
              <w:rPr>
                <w:i/>
              </w:rPr>
              <w:t>In combination with dexamethasone for the treatment of adult patients with relapsed or refractory multiple myeloma (RRMM) who have received at least three prior therapies and whose disease is refractory to at least one proteasome inhibitor, at least one immunomodulatory medicinal product (</w:t>
            </w:r>
            <w:proofErr w:type="spellStart"/>
            <w:r w:rsidRPr="000B3827">
              <w:rPr>
                <w:i/>
              </w:rPr>
              <w:t>IMiD</w:t>
            </w:r>
            <w:proofErr w:type="spellEnd"/>
            <w:r w:rsidRPr="000B3827">
              <w:rPr>
                <w:i/>
              </w:rPr>
              <w:t>), and an anti CD38 monoclonal antibody (</w:t>
            </w:r>
            <w:proofErr w:type="spellStart"/>
            <w:r w:rsidRPr="000B3827">
              <w:rPr>
                <w:i/>
              </w:rPr>
              <w:t>mAb</w:t>
            </w:r>
            <w:proofErr w:type="spellEnd"/>
            <w:r w:rsidRPr="000B3827">
              <w:rPr>
                <w:i/>
              </w:rPr>
              <w:t>).</w:t>
            </w:r>
          </w:p>
        </w:tc>
      </w:tr>
      <w:tr w:rsidR="009F2673" w:rsidRPr="003D1E62" w14:paraId="7F7EE6FD" w14:textId="77777777" w:rsidTr="006026A9">
        <w:tc>
          <w:tcPr>
            <w:tcW w:w="1577" w:type="pct"/>
          </w:tcPr>
          <w:p w14:paraId="53963A3C" w14:textId="6D10CAAF" w:rsidR="009F2673" w:rsidRPr="00487162" w:rsidRDefault="009F2673" w:rsidP="009E5A87">
            <w:pPr>
              <w:rPr>
                <w:i/>
              </w:rPr>
            </w:pPr>
            <w:r w:rsidRPr="00487162">
              <w:rPr>
                <w:i/>
              </w:rPr>
              <w:t>Route of administration:</w:t>
            </w:r>
          </w:p>
        </w:tc>
        <w:tc>
          <w:tcPr>
            <w:tcW w:w="3423" w:type="pct"/>
          </w:tcPr>
          <w:p w14:paraId="4544E7D6" w14:textId="7209E503" w:rsidR="009F2673" w:rsidRPr="00487162" w:rsidRDefault="006026A9" w:rsidP="009E5A87">
            <w:r>
              <w:t>Oral</w:t>
            </w:r>
          </w:p>
        </w:tc>
      </w:tr>
      <w:tr w:rsidR="009F2673" w:rsidRPr="003D1E62" w14:paraId="6E36190A" w14:textId="77777777" w:rsidTr="006026A9">
        <w:tc>
          <w:tcPr>
            <w:tcW w:w="1577" w:type="pct"/>
          </w:tcPr>
          <w:p w14:paraId="4270677B" w14:textId="77777777" w:rsidR="009F2673" w:rsidRPr="00487162" w:rsidRDefault="009F2673" w:rsidP="009E5A87">
            <w:pPr>
              <w:rPr>
                <w:i/>
              </w:rPr>
            </w:pPr>
            <w:r w:rsidRPr="00487162">
              <w:rPr>
                <w:i/>
              </w:rPr>
              <w:t>Dosage:</w:t>
            </w:r>
          </w:p>
        </w:tc>
        <w:tc>
          <w:tcPr>
            <w:tcW w:w="3423" w:type="pct"/>
          </w:tcPr>
          <w:p w14:paraId="603B35DB" w14:textId="77777777" w:rsidR="006026A9" w:rsidRPr="002B618E" w:rsidRDefault="006026A9" w:rsidP="006026A9">
            <w:r w:rsidRPr="002B618E">
              <w:t>Treatment must be initiated and monitored under supervision of physicians experienced in the management of multiple myeloma.</w:t>
            </w:r>
          </w:p>
          <w:p w14:paraId="5A8DFB15" w14:textId="77777777" w:rsidR="006026A9" w:rsidRPr="000B3827" w:rsidRDefault="006026A9" w:rsidP="006026A9">
            <w:pPr>
              <w:rPr>
                <w:i/>
                <w:iCs/>
              </w:rPr>
            </w:pPr>
            <w:r w:rsidRPr="000B3827">
              <w:rPr>
                <w:i/>
                <w:iCs/>
              </w:rPr>
              <w:lastRenderedPageBreak/>
              <w:t>In combination with bortezomib and dexamethasone (</w:t>
            </w:r>
            <w:proofErr w:type="spellStart"/>
            <w:r w:rsidRPr="000B3827">
              <w:rPr>
                <w:i/>
                <w:iCs/>
              </w:rPr>
              <w:t>SVd</w:t>
            </w:r>
            <w:proofErr w:type="spellEnd"/>
            <w:r w:rsidRPr="000B3827">
              <w:rPr>
                <w:i/>
                <w:iCs/>
              </w:rPr>
              <w:t>)</w:t>
            </w:r>
          </w:p>
          <w:p w14:paraId="0682D376" w14:textId="0828624B" w:rsidR="0025155B" w:rsidRDefault="006026A9" w:rsidP="006026A9">
            <w:r w:rsidRPr="00AF5593">
              <w:t xml:space="preserve">The recommended starting dose of </w:t>
            </w:r>
            <w:proofErr w:type="spellStart"/>
            <w:r w:rsidRPr="00AF5593">
              <w:t>X</w:t>
            </w:r>
            <w:r>
              <w:t>povio</w:t>
            </w:r>
            <w:proofErr w:type="spellEnd"/>
            <w:r w:rsidRPr="00AF5593">
              <w:t xml:space="preserve"> in combination with bortezomib and dexamethasone is based on a 35-day cycle</w:t>
            </w:r>
            <w:r w:rsidR="0025155B">
              <w:t xml:space="preserve"> as follows:</w:t>
            </w:r>
          </w:p>
          <w:p w14:paraId="7CB061D4" w14:textId="50CCC2F7" w:rsidR="0025155B" w:rsidRDefault="00464B3B" w:rsidP="000B3827">
            <w:pPr>
              <w:pStyle w:val="ListBullet"/>
            </w:pPr>
            <w:r>
              <w:t>S</w:t>
            </w:r>
            <w:r w:rsidR="0025155B">
              <w:t>elinexor</w:t>
            </w:r>
            <w:r>
              <w:t xml:space="preserve"> (</w:t>
            </w:r>
            <w:proofErr w:type="spellStart"/>
            <w:r>
              <w:t>Xpovio</w:t>
            </w:r>
            <w:proofErr w:type="spellEnd"/>
            <w:r w:rsidR="0025155B">
              <w:t>) 100 mg (5 x 20 mg tablets) is taken orally once weekly on Days 1, 8, 15, 22 and 29.</w:t>
            </w:r>
          </w:p>
          <w:p w14:paraId="257FCE9F" w14:textId="77777777" w:rsidR="0025155B" w:rsidRDefault="0025155B" w:rsidP="000B3827">
            <w:pPr>
              <w:pStyle w:val="ListBullet"/>
            </w:pPr>
            <w:r>
              <w:t>Bortezomib 1.3 mg/m</w:t>
            </w:r>
            <w:r w:rsidRPr="000B3827">
              <w:rPr>
                <w:vertAlign w:val="superscript"/>
              </w:rPr>
              <w:t>2</w:t>
            </w:r>
            <w:r>
              <w:t xml:space="preserve"> is administered subcutaneously once weekly on Days 1, 8, 15 and 22.</w:t>
            </w:r>
          </w:p>
          <w:p w14:paraId="699F83F4" w14:textId="5745B88B" w:rsidR="0025155B" w:rsidRDefault="0025155B" w:rsidP="000B3827">
            <w:pPr>
              <w:pStyle w:val="ListBullet"/>
            </w:pPr>
            <w:r>
              <w:t>Dexamethasone 20 mg is taken orally on Days 1, 2, 8, 9, 15, 16, 22, 23, 29, and 30.</w:t>
            </w:r>
          </w:p>
          <w:p w14:paraId="28C591F3" w14:textId="1B836C42" w:rsidR="00F21CF3" w:rsidRPr="00F21CF3" w:rsidRDefault="00F21CF3">
            <w:r>
              <w:t>Treatment is administered until disease progression or unacceptable toxicity, for additional information regarding the administration of bortezomib and dexamethasone, refer to their respective prescribing information.</w:t>
            </w:r>
          </w:p>
          <w:p w14:paraId="02CD8989" w14:textId="77777777" w:rsidR="006026A9" w:rsidRPr="000B3827" w:rsidRDefault="006026A9" w:rsidP="006026A9">
            <w:pPr>
              <w:rPr>
                <w:i/>
                <w:iCs/>
              </w:rPr>
            </w:pPr>
            <w:r w:rsidRPr="000B3827">
              <w:rPr>
                <w:i/>
                <w:iCs/>
              </w:rPr>
              <w:t>In combination with dexamethasone (Sd)</w:t>
            </w:r>
          </w:p>
          <w:p w14:paraId="2221F156" w14:textId="7BEE5A7C" w:rsidR="006026A9" w:rsidRDefault="006026A9" w:rsidP="006026A9">
            <w:r>
              <w:t>The recommended starting dose is 80</w:t>
            </w:r>
            <w:r w:rsidR="00AE334E">
              <w:t> </w:t>
            </w:r>
            <w:r>
              <w:t>mg (4 x 20</w:t>
            </w:r>
            <w:r w:rsidR="00AE334E">
              <w:t> </w:t>
            </w:r>
            <w:r>
              <w:t xml:space="preserve">mg tablets) of </w:t>
            </w:r>
            <w:proofErr w:type="spellStart"/>
            <w:r>
              <w:t>Xpovio</w:t>
            </w:r>
            <w:proofErr w:type="spellEnd"/>
            <w:r>
              <w:t xml:space="preserve"> on </w:t>
            </w:r>
            <w:r w:rsidR="00AE334E">
              <w:t>D</w:t>
            </w:r>
            <w:r>
              <w:t>ays 1 and 3 of each week.</w:t>
            </w:r>
          </w:p>
          <w:p w14:paraId="0B343C4D" w14:textId="15024B0A" w:rsidR="006026A9" w:rsidRPr="0006734D" w:rsidRDefault="006026A9" w:rsidP="006026A9">
            <w:r>
              <w:t>The recommended starting dose of dexamethasone is 20</w:t>
            </w:r>
            <w:r w:rsidR="00AE334E">
              <w:t> </w:t>
            </w:r>
            <w:r>
              <w:t xml:space="preserve">mg taken orally on </w:t>
            </w:r>
            <w:r w:rsidR="00AE334E">
              <w:t>D</w:t>
            </w:r>
            <w:r>
              <w:t xml:space="preserve">ays 1 and 3 of each week with </w:t>
            </w:r>
            <w:proofErr w:type="spellStart"/>
            <w:r>
              <w:t>Xpovio</w:t>
            </w:r>
            <w:proofErr w:type="spellEnd"/>
            <w:r>
              <w:t>. For additional information regarding the administration of dexamethasone, refer to its Product Information.</w:t>
            </w:r>
          </w:p>
          <w:p w14:paraId="6D3E9EFD" w14:textId="725A4DC8" w:rsidR="009F2673" w:rsidRDefault="006026A9" w:rsidP="009E5A87">
            <w:r w:rsidRPr="0006734D">
              <w:t>Treatment should be continued until disease progression or unacceptable toxicity</w:t>
            </w:r>
            <w:r>
              <w:t>.</w:t>
            </w:r>
          </w:p>
          <w:p w14:paraId="0D66DF0E" w14:textId="180F9CD2" w:rsidR="00CE7079" w:rsidRPr="000B3827" w:rsidRDefault="00CE7079" w:rsidP="009E5A87">
            <w:pPr>
              <w:rPr>
                <w:i/>
              </w:rPr>
            </w:pPr>
            <w:r w:rsidRPr="000B3827">
              <w:rPr>
                <w:i/>
              </w:rPr>
              <w:t>Method of administration</w:t>
            </w:r>
          </w:p>
          <w:p w14:paraId="10EEF551" w14:textId="77777777" w:rsidR="00CE7079" w:rsidRDefault="00CE7079" w:rsidP="009E5A87">
            <w:r>
              <w:t>The tablet should be swallowed whole with water.</w:t>
            </w:r>
          </w:p>
          <w:p w14:paraId="1E93036A" w14:textId="77777777" w:rsidR="00CE7079" w:rsidRDefault="00CE7079" w:rsidP="009E5A87">
            <w:r>
              <w:t xml:space="preserve">It should not be crushed, chewed, </w:t>
            </w:r>
            <w:proofErr w:type="gramStart"/>
            <w:r>
              <w:t>broken</w:t>
            </w:r>
            <w:proofErr w:type="gramEnd"/>
            <w:r>
              <w:t xml:space="preserve"> or divided in order to prevent risk of skin irritation from the active substance. It can be taken with or without food.</w:t>
            </w:r>
          </w:p>
          <w:p w14:paraId="52D9BAB8" w14:textId="77777777" w:rsidR="00CE7079" w:rsidRDefault="00CE7079" w:rsidP="009E5A87">
            <w:r>
              <w:t xml:space="preserve">If a </w:t>
            </w:r>
            <w:proofErr w:type="spellStart"/>
            <w:r>
              <w:t>Xpovio</w:t>
            </w:r>
            <w:proofErr w:type="spellEnd"/>
            <w:r>
              <w:t xml:space="preserve"> dose is missed or delayed or a patient vomits after a dose of </w:t>
            </w:r>
            <w:proofErr w:type="spellStart"/>
            <w:r>
              <w:t>Xpovio</w:t>
            </w:r>
            <w:proofErr w:type="spellEnd"/>
            <w:r>
              <w:t>, the patient should not repeat the dose. Patients should take the next dose on the next regularly scheduled day.</w:t>
            </w:r>
          </w:p>
          <w:p w14:paraId="5BA96440" w14:textId="254AADA5" w:rsidR="00CE7079" w:rsidRDefault="00CE7079" w:rsidP="009E5A87">
            <w:r>
              <w:t>Advise patients to maintain adequate fluid and caloric intake throughout treatment. Consider intravenous hydration for patients at risk of dehydration.</w:t>
            </w:r>
          </w:p>
          <w:p w14:paraId="3CF44E96" w14:textId="5BB23B84" w:rsidR="00CE7079" w:rsidRDefault="00CE7079" w:rsidP="009E5A87">
            <w:r>
              <w:t xml:space="preserve">For medicinal products administered in combination with </w:t>
            </w:r>
            <w:proofErr w:type="spellStart"/>
            <w:r w:rsidR="0025155B">
              <w:t>Xpovio</w:t>
            </w:r>
            <w:proofErr w:type="spellEnd"/>
            <w:r>
              <w:t>, the product information of these medicinal products must be consulted prior to initiation of treatment, including for special warnings and precaution for use and recommended concomitant treatments.</w:t>
            </w:r>
          </w:p>
          <w:p w14:paraId="5FA215E3" w14:textId="7FC2430D" w:rsidR="00464B3B" w:rsidRDefault="00464B3B" w:rsidP="009E5A87">
            <w:r>
              <w:t>For guidance on monitoring before and during treatment, see the Product Information.</w:t>
            </w:r>
          </w:p>
          <w:p w14:paraId="52785B4E" w14:textId="1E07111A" w:rsidR="00F21CF3" w:rsidRPr="000B3827" w:rsidRDefault="00F21CF3" w:rsidP="00F21CF3">
            <w:pPr>
              <w:rPr>
                <w:i/>
              </w:rPr>
            </w:pPr>
            <w:r w:rsidRPr="000B3827">
              <w:rPr>
                <w:i/>
              </w:rPr>
              <w:t>Dose modifications for adverse reactions</w:t>
            </w:r>
          </w:p>
          <w:p w14:paraId="23FA490D" w14:textId="1A9992C2" w:rsidR="00F21CF3" w:rsidRDefault="00F21CF3">
            <w:r>
              <w:lastRenderedPageBreak/>
              <w:t xml:space="preserve">Continued treatment of </w:t>
            </w:r>
            <w:proofErr w:type="spellStart"/>
            <w:r>
              <w:t>Xpovio</w:t>
            </w:r>
            <w:proofErr w:type="spellEnd"/>
            <w:r>
              <w:t xml:space="preserve"> may require appropriate dose modifications (</w:t>
            </w:r>
            <w:proofErr w:type="gramStart"/>
            <w:r>
              <w:t>reductions  and</w:t>
            </w:r>
            <w:proofErr w:type="gramEnd"/>
            <w:r>
              <w:t>/or interruptions) in the event of adverse reactions.</w:t>
            </w:r>
          </w:p>
          <w:p w14:paraId="53D13C35" w14:textId="6253262E" w:rsidR="00F21CF3" w:rsidRDefault="00F21CF3" w:rsidP="00F21CF3">
            <w:r>
              <w:t xml:space="preserve">See the Product Information for recommended </w:t>
            </w:r>
            <w:proofErr w:type="spellStart"/>
            <w:r>
              <w:t>Xpovio</w:t>
            </w:r>
            <w:proofErr w:type="spellEnd"/>
            <w:r>
              <w:t xml:space="preserve"> dose reduction steps for adverse reactions, including dosage modifications for non-haematologic, and haematologic adverse reactions in patients with multiple myeloma </w:t>
            </w:r>
            <w:r w:rsidR="00464B3B">
              <w:t>(in combination with bortezomib and/or dexamethasone).</w:t>
            </w:r>
          </w:p>
          <w:p w14:paraId="166650CA" w14:textId="77777777" w:rsidR="009F2673" w:rsidRPr="00487162" w:rsidRDefault="009F2673" w:rsidP="009E5A87">
            <w:r w:rsidRPr="00460036">
              <w:t>For further information regarding dosage, refer to the Product Information.</w:t>
            </w:r>
          </w:p>
        </w:tc>
      </w:tr>
      <w:tr w:rsidR="009F2673" w:rsidRPr="003D1E62" w14:paraId="212138A8" w14:textId="77777777" w:rsidTr="006026A9">
        <w:tc>
          <w:tcPr>
            <w:tcW w:w="1577" w:type="pct"/>
          </w:tcPr>
          <w:p w14:paraId="2C6B95A9" w14:textId="77777777" w:rsidR="009F2673" w:rsidRPr="00487162" w:rsidRDefault="009F2673" w:rsidP="009E5A87">
            <w:pPr>
              <w:rPr>
                <w:i/>
              </w:rPr>
            </w:pPr>
            <w:r w:rsidRPr="00460036">
              <w:rPr>
                <w:i/>
              </w:rPr>
              <w:lastRenderedPageBreak/>
              <w:t>Pregnancy category</w:t>
            </w:r>
            <w:r>
              <w:rPr>
                <w:i/>
              </w:rPr>
              <w:t>:</w:t>
            </w:r>
          </w:p>
        </w:tc>
        <w:tc>
          <w:tcPr>
            <w:tcW w:w="3423" w:type="pct"/>
          </w:tcPr>
          <w:p w14:paraId="0FB6958A" w14:textId="77777777" w:rsidR="006026A9" w:rsidRDefault="006026A9" w:rsidP="006026A9">
            <w:r>
              <w:t>D</w:t>
            </w:r>
          </w:p>
          <w:p w14:paraId="6A939903" w14:textId="77777777" w:rsidR="006026A9" w:rsidRDefault="006026A9" w:rsidP="006026A9">
            <w:r w:rsidRPr="00AD2491">
              <w:t xml:space="preserve">Drugs which have caused, are suspected to have caused or may be expected to cause, an increased incidence of human </w:t>
            </w:r>
            <w:proofErr w:type="spellStart"/>
            <w:r w:rsidRPr="00AD2491">
              <w:t>fetal</w:t>
            </w:r>
            <w:proofErr w:type="spellEnd"/>
            <w:r w:rsidRPr="00AD2491">
              <w:t xml:space="preserve"> malformations or irreversible damage. These drugs may also have adverse pharmacological effects. Accompanying texts should be consulted for further details.</w:t>
            </w:r>
          </w:p>
          <w:p w14:paraId="275C75D5" w14:textId="65C34839" w:rsidR="009F2673" w:rsidRPr="00487162" w:rsidRDefault="009F2673" w:rsidP="009E5A87">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12875B6D" w14:textId="77777777" w:rsidR="008E7846" w:rsidRDefault="008E7846" w:rsidP="008E7846">
      <w:pPr>
        <w:pStyle w:val="Heading3"/>
      </w:pPr>
      <w:bookmarkStart w:id="9" w:name="_Toc247691503"/>
      <w:bookmarkStart w:id="10" w:name="_Toc314842484"/>
      <w:bookmarkStart w:id="11" w:name="_Toc119396507"/>
      <w:r>
        <w:t>Product background</w:t>
      </w:r>
      <w:bookmarkEnd w:id="9"/>
      <w:bookmarkEnd w:id="10"/>
      <w:bookmarkEnd w:id="11"/>
    </w:p>
    <w:p w14:paraId="6DCB28A1" w14:textId="32B4CE4A" w:rsidR="009F2673" w:rsidRDefault="009F2673" w:rsidP="009F2673">
      <w:r w:rsidRPr="000A4A42">
        <w:t xml:space="preserve">This </w:t>
      </w:r>
      <w:proofErr w:type="spellStart"/>
      <w:r w:rsidRPr="000A4A42">
        <w:t>AusPAR</w:t>
      </w:r>
      <w:proofErr w:type="spellEnd"/>
      <w:r w:rsidRPr="000A4A42">
        <w:t xml:space="preserve"> describes the </w:t>
      </w:r>
      <w:r w:rsidR="001E359E">
        <w:t>submission</w:t>
      </w:r>
      <w:r w:rsidRPr="000A4A42">
        <w:t xml:space="preserve"> by </w:t>
      </w:r>
      <w:proofErr w:type="spellStart"/>
      <w:r w:rsidR="006026A9" w:rsidRPr="008F510B">
        <w:t>Antengene</w:t>
      </w:r>
      <w:proofErr w:type="spellEnd"/>
      <w:r w:rsidR="006026A9" w:rsidRPr="008F510B">
        <w:t xml:space="preserve"> (</w:t>
      </w:r>
      <w:proofErr w:type="spellStart"/>
      <w:r w:rsidR="006026A9" w:rsidRPr="008F510B">
        <w:t>Aus</w:t>
      </w:r>
      <w:proofErr w:type="spellEnd"/>
      <w:r w:rsidR="006026A9" w:rsidRPr="008F510B">
        <w:t xml:space="preserve">) Pty Ltd </w:t>
      </w:r>
      <w:r w:rsidRPr="000A4A42">
        <w:t xml:space="preserve">(the sponsor) to register </w:t>
      </w:r>
      <w:proofErr w:type="spellStart"/>
      <w:r w:rsidR="006026A9" w:rsidRPr="008F510B">
        <w:t>Xpovio</w:t>
      </w:r>
      <w:proofErr w:type="spellEnd"/>
      <w:r w:rsidR="006026A9" w:rsidRPr="008F510B">
        <w:t xml:space="preserve"> </w:t>
      </w:r>
      <w:r w:rsidR="006026A9">
        <w:t>(</w:t>
      </w:r>
      <w:proofErr w:type="spellStart"/>
      <w:r w:rsidR="006026A9" w:rsidRPr="008F510B">
        <w:t>selinexor</w:t>
      </w:r>
      <w:proofErr w:type="spellEnd"/>
      <w:r w:rsidRPr="000A4A42">
        <w:t xml:space="preserve">) </w:t>
      </w:r>
      <w:r w:rsidR="00D24731">
        <w:t>20</w:t>
      </w:r>
      <w:r w:rsidR="00AE334E">
        <w:t> </w:t>
      </w:r>
      <w:r w:rsidR="00D24731">
        <w:t>mg</w:t>
      </w:r>
      <w:r w:rsidRPr="000A4A42">
        <w:t xml:space="preserve">, </w:t>
      </w:r>
      <w:r w:rsidR="00D24731">
        <w:t>film coated tablet</w:t>
      </w:r>
      <w:r w:rsidRPr="000A4A42">
        <w:t xml:space="preserve"> for the following proposed indication:</w:t>
      </w:r>
    </w:p>
    <w:p w14:paraId="3432E4A0" w14:textId="5387EC9F" w:rsidR="00AA325C" w:rsidRPr="00AA325C" w:rsidRDefault="00AA325C" w:rsidP="00AA325C">
      <w:pPr>
        <w:pStyle w:val="ListBullet2"/>
        <w:rPr>
          <w:i/>
          <w:iCs/>
        </w:rPr>
      </w:pPr>
      <w:r w:rsidRPr="00AA325C">
        <w:rPr>
          <w:i/>
          <w:iCs/>
        </w:rPr>
        <w:t>In combination with dexamethasone for the treatment of adult patients with relapsed or refractory multiple myeloma (RRMM) who have received at least three prior therapies and whose disease is refractory to at least one proteasome inhibitor, at least one immunomodulatory medicinal product (</w:t>
      </w:r>
      <w:proofErr w:type="spellStart"/>
      <w:r w:rsidRPr="00AA325C">
        <w:rPr>
          <w:i/>
          <w:iCs/>
        </w:rPr>
        <w:t>IMiD</w:t>
      </w:r>
      <w:proofErr w:type="spellEnd"/>
      <w:r w:rsidRPr="00AA325C">
        <w:rPr>
          <w:i/>
          <w:iCs/>
        </w:rPr>
        <w:t>), and an anti-CD38 monoclonal antibody (</w:t>
      </w:r>
      <w:proofErr w:type="spellStart"/>
      <w:r w:rsidRPr="00AA325C">
        <w:rPr>
          <w:i/>
          <w:iCs/>
        </w:rPr>
        <w:t>mAb</w:t>
      </w:r>
      <w:proofErr w:type="spellEnd"/>
      <w:r w:rsidRPr="00AA325C">
        <w:rPr>
          <w:i/>
          <w:iCs/>
        </w:rPr>
        <w:t>).</w:t>
      </w:r>
    </w:p>
    <w:p w14:paraId="15D4E6F2" w14:textId="786A16E3" w:rsidR="00AA325C" w:rsidRPr="00AA325C" w:rsidRDefault="00AA325C" w:rsidP="00AA325C">
      <w:pPr>
        <w:pStyle w:val="ListBullet2"/>
        <w:rPr>
          <w:i/>
          <w:iCs/>
        </w:rPr>
      </w:pPr>
      <w:r w:rsidRPr="00AA325C">
        <w:rPr>
          <w:i/>
          <w:iCs/>
        </w:rPr>
        <w:t>In combination with bortezomib and dexamethasone for the treatment of adult patients with multiple myeloma who have received at least one prior therapy.</w:t>
      </w:r>
    </w:p>
    <w:p w14:paraId="61116382" w14:textId="72C64FD8" w:rsidR="00AA325C" w:rsidRPr="001D111E" w:rsidRDefault="00AA325C" w:rsidP="00AA325C">
      <w:pPr>
        <w:pStyle w:val="ListBullet2"/>
      </w:pPr>
      <w:r w:rsidRPr="00AA325C">
        <w:rPr>
          <w:i/>
          <w:iCs/>
        </w:rPr>
        <w:t>For the treatment of adult patients with relapsed or refractory diffuse large B-cell lymphoma (RR DLBCL), not otherwise specified, including DLBCL arising from follicular lymphoma, after at least 2 lines of systemic therapy</w:t>
      </w:r>
    </w:p>
    <w:p w14:paraId="60180047" w14:textId="742D2561" w:rsidR="00464B3B" w:rsidRDefault="00464B3B" w:rsidP="000B3827">
      <w:pPr>
        <w:pStyle w:val="Heading4"/>
      </w:pPr>
      <w:bookmarkStart w:id="12" w:name="_Toc314842485"/>
      <w:bookmarkStart w:id="13" w:name="_Toc247691504"/>
      <w:r>
        <w:t>Multiple myeloma</w:t>
      </w:r>
    </w:p>
    <w:p w14:paraId="020DB481" w14:textId="70A12E74" w:rsidR="00B84E31" w:rsidRDefault="00014422" w:rsidP="00014422">
      <w:r w:rsidRPr="00014422">
        <w:t>Multiple myeloma is a plasma</w:t>
      </w:r>
      <w:r>
        <w:t xml:space="preserve"> cell malignancy in which a single clone of plasma cells proliferates in the bone marrow. The presence of the clone results in a production and deposition of a monoclonal paraprotein, destruction of bone and replacement of other cell lines in the bone marrow. Clinical presentation may include bone pain and lytic lesions, increased total serum protein and/or monoclonal protein in urine or serum, hypercalcaemia, acute renal failure (rarely nephrotic syndrome), other non-specific symptoms or signs of malignancy.</w:t>
      </w:r>
    </w:p>
    <w:p w14:paraId="5FFCD5C1" w14:textId="6B1E38FC" w:rsidR="00FF1DED" w:rsidRPr="00B84E31" w:rsidRDefault="00C2574C">
      <w:r>
        <w:lastRenderedPageBreak/>
        <w:t>The median age of disease at diagnosis is 70 years, with 37% patients younger than 65 years.</w:t>
      </w:r>
      <w:r>
        <w:rPr>
          <w:rStyle w:val="FootnoteReference"/>
        </w:rPr>
        <w:footnoteReference w:id="1"/>
      </w:r>
      <w:r>
        <w:t xml:space="preserve"> </w:t>
      </w:r>
      <w:r w:rsidR="00B84E31" w:rsidRPr="000B3827">
        <w:t>In 2018, there were 2,247 new cases of multiple myeloma diagnosed in Australia (1,336 males and 910 females). In 2018, the age-standardised incidence rate was 7.6 cases per 100,000 persons (9.5 for males and 5.8 for females). The incidence rate for multiple myeloma is expected to increase with age, highest for those aged between 85 and 89 years.</w:t>
      </w:r>
      <w:bookmarkStart w:id="14" w:name="_Ref117241844"/>
      <w:r w:rsidR="00B84E31">
        <w:rPr>
          <w:rStyle w:val="FootnoteReference"/>
        </w:rPr>
        <w:footnoteReference w:id="2"/>
      </w:r>
      <w:bookmarkEnd w:id="14"/>
      <w:r w:rsidR="00B84E31">
        <w:rPr>
          <w:vertAlign w:val="superscript"/>
        </w:rPr>
        <w:t>,</w:t>
      </w:r>
      <w:bookmarkStart w:id="15" w:name="_Ref117241847"/>
      <w:r w:rsidR="00B84E31">
        <w:rPr>
          <w:rStyle w:val="FootnoteReference"/>
        </w:rPr>
        <w:footnoteReference w:id="3"/>
      </w:r>
      <w:bookmarkEnd w:id="15"/>
    </w:p>
    <w:p w14:paraId="30884E83" w14:textId="557EAF82" w:rsidR="00B84E31" w:rsidRPr="00B84E31" w:rsidRDefault="00B84E31" w:rsidP="00C2574C">
      <w:r w:rsidRPr="000B3827">
        <w:t>In 2020, there were 1,009 deaths from multiple myeloma in Australia (587 males and 422</w:t>
      </w:r>
      <w:r w:rsidRPr="000B3827">
        <w:rPr>
          <w:rFonts w:hint="eastAsia"/>
        </w:rPr>
        <w:t> </w:t>
      </w:r>
      <w:r w:rsidRPr="000B3827">
        <w:t>females).</w:t>
      </w:r>
      <w:r w:rsidRPr="00B84E31">
        <w:t xml:space="preserve"> In 2020, the age-standardised mortality rate in Australia was 3.1 deaths per 100,000 persons (3.9 for males and 2.3 for females).</w:t>
      </w:r>
      <w:r w:rsidR="00C2574C" w:rsidRPr="00C2574C">
        <w:rPr>
          <w:vertAlign w:val="superscript"/>
        </w:rPr>
        <w:fldChar w:fldCharType="begin"/>
      </w:r>
      <w:r w:rsidR="00C2574C" w:rsidRPr="000B3827">
        <w:rPr>
          <w:vertAlign w:val="superscript"/>
        </w:rPr>
        <w:instrText xml:space="preserve"> NOTEREF _Ref117241844 \h </w:instrText>
      </w:r>
      <w:r w:rsidR="00C2574C">
        <w:rPr>
          <w:vertAlign w:val="superscript"/>
        </w:rPr>
        <w:instrText xml:space="preserve"> \* MERGEFORMAT </w:instrText>
      </w:r>
      <w:r w:rsidR="00C2574C" w:rsidRPr="00C2574C">
        <w:rPr>
          <w:vertAlign w:val="superscript"/>
        </w:rPr>
      </w:r>
      <w:r w:rsidR="00C2574C" w:rsidRPr="00C2574C">
        <w:rPr>
          <w:vertAlign w:val="superscript"/>
        </w:rPr>
        <w:fldChar w:fldCharType="separate"/>
      </w:r>
      <w:r w:rsidR="00C2574C">
        <w:rPr>
          <w:vertAlign w:val="superscript"/>
        </w:rPr>
        <w:t>2</w:t>
      </w:r>
      <w:r w:rsidR="00C2574C" w:rsidRPr="00C2574C">
        <w:rPr>
          <w:vertAlign w:val="superscript"/>
        </w:rPr>
        <w:fldChar w:fldCharType="end"/>
      </w:r>
      <w:r w:rsidR="00C2574C" w:rsidRPr="000B3827">
        <w:rPr>
          <w:vertAlign w:val="superscript"/>
        </w:rPr>
        <w:t>,</w:t>
      </w:r>
      <w:r w:rsidR="00C2574C" w:rsidRPr="00C2574C">
        <w:rPr>
          <w:vertAlign w:val="superscript"/>
        </w:rPr>
        <w:fldChar w:fldCharType="begin"/>
      </w:r>
      <w:r w:rsidR="00C2574C" w:rsidRPr="000B3827">
        <w:rPr>
          <w:vertAlign w:val="superscript"/>
        </w:rPr>
        <w:instrText xml:space="preserve"> NOTEREF _Ref117241847 \h </w:instrText>
      </w:r>
      <w:r w:rsidR="00C2574C">
        <w:rPr>
          <w:vertAlign w:val="superscript"/>
        </w:rPr>
        <w:instrText xml:space="preserve"> \* MERGEFORMAT </w:instrText>
      </w:r>
      <w:r w:rsidR="00C2574C" w:rsidRPr="00C2574C">
        <w:rPr>
          <w:vertAlign w:val="superscript"/>
        </w:rPr>
      </w:r>
      <w:r w:rsidR="00C2574C" w:rsidRPr="00C2574C">
        <w:rPr>
          <w:vertAlign w:val="superscript"/>
        </w:rPr>
        <w:fldChar w:fldCharType="separate"/>
      </w:r>
      <w:r w:rsidR="00C2574C">
        <w:rPr>
          <w:vertAlign w:val="superscript"/>
        </w:rPr>
        <w:t>3</w:t>
      </w:r>
      <w:r w:rsidR="00C2574C" w:rsidRPr="00C2574C">
        <w:rPr>
          <w:vertAlign w:val="superscript"/>
        </w:rPr>
        <w:fldChar w:fldCharType="end"/>
      </w:r>
    </w:p>
    <w:p w14:paraId="67176AAF" w14:textId="56CA2327" w:rsidR="00014422" w:rsidRPr="00B84E31" w:rsidRDefault="00B84E31" w:rsidP="00C2574C">
      <w:r w:rsidRPr="00B84E31">
        <w:t>In 2014 to 2018, individuals diagnosed with multiple myeloma had a 55% chance (54% for males and 56% for females) of surviving for five years compared to their counterparts in the general Australian population. Between 1989 to 1993 and 2014 to 2018, five-year relative survival for multiple my</w:t>
      </w:r>
      <w:r w:rsidR="00C2574C">
        <w:t>eloma improved from 28% to 55%.</w:t>
      </w:r>
      <w:r w:rsidR="00C2574C" w:rsidRPr="00F607E2">
        <w:rPr>
          <w:vertAlign w:val="superscript"/>
        </w:rPr>
        <w:fldChar w:fldCharType="begin"/>
      </w:r>
      <w:r w:rsidR="00C2574C" w:rsidRPr="00F607E2">
        <w:rPr>
          <w:vertAlign w:val="superscript"/>
        </w:rPr>
        <w:instrText xml:space="preserve"> NOTEREF _Ref117241844 \h </w:instrText>
      </w:r>
      <w:r w:rsidR="00C2574C">
        <w:rPr>
          <w:vertAlign w:val="superscript"/>
        </w:rPr>
        <w:instrText xml:space="preserve"> \* MERGEFORMAT </w:instrText>
      </w:r>
      <w:r w:rsidR="00C2574C" w:rsidRPr="00F607E2">
        <w:rPr>
          <w:vertAlign w:val="superscript"/>
        </w:rPr>
      </w:r>
      <w:r w:rsidR="00C2574C" w:rsidRPr="00F607E2">
        <w:rPr>
          <w:vertAlign w:val="superscript"/>
        </w:rPr>
        <w:fldChar w:fldCharType="separate"/>
      </w:r>
      <w:r w:rsidR="00C2574C">
        <w:rPr>
          <w:vertAlign w:val="superscript"/>
        </w:rPr>
        <w:t>2</w:t>
      </w:r>
      <w:r w:rsidR="00C2574C" w:rsidRPr="00F607E2">
        <w:rPr>
          <w:vertAlign w:val="superscript"/>
        </w:rPr>
        <w:fldChar w:fldCharType="end"/>
      </w:r>
      <w:r w:rsidR="00C2574C" w:rsidRPr="00F607E2">
        <w:rPr>
          <w:vertAlign w:val="superscript"/>
        </w:rPr>
        <w:t>,</w:t>
      </w:r>
      <w:r w:rsidR="00C2574C" w:rsidRPr="00F607E2">
        <w:rPr>
          <w:vertAlign w:val="superscript"/>
        </w:rPr>
        <w:fldChar w:fldCharType="begin"/>
      </w:r>
      <w:r w:rsidR="00C2574C" w:rsidRPr="00F607E2">
        <w:rPr>
          <w:vertAlign w:val="superscript"/>
        </w:rPr>
        <w:instrText xml:space="preserve"> NOTEREF _Ref117241847 \h </w:instrText>
      </w:r>
      <w:r w:rsidR="00C2574C">
        <w:rPr>
          <w:vertAlign w:val="superscript"/>
        </w:rPr>
        <w:instrText xml:space="preserve"> \* MERGEFORMAT </w:instrText>
      </w:r>
      <w:r w:rsidR="00C2574C" w:rsidRPr="00F607E2">
        <w:rPr>
          <w:vertAlign w:val="superscript"/>
        </w:rPr>
      </w:r>
      <w:r w:rsidR="00C2574C" w:rsidRPr="00F607E2">
        <w:rPr>
          <w:vertAlign w:val="superscript"/>
        </w:rPr>
        <w:fldChar w:fldCharType="separate"/>
      </w:r>
      <w:r w:rsidR="00C2574C">
        <w:rPr>
          <w:vertAlign w:val="superscript"/>
        </w:rPr>
        <w:t>3</w:t>
      </w:r>
      <w:r w:rsidR="00C2574C" w:rsidRPr="00F607E2">
        <w:rPr>
          <w:vertAlign w:val="superscript"/>
        </w:rPr>
        <w:fldChar w:fldCharType="end"/>
      </w:r>
    </w:p>
    <w:p w14:paraId="16579D60" w14:textId="63A4C003" w:rsidR="007E1E89" w:rsidRDefault="007E1E89" w:rsidP="000B3827">
      <w:pPr>
        <w:pStyle w:val="Heading4"/>
      </w:pPr>
      <w:r>
        <w:t>Current treatment options</w:t>
      </w:r>
    </w:p>
    <w:p w14:paraId="5DCCE56A" w14:textId="231300F6" w:rsidR="00014422" w:rsidRDefault="00014422" w:rsidP="00014422">
      <w:pPr>
        <w:rPr>
          <w:rFonts w:asciiTheme="minorHAnsi" w:hAnsiTheme="minorHAnsi"/>
        </w:rPr>
      </w:pPr>
      <w:r>
        <w:rPr>
          <w:rFonts w:asciiTheme="minorHAnsi" w:hAnsiTheme="minorHAnsi"/>
        </w:rPr>
        <w:t xml:space="preserve">The initial treatment for patients with symptomatic </w:t>
      </w:r>
      <w:r w:rsidR="008851AD" w:rsidRPr="000823B9">
        <w:rPr>
          <w:color w:val="000000"/>
        </w:rPr>
        <w:t>multiple myeloma</w:t>
      </w:r>
      <w:r>
        <w:rPr>
          <w:rFonts w:asciiTheme="minorHAnsi" w:hAnsiTheme="minorHAnsi"/>
        </w:rPr>
        <w:t xml:space="preserve"> depends on risk stratification, eligibility for autologous haematopoietic stem cell transplant. Conventional therapy is not curative and most patients who survive the initial treatment for </w:t>
      </w:r>
      <w:r w:rsidR="008851AD" w:rsidRPr="000823B9">
        <w:rPr>
          <w:color w:val="000000"/>
        </w:rPr>
        <w:t>multiple myeloma</w:t>
      </w:r>
      <w:r>
        <w:rPr>
          <w:rFonts w:asciiTheme="minorHAnsi" w:hAnsiTheme="minorHAnsi"/>
        </w:rPr>
        <w:t xml:space="preserve"> will relapse, and of the relapsed patients most will experience serial relapse.</w:t>
      </w:r>
      <w:r w:rsidR="007E1E89">
        <w:rPr>
          <w:rStyle w:val="FootnoteReference"/>
          <w:rFonts w:asciiTheme="minorHAnsi" w:hAnsiTheme="minorHAnsi"/>
        </w:rPr>
        <w:footnoteReference w:id="4"/>
      </w:r>
    </w:p>
    <w:p w14:paraId="76A7CDF9" w14:textId="77777777" w:rsidR="007E1E89" w:rsidRDefault="00014422" w:rsidP="00BF3486">
      <w:pPr>
        <w:rPr>
          <w:rFonts w:asciiTheme="minorHAnsi" w:hAnsiTheme="minorHAnsi"/>
        </w:rPr>
      </w:pPr>
      <w:proofErr w:type="gramStart"/>
      <w:r>
        <w:rPr>
          <w:rFonts w:asciiTheme="minorHAnsi" w:hAnsiTheme="minorHAnsi"/>
        </w:rPr>
        <w:t>A number of</w:t>
      </w:r>
      <w:proofErr w:type="gramEnd"/>
      <w:r>
        <w:rPr>
          <w:rFonts w:asciiTheme="minorHAnsi" w:hAnsiTheme="minorHAnsi"/>
        </w:rPr>
        <w:t xml:space="preserve"> medicines on the </w:t>
      </w:r>
      <w:r w:rsidR="008851AD">
        <w:t>Australian Register of Therapeutic Goods</w:t>
      </w:r>
      <w:r w:rsidR="008851AD">
        <w:rPr>
          <w:rFonts w:asciiTheme="minorHAnsi" w:hAnsiTheme="minorHAnsi"/>
        </w:rPr>
        <w:t xml:space="preserve"> (</w:t>
      </w:r>
      <w:r>
        <w:rPr>
          <w:rFonts w:asciiTheme="minorHAnsi" w:hAnsiTheme="minorHAnsi"/>
        </w:rPr>
        <w:t>ARTG</w:t>
      </w:r>
      <w:r w:rsidR="008851AD">
        <w:rPr>
          <w:rFonts w:asciiTheme="minorHAnsi" w:hAnsiTheme="minorHAnsi"/>
        </w:rPr>
        <w:t>)</w:t>
      </w:r>
      <w:r>
        <w:rPr>
          <w:rFonts w:asciiTheme="minorHAnsi" w:hAnsiTheme="minorHAnsi"/>
        </w:rPr>
        <w:t xml:space="preserve"> are used in combinations, although not all of these medicines have specific indications for the condition or the combinations in which they may be used. These include but are not limited to</w:t>
      </w:r>
      <w:r w:rsidR="007E1E89">
        <w:rPr>
          <w:rFonts w:asciiTheme="minorHAnsi" w:hAnsiTheme="minorHAnsi"/>
        </w:rPr>
        <w:t>:</w:t>
      </w:r>
    </w:p>
    <w:p w14:paraId="7CD122DF" w14:textId="03B79743" w:rsidR="007E1E89" w:rsidRDefault="00014422" w:rsidP="000B3827">
      <w:pPr>
        <w:pStyle w:val="ListBullet"/>
      </w:pPr>
      <w:r>
        <w:t>regimens containing anti-CD38 antibodies (</w:t>
      </w:r>
      <w:r w:rsidR="008851AD">
        <w:t>for example,</w:t>
      </w:r>
      <w:r>
        <w:t xml:space="preserve"> daratumumab or </w:t>
      </w:r>
      <w:proofErr w:type="spellStart"/>
      <w:r>
        <w:t>isatuximab</w:t>
      </w:r>
      <w:proofErr w:type="spellEnd"/>
      <w:r>
        <w:t xml:space="preserve">), </w:t>
      </w:r>
      <w:proofErr w:type="spellStart"/>
      <w:r>
        <w:t>elotuzumab</w:t>
      </w:r>
      <w:proofErr w:type="spellEnd"/>
      <w:r>
        <w:t xml:space="preserve"> containing regimens (anti-SLAMF7 antibodies), proteasome inhibitors (</w:t>
      </w:r>
      <w:r w:rsidR="008851AD">
        <w:t>for example,</w:t>
      </w:r>
      <w:r>
        <w:t xml:space="preserve"> bortezomib or carfilzomib),</w:t>
      </w:r>
    </w:p>
    <w:p w14:paraId="3FFDA8A5" w14:textId="3532A04F" w:rsidR="007E1E89" w:rsidRDefault="00014422" w:rsidP="000B3827">
      <w:pPr>
        <w:pStyle w:val="ListBullet"/>
      </w:pPr>
      <w:r>
        <w:t>immunomodulatory drugs (</w:t>
      </w:r>
      <w:r w:rsidR="008851AD">
        <w:t>for example,</w:t>
      </w:r>
      <w:r>
        <w:t xml:space="preserve"> lenalidomide or pomalidomide),</w:t>
      </w:r>
    </w:p>
    <w:p w14:paraId="27664025" w14:textId="723CCEAA" w:rsidR="007E1E89" w:rsidRDefault="00014422" w:rsidP="000B3827">
      <w:pPr>
        <w:pStyle w:val="ListBullet"/>
      </w:pPr>
      <w:r>
        <w:t>alkylating agents (</w:t>
      </w:r>
      <w:r w:rsidR="008851AD">
        <w:t>for example,</w:t>
      </w:r>
      <w:r>
        <w:t xml:space="preserve"> </w:t>
      </w:r>
      <w:proofErr w:type="spellStart"/>
      <w:r>
        <w:t>bendamustine</w:t>
      </w:r>
      <w:proofErr w:type="spellEnd"/>
      <w:r>
        <w:t>), vincristine, hypomethylating agents and dexamethasone.</w:t>
      </w:r>
    </w:p>
    <w:p w14:paraId="4B48A852" w14:textId="21D1330A" w:rsidR="00014422" w:rsidRDefault="00014422">
      <w:r>
        <w:t>These are often described in three agent regimens (with or without monoclonal antibodies), or two agent regimens (more typically reserved for frail patients) although some agents are approved as monotherapy.</w:t>
      </w:r>
    </w:p>
    <w:p w14:paraId="63987BAD" w14:textId="6FBCB152" w:rsidR="007E1E89" w:rsidRDefault="007E1E89" w:rsidP="000B3827">
      <w:pPr>
        <w:pStyle w:val="Heading4"/>
      </w:pPr>
      <w:r>
        <w:t>Selinexor</w:t>
      </w:r>
    </w:p>
    <w:p w14:paraId="31016388" w14:textId="77777777" w:rsidR="007E1E89" w:rsidRDefault="007E1E89" w:rsidP="007E1E89">
      <w:proofErr w:type="spellStart"/>
      <w:r>
        <w:t>Xpovio</w:t>
      </w:r>
      <w:proofErr w:type="spellEnd"/>
      <w:r>
        <w:t xml:space="preserve"> is a new chemical entity containing the active ingredient </w:t>
      </w:r>
      <w:proofErr w:type="spellStart"/>
      <w:r>
        <w:t>selinexor</w:t>
      </w:r>
      <w:proofErr w:type="spellEnd"/>
      <w:r>
        <w:t xml:space="preserve">. Selinexor is an oral, first in class, potent, slowly reversible covalent selective inhibitor of nuclear export (SINE) compound that specifically blocks exportin 1 (XPO1). This is one of a family of nuclear transport proteins that move large molecules between the nucleus and the cytoplasm through the nuclear membrane pore complex, including tumour suppressor proteins. In cancers such as multiple myeloma, XPO1 is over-expressed and the tumour </w:t>
      </w:r>
      <w:r>
        <w:lastRenderedPageBreak/>
        <w:t>suppressor proteins that need to be within the nucleus to function. Inhibition of XPO1 leads, amongst other mechanisms, to the nuclear accumulation and activation of tumour suppressor proteins (TSP), which then initiate apoptosis in cancer cells.</w:t>
      </w:r>
    </w:p>
    <w:p w14:paraId="34EB8097" w14:textId="1B0DDCD5" w:rsidR="007E1E89" w:rsidRPr="007E1E89" w:rsidRDefault="007E1E89">
      <w:r>
        <w:t xml:space="preserve">Two of the proposed indications include </w:t>
      </w:r>
      <w:proofErr w:type="spellStart"/>
      <w:r>
        <w:t>selinexor</w:t>
      </w:r>
      <w:proofErr w:type="spellEnd"/>
      <w:r>
        <w:t xml:space="preserve"> in combination with dexamethasone. These agents act synergistically to </w:t>
      </w:r>
      <w:r w:rsidRPr="00D45B08">
        <w:t xml:space="preserve">inhibit </w:t>
      </w:r>
      <w:r>
        <w:t xml:space="preserve">the </w:t>
      </w:r>
      <w:r w:rsidRPr="00AE334E">
        <w:t xml:space="preserve">mammalian target of rapamycin </w:t>
      </w:r>
      <w:r>
        <w:t>(mTOR) pathway and to promote cell apoptosis in multiple myeloma cells.</w:t>
      </w:r>
    </w:p>
    <w:p w14:paraId="342F7E5D" w14:textId="77777777" w:rsidR="008E7846" w:rsidRPr="003F31A2" w:rsidRDefault="00386150" w:rsidP="008E7846">
      <w:pPr>
        <w:pStyle w:val="Heading3"/>
      </w:pPr>
      <w:bookmarkStart w:id="16" w:name="_Toc119396508"/>
      <w:r>
        <w:t>Regulatory s</w:t>
      </w:r>
      <w:r w:rsidR="008E7846">
        <w:t>tatus</w:t>
      </w:r>
      <w:bookmarkEnd w:id="12"/>
      <w:bookmarkEnd w:id="13"/>
      <w:bookmarkEnd w:id="16"/>
    </w:p>
    <w:p w14:paraId="1D0F8177" w14:textId="719FD408" w:rsidR="00332715" w:rsidRDefault="00332715" w:rsidP="00332715">
      <w:bookmarkStart w:id="17" w:name="_Toc247691505"/>
      <w:bookmarkStart w:id="18" w:name="_Toc314842486"/>
      <w:r>
        <w:t xml:space="preserve">This product is considered a new chemical </w:t>
      </w:r>
      <w:r w:rsidR="007E1E89">
        <w:t xml:space="preserve">entity </w:t>
      </w:r>
      <w:r>
        <w:t>for Australian regulatory purposes.</w:t>
      </w:r>
    </w:p>
    <w:p w14:paraId="6A4A7094" w14:textId="05C85993" w:rsidR="00332715" w:rsidRDefault="00332715" w:rsidP="00332715">
      <w:r>
        <w:t xml:space="preserve">At the time the TGA considered this </w:t>
      </w:r>
      <w:r w:rsidR="00BB0B78">
        <w:t>submission</w:t>
      </w:r>
      <w:r>
        <w:t xml:space="preserve">, a similar </w:t>
      </w:r>
      <w:r w:rsidR="00BB0B78">
        <w:t>submission</w:t>
      </w:r>
      <w:r>
        <w:t xml:space="preserve"> had been approved in </w:t>
      </w:r>
      <w:r w:rsidR="008851AD">
        <w:t xml:space="preserve">European Union (EU) and United Kingdom </w:t>
      </w:r>
      <w:r w:rsidR="008851AD" w:rsidRPr="008851AD">
        <w:t>for the treatment of multiple myeloma</w:t>
      </w:r>
      <w:r w:rsidR="008851AD">
        <w:t xml:space="preserve"> indication and in United States of America (USA) for three indications (see </w:t>
      </w:r>
      <w:r w:rsidR="008851AD">
        <w:fldChar w:fldCharType="begin"/>
      </w:r>
      <w:r w:rsidR="008851AD">
        <w:instrText xml:space="preserve"> REF _Ref99705479 \h </w:instrText>
      </w:r>
      <w:r w:rsidR="008851AD">
        <w:fldChar w:fldCharType="separate"/>
      </w:r>
      <w:r w:rsidR="003F6139">
        <w:t xml:space="preserve">Table </w:t>
      </w:r>
      <w:r w:rsidR="003F6139">
        <w:rPr>
          <w:noProof/>
        </w:rPr>
        <w:t>1</w:t>
      </w:r>
      <w:r w:rsidR="008851AD">
        <w:fldChar w:fldCharType="end"/>
      </w:r>
      <w:r w:rsidR="008851AD">
        <w:t>)</w:t>
      </w:r>
      <w:r>
        <w:t xml:space="preserve">. A similar </w:t>
      </w:r>
      <w:r w:rsidR="00BB0B78">
        <w:t>submission</w:t>
      </w:r>
      <w:r>
        <w:t xml:space="preserve"> was under consideration in </w:t>
      </w:r>
      <w:r w:rsidR="008851AD">
        <w:t>Singapore.</w:t>
      </w:r>
    </w:p>
    <w:p w14:paraId="25E3A622" w14:textId="77777777" w:rsidR="00332715" w:rsidRDefault="0072292E" w:rsidP="00332715">
      <w:r>
        <w:t xml:space="preserve">The following table </w:t>
      </w:r>
      <w:r w:rsidR="00332715">
        <w:t xml:space="preserve">summarises these </w:t>
      </w:r>
      <w:r w:rsidR="00BB0B78">
        <w:t>submissions</w:t>
      </w:r>
      <w:r w:rsidR="00332715">
        <w:t xml:space="preserve"> and provides the indications where approved.</w:t>
      </w:r>
    </w:p>
    <w:p w14:paraId="296934CE" w14:textId="0415137F" w:rsidR="00324E45" w:rsidRPr="00F0146F" w:rsidRDefault="00324E45" w:rsidP="00324E45">
      <w:pPr>
        <w:pStyle w:val="TableTitle"/>
      </w:pPr>
      <w:bookmarkStart w:id="19" w:name="_Ref99705479"/>
      <w:r>
        <w:t xml:space="preserve">Table </w:t>
      </w:r>
      <w:r w:rsidR="006737A0">
        <w:fldChar w:fldCharType="begin"/>
      </w:r>
      <w:r w:rsidR="006737A0">
        <w:instrText xml:space="preserve"> SEQ Table </w:instrText>
      </w:r>
      <w:r w:rsidR="006737A0">
        <w:instrText xml:space="preserve">\* ARABIC </w:instrText>
      </w:r>
      <w:r w:rsidR="006737A0">
        <w:fldChar w:fldCharType="separate"/>
      </w:r>
      <w:r w:rsidR="00BB2836">
        <w:rPr>
          <w:noProof/>
        </w:rPr>
        <w:t>1</w:t>
      </w:r>
      <w:r w:rsidR="006737A0">
        <w:rPr>
          <w:noProof/>
        </w:rPr>
        <w:fldChar w:fldCharType="end"/>
      </w:r>
      <w:bookmarkEnd w:id="19"/>
      <w:r>
        <w:t>: International regulatory status</w:t>
      </w:r>
      <w:r w:rsidR="00A66EAE">
        <w:t xml:space="preserve"> of selected countries</w:t>
      </w:r>
    </w:p>
    <w:tbl>
      <w:tblPr>
        <w:tblStyle w:val="TableTGAblue"/>
        <w:tblW w:w="8815" w:type="dxa"/>
        <w:tblLayout w:type="fixed"/>
        <w:tblLook w:val="04A0" w:firstRow="1" w:lastRow="0" w:firstColumn="1" w:lastColumn="0" w:noHBand="0" w:noVBand="1"/>
      </w:tblPr>
      <w:tblGrid>
        <w:gridCol w:w="1525"/>
        <w:gridCol w:w="1996"/>
        <w:gridCol w:w="1964"/>
        <w:gridCol w:w="3330"/>
      </w:tblGrid>
      <w:tr w:rsidR="00A66EAE" w:rsidRPr="007E1E89" w14:paraId="1486A498" w14:textId="77777777" w:rsidTr="000B3827">
        <w:trPr>
          <w:cnfStyle w:val="100000000000" w:firstRow="1" w:lastRow="0" w:firstColumn="0" w:lastColumn="0" w:oddVBand="0" w:evenVBand="0" w:oddHBand="0" w:evenHBand="0" w:firstRowFirstColumn="0" w:firstRowLastColumn="0" w:lastRowFirstColumn="0" w:lastRowLastColumn="0"/>
        </w:trPr>
        <w:tc>
          <w:tcPr>
            <w:tcW w:w="1525" w:type="dxa"/>
            <w:tcBorders>
              <w:top w:val="single" w:sz="4" w:space="0" w:color="auto"/>
              <w:left w:val="single" w:sz="4" w:space="0" w:color="auto"/>
              <w:bottom w:val="single" w:sz="4" w:space="0" w:color="auto"/>
              <w:right w:val="single" w:sz="4" w:space="0" w:color="auto"/>
            </w:tcBorders>
          </w:tcPr>
          <w:p w14:paraId="441B7D21" w14:textId="77777777" w:rsidR="00006FAB" w:rsidRPr="000B3827" w:rsidRDefault="00006FAB" w:rsidP="00006FAB">
            <w:pPr>
              <w:ind w:left="0" w:right="0"/>
              <w:rPr>
                <w:sz w:val="20"/>
              </w:rPr>
            </w:pPr>
            <w:r w:rsidRPr="000B3827">
              <w:rPr>
                <w:sz w:val="20"/>
              </w:rPr>
              <w:t>Region</w:t>
            </w:r>
          </w:p>
        </w:tc>
        <w:tc>
          <w:tcPr>
            <w:tcW w:w="1996" w:type="dxa"/>
            <w:tcBorders>
              <w:top w:val="single" w:sz="4" w:space="0" w:color="auto"/>
              <w:left w:val="single" w:sz="4" w:space="0" w:color="auto"/>
              <w:bottom w:val="single" w:sz="4" w:space="0" w:color="auto"/>
              <w:right w:val="single" w:sz="4" w:space="0" w:color="auto"/>
            </w:tcBorders>
          </w:tcPr>
          <w:p w14:paraId="6D9C40F7" w14:textId="77777777" w:rsidR="00006FAB" w:rsidRPr="000B3827" w:rsidRDefault="00006FAB" w:rsidP="00006FAB">
            <w:pPr>
              <w:ind w:left="0" w:right="0"/>
              <w:rPr>
                <w:sz w:val="20"/>
              </w:rPr>
            </w:pPr>
            <w:r w:rsidRPr="000B3827">
              <w:rPr>
                <w:sz w:val="20"/>
              </w:rPr>
              <w:t>Submission date</w:t>
            </w:r>
          </w:p>
        </w:tc>
        <w:tc>
          <w:tcPr>
            <w:tcW w:w="1964" w:type="dxa"/>
            <w:tcBorders>
              <w:top w:val="single" w:sz="4" w:space="0" w:color="auto"/>
              <w:left w:val="single" w:sz="4" w:space="0" w:color="auto"/>
              <w:bottom w:val="single" w:sz="4" w:space="0" w:color="auto"/>
              <w:right w:val="single" w:sz="4" w:space="0" w:color="auto"/>
            </w:tcBorders>
          </w:tcPr>
          <w:p w14:paraId="1E7525BD" w14:textId="77777777" w:rsidR="00006FAB" w:rsidRPr="000B3827" w:rsidRDefault="00006FAB" w:rsidP="00006FAB">
            <w:pPr>
              <w:ind w:left="0" w:right="0"/>
              <w:rPr>
                <w:sz w:val="20"/>
              </w:rPr>
            </w:pPr>
            <w:r w:rsidRPr="000B3827">
              <w:rPr>
                <w:sz w:val="20"/>
              </w:rPr>
              <w:t>Status</w:t>
            </w:r>
          </w:p>
        </w:tc>
        <w:tc>
          <w:tcPr>
            <w:tcW w:w="3330" w:type="dxa"/>
            <w:tcBorders>
              <w:top w:val="single" w:sz="4" w:space="0" w:color="auto"/>
              <w:left w:val="single" w:sz="4" w:space="0" w:color="auto"/>
              <w:bottom w:val="single" w:sz="4" w:space="0" w:color="auto"/>
              <w:right w:val="single" w:sz="4" w:space="0" w:color="auto"/>
            </w:tcBorders>
          </w:tcPr>
          <w:p w14:paraId="0F358D9E" w14:textId="77777777" w:rsidR="00006FAB" w:rsidRPr="000B3827" w:rsidRDefault="00006FAB" w:rsidP="00006FAB">
            <w:pPr>
              <w:ind w:left="0" w:right="0"/>
              <w:rPr>
                <w:sz w:val="20"/>
              </w:rPr>
            </w:pPr>
            <w:r w:rsidRPr="000B3827">
              <w:rPr>
                <w:sz w:val="20"/>
              </w:rPr>
              <w:t>Approved indications</w:t>
            </w:r>
          </w:p>
        </w:tc>
      </w:tr>
      <w:tr w:rsidR="00A66EAE" w:rsidRPr="007E1E89" w14:paraId="1E584901" w14:textId="77777777" w:rsidTr="000B3827">
        <w:tc>
          <w:tcPr>
            <w:tcW w:w="1525" w:type="dxa"/>
            <w:vMerge w:val="restart"/>
            <w:tcBorders>
              <w:top w:val="single" w:sz="4" w:space="0" w:color="auto"/>
            </w:tcBorders>
          </w:tcPr>
          <w:p w14:paraId="62B01B1D" w14:textId="77777777" w:rsidR="00AA325C" w:rsidRPr="000B3827" w:rsidRDefault="00AA325C" w:rsidP="00006FAB">
            <w:pPr>
              <w:ind w:left="0" w:right="0"/>
              <w:rPr>
                <w:sz w:val="20"/>
              </w:rPr>
            </w:pPr>
            <w:r w:rsidRPr="000B3827">
              <w:rPr>
                <w:sz w:val="20"/>
              </w:rPr>
              <w:t>European Union Centralised</w:t>
            </w:r>
          </w:p>
          <w:p w14:paraId="1ED91474" w14:textId="52E54B0A" w:rsidR="00AA325C" w:rsidRPr="000B3827" w:rsidRDefault="00AA325C" w:rsidP="00006FAB">
            <w:pPr>
              <w:ind w:left="0" w:right="0"/>
              <w:rPr>
                <w:sz w:val="20"/>
              </w:rPr>
            </w:pPr>
            <w:r w:rsidRPr="000B3827">
              <w:rPr>
                <w:sz w:val="20"/>
              </w:rPr>
              <w:t>Rapporteur: Spain</w:t>
            </w:r>
          </w:p>
          <w:p w14:paraId="0C65058F" w14:textId="271E5D12" w:rsidR="00AA325C" w:rsidRPr="000B3827" w:rsidRDefault="00AA325C" w:rsidP="00006FAB">
            <w:pPr>
              <w:ind w:left="0" w:right="0"/>
              <w:rPr>
                <w:sz w:val="20"/>
              </w:rPr>
            </w:pPr>
            <w:r w:rsidRPr="000B3827">
              <w:rPr>
                <w:sz w:val="20"/>
              </w:rPr>
              <w:t>Co-rapporteur: Demark</w:t>
            </w:r>
          </w:p>
        </w:tc>
        <w:tc>
          <w:tcPr>
            <w:tcW w:w="1996" w:type="dxa"/>
            <w:tcBorders>
              <w:top w:val="single" w:sz="4" w:space="0" w:color="auto"/>
            </w:tcBorders>
          </w:tcPr>
          <w:p w14:paraId="1A92E41E" w14:textId="20C46C58" w:rsidR="00AA325C" w:rsidRPr="000B3827" w:rsidRDefault="00AA325C" w:rsidP="00006FAB">
            <w:pPr>
              <w:ind w:left="0" w:right="0"/>
              <w:rPr>
                <w:sz w:val="20"/>
              </w:rPr>
            </w:pPr>
            <w:r w:rsidRPr="000B3827">
              <w:rPr>
                <w:sz w:val="20"/>
              </w:rPr>
              <w:t>7 January 2019</w:t>
            </w:r>
          </w:p>
        </w:tc>
        <w:tc>
          <w:tcPr>
            <w:tcW w:w="1964" w:type="dxa"/>
            <w:tcBorders>
              <w:top w:val="single" w:sz="4" w:space="0" w:color="auto"/>
            </w:tcBorders>
          </w:tcPr>
          <w:p w14:paraId="104609F9" w14:textId="1B962919" w:rsidR="00AA325C" w:rsidRPr="000B3827" w:rsidRDefault="00AA325C" w:rsidP="00006FAB">
            <w:pPr>
              <w:ind w:left="0" w:right="0"/>
              <w:rPr>
                <w:sz w:val="20"/>
              </w:rPr>
            </w:pPr>
            <w:r w:rsidRPr="000B3827">
              <w:rPr>
                <w:sz w:val="20"/>
              </w:rPr>
              <w:t xml:space="preserve">Approved on </w:t>
            </w:r>
            <w:r w:rsidR="00A66EAE" w:rsidRPr="000B3827">
              <w:rPr>
                <w:sz w:val="20"/>
              </w:rPr>
              <w:t>26</w:t>
            </w:r>
            <w:r w:rsidR="007E1E89" w:rsidRPr="000B3827">
              <w:rPr>
                <w:sz w:val="20"/>
              </w:rPr>
              <w:t> </w:t>
            </w:r>
            <w:r w:rsidR="00A66EAE" w:rsidRPr="000B3827">
              <w:rPr>
                <w:sz w:val="20"/>
              </w:rPr>
              <w:t>March 2021</w:t>
            </w:r>
          </w:p>
        </w:tc>
        <w:tc>
          <w:tcPr>
            <w:tcW w:w="3330" w:type="dxa"/>
            <w:tcBorders>
              <w:top w:val="single" w:sz="4" w:space="0" w:color="auto"/>
            </w:tcBorders>
          </w:tcPr>
          <w:p w14:paraId="69F95C56" w14:textId="67464C9F" w:rsidR="00AA325C" w:rsidRPr="000B3827" w:rsidRDefault="00A66EAE" w:rsidP="00A66EAE">
            <w:pPr>
              <w:ind w:left="0"/>
              <w:rPr>
                <w:i/>
                <w:iCs/>
                <w:sz w:val="20"/>
              </w:rPr>
            </w:pPr>
            <w:proofErr w:type="spellStart"/>
            <w:r w:rsidRPr="000B3827">
              <w:rPr>
                <w:i/>
                <w:iCs/>
                <w:sz w:val="20"/>
              </w:rPr>
              <w:t>Nexpovio</w:t>
            </w:r>
            <w:proofErr w:type="spellEnd"/>
            <w:r w:rsidRPr="000B3827">
              <w:rPr>
                <w:i/>
                <w:iCs/>
                <w:sz w:val="20"/>
              </w:rPr>
              <w:t xml:space="preserve"> is indicated in combination with dexamethasone for the treatment of multiple myeloma in adult patients who have received at least four prior therapies and whose disease is refractory to at least two proteasome inhibitors, two immunomodulatory agents and an anti-CD38 monoclonal antibody, and who have demonstrated disease progression on the last therapy.</w:t>
            </w:r>
          </w:p>
        </w:tc>
      </w:tr>
      <w:tr w:rsidR="00A66EAE" w:rsidRPr="007E1E89" w14:paraId="6E96BF96" w14:textId="77777777" w:rsidTr="000B3827">
        <w:tc>
          <w:tcPr>
            <w:tcW w:w="1525" w:type="dxa"/>
            <w:vMerge/>
          </w:tcPr>
          <w:p w14:paraId="3BF56535" w14:textId="77777777" w:rsidR="00AA325C" w:rsidRPr="000B3827" w:rsidRDefault="00AA325C" w:rsidP="00006FAB">
            <w:pPr>
              <w:ind w:left="0" w:right="0"/>
              <w:rPr>
                <w:sz w:val="20"/>
              </w:rPr>
            </w:pPr>
          </w:p>
        </w:tc>
        <w:tc>
          <w:tcPr>
            <w:tcW w:w="1996" w:type="dxa"/>
          </w:tcPr>
          <w:p w14:paraId="503884C9" w14:textId="0F158B8C" w:rsidR="00AA325C" w:rsidRPr="000B3827" w:rsidRDefault="00AA325C" w:rsidP="00006FAB">
            <w:pPr>
              <w:ind w:left="0" w:right="0"/>
              <w:rPr>
                <w:sz w:val="20"/>
              </w:rPr>
            </w:pPr>
            <w:r w:rsidRPr="000B3827">
              <w:rPr>
                <w:sz w:val="20"/>
              </w:rPr>
              <w:t>6 April 2021</w:t>
            </w:r>
          </w:p>
        </w:tc>
        <w:tc>
          <w:tcPr>
            <w:tcW w:w="1964" w:type="dxa"/>
          </w:tcPr>
          <w:p w14:paraId="234AE764" w14:textId="77777777" w:rsidR="00AA325C" w:rsidRPr="000B3827" w:rsidRDefault="00AA325C" w:rsidP="00006FAB">
            <w:pPr>
              <w:ind w:left="0" w:right="0"/>
              <w:rPr>
                <w:sz w:val="20"/>
              </w:rPr>
            </w:pPr>
            <w:r w:rsidRPr="000B3827">
              <w:rPr>
                <w:sz w:val="20"/>
              </w:rPr>
              <w:t>Under consideration</w:t>
            </w:r>
          </w:p>
        </w:tc>
        <w:tc>
          <w:tcPr>
            <w:tcW w:w="3330" w:type="dxa"/>
          </w:tcPr>
          <w:p w14:paraId="0B9BAF0A" w14:textId="77777777" w:rsidR="00AA325C" w:rsidRPr="000B3827" w:rsidRDefault="00AA325C" w:rsidP="00006FAB">
            <w:pPr>
              <w:ind w:left="0" w:right="0"/>
              <w:rPr>
                <w:sz w:val="20"/>
              </w:rPr>
            </w:pPr>
            <w:r w:rsidRPr="000B3827">
              <w:rPr>
                <w:sz w:val="20"/>
              </w:rPr>
              <w:t>Under consideration</w:t>
            </w:r>
          </w:p>
        </w:tc>
      </w:tr>
      <w:tr w:rsidR="00A66EAE" w:rsidRPr="007E1E89" w14:paraId="28C5E55E" w14:textId="77777777" w:rsidTr="000B3827">
        <w:tc>
          <w:tcPr>
            <w:tcW w:w="1525" w:type="dxa"/>
            <w:vMerge w:val="restart"/>
          </w:tcPr>
          <w:p w14:paraId="661933F9" w14:textId="7E75A6B6" w:rsidR="00A66EAE" w:rsidRPr="000B3827" w:rsidRDefault="00A66EAE" w:rsidP="00A66EAE">
            <w:pPr>
              <w:ind w:left="0"/>
              <w:rPr>
                <w:sz w:val="20"/>
              </w:rPr>
            </w:pPr>
            <w:r w:rsidRPr="000B3827">
              <w:rPr>
                <w:sz w:val="20"/>
              </w:rPr>
              <w:t>United States of America</w:t>
            </w:r>
          </w:p>
        </w:tc>
        <w:tc>
          <w:tcPr>
            <w:tcW w:w="1996" w:type="dxa"/>
          </w:tcPr>
          <w:p w14:paraId="6FEBD02A" w14:textId="6BA13FBE" w:rsidR="00A66EAE" w:rsidRPr="000B3827" w:rsidRDefault="00A66EAE" w:rsidP="008851AD">
            <w:pPr>
              <w:ind w:left="0"/>
              <w:rPr>
                <w:sz w:val="20"/>
              </w:rPr>
            </w:pPr>
            <w:r w:rsidRPr="000B3827">
              <w:rPr>
                <w:sz w:val="20"/>
              </w:rPr>
              <w:t>5 August 2018</w:t>
            </w:r>
          </w:p>
        </w:tc>
        <w:tc>
          <w:tcPr>
            <w:tcW w:w="1964" w:type="dxa"/>
          </w:tcPr>
          <w:p w14:paraId="449DCD00" w14:textId="6AB37706" w:rsidR="00A66EAE" w:rsidRPr="000B3827" w:rsidRDefault="00A66EAE" w:rsidP="008851AD">
            <w:pPr>
              <w:ind w:left="0"/>
              <w:rPr>
                <w:sz w:val="20"/>
              </w:rPr>
            </w:pPr>
            <w:r w:rsidRPr="000B3827">
              <w:rPr>
                <w:sz w:val="20"/>
              </w:rPr>
              <w:t>Approved on 3</w:t>
            </w:r>
            <w:r w:rsidR="007E1E89" w:rsidRPr="000B3827">
              <w:rPr>
                <w:sz w:val="20"/>
              </w:rPr>
              <w:t> </w:t>
            </w:r>
            <w:r w:rsidRPr="000B3827">
              <w:rPr>
                <w:sz w:val="20"/>
              </w:rPr>
              <w:t>July 2019</w:t>
            </w:r>
          </w:p>
        </w:tc>
        <w:tc>
          <w:tcPr>
            <w:tcW w:w="3330" w:type="dxa"/>
          </w:tcPr>
          <w:p w14:paraId="74CE48A5" w14:textId="2BC628C5" w:rsidR="00A66EAE" w:rsidRPr="000B3827" w:rsidRDefault="00A66EAE" w:rsidP="00A66EAE">
            <w:pPr>
              <w:ind w:left="0"/>
              <w:rPr>
                <w:i/>
                <w:iCs/>
                <w:sz w:val="20"/>
              </w:rPr>
            </w:pPr>
            <w:proofErr w:type="spellStart"/>
            <w:r w:rsidRPr="000B3827">
              <w:rPr>
                <w:i/>
                <w:iCs/>
                <w:sz w:val="20"/>
              </w:rPr>
              <w:t>Xpovio</w:t>
            </w:r>
            <w:proofErr w:type="spellEnd"/>
            <w:r w:rsidRPr="000B3827">
              <w:rPr>
                <w:i/>
                <w:iCs/>
                <w:sz w:val="20"/>
              </w:rPr>
              <w:t xml:space="preserve"> is indicated in combination with dexamethasone for the treatment of adult patients with relapsed or refractory multiple myeloma (RRMM) who have received at least four prior therapies and whose disease is refractory to at least two proteasome inhibitors, at least two immunomodulatory agents, and an anti-CD38 monoclonal antibody.</w:t>
            </w:r>
          </w:p>
        </w:tc>
      </w:tr>
      <w:tr w:rsidR="00A66EAE" w:rsidRPr="007E1E89" w14:paraId="15421F67" w14:textId="77777777" w:rsidTr="000B3827">
        <w:trPr>
          <w:cantSplit/>
        </w:trPr>
        <w:tc>
          <w:tcPr>
            <w:tcW w:w="1525" w:type="dxa"/>
            <w:vMerge/>
          </w:tcPr>
          <w:p w14:paraId="7F08D705" w14:textId="77777777" w:rsidR="00A66EAE" w:rsidRPr="000B3827" w:rsidRDefault="00A66EAE" w:rsidP="00006FAB">
            <w:pPr>
              <w:rPr>
                <w:sz w:val="20"/>
              </w:rPr>
            </w:pPr>
          </w:p>
        </w:tc>
        <w:tc>
          <w:tcPr>
            <w:tcW w:w="1996" w:type="dxa"/>
          </w:tcPr>
          <w:p w14:paraId="112DE895" w14:textId="3B7E6C3E" w:rsidR="00A66EAE" w:rsidRPr="000B3827" w:rsidRDefault="00A66EAE" w:rsidP="008851AD">
            <w:pPr>
              <w:ind w:left="0"/>
              <w:rPr>
                <w:sz w:val="20"/>
              </w:rPr>
            </w:pPr>
            <w:r w:rsidRPr="000B3827">
              <w:rPr>
                <w:sz w:val="20"/>
              </w:rPr>
              <w:t>21 December 2019</w:t>
            </w:r>
          </w:p>
        </w:tc>
        <w:tc>
          <w:tcPr>
            <w:tcW w:w="1964" w:type="dxa"/>
          </w:tcPr>
          <w:p w14:paraId="29406915" w14:textId="46696015" w:rsidR="00A66EAE" w:rsidRPr="000B3827" w:rsidRDefault="00A66EAE" w:rsidP="008851AD">
            <w:pPr>
              <w:ind w:left="0"/>
              <w:rPr>
                <w:sz w:val="20"/>
              </w:rPr>
            </w:pPr>
            <w:r w:rsidRPr="000B3827">
              <w:rPr>
                <w:sz w:val="20"/>
              </w:rPr>
              <w:t>Approved on 22 June 2020</w:t>
            </w:r>
          </w:p>
        </w:tc>
        <w:tc>
          <w:tcPr>
            <w:tcW w:w="3330" w:type="dxa"/>
          </w:tcPr>
          <w:p w14:paraId="270C1303" w14:textId="11D4BAE8" w:rsidR="00A66EAE" w:rsidRPr="000B3827" w:rsidRDefault="00A66EAE" w:rsidP="00A66EAE">
            <w:pPr>
              <w:ind w:left="0"/>
              <w:rPr>
                <w:i/>
                <w:iCs/>
                <w:sz w:val="20"/>
              </w:rPr>
            </w:pPr>
            <w:proofErr w:type="spellStart"/>
            <w:r w:rsidRPr="000B3827">
              <w:rPr>
                <w:i/>
                <w:iCs/>
                <w:sz w:val="20"/>
              </w:rPr>
              <w:t>Xpovio</w:t>
            </w:r>
            <w:proofErr w:type="spellEnd"/>
            <w:r w:rsidRPr="000B3827">
              <w:rPr>
                <w:i/>
                <w:iCs/>
                <w:sz w:val="20"/>
              </w:rPr>
              <w:t xml:space="preserve"> is indicated for the treatment of adult patients with relapsed and refractory diffuse large B-cell </w:t>
            </w:r>
            <w:proofErr w:type="gramStart"/>
            <w:r w:rsidRPr="000B3827">
              <w:rPr>
                <w:i/>
                <w:iCs/>
                <w:sz w:val="20"/>
              </w:rPr>
              <w:t>lymphoma(</w:t>
            </w:r>
            <w:proofErr w:type="gramEnd"/>
            <w:r w:rsidRPr="000B3827">
              <w:rPr>
                <w:i/>
                <w:iCs/>
                <w:sz w:val="20"/>
              </w:rPr>
              <w:t>DLBCL), not otherwise specified, including DLBCL arising from follicular lymphoma, after at least 2 prior lines of systemic therapy.</w:t>
            </w:r>
          </w:p>
        </w:tc>
      </w:tr>
      <w:tr w:rsidR="00A66EAE" w:rsidRPr="007E1E89" w14:paraId="6240F9BD" w14:textId="77777777" w:rsidTr="000B3827">
        <w:tc>
          <w:tcPr>
            <w:tcW w:w="1525" w:type="dxa"/>
            <w:vMerge/>
          </w:tcPr>
          <w:p w14:paraId="23BB776B" w14:textId="77777777" w:rsidR="00A66EAE" w:rsidRPr="000B3827" w:rsidRDefault="00A66EAE" w:rsidP="00006FAB">
            <w:pPr>
              <w:rPr>
                <w:sz w:val="20"/>
              </w:rPr>
            </w:pPr>
          </w:p>
        </w:tc>
        <w:tc>
          <w:tcPr>
            <w:tcW w:w="1996" w:type="dxa"/>
          </w:tcPr>
          <w:p w14:paraId="69E11B4F" w14:textId="1C4AEA19" w:rsidR="00A66EAE" w:rsidRPr="000B3827" w:rsidRDefault="00A66EAE" w:rsidP="008851AD">
            <w:pPr>
              <w:ind w:left="0"/>
              <w:rPr>
                <w:sz w:val="20"/>
              </w:rPr>
            </w:pPr>
            <w:r w:rsidRPr="000B3827">
              <w:rPr>
                <w:sz w:val="20"/>
              </w:rPr>
              <w:t>20 May 2020</w:t>
            </w:r>
          </w:p>
        </w:tc>
        <w:tc>
          <w:tcPr>
            <w:tcW w:w="1964" w:type="dxa"/>
          </w:tcPr>
          <w:p w14:paraId="7BE1A4ED" w14:textId="7C27EC9D" w:rsidR="00A66EAE" w:rsidRPr="000B3827" w:rsidRDefault="00A66EAE" w:rsidP="008851AD">
            <w:pPr>
              <w:ind w:left="0"/>
              <w:rPr>
                <w:sz w:val="20"/>
              </w:rPr>
            </w:pPr>
            <w:r w:rsidRPr="000B3827">
              <w:rPr>
                <w:sz w:val="20"/>
              </w:rPr>
              <w:t>Approved on 18 December 2020</w:t>
            </w:r>
          </w:p>
        </w:tc>
        <w:tc>
          <w:tcPr>
            <w:tcW w:w="3330" w:type="dxa"/>
          </w:tcPr>
          <w:p w14:paraId="1A810246" w14:textId="166D381B" w:rsidR="00A66EAE" w:rsidRPr="000B3827" w:rsidRDefault="00A66EAE" w:rsidP="00A66EAE">
            <w:pPr>
              <w:ind w:left="0"/>
              <w:rPr>
                <w:i/>
                <w:iCs/>
                <w:sz w:val="20"/>
              </w:rPr>
            </w:pPr>
            <w:proofErr w:type="spellStart"/>
            <w:r w:rsidRPr="000B3827">
              <w:rPr>
                <w:i/>
                <w:iCs/>
                <w:sz w:val="20"/>
              </w:rPr>
              <w:t>Xpovio</w:t>
            </w:r>
            <w:proofErr w:type="spellEnd"/>
            <w:r w:rsidRPr="000B3827">
              <w:rPr>
                <w:i/>
                <w:iCs/>
                <w:sz w:val="20"/>
              </w:rPr>
              <w:t xml:space="preserve"> is indicated in combination with bortezomib and dexamethasone for the treatment of adult patients with multiple myeloma who have received at least one prior therapy.</w:t>
            </w:r>
          </w:p>
        </w:tc>
      </w:tr>
      <w:tr w:rsidR="00A66EAE" w:rsidRPr="007E1E89" w14:paraId="5C169319" w14:textId="77777777" w:rsidTr="000B3827">
        <w:tc>
          <w:tcPr>
            <w:tcW w:w="1525" w:type="dxa"/>
          </w:tcPr>
          <w:p w14:paraId="46DDFFC6" w14:textId="012A2882" w:rsidR="00AA325C" w:rsidRPr="000B3827" w:rsidRDefault="00A66EAE" w:rsidP="00A66EAE">
            <w:pPr>
              <w:ind w:left="0"/>
              <w:rPr>
                <w:sz w:val="20"/>
              </w:rPr>
            </w:pPr>
            <w:r w:rsidRPr="000B3827">
              <w:rPr>
                <w:sz w:val="20"/>
              </w:rPr>
              <w:t>United Kingdom</w:t>
            </w:r>
            <w:r w:rsidR="0000274D" w:rsidRPr="000B3827">
              <w:rPr>
                <w:sz w:val="20"/>
              </w:rPr>
              <w:t>;</w:t>
            </w:r>
            <w:r w:rsidR="0000274D" w:rsidRPr="000B3827">
              <w:rPr>
                <w:rStyle w:val="FootnoteReference"/>
                <w:sz w:val="20"/>
              </w:rPr>
              <w:footnoteReference w:id="5"/>
            </w:r>
          </w:p>
        </w:tc>
        <w:tc>
          <w:tcPr>
            <w:tcW w:w="1996" w:type="dxa"/>
          </w:tcPr>
          <w:p w14:paraId="4DAA2A1E" w14:textId="5C3A8809" w:rsidR="00AA325C" w:rsidRPr="000B3827" w:rsidRDefault="00A66EAE" w:rsidP="008851AD">
            <w:pPr>
              <w:ind w:left="0"/>
              <w:rPr>
                <w:sz w:val="20"/>
              </w:rPr>
            </w:pPr>
            <w:r w:rsidRPr="000B3827">
              <w:rPr>
                <w:sz w:val="20"/>
              </w:rPr>
              <w:t>26 February 2021</w:t>
            </w:r>
          </w:p>
        </w:tc>
        <w:tc>
          <w:tcPr>
            <w:tcW w:w="1964" w:type="dxa"/>
          </w:tcPr>
          <w:p w14:paraId="141E9CEA" w14:textId="01EA244F" w:rsidR="00AA325C" w:rsidRPr="000B3827" w:rsidRDefault="00A66EAE" w:rsidP="008851AD">
            <w:pPr>
              <w:ind w:left="0"/>
              <w:rPr>
                <w:sz w:val="20"/>
              </w:rPr>
            </w:pPr>
            <w:r w:rsidRPr="000B3827">
              <w:rPr>
                <w:sz w:val="20"/>
              </w:rPr>
              <w:t>Approved on 26</w:t>
            </w:r>
            <w:r w:rsidR="007E1E89">
              <w:rPr>
                <w:sz w:val="20"/>
              </w:rPr>
              <w:t> </w:t>
            </w:r>
            <w:r w:rsidRPr="000B3827">
              <w:rPr>
                <w:sz w:val="20"/>
              </w:rPr>
              <w:t>May 2021</w:t>
            </w:r>
          </w:p>
        </w:tc>
        <w:tc>
          <w:tcPr>
            <w:tcW w:w="3330" w:type="dxa"/>
          </w:tcPr>
          <w:p w14:paraId="75767294" w14:textId="2117BD64" w:rsidR="00AA325C" w:rsidRPr="000B3827" w:rsidRDefault="00A66EAE" w:rsidP="00A66EAE">
            <w:pPr>
              <w:ind w:left="0"/>
              <w:rPr>
                <w:i/>
                <w:iCs/>
                <w:sz w:val="20"/>
              </w:rPr>
            </w:pPr>
            <w:proofErr w:type="spellStart"/>
            <w:r w:rsidRPr="000B3827">
              <w:rPr>
                <w:i/>
                <w:iCs/>
                <w:sz w:val="20"/>
              </w:rPr>
              <w:t>Nexpovio</w:t>
            </w:r>
            <w:proofErr w:type="spellEnd"/>
            <w:r w:rsidRPr="000B3827">
              <w:rPr>
                <w:i/>
                <w:iCs/>
                <w:sz w:val="20"/>
              </w:rPr>
              <w:t xml:space="preserve"> is indicated in combination with dexamethasone for the treatment of multiple myeloma in adult patients who have received at least four prior therapies and whose disease is refractory to at least two proteasome inhibitors, two immunomodulatory agents and an anti-CD38 monoclonal antibody, and who have demonstrated disease progression on the last therapy.</w:t>
            </w:r>
          </w:p>
        </w:tc>
      </w:tr>
      <w:tr w:rsidR="00A66EAE" w:rsidRPr="007E1E89" w14:paraId="6C8E1327" w14:textId="77777777" w:rsidTr="000B3827">
        <w:tc>
          <w:tcPr>
            <w:tcW w:w="1525" w:type="dxa"/>
          </w:tcPr>
          <w:p w14:paraId="19E128DD" w14:textId="26DC24E6" w:rsidR="00AA325C" w:rsidRPr="000B3827" w:rsidRDefault="00A66EAE" w:rsidP="000B3827">
            <w:pPr>
              <w:ind w:left="0"/>
              <w:rPr>
                <w:sz w:val="20"/>
              </w:rPr>
            </w:pPr>
            <w:r w:rsidRPr="000B3827">
              <w:rPr>
                <w:sz w:val="20"/>
              </w:rPr>
              <w:t>Singapore</w:t>
            </w:r>
          </w:p>
        </w:tc>
        <w:tc>
          <w:tcPr>
            <w:tcW w:w="1996" w:type="dxa"/>
          </w:tcPr>
          <w:p w14:paraId="6DE976E8" w14:textId="0E7F993C" w:rsidR="00AA325C" w:rsidRPr="000B3827" w:rsidRDefault="00A66EAE" w:rsidP="008851AD">
            <w:pPr>
              <w:ind w:left="0"/>
              <w:rPr>
                <w:sz w:val="20"/>
              </w:rPr>
            </w:pPr>
            <w:r w:rsidRPr="000B3827">
              <w:rPr>
                <w:sz w:val="20"/>
              </w:rPr>
              <w:t>27</w:t>
            </w:r>
            <w:r w:rsidR="007E1E89">
              <w:rPr>
                <w:sz w:val="20"/>
              </w:rPr>
              <w:t> </w:t>
            </w:r>
            <w:r w:rsidRPr="000B3827">
              <w:rPr>
                <w:sz w:val="20"/>
              </w:rPr>
              <w:t>November 2020</w:t>
            </w:r>
          </w:p>
        </w:tc>
        <w:tc>
          <w:tcPr>
            <w:tcW w:w="1964" w:type="dxa"/>
          </w:tcPr>
          <w:p w14:paraId="30838D35" w14:textId="663AC16C" w:rsidR="00AA325C" w:rsidRPr="000B3827" w:rsidRDefault="00BE3D92" w:rsidP="008851AD">
            <w:pPr>
              <w:ind w:left="0"/>
              <w:rPr>
                <w:sz w:val="20"/>
              </w:rPr>
            </w:pPr>
            <w:r w:rsidRPr="000B3827">
              <w:rPr>
                <w:sz w:val="20"/>
              </w:rPr>
              <w:t>Approved 1</w:t>
            </w:r>
            <w:r w:rsidR="007E1E89">
              <w:rPr>
                <w:sz w:val="20"/>
              </w:rPr>
              <w:t> </w:t>
            </w:r>
            <w:r w:rsidRPr="000B3827">
              <w:rPr>
                <w:sz w:val="20"/>
              </w:rPr>
              <w:t>March 2022</w:t>
            </w:r>
          </w:p>
        </w:tc>
        <w:tc>
          <w:tcPr>
            <w:tcW w:w="3330" w:type="dxa"/>
          </w:tcPr>
          <w:p w14:paraId="41CCE586" w14:textId="790E7A3E" w:rsidR="00AA325C" w:rsidRPr="000B3827" w:rsidRDefault="00A7451B" w:rsidP="008851AD">
            <w:pPr>
              <w:ind w:left="0"/>
              <w:rPr>
                <w:sz w:val="20"/>
              </w:rPr>
            </w:pPr>
            <w:r w:rsidRPr="000B3827">
              <w:rPr>
                <w:sz w:val="20"/>
              </w:rPr>
              <w:t>Under consideration</w:t>
            </w:r>
          </w:p>
        </w:tc>
      </w:tr>
    </w:tbl>
    <w:p w14:paraId="2840DD19" w14:textId="77777777" w:rsidR="008E7846" w:rsidRDefault="008E7846" w:rsidP="00940A89">
      <w:pPr>
        <w:pStyle w:val="Heading3"/>
      </w:pPr>
      <w:bookmarkStart w:id="20" w:name="_Toc119396509"/>
      <w:r>
        <w:t>Product Information</w:t>
      </w:r>
      <w:bookmarkEnd w:id="17"/>
      <w:bookmarkEnd w:id="18"/>
      <w:bookmarkEnd w:id="20"/>
    </w:p>
    <w:p w14:paraId="34D5A8DD" w14:textId="60B6E065" w:rsidR="007E1E89" w:rsidRDefault="00332715" w:rsidP="00DD36CD">
      <w:bookmarkStart w:id="21" w:name="_Toc504480011"/>
      <w:bookmarkStart w:id="22" w:name="_Toc247691506"/>
      <w:bookmarkStart w:id="23" w:name="_Toc314842487"/>
      <w:r>
        <w:t xml:space="preserve">The Product Information (PI) approved with the submission which is described in this </w:t>
      </w:r>
      <w:proofErr w:type="spellStart"/>
      <w:r>
        <w:t>AusPAR</w:t>
      </w:r>
      <w:proofErr w:type="spellEnd"/>
      <w:r>
        <w:t xml:space="preserve"> can be found as Attachment 1. For the most recent PI, please refer to the TGA </w:t>
      </w:r>
      <w:hyperlink r:id="rId15" w:history="1">
        <w:r>
          <w:rPr>
            <w:rStyle w:val="Hyperlink"/>
          </w:rPr>
          <w:t>PI/CMI search facility</w:t>
        </w:r>
        <w:r w:rsidRPr="009556D7">
          <w:rPr>
            <w:rStyle w:val="Hyperlink"/>
            <w:color w:val="auto"/>
            <w:u w:val="none"/>
          </w:rPr>
          <w:t>.</w:t>
        </w:r>
      </w:hyperlink>
      <w:r w:rsidR="007E1E89">
        <w:rPr>
          <w:rStyle w:val="Hyperlink"/>
          <w:color w:val="auto"/>
          <w:u w:val="none"/>
        </w:rPr>
        <w:br w:type="page"/>
      </w:r>
    </w:p>
    <w:p w14:paraId="323E8859" w14:textId="77777777" w:rsidR="00500337" w:rsidRDefault="00500337" w:rsidP="00500337">
      <w:pPr>
        <w:pStyle w:val="Heading2"/>
      </w:pPr>
      <w:bookmarkStart w:id="24" w:name="_Toc119396510"/>
      <w:r>
        <w:lastRenderedPageBreak/>
        <w:t>Registration timeline</w:t>
      </w:r>
      <w:bookmarkEnd w:id="21"/>
      <w:bookmarkEnd w:id="24"/>
    </w:p>
    <w:p w14:paraId="24018045" w14:textId="77777777" w:rsidR="0074163C" w:rsidRPr="00C93EC1" w:rsidRDefault="0074163C" w:rsidP="0074163C">
      <w:r w:rsidRPr="00C93EC1">
        <w:t xml:space="preserve">The following table captures the key steps and dates for this </w:t>
      </w:r>
      <w:r w:rsidR="00804D99">
        <w:t>submission</w:t>
      </w:r>
      <w:r w:rsidRPr="00C93EC1">
        <w:t>.</w:t>
      </w:r>
    </w:p>
    <w:p w14:paraId="4110C696" w14:textId="37AFCF07" w:rsidR="0074163C" w:rsidRPr="00DD36CD" w:rsidRDefault="0074163C" w:rsidP="00DD36CD">
      <w:pPr>
        <w:pStyle w:val="TableTitle"/>
      </w:pPr>
      <w:r>
        <w:t xml:space="preserve">Table </w:t>
      </w:r>
      <w:r w:rsidR="006737A0">
        <w:fldChar w:fldCharType="begin"/>
      </w:r>
      <w:r w:rsidR="006737A0">
        <w:instrText xml:space="preserve"> SEQ Table \* ARABIC </w:instrText>
      </w:r>
      <w:r w:rsidR="006737A0">
        <w:fldChar w:fldCharType="separate"/>
      </w:r>
      <w:r w:rsidR="00BB2836">
        <w:rPr>
          <w:noProof/>
        </w:rPr>
        <w:t>2</w:t>
      </w:r>
      <w:r w:rsidR="006737A0">
        <w:rPr>
          <w:noProof/>
        </w:rPr>
        <w:fldChar w:fldCharType="end"/>
      </w:r>
      <w:r>
        <w:t>:</w:t>
      </w:r>
      <w:r w:rsidRPr="006A58A8">
        <w:t xml:space="preserve"> Timeline for Submission </w:t>
      </w:r>
      <w:r w:rsidR="00DD36CD" w:rsidRPr="008F510B">
        <w:t>PM-2020-05458-1-6</w:t>
      </w:r>
    </w:p>
    <w:tbl>
      <w:tblPr>
        <w:tblStyle w:val="TableTGAblue"/>
        <w:tblW w:w="0" w:type="auto"/>
        <w:tblLook w:val="04A0" w:firstRow="1" w:lastRow="0" w:firstColumn="1" w:lastColumn="0" w:noHBand="0" w:noVBand="1"/>
      </w:tblPr>
      <w:tblGrid>
        <w:gridCol w:w="4255"/>
        <w:gridCol w:w="4239"/>
      </w:tblGrid>
      <w:tr w:rsidR="0074163C" w14:paraId="4AFA3E97" w14:textId="77777777" w:rsidTr="009E5A87">
        <w:trPr>
          <w:cnfStyle w:val="100000000000" w:firstRow="1" w:lastRow="0" w:firstColumn="0" w:lastColumn="0" w:oddVBand="0" w:evenVBand="0" w:oddHBand="0" w:evenHBand="0" w:firstRowFirstColumn="0" w:firstRowLastColumn="0" w:lastRowFirstColumn="0" w:lastRowLastColumn="0"/>
        </w:trPr>
        <w:tc>
          <w:tcPr>
            <w:tcW w:w="4360" w:type="dxa"/>
            <w:tcBorders>
              <w:top w:val="single" w:sz="4" w:space="0" w:color="auto"/>
              <w:left w:val="single" w:sz="4" w:space="0" w:color="auto"/>
              <w:bottom w:val="single" w:sz="4" w:space="0" w:color="auto"/>
              <w:right w:val="single" w:sz="4" w:space="0" w:color="auto"/>
            </w:tcBorders>
          </w:tcPr>
          <w:p w14:paraId="3B9F3345" w14:textId="77777777" w:rsidR="0074163C" w:rsidRDefault="0074163C" w:rsidP="009E5A87">
            <w:r>
              <w:t>Description</w:t>
            </w:r>
          </w:p>
        </w:tc>
        <w:tc>
          <w:tcPr>
            <w:tcW w:w="4360" w:type="dxa"/>
            <w:tcBorders>
              <w:top w:val="single" w:sz="4" w:space="0" w:color="auto"/>
              <w:left w:val="single" w:sz="4" w:space="0" w:color="auto"/>
              <w:bottom w:val="single" w:sz="4" w:space="0" w:color="auto"/>
              <w:right w:val="single" w:sz="4" w:space="0" w:color="auto"/>
            </w:tcBorders>
          </w:tcPr>
          <w:p w14:paraId="657EC28B" w14:textId="77777777" w:rsidR="0074163C" w:rsidRDefault="0074163C" w:rsidP="009E5A87">
            <w:r>
              <w:t>Date</w:t>
            </w:r>
          </w:p>
        </w:tc>
      </w:tr>
      <w:tr w:rsidR="0074163C" w14:paraId="56FE41A6" w14:textId="77777777" w:rsidTr="009E5A87">
        <w:tc>
          <w:tcPr>
            <w:tcW w:w="4360" w:type="dxa"/>
            <w:tcBorders>
              <w:top w:val="single" w:sz="4" w:space="0" w:color="auto"/>
            </w:tcBorders>
          </w:tcPr>
          <w:p w14:paraId="7D3FF680" w14:textId="77777777" w:rsidR="0074163C" w:rsidRDefault="0074163C" w:rsidP="009E5A87">
            <w:r>
              <w:t>Submission dossier accepted and first round evaluation commenced</w:t>
            </w:r>
          </w:p>
        </w:tc>
        <w:tc>
          <w:tcPr>
            <w:tcW w:w="4360" w:type="dxa"/>
            <w:tcBorders>
              <w:top w:val="single" w:sz="4" w:space="0" w:color="auto"/>
            </w:tcBorders>
          </w:tcPr>
          <w:p w14:paraId="19E08FED" w14:textId="155E9D99" w:rsidR="0074163C" w:rsidRDefault="00DD36CD" w:rsidP="009E5A87">
            <w:r w:rsidRPr="00B33698">
              <w:rPr>
                <w:color w:val="auto"/>
              </w:rPr>
              <w:t>2</w:t>
            </w:r>
            <w:r>
              <w:rPr>
                <w:color w:val="auto"/>
              </w:rPr>
              <w:t xml:space="preserve"> December </w:t>
            </w:r>
            <w:r w:rsidRPr="00B33698">
              <w:rPr>
                <w:color w:val="auto"/>
              </w:rPr>
              <w:t>2020</w:t>
            </w:r>
          </w:p>
        </w:tc>
      </w:tr>
      <w:tr w:rsidR="0074163C" w14:paraId="0D606700" w14:textId="77777777" w:rsidTr="009E5A87">
        <w:tc>
          <w:tcPr>
            <w:tcW w:w="4360" w:type="dxa"/>
          </w:tcPr>
          <w:p w14:paraId="7329733D" w14:textId="77777777" w:rsidR="0074163C" w:rsidRDefault="0074163C" w:rsidP="009E5A87">
            <w:r>
              <w:t>First round evaluation completed</w:t>
            </w:r>
          </w:p>
        </w:tc>
        <w:tc>
          <w:tcPr>
            <w:tcW w:w="4360" w:type="dxa"/>
          </w:tcPr>
          <w:p w14:paraId="1836E79E" w14:textId="3AB3484C" w:rsidR="0074163C" w:rsidRDefault="00DD36CD" w:rsidP="009E5A87">
            <w:r w:rsidRPr="00B33698">
              <w:rPr>
                <w:color w:val="auto"/>
              </w:rPr>
              <w:t>19 May 2021</w:t>
            </w:r>
          </w:p>
        </w:tc>
      </w:tr>
      <w:tr w:rsidR="0074163C" w14:paraId="07DF2061" w14:textId="77777777" w:rsidTr="009E5A87">
        <w:tc>
          <w:tcPr>
            <w:tcW w:w="4360" w:type="dxa"/>
          </w:tcPr>
          <w:p w14:paraId="465C333B" w14:textId="77777777" w:rsidR="0074163C" w:rsidRDefault="0074163C" w:rsidP="009E5A87">
            <w:r>
              <w:t>Sponsor provides responses on questions raised in first round evaluation</w:t>
            </w:r>
          </w:p>
        </w:tc>
        <w:tc>
          <w:tcPr>
            <w:tcW w:w="4360" w:type="dxa"/>
          </w:tcPr>
          <w:p w14:paraId="5A263C2B" w14:textId="556AC674" w:rsidR="0074163C" w:rsidRDefault="00DD36CD" w:rsidP="009E5A87">
            <w:r w:rsidRPr="00B33698">
              <w:rPr>
                <w:color w:val="auto"/>
              </w:rPr>
              <w:t>30 June 2021</w:t>
            </w:r>
          </w:p>
        </w:tc>
      </w:tr>
      <w:tr w:rsidR="0074163C" w14:paraId="2E982909" w14:textId="77777777" w:rsidTr="009E5A87">
        <w:tc>
          <w:tcPr>
            <w:tcW w:w="4360" w:type="dxa"/>
          </w:tcPr>
          <w:p w14:paraId="15E9EC27" w14:textId="77777777" w:rsidR="0074163C" w:rsidRDefault="0074163C" w:rsidP="009E5A87">
            <w:r>
              <w:t>Second round evaluation completed</w:t>
            </w:r>
          </w:p>
        </w:tc>
        <w:tc>
          <w:tcPr>
            <w:tcW w:w="4360" w:type="dxa"/>
          </w:tcPr>
          <w:p w14:paraId="4A154F83" w14:textId="238F4847" w:rsidR="0074163C" w:rsidRDefault="00DD36CD" w:rsidP="009E5A87">
            <w:r w:rsidRPr="00B33698">
              <w:rPr>
                <w:color w:val="auto"/>
              </w:rPr>
              <w:t>16 August 2021</w:t>
            </w:r>
          </w:p>
        </w:tc>
      </w:tr>
      <w:tr w:rsidR="0074163C" w14:paraId="229F8527" w14:textId="77777777" w:rsidTr="009E5A87">
        <w:tc>
          <w:tcPr>
            <w:tcW w:w="4360" w:type="dxa"/>
          </w:tcPr>
          <w:p w14:paraId="1E6B0CF2" w14:textId="7284F0CD" w:rsidR="0074163C" w:rsidRDefault="0074163C" w:rsidP="009E5A87">
            <w:r>
              <w:t xml:space="preserve">Delegate’s Overall benefit-risk assessment </w:t>
            </w:r>
            <w:r w:rsidRPr="00DD36CD">
              <w:rPr>
                <w:color w:val="auto"/>
              </w:rPr>
              <w:t>and request for Advisory Committee advice</w:t>
            </w:r>
          </w:p>
        </w:tc>
        <w:tc>
          <w:tcPr>
            <w:tcW w:w="4360" w:type="dxa"/>
          </w:tcPr>
          <w:p w14:paraId="0BDC6F1E" w14:textId="11A5BEC4" w:rsidR="0074163C" w:rsidRDefault="00DD36CD" w:rsidP="009E5A87">
            <w:r w:rsidRPr="00B33698">
              <w:rPr>
                <w:color w:val="auto"/>
              </w:rPr>
              <w:t>2 November 2021</w:t>
            </w:r>
          </w:p>
        </w:tc>
      </w:tr>
      <w:tr w:rsidR="0074163C" w14:paraId="07B8E5DF" w14:textId="77777777" w:rsidTr="009E5A87">
        <w:tc>
          <w:tcPr>
            <w:tcW w:w="4360" w:type="dxa"/>
          </w:tcPr>
          <w:p w14:paraId="5CC3E5EF" w14:textId="77777777" w:rsidR="0074163C" w:rsidRDefault="0074163C" w:rsidP="009E5A87">
            <w:r>
              <w:t>Sponsor’s pre-Advisory Committee response</w:t>
            </w:r>
          </w:p>
        </w:tc>
        <w:tc>
          <w:tcPr>
            <w:tcW w:w="4360" w:type="dxa"/>
          </w:tcPr>
          <w:p w14:paraId="6258E793" w14:textId="04DE27C4" w:rsidR="0074163C" w:rsidRDefault="00DD36CD" w:rsidP="009E5A87">
            <w:r w:rsidRPr="00B33698">
              <w:rPr>
                <w:color w:val="auto"/>
              </w:rPr>
              <w:t>17 November 2021</w:t>
            </w:r>
          </w:p>
        </w:tc>
      </w:tr>
      <w:tr w:rsidR="0074163C" w14:paraId="0366CE29" w14:textId="77777777" w:rsidTr="009E5A87">
        <w:tc>
          <w:tcPr>
            <w:tcW w:w="4360" w:type="dxa"/>
          </w:tcPr>
          <w:p w14:paraId="5B574BF7" w14:textId="77777777" w:rsidR="0074163C" w:rsidRDefault="0074163C" w:rsidP="009E5A87">
            <w:r>
              <w:t>Advisory Committee meeting</w:t>
            </w:r>
          </w:p>
        </w:tc>
        <w:tc>
          <w:tcPr>
            <w:tcW w:w="4360" w:type="dxa"/>
          </w:tcPr>
          <w:p w14:paraId="3F0A2629" w14:textId="415CB34E" w:rsidR="0074163C" w:rsidRDefault="00DD36CD" w:rsidP="009E5A87">
            <w:r w:rsidRPr="00B33698">
              <w:rPr>
                <w:color w:val="auto"/>
              </w:rPr>
              <w:t>2 and 3 December 2021</w:t>
            </w:r>
          </w:p>
        </w:tc>
      </w:tr>
      <w:tr w:rsidR="0074163C" w14:paraId="04C00F21" w14:textId="77777777" w:rsidTr="009E5A87">
        <w:tc>
          <w:tcPr>
            <w:tcW w:w="4360" w:type="dxa"/>
          </w:tcPr>
          <w:p w14:paraId="19FFB784" w14:textId="77777777" w:rsidR="0074163C" w:rsidRDefault="0074163C" w:rsidP="009E5A87">
            <w:r>
              <w:t>Registration decision (Outcome)</w:t>
            </w:r>
          </w:p>
        </w:tc>
        <w:tc>
          <w:tcPr>
            <w:tcW w:w="4360" w:type="dxa"/>
          </w:tcPr>
          <w:p w14:paraId="022FF469" w14:textId="0FDB0721" w:rsidR="0074163C" w:rsidRDefault="00DD36CD" w:rsidP="009E5A87">
            <w:r w:rsidRPr="00B33698">
              <w:rPr>
                <w:color w:val="auto"/>
              </w:rPr>
              <w:t>3 March 2022</w:t>
            </w:r>
          </w:p>
        </w:tc>
      </w:tr>
      <w:tr w:rsidR="0074163C" w14:paraId="5ADE25D3" w14:textId="77777777" w:rsidTr="009E5A87">
        <w:tc>
          <w:tcPr>
            <w:tcW w:w="4360" w:type="dxa"/>
          </w:tcPr>
          <w:p w14:paraId="57111432" w14:textId="77777777" w:rsidR="0074163C" w:rsidRDefault="0074163C" w:rsidP="009E5A87">
            <w:r w:rsidRPr="005A79F5">
              <w:t>Completion of administrative activities and registration on the ARTG</w:t>
            </w:r>
          </w:p>
        </w:tc>
        <w:tc>
          <w:tcPr>
            <w:tcW w:w="4360" w:type="dxa"/>
          </w:tcPr>
          <w:p w14:paraId="45409D44" w14:textId="46C0A444" w:rsidR="0074163C" w:rsidRDefault="00DD36CD" w:rsidP="009E5A87">
            <w:r>
              <w:rPr>
                <w:color w:val="auto"/>
              </w:rPr>
              <w:t>8</w:t>
            </w:r>
            <w:r w:rsidRPr="00B33698">
              <w:rPr>
                <w:color w:val="auto"/>
              </w:rPr>
              <w:t xml:space="preserve"> March 2022</w:t>
            </w:r>
          </w:p>
        </w:tc>
      </w:tr>
      <w:tr w:rsidR="0074163C" w14:paraId="6015A6CA" w14:textId="77777777" w:rsidTr="009E5A87">
        <w:tc>
          <w:tcPr>
            <w:tcW w:w="4360" w:type="dxa"/>
          </w:tcPr>
          <w:p w14:paraId="175DED9D" w14:textId="77777777" w:rsidR="0074163C" w:rsidRDefault="0074163C" w:rsidP="009E5A87">
            <w:r>
              <w:t>Number of working days from submission dossier acceptance to registration decision*</w:t>
            </w:r>
          </w:p>
        </w:tc>
        <w:tc>
          <w:tcPr>
            <w:tcW w:w="4360" w:type="dxa"/>
          </w:tcPr>
          <w:p w14:paraId="09717156" w14:textId="2C56CB53" w:rsidR="0074163C" w:rsidRDefault="00DD36CD" w:rsidP="009E5A87">
            <w:r w:rsidRPr="00B33698">
              <w:rPr>
                <w:color w:val="auto"/>
              </w:rPr>
              <w:t>242</w:t>
            </w:r>
          </w:p>
        </w:tc>
      </w:tr>
    </w:tbl>
    <w:p w14:paraId="39AC7637" w14:textId="77777777" w:rsidR="0074163C" w:rsidRDefault="0074163C" w:rsidP="0074163C">
      <w:pPr>
        <w:pStyle w:val="TableDescription"/>
      </w:pPr>
      <w:r>
        <w:t>*</w:t>
      </w:r>
      <w:r w:rsidRPr="00BF3774">
        <w:t xml:space="preserve">Statutory </w:t>
      </w:r>
      <w:r>
        <w:t xml:space="preserve">timeframe for standard </w:t>
      </w:r>
      <w:r w:rsidR="00BB0B78">
        <w:t>submission</w:t>
      </w:r>
      <w:r>
        <w:t>s is 255 working days</w:t>
      </w:r>
    </w:p>
    <w:p w14:paraId="48CF086E" w14:textId="77777777" w:rsidR="008E7846" w:rsidRPr="00792A32" w:rsidRDefault="00006FAB" w:rsidP="008E7846">
      <w:pPr>
        <w:pStyle w:val="Heading2"/>
      </w:pPr>
      <w:bookmarkStart w:id="25" w:name="_Toc196046504"/>
      <w:bookmarkStart w:id="26" w:name="_Toc247691527"/>
      <w:bookmarkStart w:id="27" w:name="_Toc314842510"/>
      <w:bookmarkStart w:id="28" w:name="_Toc163441390"/>
      <w:bookmarkStart w:id="29" w:name="_Toc119396511"/>
      <w:bookmarkEnd w:id="22"/>
      <w:bookmarkEnd w:id="23"/>
      <w:bookmarkEnd w:id="1"/>
      <w:r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5"/>
      <w:bookmarkEnd w:id="26"/>
      <w:bookmarkEnd w:id="27"/>
      <w:bookmarkEnd w:id="29"/>
    </w:p>
    <w:p w14:paraId="498349B7" w14:textId="42EB3D8E" w:rsidR="005A79F5" w:rsidRDefault="005A79F5" w:rsidP="0074163C">
      <w:pPr>
        <w:pStyle w:val="Instructions"/>
        <w:rPr>
          <w:i w:val="0"/>
          <w:color w:val="auto"/>
        </w:rPr>
      </w:pPr>
      <w:bookmarkStart w:id="30" w:name="_Toc247691528"/>
      <w:bookmarkStart w:id="31" w:name="_Toc314842511"/>
      <w:r w:rsidRPr="005A79F5">
        <w:rPr>
          <w:i w:val="0"/>
          <w:color w:val="auto"/>
        </w:rPr>
        <w:t>A summary of the TGA’s assessment for this submission is provided below</w:t>
      </w:r>
      <w:r>
        <w:rPr>
          <w:i w:val="0"/>
          <w:color w:val="auto"/>
        </w:rPr>
        <w:t>.</w:t>
      </w:r>
    </w:p>
    <w:p w14:paraId="55A5598F" w14:textId="23CDED0A" w:rsidR="00DD36CD" w:rsidRDefault="00DD36CD" w:rsidP="00DD36CD">
      <w:r>
        <w:t xml:space="preserve">The Delegate referred to the following </w:t>
      </w:r>
      <w:r w:rsidR="009450D5">
        <w:t xml:space="preserve">guidance as being applicable to this submission: </w:t>
      </w:r>
    </w:p>
    <w:p w14:paraId="336C1F1B" w14:textId="77777777" w:rsidR="00DD36CD" w:rsidRDefault="00DD36CD" w:rsidP="00DD36CD">
      <w:pPr>
        <w:pStyle w:val="ListBullet"/>
      </w:pPr>
      <w:r>
        <w:t>Guideline on Good Vigilance Practices Module XVI https://www.ema.europa.eu/en/documents/scientific-guideline/guideline-good-pharmacovigilance-practices-module-xvi-risk-minimisation-measures-selection-tools_en-3.pdf</w:t>
      </w:r>
    </w:p>
    <w:p w14:paraId="55F212EB" w14:textId="77777777" w:rsidR="00DD36CD" w:rsidRDefault="00DD36CD" w:rsidP="00DD36CD">
      <w:pPr>
        <w:pStyle w:val="ListBullet"/>
      </w:pPr>
      <w:r>
        <w:t>EMA/CHMP/EWP/520088/2008 Appendix 2 to the Guideline on the Evaluation of Anticancer Medicinal Products in Man (CPMP/EWP/205/95 Rev. 3) on Confirmatory Studies in Haematological Malignancies</w:t>
      </w:r>
    </w:p>
    <w:p w14:paraId="3F0F10EB" w14:textId="5C294453" w:rsidR="00DD36CD" w:rsidRDefault="00DD36CD" w:rsidP="00DD36CD">
      <w:pPr>
        <w:pStyle w:val="ListBullet"/>
      </w:pPr>
      <w:r>
        <w:lastRenderedPageBreak/>
        <w:t>EMA/CHMP/27994/2008/Rev 1 Appendix 1 to the guideline on the evaluation of anticancer medicinal products in man Methodological consideration for using progression-free survival (PFS) or disease-free survival (DFS) in confirmatory trials</w:t>
      </w:r>
    </w:p>
    <w:p w14:paraId="2EEE4F37" w14:textId="362EFEE4" w:rsidR="00DD36CD" w:rsidRDefault="00DD36CD" w:rsidP="00DD36CD">
      <w:pPr>
        <w:pStyle w:val="ListBullet"/>
      </w:pPr>
      <w:r>
        <w:t>EMA/CPMP/EWP/1776/99 Rev. 1 Guideline on Missing Data in Confirmatory Clinical Trials</w:t>
      </w:r>
    </w:p>
    <w:p w14:paraId="47F121B6" w14:textId="0761B3D2" w:rsidR="00DD36CD" w:rsidRPr="00DD36CD" w:rsidRDefault="00DD36CD" w:rsidP="00DD36CD">
      <w:pPr>
        <w:pStyle w:val="ListBullet"/>
      </w:pPr>
      <w:r>
        <w:t>CPMP/EWP/2330/99 Points to Consider on Application with 1. Meta-Analyses; 2. One Pivotal Study</w:t>
      </w:r>
    </w:p>
    <w:p w14:paraId="3C02E8FF" w14:textId="77777777" w:rsidR="008E7846" w:rsidRDefault="008E7846" w:rsidP="008E7846">
      <w:pPr>
        <w:pStyle w:val="Heading3"/>
      </w:pPr>
      <w:bookmarkStart w:id="32" w:name="_Toc119396512"/>
      <w:r>
        <w:t>Quality</w:t>
      </w:r>
      <w:bookmarkEnd w:id="30"/>
      <w:bookmarkEnd w:id="31"/>
      <w:bookmarkEnd w:id="32"/>
    </w:p>
    <w:p w14:paraId="3DD4C660" w14:textId="7E813623" w:rsidR="009121CD" w:rsidRDefault="009121CD" w:rsidP="000B3827">
      <w:pPr>
        <w:pStyle w:val="FigureTitle"/>
      </w:pPr>
      <w:r w:rsidRPr="009121CD">
        <w:t xml:space="preserve">Figure </w:t>
      </w:r>
      <w:r w:rsidR="00DE397B">
        <w:fldChar w:fldCharType="begin"/>
      </w:r>
      <w:r w:rsidR="00DE397B">
        <w:rPr>
          <w:b w:val="0"/>
        </w:rPr>
        <w:instrText xml:space="preserve"> SEQ Figure \* ARABIC </w:instrText>
      </w:r>
      <w:r w:rsidR="00DE397B">
        <w:fldChar w:fldCharType="separate"/>
      </w:r>
      <w:r w:rsidR="009D17D4">
        <w:rPr>
          <w:noProof/>
        </w:rPr>
        <w:t>1</w:t>
      </w:r>
      <w:r w:rsidR="00DE397B">
        <w:rPr>
          <w:noProof/>
        </w:rPr>
        <w:fldChar w:fldCharType="end"/>
      </w:r>
      <w:r>
        <w:t xml:space="preserve">: </w:t>
      </w:r>
      <w:r w:rsidRPr="009121CD">
        <w:t xml:space="preserve">Structure of </w:t>
      </w:r>
      <w:proofErr w:type="spellStart"/>
      <w:r w:rsidRPr="009121CD">
        <w:t>selinexor</w:t>
      </w:r>
      <w:proofErr w:type="spellEnd"/>
    </w:p>
    <w:p w14:paraId="4B17C3F2" w14:textId="491111D1" w:rsidR="009450D5" w:rsidRDefault="009450D5" w:rsidP="000B3827">
      <w:pPr>
        <w:pStyle w:val="ListParagraph"/>
        <w:ind w:left="0"/>
      </w:pPr>
      <w:r>
        <w:rPr>
          <w:noProof/>
          <w:lang w:val="en-GB" w:eastAsia="en-GB"/>
        </w:rPr>
        <w:drawing>
          <wp:inline distT="0" distB="0" distL="0" distR="0" wp14:anchorId="2CA33AF5" wp14:editId="2058DEDB">
            <wp:extent cx="4937760" cy="2710303"/>
            <wp:effectExtent l="0" t="0" r="0" b="0"/>
            <wp:docPr id="19" name="Picture 19" descr="Structure of selinexor" title="Structure of selinex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1/11/Selinexor.svg/1024px-Selinexor.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6534" cy="2715119"/>
                    </a:xfrm>
                    <a:prstGeom prst="rect">
                      <a:avLst/>
                    </a:prstGeom>
                    <a:noFill/>
                    <a:ln>
                      <a:noFill/>
                    </a:ln>
                  </pic:spPr>
                </pic:pic>
              </a:graphicData>
            </a:graphic>
          </wp:inline>
        </w:drawing>
      </w:r>
    </w:p>
    <w:p w14:paraId="26CB23F9" w14:textId="406E9C48" w:rsidR="009121CD" w:rsidRPr="00834FEF" w:rsidRDefault="009121CD" w:rsidP="009121CD">
      <w:r w:rsidRPr="00834FEF">
        <w:t xml:space="preserve">The drug substance is a white to off-white powder or solid. Based on the solubility and permeability data, </w:t>
      </w:r>
      <w:proofErr w:type="spellStart"/>
      <w:r w:rsidRPr="00834FEF">
        <w:t>selinexor</w:t>
      </w:r>
      <w:proofErr w:type="spellEnd"/>
      <w:r w:rsidRPr="00834FEF">
        <w:t xml:space="preserve"> is a low solubility, high permeability drug </w:t>
      </w:r>
      <w:r>
        <w:t>that is</w:t>
      </w:r>
      <w:r w:rsidRPr="00834FEF">
        <w:t xml:space="preserve"> BSC class II.</w:t>
      </w:r>
    </w:p>
    <w:p w14:paraId="76A9F765" w14:textId="1AE2A596" w:rsidR="009121CD" w:rsidRPr="00B86896" w:rsidRDefault="009121CD" w:rsidP="009121CD">
      <w:pPr>
        <w:rPr>
          <w:rFonts w:cs="Calibri"/>
        </w:rPr>
      </w:pPr>
      <w:r w:rsidRPr="00834FEF">
        <w:t>The proposed drug substance specification adequately controls the impurities (including genotoxic impurities) arising from the synthesis and expected degradation products</w:t>
      </w:r>
      <w:r>
        <w:t xml:space="preserve"> and for particle size</w:t>
      </w:r>
      <w:r w:rsidRPr="00834FEF">
        <w:t>.</w:t>
      </w:r>
      <w:r w:rsidR="0000274D">
        <w:rPr>
          <w:rFonts w:cs="Calibri"/>
        </w:rPr>
        <w:t xml:space="preserve"> </w:t>
      </w:r>
      <w:r w:rsidRPr="00B86896">
        <w:rPr>
          <w:rFonts w:cs="Calibri"/>
        </w:rPr>
        <w:t>The stability data supports a retest period of 48 months when stored below 25°C for the drug substance.</w:t>
      </w:r>
    </w:p>
    <w:p w14:paraId="1036180B" w14:textId="03CEC5A7" w:rsidR="009121CD" w:rsidRPr="00255FFA" w:rsidRDefault="009121CD" w:rsidP="009121CD">
      <w:pPr>
        <w:rPr>
          <w:lang w:eastAsia="en-AU"/>
        </w:rPr>
      </w:pPr>
      <w:r w:rsidRPr="00255FFA">
        <w:rPr>
          <w:lang w:eastAsia="en-AU"/>
        </w:rPr>
        <w:t>Selinexor 20</w:t>
      </w:r>
      <w:r w:rsidR="005139F8">
        <w:rPr>
          <w:lang w:eastAsia="en-AU"/>
        </w:rPr>
        <w:t> </w:t>
      </w:r>
      <w:r w:rsidRPr="00255FFA">
        <w:rPr>
          <w:lang w:eastAsia="en-AU"/>
        </w:rPr>
        <w:t xml:space="preserve">mg tablets are blue, bi-convex, round, film coated tablets with </w:t>
      </w:r>
      <w:r w:rsidR="0000274D">
        <w:rPr>
          <w:lang w:eastAsia="en-AU"/>
        </w:rPr>
        <w:t>‘</w:t>
      </w:r>
      <w:r w:rsidRPr="00255FFA">
        <w:rPr>
          <w:lang w:eastAsia="en-AU"/>
        </w:rPr>
        <w:t>K20</w:t>
      </w:r>
      <w:r w:rsidR="0000274D">
        <w:rPr>
          <w:lang w:eastAsia="en-AU"/>
        </w:rPr>
        <w:t>’</w:t>
      </w:r>
      <w:r w:rsidRPr="00255FFA">
        <w:rPr>
          <w:lang w:eastAsia="en-AU"/>
        </w:rPr>
        <w:t xml:space="preserve"> debossed on one side and nothing on the other.</w:t>
      </w:r>
      <w:r w:rsidR="0000274D">
        <w:rPr>
          <w:lang w:eastAsia="en-AU"/>
        </w:rPr>
        <w:t xml:space="preserve"> </w:t>
      </w:r>
      <w:r w:rsidRPr="00255FFA">
        <w:rPr>
          <w:lang w:eastAsia="en-AU"/>
        </w:rPr>
        <w:t xml:space="preserve">The tablet is comprised of the active </w:t>
      </w:r>
      <w:proofErr w:type="spellStart"/>
      <w:r w:rsidRPr="00255FFA">
        <w:t>selinexor</w:t>
      </w:r>
      <w:proofErr w:type="spellEnd"/>
      <w:r w:rsidRPr="00255FFA">
        <w:t xml:space="preserve"> </w:t>
      </w:r>
      <w:r w:rsidRPr="00255FFA">
        <w:rPr>
          <w:lang w:eastAsia="en-AU"/>
        </w:rPr>
        <w:t xml:space="preserve">and the excipients microcrystalline cellulose, croscarmellose sodium, povidone, silicon dioxide, magnesium stearate, microcrystalline </w:t>
      </w:r>
      <w:proofErr w:type="gramStart"/>
      <w:r w:rsidRPr="00255FFA">
        <w:rPr>
          <w:lang w:eastAsia="en-AU"/>
        </w:rPr>
        <w:t>cellulose</w:t>
      </w:r>
      <w:proofErr w:type="gramEnd"/>
      <w:r w:rsidRPr="00255FFA">
        <w:rPr>
          <w:lang w:eastAsia="en-AU"/>
        </w:rPr>
        <w:t xml:space="preserve"> and sodium lauryl </w:t>
      </w:r>
      <w:proofErr w:type="spellStart"/>
      <w:r w:rsidRPr="00255FFA">
        <w:rPr>
          <w:lang w:eastAsia="en-AU"/>
        </w:rPr>
        <w:t>sulfate</w:t>
      </w:r>
      <w:proofErr w:type="spellEnd"/>
      <w:r w:rsidRPr="00255FFA">
        <w:rPr>
          <w:lang w:eastAsia="en-AU"/>
        </w:rPr>
        <w:t>.</w:t>
      </w:r>
    </w:p>
    <w:p w14:paraId="06451EAA" w14:textId="363062A7" w:rsidR="009121CD" w:rsidRPr="00255FFA" w:rsidRDefault="009121CD" w:rsidP="009121CD">
      <w:pPr>
        <w:rPr>
          <w:lang w:eastAsia="en-AU"/>
        </w:rPr>
      </w:pPr>
      <w:r w:rsidRPr="00255FFA">
        <w:rPr>
          <w:lang w:eastAsia="en-AU"/>
        </w:rPr>
        <w:t>Formulations developed for clinical studies through to commercial scale included capsules, wet granulated tablets</w:t>
      </w:r>
      <w:r w:rsidR="00C121D6">
        <w:rPr>
          <w:lang w:eastAsia="en-AU"/>
        </w:rPr>
        <w:t xml:space="preserve"> (tablet formulation 1, TF1)</w:t>
      </w:r>
      <w:r w:rsidRPr="00255FFA">
        <w:rPr>
          <w:lang w:eastAsia="en-AU"/>
        </w:rPr>
        <w:t xml:space="preserve"> and dry granulated tablets</w:t>
      </w:r>
      <w:r w:rsidR="00C121D6">
        <w:rPr>
          <w:lang w:eastAsia="en-AU"/>
        </w:rPr>
        <w:t xml:space="preserve"> (tablet formulation 2, TF2)</w:t>
      </w:r>
      <w:r w:rsidRPr="00255FFA">
        <w:rPr>
          <w:lang w:eastAsia="en-AU"/>
        </w:rPr>
        <w:t>.</w:t>
      </w:r>
    </w:p>
    <w:p w14:paraId="24B609DF" w14:textId="77777777" w:rsidR="009121CD" w:rsidRPr="00B86896" w:rsidRDefault="009121CD" w:rsidP="009121CD">
      <w:pPr>
        <w:rPr>
          <w:rFonts w:cs="Calibri"/>
        </w:rPr>
      </w:pPr>
      <w:r w:rsidRPr="00B86896">
        <w:rPr>
          <w:rFonts w:cs="Calibri"/>
        </w:rPr>
        <w:t xml:space="preserve">The drug product specification adequately controls the quality of the tablets. The dissolution method was demonstrated to be adequately discriminatory </w:t>
      </w:r>
      <w:r w:rsidRPr="00255FFA">
        <w:rPr>
          <w:lang w:eastAsia="en-AU"/>
        </w:rPr>
        <w:t>under different manufacturing conditions, including changes to particle size and product formulation.</w:t>
      </w:r>
    </w:p>
    <w:p w14:paraId="76A566A2" w14:textId="179C2ECF" w:rsidR="009121CD" w:rsidRDefault="009121CD" w:rsidP="009121CD">
      <w:pPr>
        <w:rPr>
          <w:bCs/>
        </w:rPr>
      </w:pPr>
      <w:r w:rsidRPr="00B86896">
        <w:rPr>
          <w:rFonts w:cs="Calibri"/>
        </w:rPr>
        <w:t xml:space="preserve">The stability data supports a shelf-life of </w:t>
      </w:r>
      <w:r w:rsidRPr="00B86896">
        <w:rPr>
          <w:bCs/>
        </w:rPr>
        <w:t>48 months when stored below 30˚C in the proposed commercial blister packs.</w:t>
      </w:r>
    </w:p>
    <w:p w14:paraId="5DBC7531" w14:textId="0C6A30BB" w:rsidR="0000274D" w:rsidRPr="0000274D" w:rsidRDefault="0072605A" w:rsidP="009121CD">
      <w:proofErr w:type="gramStart"/>
      <w:r>
        <w:t>Overall</w:t>
      </w:r>
      <w:proofErr w:type="gramEnd"/>
      <w:r>
        <w:t xml:space="preserve"> the quality </w:t>
      </w:r>
      <w:proofErr w:type="spellStart"/>
      <w:r>
        <w:t>evalution</w:t>
      </w:r>
      <w:proofErr w:type="spellEnd"/>
      <w:r w:rsidR="0000274D">
        <w:t xml:space="preserve"> recommended approval </w:t>
      </w:r>
      <w:r>
        <w:t xml:space="preserve">of </w:t>
      </w:r>
      <w:proofErr w:type="spellStart"/>
      <w:r>
        <w:t>Xpovio</w:t>
      </w:r>
      <w:proofErr w:type="spellEnd"/>
      <w:r>
        <w:t xml:space="preserve"> (</w:t>
      </w:r>
      <w:proofErr w:type="spellStart"/>
      <w:r>
        <w:t>selinexor</w:t>
      </w:r>
      <w:proofErr w:type="spellEnd"/>
      <w:r>
        <w:t xml:space="preserve">) </w:t>
      </w:r>
      <w:r w:rsidR="0000274D">
        <w:t>provided a G</w:t>
      </w:r>
      <w:r w:rsidR="0000274D" w:rsidRPr="009121CD">
        <w:t xml:space="preserve">ood </w:t>
      </w:r>
      <w:r w:rsidR="0000274D">
        <w:t>M</w:t>
      </w:r>
      <w:r w:rsidR="0000274D" w:rsidRPr="009121CD">
        <w:t xml:space="preserve">anufacturing </w:t>
      </w:r>
      <w:r w:rsidR="0000274D">
        <w:t>P</w:t>
      </w:r>
      <w:r w:rsidR="0000274D" w:rsidRPr="009121CD">
        <w:t>ractice</w:t>
      </w:r>
      <w:r w:rsidR="0000274D">
        <w:t xml:space="preserve"> (GMP) clearance was available for all manufacturing sites.</w:t>
      </w:r>
      <w:bookmarkStart w:id="33" w:name="QACMSumm"/>
      <w:r w:rsidR="0000274D">
        <w:t xml:space="preserve"> A </w:t>
      </w:r>
      <w:r w:rsidR="009450D5">
        <w:lastRenderedPageBreak/>
        <w:t xml:space="preserve">manufacturing </w:t>
      </w:r>
      <w:r w:rsidR="0000274D">
        <w:t>site without GMP certification has been withdrawn by the sponsor</w:t>
      </w:r>
      <w:r w:rsidR="009450D5">
        <w:t xml:space="preserve"> during evaluation of this submission</w:t>
      </w:r>
      <w:r w:rsidR="0000274D">
        <w:t>.</w:t>
      </w:r>
      <w:bookmarkEnd w:id="33"/>
    </w:p>
    <w:p w14:paraId="7D536A6C" w14:textId="77777777" w:rsidR="008E7846" w:rsidRDefault="008E7846" w:rsidP="008E7846">
      <w:pPr>
        <w:pStyle w:val="Heading3"/>
      </w:pPr>
      <w:bookmarkStart w:id="34" w:name="_Toc314842512"/>
      <w:bookmarkStart w:id="35" w:name="_Toc119396513"/>
      <w:r>
        <w:t>Nonclinical</w:t>
      </w:r>
      <w:bookmarkEnd w:id="34"/>
      <w:bookmarkEnd w:id="35"/>
    </w:p>
    <w:p w14:paraId="4A975E58" w14:textId="2FB20017" w:rsidR="00674DB3" w:rsidRDefault="009450D5" w:rsidP="00674DB3">
      <w:r>
        <w:t>The n</w:t>
      </w:r>
      <w:r w:rsidR="00674DB3">
        <w:t>onclinical dossier was of overall high quality</w:t>
      </w:r>
      <w:r>
        <w:t xml:space="preserve"> and the </w:t>
      </w:r>
      <w:r w:rsidR="00674DB3">
        <w:t xml:space="preserve">scope was adequate, consistent with the relevant TGA adopted </w:t>
      </w:r>
      <w:r w:rsidR="00674DB3" w:rsidRPr="0000274D">
        <w:t>guideline for the nonclinical evaluation of anticancer pharmaceuticals</w:t>
      </w:r>
      <w:r w:rsidR="00674DB3">
        <w:t xml:space="preserve"> (ICH S9)</w:t>
      </w:r>
      <w:r>
        <w:t>;</w:t>
      </w:r>
      <w:r>
        <w:rPr>
          <w:rStyle w:val="FootnoteReference"/>
        </w:rPr>
        <w:footnoteReference w:id="6"/>
      </w:r>
      <w:r w:rsidR="00674DB3">
        <w:t xml:space="preserve"> although some minor deficiencies are noted. All pivotal safety</w:t>
      </w:r>
      <w:r w:rsidR="0000274D">
        <w:t xml:space="preserve"> </w:t>
      </w:r>
      <w:r w:rsidR="00674DB3">
        <w:t>related studies were Good Laboratory Practice (GLP)</w:t>
      </w:r>
      <w:r w:rsidR="00712107">
        <w:t xml:space="preserve"> </w:t>
      </w:r>
      <w:r w:rsidR="00674DB3">
        <w:t>compliant except for one.</w:t>
      </w:r>
    </w:p>
    <w:p w14:paraId="04DC11D8" w14:textId="36FE97DD" w:rsidR="007C4D33" w:rsidRDefault="00674DB3" w:rsidP="00674DB3">
      <w:r>
        <w:t>Selinexor is the first in its pharmacological class</w:t>
      </w:r>
      <w:r w:rsidR="0000274D">
        <w:t xml:space="preserve">, </w:t>
      </w:r>
      <w:r w:rsidR="0072605A">
        <w:t>selective inhibitor of nuclear e</w:t>
      </w:r>
      <w:r w:rsidR="0072605A" w:rsidRPr="0072605A">
        <w:t>xport</w:t>
      </w:r>
      <w:r w:rsidR="0072605A">
        <w:t xml:space="preserve"> (</w:t>
      </w:r>
      <w:r>
        <w:t>SINE</w:t>
      </w:r>
      <w:r w:rsidR="0072605A">
        <w:t>)</w:t>
      </w:r>
      <w:r>
        <w:t xml:space="preserve">, targeting XPO1. Binding of </w:t>
      </w:r>
      <w:proofErr w:type="spellStart"/>
      <w:r>
        <w:t>selinexor</w:t>
      </w:r>
      <w:proofErr w:type="spellEnd"/>
      <w:r>
        <w:t xml:space="preserve"> to XPO1 is covalent, but slowly reversible. Selinexor was shown to potently inhibit XPO1-mediated nuclear export </w:t>
      </w:r>
      <w:r w:rsidRPr="007C4D33">
        <w:rPr>
          <w:i/>
          <w:iCs/>
        </w:rPr>
        <w:t>in vitro</w:t>
      </w:r>
      <w:r>
        <w:t xml:space="preserve"> (</w:t>
      </w:r>
      <w:r w:rsidR="0072605A">
        <w:t xml:space="preserve">50% (half maximal) </w:t>
      </w:r>
      <w:r w:rsidR="0072605A">
        <w:rPr>
          <w:color w:val="000000"/>
        </w:rPr>
        <w:t>i</w:t>
      </w:r>
      <w:r w:rsidR="0000274D">
        <w:rPr>
          <w:color w:val="000000"/>
        </w:rPr>
        <w:t>nhibitory concentration (</w:t>
      </w:r>
      <w:r>
        <w:t>IC</w:t>
      </w:r>
      <w:r w:rsidRPr="007C4D33">
        <w:rPr>
          <w:vertAlign w:val="subscript"/>
        </w:rPr>
        <w:t>50</w:t>
      </w:r>
      <w:r w:rsidR="0000274D">
        <w:t>),</w:t>
      </w:r>
      <w:r>
        <w:t xml:space="preserve"> </w:t>
      </w:r>
      <w:r w:rsidR="007C4D33">
        <w:t xml:space="preserve">about </w:t>
      </w:r>
      <w:r>
        <w:t>20</w:t>
      </w:r>
      <w:r w:rsidR="0000274D">
        <w:t> </w:t>
      </w:r>
      <w:proofErr w:type="spellStart"/>
      <w:r>
        <w:t>nM</w:t>
      </w:r>
      <w:proofErr w:type="spellEnd"/>
      <w:r>
        <w:t>), leading to accumulation of numerous tumour suppressor proteins and growth regulator proteins within the nucleus (their site of action) and suppression of the expression of several oncoproteins and translation/chaperone proteins. This induced cell</w:t>
      </w:r>
      <w:r w:rsidR="0000274D">
        <w:t xml:space="preserve"> </w:t>
      </w:r>
      <w:r>
        <w:t xml:space="preserve">cycle arrest and cell death in cancer cell lines. Anti-tumour activity with </w:t>
      </w:r>
      <w:proofErr w:type="spellStart"/>
      <w:r>
        <w:t>selinexor</w:t>
      </w:r>
      <w:proofErr w:type="spellEnd"/>
      <w:r>
        <w:t xml:space="preserve"> treatment was demonstrated </w:t>
      </w:r>
      <w:r w:rsidRPr="0000274D">
        <w:rPr>
          <w:i/>
          <w:iCs/>
        </w:rPr>
        <w:t>in vivo</w:t>
      </w:r>
      <w:r>
        <w:t xml:space="preserve"> in mice bearing multiple myeloma, </w:t>
      </w:r>
      <w:r w:rsidR="0072605A">
        <w:t>d</w:t>
      </w:r>
      <w:r w:rsidR="0072605A" w:rsidRPr="0072605A">
        <w:t>iffuse large B cell lymphoma</w:t>
      </w:r>
      <w:r w:rsidR="0072605A">
        <w:t xml:space="preserve"> (</w:t>
      </w:r>
      <w:r>
        <w:t>DLBCL</w:t>
      </w:r>
      <w:r w:rsidR="0072605A">
        <w:t>),</w:t>
      </w:r>
      <w:r>
        <w:t xml:space="preserve"> and other tumour xenografts. Synergy in combination with dexamethasone and bortezomib (and various other agents) was shown. These studies offer support for the utility of </w:t>
      </w:r>
      <w:proofErr w:type="spellStart"/>
      <w:r>
        <w:t>selinexor</w:t>
      </w:r>
      <w:proofErr w:type="spellEnd"/>
      <w:r>
        <w:t xml:space="preserve"> in the proposed indications.</w:t>
      </w:r>
    </w:p>
    <w:p w14:paraId="44E2621D" w14:textId="7C0BEC49" w:rsidR="00674DB3" w:rsidRDefault="00674DB3" w:rsidP="00674DB3">
      <w:r>
        <w:t xml:space="preserve">Screening assays revealed no notable secondary pharmacological activity for </w:t>
      </w:r>
      <w:proofErr w:type="spellStart"/>
      <w:r>
        <w:t>selinexor</w:t>
      </w:r>
      <w:proofErr w:type="spellEnd"/>
      <w:r>
        <w:t>.</w:t>
      </w:r>
    </w:p>
    <w:p w14:paraId="3BDABAD7" w14:textId="0E171533" w:rsidR="00674DB3" w:rsidRDefault="00674DB3" w:rsidP="00674DB3">
      <w:r>
        <w:t xml:space="preserve">Safety pharmacology studies indicated no likely acute, </w:t>
      </w:r>
      <w:r w:rsidR="00B40FF4">
        <w:t>pharmacologically mediated</w:t>
      </w:r>
      <w:r>
        <w:t xml:space="preserve"> effects of </w:t>
      </w:r>
      <w:proofErr w:type="spellStart"/>
      <w:r>
        <w:t>selinexor</w:t>
      </w:r>
      <w:proofErr w:type="spellEnd"/>
      <w:r>
        <w:t xml:space="preserve"> on </w:t>
      </w:r>
      <w:r w:rsidR="0000274D">
        <w:t>central nervous system (</w:t>
      </w:r>
      <w:r>
        <w:t>CNS</w:t>
      </w:r>
      <w:r w:rsidR="0000274D">
        <w:t>)</w:t>
      </w:r>
      <w:r>
        <w:t>, cardiovascular or respiratory function.</w:t>
      </w:r>
    </w:p>
    <w:p w14:paraId="513EAECF" w14:textId="6014D24C" w:rsidR="00674DB3" w:rsidRDefault="00674DB3" w:rsidP="00674DB3">
      <w:r>
        <w:t xml:space="preserve">Rapid to moderately rapid absorption of </w:t>
      </w:r>
      <w:proofErr w:type="spellStart"/>
      <w:r>
        <w:t>selinexor</w:t>
      </w:r>
      <w:proofErr w:type="spellEnd"/>
      <w:r>
        <w:t xml:space="preserve"> after oral administration was seen in laboratory animal species and humans. Oral bioavailability was moderately high in mice, </w:t>
      </w:r>
      <w:proofErr w:type="gramStart"/>
      <w:r>
        <w:t>rats</w:t>
      </w:r>
      <w:proofErr w:type="gramEnd"/>
      <w:r>
        <w:t xml:space="preserve"> and monkeys. The plasma half-life was short in all species. Plasma protein binding was high in mice, rats, </w:t>
      </w:r>
      <w:proofErr w:type="gramStart"/>
      <w:r>
        <w:t>monkeys</w:t>
      </w:r>
      <w:proofErr w:type="gramEnd"/>
      <w:r>
        <w:t xml:space="preserve"> and humans. Rapid and wide tissue distribution of </w:t>
      </w:r>
      <w:r w:rsidRPr="000B3827">
        <w:rPr>
          <w:vertAlign w:val="superscript"/>
        </w:rPr>
        <w:t>14</w:t>
      </w:r>
      <w:r>
        <w:t>C</w:t>
      </w:r>
      <w:r w:rsidR="0000274D">
        <w:noBreakHyphen/>
      </w:r>
      <w:r>
        <w:t>selinexor</w:t>
      </w:r>
      <w:r w:rsidR="0000274D">
        <w:t xml:space="preserve"> </w:t>
      </w:r>
      <w:r>
        <w:t>derived radioactivity was demonstrated in rats. Considerable penetration of the blood</w:t>
      </w:r>
      <w:r w:rsidR="0000274D">
        <w:t xml:space="preserve"> </w:t>
      </w:r>
      <w:r>
        <w:t xml:space="preserve">brain barrier was evident in all species studies (mice, </w:t>
      </w:r>
      <w:proofErr w:type="gramStart"/>
      <w:r>
        <w:t>rats</w:t>
      </w:r>
      <w:proofErr w:type="gramEnd"/>
      <w:r>
        <w:t xml:space="preserve"> and monkeys). Metabolism of </w:t>
      </w:r>
      <w:proofErr w:type="spellStart"/>
      <w:r>
        <w:t>selinexor</w:t>
      </w:r>
      <w:proofErr w:type="spellEnd"/>
      <w:r>
        <w:t xml:space="preserve"> was </w:t>
      </w:r>
      <w:proofErr w:type="gramStart"/>
      <w:r>
        <w:t>limited, and</w:t>
      </w:r>
      <w:proofErr w:type="gramEnd"/>
      <w:r>
        <w:t xml:space="preserve"> involved</w:t>
      </w:r>
      <w:r w:rsidR="0072605A">
        <w:t xml:space="preserve"> the cytochrome P450 (CYP) isozyme</w:t>
      </w:r>
      <w:r>
        <w:t xml:space="preserve"> CYP3A4</w:t>
      </w:r>
      <w:r w:rsidR="0072605A">
        <w:t>;</w:t>
      </w:r>
      <w:r w:rsidR="0072605A">
        <w:rPr>
          <w:rStyle w:val="FootnoteReference"/>
        </w:rPr>
        <w:footnoteReference w:id="7"/>
      </w:r>
      <w:r>
        <w:t xml:space="preserve"> multiple </w:t>
      </w:r>
      <w:r w:rsidR="0072605A" w:rsidRPr="0072605A">
        <w:t>UDP-glucuronosyltransferas</w:t>
      </w:r>
      <w:r w:rsidR="0072605A">
        <w:t>es (</w:t>
      </w:r>
      <w:r>
        <w:t>UGTs</w:t>
      </w:r>
      <w:r w:rsidR="0072605A">
        <w:t>)</w:t>
      </w:r>
      <w:r>
        <w:t xml:space="preserve"> and glutathione S-transferases. Excretion of </w:t>
      </w:r>
      <w:proofErr w:type="spellStart"/>
      <w:r>
        <w:t>selinexor</w:t>
      </w:r>
      <w:proofErr w:type="spellEnd"/>
      <w:r>
        <w:t xml:space="preserve"> and its metabolites was shown to be chiefly via the faeces/bile in rats.</w:t>
      </w:r>
    </w:p>
    <w:p w14:paraId="6CC519D5" w14:textId="35589337" w:rsidR="00674DB3" w:rsidRDefault="00674DB3" w:rsidP="00674DB3">
      <w:r w:rsidRPr="007C4D33">
        <w:rPr>
          <w:i/>
          <w:iCs/>
        </w:rPr>
        <w:t>In vitro</w:t>
      </w:r>
      <w:r>
        <w:t xml:space="preserve"> experiments examining the potential for pharmacokinetic drug interactions revealed inhibition of OATP1B3 by </w:t>
      </w:r>
      <w:proofErr w:type="spellStart"/>
      <w:r>
        <w:t>selinexor</w:t>
      </w:r>
      <w:proofErr w:type="spellEnd"/>
      <w:r>
        <w:t xml:space="preserve"> at clinically relevant concentrations. Clinically relevant inhibition of CYPs, UGTs and other transporters, and CYP induction, were not observed.</w:t>
      </w:r>
    </w:p>
    <w:p w14:paraId="607CEA07" w14:textId="04135557" w:rsidR="00674DB3" w:rsidRDefault="00674DB3" w:rsidP="00674DB3">
      <w:r>
        <w:t>Repeat</w:t>
      </w:r>
      <w:r w:rsidR="007C4D33">
        <w:t xml:space="preserve"> </w:t>
      </w:r>
      <w:r>
        <w:t xml:space="preserve">dose toxicity studies were performed with </w:t>
      </w:r>
      <w:proofErr w:type="spellStart"/>
      <w:r>
        <w:t>selinexor</w:t>
      </w:r>
      <w:proofErr w:type="spellEnd"/>
      <w:r>
        <w:t xml:space="preserve"> in rats and cynomolgus monkeys. All were conducted by the oral route. The pivotal studies were of 13 weeks </w:t>
      </w:r>
      <w:r>
        <w:lastRenderedPageBreak/>
        <w:t>duration and involved alternating three times and twice weekly dosing (c</w:t>
      </w:r>
      <w:r w:rsidR="00EC773F">
        <w:t xml:space="preserve">ompare to </w:t>
      </w:r>
      <w:r>
        <w:t xml:space="preserve">once or twice weekly dosing in patients). Shorter studies employed three times weekly dosing. The major targets for </w:t>
      </w:r>
      <w:proofErr w:type="spellStart"/>
      <w:r>
        <w:t>selinexor</w:t>
      </w:r>
      <w:proofErr w:type="spellEnd"/>
      <w:r>
        <w:t xml:space="preserve"> toxicity were the bone marrow, lymphoid tissues, gastrointestinal </w:t>
      </w:r>
      <w:proofErr w:type="gramStart"/>
      <w:r>
        <w:t>tract</w:t>
      </w:r>
      <w:proofErr w:type="gramEnd"/>
      <w:r>
        <w:t xml:space="preserve"> and male and female reproductive organs. Effects were typical of a cell</w:t>
      </w:r>
      <w:r w:rsidR="0000274D">
        <w:t xml:space="preserve"> </w:t>
      </w:r>
      <w:r>
        <w:t>cycle inhibitor and occurred at doses yielding systemic exposure levels below that of patients.</w:t>
      </w:r>
    </w:p>
    <w:p w14:paraId="332AECE1" w14:textId="316E852E" w:rsidR="00674DB3" w:rsidRDefault="00674DB3" w:rsidP="00674DB3">
      <w:r>
        <w:t>Selinexor was negative in the standard battery of tests for genotoxicity. No carcinogenicity studies have been conducted; this is acceptable for a medicine indicated for the treatment of advanced cancer.</w:t>
      </w:r>
    </w:p>
    <w:p w14:paraId="5AB48E8D" w14:textId="40C4ED54" w:rsidR="00674DB3" w:rsidRDefault="00674DB3" w:rsidP="00674DB3">
      <w:r>
        <w:t xml:space="preserve">Impairment of male and female fertility in patients is suggested by histopathological findings in the general repeat-dose toxicity program. Adverse effects on embryofetal development, including malformations and </w:t>
      </w:r>
      <w:proofErr w:type="spellStart"/>
      <w:r>
        <w:t>embryolethality</w:t>
      </w:r>
      <w:proofErr w:type="spellEnd"/>
      <w:r>
        <w:t xml:space="preserve">, were observed with </w:t>
      </w:r>
      <w:proofErr w:type="spellStart"/>
      <w:r>
        <w:t>selinexor</w:t>
      </w:r>
      <w:proofErr w:type="spellEnd"/>
      <w:r>
        <w:t xml:space="preserve"> in rats and occurred at subclinical exposure levels. While strong concerns over embryofetal toxicity are held for </w:t>
      </w:r>
      <w:proofErr w:type="spellStart"/>
      <w:r>
        <w:t>selinexor</w:t>
      </w:r>
      <w:proofErr w:type="spellEnd"/>
      <w:r>
        <w:t>, these are not so extreme as to warrant assignment to Category X</w:t>
      </w:r>
      <w:r w:rsidR="002028C7">
        <w:t>;</w:t>
      </w:r>
      <w:r w:rsidR="002028C7">
        <w:rPr>
          <w:rStyle w:val="FootnoteReference"/>
        </w:rPr>
        <w:footnoteReference w:id="8"/>
      </w:r>
      <w:r>
        <w:t xml:space="preserve"> as the </w:t>
      </w:r>
      <w:r w:rsidR="0000274D">
        <w:t>s</w:t>
      </w:r>
      <w:r>
        <w:t>ponsor proposes. Assignment to Category D</w:t>
      </w:r>
      <w:r w:rsidR="002028C7">
        <w:t>;</w:t>
      </w:r>
      <w:r w:rsidR="002028C7">
        <w:rPr>
          <w:rStyle w:val="FootnoteReference"/>
        </w:rPr>
        <w:footnoteReference w:id="9"/>
      </w:r>
      <w:r>
        <w:t xml:space="preserve"> is recommended instead (consistent with the categorisation of similar agents).</w:t>
      </w:r>
    </w:p>
    <w:p w14:paraId="4105F148" w14:textId="0DE66434" w:rsidR="0000274D" w:rsidRPr="0074163C" w:rsidRDefault="0072605A" w:rsidP="00674DB3">
      <w:r>
        <w:t>Overall, t</w:t>
      </w:r>
      <w:r w:rsidR="0000274D">
        <w:t>he nonclinical evaluat</w:t>
      </w:r>
      <w:r>
        <w:t xml:space="preserve">ion found </w:t>
      </w:r>
      <w:r w:rsidR="0000274D">
        <w:t xml:space="preserve">no objections to the approval of </w:t>
      </w:r>
      <w:proofErr w:type="spellStart"/>
      <w:r w:rsidR="0000274D">
        <w:t>selinexor</w:t>
      </w:r>
      <w:proofErr w:type="spellEnd"/>
      <w:r w:rsidR="0000274D">
        <w:t>.</w:t>
      </w:r>
    </w:p>
    <w:p w14:paraId="1DD96895" w14:textId="77777777" w:rsidR="008E7846" w:rsidRDefault="008E7846" w:rsidP="008E7846">
      <w:pPr>
        <w:pStyle w:val="Heading3"/>
      </w:pPr>
      <w:bookmarkStart w:id="36" w:name="_Toc247691530"/>
      <w:bookmarkStart w:id="37" w:name="_Toc314842513"/>
      <w:bookmarkStart w:id="38" w:name="_Toc119396514"/>
      <w:r>
        <w:t>Clinical</w:t>
      </w:r>
      <w:bookmarkEnd w:id="36"/>
      <w:bookmarkEnd w:id="37"/>
      <w:bookmarkEnd w:id="38"/>
    </w:p>
    <w:p w14:paraId="5E75A83D" w14:textId="77777777" w:rsidR="00EC773F" w:rsidRDefault="00EC773F" w:rsidP="00EC773F">
      <w:pPr>
        <w:pStyle w:val="Heading4"/>
      </w:pPr>
      <w:r>
        <w:t>Formulation</w:t>
      </w:r>
    </w:p>
    <w:p w14:paraId="62C41CDA" w14:textId="6E547C7D" w:rsidR="00EC773F" w:rsidRPr="00DA4A9A" w:rsidRDefault="00EC773F" w:rsidP="00EC773F">
      <w:r w:rsidRPr="00DA4A9A">
        <w:t xml:space="preserve">The dosage form was initially designed as an immediate release oral capsule formulation and subsequently as two different immediate release oral tablet formulations (first generation tablet and </w:t>
      </w:r>
      <w:proofErr w:type="gramStart"/>
      <w:r w:rsidRPr="00DA4A9A">
        <w:t>second</w:t>
      </w:r>
      <w:r w:rsidR="0000274D">
        <w:t xml:space="preserve"> </w:t>
      </w:r>
      <w:r w:rsidRPr="00DA4A9A">
        <w:t>generation</w:t>
      </w:r>
      <w:proofErr w:type="gramEnd"/>
      <w:r w:rsidRPr="00DA4A9A">
        <w:t xml:space="preserve"> tablet). An oral suspension formulation, prepared from the </w:t>
      </w:r>
      <w:proofErr w:type="gramStart"/>
      <w:r w:rsidRPr="00DA4A9A">
        <w:t>first</w:t>
      </w:r>
      <w:r w:rsidR="0000274D">
        <w:t xml:space="preserve"> </w:t>
      </w:r>
      <w:r w:rsidRPr="00DA4A9A">
        <w:t>generation</w:t>
      </w:r>
      <w:proofErr w:type="gramEnd"/>
      <w:r w:rsidRPr="00DA4A9A">
        <w:t xml:space="preserve"> tablet</w:t>
      </w:r>
      <w:r w:rsidR="00676217">
        <w:t xml:space="preserve"> (TF1)</w:t>
      </w:r>
      <w:r w:rsidRPr="00DA4A9A">
        <w:t>, was used during early clinical development and to establish relative bioavailability.</w:t>
      </w:r>
      <w:r>
        <w:t xml:space="preserve"> </w:t>
      </w:r>
      <w:r w:rsidRPr="00255FFA">
        <w:t xml:space="preserve">The </w:t>
      </w:r>
      <w:r>
        <w:t xml:space="preserve">commercial formulation is similar to the tablet </w:t>
      </w:r>
      <w:r w:rsidRPr="00255FFA">
        <w:t>used in clinical development</w:t>
      </w:r>
      <w:r w:rsidR="00966EE1">
        <w:t xml:space="preserve"> (second</w:t>
      </w:r>
      <w:r w:rsidR="0000274D">
        <w:t xml:space="preserve"> </w:t>
      </w:r>
      <w:r w:rsidR="00966EE1">
        <w:t>generation tablet</w:t>
      </w:r>
      <w:r w:rsidR="00676217">
        <w:t>, TF2</w:t>
      </w:r>
      <w:r w:rsidR="00966EE1">
        <w:t>)</w:t>
      </w:r>
      <w:r>
        <w:t xml:space="preserve"> except for the removal of tartrazine (pigment) from the outer </w:t>
      </w:r>
      <w:proofErr w:type="gramStart"/>
      <w:r>
        <w:t>top coat</w:t>
      </w:r>
      <w:proofErr w:type="gramEnd"/>
      <w:r>
        <w:t>.</w:t>
      </w:r>
    </w:p>
    <w:p w14:paraId="1893B83B" w14:textId="1F110955" w:rsidR="00EC773F" w:rsidRPr="00DA4A9A" w:rsidRDefault="00EC773F" w:rsidP="00EC773F">
      <w:pPr>
        <w:rPr>
          <w:noProof/>
          <w:lang w:eastAsia="en-AU"/>
        </w:rPr>
      </w:pPr>
      <w:r w:rsidRPr="00DA4A9A">
        <w:t xml:space="preserve">Following oral administration of either the tablet or oral suspension dosage forms, </w:t>
      </w:r>
      <w:proofErr w:type="spellStart"/>
      <w:r w:rsidRPr="00DA4A9A">
        <w:t>selinexor</w:t>
      </w:r>
      <w:proofErr w:type="spellEnd"/>
      <w:r w:rsidRPr="00DA4A9A">
        <w:t xml:space="preserve"> was rapidly absorbed into systemic circulation, with a median </w:t>
      </w:r>
      <w:r w:rsidR="00966EE1">
        <w:t xml:space="preserve">time to </w:t>
      </w:r>
      <w:r w:rsidR="00966EE1" w:rsidRPr="00966EE1">
        <w:t>maximum concentration</w:t>
      </w:r>
      <w:r w:rsidR="00966EE1">
        <w:t xml:space="preserve"> (</w:t>
      </w:r>
      <w:proofErr w:type="spellStart"/>
      <w:r>
        <w:t>T</w:t>
      </w:r>
      <w:r w:rsidRPr="00DA4A9A">
        <w:rPr>
          <w:vertAlign w:val="subscript"/>
        </w:rPr>
        <w:t>max</w:t>
      </w:r>
      <w:proofErr w:type="spellEnd"/>
      <w:r w:rsidR="00966EE1">
        <w:t xml:space="preserve">) </w:t>
      </w:r>
      <w:r w:rsidRPr="00DA4A9A">
        <w:t>ranging from 1.6 to 3 hours across the three treatment groups (</w:t>
      </w:r>
      <w:r w:rsidR="00966EE1">
        <w:t>Group </w:t>
      </w:r>
      <w:r w:rsidRPr="00DA4A9A">
        <w:t>A</w:t>
      </w:r>
      <w:r>
        <w:t xml:space="preserve">: </w:t>
      </w:r>
      <w:r w:rsidR="00966EE1">
        <w:t xml:space="preserve">first </w:t>
      </w:r>
      <w:r>
        <w:t>generation tablets</w:t>
      </w:r>
      <w:r w:rsidRPr="00DA4A9A">
        <w:t xml:space="preserve">, </w:t>
      </w:r>
      <w:r w:rsidR="00966EE1">
        <w:t xml:space="preserve">Group </w:t>
      </w:r>
      <w:r w:rsidRPr="00DA4A9A">
        <w:t>B</w:t>
      </w:r>
      <w:r>
        <w:t xml:space="preserve">: </w:t>
      </w:r>
      <w:r w:rsidR="00966EE1">
        <w:t xml:space="preserve">second </w:t>
      </w:r>
      <w:r>
        <w:t xml:space="preserve">generation tablet </w:t>
      </w:r>
      <w:r w:rsidRPr="00DA4A9A">
        <w:t xml:space="preserve">and </w:t>
      </w:r>
      <w:r w:rsidR="00966EE1">
        <w:t xml:space="preserve">Group </w:t>
      </w:r>
      <w:r w:rsidRPr="00DA4A9A">
        <w:t>C</w:t>
      </w:r>
      <w:r>
        <w:t>: oral suspension</w:t>
      </w:r>
      <w:r w:rsidRPr="00DA4A9A">
        <w:t>).</w:t>
      </w:r>
    </w:p>
    <w:p w14:paraId="760F6B86" w14:textId="1D5D4AC4" w:rsidR="00EC773F" w:rsidRPr="00DA4A9A" w:rsidRDefault="00EC773F" w:rsidP="00EC773F">
      <w:pPr>
        <w:rPr>
          <w:rFonts w:cs="Calibri"/>
        </w:rPr>
      </w:pPr>
      <w:r w:rsidRPr="00DA4A9A">
        <w:rPr>
          <w:rFonts w:cs="Calibri"/>
        </w:rPr>
        <w:t xml:space="preserve">The oral suspension was considered bioequivalent to the </w:t>
      </w:r>
      <w:proofErr w:type="gramStart"/>
      <w:r w:rsidRPr="00DA4A9A">
        <w:rPr>
          <w:rFonts w:cs="Calibri"/>
        </w:rPr>
        <w:t>first and second</w:t>
      </w:r>
      <w:r w:rsidR="0000274D">
        <w:rPr>
          <w:rFonts w:cs="Calibri"/>
        </w:rPr>
        <w:t xml:space="preserve"> </w:t>
      </w:r>
      <w:r w:rsidRPr="00DA4A9A">
        <w:rPr>
          <w:rFonts w:cs="Calibri"/>
        </w:rPr>
        <w:t>generation</w:t>
      </w:r>
      <w:proofErr w:type="gramEnd"/>
      <w:r w:rsidRPr="00DA4A9A">
        <w:rPr>
          <w:rFonts w:cs="Calibri"/>
        </w:rPr>
        <w:t xml:space="preserve"> tablets with regards to total drug exposure as measured by </w:t>
      </w:r>
      <w:r w:rsidR="00966EE1">
        <w:rPr>
          <w:rFonts w:cs="Calibri"/>
        </w:rPr>
        <w:t xml:space="preserve">area under </w:t>
      </w:r>
      <w:r w:rsidR="00676217">
        <w:rPr>
          <w:rFonts w:cs="Calibri"/>
        </w:rPr>
        <w:t xml:space="preserve">the </w:t>
      </w:r>
      <w:r w:rsidR="00966EE1">
        <w:rPr>
          <w:rFonts w:cs="Calibri"/>
        </w:rPr>
        <w:t xml:space="preserve">concentration time curve </w:t>
      </w:r>
      <w:r w:rsidR="00676217">
        <w:rPr>
          <w:rFonts w:cs="Calibri"/>
        </w:rPr>
        <w:t>over the dosing interval</w:t>
      </w:r>
      <w:r w:rsidR="00966EE1">
        <w:rPr>
          <w:rFonts w:cs="Calibri"/>
        </w:rPr>
        <w:t xml:space="preserve"> (</w:t>
      </w:r>
      <w:r w:rsidRPr="00DA4A9A">
        <w:rPr>
          <w:rFonts w:cs="Calibri"/>
        </w:rPr>
        <w:t>AUC</w:t>
      </w:r>
      <w:r w:rsidRPr="00DA4A9A">
        <w:rPr>
          <w:rFonts w:cs="Calibri"/>
          <w:vertAlign w:val="subscript"/>
        </w:rPr>
        <w:t>0-t</w:t>
      </w:r>
      <w:r w:rsidR="00966EE1">
        <w:rPr>
          <w:rFonts w:cs="Calibri"/>
        </w:rPr>
        <w:t xml:space="preserve">) </w:t>
      </w:r>
      <w:r w:rsidRPr="00DA4A9A">
        <w:rPr>
          <w:rFonts w:cs="Calibri"/>
        </w:rPr>
        <w:t xml:space="preserve">and </w:t>
      </w:r>
      <w:r w:rsidR="000B4537">
        <w:rPr>
          <w:rFonts w:cs="Calibri"/>
        </w:rPr>
        <w:t>a</w:t>
      </w:r>
      <w:r w:rsidR="000B4537" w:rsidRPr="000B4537">
        <w:rPr>
          <w:rFonts w:cs="Calibri"/>
        </w:rPr>
        <w:t xml:space="preserve">rea </w:t>
      </w:r>
      <w:r w:rsidR="000B4537">
        <w:rPr>
          <w:rFonts w:cs="Calibri"/>
        </w:rPr>
        <w:t>u</w:t>
      </w:r>
      <w:r w:rsidR="000B4537" w:rsidRPr="000B4537">
        <w:rPr>
          <w:rFonts w:cs="Calibri"/>
        </w:rPr>
        <w:t xml:space="preserve">nder </w:t>
      </w:r>
      <w:r w:rsidR="000B4537">
        <w:rPr>
          <w:rFonts w:cs="Calibri"/>
        </w:rPr>
        <w:t>t</w:t>
      </w:r>
      <w:r w:rsidR="000B4537" w:rsidRPr="000B4537">
        <w:rPr>
          <w:rFonts w:cs="Calibri"/>
        </w:rPr>
        <w:t xml:space="preserve">he </w:t>
      </w:r>
      <w:r w:rsidR="000B4537">
        <w:rPr>
          <w:rFonts w:cs="Calibri"/>
        </w:rPr>
        <w:t>c</w:t>
      </w:r>
      <w:r w:rsidR="000B4537" w:rsidRPr="000B4537">
        <w:rPr>
          <w:rFonts w:cs="Calibri"/>
        </w:rPr>
        <w:t>oncentration</w:t>
      </w:r>
      <w:r w:rsidR="000B4537">
        <w:rPr>
          <w:rFonts w:cs="Calibri"/>
        </w:rPr>
        <w:t xml:space="preserve"> </w:t>
      </w:r>
      <w:r w:rsidR="000B4537" w:rsidRPr="000B4537">
        <w:rPr>
          <w:rFonts w:cs="Calibri"/>
        </w:rPr>
        <w:t xml:space="preserve">time </w:t>
      </w:r>
      <w:r w:rsidR="000B4537">
        <w:rPr>
          <w:rFonts w:cs="Calibri"/>
        </w:rPr>
        <w:t>c</w:t>
      </w:r>
      <w:r w:rsidR="000B4537" w:rsidRPr="000B4537">
        <w:rPr>
          <w:rFonts w:cs="Calibri"/>
        </w:rPr>
        <w:t xml:space="preserve">urve </w:t>
      </w:r>
      <w:r w:rsidR="000B4537">
        <w:rPr>
          <w:rFonts w:cs="Calibri"/>
        </w:rPr>
        <w:t>f</w:t>
      </w:r>
      <w:r w:rsidR="000B4537" w:rsidRPr="000B4537">
        <w:rPr>
          <w:rFonts w:cs="Calibri"/>
        </w:rPr>
        <w:t xml:space="preserve">rom </w:t>
      </w:r>
      <w:r w:rsidR="000B4537">
        <w:rPr>
          <w:rFonts w:cs="Calibri"/>
        </w:rPr>
        <w:t>t</w:t>
      </w:r>
      <w:r w:rsidR="000B4537" w:rsidRPr="000B4537">
        <w:rPr>
          <w:rFonts w:cs="Calibri"/>
        </w:rPr>
        <w:t xml:space="preserve">ime </w:t>
      </w:r>
      <w:r w:rsidR="000B4537">
        <w:rPr>
          <w:rFonts w:cs="Calibri"/>
        </w:rPr>
        <w:t>z</w:t>
      </w:r>
      <w:r w:rsidR="000B4537" w:rsidRPr="000B4537">
        <w:rPr>
          <w:rFonts w:cs="Calibri"/>
        </w:rPr>
        <w:t xml:space="preserve">ero </w:t>
      </w:r>
      <w:r w:rsidR="000B4537">
        <w:rPr>
          <w:rFonts w:cs="Calibri"/>
        </w:rPr>
        <w:t>t</w:t>
      </w:r>
      <w:r w:rsidR="000B4537" w:rsidRPr="000B4537">
        <w:rPr>
          <w:rFonts w:cs="Calibri"/>
        </w:rPr>
        <w:t xml:space="preserve">o </w:t>
      </w:r>
      <w:r w:rsidR="000B4537">
        <w:rPr>
          <w:rFonts w:cs="Calibri"/>
        </w:rPr>
        <w:t>i</w:t>
      </w:r>
      <w:r w:rsidR="000B4537" w:rsidRPr="000B4537">
        <w:rPr>
          <w:rFonts w:cs="Calibri"/>
        </w:rPr>
        <w:t xml:space="preserve">nfinity </w:t>
      </w:r>
      <w:r w:rsidR="000B4537">
        <w:rPr>
          <w:rFonts w:cs="Calibri"/>
        </w:rPr>
        <w:t>(</w:t>
      </w:r>
      <w:r w:rsidRPr="00DA4A9A">
        <w:rPr>
          <w:rFonts w:cs="Calibri"/>
        </w:rPr>
        <w:t>AUC</w:t>
      </w:r>
      <w:r w:rsidRPr="00DA4A9A">
        <w:rPr>
          <w:rFonts w:cs="Calibri"/>
          <w:vertAlign w:val="subscript"/>
        </w:rPr>
        <w:t>0-∞</w:t>
      </w:r>
      <w:r w:rsidR="000B4537">
        <w:rPr>
          <w:rFonts w:cs="Calibri"/>
        </w:rPr>
        <w:t>).</w:t>
      </w:r>
      <w:r w:rsidRPr="00DA4A9A">
        <w:rPr>
          <w:rFonts w:cs="Calibri"/>
        </w:rPr>
        <w:t xml:space="preserve"> The </w:t>
      </w:r>
      <w:r w:rsidR="000B4537">
        <w:rPr>
          <w:rFonts w:cs="Calibri"/>
        </w:rPr>
        <w:t>maximum concentration (</w:t>
      </w:r>
      <w:proofErr w:type="spellStart"/>
      <w:r w:rsidRPr="00DA4A9A">
        <w:rPr>
          <w:rFonts w:cs="Calibri"/>
        </w:rPr>
        <w:t>C</w:t>
      </w:r>
      <w:r w:rsidRPr="00DA4A9A">
        <w:rPr>
          <w:rFonts w:cs="Calibri"/>
          <w:vertAlign w:val="subscript"/>
        </w:rPr>
        <w:t>max</w:t>
      </w:r>
      <w:proofErr w:type="spellEnd"/>
      <w:r w:rsidR="000B4537">
        <w:rPr>
          <w:rFonts w:cs="Calibri"/>
        </w:rPr>
        <w:t xml:space="preserve">) </w:t>
      </w:r>
      <w:r w:rsidRPr="00DA4A9A">
        <w:rPr>
          <w:rFonts w:cs="Calibri"/>
        </w:rPr>
        <w:t xml:space="preserve">of the oral suspension was estimated to be approximately 87% of the </w:t>
      </w:r>
      <w:proofErr w:type="gramStart"/>
      <w:r w:rsidRPr="00DA4A9A">
        <w:rPr>
          <w:rFonts w:cs="Calibri"/>
        </w:rPr>
        <w:t>first</w:t>
      </w:r>
      <w:r w:rsidR="00C121D6">
        <w:rPr>
          <w:rFonts w:cs="Calibri"/>
        </w:rPr>
        <w:t xml:space="preserve"> </w:t>
      </w:r>
      <w:r w:rsidRPr="00DA4A9A">
        <w:rPr>
          <w:rFonts w:cs="Calibri"/>
        </w:rPr>
        <w:t>generation</w:t>
      </w:r>
      <w:proofErr w:type="gramEnd"/>
      <w:r w:rsidRPr="00DA4A9A">
        <w:rPr>
          <w:rFonts w:cs="Calibri"/>
        </w:rPr>
        <w:t xml:space="preserve"> tablet and 84% of the second</w:t>
      </w:r>
      <w:r w:rsidR="00C121D6">
        <w:rPr>
          <w:rFonts w:cs="Calibri"/>
        </w:rPr>
        <w:t xml:space="preserve"> </w:t>
      </w:r>
      <w:r w:rsidRPr="00DA4A9A">
        <w:rPr>
          <w:rFonts w:cs="Calibri"/>
        </w:rPr>
        <w:t xml:space="preserve">generation tablet formulation. The excursions observed in </w:t>
      </w:r>
      <w:proofErr w:type="spellStart"/>
      <w:r w:rsidRPr="00DA4A9A">
        <w:rPr>
          <w:rFonts w:cs="Calibri"/>
        </w:rPr>
        <w:t>C</w:t>
      </w:r>
      <w:r w:rsidRPr="00DA4A9A">
        <w:rPr>
          <w:rFonts w:cs="Calibri"/>
          <w:vertAlign w:val="subscript"/>
        </w:rPr>
        <w:t>max</w:t>
      </w:r>
      <w:proofErr w:type="spellEnd"/>
      <w:r w:rsidRPr="00DA4A9A">
        <w:rPr>
          <w:rFonts w:cs="Calibri"/>
        </w:rPr>
        <w:t xml:space="preserve"> comparisons beyond the 80 to 125% </w:t>
      </w:r>
      <w:r w:rsidR="000B4537">
        <w:rPr>
          <w:rFonts w:cs="Calibri"/>
        </w:rPr>
        <w:t>confidence interval (</w:t>
      </w:r>
      <w:r w:rsidRPr="00DA4A9A">
        <w:rPr>
          <w:rFonts w:cs="Calibri"/>
        </w:rPr>
        <w:t>CI</w:t>
      </w:r>
      <w:r w:rsidR="000B4537">
        <w:rPr>
          <w:rFonts w:cs="Calibri"/>
        </w:rPr>
        <w:t>)</w:t>
      </w:r>
      <w:r w:rsidRPr="00DA4A9A">
        <w:rPr>
          <w:rFonts w:cs="Calibri"/>
        </w:rPr>
        <w:t xml:space="preserve"> were possibly attributed to intra</w:t>
      </w:r>
      <w:r>
        <w:rPr>
          <w:rFonts w:cs="Calibri"/>
        </w:rPr>
        <w:t>-</w:t>
      </w:r>
      <w:r w:rsidRPr="00DA4A9A">
        <w:rPr>
          <w:rFonts w:cs="Calibri"/>
        </w:rPr>
        <w:t xml:space="preserve">patient variability in </w:t>
      </w:r>
      <w:proofErr w:type="spellStart"/>
      <w:r w:rsidRPr="00DA4A9A">
        <w:rPr>
          <w:rFonts w:cs="Calibri"/>
        </w:rPr>
        <w:t>C</w:t>
      </w:r>
      <w:r w:rsidRPr="00DA4A9A">
        <w:rPr>
          <w:rFonts w:cs="Calibri"/>
          <w:vertAlign w:val="subscript"/>
        </w:rPr>
        <w:t>max</w:t>
      </w:r>
      <w:proofErr w:type="spellEnd"/>
      <w:r w:rsidRPr="00DA4A9A">
        <w:rPr>
          <w:rFonts w:cs="Calibri"/>
        </w:rPr>
        <w:t xml:space="preserve"> (</w:t>
      </w:r>
      <w:r w:rsidRPr="00DA4A9A">
        <w:rPr>
          <w:rFonts w:eastAsiaTheme="minorHAnsi" w:cs="Calibri"/>
        </w:rPr>
        <w:t>within-subject coefficient of variation (</w:t>
      </w:r>
      <w:proofErr w:type="spellStart"/>
      <w:r w:rsidRPr="00DA4A9A">
        <w:rPr>
          <w:rFonts w:cs="Calibri"/>
        </w:rPr>
        <w:t>CV</w:t>
      </w:r>
      <w:r w:rsidRPr="00DA4A9A">
        <w:rPr>
          <w:rFonts w:cs="Calibri"/>
          <w:vertAlign w:val="subscript"/>
        </w:rPr>
        <w:t>wp</w:t>
      </w:r>
      <w:proofErr w:type="spellEnd"/>
      <w:r w:rsidRPr="00DA4A9A">
        <w:rPr>
          <w:rFonts w:cs="Calibri"/>
        </w:rPr>
        <w:t>) = 36%).</w:t>
      </w:r>
    </w:p>
    <w:p w14:paraId="489CE772" w14:textId="471E53F1" w:rsidR="00EC773F" w:rsidRPr="004E669C" w:rsidRDefault="00EC773F" w:rsidP="000B3827">
      <w:pPr>
        <w:pStyle w:val="Heading4"/>
      </w:pPr>
      <w:bookmarkStart w:id="39" w:name="_Hlk81211346"/>
      <w:r w:rsidRPr="000B3827">
        <w:lastRenderedPageBreak/>
        <w:t>Pharmacokinetics</w:t>
      </w:r>
      <w:bookmarkEnd w:id="39"/>
    </w:p>
    <w:p w14:paraId="17161958" w14:textId="71871D30" w:rsidR="00EC773F" w:rsidRPr="00374DF9" w:rsidRDefault="00EC773F" w:rsidP="000B4537">
      <w:pPr>
        <w:rPr>
          <w:rFonts w:asciiTheme="minorHAnsi" w:eastAsiaTheme="minorHAnsi" w:hAnsiTheme="minorHAnsi" w:cs="Calibri"/>
          <w:color w:val="000000"/>
        </w:rPr>
      </w:pPr>
      <w:r w:rsidRPr="009C27CC">
        <w:rPr>
          <w:rFonts w:asciiTheme="minorHAnsi" w:eastAsiaTheme="minorHAnsi" w:hAnsiTheme="minorHAnsi" w:cs="Calibri"/>
          <w:color w:val="000000"/>
        </w:rPr>
        <w:t xml:space="preserve">The conduct of the studies that were provided in support of the current submission was satisfactory, the data analyses undertaken were appropriate and the analytical methods used to measure exposure levels were validated. </w:t>
      </w:r>
      <w:r>
        <w:rPr>
          <w:rFonts w:asciiTheme="minorHAnsi" w:eastAsiaTheme="minorHAnsi" w:hAnsiTheme="minorHAnsi" w:cs="Calibri"/>
          <w:color w:val="000000"/>
        </w:rPr>
        <w:t>The following is a summary of the clinical pharmacology from the clinical and quality perspectives.</w:t>
      </w:r>
    </w:p>
    <w:p w14:paraId="2B4A4AA7" w14:textId="1F1FF0E1" w:rsidR="000B4537" w:rsidRPr="000B4537" w:rsidRDefault="000B4537" w:rsidP="006737A0">
      <w:pPr>
        <w:pStyle w:val="Heading5"/>
        <w:rPr>
          <w:rFonts w:asciiTheme="minorHAnsi" w:eastAsiaTheme="minorHAnsi" w:hAnsiTheme="minorHAnsi"/>
          <w:szCs w:val="20"/>
          <w:lang w:eastAsia="ja-JP"/>
        </w:rPr>
      </w:pPr>
      <w:r w:rsidRPr="000B4537">
        <w:rPr>
          <w:rFonts w:eastAsiaTheme="minorHAnsi"/>
        </w:rPr>
        <w:t xml:space="preserve">Absorption, </w:t>
      </w:r>
      <w:r w:rsidR="00676217">
        <w:rPr>
          <w:rFonts w:eastAsiaTheme="minorHAnsi"/>
        </w:rPr>
        <w:t>d</w:t>
      </w:r>
      <w:r w:rsidRPr="000B4537">
        <w:rPr>
          <w:rFonts w:eastAsiaTheme="minorHAnsi"/>
        </w:rPr>
        <w:t xml:space="preserve">istribution, </w:t>
      </w:r>
      <w:proofErr w:type="gramStart"/>
      <w:r w:rsidR="00676217">
        <w:rPr>
          <w:rFonts w:eastAsiaTheme="minorHAnsi"/>
        </w:rPr>
        <w:t>m</w:t>
      </w:r>
      <w:r w:rsidRPr="000B4537">
        <w:rPr>
          <w:rFonts w:eastAsiaTheme="minorHAnsi"/>
        </w:rPr>
        <w:t>etabolism</w:t>
      </w:r>
      <w:proofErr w:type="gramEnd"/>
      <w:r w:rsidRPr="000B4537">
        <w:rPr>
          <w:rFonts w:eastAsiaTheme="minorHAnsi"/>
        </w:rPr>
        <w:t xml:space="preserve"> and </w:t>
      </w:r>
      <w:r w:rsidR="00676217">
        <w:rPr>
          <w:rFonts w:eastAsiaTheme="minorHAnsi"/>
        </w:rPr>
        <w:t>e</w:t>
      </w:r>
      <w:r w:rsidRPr="000B4537">
        <w:rPr>
          <w:rFonts w:eastAsiaTheme="minorHAnsi"/>
        </w:rPr>
        <w:t>xcretion</w:t>
      </w:r>
    </w:p>
    <w:p w14:paraId="62D80127" w14:textId="712142B8" w:rsidR="00EC773F" w:rsidRPr="00680729" w:rsidRDefault="00EC773F" w:rsidP="00C121D6">
      <w:r w:rsidRPr="00680729">
        <w:t xml:space="preserve">Selinexor for clinical use is formulated as an </w:t>
      </w:r>
      <w:r w:rsidR="000B4537">
        <w:t>immediate release</w:t>
      </w:r>
      <w:r w:rsidRPr="00680729">
        <w:t>, film</w:t>
      </w:r>
      <w:r w:rsidR="000B4537">
        <w:t xml:space="preserve"> </w:t>
      </w:r>
      <w:r w:rsidRPr="00680729">
        <w:t>coated tablet for oral dosing.</w:t>
      </w:r>
    </w:p>
    <w:p w14:paraId="13B12A22" w14:textId="2768ABC6" w:rsidR="00EC773F" w:rsidRPr="00680729" w:rsidRDefault="00EC773F" w:rsidP="00C121D6">
      <w:r w:rsidRPr="00680729">
        <w:t>In patients with solid tumour malignancies administered a 60</w:t>
      </w:r>
      <w:r w:rsidR="00C121D6">
        <w:t> </w:t>
      </w:r>
      <w:r w:rsidRPr="00680729">
        <w:t xml:space="preserve">mg dose of the </w:t>
      </w:r>
      <w:r w:rsidR="00676217">
        <w:t>second tablet formulation (</w:t>
      </w:r>
      <w:r w:rsidR="00C121D6">
        <w:t>TF</w:t>
      </w:r>
      <w:r w:rsidRPr="00680729">
        <w:t>2</w:t>
      </w:r>
      <w:r w:rsidR="00676217">
        <w:t>)</w:t>
      </w:r>
      <w:r w:rsidRPr="00680729">
        <w:t xml:space="preserve"> formulation of </w:t>
      </w:r>
      <w:proofErr w:type="spellStart"/>
      <w:r w:rsidRPr="00680729">
        <w:t>selinexor</w:t>
      </w:r>
      <w:proofErr w:type="spellEnd"/>
      <w:r w:rsidRPr="00680729">
        <w:t xml:space="preserve"> </w:t>
      </w:r>
      <w:r w:rsidR="00920EA0">
        <w:t>twice weekly</w:t>
      </w:r>
      <w:r w:rsidRPr="00680729">
        <w:t xml:space="preserve"> for 3 weeks, the median </w:t>
      </w:r>
      <w:proofErr w:type="spellStart"/>
      <w:r w:rsidRPr="00680729">
        <w:t>selinexor</w:t>
      </w:r>
      <w:proofErr w:type="spellEnd"/>
      <w:r w:rsidRPr="00680729">
        <w:t xml:space="preserve"> </w:t>
      </w:r>
      <w:proofErr w:type="spellStart"/>
      <w:r w:rsidRPr="00680729">
        <w:t>T</w:t>
      </w:r>
      <w:r w:rsidRPr="00920EA0">
        <w:rPr>
          <w:vertAlign w:val="subscript"/>
        </w:rPr>
        <w:t>max</w:t>
      </w:r>
      <w:proofErr w:type="spellEnd"/>
      <w:r w:rsidRPr="00680729">
        <w:t xml:space="preserve"> was 3</w:t>
      </w:r>
      <w:r w:rsidR="00C121D6">
        <w:t> </w:t>
      </w:r>
      <w:r w:rsidRPr="00680729">
        <w:t>h</w:t>
      </w:r>
      <w:r w:rsidR="00920EA0">
        <w:t>our</w:t>
      </w:r>
      <w:r w:rsidRPr="00680729">
        <w:t xml:space="preserve"> and the K</w:t>
      </w:r>
      <w:r w:rsidRPr="00680729">
        <w:rPr>
          <w:vertAlign w:val="subscript"/>
        </w:rPr>
        <w:t>a</w:t>
      </w:r>
      <w:r w:rsidRPr="00680729">
        <w:t xml:space="preserve"> for </w:t>
      </w:r>
      <w:proofErr w:type="spellStart"/>
      <w:r w:rsidRPr="00680729">
        <w:t>selinexor</w:t>
      </w:r>
      <w:proofErr w:type="spellEnd"/>
      <w:r w:rsidRPr="00680729">
        <w:t xml:space="preserve"> in patients with cancer was 1.03 L/h.</w:t>
      </w:r>
    </w:p>
    <w:p w14:paraId="2FFD8BDE" w14:textId="15606FE6" w:rsidR="00EC773F" w:rsidRPr="00680729" w:rsidRDefault="00EC773F" w:rsidP="00C121D6">
      <w:r w:rsidRPr="00680729">
        <w:t xml:space="preserve">The absolute </w:t>
      </w:r>
      <w:r w:rsidR="00920EA0">
        <w:t>b</w:t>
      </w:r>
      <w:r w:rsidR="00920EA0" w:rsidRPr="00920EA0">
        <w:t>ioavailability</w:t>
      </w:r>
      <w:r w:rsidRPr="00680729">
        <w:t xml:space="preserve"> of </w:t>
      </w:r>
      <w:proofErr w:type="spellStart"/>
      <w:r w:rsidRPr="00680729">
        <w:t>selinexor</w:t>
      </w:r>
      <w:proofErr w:type="spellEnd"/>
      <w:r w:rsidRPr="00680729">
        <w:t xml:space="preserve"> in humans is unknown, </w:t>
      </w:r>
      <w:proofErr w:type="gramStart"/>
      <w:r w:rsidRPr="00680729">
        <w:t>whereas,</w:t>
      </w:r>
      <w:proofErr w:type="gramEnd"/>
      <w:r w:rsidRPr="00680729">
        <w:t xml:space="preserve"> the relative </w:t>
      </w:r>
      <w:r w:rsidR="00920EA0">
        <w:t>b</w:t>
      </w:r>
      <w:r w:rsidR="00920EA0" w:rsidRPr="00920EA0">
        <w:t>ioavailability</w:t>
      </w:r>
      <w:r w:rsidRPr="00680729">
        <w:t xml:space="preserve"> between the </w:t>
      </w:r>
      <w:r w:rsidR="00676217">
        <w:t>second generation (</w:t>
      </w:r>
      <w:r w:rsidRPr="00680729">
        <w:t>TF2</w:t>
      </w:r>
      <w:r w:rsidR="00676217">
        <w:t>)</w:t>
      </w:r>
      <w:r w:rsidRPr="00680729">
        <w:t xml:space="preserve"> tablet formulation </w:t>
      </w:r>
      <w:r w:rsidR="00676217">
        <w:t xml:space="preserve">(the final commercial product) </w:t>
      </w:r>
      <w:r w:rsidRPr="00680729">
        <w:t>and an oral suspension is functionally equivalent.</w:t>
      </w:r>
      <w:r w:rsidR="00C121D6">
        <w:t xml:space="preserve"> </w:t>
      </w:r>
      <w:r w:rsidR="00676217">
        <w:t xml:space="preserve">The </w:t>
      </w:r>
      <w:proofErr w:type="gramStart"/>
      <w:r w:rsidR="00676217">
        <w:t>first generation</w:t>
      </w:r>
      <w:proofErr w:type="gramEnd"/>
      <w:r w:rsidR="00676217">
        <w:t xml:space="preserve"> tablet (</w:t>
      </w:r>
      <w:r w:rsidRPr="00680729">
        <w:t>TF1</w:t>
      </w:r>
      <w:r w:rsidR="00676217">
        <w:t>)</w:t>
      </w:r>
      <w:r w:rsidRPr="00680729">
        <w:t xml:space="preserve"> and capsule formulations can be considered to be functionally </w:t>
      </w:r>
      <w:r w:rsidR="00920EA0" w:rsidRPr="00920EA0">
        <w:t>bioequivalence</w:t>
      </w:r>
      <w:r w:rsidRPr="00680729">
        <w:t>, as can be the oral suspension and the TF1 and TF2 tablet formulations.</w:t>
      </w:r>
    </w:p>
    <w:p w14:paraId="2CEB800B" w14:textId="466DD3E4" w:rsidR="00EC773F" w:rsidRPr="00680729" w:rsidRDefault="00EC773F" w:rsidP="00C121D6">
      <w:r w:rsidRPr="00680729">
        <w:t>AUC</w:t>
      </w:r>
      <w:r w:rsidRPr="00680729">
        <w:rPr>
          <w:vertAlign w:val="subscript"/>
        </w:rPr>
        <w:t>0-∞</w:t>
      </w:r>
      <w:r w:rsidRPr="00680729">
        <w:t>, AUC</w:t>
      </w:r>
      <w:r w:rsidRPr="00680729">
        <w:rPr>
          <w:vertAlign w:val="subscript"/>
        </w:rPr>
        <w:t>0-t</w:t>
      </w:r>
      <w:r w:rsidRPr="00680729">
        <w:t xml:space="preserve">, and </w:t>
      </w:r>
      <w:proofErr w:type="spellStart"/>
      <w:r w:rsidRPr="00680729">
        <w:t>C</w:t>
      </w:r>
      <w:r w:rsidRPr="00680729">
        <w:rPr>
          <w:vertAlign w:val="subscript"/>
        </w:rPr>
        <w:t>max</w:t>
      </w:r>
      <w:proofErr w:type="spellEnd"/>
      <w:r w:rsidRPr="00680729">
        <w:t xml:space="preserve"> in fed patients (high and </w:t>
      </w:r>
      <w:proofErr w:type="gramStart"/>
      <w:r w:rsidRPr="00680729">
        <w:t>low</w:t>
      </w:r>
      <w:r w:rsidR="00C121D6">
        <w:t xml:space="preserve"> </w:t>
      </w:r>
      <w:r w:rsidRPr="00680729">
        <w:t>fat</w:t>
      </w:r>
      <w:proofErr w:type="gramEnd"/>
      <w:r w:rsidRPr="00680729">
        <w:t xml:space="preserve"> meal) showed an approximate 15 to 25% increase compared to the fasted state. </w:t>
      </w:r>
      <w:proofErr w:type="spellStart"/>
      <w:r w:rsidRPr="00680729">
        <w:t>T</w:t>
      </w:r>
      <w:r w:rsidRPr="00680729">
        <w:rPr>
          <w:vertAlign w:val="subscript"/>
        </w:rPr>
        <w:t>max</w:t>
      </w:r>
      <w:proofErr w:type="spellEnd"/>
      <w:r w:rsidRPr="00680729">
        <w:t xml:space="preserve"> increased from 1.5 hours (fasted) to 3.4 to 3.8 hours (fed). The fat or caloric content of the meal did not impact </w:t>
      </w:r>
      <w:r w:rsidR="00C121D6">
        <w:rPr>
          <w:rFonts w:cs="Calibri"/>
        </w:rPr>
        <w:t>area under concentration time curve (</w:t>
      </w:r>
      <w:r w:rsidRPr="00680729">
        <w:t>AUC</w:t>
      </w:r>
      <w:r w:rsidR="00C121D6">
        <w:t>)</w:t>
      </w:r>
      <w:r w:rsidRPr="00680729">
        <w:t xml:space="preserve"> but the ratio for </w:t>
      </w:r>
      <w:proofErr w:type="spellStart"/>
      <w:r w:rsidRPr="00680729">
        <w:t>C</w:t>
      </w:r>
      <w:r w:rsidRPr="00680729">
        <w:rPr>
          <w:vertAlign w:val="subscript"/>
        </w:rPr>
        <w:t>max</w:t>
      </w:r>
      <w:proofErr w:type="spellEnd"/>
      <w:r w:rsidRPr="00680729">
        <w:t xml:space="preserve"> for the high fat</w:t>
      </w:r>
      <w:r w:rsidR="00676217">
        <w:t xml:space="preserve"> to </w:t>
      </w:r>
      <w:r w:rsidRPr="00680729">
        <w:t xml:space="preserve">low fat meal fell outside of the usually accepted 80 to 125% CI (90% CI: 71.5 </w:t>
      </w:r>
      <w:r w:rsidR="00C121D6">
        <w:t>to</w:t>
      </w:r>
      <w:r w:rsidRPr="00680729">
        <w:t xml:space="preserve"> 116.7). There was no meaningful difference between the tablet and capsule preparations for the exposure parameters and </w:t>
      </w:r>
      <w:proofErr w:type="spellStart"/>
      <w:r w:rsidRPr="00680729">
        <w:t>C</w:t>
      </w:r>
      <w:r w:rsidRPr="00680729">
        <w:rPr>
          <w:vertAlign w:val="subscript"/>
        </w:rPr>
        <w:t>max</w:t>
      </w:r>
      <w:proofErr w:type="spellEnd"/>
      <w:r w:rsidRPr="00680729">
        <w:t xml:space="preserve">. The evaluator found the differences in </w:t>
      </w:r>
      <w:proofErr w:type="spellStart"/>
      <w:r w:rsidRPr="00680729">
        <w:t>selinexor</w:t>
      </w:r>
      <w:proofErr w:type="spellEnd"/>
      <w:r w:rsidRPr="00680729">
        <w:t xml:space="preserve"> exposure under fed and fasted conditions is unlikely to be clinically relevant.</w:t>
      </w:r>
    </w:p>
    <w:p w14:paraId="3542EDFD" w14:textId="2DA88719" w:rsidR="00EC773F" w:rsidRPr="00C121D6" w:rsidRDefault="00EC773F" w:rsidP="00C121D6">
      <w:pPr>
        <w:rPr>
          <w:rFonts w:ascii="Calibri" w:hAnsi="Calibri"/>
        </w:rPr>
      </w:pPr>
      <w:r w:rsidRPr="00680729">
        <w:t>Selinexor AUC</w:t>
      </w:r>
      <w:r w:rsidRPr="00680729">
        <w:rPr>
          <w:sz w:val="14"/>
          <w:szCs w:val="14"/>
        </w:rPr>
        <w:t xml:space="preserve">0-inf </w:t>
      </w:r>
      <w:r w:rsidRPr="00680729">
        <w:t xml:space="preserve">and </w:t>
      </w:r>
      <w:proofErr w:type="spellStart"/>
      <w:r w:rsidRPr="00680729">
        <w:t>C</w:t>
      </w:r>
      <w:r w:rsidRPr="00680729">
        <w:rPr>
          <w:vertAlign w:val="subscript"/>
        </w:rPr>
        <w:t>max</w:t>
      </w:r>
      <w:proofErr w:type="spellEnd"/>
      <w:r w:rsidRPr="00680729">
        <w:t xml:space="preserve"> values were approximately dose proportional across the dose range of 3 to 80 mg/m</w:t>
      </w:r>
      <w:r w:rsidR="00C121D6" w:rsidRPr="00C121D6">
        <w:rPr>
          <w:vertAlign w:val="superscript"/>
        </w:rPr>
        <w:t>2</w:t>
      </w:r>
      <w:r w:rsidRPr="00680729">
        <w:rPr>
          <w:sz w:val="14"/>
          <w:szCs w:val="14"/>
        </w:rPr>
        <w:t xml:space="preserve"> </w:t>
      </w:r>
      <w:r w:rsidRPr="00680729">
        <w:t>and 3 to 85 mg/m</w:t>
      </w:r>
      <w:r w:rsidRPr="00C121D6">
        <w:rPr>
          <w:vertAlign w:val="superscript"/>
        </w:rPr>
        <w:t>2</w:t>
      </w:r>
      <w:r w:rsidRPr="00680729">
        <w:rPr>
          <w:sz w:val="14"/>
          <w:szCs w:val="14"/>
        </w:rPr>
        <w:t xml:space="preserve"> </w:t>
      </w:r>
      <w:r w:rsidRPr="00680729">
        <w:t>in patients with haematological malignancies and advanced or metastatic solid tumours, respectively.</w:t>
      </w:r>
      <w:r w:rsidR="00C121D6">
        <w:rPr>
          <w:rFonts w:ascii="Calibri" w:hAnsi="Calibri"/>
        </w:rPr>
        <w:t xml:space="preserve"> </w:t>
      </w:r>
      <w:r w:rsidRPr="00680729">
        <w:t xml:space="preserve">There was no evidence of substantial plasma </w:t>
      </w:r>
      <w:proofErr w:type="spellStart"/>
      <w:r w:rsidRPr="00680729">
        <w:t>selinexor</w:t>
      </w:r>
      <w:proofErr w:type="spellEnd"/>
      <w:r w:rsidRPr="00680729">
        <w:t xml:space="preserve"> accumulation following single and multiple doses of </w:t>
      </w:r>
      <w:proofErr w:type="spellStart"/>
      <w:r w:rsidRPr="00680729">
        <w:t>selinexor</w:t>
      </w:r>
      <w:proofErr w:type="spellEnd"/>
      <w:r w:rsidRPr="00680729">
        <w:t>.</w:t>
      </w:r>
    </w:p>
    <w:p w14:paraId="1E1DD780" w14:textId="7E66A106" w:rsidR="00EC773F" w:rsidRPr="00680729" w:rsidRDefault="00EC773F" w:rsidP="00C121D6">
      <w:r w:rsidRPr="00680729">
        <w:t xml:space="preserve">The </w:t>
      </w:r>
      <w:r w:rsidR="00BA747C" w:rsidRPr="00BA747C">
        <w:t>apparent volume of distribution/bioavailability</w:t>
      </w:r>
      <w:r w:rsidRPr="00680729">
        <w:t xml:space="preserve"> for patients with cancer was 125 L.</w:t>
      </w:r>
      <w:r w:rsidR="00C121D6">
        <w:t xml:space="preserve"> </w:t>
      </w:r>
      <w:r w:rsidRPr="00680729">
        <w:t xml:space="preserve">Human plasma protein binding of </w:t>
      </w:r>
      <w:proofErr w:type="spellStart"/>
      <w:r w:rsidRPr="00680729">
        <w:t>selinexor</w:t>
      </w:r>
      <w:proofErr w:type="spellEnd"/>
      <w:r w:rsidRPr="00680729">
        <w:t xml:space="preserve"> is 95% and is not concentration dependent.</w:t>
      </w:r>
      <w:r w:rsidR="00C121D6">
        <w:t xml:space="preserve"> </w:t>
      </w:r>
      <w:r w:rsidRPr="00680729">
        <w:t xml:space="preserve">The blood plasma ratio was less than </w:t>
      </w:r>
      <w:r w:rsidR="00676217">
        <w:t>one</w:t>
      </w:r>
      <w:r w:rsidRPr="00680729">
        <w:t>, suggesting minimal association with red blood cells.</w:t>
      </w:r>
    </w:p>
    <w:p w14:paraId="79E0FCBF" w14:textId="67BEC3EB" w:rsidR="00EC773F" w:rsidRPr="00680729" w:rsidRDefault="00EC773F" w:rsidP="00C121D6">
      <w:r w:rsidRPr="00680729">
        <w:t xml:space="preserve">Two isomers of </w:t>
      </w:r>
      <w:proofErr w:type="spellStart"/>
      <w:r w:rsidRPr="00680729">
        <w:t>selinexor</w:t>
      </w:r>
      <w:proofErr w:type="spellEnd"/>
      <w:r w:rsidRPr="00680729">
        <w:t xml:space="preserve"> exist in the circulation; the parent compound and KPT-375, which represents &lt;</w:t>
      </w:r>
      <w:r w:rsidR="00BA747C">
        <w:t> </w:t>
      </w:r>
      <w:r w:rsidRPr="00680729">
        <w:t xml:space="preserve">5% of the circulating drug levels and has approximately 10% of the XPO1 inhibiting activity of </w:t>
      </w:r>
      <w:proofErr w:type="spellStart"/>
      <w:r w:rsidRPr="00680729">
        <w:t>selinexor</w:t>
      </w:r>
      <w:proofErr w:type="spellEnd"/>
      <w:r w:rsidRPr="00680729">
        <w:t>.</w:t>
      </w:r>
    </w:p>
    <w:p w14:paraId="474D34E1" w14:textId="1C6F07E8" w:rsidR="00EC773F" w:rsidRPr="00680729" w:rsidRDefault="00EC773F" w:rsidP="00C121D6">
      <w:r w:rsidRPr="00680729">
        <w:t>Selinexor undergoes only limited metabolism, which was catalysed by CYP3A4 and multiple UGTs.</w:t>
      </w:r>
    </w:p>
    <w:p w14:paraId="2D616BBF" w14:textId="21B4D8AA" w:rsidR="00EC773F" w:rsidRPr="00BA747C" w:rsidRDefault="00EC773F" w:rsidP="00C121D6">
      <w:r w:rsidRPr="00680729">
        <w:t xml:space="preserve">No mass balance study has been undertaken in humans; however, </w:t>
      </w:r>
      <w:proofErr w:type="spellStart"/>
      <w:r w:rsidRPr="00680729">
        <w:t>selinexor</w:t>
      </w:r>
      <w:proofErr w:type="spellEnd"/>
      <w:r w:rsidRPr="00680729">
        <w:t xml:space="preserve"> concentrations were approximately 2-fold higher in faeces than in urine. In addition, urinary concentrations of KPT-375 were generally low, ranging from 5% to 18% of parent drug, whereas, in faeces, KPT-375 concentrations were approximately 3.1-fold higher at the </w:t>
      </w:r>
      <w:proofErr w:type="gramStart"/>
      <w:r w:rsidRPr="00680729">
        <w:t xml:space="preserve">0 </w:t>
      </w:r>
      <w:r w:rsidR="00BA747C">
        <w:t>to</w:t>
      </w:r>
      <w:r w:rsidRPr="00680729">
        <w:t xml:space="preserve"> 4 h</w:t>
      </w:r>
      <w:r w:rsidR="00BA747C">
        <w:t>our</w:t>
      </w:r>
      <w:proofErr w:type="gramEnd"/>
      <w:r w:rsidRPr="00680729">
        <w:t xml:space="preserve"> collection point. The </w:t>
      </w:r>
      <w:r w:rsidR="00676217">
        <w:t>apparent oral clearance (</w:t>
      </w:r>
      <w:r w:rsidRPr="00680729">
        <w:t>CL/F</w:t>
      </w:r>
      <w:r w:rsidR="00676217">
        <w:t>)</w:t>
      </w:r>
      <w:r w:rsidRPr="00680729">
        <w:t xml:space="preserve"> of </w:t>
      </w:r>
      <w:proofErr w:type="spellStart"/>
      <w:r w:rsidRPr="00680729">
        <w:t>selinexor</w:t>
      </w:r>
      <w:proofErr w:type="spellEnd"/>
      <w:r w:rsidRPr="00680729">
        <w:t xml:space="preserve"> was 17.7</w:t>
      </w:r>
      <w:r w:rsidR="00676217">
        <w:t> </w:t>
      </w:r>
      <w:r w:rsidRPr="00680729">
        <w:t xml:space="preserve">L/h and the values for mean CL/F and </w:t>
      </w:r>
      <w:proofErr w:type="spellStart"/>
      <w:r w:rsidR="00C121D6">
        <w:t>half life</w:t>
      </w:r>
      <w:proofErr w:type="spellEnd"/>
      <w:r w:rsidR="00C121D6">
        <w:t xml:space="preserve"> </w:t>
      </w:r>
      <w:r w:rsidR="00C121D6" w:rsidRPr="00C121D6">
        <w:t>(</w:t>
      </w:r>
      <w:r w:rsidRPr="00C121D6">
        <w:t>t</w:t>
      </w:r>
      <w:r w:rsidRPr="00C121D6">
        <w:rPr>
          <w:vertAlign w:val="subscript"/>
        </w:rPr>
        <w:t>1/2</w:t>
      </w:r>
      <w:r w:rsidR="00C121D6" w:rsidRPr="00C121D6">
        <w:t>)</w:t>
      </w:r>
      <w:r w:rsidR="00676217">
        <w:t xml:space="preserve"> </w:t>
      </w:r>
      <w:r w:rsidRPr="00C121D6">
        <w:t>f</w:t>
      </w:r>
      <w:r w:rsidRPr="00680729">
        <w:t xml:space="preserve">ollowing a 60 mg </w:t>
      </w:r>
      <w:r w:rsidR="00BA747C">
        <w:t>twice weekly</w:t>
      </w:r>
      <w:r w:rsidRPr="00680729">
        <w:t xml:space="preserve"> dose of the TF2 tablet </w:t>
      </w:r>
      <w:r w:rsidR="00676217">
        <w:t xml:space="preserve">(as proposed in this submission) </w:t>
      </w:r>
      <w:r w:rsidRPr="00680729">
        <w:t>were 0.20</w:t>
      </w:r>
      <w:r w:rsidR="00AB5567">
        <w:t> </w:t>
      </w:r>
      <w:r w:rsidRPr="00680729">
        <w:t>L/h/kg and 6.6 h</w:t>
      </w:r>
      <w:r w:rsidR="00BA747C">
        <w:t>our</w:t>
      </w:r>
      <w:r w:rsidRPr="00680729">
        <w:t>, respectively.</w:t>
      </w:r>
    </w:p>
    <w:p w14:paraId="0D6F50BC" w14:textId="77777777" w:rsidR="00EC773F" w:rsidRPr="009C27CC" w:rsidRDefault="00EC773F" w:rsidP="00BA747C">
      <w:pPr>
        <w:pStyle w:val="Heading4"/>
      </w:pPr>
      <w:r>
        <w:lastRenderedPageBreak/>
        <w:t>Population pharmacokinetics</w:t>
      </w:r>
    </w:p>
    <w:p w14:paraId="027907AE" w14:textId="29E1EA39" w:rsidR="00EC773F" w:rsidRPr="009970D3" w:rsidRDefault="00EC773F" w:rsidP="00AB5567">
      <w:r w:rsidRPr="009970D3">
        <w:t xml:space="preserve">In patients with </w:t>
      </w:r>
      <w:r w:rsidR="009B0C6F" w:rsidRPr="009B0C6F">
        <w:t>acute myeloid leuk</w:t>
      </w:r>
      <w:r w:rsidR="00676217">
        <w:t>a</w:t>
      </w:r>
      <w:r w:rsidR="009B0C6F" w:rsidRPr="009B0C6F">
        <w:t>emia</w:t>
      </w:r>
      <w:r w:rsidR="00DE0361">
        <w:t xml:space="preserve"> (AML)</w:t>
      </w:r>
      <w:r w:rsidRPr="009970D3">
        <w:t xml:space="preserve">, </w:t>
      </w:r>
      <w:r w:rsidR="00676217">
        <w:t>d</w:t>
      </w:r>
      <w:r w:rsidR="00676217" w:rsidRPr="00676217">
        <w:t>iffuse large B cell lymphoma</w:t>
      </w:r>
      <w:r w:rsidR="00676217">
        <w:t xml:space="preserve"> (</w:t>
      </w:r>
      <w:r w:rsidRPr="009970D3">
        <w:t>DLBCL</w:t>
      </w:r>
      <w:r w:rsidR="00676217">
        <w:t>)</w:t>
      </w:r>
      <w:r w:rsidRPr="009970D3">
        <w:t xml:space="preserve">, </w:t>
      </w:r>
      <w:r w:rsidR="009B0C6F" w:rsidRPr="000823B9">
        <w:rPr>
          <w:color w:val="000000"/>
        </w:rPr>
        <w:t>multiple myeloma</w:t>
      </w:r>
      <w:r w:rsidRPr="009970D3">
        <w:t xml:space="preserve"> and other haematologic or solid cancers, </w:t>
      </w:r>
      <w:proofErr w:type="spellStart"/>
      <w:r w:rsidRPr="009970D3">
        <w:t>selinexor</w:t>
      </w:r>
      <w:proofErr w:type="spellEnd"/>
      <w:r w:rsidRPr="009970D3">
        <w:t xml:space="preserve"> </w:t>
      </w:r>
      <w:r w:rsidR="00BA747C">
        <w:t>pharmacokinetics</w:t>
      </w:r>
      <w:r w:rsidRPr="009970D3">
        <w:t xml:space="preserve"> was described by a </w:t>
      </w:r>
      <w:proofErr w:type="gramStart"/>
      <w:r w:rsidR="00BA747C">
        <w:t>two</w:t>
      </w:r>
      <w:r w:rsidRPr="009970D3">
        <w:t xml:space="preserve"> compartment</w:t>
      </w:r>
      <w:proofErr w:type="gramEnd"/>
      <w:r w:rsidRPr="009970D3">
        <w:t xml:space="preserve"> linear elimination model. Absorption of </w:t>
      </w:r>
      <w:proofErr w:type="spellStart"/>
      <w:r w:rsidRPr="009970D3">
        <w:t>selinexor</w:t>
      </w:r>
      <w:proofErr w:type="spellEnd"/>
      <w:r w:rsidRPr="009970D3">
        <w:t xml:space="preserve"> was modelled as zero-order release of the drug followed by a first-order absorption into the central compartment. The model was parameterised in terms of </w:t>
      </w:r>
      <w:r w:rsidR="00044B9A" w:rsidRPr="00044B9A">
        <w:t xml:space="preserve">apparent </w:t>
      </w:r>
      <w:r w:rsidR="00C121D6">
        <w:rPr>
          <w:color w:val="000000"/>
        </w:rPr>
        <w:t>oral</w:t>
      </w:r>
      <w:r w:rsidR="00C121D6" w:rsidRPr="0081556B">
        <w:rPr>
          <w:color w:val="000000"/>
        </w:rPr>
        <w:t xml:space="preserve"> clearance </w:t>
      </w:r>
      <w:r w:rsidR="00044B9A">
        <w:t>(</w:t>
      </w:r>
      <w:r w:rsidRPr="009970D3">
        <w:t>CL/F</w:t>
      </w:r>
      <w:r w:rsidR="00044B9A">
        <w:t>)</w:t>
      </w:r>
      <w:r w:rsidRPr="009970D3">
        <w:t xml:space="preserve">, </w:t>
      </w:r>
      <w:r w:rsidR="009B0C6F" w:rsidRPr="009B0C6F">
        <w:t>apparent central volume</w:t>
      </w:r>
      <w:r w:rsidR="009B0C6F">
        <w:t xml:space="preserve"> </w:t>
      </w:r>
      <w:r w:rsidR="00AB5567">
        <w:t>(</w:t>
      </w:r>
      <w:proofErr w:type="spellStart"/>
      <w:r w:rsidRPr="009970D3">
        <w:t>Vc</w:t>
      </w:r>
      <w:proofErr w:type="spellEnd"/>
      <w:r w:rsidRPr="009970D3">
        <w:t>/F</w:t>
      </w:r>
      <w:r w:rsidR="00AB5567">
        <w:t>)</w:t>
      </w:r>
      <w:r w:rsidRPr="009970D3">
        <w:t xml:space="preserve">, </w:t>
      </w:r>
      <w:r w:rsidR="009B0C6F" w:rsidRPr="009B0C6F">
        <w:t xml:space="preserve">apparent intercompartmental clearance </w:t>
      </w:r>
      <w:r w:rsidR="009B0C6F">
        <w:t>(</w:t>
      </w:r>
      <w:r w:rsidRPr="009970D3">
        <w:t>Q/F</w:t>
      </w:r>
      <w:r w:rsidR="009B0C6F">
        <w:t>)</w:t>
      </w:r>
      <w:r w:rsidRPr="009970D3">
        <w:t xml:space="preserve">, </w:t>
      </w:r>
      <w:r w:rsidR="009B0C6F" w:rsidRPr="009B0C6F">
        <w:t xml:space="preserve">apparent peripheral volume </w:t>
      </w:r>
      <w:r w:rsidR="009B0C6F">
        <w:t>(</w:t>
      </w:r>
      <w:proofErr w:type="spellStart"/>
      <w:r w:rsidRPr="009970D3">
        <w:t>Vp</w:t>
      </w:r>
      <w:proofErr w:type="spellEnd"/>
      <w:r w:rsidRPr="009970D3">
        <w:t>/F</w:t>
      </w:r>
      <w:r w:rsidR="009B0C6F">
        <w:t>)</w:t>
      </w:r>
      <w:r w:rsidRPr="009970D3">
        <w:t xml:space="preserve">, D1 and </w:t>
      </w:r>
      <w:r w:rsidR="009B0C6F" w:rsidRPr="009B0C6F">
        <w:t xml:space="preserve">absorption rate constant </w:t>
      </w:r>
      <w:r w:rsidR="009B0C6F">
        <w:t>(</w:t>
      </w:r>
      <w:r w:rsidRPr="009970D3">
        <w:t>K</w:t>
      </w:r>
      <w:r w:rsidRPr="009970D3">
        <w:rPr>
          <w:vertAlign w:val="subscript"/>
        </w:rPr>
        <w:t>a</w:t>
      </w:r>
      <w:r w:rsidR="009B0C6F">
        <w:t>).</w:t>
      </w:r>
    </w:p>
    <w:p w14:paraId="78284758" w14:textId="007A43AC" w:rsidR="00EC773F" w:rsidRPr="009970D3" w:rsidRDefault="00EC773F" w:rsidP="00AB5567">
      <w:r w:rsidRPr="009970D3">
        <w:t xml:space="preserve">Inter-individual variation on </w:t>
      </w:r>
      <w:proofErr w:type="spellStart"/>
      <w:r w:rsidRPr="009970D3">
        <w:t>selinexor</w:t>
      </w:r>
      <w:proofErr w:type="spellEnd"/>
      <w:r w:rsidRPr="009970D3">
        <w:t xml:space="preserve"> </w:t>
      </w:r>
      <w:proofErr w:type="spellStart"/>
      <w:r w:rsidRPr="009970D3">
        <w:t>C</w:t>
      </w:r>
      <w:r w:rsidRPr="009970D3">
        <w:rPr>
          <w:vertAlign w:val="subscript"/>
        </w:rPr>
        <w:t>max</w:t>
      </w:r>
      <w:proofErr w:type="spellEnd"/>
      <w:r w:rsidRPr="009970D3">
        <w:t xml:space="preserve"> and AUC ranged from 27% to 31% and intra-patient variability was &lt;</w:t>
      </w:r>
      <w:r w:rsidR="00D6181B">
        <w:t xml:space="preserve"> </w:t>
      </w:r>
      <w:r w:rsidRPr="009970D3">
        <w:t xml:space="preserve">6.6% and 36%, respectively. Estimates of the </w:t>
      </w:r>
      <w:r w:rsidR="009B0C6F">
        <w:t>i</w:t>
      </w:r>
      <w:r w:rsidR="009B0C6F" w:rsidRPr="009970D3">
        <w:t>nter-individual variation</w:t>
      </w:r>
      <w:r w:rsidRPr="009970D3">
        <w:t xml:space="preserve"> on CL/F and K</w:t>
      </w:r>
      <w:r w:rsidRPr="009970D3">
        <w:rPr>
          <w:vertAlign w:val="subscript"/>
        </w:rPr>
        <w:t>a</w:t>
      </w:r>
      <w:r w:rsidRPr="009970D3">
        <w:t xml:space="preserve"> were 15.7% and 124.9%, respectively.</w:t>
      </w:r>
    </w:p>
    <w:p w14:paraId="6226A23A" w14:textId="30950476" w:rsidR="00EC773F" w:rsidRPr="00044B9A" w:rsidRDefault="00EC773F" w:rsidP="00AB5567">
      <w:r w:rsidRPr="009970D3">
        <w:t>Pop</w:t>
      </w:r>
      <w:r w:rsidR="00AB5567">
        <w:t>ulation pharmacokinetics</w:t>
      </w:r>
      <w:r w:rsidRPr="009970D3">
        <w:t xml:space="preserve"> analyses indicated that hepatic- and renal impairment, age, </w:t>
      </w:r>
      <w:proofErr w:type="gramStart"/>
      <w:r w:rsidRPr="009970D3">
        <w:t>gender</w:t>
      </w:r>
      <w:proofErr w:type="gramEnd"/>
      <w:r w:rsidRPr="009970D3">
        <w:t xml:space="preserve"> and body weight were unlikely to have clinically relevant effects on </w:t>
      </w:r>
      <w:proofErr w:type="spellStart"/>
      <w:r w:rsidRPr="009970D3">
        <w:t>selinexor</w:t>
      </w:r>
      <w:proofErr w:type="spellEnd"/>
      <w:r w:rsidRPr="009970D3">
        <w:t xml:space="preserve"> </w:t>
      </w:r>
      <w:r>
        <w:t>pharmacokinetics</w:t>
      </w:r>
      <w:r w:rsidRPr="009970D3">
        <w:t>.</w:t>
      </w:r>
    </w:p>
    <w:p w14:paraId="7F2A7038" w14:textId="77777777" w:rsidR="00EC773F" w:rsidRPr="009C27CC" w:rsidRDefault="00EC773F" w:rsidP="00044B9A">
      <w:pPr>
        <w:pStyle w:val="Heading4"/>
      </w:pPr>
      <w:r>
        <w:t>Drug-drug interactions</w:t>
      </w:r>
    </w:p>
    <w:p w14:paraId="5CFD4261" w14:textId="31E8B126" w:rsidR="00EC773F" w:rsidRPr="00DE06B1" w:rsidRDefault="00EC773F" w:rsidP="009B0C6F">
      <w:r w:rsidRPr="00DE06B1">
        <w:t xml:space="preserve">Paracetamol had no apparent effect on </w:t>
      </w:r>
      <w:proofErr w:type="spellStart"/>
      <w:r w:rsidRPr="00DE06B1">
        <w:t>selinexor</w:t>
      </w:r>
      <w:proofErr w:type="spellEnd"/>
      <w:r w:rsidRPr="00DE06B1">
        <w:t xml:space="preserve"> exposure.</w:t>
      </w:r>
      <w:r w:rsidR="009B0C6F">
        <w:t xml:space="preserve"> </w:t>
      </w:r>
      <w:r w:rsidRPr="00DE06B1">
        <w:t xml:space="preserve">No clinically significant </w:t>
      </w:r>
      <w:r w:rsidR="009B0C6F">
        <w:t>drug</w:t>
      </w:r>
      <w:r w:rsidR="00CB46F3">
        <w:noBreakHyphen/>
      </w:r>
      <w:r w:rsidR="009B0C6F">
        <w:t>drug interactions</w:t>
      </w:r>
      <w:r w:rsidRPr="00DE06B1">
        <w:t xml:space="preserve"> were reported in &gt;</w:t>
      </w:r>
      <w:r w:rsidR="009B0C6F">
        <w:t xml:space="preserve"> </w:t>
      </w:r>
      <w:r w:rsidRPr="00DE06B1">
        <w:t xml:space="preserve">3200 patients treated with </w:t>
      </w:r>
      <w:proofErr w:type="spellStart"/>
      <w:r w:rsidRPr="00DE06B1">
        <w:t>selinexor</w:t>
      </w:r>
      <w:proofErr w:type="spellEnd"/>
      <w:r w:rsidRPr="00DE06B1">
        <w:t xml:space="preserve"> alone or in combination with other drugs.</w:t>
      </w:r>
    </w:p>
    <w:p w14:paraId="7AE86AA3" w14:textId="6A57C0BC" w:rsidR="00EC773F" w:rsidRPr="00DE06B1" w:rsidRDefault="00EC773F" w:rsidP="009B0C6F">
      <w:r w:rsidRPr="00DE06B1">
        <w:t>Pop</w:t>
      </w:r>
      <w:r w:rsidR="009B0C6F">
        <w:t>ulation pharmacokinetics</w:t>
      </w:r>
      <w:r w:rsidRPr="00DE06B1">
        <w:t xml:space="preserve"> analyses indicated that weak, </w:t>
      </w:r>
      <w:proofErr w:type="gramStart"/>
      <w:r w:rsidRPr="00DE06B1">
        <w:t>moderate</w:t>
      </w:r>
      <w:proofErr w:type="gramEnd"/>
      <w:r w:rsidRPr="00DE06B1">
        <w:t xml:space="preserve"> and potent inhibitors of CYP3A, CYP3A inducers, CYP2D6 inhibitors, CYP2C8 inhibitors and dexamethasone were not significant covariates on </w:t>
      </w:r>
      <w:proofErr w:type="spellStart"/>
      <w:r w:rsidRPr="00DE06B1">
        <w:t>selinexor</w:t>
      </w:r>
      <w:proofErr w:type="spellEnd"/>
      <w:r w:rsidRPr="00DE06B1">
        <w:t xml:space="preserve"> CL/F. Similarly, </w:t>
      </w:r>
      <w:r w:rsidR="00305F9A">
        <w:t>p</w:t>
      </w:r>
      <w:r w:rsidR="00305F9A" w:rsidRPr="00305F9A">
        <w:t>roton pump inhibitors</w:t>
      </w:r>
      <w:r w:rsidRPr="00DE06B1">
        <w:t xml:space="preserve"> and </w:t>
      </w:r>
      <w:r w:rsidR="00CB46F3">
        <w:t xml:space="preserve">histamine </w:t>
      </w:r>
      <w:r w:rsidRPr="00DE06B1">
        <w:t xml:space="preserve">H2 blockers were found not to affect </w:t>
      </w:r>
      <w:proofErr w:type="spellStart"/>
      <w:r w:rsidR="009B0C6F">
        <w:t>selinexor</w:t>
      </w:r>
      <w:proofErr w:type="spellEnd"/>
      <w:r w:rsidR="009B0C6F">
        <w:t xml:space="preserve"> bioavailability</w:t>
      </w:r>
      <w:r w:rsidRPr="00DE06B1">
        <w:t>.</w:t>
      </w:r>
    </w:p>
    <w:p w14:paraId="414FE288" w14:textId="28BF46E0" w:rsidR="00EC773F" w:rsidRDefault="00EC773F" w:rsidP="00044B9A">
      <w:pPr>
        <w:pStyle w:val="Heading4"/>
      </w:pPr>
      <w:r w:rsidRPr="00AA53F4">
        <w:t>Pharmacodynamics</w:t>
      </w:r>
    </w:p>
    <w:p w14:paraId="30B243DD" w14:textId="78F28F65" w:rsidR="00EC773F" w:rsidRPr="00025375" w:rsidRDefault="00EC773F" w:rsidP="00044B9A">
      <w:pPr>
        <w:pStyle w:val="Heading5"/>
        <w:rPr>
          <w:rFonts w:eastAsiaTheme="minorHAnsi"/>
        </w:rPr>
      </w:pPr>
      <w:r w:rsidRPr="00025375">
        <w:rPr>
          <w:rFonts w:eastAsiaTheme="minorHAnsi"/>
        </w:rPr>
        <w:t xml:space="preserve">Primary </w:t>
      </w:r>
      <w:r w:rsidR="00014422">
        <w:rPr>
          <w:rFonts w:eastAsiaTheme="minorHAnsi"/>
        </w:rPr>
        <w:t>pharmacodynamics</w:t>
      </w:r>
    </w:p>
    <w:p w14:paraId="41E24190" w14:textId="54758683" w:rsidR="00EC773F" w:rsidRPr="00407425" w:rsidRDefault="00EC773F" w:rsidP="00DE0361">
      <w:r w:rsidRPr="004C1DB8">
        <w:t xml:space="preserve">Based on </w:t>
      </w:r>
      <w:r w:rsidRPr="004C1DB8">
        <w:rPr>
          <w:i/>
          <w:iCs/>
        </w:rPr>
        <w:t xml:space="preserve">in vitro </w:t>
      </w:r>
      <w:r w:rsidRPr="004C1DB8">
        <w:t xml:space="preserve">studies, </w:t>
      </w:r>
      <w:proofErr w:type="spellStart"/>
      <w:r w:rsidRPr="004C1DB8">
        <w:t>C</w:t>
      </w:r>
      <w:r w:rsidRPr="00620FAD">
        <w:rPr>
          <w:vertAlign w:val="subscript"/>
        </w:rPr>
        <w:t>max</w:t>
      </w:r>
      <w:proofErr w:type="spellEnd"/>
      <w:r w:rsidRPr="004C1DB8">
        <w:t xml:space="preserve"> levels of approximately 1 </w:t>
      </w:r>
      <w:proofErr w:type="spellStart"/>
      <w:r w:rsidRPr="004C1DB8">
        <w:t>μM</w:t>
      </w:r>
      <w:proofErr w:type="spellEnd"/>
      <w:r w:rsidRPr="004C1DB8">
        <w:t xml:space="preserve"> (achieved with 60</w:t>
      </w:r>
      <w:r w:rsidR="00DE0361">
        <w:t> </w:t>
      </w:r>
      <w:r w:rsidRPr="004C1DB8">
        <w:t>mg) were expected to kill most DLBCL cells while sparing normal cells, including lymphocytes.</w:t>
      </w:r>
    </w:p>
    <w:p w14:paraId="1FFA07B5" w14:textId="7E54CD92" w:rsidR="00EC773F" w:rsidRPr="00B13594" w:rsidRDefault="00EC773F" w:rsidP="00DE0361">
      <w:pPr>
        <w:rPr>
          <w:rFonts w:eastAsiaTheme="minorHAnsi" w:cs="Calibri"/>
          <w:color w:val="000000"/>
        </w:rPr>
      </w:pPr>
      <w:r w:rsidRPr="004C1DB8">
        <w:rPr>
          <w:rFonts w:eastAsiaTheme="minorHAnsi" w:cs="Calibri"/>
          <w:color w:val="000000"/>
        </w:rPr>
        <w:t xml:space="preserve">Following </w:t>
      </w:r>
      <w:proofErr w:type="spellStart"/>
      <w:r w:rsidRPr="004C1DB8">
        <w:rPr>
          <w:rFonts w:eastAsiaTheme="minorHAnsi" w:cs="Calibri"/>
          <w:color w:val="000000"/>
        </w:rPr>
        <w:t>selinexor</w:t>
      </w:r>
      <w:proofErr w:type="spellEnd"/>
      <w:r w:rsidRPr="004C1DB8">
        <w:rPr>
          <w:rFonts w:eastAsiaTheme="minorHAnsi" w:cs="Calibri"/>
          <w:color w:val="000000"/>
        </w:rPr>
        <w:t xml:space="preserve"> doses ranging from 3 to 57 mg/m</w:t>
      </w:r>
      <w:r w:rsidRPr="004C1DB8">
        <w:rPr>
          <w:rFonts w:eastAsiaTheme="minorHAnsi" w:cs="Calibri"/>
          <w:color w:val="000000"/>
          <w:vertAlign w:val="superscript"/>
        </w:rPr>
        <w:t>2</w:t>
      </w:r>
      <w:r w:rsidRPr="004C1DB8">
        <w:rPr>
          <w:rFonts w:eastAsiaTheme="minorHAnsi" w:cs="Calibri"/>
          <w:color w:val="000000"/>
        </w:rPr>
        <w:t>, XPO1 mRNA induction &gt;</w:t>
      </w:r>
      <w:r w:rsidR="00044B9A">
        <w:rPr>
          <w:rFonts w:eastAsiaTheme="minorHAnsi" w:cs="Calibri"/>
          <w:color w:val="000000"/>
        </w:rPr>
        <w:t> </w:t>
      </w:r>
      <w:r w:rsidRPr="004C1DB8">
        <w:rPr>
          <w:rFonts w:eastAsiaTheme="minorHAnsi" w:cs="Calibri"/>
          <w:color w:val="000000"/>
        </w:rPr>
        <w:t xml:space="preserve">2-fold was observed at all dose levels and generally increased with </w:t>
      </w:r>
      <w:proofErr w:type="spellStart"/>
      <w:r w:rsidRPr="004C1DB8">
        <w:rPr>
          <w:rFonts w:eastAsiaTheme="minorHAnsi" w:cs="Calibri"/>
          <w:color w:val="000000"/>
        </w:rPr>
        <w:t>selinexor</w:t>
      </w:r>
      <w:proofErr w:type="spellEnd"/>
      <w:r w:rsidRPr="004C1DB8">
        <w:rPr>
          <w:rFonts w:eastAsiaTheme="minorHAnsi" w:cs="Calibri"/>
          <w:color w:val="000000"/>
        </w:rPr>
        <w:t xml:space="preserve"> dose and exposure reaching maximal induction at doses ≥</w:t>
      </w:r>
      <w:r w:rsidR="00044B9A">
        <w:rPr>
          <w:rFonts w:eastAsiaTheme="minorHAnsi" w:cs="Calibri"/>
          <w:color w:val="000000"/>
        </w:rPr>
        <w:t> </w:t>
      </w:r>
      <w:r w:rsidRPr="004C1DB8">
        <w:rPr>
          <w:rFonts w:eastAsiaTheme="minorHAnsi" w:cs="Calibri"/>
          <w:color w:val="000000"/>
        </w:rPr>
        <w:t>12 mg/m</w:t>
      </w:r>
      <w:r w:rsidRPr="004C1DB8">
        <w:rPr>
          <w:rFonts w:eastAsiaTheme="minorHAnsi" w:cs="Calibri"/>
          <w:color w:val="000000"/>
          <w:vertAlign w:val="superscript"/>
        </w:rPr>
        <w:t>2</w:t>
      </w:r>
      <w:r w:rsidRPr="004C1DB8">
        <w:rPr>
          <w:rFonts w:eastAsiaTheme="minorHAnsi" w:cs="Calibri"/>
          <w:color w:val="000000"/>
          <w:sz w:val="14"/>
          <w:szCs w:val="14"/>
        </w:rPr>
        <w:t xml:space="preserve"> </w:t>
      </w:r>
      <w:r w:rsidRPr="004C1DB8">
        <w:rPr>
          <w:rFonts w:eastAsiaTheme="minorHAnsi" w:cs="Calibri"/>
          <w:color w:val="000000"/>
        </w:rPr>
        <w:t>(</w:t>
      </w:r>
      <w:r w:rsidR="00044B9A">
        <w:rPr>
          <w:rFonts w:eastAsiaTheme="minorHAnsi" w:cs="Calibri"/>
          <w:color w:val="000000"/>
        </w:rPr>
        <w:t xml:space="preserve">about </w:t>
      </w:r>
      <w:r w:rsidRPr="004C1DB8">
        <w:rPr>
          <w:rFonts w:eastAsiaTheme="minorHAnsi" w:cs="Calibri"/>
          <w:color w:val="000000"/>
        </w:rPr>
        <w:t>30</w:t>
      </w:r>
      <w:r w:rsidR="00DE0361">
        <w:rPr>
          <w:rFonts w:eastAsiaTheme="minorHAnsi" w:cs="Calibri"/>
          <w:color w:val="000000"/>
        </w:rPr>
        <w:t> </w:t>
      </w:r>
      <w:r w:rsidRPr="004C1DB8">
        <w:rPr>
          <w:rFonts w:eastAsiaTheme="minorHAnsi" w:cs="Calibri"/>
          <w:color w:val="000000"/>
        </w:rPr>
        <w:t>mg) and mean AUC exposures of ≥</w:t>
      </w:r>
      <w:r w:rsidR="00EC7E0C">
        <w:rPr>
          <w:rFonts w:eastAsiaTheme="minorHAnsi" w:cs="Calibri"/>
          <w:color w:val="000000"/>
        </w:rPr>
        <w:t> </w:t>
      </w:r>
      <w:r w:rsidRPr="004C1DB8">
        <w:rPr>
          <w:rFonts w:eastAsiaTheme="minorHAnsi" w:cs="Calibri"/>
          <w:color w:val="000000"/>
        </w:rPr>
        <w:t xml:space="preserve">1662 </w:t>
      </w:r>
      <w:proofErr w:type="spellStart"/>
      <w:r w:rsidRPr="004C1DB8">
        <w:rPr>
          <w:rFonts w:eastAsiaTheme="minorHAnsi" w:cs="Calibri"/>
          <w:color w:val="000000"/>
        </w:rPr>
        <w:t>ng.h</w:t>
      </w:r>
      <w:proofErr w:type="spellEnd"/>
      <w:r w:rsidRPr="004C1DB8">
        <w:rPr>
          <w:rFonts w:eastAsiaTheme="minorHAnsi" w:cs="Calibri"/>
          <w:color w:val="000000"/>
        </w:rPr>
        <w:t>/</w:t>
      </w:r>
      <w:proofErr w:type="spellStart"/>
      <w:r w:rsidRPr="004C1DB8">
        <w:rPr>
          <w:rFonts w:eastAsiaTheme="minorHAnsi" w:cs="Calibri"/>
          <w:color w:val="000000"/>
        </w:rPr>
        <w:t>mL.</w:t>
      </w:r>
      <w:proofErr w:type="spellEnd"/>
      <w:r w:rsidRPr="004C1DB8">
        <w:rPr>
          <w:rFonts w:eastAsiaTheme="minorHAnsi" w:cs="Calibri"/>
          <w:color w:val="000000"/>
        </w:rPr>
        <w:t xml:space="preserve"> </w:t>
      </w:r>
      <w:r w:rsidR="00DE0361">
        <w:rPr>
          <w:rFonts w:eastAsiaTheme="minorHAnsi" w:cs="Calibri"/>
          <w:color w:val="000000"/>
        </w:rPr>
        <w:t xml:space="preserve">Maximum bioavailability </w:t>
      </w:r>
      <w:r w:rsidRPr="004C1DB8">
        <w:rPr>
          <w:rFonts w:eastAsiaTheme="minorHAnsi" w:cs="Calibri"/>
          <w:color w:val="000000"/>
        </w:rPr>
        <w:t>occurred at approximately 4 h</w:t>
      </w:r>
      <w:r w:rsidR="00EC7E0C">
        <w:rPr>
          <w:rFonts w:eastAsiaTheme="minorHAnsi" w:cs="Calibri"/>
          <w:color w:val="000000"/>
        </w:rPr>
        <w:t>ours</w:t>
      </w:r>
      <w:r w:rsidRPr="004C1DB8">
        <w:rPr>
          <w:rFonts w:eastAsiaTheme="minorHAnsi" w:cs="Calibri"/>
          <w:color w:val="000000"/>
        </w:rPr>
        <w:t xml:space="preserve"> following dosing and XPO1 mRNA remained elevated for up to 48 h</w:t>
      </w:r>
      <w:r w:rsidR="00EC7E0C">
        <w:rPr>
          <w:rFonts w:eastAsiaTheme="minorHAnsi" w:cs="Calibri"/>
          <w:color w:val="000000"/>
        </w:rPr>
        <w:t>ours.</w:t>
      </w:r>
    </w:p>
    <w:p w14:paraId="56066ECA" w14:textId="5C2130A0" w:rsidR="00EC773F" w:rsidRPr="00407425" w:rsidRDefault="00EC773F" w:rsidP="00DE0361">
      <w:pPr>
        <w:rPr>
          <w:rFonts w:eastAsiaTheme="minorHAnsi" w:cs="Calibri"/>
          <w:color w:val="000000"/>
        </w:rPr>
      </w:pPr>
      <w:r w:rsidRPr="004C1DB8">
        <w:rPr>
          <w:rFonts w:eastAsiaTheme="minorHAnsi" w:cs="Calibri"/>
          <w:color w:val="000000"/>
        </w:rPr>
        <w:t xml:space="preserve">The magnitude of XPO1 induction remained uniform between different cancer types including AML, </w:t>
      </w:r>
      <w:r w:rsidR="00DE0361">
        <w:rPr>
          <w:rFonts w:eastAsiaTheme="minorHAnsi" w:cs="Calibri"/>
          <w:color w:val="000000"/>
        </w:rPr>
        <w:t>DLBCL</w:t>
      </w:r>
      <w:r w:rsidRPr="004C1DB8">
        <w:rPr>
          <w:rFonts w:eastAsiaTheme="minorHAnsi" w:cs="Calibri"/>
          <w:color w:val="000000"/>
        </w:rPr>
        <w:t xml:space="preserve"> and </w:t>
      </w:r>
      <w:r w:rsidR="00DE0361" w:rsidRPr="000823B9">
        <w:rPr>
          <w:color w:val="000000"/>
        </w:rPr>
        <w:t>multiple myeloma</w:t>
      </w:r>
      <w:r w:rsidRPr="004C1DB8">
        <w:rPr>
          <w:rFonts w:eastAsiaTheme="minorHAnsi" w:cs="Calibri"/>
          <w:color w:val="000000"/>
        </w:rPr>
        <w:t>.</w:t>
      </w:r>
    </w:p>
    <w:p w14:paraId="4FD51286" w14:textId="34E4C396" w:rsidR="00EC773F" w:rsidRPr="00407425" w:rsidRDefault="00EC773F" w:rsidP="00DE0361">
      <w:pPr>
        <w:rPr>
          <w:rFonts w:eastAsiaTheme="minorHAnsi" w:cs="Calibri"/>
          <w:color w:val="000000"/>
        </w:rPr>
      </w:pPr>
      <w:r w:rsidRPr="004C1DB8">
        <w:rPr>
          <w:rFonts w:eastAsiaTheme="minorHAnsi" w:cs="Calibri"/>
          <w:color w:val="000000"/>
        </w:rPr>
        <w:t xml:space="preserve">A statistically significant relationship between </w:t>
      </w:r>
      <w:r w:rsidR="000A0FC7">
        <w:rPr>
          <w:rFonts w:eastAsiaTheme="minorHAnsi" w:cs="Calibri"/>
          <w:color w:val="000000"/>
        </w:rPr>
        <w:t>overall response rate</w:t>
      </w:r>
      <w:r w:rsidRPr="004C1DB8">
        <w:rPr>
          <w:rFonts w:eastAsiaTheme="minorHAnsi" w:cs="Calibri"/>
          <w:color w:val="000000"/>
        </w:rPr>
        <w:t xml:space="preserve"> versus Day 1 </w:t>
      </w:r>
      <w:proofErr w:type="spellStart"/>
      <w:r w:rsidRPr="004C1DB8">
        <w:rPr>
          <w:rFonts w:eastAsiaTheme="minorHAnsi" w:cs="Calibri"/>
          <w:color w:val="000000"/>
        </w:rPr>
        <w:t>C</w:t>
      </w:r>
      <w:r w:rsidRPr="004C1DB8">
        <w:rPr>
          <w:rFonts w:eastAsiaTheme="minorHAnsi" w:cs="Calibri"/>
          <w:color w:val="000000"/>
          <w:vertAlign w:val="subscript"/>
        </w:rPr>
        <w:t>max</w:t>
      </w:r>
      <w:proofErr w:type="spellEnd"/>
      <w:r w:rsidRPr="004C1DB8">
        <w:rPr>
          <w:rFonts w:eastAsiaTheme="minorHAnsi" w:cs="Calibri"/>
          <w:color w:val="000000"/>
        </w:rPr>
        <w:t xml:space="preserve"> was identified in DLBCL patients enrolled in </w:t>
      </w:r>
      <w:r w:rsidR="00DE0361">
        <w:rPr>
          <w:rFonts w:eastAsiaTheme="minorHAnsi" w:cs="Calibri"/>
          <w:color w:val="000000"/>
        </w:rPr>
        <w:t xml:space="preserve">Study </w:t>
      </w:r>
      <w:r w:rsidRPr="004C1DB8">
        <w:rPr>
          <w:rFonts w:eastAsiaTheme="minorHAnsi" w:cs="Calibri"/>
          <w:color w:val="000000"/>
        </w:rPr>
        <w:t>KCP-330-009 (p</w:t>
      </w:r>
      <w:r w:rsidR="00DE0361">
        <w:rPr>
          <w:rFonts w:eastAsiaTheme="minorHAnsi" w:cs="Calibri"/>
          <w:color w:val="000000"/>
        </w:rPr>
        <w:t xml:space="preserve"> </w:t>
      </w:r>
      <w:r w:rsidRPr="004C1DB8">
        <w:rPr>
          <w:rFonts w:eastAsiaTheme="minorHAnsi" w:cs="Calibri"/>
          <w:color w:val="000000"/>
        </w:rPr>
        <w:t>&lt;</w:t>
      </w:r>
      <w:r w:rsidR="00DE0361">
        <w:rPr>
          <w:rFonts w:eastAsiaTheme="minorHAnsi" w:cs="Calibri"/>
          <w:color w:val="000000"/>
        </w:rPr>
        <w:t xml:space="preserve"> </w:t>
      </w:r>
      <w:r w:rsidRPr="004C1DB8">
        <w:rPr>
          <w:rFonts w:eastAsiaTheme="minorHAnsi" w:cs="Calibri"/>
          <w:color w:val="000000"/>
        </w:rPr>
        <w:t xml:space="preserve">0.05) and the predicted absolute loss in </w:t>
      </w:r>
      <w:r w:rsidR="000A0FC7">
        <w:rPr>
          <w:rFonts w:eastAsiaTheme="minorHAnsi" w:cs="Calibri"/>
          <w:color w:val="000000"/>
        </w:rPr>
        <w:t>overall response rate</w:t>
      </w:r>
      <w:r w:rsidRPr="004C1DB8">
        <w:rPr>
          <w:rFonts w:eastAsiaTheme="minorHAnsi" w:cs="Calibri"/>
          <w:color w:val="000000"/>
        </w:rPr>
        <w:t xml:space="preserve"> was 4.7% when the dose was reduced from 60</w:t>
      </w:r>
      <w:r w:rsidR="00DE0361">
        <w:rPr>
          <w:rFonts w:eastAsiaTheme="minorHAnsi" w:cs="Calibri"/>
          <w:color w:val="000000"/>
        </w:rPr>
        <w:t> </w:t>
      </w:r>
      <w:r w:rsidRPr="004C1DB8">
        <w:rPr>
          <w:rFonts w:eastAsiaTheme="minorHAnsi" w:cs="Calibri"/>
          <w:color w:val="000000"/>
        </w:rPr>
        <w:t>mg to 40</w:t>
      </w:r>
      <w:r w:rsidR="00DE0361">
        <w:rPr>
          <w:rFonts w:eastAsiaTheme="minorHAnsi" w:cs="Calibri"/>
          <w:color w:val="000000"/>
        </w:rPr>
        <w:t> </w:t>
      </w:r>
      <w:r w:rsidRPr="004C1DB8">
        <w:rPr>
          <w:rFonts w:eastAsiaTheme="minorHAnsi" w:cs="Calibri"/>
          <w:color w:val="000000"/>
        </w:rPr>
        <w:t xml:space="preserve">mg twice weekly, but no exposure-response relationships were identified for </w:t>
      </w:r>
      <w:r w:rsidR="00A734A2">
        <w:rPr>
          <w:rFonts w:eastAsiaTheme="minorHAnsi" w:cs="Calibri"/>
          <w:color w:val="000000"/>
        </w:rPr>
        <w:t>overall survival (</w:t>
      </w:r>
      <w:r w:rsidRPr="004C1DB8">
        <w:rPr>
          <w:rFonts w:eastAsiaTheme="minorHAnsi" w:cs="Calibri"/>
          <w:color w:val="000000"/>
        </w:rPr>
        <w:t>OS</w:t>
      </w:r>
      <w:r w:rsidR="00A734A2">
        <w:rPr>
          <w:rFonts w:eastAsiaTheme="minorHAnsi" w:cs="Calibri"/>
          <w:color w:val="000000"/>
        </w:rPr>
        <w:t>)</w:t>
      </w:r>
      <w:r w:rsidRPr="004C1DB8">
        <w:rPr>
          <w:rFonts w:eastAsiaTheme="minorHAnsi" w:cs="Calibri"/>
          <w:color w:val="000000"/>
        </w:rPr>
        <w:t xml:space="preserve">, </w:t>
      </w:r>
      <w:r w:rsidR="00A734A2">
        <w:t>progression free survival (</w:t>
      </w:r>
      <w:r w:rsidRPr="004C1DB8">
        <w:rPr>
          <w:rFonts w:eastAsiaTheme="minorHAnsi" w:cs="Calibri"/>
          <w:color w:val="000000"/>
        </w:rPr>
        <w:t>PFS</w:t>
      </w:r>
      <w:r w:rsidR="00A734A2">
        <w:rPr>
          <w:rFonts w:eastAsiaTheme="minorHAnsi" w:cs="Calibri"/>
          <w:color w:val="000000"/>
        </w:rPr>
        <w:t>)</w:t>
      </w:r>
      <w:r w:rsidRPr="004C1DB8">
        <w:rPr>
          <w:rFonts w:eastAsiaTheme="minorHAnsi" w:cs="Calibri"/>
          <w:color w:val="000000"/>
        </w:rPr>
        <w:t xml:space="preserve"> or </w:t>
      </w:r>
      <w:r w:rsidR="00A734A2">
        <w:rPr>
          <w:rFonts w:eastAsiaTheme="minorHAnsi" w:cs="Calibri"/>
          <w:color w:val="000000"/>
        </w:rPr>
        <w:t>duration of response (</w:t>
      </w:r>
      <w:r w:rsidRPr="004C1DB8">
        <w:rPr>
          <w:rFonts w:eastAsiaTheme="minorHAnsi" w:cs="Calibri"/>
          <w:color w:val="000000"/>
        </w:rPr>
        <w:t>DOR</w:t>
      </w:r>
      <w:r w:rsidR="00A734A2">
        <w:rPr>
          <w:rFonts w:eastAsiaTheme="minorHAnsi" w:cs="Calibri"/>
          <w:color w:val="000000"/>
        </w:rPr>
        <w:t>)</w:t>
      </w:r>
      <w:r w:rsidRPr="004C1DB8">
        <w:rPr>
          <w:rFonts w:eastAsiaTheme="minorHAnsi" w:cs="Calibri"/>
          <w:color w:val="000000"/>
        </w:rPr>
        <w:t xml:space="preserve"> versus </w:t>
      </w:r>
      <w:proofErr w:type="spellStart"/>
      <w:r w:rsidRPr="004C1DB8">
        <w:rPr>
          <w:rFonts w:eastAsiaTheme="minorHAnsi" w:cs="Calibri"/>
          <w:color w:val="000000"/>
        </w:rPr>
        <w:t>selinexor</w:t>
      </w:r>
      <w:proofErr w:type="spellEnd"/>
      <w:r w:rsidRPr="004C1DB8">
        <w:rPr>
          <w:rFonts w:eastAsiaTheme="minorHAnsi" w:cs="Calibri"/>
          <w:color w:val="000000"/>
        </w:rPr>
        <w:t xml:space="preserve"> exposure.</w:t>
      </w:r>
    </w:p>
    <w:p w14:paraId="456D6790" w14:textId="46E0CBE8" w:rsidR="00EC773F" w:rsidRPr="00014422" w:rsidRDefault="00EC773F" w:rsidP="00DE0361">
      <w:pPr>
        <w:rPr>
          <w:rFonts w:eastAsiaTheme="minorHAnsi" w:cs="Calibri"/>
          <w:color w:val="000000"/>
        </w:rPr>
      </w:pPr>
      <w:r w:rsidRPr="004C1DB8">
        <w:rPr>
          <w:rFonts w:eastAsiaTheme="minorHAnsi" w:cs="Calibri"/>
          <w:color w:val="000000"/>
        </w:rPr>
        <w:t xml:space="preserve">In a cohort of patients with heavily pre-treated </w:t>
      </w:r>
      <w:r w:rsidR="00D6181B">
        <w:rPr>
          <w:color w:val="000000"/>
        </w:rPr>
        <w:t>r</w:t>
      </w:r>
      <w:r w:rsidR="00D6181B" w:rsidRPr="000823B9">
        <w:rPr>
          <w:color w:val="000000"/>
        </w:rPr>
        <w:t>elapsed or refractory multiple myeloma</w:t>
      </w:r>
      <w:r w:rsidR="00D6181B" w:rsidRPr="004C1DB8">
        <w:rPr>
          <w:rFonts w:eastAsiaTheme="minorHAnsi" w:cs="Calibri"/>
          <w:color w:val="000000"/>
        </w:rPr>
        <w:t xml:space="preserve"> </w:t>
      </w:r>
      <w:r w:rsidR="00D6181B">
        <w:rPr>
          <w:rFonts w:eastAsiaTheme="minorHAnsi" w:cs="Calibri"/>
          <w:color w:val="000000"/>
        </w:rPr>
        <w:t>(</w:t>
      </w:r>
      <w:r w:rsidRPr="004C1DB8">
        <w:rPr>
          <w:rFonts w:eastAsiaTheme="minorHAnsi" w:cs="Calibri"/>
          <w:color w:val="000000"/>
        </w:rPr>
        <w:t>RRMM</w:t>
      </w:r>
      <w:r w:rsidR="00D6181B">
        <w:rPr>
          <w:rFonts w:eastAsiaTheme="minorHAnsi" w:cs="Calibri"/>
          <w:color w:val="000000"/>
        </w:rPr>
        <w:t>)</w:t>
      </w:r>
      <w:r w:rsidRPr="004C1DB8">
        <w:rPr>
          <w:rFonts w:eastAsiaTheme="minorHAnsi" w:cs="Calibri"/>
          <w:color w:val="000000"/>
        </w:rPr>
        <w:t xml:space="preserve"> who received </w:t>
      </w:r>
      <w:proofErr w:type="spellStart"/>
      <w:r w:rsidRPr="004C1DB8">
        <w:rPr>
          <w:rFonts w:eastAsiaTheme="minorHAnsi" w:cs="Calibri"/>
          <w:color w:val="000000"/>
        </w:rPr>
        <w:t>selinexor</w:t>
      </w:r>
      <w:proofErr w:type="spellEnd"/>
      <w:r w:rsidRPr="004C1DB8">
        <w:rPr>
          <w:rFonts w:eastAsiaTheme="minorHAnsi" w:cs="Calibri"/>
          <w:color w:val="000000"/>
        </w:rPr>
        <w:t xml:space="preserve"> (with or without dexamethasone), modelling indicated that there was no significant relationship between </w:t>
      </w:r>
      <w:proofErr w:type="spellStart"/>
      <w:r w:rsidRPr="004C1DB8">
        <w:rPr>
          <w:rFonts w:eastAsiaTheme="minorHAnsi" w:cs="Calibri"/>
          <w:color w:val="000000"/>
        </w:rPr>
        <w:t>selinexor</w:t>
      </w:r>
      <w:proofErr w:type="spellEnd"/>
      <w:r w:rsidRPr="004C1DB8">
        <w:rPr>
          <w:rFonts w:eastAsiaTheme="minorHAnsi" w:cs="Calibri"/>
          <w:color w:val="000000"/>
        </w:rPr>
        <w:t xml:space="preserve"> AUC and best overall response. Moreover, no significant relationships were identified between AUC or dose and PFS or OS in patients with quad- and/or penta-refractory</w:t>
      </w:r>
      <w:r w:rsidR="00DE0361">
        <w:rPr>
          <w:rFonts w:eastAsiaTheme="minorHAnsi" w:cs="Calibri"/>
          <w:color w:val="000000"/>
        </w:rPr>
        <w:t xml:space="preserve"> multiple myeloma</w:t>
      </w:r>
      <w:r w:rsidRPr="004C1DB8">
        <w:rPr>
          <w:rFonts w:eastAsiaTheme="minorHAnsi" w:cs="Calibri"/>
          <w:color w:val="000000"/>
        </w:rPr>
        <w:t>.</w:t>
      </w:r>
    </w:p>
    <w:p w14:paraId="112AE66B" w14:textId="522563CA" w:rsidR="00EC773F" w:rsidRPr="00025375" w:rsidRDefault="00EC773F" w:rsidP="00014422">
      <w:pPr>
        <w:pStyle w:val="Heading5"/>
        <w:rPr>
          <w:rFonts w:eastAsiaTheme="minorHAnsi"/>
        </w:rPr>
      </w:pPr>
      <w:r w:rsidRPr="00025375">
        <w:rPr>
          <w:rFonts w:eastAsiaTheme="minorHAnsi"/>
        </w:rPr>
        <w:lastRenderedPageBreak/>
        <w:t xml:space="preserve">Secondary </w:t>
      </w:r>
      <w:r w:rsidR="00014422">
        <w:rPr>
          <w:rFonts w:eastAsiaTheme="minorHAnsi"/>
        </w:rPr>
        <w:t>pharmacodynamics</w:t>
      </w:r>
    </w:p>
    <w:p w14:paraId="35D647F3" w14:textId="7D241C59" w:rsidR="00EC773F" w:rsidRPr="004C1DB8" w:rsidRDefault="00EC773F" w:rsidP="00DE0361">
      <w:r w:rsidRPr="004C1DB8">
        <w:t>From linear mixed</w:t>
      </w:r>
      <w:r w:rsidR="00DE0361">
        <w:t xml:space="preserve"> </w:t>
      </w:r>
      <w:r w:rsidRPr="004C1DB8">
        <w:t xml:space="preserve">effect modelling a </w:t>
      </w:r>
      <w:proofErr w:type="spellStart"/>
      <w:r w:rsidRPr="004C1DB8">
        <w:t>selinexor</w:t>
      </w:r>
      <w:proofErr w:type="spellEnd"/>
      <w:r w:rsidRPr="004C1DB8">
        <w:t xml:space="preserve"> concentration of 1200 ng/mL (</w:t>
      </w:r>
      <w:r w:rsidR="006F009F">
        <w:t xml:space="preserve">about </w:t>
      </w:r>
      <w:r w:rsidRPr="004C1DB8">
        <w:t>2-fold higher than the anticipated therapeutic concentrations after a 100 mg dose)</w:t>
      </w:r>
      <w:r w:rsidR="00DE0361">
        <w:t xml:space="preserve"> change from Baseline c</w:t>
      </w:r>
      <w:r w:rsidR="00DE0361" w:rsidRPr="00DE0361">
        <w:t xml:space="preserve">orrected QT </w:t>
      </w:r>
      <w:r w:rsidR="00DE0361">
        <w:t>i</w:t>
      </w:r>
      <w:r w:rsidR="00DE0361" w:rsidRPr="00DE0361">
        <w:t>nterval</w:t>
      </w:r>
      <w:r w:rsidR="00DE0361">
        <w:t xml:space="preserve"> </w:t>
      </w:r>
      <w:r w:rsidR="002F3AF6">
        <w:t>(</w:t>
      </w:r>
      <w:proofErr w:type="spellStart"/>
      <w:r w:rsidR="002F3AF6">
        <w:t>QTcF</w:t>
      </w:r>
      <w:proofErr w:type="spellEnd"/>
      <w:r w:rsidR="002F3AF6">
        <w:t>);</w:t>
      </w:r>
      <w:r w:rsidR="002F3AF6">
        <w:rPr>
          <w:rStyle w:val="FootnoteReference"/>
        </w:rPr>
        <w:footnoteReference w:id="10"/>
      </w:r>
      <w:r w:rsidR="002F3AF6">
        <w:t xml:space="preserve"> </w:t>
      </w:r>
      <w:r w:rsidRPr="004C1DB8">
        <w:t xml:space="preserve">increased 7.2 </w:t>
      </w:r>
      <w:r w:rsidR="00DE0361" w:rsidRPr="004C1DB8">
        <w:t>m</w:t>
      </w:r>
      <w:r w:rsidR="00DE0361">
        <w:t>illi</w:t>
      </w:r>
      <w:r w:rsidRPr="004C1DB8">
        <w:t>sec</w:t>
      </w:r>
      <w:r w:rsidR="00DE0361">
        <w:t>ond</w:t>
      </w:r>
      <w:r w:rsidRPr="004C1DB8">
        <w:t xml:space="preserve"> (90% CI of &lt;</w:t>
      </w:r>
      <w:r w:rsidR="006F009F">
        <w:t> </w:t>
      </w:r>
      <w:r w:rsidRPr="004C1DB8">
        <w:t xml:space="preserve">20 msec increase above baseline). </w:t>
      </w:r>
    </w:p>
    <w:p w14:paraId="78930E24" w14:textId="0B49A43A" w:rsidR="00EC773F" w:rsidRPr="005B57B2" w:rsidRDefault="00EC773F" w:rsidP="00DE0361">
      <w:r w:rsidRPr="005B57B2">
        <w:t xml:space="preserve">A statistically significant relationship between increasing </w:t>
      </w:r>
      <w:proofErr w:type="spellStart"/>
      <w:r w:rsidRPr="005B57B2">
        <w:t>selinexor</w:t>
      </w:r>
      <w:proofErr w:type="spellEnd"/>
      <w:r w:rsidRPr="005B57B2">
        <w:t xml:space="preserve"> exposure and increasing frequency of Grade 3 or higher thrombocytopenia (p &lt; 0.001), hyponatraemia (p = 0.001) and fatigue (p = 0.001).</w:t>
      </w:r>
    </w:p>
    <w:p w14:paraId="79AD6162" w14:textId="629D52C6" w:rsidR="006F009F" w:rsidRDefault="00A92905" w:rsidP="000B3827">
      <w:pPr>
        <w:pStyle w:val="Heading4"/>
      </w:pPr>
      <w:r>
        <w:t>M</w:t>
      </w:r>
      <w:r w:rsidR="006A4BD2">
        <w:t>ultiple myeloma</w:t>
      </w:r>
    </w:p>
    <w:p w14:paraId="39B79194" w14:textId="178AB8E3" w:rsidR="00A92905" w:rsidRPr="00A92905" w:rsidRDefault="00A92905">
      <w:pPr>
        <w:pStyle w:val="Heading5"/>
      </w:pPr>
      <w:r>
        <w:t>Dose finding</w:t>
      </w:r>
    </w:p>
    <w:p w14:paraId="7834B51D" w14:textId="487D5CA8" w:rsidR="006F009F" w:rsidRDefault="006F009F" w:rsidP="006F009F">
      <w:r w:rsidRPr="006F009F">
        <w:t xml:space="preserve">The </w:t>
      </w:r>
      <w:proofErr w:type="spellStart"/>
      <w:r w:rsidRPr="006F009F">
        <w:t>selinexor</w:t>
      </w:r>
      <w:proofErr w:type="spellEnd"/>
      <w:r w:rsidRPr="006F009F">
        <w:t xml:space="preserve"> dose regimen of 100</w:t>
      </w:r>
      <w:r w:rsidR="00DE0361">
        <w:t> </w:t>
      </w:r>
      <w:r w:rsidRPr="006F009F">
        <w:t xml:space="preserve">mg once weekly was based on </w:t>
      </w:r>
      <w:r>
        <w:t xml:space="preserve">Study </w:t>
      </w:r>
      <w:r w:rsidRPr="006F009F">
        <w:t>KCP-330-017 (</w:t>
      </w:r>
      <w:r w:rsidR="00614183">
        <w:t xml:space="preserve">the </w:t>
      </w:r>
      <w:r w:rsidRPr="006F009F">
        <w:t>STOMP</w:t>
      </w:r>
      <w:r>
        <w:t xml:space="preserve"> trial)</w:t>
      </w:r>
      <w:r w:rsidRPr="006F009F">
        <w:t>.</w:t>
      </w:r>
      <w:bookmarkStart w:id="40" w:name="_Ref117319895"/>
      <w:r w:rsidR="00614183">
        <w:rPr>
          <w:rStyle w:val="FootnoteReference"/>
        </w:rPr>
        <w:footnoteReference w:id="11"/>
      </w:r>
      <w:bookmarkEnd w:id="40"/>
      <w:r w:rsidR="00614183">
        <w:rPr>
          <w:vertAlign w:val="superscript"/>
        </w:rPr>
        <w:t>,</w:t>
      </w:r>
      <w:r w:rsidRPr="006F009F">
        <w:t xml:space="preserve"> In this Phase </w:t>
      </w:r>
      <w:proofErr w:type="spellStart"/>
      <w:r>
        <w:t>I</w:t>
      </w:r>
      <w:r w:rsidRPr="006F009F">
        <w:t>b</w:t>
      </w:r>
      <w:proofErr w:type="spellEnd"/>
      <w:r w:rsidRPr="006F009F">
        <w:t>/</w:t>
      </w:r>
      <w:r>
        <w:t>II</w:t>
      </w:r>
      <w:r w:rsidRPr="006F009F">
        <w:t xml:space="preserve"> STOMP </w:t>
      </w:r>
      <w:r>
        <w:t>trial,</w:t>
      </w:r>
      <w:r w:rsidRPr="006F009F">
        <w:t xml:space="preserve"> </w:t>
      </w:r>
      <w:proofErr w:type="spellStart"/>
      <w:r w:rsidRPr="006F009F">
        <w:t>selinexor</w:t>
      </w:r>
      <w:proofErr w:type="spellEnd"/>
      <w:r w:rsidRPr="006F009F">
        <w:t xml:space="preserve"> was tested at 60, 80, or 100 mg doses with once weekly </w:t>
      </w:r>
      <w:r w:rsidR="00836DE9">
        <w:t>versus</w:t>
      </w:r>
      <w:r w:rsidRPr="006F009F">
        <w:t xml:space="preserve"> twice weekly dosing. The regimen of </w:t>
      </w:r>
      <w:proofErr w:type="spellStart"/>
      <w:r w:rsidRPr="006F009F">
        <w:t>selinexor</w:t>
      </w:r>
      <w:proofErr w:type="spellEnd"/>
      <w:r w:rsidRPr="006F009F">
        <w:t xml:space="preserve"> 100</w:t>
      </w:r>
      <w:r w:rsidR="00DE0361">
        <w:t> </w:t>
      </w:r>
      <w:r w:rsidRPr="006F009F">
        <w:t>mg, bortezomib 1.3 mg/m</w:t>
      </w:r>
      <w:r w:rsidRPr="006F009F">
        <w:rPr>
          <w:vertAlign w:val="superscript"/>
        </w:rPr>
        <w:t>2</w:t>
      </w:r>
      <w:r w:rsidRPr="006F009F">
        <w:t>, and dexamethasone 40 mg (</w:t>
      </w:r>
      <w:proofErr w:type="spellStart"/>
      <w:r w:rsidRPr="006F009F">
        <w:t>SVd</w:t>
      </w:r>
      <w:proofErr w:type="spellEnd"/>
      <w:r w:rsidRPr="006F009F">
        <w:t xml:space="preserve">), all given </w:t>
      </w:r>
      <w:r w:rsidR="00F415EF" w:rsidRPr="006F009F">
        <w:t>once weekly</w:t>
      </w:r>
      <w:r w:rsidRPr="006F009F">
        <w:t xml:space="preserve"> in 35-day cycles was chosen based on its safety and long-term tolerability. </w:t>
      </w:r>
      <w:r w:rsidR="000A0FC7">
        <w:t>overall response rate</w:t>
      </w:r>
      <w:r w:rsidRPr="006F009F">
        <w:t xml:space="preserve"> was 75% in the efficacy evaluable patients.</w:t>
      </w:r>
    </w:p>
    <w:p w14:paraId="24D347AB" w14:textId="58E8B026" w:rsidR="00296A7E" w:rsidRPr="00F607E2" w:rsidRDefault="00296A7E" w:rsidP="000B3827">
      <w:pPr>
        <w:pStyle w:val="Heading4"/>
      </w:pPr>
      <w:r>
        <w:t xml:space="preserve">Study </w:t>
      </w:r>
      <w:r w:rsidRPr="00614183">
        <w:t>KCP-330-023</w:t>
      </w:r>
      <w:r>
        <w:t xml:space="preserve"> (BOSTON trial)</w:t>
      </w:r>
    </w:p>
    <w:p w14:paraId="4E0231F8" w14:textId="3DDEA2A5" w:rsidR="00C736EE" w:rsidRPr="000B3827" w:rsidRDefault="00296A7E" w:rsidP="000B3827">
      <w:pPr>
        <w:pStyle w:val="Heading5"/>
        <w:rPr>
          <w:b w:val="0"/>
          <w:bCs w:val="0"/>
        </w:rPr>
      </w:pPr>
      <w:r>
        <w:t>Efficacy</w:t>
      </w:r>
    </w:p>
    <w:p w14:paraId="20BA23FA" w14:textId="14449C42" w:rsidR="00014422" w:rsidRDefault="00014422" w:rsidP="00B40FF4">
      <w:pPr>
        <w:tabs>
          <w:tab w:val="left" w:pos="4111"/>
        </w:tabs>
        <w:rPr>
          <w:rFonts w:asciiTheme="minorHAnsi" w:hAnsiTheme="minorHAnsi" w:cs="Calibri"/>
          <w:lang w:eastAsia="ja-JP"/>
        </w:rPr>
      </w:pPr>
      <w:r w:rsidRPr="00773FB9">
        <w:rPr>
          <w:rFonts w:asciiTheme="minorHAnsi" w:hAnsiTheme="minorHAnsi" w:cs="Calibri"/>
          <w:lang w:eastAsia="ja-JP"/>
        </w:rPr>
        <w:t xml:space="preserve">Study </w:t>
      </w:r>
      <w:r w:rsidRPr="00773FB9">
        <w:rPr>
          <w:rFonts w:asciiTheme="minorHAnsi" w:hAnsiTheme="minorHAnsi" w:cs="Calibri"/>
        </w:rPr>
        <w:t>KCP-330-023 (BOSTON</w:t>
      </w:r>
      <w:r w:rsidR="006F009F">
        <w:rPr>
          <w:rFonts w:asciiTheme="minorHAnsi" w:hAnsiTheme="minorHAnsi" w:cs="Calibri"/>
        </w:rPr>
        <w:t xml:space="preserve"> trial</w:t>
      </w:r>
      <w:r w:rsidRPr="00773FB9">
        <w:rPr>
          <w:rFonts w:asciiTheme="minorHAnsi" w:hAnsiTheme="minorHAnsi" w:cs="Calibri"/>
        </w:rPr>
        <w:t xml:space="preserve">) </w:t>
      </w:r>
      <w:r>
        <w:rPr>
          <w:rFonts w:asciiTheme="minorHAnsi" w:hAnsiTheme="minorHAnsi" w:cs="Calibri"/>
        </w:rPr>
        <w:t>is</w:t>
      </w:r>
      <w:r w:rsidRPr="00773FB9">
        <w:rPr>
          <w:rFonts w:asciiTheme="minorHAnsi" w:hAnsiTheme="minorHAnsi" w:cs="Calibri"/>
          <w:lang w:eastAsia="ja-JP"/>
        </w:rPr>
        <w:t xml:space="preserve"> a</w:t>
      </w:r>
      <w:r>
        <w:rPr>
          <w:rFonts w:asciiTheme="minorHAnsi" w:hAnsiTheme="minorHAnsi" w:cs="Calibri"/>
          <w:lang w:eastAsia="ja-JP"/>
        </w:rPr>
        <w:t>n ongoing, multicentre (n</w:t>
      </w:r>
      <w:r w:rsidR="006F009F">
        <w:rPr>
          <w:rFonts w:asciiTheme="minorHAnsi" w:hAnsiTheme="minorHAnsi" w:cs="Calibri"/>
          <w:lang w:eastAsia="ja-JP"/>
        </w:rPr>
        <w:t xml:space="preserve"> </w:t>
      </w:r>
      <w:r>
        <w:rPr>
          <w:rFonts w:asciiTheme="minorHAnsi" w:hAnsiTheme="minorHAnsi" w:cs="Calibri"/>
          <w:lang w:eastAsia="ja-JP"/>
        </w:rPr>
        <w:t>=</w:t>
      </w:r>
      <w:r w:rsidR="006F009F">
        <w:rPr>
          <w:rFonts w:asciiTheme="minorHAnsi" w:hAnsiTheme="minorHAnsi" w:cs="Calibri"/>
          <w:lang w:eastAsia="ja-JP"/>
        </w:rPr>
        <w:t xml:space="preserve"> </w:t>
      </w:r>
      <w:r>
        <w:rPr>
          <w:rFonts w:asciiTheme="minorHAnsi" w:hAnsiTheme="minorHAnsi" w:cs="Calibri"/>
          <w:lang w:eastAsia="ja-JP"/>
        </w:rPr>
        <w:t>161), multinational (n</w:t>
      </w:r>
      <w:r w:rsidR="006F009F">
        <w:rPr>
          <w:rFonts w:asciiTheme="minorHAnsi" w:hAnsiTheme="minorHAnsi" w:cs="Calibri"/>
          <w:lang w:eastAsia="ja-JP"/>
        </w:rPr>
        <w:t> </w:t>
      </w:r>
      <w:r>
        <w:rPr>
          <w:rFonts w:asciiTheme="minorHAnsi" w:hAnsiTheme="minorHAnsi" w:cs="Calibri"/>
          <w:lang w:eastAsia="ja-JP"/>
        </w:rPr>
        <w:t>=</w:t>
      </w:r>
      <w:r w:rsidR="006F009F">
        <w:rPr>
          <w:rFonts w:asciiTheme="minorHAnsi" w:hAnsiTheme="minorHAnsi" w:cs="Calibri"/>
          <w:lang w:eastAsia="ja-JP"/>
        </w:rPr>
        <w:t> </w:t>
      </w:r>
      <w:r>
        <w:rPr>
          <w:rFonts w:asciiTheme="minorHAnsi" w:hAnsiTheme="minorHAnsi" w:cs="Calibri"/>
          <w:lang w:eastAsia="ja-JP"/>
        </w:rPr>
        <w:t>21)</w:t>
      </w:r>
      <w:r w:rsidRPr="00773FB9">
        <w:rPr>
          <w:rFonts w:asciiTheme="minorHAnsi" w:hAnsiTheme="minorHAnsi" w:cs="Calibri"/>
          <w:lang w:eastAsia="ja-JP"/>
        </w:rPr>
        <w:t xml:space="preserve"> </w:t>
      </w:r>
      <w:r w:rsidR="006F009F">
        <w:rPr>
          <w:rFonts w:asciiTheme="minorHAnsi" w:hAnsiTheme="minorHAnsi" w:cs="Calibri"/>
          <w:lang w:eastAsia="ja-JP"/>
        </w:rPr>
        <w:t>P</w:t>
      </w:r>
      <w:r w:rsidRPr="00773FB9">
        <w:rPr>
          <w:rFonts w:asciiTheme="minorHAnsi" w:hAnsiTheme="minorHAnsi" w:cs="Calibri"/>
          <w:lang w:eastAsia="ja-JP"/>
        </w:rPr>
        <w:t xml:space="preserve">hase </w:t>
      </w:r>
      <w:r w:rsidR="006F009F">
        <w:rPr>
          <w:rFonts w:asciiTheme="minorHAnsi" w:hAnsiTheme="minorHAnsi" w:cs="Calibri"/>
          <w:lang w:eastAsia="ja-JP"/>
        </w:rPr>
        <w:t>III</w:t>
      </w:r>
      <w:r>
        <w:rPr>
          <w:rFonts w:asciiTheme="minorHAnsi" w:hAnsiTheme="minorHAnsi" w:cs="Calibri"/>
          <w:lang w:eastAsia="ja-JP"/>
        </w:rPr>
        <w:t>,</w:t>
      </w:r>
      <w:r w:rsidRPr="00773FB9">
        <w:rPr>
          <w:rFonts w:asciiTheme="minorHAnsi" w:hAnsiTheme="minorHAnsi" w:cs="Calibri"/>
          <w:lang w:eastAsia="ja-JP"/>
        </w:rPr>
        <w:t xml:space="preserve"> randomised, controlled, open</w:t>
      </w:r>
      <w:r w:rsidR="006F009F">
        <w:rPr>
          <w:rFonts w:asciiTheme="minorHAnsi" w:hAnsiTheme="minorHAnsi" w:cs="Calibri"/>
          <w:lang w:eastAsia="ja-JP"/>
        </w:rPr>
        <w:t xml:space="preserve"> </w:t>
      </w:r>
      <w:r w:rsidRPr="00773FB9">
        <w:rPr>
          <w:rFonts w:asciiTheme="minorHAnsi" w:hAnsiTheme="minorHAnsi" w:cs="Calibri"/>
          <w:lang w:eastAsia="ja-JP"/>
        </w:rPr>
        <w:t xml:space="preserve">label study of </w:t>
      </w:r>
      <w:proofErr w:type="spellStart"/>
      <w:r w:rsidRPr="00773FB9">
        <w:rPr>
          <w:rFonts w:asciiTheme="minorHAnsi" w:hAnsiTheme="minorHAnsi" w:cs="Calibri"/>
          <w:lang w:eastAsia="ja-JP"/>
        </w:rPr>
        <w:t>selinexor</w:t>
      </w:r>
      <w:proofErr w:type="spellEnd"/>
      <w:r w:rsidRPr="00773FB9">
        <w:rPr>
          <w:rFonts w:asciiTheme="minorHAnsi" w:hAnsiTheme="minorHAnsi" w:cs="Calibri"/>
          <w:lang w:eastAsia="ja-JP"/>
        </w:rPr>
        <w:t>, bortezomib, and dexamethasone (</w:t>
      </w:r>
      <w:proofErr w:type="spellStart"/>
      <w:r w:rsidRPr="00773FB9">
        <w:rPr>
          <w:rFonts w:asciiTheme="minorHAnsi" w:hAnsiTheme="minorHAnsi" w:cs="Calibri"/>
          <w:lang w:eastAsia="ja-JP"/>
        </w:rPr>
        <w:t>SVd</w:t>
      </w:r>
      <w:proofErr w:type="spellEnd"/>
      <w:r w:rsidRPr="00773FB9">
        <w:rPr>
          <w:rFonts w:asciiTheme="minorHAnsi" w:hAnsiTheme="minorHAnsi" w:cs="Calibri"/>
          <w:lang w:eastAsia="ja-JP"/>
        </w:rPr>
        <w:t>) versus bortezomib and dexamethasone (</w:t>
      </w:r>
      <w:proofErr w:type="spellStart"/>
      <w:r w:rsidRPr="00773FB9">
        <w:rPr>
          <w:rFonts w:asciiTheme="minorHAnsi" w:hAnsiTheme="minorHAnsi" w:cs="Calibri"/>
          <w:lang w:eastAsia="ja-JP"/>
        </w:rPr>
        <w:t>Vd</w:t>
      </w:r>
      <w:proofErr w:type="spellEnd"/>
      <w:r w:rsidRPr="00773FB9">
        <w:rPr>
          <w:rFonts w:asciiTheme="minorHAnsi" w:hAnsiTheme="minorHAnsi" w:cs="Calibri"/>
          <w:lang w:eastAsia="ja-JP"/>
        </w:rPr>
        <w:t xml:space="preserve">) in patients with </w:t>
      </w:r>
      <w:r w:rsidR="00C736EE">
        <w:rPr>
          <w:color w:val="000000"/>
        </w:rPr>
        <w:t>r</w:t>
      </w:r>
      <w:r w:rsidR="00C736EE" w:rsidRPr="000823B9">
        <w:rPr>
          <w:color w:val="000000"/>
        </w:rPr>
        <w:t>elapsed or refractory multiple myeloma</w:t>
      </w:r>
      <w:r w:rsidR="00C736EE" w:rsidRPr="004C1DB8">
        <w:rPr>
          <w:rFonts w:eastAsiaTheme="minorHAnsi" w:cs="Calibri"/>
          <w:color w:val="000000"/>
        </w:rPr>
        <w:t xml:space="preserve"> </w:t>
      </w:r>
      <w:r w:rsidR="00C736EE">
        <w:rPr>
          <w:rFonts w:eastAsiaTheme="minorHAnsi" w:cs="Calibri"/>
          <w:color w:val="000000"/>
        </w:rPr>
        <w:t>(</w:t>
      </w:r>
      <w:r w:rsidRPr="00773FB9">
        <w:rPr>
          <w:rFonts w:asciiTheme="minorHAnsi" w:hAnsiTheme="minorHAnsi" w:cs="Calibri"/>
          <w:lang w:eastAsia="ja-JP"/>
        </w:rPr>
        <w:t>RRMM</w:t>
      </w:r>
      <w:r w:rsidR="00C736EE">
        <w:rPr>
          <w:rFonts w:asciiTheme="minorHAnsi" w:hAnsiTheme="minorHAnsi" w:cs="Calibri"/>
          <w:lang w:eastAsia="ja-JP"/>
        </w:rPr>
        <w:t>)</w:t>
      </w:r>
      <w:r w:rsidR="00B40FF4">
        <w:rPr>
          <w:rFonts w:asciiTheme="minorHAnsi" w:hAnsiTheme="minorHAnsi" w:cs="Calibri"/>
          <w:lang w:eastAsia="ja-JP"/>
        </w:rPr>
        <w:t xml:space="preserve"> </w:t>
      </w:r>
      <w:r w:rsidRPr="00773FB9">
        <w:rPr>
          <w:rFonts w:asciiTheme="minorHAnsi" w:hAnsiTheme="minorHAnsi" w:cs="Calibri"/>
          <w:lang w:eastAsia="ja-JP"/>
        </w:rPr>
        <w:t xml:space="preserve">who had received 1 to 3 prior </w:t>
      </w:r>
      <w:proofErr w:type="gramStart"/>
      <w:r w:rsidRPr="00773FB9">
        <w:rPr>
          <w:rFonts w:asciiTheme="minorHAnsi" w:hAnsiTheme="minorHAnsi" w:cs="Calibri"/>
          <w:lang w:eastAsia="ja-JP"/>
        </w:rPr>
        <w:t>anti</w:t>
      </w:r>
      <w:proofErr w:type="gramEnd"/>
      <w:r w:rsidR="00C736EE">
        <w:rPr>
          <w:rFonts w:asciiTheme="minorHAnsi" w:hAnsiTheme="minorHAnsi" w:cs="Calibri"/>
          <w:lang w:eastAsia="ja-JP"/>
        </w:rPr>
        <w:noBreakHyphen/>
      </w:r>
      <w:r w:rsidR="006F009F">
        <w:rPr>
          <w:rFonts w:asciiTheme="minorHAnsi" w:hAnsiTheme="minorHAnsi" w:cs="Calibri"/>
          <w:lang w:eastAsia="ja-JP"/>
        </w:rPr>
        <w:t xml:space="preserve">multiple myeloma </w:t>
      </w:r>
      <w:r w:rsidRPr="00773FB9">
        <w:rPr>
          <w:rFonts w:asciiTheme="minorHAnsi" w:hAnsiTheme="minorHAnsi" w:cs="Calibri"/>
          <w:lang w:eastAsia="ja-JP"/>
        </w:rPr>
        <w:t>regimens</w:t>
      </w:r>
      <w:r>
        <w:rPr>
          <w:rFonts w:asciiTheme="minorHAnsi" w:hAnsiTheme="minorHAnsi" w:cs="Calibri"/>
          <w:lang w:eastAsia="ja-JP"/>
        </w:rPr>
        <w:t xml:space="preserve">. </w:t>
      </w:r>
      <w:r w:rsidRPr="00EF5BB6">
        <w:rPr>
          <w:rFonts w:asciiTheme="minorHAnsi" w:hAnsiTheme="minorHAnsi" w:cs="Calibri"/>
        </w:rPr>
        <w:t>The study commenced on</w:t>
      </w:r>
      <w:r w:rsidRPr="00EF5BB6">
        <w:rPr>
          <w:rFonts w:asciiTheme="minorHAnsi" w:hAnsiTheme="minorHAnsi" w:cs="Calibri"/>
          <w:lang w:eastAsia="ja-JP"/>
        </w:rPr>
        <w:t xml:space="preserve"> 7 June 2017 and the data </w:t>
      </w:r>
      <w:proofErr w:type="spellStart"/>
      <w:r w:rsidRPr="00EF5BB6">
        <w:rPr>
          <w:rFonts w:asciiTheme="minorHAnsi" w:hAnsiTheme="minorHAnsi" w:cs="Calibri"/>
          <w:lang w:eastAsia="ja-JP"/>
        </w:rPr>
        <w:t>cutoff</w:t>
      </w:r>
      <w:proofErr w:type="spellEnd"/>
      <w:r w:rsidRPr="00EF5BB6">
        <w:rPr>
          <w:rFonts w:asciiTheme="minorHAnsi" w:hAnsiTheme="minorHAnsi" w:cs="Calibri"/>
          <w:lang w:eastAsia="ja-JP"/>
        </w:rPr>
        <w:t xml:space="preserve"> date for the </w:t>
      </w:r>
      <w:r w:rsidR="006F009F">
        <w:rPr>
          <w:rFonts w:asciiTheme="minorHAnsi" w:hAnsiTheme="minorHAnsi" w:cs="Calibri"/>
          <w:lang w:eastAsia="ja-JP"/>
        </w:rPr>
        <w:t>clinical study report</w:t>
      </w:r>
      <w:r w:rsidRPr="00EF5BB6">
        <w:rPr>
          <w:rFonts w:asciiTheme="minorHAnsi" w:hAnsiTheme="minorHAnsi" w:cs="Calibri"/>
          <w:lang w:eastAsia="ja-JP"/>
        </w:rPr>
        <w:t xml:space="preserve"> was 18 </w:t>
      </w:r>
      <w:r w:rsidR="006F009F">
        <w:rPr>
          <w:rFonts w:asciiTheme="minorHAnsi" w:hAnsiTheme="minorHAnsi" w:cs="Calibri"/>
          <w:lang w:eastAsia="ja-JP"/>
        </w:rPr>
        <w:t>February</w:t>
      </w:r>
      <w:r w:rsidRPr="00EF5BB6">
        <w:rPr>
          <w:rFonts w:asciiTheme="minorHAnsi" w:hAnsiTheme="minorHAnsi" w:cs="Calibri"/>
          <w:lang w:eastAsia="ja-JP"/>
        </w:rPr>
        <w:t xml:space="preserve"> 2020.</w:t>
      </w:r>
    </w:p>
    <w:p w14:paraId="2002FE38" w14:textId="65414E5E" w:rsidR="00014422" w:rsidRDefault="00014422" w:rsidP="00014422">
      <w:pPr>
        <w:rPr>
          <w:rFonts w:asciiTheme="minorHAnsi" w:hAnsiTheme="minorHAnsi" w:cs="Calibri"/>
          <w:lang w:eastAsia="ja-JP"/>
        </w:rPr>
      </w:pPr>
      <w:r w:rsidRPr="00A744C5">
        <w:rPr>
          <w:rFonts w:asciiTheme="minorHAnsi" w:hAnsiTheme="minorHAnsi" w:cs="Calibri"/>
          <w:lang w:eastAsia="ja-JP"/>
        </w:rPr>
        <w:t xml:space="preserve">Patients were randomised </w:t>
      </w:r>
      <w:r w:rsidR="00C736EE">
        <w:rPr>
          <w:rFonts w:asciiTheme="minorHAnsi" w:hAnsiTheme="minorHAnsi" w:cs="Calibri"/>
          <w:lang w:eastAsia="ja-JP"/>
        </w:rPr>
        <w:t xml:space="preserve">in a </w:t>
      </w:r>
      <w:r w:rsidRPr="00A744C5">
        <w:rPr>
          <w:rFonts w:asciiTheme="minorHAnsi" w:hAnsiTheme="minorHAnsi" w:cs="Calibri"/>
          <w:lang w:eastAsia="ja-JP"/>
        </w:rPr>
        <w:t>1:1</w:t>
      </w:r>
      <w:r w:rsidR="00C736EE">
        <w:rPr>
          <w:rFonts w:asciiTheme="minorHAnsi" w:hAnsiTheme="minorHAnsi" w:cs="Calibri"/>
          <w:lang w:eastAsia="ja-JP"/>
        </w:rPr>
        <w:t xml:space="preserve"> ratio</w:t>
      </w:r>
      <w:r w:rsidRPr="00A744C5">
        <w:rPr>
          <w:rFonts w:asciiTheme="minorHAnsi" w:hAnsiTheme="minorHAnsi" w:cs="Calibri"/>
          <w:lang w:eastAsia="ja-JP"/>
        </w:rPr>
        <w:t>, with stratification</w:t>
      </w:r>
      <w:r>
        <w:rPr>
          <w:rFonts w:asciiTheme="minorHAnsi" w:hAnsiTheme="minorHAnsi" w:cs="Calibri"/>
          <w:lang w:eastAsia="ja-JP"/>
        </w:rPr>
        <w:t xml:space="preserve"> </w:t>
      </w:r>
      <w:r w:rsidRPr="00A744C5">
        <w:rPr>
          <w:rFonts w:asciiTheme="minorHAnsi" w:hAnsiTheme="minorHAnsi" w:cs="Calibri"/>
          <w:lang w:eastAsia="ja-JP"/>
        </w:rPr>
        <w:t>based on prior proteasome inhibitor therapies (Yes/No), number of prior anti-</w:t>
      </w:r>
      <w:r w:rsidR="006F009F">
        <w:t>m</w:t>
      </w:r>
      <w:r w:rsidR="006F009F" w:rsidRPr="00014422">
        <w:t>ultiple myeloma</w:t>
      </w:r>
      <w:r w:rsidRPr="00A744C5">
        <w:rPr>
          <w:rFonts w:asciiTheme="minorHAnsi" w:hAnsiTheme="minorHAnsi" w:cs="Calibri"/>
          <w:lang w:eastAsia="ja-JP"/>
        </w:rPr>
        <w:t xml:space="preserve"> regimens (1 or &gt;</w:t>
      </w:r>
      <w:r w:rsidR="006F009F">
        <w:rPr>
          <w:rFonts w:asciiTheme="minorHAnsi" w:hAnsiTheme="minorHAnsi" w:cs="Calibri"/>
          <w:lang w:eastAsia="ja-JP"/>
        </w:rPr>
        <w:t> </w:t>
      </w:r>
      <w:r w:rsidRPr="00A744C5">
        <w:rPr>
          <w:rFonts w:asciiTheme="minorHAnsi" w:hAnsiTheme="minorHAnsi" w:cs="Calibri"/>
          <w:lang w:eastAsia="ja-JP"/>
        </w:rPr>
        <w:t>1), and Revised International Staging System</w:t>
      </w:r>
      <w:r w:rsidR="00D84192">
        <w:rPr>
          <w:rFonts w:asciiTheme="minorHAnsi" w:hAnsiTheme="minorHAnsi" w:cs="Calibri"/>
          <w:lang w:eastAsia="ja-JP"/>
        </w:rPr>
        <w:t xml:space="preserve"> </w:t>
      </w:r>
      <w:r w:rsidR="00D84192" w:rsidRPr="00A744C5">
        <w:rPr>
          <w:rFonts w:asciiTheme="minorHAnsi" w:hAnsiTheme="minorHAnsi" w:cs="Calibri"/>
          <w:lang w:eastAsia="ja-JP"/>
        </w:rPr>
        <w:t>(R-ISS)</w:t>
      </w:r>
      <w:r w:rsidR="00D84192">
        <w:rPr>
          <w:rFonts w:asciiTheme="minorHAnsi" w:hAnsiTheme="minorHAnsi" w:cs="Calibri"/>
          <w:lang w:eastAsia="ja-JP"/>
        </w:rPr>
        <w:t>;</w:t>
      </w:r>
      <w:r w:rsidR="00D84192">
        <w:rPr>
          <w:rStyle w:val="FootnoteReference"/>
          <w:rFonts w:asciiTheme="minorHAnsi" w:hAnsiTheme="minorHAnsi" w:cs="Calibri"/>
          <w:lang w:eastAsia="ja-JP"/>
        </w:rPr>
        <w:footnoteReference w:id="12"/>
      </w:r>
      <w:r w:rsidRPr="00A744C5">
        <w:rPr>
          <w:rFonts w:asciiTheme="minorHAnsi" w:hAnsiTheme="minorHAnsi" w:cs="Calibri"/>
          <w:lang w:eastAsia="ja-JP"/>
        </w:rPr>
        <w:t xml:space="preserve"> stage at screening (R-ISS Stage III v</w:t>
      </w:r>
      <w:r w:rsidR="00B40FF4">
        <w:rPr>
          <w:rFonts w:asciiTheme="minorHAnsi" w:hAnsiTheme="minorHAnsi" w:cs="Calibri"/>
          <w:lang w:eastAsia="ja-JP"/>
        </w:rPr>
        <w:t>ersu</w:t>
      </w:r>
      <w:r w:rsidRPr="00A744C5">
        <w:rPr>
          <w:rFonts w:asciiTheme="minorHAnsi" w:hAnsiTheme="minorHAnsi" w:cs="Calibri"/>
          <w:lang w:eastAsia="ja-JP"/>
        </w:rPr>
        <w:t>s R-ISS Stage I or II)</w:t>
      </w:r>
      <w:r w:rsidR="00936030">
        <w:rPr>
          <w:rStyle w:val="FootnoteReference"/>
          <w:rFonts w:asciiTheme="minorHAnsi" w:hAnsiTheme="minorHAnsi" w:cs="Calibri"/>
          <w:lang w:eastAsia="ja-JP"/>
        </w:rPr>
        <w:footnoteReference w:id="13"/>
      </w:r>
      <w:r w:rsidRPr="00A744C5">
        <w:rPr>
          <w:rFonts w:asciiTheme="minorHAnsi" w:hAnsiTheme="minorHAnsi" w:cs="Calibri"/>
          <w:lang w:eastAsia="ja-JP"/>
        </w:rPr>
        <w:t>.</w:t>
      </w:r>
    </w:p>
    <w:p w14:paraId="15685DAB" w14:textId="47DC2806" w:rsidR="00C736EE" w:rsidRDefault="00C736EE" w:rsidP="000B3827">
      <w:pPr>
        <w:pStyle w:val="Heading6"/>
        <w:rPr>
          <w:lang w:eastAsia="ja-JP"/>
        </w:rPr>
      </w:pPr>
      <w:r>
        <w:rPr>
          <w:lang w:eastAsia="ja-JP"/>
        </w:rPr>
        <w:t>Inclusion criteria</w:t>
      </w:r>
    </w:p>
    <w:p w14:paraId="11BA5EA8" w14:textId="4156EEE3" w:rsidR="007200E9" w:rsidRDefault="007200E9" w:rsidP="007200E9">
      <w:r>
        <w:t>Inclusion criteria</w:t>
      </w:r>
      <w:r w:rsidR="006C22B8">
        <w:t xml:space="preserve"> includes:</w:t>
      </w:r>
    </w:p>
    <w:p w14:paraId="2146F0D4" w14:textId="6F8E2A10" w:rsidR="007200E9" w:rsidRDefault="007200E9" w:rsidP="006C22B8">
      <w:pPr>
        <w:pStyle w:val="ListBullet"/>
      </w:pPr>
      <w:r>
        <w:lastRenderedPageBreak/>
        <w:t xml:space="preserve">Histologically confirmed </w:t>
      </w:r>
      <w:r w:rsidR="00417DB1">
        <w:t>multiple myeloma</w:t>
      </w:r>
      <w:r>
        <w:t xml:space="preserve"> with measurable disease per </w:t>
      </w:r>
      <w:r w:rsidR="00B40FF4" w:rsidRPr="00B40FF4">
        <w:t xml:space="preserve">International Myeloma Working Group </w:t>
      </w:r>
      <w:r w:rsidR="00B40FF4">
        <w:t>(</w:t>
      </w:r>
      <w:r>
        <w:t>IMWG</w:t>
      </w:r>
      <w:r w:rsidR="00B40FF4">
        <w:t>)</w:t>
      </w:r>
      <w:r>
        <w:t xml:space="preserve"> guidelines as defined by at least one of the following:</w:t>
      </w:r>
    </w:p>
    <w:p w14:paraId="3991ACB0" w14:textId="44F22658" w:rsidR="007200E9" w:rsidRDefault="007200E9" w:rsidP="006C22B8">
      <w:pPr>
        <w:pStyle w:val="ListBullet2"/>
      </w:pPr>
      <w:r>
        <w:t>Serum M-protein ≥</w:t>
      </w:r>
      <w:r w:rsidR="00D6181B">
        <w:t> </w:t>
      </w:r>
      <w:r>
        <w:t>0.5 g/dL (&gt;</w:t>
      </w:r>
      <w:r w:rsidR="00D6181B">
        <w:t> </w:t>
      </w:r>
      <w:r>
        <w:t xml:space="preserve">5 g/L) by serum protein electrophoresis or for </w:t>
      </w:r>
      <w:r w:rsidR="00935194">
        <w:t>immunoglob</w:t>
      </w:r>
      <w:r w:rsidR="00C736EE">
        <w:t>uli</w:t>
      </w:r>
      <w:r w:rsidR="00935194">
        <w:t>n A (</w:t>
      </w:r>
      <w:r>
        <w:t>IgA</w:t>
      </w:r>
      <w:r w:rsidR="00935194">
        <w:t>)</w:t>
      </w:r>
      <w:r>
        <w:t xml:space="preserve"> myeloma, by quantitative serum IgA levels; or</w:t>
      </w:r>
    </w:p>
    <w:p w14:paraId="249AB434" w14:textId="1B362309" w:rsidR="007200E9" w:rsidRDefault="007200E9" w:rsidP="006C22B8">
      <w:pPr>
        <w:pStyle w:val="ListBullet2"/>
      </w:pPr>
      <w:r>
        <w:t>Urinary M-protein excretion at least 200 mg/24 hours; or</w:t>
      </w:r>
    </w:p>
    <w:p w14:paraId="5E0007AE" w14:textId="0FB2B985" w:rsidR="007200E9" w:rsidRDefault="00B40FF4" w:rsidP="006C22B8">
      <w:pPr>
        <w:pStyle w:val="ListBullet2"/>
      </w:pPr>
      <w:r>
        <w:t>S</w:t>
      </w:r>
      <w:r w:rsidRPr="00B40FF4">
        <w:t xml:space="preserve">erum free light chain </w:t>
      </w:r>
      <w:r w:rsidR="007200E9">
        <w:t>≥</w:t>
      </w:r>
      <w:r w:rsidR="00D6181B">
        <w:t> </w:t>
      </w:r>
      <w:r w:rsidR="007200E9">
        <w:t xml:space="preserve">100 mg/L, provided that the serum </w:t>
      </w:r>
      <w:r w:rsidRPr="00B40FF4">
        <w:t>free light chain</w:t>
      </w:r>
      <w:r w:rsidR="007200E9">
        <w:t xml:space="preserve"> ratio is abnormal (normal </w:t>
      </w:r>
      <w:r>
        <w:t>free light chain</w:t>
      </w:r>
      <w:r w:rsidR="007200E9">
        <w:t xml:space="preserve"> ratio: 0.26 to 1.65).</w:t>
      </w:r>
    </w:p>
    <w:p w14:paraId="4233816B" w14:textId="18B5CC1F" w:rsidR="007200E9" w:rsidRDefault="007200E9" w:rsidP="006C22B8">
      <w:pPr>
        <w:pStyle w:val="ListBullet"/>
      </w:pPr>
      <w:r>
        <w:t xml:space="preserve">Have at least </w:t>
      </w:r>
      <w:r w:rsidR="006C22B8">
        <w:t>one</w:t>
      </w:r>
      <w:r>
        <w:t xml:space="preserve"> prior anti-</w:t>
      </w:r>
      <w:r w:rsidR="00305F9A">
        <w:t xml:space="preserve">multiple myeloma </w:t>
      </w:r>
      <w:r>
        <w:t xml:space="preserve">regimen and no more than </w:t>
      </w:r>
      <w:r w:rsidR="00B40FF4">
        <w:t>3</w:t>
      </w:r>
      <w:r>
        <w:t xml:space="preserve"> prior </w:t>
      </w:r>
      <w:proofErr w:type="gramStart"/>
      <w:r>
        <w:t>anti</w:t>
      </w:r>
      <w:proofErr w:type="gramEnd"/>
      <w:r w:rsidR="00C736EE">
        <w:noBreakHyphen/>
      </w:r>
      <w:r w:rsidR="00305F9A">
        <w:t xml:space="preserve">multiple myeloma </w:t>
      </w:r>
      <w:r>
        <w:t>regimens. Induction therapy followed by stem cell transplant and consolidation/maintenance therapy were considered as 1 anti-</w:t>
      </w:r>
      <w:r w:rsidR="00305F9A">
        <w:t>multiple myeloma</w:t>
      </w:r>
      <w:r>
        <w:t xml:space="preserve"> regimen.</w:t>
      </w:r>
    </w:p>
    <w:p w14:paraId="4CF8AC3A" w14:textId="1164860D" w:rsidR="007200E9" w:rsidRDefault="007200E9" w:rsidP="006C22B8">
      <w:pPr>
        <w:pStyle w:val="ListBullet"/>
      </w:pPr>
      <w:r>
        <w:t xml:space="preserve">Documented evidence of progressive </w:t>
      </w:r>
      <w:r w:rsidR="00305F9A">
        <w:t>multiple myeloma</w:t>
      </w:r>
      <w:r>
        <w:t xml:space="preserve"> (based on the </w:t>
      </w:r>
      <w:r w:rsidR="00C736EE">
        <w:t>i</w:t>
      </w:r>
      <w:r>
        <w:t>nvestigator's determination according to the IMWG response criteria) on or after their most recent regimen.</w:t>
      </w:r>
    </w:p>
    <w:p w14:paraId="7AF41C69" w14:textId="3CC8DEC9" w:rsidR="007200E9" w:rsidRDefault="007200E9" w:rsidP="006737A0">
      <w:pPr>
        <w:pStyle w:val="ListBullet"/>
      </w:pPr>
      <w:r>
        <w:t xml:space="preserve">Prior treatment with bortezomib or other </w:t>
      </w:r>
      <w:r w:rsidR="00305F9A">
        <w:t>proteasome inhibitor</w:t>
      </w:r>
      <w:r>
        <w:t xml:space="preserve"> was allowed, provided </w:t>
      </w:r>
      <w:proofErr w:type="gramStart"/>
      <w:r>
        <w:t>all of</w:t>
      </w:r>
      <w:proofErr w:type="gramEnd"/>
      <w:r>
        <w:t xml:space="preserve"> the following criteria were met:</w:t>
      </w:r>
    </w:p>
    <w:p w14:paraId="01F2E534" w14:textId="58774A75" w:rsidR="007200E9" w:rsidRDefault="007200E9" w:rsidP="006C22B8">
      <w:pPr>
        <w:pStyle w:val="ListBullet2"/>
      </w:pPr>
      <w:r>
        <w:t xml:space="preserve">Best response achieved with prior bortezomib at any time was ≥ </w:t>
      </w:r>
      <w:r w:rsidR="003C1F29">
        <w:t>partial</w:t>
      </w:r>
      <w:r w:rsidR="00936030">
        <w:t xml:space="preserve"> response (</w:t>
      </w:r>
      <w:r>
        <w:t>PR</w:t>
      </w:r>
      <w:r w:rsidR="00936030">
        <w:t>)</w:t>
      </w:r>
      <w:r>
        <w:t xml:space="preserve"> and with the last </w:t>
      </w:r>
      <w:r w:rsidR="00305F9A">
        <w:t>proteasome inhibitor</w:t>
      </w:r>
      <w:r>
        <w:t xml:space="preserve"> therapy (alone or in combination) was ≥ PR</w:t>
      </w:r>
      <w:r w:rsidR="00C736EE">
        <w:t>;</w:t>
      </w:r>
      <w:r>
        <w:t xml:space="preserve"> </w:t>
      </w:r>
      <w:r w:rsidR="00C736EE">
        <w:t>and</w:t>
      </w:r>
    </w:p>
    <w:p w14:paraId="5E4FB582" w14:textId="73704B02" w:rsidR="007200E9" w:rsidRDefault="007200E9" w:rsidP="006C22B8">
      <w:pPr>
        <w:pStyle w:val="ListBullet2"/>
      </w:pPr>
      <w:r>
        <w:t>Participant did not discontinue bortezomib due to Grade ≥</w:t>
      </w:r>
      <w:r w:rsidR="00D6181B">
        <w:t> </w:t>
      </w:r>
      <w:r>
        <w:t>3</w:t>
      </w:r>
      <w:r w:rsidR="003C1F29">
        <w:t xml:space="preserve"> </w:t>
      </w:r>
      <w:r>
        <w:t xml:space="preserve">related </w:t>
      </w:r>
      <w:proofErr w:type="gramStart"/>
      <w:r>
        <w:t>toxicity</w:t>
      </w:r>
      <w:r w:rsidR="00C736EE">
        <w:t>;</w:t>
      </w:r>
      <w:proofErr w:type="gramEnd"/>
      <w:r>
        <w:t xml:space="preserve"> </w:t>
      </w:r>
      <w:r w:rsidR="00305F9A">
        <w:t>and</w:t>
      </w:r>
    </w:p>
    <w:p w14:paraId="32F33038" w14:textId="30273FFC" w:rsidR="007200E9" w:rsidRDefault="007200E9" w:rsidP="006C22B8">
      <w:pPr>
        <w:pStyle w:val="ListBullet2"/>
      </w:pPr>
      <w:r>
        <w:t>Must have had at least a 6</w:t>
      </w:r>
      <w:r w:rsidR="00D6181B">
        <w:t>-</w:t>
      </w:r>
      <w:r>
        <w:t xml:space="preserve">month </w:t>
      </w:r>
      <w:r w:rsidR="00305F9A">
        <w:t>proteasome inhibitor</w:t>
      </w:r>
      <w:r w:rsidR="00936030">
        <w:t xml:space="preserve"> </w:t>
      </w:r>
      <w:r>
        <w:t>treatment</w:t>
      </w:r>
      <w:r w:rsidR="00936030">
        <w:t xml:space="preserve"> </w:t>
      </w:r>
      <w:r>
        <w:t xml:space="preserve">free interval prior to </w:t>
      </w:r>
      <w:r w:rsidR="00305F9A">
        <w:t>Cycle 1 Day 1</w:t>
      </w:r>
      <w:r>
        <w:t xml:space="preserve"> of study treatment.</w:t>
      </w:r>
    </w:p>
    <w:p w14:paraId="368DA5B7" w14:textId="384B6E22" w:rsidR="007200E9" w:rsidRDefault="007200E9" w:rsidP="006C22B8">
      <w:pPr>
        <w:pStyle w:val="ListBullet"/>
      </w:pPr>
      <w:r>
        <w:t xml:space="preserve">Eastern Cooperative Oncology Group (ECOG) </w:t>
      </w:r>
      <w:r w:rsidR="003C1F29">
        <w:t xml:space="preserve">performance </w:t>
      </w:r>
      <w:r>
        <w:t>s</w:t>
      </w:r>
      <w:r w:rsidR="003C1F29">
        <w:t>tatus (PS)</w:t>
      </w:r>
      <w:r>
        <w:t xml:space="preserve"> of ≤</w:t>
      </w:r>
      <w:r w:rsidR="006C22B8">
        <w:t> </w:t>
      </w:r>
      <w:r>
        <w:t>2</w:t>
      </w:r>
      <w:r w:rsidR="00E9477C">
        <w:t>;</w:t>
      </w:r>
      <w:bookmarkStart w:id="41" w:name="_Ref111552444"/>
      <w:r w:rsidR="00E9477C">
        <w:rPr>
          <w:rStyle w:val="FootnoteReference"/>
        </w:rPr>
        <w:footnoteReference w:id="14"/>
      </w:r>
      <w:bookmarkEnd w:id="41"/>
    </w:p>
    <w:p w14:paraId="0E640F49" w14:textId="2EE3E39C" w:rsidR="006C22B8" w:rsidRDefault="007200E9" w:rsidP="006C22B8">
      <w:pPr>
        <w:pStyle w:val="ListBullet"/>
      </w:pPr>
      <w:r>
        <w:t>Adequate hepatic, renal and h</w:t>
      </w:r>
      <w:r w:rsidR="00C736EE">
        <w:t>a</w:t>
      </w:r>
      <w:r>
        <w:t>ematopoietic function.</w:t>
      </w:r>
    </w:p>
    <w:p w14:paraId="779FA452" w14:textId="5B83AC3F" w:rsidR="00C736EE" w:rsidRPr="004E669C" w:rsidRDefault="00C736EE" w:rsidP="000B3827">
      <w:pPr>
        <w:pStyle w:val="Heading6"/>
      </w:pPr>
      <w:r>
        <w:t>Exclusion criteria</w:t>
      </w:r>
    </w:p>
    <w:p w14:paraId="7E081B83" w14:textId="58055FDA" w:rsidR="006C22B8" w:rsidRDefault="006C22B8" w:rsidP="006C22B8">
      <w:pPr>
        <w:pStyle w:val="ListBullet"/>
        <w:numPr>
          <w:ilvl w:val="0"/>
          <w:numId w:val="0"/>
        </w:numPr>
      </w:pPr>
      <w:r>
        <w:t>Exclusion criteria</w:t>
      </w:r>
      <w:r w:rsidR="001F0BC7">
        <w:t xml:space="preserve"> includes</w:t>
      </w:r>
      <w:r>
        <w:t>:</w:t>
      </w:r>
    </w:p>
    <w:p w14:paraId="012E2D74" w14:textId="0DF3996E" w:rsidR="006C22B8" w:rsidRDefault="006C22B8" w:rsidP="006C22B8">
      <w:pPr>
        <w:pStyle w:val="ListBullet"/>
      </w:pPr>
      <w:r>
        <w:t xml:space="preserve">Prior exposure to a </w:t>
      </w:r>
      <w:r w:rsidR="00C736EE">
        <w:t>selective inhibitor of nuclear export (</w:t>
      </w:r>
      <w:r>
        <w:t>SINE</w:t>
      </w:r>
      <w:r w:rsidR="00C736EE">
        <w:t>)</w:t>
      </w:r>
      <w:r>
        <w:t xml:space="preserve"> compound, including </w:t>
      </w:r>
      <w:proofErr w:type="spellStart"/>
      <w:r>
        <w:t>selinexor</w:t>
      </w:r>
      <w:proofErr w:type="spellEnd"/>
      <w:r>
        <w:t>.</w:t>
      </w:r>
    </w:p>
    <w:p w14:paraId="63925DFB" w14:textId="0F4D49AD" w:rsidR="006C22B8" w:rsidRDefault="006C22B8" w:rsidP="006C22B8">
      <w:pPr>
        <w:pStyle w:val="ListBullet"/>
      </w:pPr>
      <w:r>
        <w:t>Prior malignancy that required treatment or shown evidence of recurrence (except for non</w:t>
      </w:r>
      <w:r w:rsidR="00C736EE">
        <w:noBreakHyphen/>
      </w:r>
      <w:r>
        <w:t xml:space="preserve">melanoma skin cancer or adequately treated cervical carcinoma </w:t>
      </w:r>
      <w:r w:rsidRPr="00E9477C">
        <w:rPr>
          <w:i/>
          <w:iCs/>
        </w:rPr>
        <w:t>in situ</w:t>
      </w:r>
      <w:r>
        <w:t xml:space="preserve">) during </w:t>
      </w:r>
      <w:r>
        <w:lastRenderedPageBreak/>
        <w:t>the 5 years prior to randomisation. Cancer treated with curative intent for &gt;</w:t>
      </w:r>
      <w:r w:rsidR="007C7518">
        <w:t> </w:t>
      </w:r>
      <w:r>
        <w:t>5 years previously and without evidence of recurrence were allowed.</w:t>
      </w:r>
    </w:p>
    <w:p w14:paraId="012C51C9" w14:textId="41EBBB3E" w:rsidR="006C22B8" w:rsidRDefault="006C22B8" w:rsidP="006C22B8">
      <w:pPr>
        <w:pStyle w:val="ListBullet"/>
      </w:pPr>
      <w:r>
        <w:t>Presence of any concurrent medical condition or disease (</w:t>
      </w:r>
      <w:r w:rsidR="007C7518">
        <w:t>for example,</w:t>
      </w:r>
      <w:r>
        <w:t xml:space="preserve"> uncontrolled active hypertension, uncontrolled active diabetes, active systemic infection) that could interfere with study procedures.</w:t>
      </w:r>
    </w:p>
    <w:p w14:paraId="1C4A44AB" w14:textId="6F5E8120" w:rsidR="006C22B8" w:rsidRDefault="006C22B8" w:rsidP="006C22B8">
      <w:pPr>
        <w:pStyle w:val="ListBullet"/>
      </w:pPr>
      <w:r>
        <w:t xml:space="preserve">Uncontrolled active infection requiring parenteral antibiotics, antivirals, or antifungals within </w:t>
      </w:r>
      <w:r w:rsidR="007C7518">
        <w:t>one</w:t>
      </w:r>
      <w:r>
        <w:t xml:space="preserve"> week prior to </w:t>
      </w:r>
      <w:r w:rsidR="00305F9A">
        <w:t>Cycle 1 Day 1</w:t>
      </w:r>
      <w:r>
        <w:t xml:space="preserve">. Patients on prophylactic antibiotics or with a controlled infection within 1 week prior to </w:t>
      </w:r>
      <w:r w:rsidR="00305F9A">
        <w:t>Cycle 1 Day 1</w:t>
      </w:r>
      <w:r>
        <w:t xml:space="preserve"> were acceptable.</w:t>
      </w:r>
    </w:p>
    <w:p w14:paraId="683913E2" w14:textId="77777777" w:rsidR="006C22B8" w:rsidRDefault="006C22B8" w:rsidP="006C22B8">
      <w:pPr>
        <w:pStyle w:val="ListBullet"/>
      </w:pPr>
      <w:r>
        <w:t>Active plasma cell leukemia.</w:t>
      </w:r>
    </w:p>
    <w:p w14:paraId="70BCC08B" w14:textId="77777777" w:rsidR="006C22B8" w:rsidRDefault="006C22B8" w:rsidP="006C22B8">
      <w:pPr>
        <w:pStyle w:val="ListBullet"/>
      </w:pPr>
      <w:r>
        <w:t>Documented systemic light chain amyloidosis.</w:t>
      </w:r>
    </w:p>
    <w:p w14:paraId="14338B2F" w14:textId="3E7C9337" w:rsidR="006C22B8" w:rsidRDefault="006C22B8" w:rsidP="006C22B8">
      <w:pPr>
        <w:pStyle w:val="ListBullet"/>
      </w:pPr>
      <w:r>
        <w:t>M</w:t>
      </w:r>
      <w:r w:rsidR="007C7518">
        <w:t>ultiple myeloma</w:t>
      </w:r>
      <w:r>
        <w:t xml:space="preserve"> involving the central nervous system.</w:t>
      </w:r>
    </w:p>
    <w:p w14:paraId="186F5920" w14:textId="77777777" w:rsidR="006C22B8" w:rsidRDefault="006C22B8" w:rsidP="006C22B8">
      <w:pPr>
        <w:pStyle w:val="ListBullet"/>
      </w:pPr>
      <w:r>
        <w:t>Polyneuropathy, organomegaly, endocrinopathy, monoclonal gammopathy, and skin changes syndrome.</w:t>
      </w:r>
    </w:p>
    <w:p w14:paraId="02BAEC4F" w14:textId="77777777" w:rsidR="006C22B8" w:rsidRDefault="006C22B8" w:rsidP="006C22B8">
      <w:pPr>
        <w:pStyle w:val="ListBullet"/>
      </w:pPr>
      <w:r>
        <w:t>Spinal cord compression.</w:t>
      </w:r>
    </w:p>
    <w:p w14:paraId="58083158" w14:textId="7DC4AE63" w:rsidR="006C22B8" w:rsidRDefault="006C22B8" w:rsidP="006C22B8">
      <w:pPr>
        <w:pStyle w:val="ListBullet"/>
      </w:pPr>
      <w:r>
        <w:t>Greater than Grade 2 peripheral neuropathy or Grade ≥</w:t>
      </w:r>
      <w:r w:rsidR="007C7518">
        <w:t> </w:t>
      </w:r>
      <w:r>
        <w:t xml:space="preserve">2 </w:t>
      </w:r>
      <w:r w:rsidR="00305F9A">
        <w:t>peripheral neuropathy</w:t>
      </w:r>
      <w:r>
        <w:t xml:space="preserve"> with pain at </w:t>
      </w:r>
      <w:r w:rsidR="007C7518">
        <w:t>B</w:t>
      </w:r>
      <w:r>
        <w:t xml:space="preserve">aseline, regardless of </w:t>
      </w:r>
      <w:proofErr w:type="gramStart"/>
      <w:r>
        <w:t>whether or not</w:t>
      </w:r>
      <w:proofErr w:type="gramEnd"/>
      <w:r>
        <w:t xml:space="preserve"> the patient was currently receiving medication.</w:t>
      </w:r>
    </w:p>
    <w:p w14:paraId="4D59E1F9" w14:textId="00359E36" w:rsidR="006C22B8" w:rsidRDefault="006C22B8" w:rsidP="006C22B8">
      <w:pPr>
        <w:pStyle w:val="ListBullet"/>
      </w:pPr>
      <w:r>
        <w:t>Known intolerance, hypersensitivity, or contraindication to glucocorticoids.</w:t>
      </w:r>
    </w:p>
    <w:p w14:paraId="0C3EF89C" w14:textId="2D565D75" w:rsidR="006C22B8" w:rsidRDefault="006C22B8" w:rsidP="006C22B8">
      <w:pPr>
        <w:pStyle w:val="ListBullet"/>
      </w:pPr>
      <w:r>
        <w:t>Radiation, chemotherapy, or immunotherapy or any other anti-cancer therapy (including investigational therapies) ≤</w:t>
      </w:r>
      <w:r w:rsidR="007C7518">
        <w:t> </w:t>
      </w:r>
      <w:r>
        <w:t xml:space="preserve">2 weeks prior to </w:t>
      </w:r>
      <w:r w:rsidR="00305F9A">
        <w:t>Cycle 1 Day 1</w:t>
      </w:r>
      <w:r>
        <w:t xml:space="preserve">. Localised radiation to a single site at least </w:t>
      </w:r>
      <w:r w:rsidR="007C7518">
        <w:t>one</w:t>
      </w:r>
      <w:r>
        <w:t xml:space="preserve"> week before </w:t>
      </w:r>
      <w:r w:rsidR="00305F9A">
        <w:t>Cycle 1 Day 1</w:t>
      </w:r>
      <w:r>
        <w:t xml:space="preserve"> was permitted.</w:t>
      </w:r>
    </w:p>
    <w:p w14:paraId="66D42268" w14:textId="3621E0E6" w:rsidR="006C22B8" w:rsidRDefault="006C22B8" w:rsidP="006C22B8">
      <w:pPr>
        <w:pStyle w:val="ListBullet"/>
      </w:pPr>
      <w:r>
        <w:t xml:space="preserve">Glucocorticoids within </w:t>
      </w:r>
      <w:r w:rsidR="007C7518">
        <w:t>two</w:t>
      </w:r>
      <w:r>
        <w:t xml:space="preserve"> weeks of </w:t>
      </w:r>
      <w:r w:rsidR="00305F9A">
        <w:t>Cycle 1 Day 1</w:t>
      </w:r>
      <w:r>
        <w:t xml:space="preserve"> permitted. Patients on long-term glucocorticoids required to tolerate the specified dexamethasone dose in this study.</w:t>
      </w:r>
    </w:p>
    <w:p w14:paraId="7338D049" w14:textId="257633EA" w:rsidR="006C22B8" w:rsidRDefault="006C22B8" w:rsidP="006C22B8">
      <w:pPr>
        <w:pStyle w:val="ListBullet"/>
      </w:pPr>
      <w:r>
        <w:t>Prior autologous stem cell transplantation &lt;</w:t>
      </w:r>
      <w:r w:rsidR="00F415EF">
        <w:t xml:space="preserve"> </w:t>
      </w:r>
      <w:r>
        <w:t xml:space="preserve">1 month or allogeneic </w:t>
      </w:r>
      <w:r w:rsidR="00305F9A">
        <w:t>stem cell transplantation</w:t>
      </w:r>
      <w:r>
        <w:t xml:space="preserve"> &lt;</w:t>
      </w:r>
      <w:r w:rsidR="00F415EF">
        <w:t> </w:t>
      </w:r>
      <w:r>
        <w:t xml:space="preserve">4 months prior to </w:t>
      </w:r>
      <w:r w:rsidR="00305F9A">
        <w:t>Cycle 1 Day 1</w:t>
      </w:r>
      <w:r>
        <w:t>.</w:t>
      </w:r>
    </w:p>
    <w:p w14:paraId="659B7EEC" w14:textId="51B82FA9" w:rsidR="006C22B8" w:rsidRDefault="006C22B8" w:rsidP="006C22B8">
      <w:pPr>
        <w:pStyle w:val="ListBullet"/>
      </w:pPr>
      <w:r>
        <w:t>Active graft versus host disease (after allogeneic</w:t>
      </w:r>
      <w:r w:rsidR="00305F9A" w:rsidRPr="00305F9A">
        <w:t xml:space="preserve"> </w:t>
      </w:r>
      <w:r w:rsidR="00305F9A">
        <w:t>stem cell transplantation</w:t>
      </w:r>
      <w:r>
        <w:t xml:space="preserve">) at </w:t>
      </w:r>
      <w:r w:rsidR="00305F9A">
        <w:t>Cycle 1 Day 1</w:t>
      </w:r>
      <w:r>
        <w:t>.</w:t>
      </w:r>
    </w:p>
    <w:p w14:paraId="19610E0F" w14:textId="77777777" w:rsidR="006C22B8" w:rsidRDefault="006C22B8" w:rsidP="006C22B8">
      <w:pPr>
        <w:pStyle w:val="ListBullet"/>
      </w:pPr>
      <w:r>
        <w:t>Pregnant or breastfeeding females.</w:t>
      </w:r>
    </w:p>
    <w:p w14:paraId="3B6525A0" w14:textId="0707C646" w:rsidR="006C22B8" w:rsidRDefault="006C22B8" w:rsidP="006C22B8">
      <w:pPr>
        <w:pStyle w:val="ListBullet"/>
      </w:pPr>
      <w:r>
        <w:t>B</w:t>
      </w:r>
      <w:r w:rsidR="00E9477C">
        <w:t xml:space="preserve">ody surface area </w:t>
      </w:r>
      <w:r>
        <w:t>&lt;</w:t>
      </w:r>
      <w:r w:rsidR="00F415EF">
        <w:t> </w:t>
      </w:r>
      <w:r>
        <w:t>1.4 m</w:t>
      </w:r>
      <w:r w:rsidRPr="00F415EF">
        <w:rPr>
          <w:vertAlign w:val="superscript"/>
        </w:rPr>
        <w:t>2</w:t>
      </w:r>
      <w:r>
        <w:t xml:space="preserve"> at </w:t>
      </w:r>
      <w:r w:rsidR="00F415EF">
        <w:t>B</w:t>
      </w:r>
      <w:r>
        <w:t>aseline, calculated by the Dubois</w:t>
      </w:r>
      <w:r w:rsidR="00E9477C">
        <w:t>;</w:t>
      </w:r>
      <w:r w:rsidR="00E9477C">
        <w:rPr>
          <w:rStyle w:val="FootnoteReference"/>
        </w:rPr>
        <w:footnoteReference w:id="15"/>
      </w:r>
      <w:r>
        <w:t xml:space="preserve"> or </w:t>
      </w:r>
      <w:proofErr w:type="spellStart"/>
      <w:r>
        <w:t>Mosteller</w:t>
      </w:r>
      <w:proofErr w:type="spellEnd"/>
      <w:r w:rsidR="00E9477C">
        <w:t>;</w:t>
      </w:r>
      <w:r w:rsidR="00E9477C">
        <w:rPr>
          <w:rStyle w:val="FootnoteReference"/>
        </w:rPr>
        <w:footnoteReference w:id="16"/>
      </w:r>
      <w:r>
        <w:t xml:space="preserve"> method.</w:t>
      </w:r>
    </w:p>
    <w:p w14:paraId="32612C3D" w14:textId="2403251B" w:rsidR="006C22B8" w:rsidRDefault="006C22B8" w:rsidP="006C22B8">
      <w:pPr>
        <w:pStyle w:val="ListBullet"/>
      </w:pPr>
      <w:r>
        <w:t>Life expectancy of &lt;</w:t>
      </w:r>
      <w:r w:rsidR="007C7518">
        <w:t> </w:t>
      </w:r>
      <w:r>
        <w:t>4 months.</w:t>
      </w:r>
    </w:p>
    <w:p w14:paraId="54EAF414" w14:textId="587089C7" w:rsidR="006C22B8" w:rsidRDefault="006C22B8" w:rsidP="006C22B8">
      <w:pPr>
        <w:pStyle w:val="ListBullet"/>
      </w:pPr>
      <w:r>
        <w:t xml:space="preserve">Major surgery within 4 weeks prior to </w:t>
      </w:r>
      <w:r w:rsidR="00305F9A">
        <w:t>Cycle 1 Day 1</w:t>
      </w:r>
      <w:r>
        <w:t>.</w:t>
      </w:r>
    </w:p>
    <w:p w14:paraId="54A28DE3" w14:textId="77777777" w:rsidR="006C22B8" w:rsidRDefault="006C22B8" w:rsidP="006C22B8">
      <w:pPr>
        <w:pStyle w:val="ListBullet"/>
      </w:pPr>
      <w:r>
        <w:t>Active, unstable cardiovascular function:</w:t>
      </w:r>
    </w:p>
    <w:p w14:paraId="7B2A2982" w14:textId="247AB09A" w:rsidR="006C22B8" w:rsidRDefault="006C22B8" w:rsidP="007C7518">
      <w:pPr>
        <w:pStyle w:val="ListBullet2"/>
      </w:pPr>
      <w:r>
        <w:t>Symptomatic ischemia, or</w:t>
      </w:r>
    </w:p>
    <w:p w14:paraId="1B875D96" w14:textId="75BCF8ED" w:rsidR="006C22B8" w:rsidRDefault="006C22B8" w:rsidP="007C7518">
      <w:pPr>
        <w:pStyle w:val="ListBullet2"/>
      </w:pPr>
      <w:r>
        <w:t>Uncontrolled clinically significant conduction abnormalities (</w:t>
      </w:r>
      <w:r w:rsidR="00F415EF">
        <w:t>for example</w:t>
      </w:r>
      <w:r>
        <w:t xml:space="preserve">, patients with </w:t>
      </w:r>
      <w:r w:rsidR="00783A97">
        <w:t>v</w:t>
      </w:r>
      <w:r w:rsidR="00783A97" w:rsidRPr="00783A97">
        <w:t xml:space="preserve">entricular tachycardia </w:t>
      </w:r>
      <w:r>
        <w:t>on anti-</w:t>
      </w:r>
      <w:proofErr w:type="spellStart"/>
      <w:r>
        <w:t>arrhythmics</w:t>
      </w:r>
      <w:proofErr w:type="spellEnd"/>
      <w:r>
        <w:t xml:space="preserve"> excluded; patients with first-degree </w:t>
      </w:r>
      <w:r w:rsidR="00783A97" w:rsidRPr="00783A97">
        <w:t>atrioventricular</w:t>
      </w:r>
      <w:r>
        <w:t xml:space="preserve"> block or asymptomatic </w:t>
      </w:r>
      <w:r w:rsidR="00C736EE">
        <w:t>left anterior fascicular block (</w:t>
      </w:r>
      <w:r>
        <w:t>LAFB</w:t>
      </w:r>
      <w:r w:rsidR="00C736EE">
        <w:t>)</w:t>
      </w:r>
      <w:r>
        <w:t>/</w:t>
      </w:r>
      <w:r w:rsidR="00C736EE">
        <w:t>right bundle branch block (</w:t>
      </w:r>
      <w:r>
        <w:t>RBBB</w:t>
      </w:r>
      <w:r w:rsidR="00C736EE">
        <w:t>)</w:t>
      </w:r>
      <w:r>
        <w:t xml:space="preserve"> not excluded), or</w:t>
      </w:r>
    </w:p>
    <w:p w14:paraId="331DF2A0" w14:textId="2BC43FAE" w:rsidR="006C22B8" w:rsidRDefault="006C22B8" w:rsidP="007C7518">
      <w:pPr>
        <w:pStyle w:val="ListBullet2"/>
      </w:pPr>
      <w:r>
        <w:lastRenderedPageBreak/>
        <w:t xml:space="preserve">Congestive heart failure of </w:t>
      </w:r>
      <w:r w:rsidR="00783A97">
        <w:t>New York Heart Association (</w:t>
      </w:r>
      <w:r>
        <w:t>NYHA</w:t>
      </w:r>
      <w:r w:rsidR="00783A97">
        <w:t>)</w:t>
      </w:r>
      <w:r>
        <w:t xml:space="preserve"> Class ≥</w:t>
      </w:r>
      <w:r w:rsidR="00B90F4F">
        <w:t> </w:t>
      </w:r>
      <w:r>
        <w:t>3</w:t>
      </w:r>
      <w:r w:rsidR="00E9477C">
        <w:t>;</w:t>
      </w:r>
      <w:r w:rsidR="00E9477C">
        <w:rPr>
          <w:rStyle w:val="FootnoteReference"/>
        </w:rPr>
        <w:footnoteReference w:id="17"/>
      </w:r>
      <w:r>
        <w:t xml:space="preserve"> or known </w:t>
      </w:r>
      <w:r w:rsidR="00E9477C">
        <w:t>left ventricular ejection fraction</w:t>
      </w:r>
      <w:r>
        <w:t xml:space="preserve"> &lt;</w:t>
      </w:r>
      <w:r w:rsidR="00F415EF">
        <w:t> </w:t>
      </w:r>
      <w:r>
        <w:t>40%, or</w:t>
      </w:r>
    </w:p>
    <w:p w14:paraId="1EF1A145" w14:textId="0D1C25B2" w:rsidR="006C22B8" w:rsidRDefault="006C22B8" w:rsidP="007C7518">
      <w:pPr>
        <w:pStyle w:val="ListBullet2"/>
      </w:pPr>
      <w:r>
        <w:t xml:space="preserve">Myocardial infarction within 3 months prior to </w:t>
      </w:r>
      <w:r w:rsidR="00305F9A">
        <w:t>Cycle 1 Day 1</w:t>
      </w:r>
      <w:r>
        <w:t>.</w:t>
      </w:r>
    </w:p>
    <w:p w14:paraId="36C48FEF" w14:textId="126AEA2C" w:rsidR="006C22B8" w:rsidRDefault="006C22B8" w:rsidP="006C22B8">
      <w:pPr>
        <w:pStyle w:val="ListBullet"/>
      </w:pPr>
      <w:r>
        <w:t xml:space="preserve">Known active </w:t>
      </w:r>
      <w:r w:rsidR="00F415EF">
        <w:t>human immunodeficiency virus (</w:t>
      </w:r>
      <w:r>
        <w:t>HIV</w:t>
      </w:r>
      <w:r w:rsidR="00F415EF">
        <w:t>)</w:t>
      </w:r>
      <w:r>
        <w:t xml:space="preserve"> infection or HIV seropositivity.</w:t>
      </w:r>
    </w:p>
    <w:p w14:paraId="2DD2A2AF" w14:textId="77777777" w:rsidR="006C22B8" w:rsidRDefault="006C22B8" w:rsidP="006C22B8">
      <w:pPr>
        <w:pStyle w:val="ListBullet"/>
      </w:pPr>
      <w:r>
        <w:t>Known active hepatitis A, B, or C infection; or known to be positive for hepatitis C virus ribonucleic acid (RNA) or hepatitis B virus surface antigen.</w:t>
      </w:r>
    </w:p>
    <w:p w14:paraId="04B7EBC5" w14:textId="77777777" w:rsidR="006C22B8" w:rsidRDefault="006C22B8" w:rsidP="006C22B8">
      <w:pPr>
        <w:pStyle w:val="ListBullet"/>
      </w:pPr>
      <w:r>
        <w:t>Any active gastrointestinal dysfunction interfering with the patient’s ability to swallow tablets, or that could interfere with absorption of study treatment.</w:t>
      </w:r>
    </w:p>
    <w:p w14:paraId="1EDC9007" w14:textId="35FA8A22" w:rsidR="006C22B8" w:rsidRDefault="006C22B8" w:rsidP="006C22B8">
      <w:pPr>
        <w:pStyle w:val="ListBullet"/>
      </w:pPr>
      <w:r>
        <w:t xml:space="preserve">Any active, serious psychiatric, medical, or other conditions/situations that, in the opinion of the </w:t>
      </w:r>
      <w:r w:rsidR="00C736EE">
        <w:t>i</w:t>
      </w:r>
      <w:r>
        <w:t>nvestigator, could interfere with treatment, compliance, or the ability to give informed consent.</w:t>
      </w:r>
    </w:p>
    <w:p w14:paraId="5D637AB1" w14:textId="0E8E1D82" w:rsidR="006C22B8" w:rsidRPr="007C7518" w:rsidRDefault="006C22B8" w:rsidP="007C7518">
      <w:pPr>
        <w:pStyle w:val="ListBullet"/>
      </w:pPr>
      <w:r w:rsidRPr="007C7518">
        <w:t>Contraindication to any of the required concomitant drugs or supportive treatments.</w:t>
      </w:r>
    </w:p>
    <w:p w14:paraId="0AE7A83E" w14:textId="1E416ACD" w:rsidR="00B90F4F" w:rsidRDefault="00B90F4F" w:rsidP="006A4BD2">
      <w:pPr>
        <w:pStyle w:val="Heading6"/>
      </w:pPr>
      <w:r>
        <w:t>Treatment</w:t>
      </w:r>
      <w:r w:rsidR="00CD6038">
        <w:t xml:space="preserve"> regimens</w:t>
      </w:r>
    </w:p>
    <w:p w14:paraId="26DB9F5F" w14:textId="6791FE4F" w:rsidR="00CD6038" w:rsidRDefault="00C736EE" w:rsidP="00CD6038">
      <w:pPr>
        <w:pStyle w:val="ListBullet"/>
        <w:numPr>
          <w:ilvl w:val="0"/>
          <w:numId w:val="0"/>
        </w:numPr>
        <w:ind w:left="360" w:hanging="360"/>
        <w:rPr>
          <w:rFonts w:asciiTheme="minorHAnsi" w:hAnsiTheme="minorHAnsi" w:cs="Calibri"/>
          <w:lang w:eastAsia="ja-JP"/>
        </w:rPr>
      </w:pPr>
      <w:r>
        <w:t xml:space="preserve">The </w:t>
      </w:r>
      <w:proofErr w:type="spellStart"/>
      <w:r>
        <w:t>s</w:t>
      </w:r>
      <w:r w:rsidR="00CD6038" w:rsidRPr="00773FB9">
        <w:rPr>
          <w:rFonts w:asciiTheme="minorHAnsi" w:hAnsiTheme="minorHAnsi" w:cs="Calibri"/>
          <w:lang w:eastAsia="ja-JP"/>
        </w:rPr>
        <w:t>elinexor</w:t>
      </w:r>
      <w:proofErr w:type="spellEnd"/>
      <w:r w:rsidR="00CD6038" w:rsidRPr="00773FB9">
        <w:rPr>
          <w:rFonts w:asciiTheme="minorHAnsi" w:hAnsiTheme="minorHAnsi" w:cs="Calibri"/>
          <w:lang w:eastAsia="ja-JP"/>
        </w:rPr>
        <w:t>, bortezomib, and dexamethasone</w:t>
      </w:r>
      <w:r>
        <w:rPr>
          <w:rFonts w:asciiTheme="minorHAnsi" w:hAnsiTheme="minorHAnsi" w:cs="Calibri"/>
          <w:lang w:eastAsia="ja-JP"/>
        </w:rPr>
        <w:t xml:space="preserve"> (</w:t>
      </w:r>
      <w:proofErr w:type="spellStart"/>
      <w:r>
        <w:rPr>
          <w:rFonts w:asciiTheme="minorHAnsi" w:hAnsiTheme="minorHAnsi" w:cs="Calibri"/>
          <w:lang w:eastAsia="ja-JP"/>
        </w:rPr>
        <w:t>SVd</w:t>
      </w:r>
      <w:proofErr w:type="spellEnd"/>
      <w:r>
        <w:rPr>
          <w:rFonts w:asciiTheme="minorHAnsi" w:hAnsiTheme="minorHAnsi" w:cs="Calibri"/>
          <w:lang w:eastAsia="ja-JP"/>
        </w:rPr>
        <w:t xml:space="preserve">) </w:t>
      </w:r>
      <w:r w:rsidR="00860761">
        <w:rPr>
          <w:rFonts w:asciiTheme="minorHAnsi" w:hAnsiTheme="minorHAnsi" w:cs="Calibri"/>
          <w:lang w:eastAsia="ja-JP"/>
        </w:rPr>
        <w:t xml:space="preserve">treatment </w:t>
      </w:r>
      <w:r>
        <w:rPr>
          <w:rFonts w:asciiTheme="minorHAnsi" w:hAnsiTheme="minorHAnsi" w:cs="Calibri"/>
          <w:lang w:eastAsia="ja-JP"/>
        </w:rPr>
        <w:t>regimen consisted of</w:t>
      </w:r>
      <w:r w:rsidR="00CD6038">
        <w:rPr>
          <w:rFonts w:asciiTheme="minorHAnsi" w:hAnsiTheme="minorHAnsi" w:cs="Calibri"/>
          <w:lang w:eastAsia="ja-JP"/>
        </w:rPr>
        <w:t>:</w:t>
      </w:r>
    </w:p>
    <w:p w14:paraId="74989225" w14:textId="66D6133C" w:rsidR="00B90F4F" w:rsidRDefault="00B90F4F" w:rsidP="00CD6038">
      <w:pPr>
        <w:pStyle w:val="ListBullet"/>
      </w:pPr>
      <w:proofErr w:type="spellStart"/>
      <w:r>
        <w:t>selinexor</w:t>
      </w:r>
      <w:proofErr w:type="spellEnd"/>
      <w:r w:rsidR="00C736EE">
        <w:t xml:space="preserve">: </w:t>
      </w:r>
      <w:r>
        <w:t xml:space="preserve">100 mg oral dose on Days 1, 8, 15, 22, and 29 of each 35-day cycle </w:t>
      </w:r>
      <w:r w:rsidR="00F415EF">
        <w:t>once weekly</w:t>
      </w:r>
    </w:p>
    <w:p w14:paraId="1C2B9AF7" w14:textId="2216E907" w:rsidR="00B90F4F" w:rsidRDefault="00B90F4F" w:rsidP="00B90F4F">
      <w:pPr>
        <w:pStyle w:val="ListBullet"/>
      </w:pPr>
      <w:r>
        <w:t>bortezomib</w:t>
      </w:r>
      <w:r w:rsidR="00C736EE">
        <w:t>:</w:t>
      </w:r>
      <w:r>
        <w:t xml:space="preserve"> 1.3 mg/m</w:t>
      </w:r>
      <w:r w:rsidRPr="00E9477C">
        <w:rPr>
          <w:vertAlign w:val="superscript"/>
        </w:rPr>
        <w:t>2</w:t>
      </w:r>
      <w:r>
        <w:t xml:space="preserve"> </w:t>
      </w:r>
      <w:r w:rsidR="00E9477C">
        <w:t>subcutaneously</w:t>
      </w:r>
      <w:r>
        <w:t xml:space="preserve"> on Days 1, 8, 15, and 22 of each 35-day cycle (</w:t>
      </w:r>
      <w:r w:rsidR="00F415EF">
        <w:t>that is</w:t>
      </w:r>
      <w:r>
        <w:t xml:space="preserve"> 4 of every 5 weeks)</w:t>
      </w:r>
    </w:p>
    <w:p w14:paraId="33764493" w14:textId="787E61EF" w:rsidR="00CD6038" w:rsidRDefault="00B90F4F" w:rsidP="00CD6038">
      <w:pPr>
        <w:pStyle w:val="ListBullet"/>
      </w:pPr>
      <w:r>
        <w:t>dexamethasone</w:t>
      </w:r>
      <w:r w:rsidR="00C736EE">
        <w:t>:</w:t>
      </w:r>
      <w:r>
        <w:t xml:space="preserve"> 20 mg an oral dose on Days 1, 2, 8, 9, 15, 16, 22, 23, 29, and 30 of each 35-day cycle</w:t>
      </w:r>
    </w:p>
    <w:p w14:paraId="162FFA68" w14:textId="3DACCC46" w:rsidR="00B90F4F" w:rsidRDefault="00860761" w:rsidP="00B90F4F">
      <w:pPr>
        <w:pStyle w:val="ListBullet"/>
        <w:numPr>
          <w:ilvl w:val="0"/>
          <w:numId w:val="0"/>
        </w:numPr>
      </w:pPr>
      <w:r>
        <w:rPr>
          <w:lang w:eastAsia="ja-JP"/>
        </w:rPr>
        <w:t>The b</w:t>
      </w:r>
      <w:r w:rsidR="00CD6038" w:rsidRPr="00773FB9">
        <w:rPr>
          <w:lang w:eastAsia="ja-JP"/>
        </w:rPr>
        <w:t>ortezomib and dexamethasone</w:t>
      </w:r>
      <w:r w:rsidR="00B6085E">
        <w:rPr>
          <w:lang w:eastAsia="ja-JP"/>
        </w:rPr>
        <w:t xml:space="preserve"> </w:t>
      </w:r>
      <w:r>
        <w:rPr>
          <w:lang w:eastAsia="ja-JP"/>
        </w:rPr>
        <w:t>(</w:t>
      </w:r>
      <w:proofErr w:type="spellStart"/>
      <w:r>
        <w:rPr>
          <w:lang w:eastAsia="ja-JP"/>
        </w:rPr>
        <w:t>Vd</w:t>
      </w:r>
      <w:proofErr w:type="spellEnd"/>
      <w:r>
        <w:rPr>
          <w:lang w:eastAsia="ja-JP"/>
        </w:rPr>
        <w:t>) treatment regimen consisted of</w:t>
      </w:r>
      <w:r w:rsidR="00CD6038">
        <w:t>:</w:t>
      </w:r>
    </w:p>
    <w:p w14:paraId="49A62200" w14:textId="35DB5471" w:rsidR="00B90F4F" w:rsidRDefault="00B90F4F" w:rsidP="00B90F4F">
      <w:pPr>
        <w:pStyle w:val="ListBullet"/>
      </w:pPr>
      <w:r>
        <w:t>bortezomib</w:t>
      </w:r>
      <w:r w:rsidR="00860761">
        <w:t>:</w:t>
      </w:r>
      <w:r>
        <w:t xml:space="preserve"> 1.3 mg/m</w:t>
      </w:r>
      <w:r w:rsidRPr="00F415EF">
        <w:rPr>
          <w:vertAlign w:val="superscript"/>
        </w:rPr>
        <w:t>2</w:t>
      </w:r>
      <w:r>
        <w:t xml:space="preserve"> </w:t>
      </w:r>
      <w:r w:rsidR="00F415EF">
        <w:t>subcutaneously</w:t>
      </w:r>
      <w:r>
        <w:t xml:space="preserve"> on Days 1, 4, 8, and 11 of each 21-day cycle for the first 8 cycles and for Cycles ≥</w:t>
      </w:r>
      <w:r w:rsidR="00F415EF">
        <w:t> </w:t>
      </w:r>
      <w:r>
        <w:t xml:space="preserve">9 on Days 1, 8, 15, and 22 of each 35-day cycle </w:t>
      </w:r>
    </w:p>
    <w:p w14:paraId="05733903" w14:textId="50CA92A1" w:rsidR="00B90F4F" w:rsidRDefault="00B90F4F" w:rsidP="00B90F4F">
      <w:pPr>
        <w:pStyle w:val="ListBullet"/>
      </w:pPr>
      <w:r>
        <w:t>dexamethasone 20 mg oral dose on Days 1, 2, 4, 5, 8, 9, 11, and 12 of each 21-day cycle for the first 8 cycles and for Cycles ≥</w:t>
      </w:r>
      <w:r w:rsidR="00F415EF">
        <w:t> </w:t>
      </w:r>
      <w:r>
        <w:t>9, dexamethasone on Days 1, 2, 8, 9, 15, 16, 22, 23, 29, and 30 of each 35-day cycle.</w:t>
      </w:r>
    </w:p>
    <w:p w14:paraId="33A3A9BA" w14:textId="5C82E518" w:rsidR="00CC7616" w:rsidRDefault="00B90F4F" w:rsidP="00CC7616">
      <w:r>
        <w:t xml:space="preserve">There was no maximum treatment duration, and patients remained on study treatment until </w:t>
      </w:r>
      <w:r w:rsidR="00E9477C">
        <w:t>progressive disease</w:t>
      </w:r>
      <w:r>
        <w:t xml:space="preserve"> (by </w:t>
      </w:r>
      <w:r w:rsidR="009A2C9F" w:rsidRPr="009A2C9F">
        <w:t xml:space="preserve">independent review committees </w:t>
      </w:r>
      <w:r w:rsidR="009A2C9F">
        <w:t>(</w:t>
      </w:r>
      <w:r>
        <w:t>IRC</w:t>
      </w:r>
      <w:r w:rsidR="009A2C9F">
        <w:t>)</w:t>
      </w:r>
      <w:r>
        <w:t>), or they discontinued study treatment.</w:t>
      </w:r>
    </w:p>
    <w:p w14:paraId="23B3D4CB" w14:textId="29256D5A" w:rsidR="00B90F4F" w:rsidRDefault="00B90F4F" w:rsidP="00CC7616">
      <w:r>
        <w:t xml:space="preserve">After </w:t>
      </w:r>
      <w:r w:rsidR="00E9477C">
        <w:t>progressive disease</w:t>
      </w:r>
      <w:r>
        <w:t xml:space="preserve"> (by IRC)</w:t>
      </w:r>
      <w:r w:rsidR="00CC7616">
        <w:t xml:space="preserve">, </w:t>
      </w:r>
      <w:r w:rsidR="00860761">
        <w:t xml:space="preserve">patients receiving </w:t>
      </w:r>
      <w:proofErr w:type="spellStart"/>
      <w:r w:rsidR="00860761">
        <w:t>s</w:t>
      </w:r>
      <w:r w:rsidR="00860761" w:rsidRPr="006F009F">
        <w:t>elinexor</w:t>
      </w:r>
      <w:proofErr w:type="spellEnd"/>
      <w:r w:rsidR="00860761">
        <w:t xml:space="preserve">, </w:t>
      </w:r>
      <w:r w:rsidR="00860761" w:rsidRPr="006F009F">
        <w:t>bortezomib and dexamethasone</w:t>
      </w:r>
      <w:r w:rsidR="00860761">
        <w:t xml:space="preserve"> (</w:t>
      </w:r>
      <w:proofErr w:type="spellStart"/>
      <w:r>
        <w:t>SVd</w:t>
      </w:r>
      <w:proofErr w:type="spellEnd"/>
      <w:r w:rsidR="00860761">
        <w:t>)</w:t>
      </w:r>
      <w:r>
        <w:t xml:space="preserve"> completed the </w:t>
      </w:r>
      <w:r w:rsidR="00E9477C">
        <w:t>e</w:t>
      </w:r>
      <w:r>
        <w:t xml:space="preserve">nd of </w:t>
      </w:r>
      <w:r w:rsidR="00E9477C">
        <w:t>t</w:t>
      </w:r>
      <w:r>
        <w:t>reatment (</w:t>
      </w:r>
      <w:proofErr w:type="spellStart"/>
      <w:r>
        <w:t>EoT</w:t>
      </w:r>
      <w:proofErr w:type="spellEnd"/>
      <w:r>
        <w:t xml:space="preserve">) </w:t>
      </w:r>
      <w:r w:rsidR="00E9477C">
        <w:t>v</w:t>
      </w:r>
      <w:r>
        <w:t>isit and were followed for survival;</w:t>
      </w:r>
      <w:r w:rsidR="00CC7616">
        <w:t xml:space="preserve"> </w:t>
      </w:r>
      <w:r w:rsidR="00860761" w:rsidRPr="006F009F">
        <w:t>bortezomib and dexamethasone</w:t>
      </w:r>
      <w:r w:rsidR="00860761">
        <w:t xml:space="preserve"> (</w:t>
      </w:r>
      <w:proofErr w:type="spellStart"/>
      <w:r>
        <w:t>Vd</w:t>
      </w:r>
      <w:proofErr w:type="spellEnd"/>
      <w:r w:rsidR="00860761">
        <w:t>)</w:t>
      </w:r>
      <w:r>
        <w:t xml:space="preserve"> patients could:</w:t>
      </w:r>
    </w:p>
    <w:p w14:paraId="44F72EB0" w14:textId="1C1651B1" w:rsidR="00B90F4F" w:rsidRPr="00F415EF" w:rsidRDefault="00B90F4F" w:rsidP="00F415EF">
      <w:pPr>
        <w:pStyle w:val="ListBullet"/>
      </w:pPr>
      <w:r w:rsidRPr="00F415EF">
        <w:t>cross</w:t>
      </w:r>
      <w:r w:rsidR="004A25E9">
        <w:t>-</w:t>
      </w:r>
      <w:r w:rsidRPr="00F415EF">
        <w:t xml:space="preserve">over to receive </w:t>
      </w:r>
      <w:proofErr w:type="spellStart"/>
      <w:r w:rsidRPr="00F415EF">
        <w:t>SVd</w:t>
      </w:r>
      <w:proofErr w:type="spellEnd"/>
      <w:r w:rsidRPr="00F415EF">
        <w:t xml:space="preserve"> </w:t>
      </w:r>
      <w:r w:rsidR="00E9477C">
        <w:t>(</w:t>
      </w:r>
      <w:r w:rsidR="00860761">
        <w:t xml:space="preserve">the cross over to </w:t>
      </w:r>
      <w:proofErr w:type="spellStart"/>
      <w:r w:rsidRPr="00F415EF">
        <w:t>SVd</w:t>
      </w:r>
      <w:proofErr w:type="spellEnd"/>
      <w:r w:rsidRPr="00F415EF">
        <w:t xml:space="preserve"> arm</w:t>
      </w:r>
      <w:r w:rsidR="00E9477C">
        <w:t>)</w:t>
      </w:r>
      <w:r w:rsidRPr="00F415EF">
        <w:t>,</w:t>
      </w:r>
    </w:p>
    <w:p w14:paraId="0C9EFA84" w14:textId="01950DC9" w:rsidR="00B90F4F" w:rsidRPr="00F415EF" w:rsidRDefault="00B90F4F" w:rsidP="00F415EF">
      <w:pPr>
        <w:pStyle w:val="ListBullet"/>
      </w:pPr>
      <w:r w:rsidRPr="00F415EF">
        <w:t xml:space="preserve">cross-over to receive </w:t>
      </w:r>
      <w:proofErr w:type="spellStart"/>
      <w:r w:rsidRPr="00F415EF">
        <w:t>selinexor</w:t>
      </w:r>
      <w:proofErr w:type="spellEnd"/>
      <w:r w:rsidRPr="00F415EF">
        <w:t xml:space="preserve"> </w:t>
      </w:r>
      <w:r w:rsidR="00E9477C">
        <w:t>plus</w:t>
      </w:r>
      <w:r w:rsidRPr="00F415EF">
        <w:t xml:space="preserve"> low-dose dexamethasone </w:t>
      </w:r>
      <w:r w:rsidR="00E9477C">
        <w:t>(</w:t>
      </w:r>
      <w:r w:rsidR="00860761">
        <w:t xml:space="preserve">the cross over to </w:t>
      </w:r>
      <w:proofErr w:type="spellStart"/>
      <w:r w:rsidR="00860761">
        <w:t>selinexor</w:t>
      </w:r>
      <w:proofErr w:type="spellEnd"/>
      <w:r w:rsidR="00860761">
        <w:t xml:space="preserve"> plus dexamethasone (</w:t>
      </w:r>
      <w:r w:rsidRPr="00F415EF">
        <w:t>Sd</w:t>
      </w:r>
      <w:r w:rsidR="00860761">
        <w:t>) arm</w:t>
      </w:r>
      <w:r w:rsidR="004A25E9">
        <w:t xml:space="preserve"> </w:t>
      </w:r>
      <w:r w:rsidRPr="00F415EF">
        <w:t>if intolerant to bortezomib</w:t>
      </w:r>
      <w:r w:rsidR="00B6085E">
        <w:t>)</w:t>
      </w:r>
    </w:p>
    <w:p w14:paraId="3D7C92E6" w14:textId="2D686773" w:rsidR="00B90F4F" w:rsidRPr="00F415EF" w:rsidRDefault="00B90F4F" w:rsidP="00F415EF">
      <w:pPr>
        <w:pStyle w:val="ListBullet"/>
      </w:pPr>
      <w:r w:rsidRPr="00F415EF">
        <w:t xml:space="preserve">discontinue study treatment complete the </w:t>
      </w:r>
      <w:proofErr w:type="spellStart"/>
      <w:r w:rsidR="00E9477C">
        <w:t>E</w:t>
      </w:r>
      <w:r w:rsidRPr="00F415EF">
        <w:t>oT</w:t>
      </w:r>
      <w:proofErr w:type="spellEnd"/>
      <w:r w:rsidRPr="00F415EF">
        <w:t xml:space="preserve"> </w:t>
      </w:r>
      <w:r w:rsidR="00CC7616">
        <w:t>v</w:t>
      </w:r>
      <w:r w:rsidRPr="00F415EF">
        <w:t>isit</w:t>
      </w:r>
      <w:r w:rsidR="00CC7616">
        <w:t xml:space="preserve"> </w:t>
      </w:r>
      <w:r w:rsidRPr="00F415EF">
        <w:t>and be followed for survival.</w:t>
      </w:r>
    </w:p>
    <w:p w14:paraId="6F1C62BC" w14:textId="77777777" w:rsidR="00B90F4F" w:rsidRDefault="00B90F4F" w:rsidP="006A4BD2">
      <w:pPr>
        <w:pStyle w:val="Heading6"/>
      </w:pPr>
      <w:r>
        <w:lastRenderedPageBreak/>
        <w:t>Assessments</w:t>
      </w:r>
    </w:p>
    <w:p w14:paraId="30F442DB" w14:textId="12485B0F" w:rsidR="006C22B8" w:rsidRDefault="001F0BC7" w:rsidP="001F0BC7">
      <w:r>
        <w:t>P</w:t>
      </w:r>
      <w:r w:rsidR="00B90F4F" w:rsidRPr="00F415EF">
        <w:t xml:space="preserve">atients in the </w:t>
      </w:r>
      <w:proofErr w:type="spellStart"/>
      <w:r w:rsidR="00B90F4F" w:rsidRPr="00F415EF">
        <w:t>SVd</w:t>
      </w:r>
      <w:proofErr w:type="spellEnd"/>
      <w:r w:rsidR="00B90F4F" w:rsidRPr="00F415EF">
        <w:t xml:space="preserve"> and </w:t>
      </w:r>
      <w:proofErr w:type="spellStart"/>
      <w:r w:rsidR="00B90F4F" w:rsidRPr="00F415EF">
        <w:t>Vd</w:t>
      </w:r>
      <w:proofErr w:type="spellEnd"/>
      <w:r w:rsidR="00B90F4F" w:rsidRPr="00F415EF">
        <w:t xml:space="preserve"> arms underwent 12 </w:t>
      </w:r>
      <w:r w:rsidR="00305F9A">
        <w:t>multiple myeloma</w:t>
      </w:r>
      <w:r w:rsidR="00B90F4F" w:rsidRPr="00F415EF">
        <w:t xml:space="preserve"> evaluations every </w:t>
      </w:r>
      <w:r w:rsidR="00CC7616">
        <w:t>three</w:t>
      </w:r>
      <w:r w:rsidR="00B90F4F" w:rsidRPr="00F415EF">
        <w:t xml:space="preserve"> weeks from </w:t>
      </w:r>
      <w:r w:rsidR="00E9477C">
        <w:t>B</w:t>
      </w:r>
      <w:r w:rsidR="00B90F4F" w:rsidRPr="00F415EF">
        <w:t xml:space="preserve">aseline </w:t>
      </w:r>
      <w:r w:rsidR="00305F9A">
        <w:t>multiple myeloma</w:t>
      </w:r>
      <w:r w:rsidR="00B90F4F" w:rsidRPr="00F415EF">
        <w:t xml:space="preserve"> evaluations on Cycle 1 Day 1 then every </w:t>
      </w:r>
      <w:r w:rsidR="00CC7616">
        <w:t>five</w:t>
      </w:r>
      <w:r w:rsidR="00860761">
        <w:t> </w:t>
      </w:r>
      <w:r w:rsidR="00B90F4F" w:rsidRPr="00F415EF">
        <w:t xml:space="preserve">weeks for the remainder of the study regardless of cycle length. </w:t>
      </w:r>
      <w:r w:rsidR="004A25E9">
        <w:t>The cross</w:t>
      </w:r>
      <w:r w:rsidR="004A25E9">
        <w:noBreakHyphen/>
        <w:t xml:space="preserve">over to </w:t>
      </w:r>
      <w:proofErr w:type="spellStart"/>
      <w:r w:rsidR="004A25E9">
        <w:t>SVd</w:t>
      </w:r>
      <w:proofErr w:type="spellEnd"/>
      <w:r w:rsidR="004A25E9">
        <w:t xml:space="preserve"> or </w:t>
      </w:r>
      <w:r w:rsidR="00B90F4F" w:rsidRPr="00F415EF">
        <w:t xml:space="preserve">Sd patients underwent </w:t>
      </w:r>
      <w:r w:rsidR="00305F9A">
        <w:t>multiple myeloma</w:t>
      </w:r>
      <w:r w:rsidR="00B90F4F" w:rsidRPr="00F415EF">
        <w:t xml:space="preserve"> evaluations every </w:t>
      </w:r>
      <w:r w:rsidR="00CC7616">
        <w:t>five</w:t>
      </w:r>
      <w:r w:rsidR="00B90F4F" w:rsidRPr="00F415EF">
        <w:t xml:space="preserve"> weeks.</w:t>
      </w:r>
      <w:r>
        <w:t xml:space="preserve"> </w:t>
      </w:r>
      <w:r w:rsidR="00B90F4F">
        <w:t>Responses were measured against the IMWG criteria.</w:t>
      </w:r>
      <w:bookmarkStart w:id="42" w:name="_Ref111543588"/>
      <w:r w:rsidR="00291317">
        <w:rPr>
          <w:rStyle w:val="FootnoteReference"/>
        </w:rPr>
        <w:footnoteReference w:id="18"/>
      </w:r>
      <w:bookmarkEnd w:id="42"/>
    </w:p>
    <w:p w14:paraId="16231D16" w14:textId="2BF466D4" w:rsidR="004A25E9" w:rsidRDefault="001F0BC7" w:rsidP="009D17D4">
      <w:pPr>
        <w:pStyle w:val="FigureTitle"/>
      </w:pPr>
      <w:r>
        <w:t xml:space="preserve">Figure </w:t>
      </w:r>
      <w:r w:rsidR="006737A0">
        <w:fldChar w:fldCharType="begin"/>
      </w:r>
      <w:r w:rsidR="006737A0">
        <w:instrText xml:space="preserve"> SEQ Figure \* ARABIC </w:instrText>
      </w:r>
      <w:r w:rsidR="006737A0">
        <w:fldChar w:fldCharType="separate"/>
      </w:r>
      <w:r w:rsidR="009D17D4">
        <w:rPr>
          <w:noProof/>
        </w:rPr>
        <w:t>2</w:t>
      </w:r>
      <w:r w:rsidR="006737A0">
        <w:rPr>
          <w:noProof/>
        </w:rPr>
        <w:fldChar w:fldCharType="end"/>
      </w:r>
      <w:r>
        <w:t xml:space="preserve">: </w:t>
      </w:r>
      <w:r w:rsidR="004A25E9">
        <w:t>Study KCP-330-023 (BOSTON trial)</w:t>
      </w:r>
      <w:r w:rsidR="00272F51">
        <w:t xml:space="preserve"> Patient flow</w:t>
      </w:r>
    </w:p>
    <w:p w14:paraId="0C56260F" w14:textId="233F3B3D" w:rsidR="00A734A2" w:rsidRDefault="00A734A2" w:rsidP="00A734A2">
      <w:r w:rsidRPr="003D5CF5">
        <w:rPr>
          <w:rFonts w:ascii="Calibri" w:hAnsi="Calibri" w:cs="Calibri"/>
          <w:noProof/>
          <w:sz w:val="20"/>
          <w:szCs w:val="20"/>
          <w:lang w:val="en-GB" w:eastAsia="en-GB"/>
        </w:rPr>
        <w:drawing>
          <wp:inline distT="0" distB="0" distL="0" distR="0" wp14:anchorId="47E7F63E" wp14:editId="27B7A818">
            <wp:extent cx="5400040" cy="4745526"/>
            <wp:effectExtent l="0" t="0" r="0" b="0"/>
            <wp:docPr id="69" name="Picture 69" descr="BOSTON trial patie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BOSTON trial patient flow"/>
                    <pic:cNvPicPr/>
                  </pic:nvPicPr>
                  <pic:blipFill>
                    <a:blip r:embed="rId17"/>
                    <a:stretch>
                      <a:fillRect/>
                    </a:stretch>
                  </pic:blipFill>
                  <pic:spPr>
                    <a:xfrm>
                      <a:off x="0" y="0"/>
                      <a:ext cx="5400040" cy="4745526"/>
                    </a:xfrm>
                    <a:prstGeom prst="rect">
                      <a:avLst/>
                    </a:prstGeom>
                  </pic:spPr>
                </pic:pic>
              </a:graphicData>
            </a:graphic>
          </wp:inline>
        </w:drawing>
      </w:r>
    </w:p>
    <w:p w14:paraId="5F98049B" w14:textId="05567380" w:rsidR="004A25E9" w:rsidRDefault="004A25E9" w:rsidP="000B3827">
      <w:pPr>
        <w:pStyle w:val="FigureDescription"/>
      </w:pPr>
      <w:r>
        <w:t xml:space="preserve">Abbreviations: AE = adverse event; IRC = independent review committee; Sd = </w:t>
      </w:r>
      <w:proofErr w:type="spellStart"/>
      <w:r>
        <w:t>selinexor</w:t>
      </w:r>
      <w:proofErr w:type="spellEnd"/>
      <w:r>
        <w:t xml:space="preserve"> plus dexamethasone regimen; </w:t>
      </w:r>
      <w:proofErr w:type="spellStart"/>
      <w:r>
        <w:t>SdX</w:t>
      </w:r>
      <w:proofErr w:type="spellEnd"/>
      <w:r>
        <w:t xml:space="preserve"> = cross over to </w:t>
      </w:r>
      <w:proofErr w:type="spellStart"/>
      <w:r>
        <w:t>selinexor</w:t>
      </w:r>
      <w:proofErr w:type="spellEnd"/>
      <w:r>
        <w:t xml:space="preserve"> plus dexamethasone regimen; </w:t>
      </w:r>
      <w:proofErr w:type="spellStart"/>
      <w:r>
        <w:t>SVd</w:t>
      </w:r>
      <w:proofErr w:type="spellEnd"/>
      <w:r>
        <w:t xml:space="preserve"> = </w:t>
      </w:r>
      <w:proofErr w:type="spellStart"/>
      <w:r>
        <w:t>selinexor</w:t>
      </w:r>
      <w:proofErr w:type="spellEnd"/>
      <w:r>
        <w:t xml:space="preserve">, bortezomib and dexamethasone regimen; </w:t>
      </w:r>
      <w:proofErr w:type="spellStart"/>
      <w:r>
        <w:t>SVdX</w:t>
      </w:r>
      <w:proofErr w:type="spellEnd"/>
      <w:r>
        <w:t xml:space="preserve"> = cross over to </w:t>
      </w:r>
      <w:proofErr w:type="spellStart"/>
      <w:r>
        <w:t>selinexor</w:t>
      </w:r>
      <w:proofErr w:type="spellEnd"/>
      <w:r>
        <w:t>, bortezomib and dexamethasone arm.</w:t>
      </w:r>
    </w:p>
    <w:p w14:paraId="38DC4DBF" w14:textId="77777777" w:rsidR="00A734A2" w:rsidRDefault="00A734A2" w:rsidP="006A4BD2">
      <w:pPr>
        <w:pStyle w:val="Heading6"/>
      </w:pPr>
      <w:r>
        <w:t>Baseline Characteristics</w:t>
      </w:r>
    </w:p>
    <w:p w14:paraId="7F171137" w14:textId="55FE0ABB" w:rsidR="00A734A2" w:rsidRDefault="00A734A2" w:rsidP="00A734A2">
      <w:r>
        <w:fldChar w:fldCharType="begin"/>
      </w:r>
      <w:r>
        <w:instrText xml:space="preserve"> REF _Ref111542517 \h </w:instrText>
      </w:r>
      <w:r>
        <w:fldChar w:fldCharType="separate"/>
      </w:r>
      <w:r w:rsidR="003F6139" w:rsidRPr="00A734A2">
        <w:t xml:space="preserve">Table </w:t>
      </w:r>
      <w:r w:rsidR="003F6139">
        <w:rPr>
          <w:noProof/>
        </w:rPr>
        <w:t>3</w:t>
      </w:r>
      <w:r>
        <w:fldChar w:fldCharType="end"/>
      </w:r>
      <w:r>
        <w:t xml:space="preserve"> is a summary of the baseline demographic and disease characteristics.</w:t>
      </w:r>
    </w:p>
    <w:p w14:paraId="4005F0F0" w14:textId="43E812EC" w:rsidR="00A734A2" w:rsidRDefault="00A734A2">
      <w:pPr>
        <w:pStyle w:val="TableTitle"/>
      </w:pPr>
      <w:bookmarkStart w:id="43" w:name="_Ref111542517"/>
      <w:r w:rsidRPr="00A734A2">
        <w:lastRenderedPageBreak/>
        <w:t xml:space="preserve">Table </w:t>
      </w:r>
      <w:r w:rsidR="006737A0">
        <w:fldChar w:fldCharType="begin"/>
      </w:r>
      <w:r w:rsidR="006737A0">
        <w:instrText xml:space="preserve"> SEQ Table \* ARABI</w:instrText>
      </w:r>
      <w:r w:rsidR="006737A0">
        <w:instrText xml:space="preserve">C </w:instrText>
      </w:r>
      <w:r w:rsidR="006737A0">
        <w:fldChar w:fldCharType="separate"/>
      </w:r>
      <w:r w:rsidR="00BB2836">
        <w:rPr>
          <w:noProof/>
        </w:rPr>
        <w:t>3</w:t>
      </w:r>
      <w:r w:rsidR="006737A0">
        <w:rPr>
          <w:noProof/>
        </w:rPr>
        <w:fldChar w:fldCharType="end"/>
      </w:r>
      <w:bookmarkEnd w:id="43"/>
      <w:r>
        <w:t xml:space="preserve">: </w:t>
      </w:r>
      <w:r w:rsidR="004A25E9">
        <w:t xml:space="preserve">Study KCP-330-023 (BOSTON trial) </w:t>
      </w:r>
      <w:r>
        <w:t>Summary of baseline demographic and disease characteristics</w:t>
      </w:r>
    </w:p>
    <w:tbl>
      <w:tblPr>
        <w:tblStyle w:val="TableTGAblue"/>
        <w:tblW w:w="5192" w:type="pct"/>
        <w:tblLook w:val="0420" w:firstRow="1" w:lastRow="0" w:firstColumn="0" w:lastColumn="0" w:noHBand="0" w:noVBand="1"/>
      </w:tblPr>
      <w:tblGrid>
        <w:gridCol w:w="1603"/>
        <w:gridCol w:w="2499"/>
        <w:gridCol w:w="2372"/>
        <w:gridCol w:w="2336"/>
      </w:tblGrid>
      <w:tr w:rsidR="00D269C6" w:rsidRPr="00D80974" w14:paraId="2B8AC0FB" w14:textId="77777777" w:rsidTr="000B3827">
        <w:trPr>
          <w:cnfStyle w:val="100000000000" w:firstRow="1" w:lastRow="0" w:firstColumn="0" w:lastColumn="0" w:oddVBand="0" w:evenVBand="0" w:oddHBand="0" w:evenHBand="0" w:firstRowFirstColumn="0" w:firstRowLastColumn="0" w:lastRowFirstColumn="0" w:lastRowLastColumn="0"/>
          <w:trHeight w:val="20"/>
        </w:trPr>
        <w:tc>
          <w:tcPr>
            <w:tcW w:w="909" w:type="pct"/>
            <w:hideMark/>
          </w:tcPr>
          <w:p w14:paraId="7CD93DC8" w14:textId="77777777" w:rsidR="00A734A2" w:rsidRPr="000B3827" w:rsidRDefault="00A734A2" w:rsidP="000B3827">
            <w:pPr>
              <w:rPr>
                <w:sz w:val="20"/>
                <w:szCs w:val="20"/>
              </w:rPr>
            </w:pPr>
          </w:p>
        </w:tc>
        <w:tc>
          <w:tcPr>
            <w:tcW w:w="1418" w:type="pct"/>
          </w:tcPr>
          <w:p w14:paraId="3524187E" w14:textId="77777777" w:rsidR="00A734A2" w:rsidRPr="000B3827" w:rsidRDefault="00A734A2" w:rsidP="000B3827">
            <w:pPr>
              <w:rPr>
                <w:sz w:val="20"/>
                <w:szCs w:val="20"/>
              </w:rPr>
            </w:pPr>
          </w:p>
        </w:tc>
        <w:tc>
          <w:tcPr>
            <w:tcW w:w="1346" w:type="pct"/>
            <w:hideMark/>
          </w:tcPr>
          <w:p w14:paraId="72FA9A04" w14:textId="099198FE" w:rsidR="00A734A2" w:rsidRPr="000B3827" w:rsidRDefault="00D80974" w:rsidP="000B3827">
            <w:pPr>
              <w:rPr>
                <w:sz w:val="20"/>
                <w:szCs w:val="20"/>
              </w:rPr>
            </w:pPr>
            <w:r>
              <w:rPr>
                <w:sz w:val="20"/>
                <w:szCs w:val="20"/>
              </w:rPr>
              <w:t>S</w:t>
            </w:r>
            <w:r w:rsidRPr="000B3827">
              <w:rPr>
                <w:sz w:val="20"/>
                <w:szCs w:val="20"/>
              </w:rPr>
              <w:t xml:space="preserve">elinexor, bortezomib and dexamethasone </w:t>
            </w:r>
            <w:r>
              <w:rPr>
                <w:sz w:val="20"/>
                <w:szCs w:val="20"/>
              </w:rPr>
              <w:t>(</w:t>
            </w:r>
            <w:proofErr w:type="spellStart"/>
            <w:r>
              <w:rPr>
                <w:sz w:val="20"/>
                <w:szCs w:val="20"/>
              </w:rPr>
              <w:t>SVd</w:t>
            </w:r>
            <w:proofErr w:type="spellEnd"/>
            <w:r>
              <w:rPr>
                <w:sz w:val="20"/>
                <w:szCs w:val="20"/>
              </w:rPr>
              <w:t xml:space="preserve">); </w:t>
            </w:r>
            <w:r w:rsidR="00A734A2" w:rsidRPr="000B3827">
              <w:rPr>
                <w:sz w:val="20"/>
                <w:szCs w:val="20"/>
              </w:rPr>
              <w:t>n</w:t>
            </w:r>
            <w:r w:rsidR="00D6181B" w:rsidRPr="000B3827">
              <w:rPr>
                <w:sz w:val="20"/>
                <w:szCs w:val="20"/>
              </w:rPr>
              <w:t xml:space="preserve"> </w:t>
            </w:r>
            <w:r w:rsidR="00A734A2" w:rsidRPr="000B3827">
              <w:rPr>
                <w:sz w:val="20"/>
                <w:szCs w:val="20"/>
              </w:rPr>
              <w:t>=</w:t>
            </w:r>
            <w:r w:rsidR="00D6181B" w:rsidRPr="000B3827">
              <w:rPr>
                <w:sz w:val="20"/>
                <w:szCs w:val="20"/>
              </w:rPr>
              <w:t xml:space="preserve"> </w:t>
            </w:r>
            <w:r w:rsidR="00A734A2" w:rsidRPr="000B3827">
              <w:rPr>
                <w:sz w:val="20"/>
                <w:szCs w:val="20"/>
              </w:rPr>
              <w:t>195)</w:t>
            </w:r>
          </w:p>
        </w:tc>
        <w:tc>
          <w:tcPr>
            <w:tcW w:w="1326" w:type="pct"/>
            <w:hideMark/>
          </w:tcPr>
          <w:p w14:paraId="2002EEAA" w14:textId="3D825159" w:rsidR="00A734A2" w:rsidRPr="000B3827" w:rsidRDefault="00D80974" w:rsidP="000B3827">
            <w:pPr>
              <w:rPr>
                <w:sz w:val="20"/>
                <w:szCs w:val="20"/>
              </w:rPr>
            </w:pPr>
            <w:r>
              <w:rPr>
                <w:sz w:val="20"/>
                <w:szCs w:val="20"/>
              </w:rPr>
              <w:t>B</w:t>
            </w:r>
            <w:r w:rsidRPr="000B3827">
              <w:rPr>
                <w:sz w:val="20"/>
                <w:szCs w:val="20"/>
              </w:rPr>
              <w:t>ortezomib and dexamethasone regimen</w:t>
            </w:r>
            <w:r>
              <w:rPr>
                <w:sz w:val="20"/>
                <w:szCs w:val="20"/>
              </w:rPr>
              <w:t xml:space="preserve"> (</w:t>
            </w:r>
            <w:proofErr w:type="spellStart"/>
            <w:r>
              <w:rPr>
                <w:sz w:val="20"/>
                <w:szCs w:val="20"/>
              </w:rPr>
              <w:t>Vd</w:t>
            </w:r>
            <w:proofErr w:type="spellEnd"/>
            <w:r>
              <w:rPr>
                <w:sz w:val="20"/>
                <w:szCs w:val="20"/>
              </w:rPr>
              <w:t xml:space="preserve">); </w:t>
            </w:r>
            <w:r w:rsidR="00A734A2" w:rsidRPr="000B3827">
              <w:rPr>
                <w:sz w:val="20"/>
                <w:szCs w:val="20"/>
              </w:rPr>
              <w:t>n</w:t>
            </w:r>
            <w:r>
              <w:rPr>
                <w:sz w:val="20"/>
                <w:szCs w:val="20"/>
              </w:rPr>
              <w:t> </w:t>
            </w:r>
            <w:r w:rsidR="00A734A2" w:rsidRPr="000B3827">
              <w:rPr>
                <w:sz w:val="20"/>
                <w:szCs w:val="20"/>
              </w:rPr>
              <w:t>=</w:t>
            </w:r>
            <w:r>
              <w:rPr>
                <w:sz w:val="20"/>
                <w:szCs w:val="20"/>
              </w:rPr>
              <w:t> </w:t>
            </w:r>
            <w:r w:rsidR="00A734A2" w:rsidRPr="000B3827">
              <w:rPr>
                <w:sz w:val="20"/>
                <w:szCs w:val="20"/>
              </w:rPr>
              <w:t>207)</w:t>
            </w:r>
          </w:p>
        </w:tc>
      </w:tr>
      <w:tr w:rsidR="00A734A2" w:rsidRPr="00D80974" w14:paraId="71F2E568" w14:textId="77777777" w:rsidTr="000B3827">
        <w:trPr>
          <w:trHeight w:val="20"/>
        </w:trPr>
        <w:tc>
          <w:tcPr>
            <w:tcW w:w="909" w:type="pct"/>
            <w:hideMark/>
          </w:tcPr>
          <w:p w14:paraId="051A3321" w14:textId="77777777" w:rsidR="00A734A2" w:rsidRPr="000B3827" w:rsidRDefault="00A734A2" w:rsidP="000B3827">
            <w:pPr>
              <w:rPr>
                <w:sz w:val="20"/>
                <w:szCs w:val="20"/>
              </w:rPr>
            </w:pPr>
            <w:r w:rsidRPr="000B3827">
              <w:rPr>
                <w:sz w:val="20"/>
                <w:szCs w:val="20"/>
              </w:rPr>
              <w:t>Age</w:t>
            </w:r>
          </w:p>
        </w:tc>
        <w:tc>
          <w:tcPr>
            <w:tcW w:w="1418" w:type="pct"/>
          </w:tcPr>
          <w:p w14:paraId="59283993" w14:textId="77777777" w:rsidR="00A734A2" w:rsidRPr="000B3827" w:rsidRDefault="00A734A2" w:rsidP="000B3827">
            <w:pPr>
              <w:rPr>
                <w:sz w:val="20"/>
                <w:szCs w:val="20"/>
              </w:rPr>
            </w:pPr>
            <w:r w:rsidRPr="000B3827">
              <w:rPr>
                <w:sz w:val="20"/>
                <w:szCs w:val="20"/>
              </w:rPr>
              <w:t>Median, years (range)</w:t>
            </w:r>
          </w:p>
        </w:tc>
        <w:tc>
          <w:tcPr>
            <w:tcW w:w="1346" w:type="pct"/>
            <w:hideMark/>
          </w:tcPr>
          <w:p w14:paraId="7735AC44" w14:textId="77777777" w:rsidR="00A734A2" w:rsidRPr="000B3827" w:rsidRDefault="00A734A2" w:rsidP="000B3827">
            <w:pPr>
              <w:rPr>
                <w:sz w:val="20"/>
                <w:szCs w:val="20"/>
              </w:rPr>
            </w:pPr>
            <w:r w:rsidRPr="000B3827">
              <w:rPr>
                <w:sz w:val="20"/>
                <w:szCs w:val="20"/>
              </w:rPr>
              <w:t>66 (40-87)</w:t>
            </w:r>
          </w:p>
        </w:tc>
        <w:tc>
          <w:tcPr>
            <w:tcW w:w="1326" w:type="pct"/>
            <w:hideMark/>
          </w:tcPr>
          <w:p w14:paraId="611EB42C" w14:textId="77777777" w:rsidR="00A734A2" w:rsidRPr="000B3827" w:rsidRDefault="00A734A2" w:rsidP="000B3827">
            <w:pPr>
              <w:rPr>
                <w:sz w:val="20"/>
                <w:szCs w:val="20"/>
              </w:rPr>
            </w:pPr>
            <w:r w:rsidRPr="000B3827">
              <w:rPr>
                <w:sz w:val="20"/>
                <w:szCs w:val="20"/>
              </w:rPr>
              <w:t>67 (38-90)</w:t>
            </w:r>
          </w:p>
        </w:tc>
      </w:tr>
      <w:tr w:rsidR="00A734A2" w:rsidRPr="00D80974" w14:paraId="54D33D0A" w14:textId="77777777" w:rsidTr="000B3827">
        <w:trPr>
          <w:trHeight w:val="20"/>
        </w:trPr>
        <w:tc>
          <w:tcPr>
            <w:tcW w:w="909" w:type="pct"/>
            <w:hideMark/>
          </w:tcPr>
          <w:p w14:paraId="0E57B66E" w14:textId="77777777" w:rsidR="00A734A2" w:rsidRPr="000B3827" w:rsidRDefault="00A734A2" w:rsidP="000B3827">
            <w:pPr>
              <w:rPr>
                <w:sz w:val="20"/>
                <w:szCs w:val="20"/>
              </w:rPr>
            </w:pPr>
            <w:r w:rsidRPr="000B3827">
              <w:rPr>
                <w:sz w:val="20"/>
                <w:szCs w:val="20"/>
              </w:rPr>
              <w:t>Age group, years</w:t>
            </w:r>
          </w:p>
          <w:p w14:paraId="55FE3FF3" w14:textId="77777777" w:rsidR="00A734A2" w:rsidRPr="000B3827" w:rsidRDefault="00A734A2" w:rsidP="000B3827">
            <w:pPr>
              <w:rPr>
                <w:sz w:val="20"/>
                <w:szCs w:val="20"/>
              </w:rPr>
            </w:pPr>
          </w:p>
        </w:tc>
        <w:tc>
          <w:tcPr>
            <w:tcW w:w="1418" w:type="pct"/>
          </w:tcPr>
          <w:p w14:paraId="15E82AA4" w14:textId="0749AD4C" w:rsidR="00A734A2" w:rsidRPr="000B3827" w:rsidRDefault="00A734A2" w:rsidP="000B3827">
            <w:pPr>
              <w:rPr>
                <w:sz w:val="20"/>
                <w:szCs w:val="20"/>
              </w:rPr>
            </w:pPr>
            <w:r w:rsidRPr="000B3827">
              <w:rPr>
                <w:sz w:val="20"/>
                <w:szCs w:val="20"/>
              </w:rPr>
              <w:t>18-50</w:t>
            </w:r>
          </w:p>
          <w:p w14:paraId="06B8957F" w14:textId="77777777" w:rsidR="00A734A2" w:rsidRPr="000B3827" w:rsidRDefault="00A734A2" w:rsidP="000B3827">
            <w:pPr>
              <w:rPr>
                <w:sz w:val="20"/>
                <w:szCs w:val="20"/>
              </w:rPr>
            </w:pPr>
            <w:r w:rsidRPr="000B3827">
              <w:rPr>
                <w:sz w:val="20"/>
                <w:szCs w:val="20"/>
              </w:rPr>
              <w:t>51-64</w:t>
            </w:r>
          </w:p>
          <w:p w14:paraId="724BDA49" w14:textId="77777777" w:rsidR="00A734A2" w:rsidRPr="000B3827" w:rsidRDefault="00A734A2" w:rsidP="000B3827">
            <w:pPr>
              <w:rPr>
                <w:sz w:val="20"/>
                <w:szCs w:val="20"/>
              </w:rPr>
            </w:pPr>
            <w:r w:rsidRPr="000B3827">
              <w:rPr>
                <w:sz w:val="20"/>
                <w:szCs w:val="20"/>
              </w:rPr>
              <w:t>65-74</w:t>
            </w:r>
          </w:p>
          <w:p w14:paraId="630228B7" w14:textId="77777777" w:rsidR="00A734A2" w:rsidRPr="000B3827" w:rsidRDefault="00A734A2" w:rsidP="000B3827">
            <w:pPr>
              <w:rPr>
                <w:sz w:val="20"/>
                <w:szCs w:val="20"/>
              </w:rPr>
            </w:pPr>
            <w:r w:rsidRPr="000B3827">
              <w:rPr>
                <w:sz w:val="20"/>
                <w:szCs w:val="20"/>
              </w:rPr>
              <w:t>≥75</w:t>
            </w:r>
          </w:p>
        </w:tc>
        <w:tc>
          <w:tcPr>
            <w:tcW w:w="1346" w:type="pct"/>
            <w:hideMark/>
          </w:tcPr>
          <w:p w14:paraId="64E0DA9B" w14:textId="77777777" w:rsidR="00A734A2" w:rsidRPr="000B3827" w:rsidRDefault="00A734A2" w:rsidP="000B3827">
            <w:pPr>
              <w:rPr>
                <w:sz w:val="20"/>
                <w:szCs w:val="20"/>
              </w:rPr>
            </w:pPr>
            <w:r w:rsidRPr="000B3827">
              <w:rPr>
                <w:sz w:val="20"/>
                <w:szCs w:val="20"/>
              </w:rPr>
              <w:t>15 (7.7%)</w:t>
            </w:r>
          </w:p>
          <w:p w14:paraId="212F5C41" w14:textId="77777777" w:rsidR="00A734A2" w:rsidRPr="000B3827" w:rsidRDefault="00A734A2" w:rsidP="000B3827">
            <w:pPr>
              <w:rPr>
                <w:sz w:val="20"/>
                <w:szCs w:val="20"/>
              </w:rPr>
            </w:pPr>
            <w:r w:rsidRPr="000B3827">
              <w:rPr>
                <w:sz w:val="20"/>
                <w:szCs w:val="20"/>
              </w:rPr>
              <w:t>71 (36.4%)</w:t>
            </w:r>
          </w:p>
          <w:p w14:paraId="30F2EB54" w14:textId="77777777" w:rsidR="00A734A2" w:rsidRPr="000B3827" w:rsidRDefault="00A734A2" w:rsidP="000B3827">
            <w:pPr>
              <w:rPr>
                <w:sz w:val="20"/>
                <w:szCs w:val="20"/>
              </w:rPr>
            </w:pPr>
            <w:r w:rsidRPr="000B3827">
              <w:rPr>
                <w:sz w:val="20"/>
                <w:szCs w:val="20"/>
              </w:rPr>
              <w:t>75 (38.5%)</w:t>
            </w:r>
          </w:p>
          <w:p w14:paraId="723AB474" w14:textId="77777777" w:rsidR="00A734A2" w:rsidRPr="000B3827" w:rsidRDefault="00A734A2" w:rsidP="000B3827">
            <w:pPr>
              <w:rPr>
                <w:sz w:val="20"/>
                <w:szCs w:val="20"/>
              </w:rPr>
            </w:pPr>
            <w:r w:rsidRPr="000B3827">
              <w:rPr>
                <w:sz w:val="20"/>
                <w:szCs w:val="20"/>
              </w:rPr>
              <w:t>34 (17.4%)</w:t>
            </w:r>
          </w:p>
        </w:tc>
        <w:tc>
          <w:tcPr>
            <w:tcW w:w="1326" w:type="pct"/>
            <w:hideMark/>
          </w:tcPr>
          <w:p w14:paraId="5129B628" w14:textId="77777777" w:rsidR="00A734A2" w:rsidRPr="000B3827" w:rsidRDefault="00A734A2" w:rsidP="000B3827">
            <w:pPr>
              <w:rPr>
                <w:sz w:val="20"/>
                <w:szCs w:val="20"/>
              </w:rPr>
            </w:pPr>
            <w:r w:rsidRPr="000B3827">
              <w:rPr>
                <w:sz w:val="20"/>
                <w:szCs w:val="20"/>
              </w:rPr>
              <w:t>11(5.3%)</w:t>
            </w:r>
          </w:p>
          <w:p w14:paraId="483E0BA6" w14:textId="77777777" w:rsidR="00A734A2" w:rsidRPr="000B3827" w:rsidRDefault="00A734A2" w:rsidP="000B3827">
            <w:pPr>
              <w:rPr>
                <w:sz w:val="20"/>
                <w:szCs w:val="20"/>
              </w:rPr>
            </w:pPr>
            <w:r w:rsidRPr="000B3827">
              <w:rPr>
                <w:sz w:val="20"/>
                <w:szCs w:val="20"/>
              </w:rPr>
              <w:t>64 (30.9%)</w:t>
            </w:r>
          </w:p>
          <w:p w14:paraId="0F51C775" w14:textId="77777777" w:rsidR="00A734A2" w:rsidRPr="000B3827" w:rsidRDefault="00A734A2" w:rsidP="000B3827">
            <w:pPr>
              <w:rPr>
                <w:sz w:val="20"/>
                <w:szCs w:val="20"/>
              </w:rPr>
            </w:pPr>
            <w:r w:rsidRPr="000B3827">
              <w:rPr>
                <w:sz w:val="20"/>
                <w:szCs w:val="20"/>
              </w:rPr>
              <w:t>85 (41.1%)</w:t>
            </w:r>
          </w:p>
          <w:p w14:paraId="4F5D9969" w14:textId="77777777" w:rsidR="00A734A2" w:rsidRPr="000B3827" w:rsidRDefault="00A734A2" w:rsidP="000B3827">
            <w:pPr>
              <w:rPr>
                <w:sz w:val="20"/>
                <w:szCs w:val="20"/>
              </w:rPr>
            </w:pPr>
            <w:r w:rsidRPr="000B3827">
              <w:rPr>
                <w:sz w:val="20"/>
                <w:szCs w:val="20"/>
              </w:rPr>
              <w:t>47 (22.7%)</w:t>
            </w:r>
          </w:p>
        </w:tc>
      </w:tr>
      <w:tr w:rsidR="00A734A2" w:rsidRPr="00D80974" w14:paraId="53F8CCC1" w14:textId="77777777" w:rsidTr="000B3827">
        <w:trPr>
          <w:trHeight w:val="20"/>
        </w:trPr>
        <w:tc>
          <w:tcPr>
            <w:tcW w:w="909" w:type="pct"/>
            <w:vMerge w:val="restart"/>
            <w:hideMark/>
          </w:tcPr>
          <w:p w14:paraId="46D9980D" w14:textId="77777777" w:rsidR="00A734A2" w:rsidRPr="000B3827" w:rsidRDefault="00A734A2" w:rsidP="000B3827">
            <w:pPr>
              <w:rPr>
                <w:sz w:val="20"/>
                <w:szCs w:val="20"/>
              </w:rPr>
            </w:pPr>
            <w:r w:rsidRPr="000B3827">
              <w:rPr>
                <w:sz w:val="20"/>
                <w:szCs w:val="20"/>
              </w:rPr>
              <w:t>Sex</w:t>
            </w:r>
          </w:p>
        </w:tc>
        <w:tc>
          <w:tcPr>
            <w:tcW w:w="1418" w:type="pct"/>
          </w:tcPr>
          <w:p w14:paraId="24AB0863" w14:textId="77777777" w:rsidR="00A734A2" w:rsidRPr="000B3827" w:rsidRDefault="00A734A2" w:rsidP="000B3827">
            <w:pPr>
              <w:rPr>
                <w:sz w:val="20"/>
                <w:szCs w:val="20"/>
              </w:rPr>
            </w:pPr>
            <w:r w:rsidRPr="000B3827">
              <w:rPr>
                <w:sz w:val="20"/>
                <w:szCs w:val="20"/>
              </w:rPr>
              <w:t>Male</w:t>
            </w:r>
          </w:p>
        </w:tc>
        <w:tc>
          <w:tcPr>
            <w:tcW w:w="1346" w:type="pct"/>
            <w:hideMark/>
          </w:tcPr>
          <w:p w14:paraId="506D7363" w14:textId="77777777" w:rsidR="00A734A2" w:rsidRPr="000B3827" w:rsidRDefault="00A734A2" w:rsidP="000B3827">
            <w:pPr>
              <w:rPr>
                <w:sz w:val="20"/>
                <w:szCs w:val="20"/>
              </w:rPr>
            </w:pPr>
            <w:r w:rsidRPr="000B3827">
              <w:rPr>
                <w:sz w:val="20"/>
                <w:szCs w:val="20"/>
              </w:rPr>
              <w:t>115 (59.0%)</w:t>
            </w:r>
          </w:p>
        </w:tc>
        <w:tc>
          <w:tcPr>
            <w:tcW w:w="1326" w:type="pct"/>
            <w:hideMark/>
          </w:tcPr>
          <w:p w14:paraId="11F08A5D" w14:textId="77777777" w:rsidR="00A734A2" w:rsidRPr="000B3827" w:rsidRDefault="00A734A2" w:rsidP="000B3827">
            <w:pPr>
              <w:rPr>
                <w:sz w:val="20"/>
                <w:szCs w:val="20"/>
              </w:rPr>
            </w:pPr>
            <w:r w:rsidRPr="000B3827">
              <w:rPr>
                <w:sz w:val="20"/>
                <w:szCs w:val="20"/>
              </w:rPr>
              <w:t>115 (55.6%)</w:t>
            </w:r>
          </w:p>
        </w:tc>
      </w:tr>
      <w:tr w:rsidR="00A734A2" w:rsidRPr="00D80974" w14:paraId="2A03EAAD" w14:textId="77777777" w:rsidTr="000B3827">
        <w:trPr>
          <w:trHeight w:val="20"/>
        </w:trPr>
        <w:tc>
          <w:tcPr>
            <w:tcW w:w="909" w:type="pct"/>
            <w:vMerge/>
          </w:tcPr>
          <w:p w14:paraId="0AD3E015" w14:textId="77777777" w:rsidR="00A734A2" w:rsidRPr="000B3827" w:rsidRDefault="00A734A2" w:rsidP="000B3827">
            <w:pPr>
              <w:rPr>
                <w:sz w:val="20"/>
                <w:szCs w:val="20"/>
              </w:rPr>
            </w:pPr>
          </w:p>
        </w:tc>
        <w:tc>
          <w:tcPr>
            <w:tcW w:w="1418" w:type="pct"/>
          </w:tcPr>
          <w:p w14:paraId="7D48428B" w14:textId="77777777" w:rsidR="00A734A2" w:rsidRPr="000B3827" w:rsidRDefault="00A734A2" w:rsidP="000B3827">
            <w:pPr>
              <w:rPr>
                <w:sz w:val="20"/>
                <w:szCs w:val="20"/>
              </w:rPr>
            </w:pPr>
            <w:r w:rsidRPr="000B3827">
              <w:rPr>
                <w:sz w:val="20"/>
                <w:szCs w:val="20"/>
              </w:rPr>
              <w:t>Female</w:t>
            </w:r>
          </w:p>
        </w:tc>
        <w:tc>
          <w:tcPr>
            <w:tcW w:w="1346" w:type="pct"/>
          </w:tcPr>
          <w:p w14:paraId="582DC22F" w14:textId="77777777" w:rsidR="00A734A2" w:rsidRPr="000B3827" w:rsidRDefault="00A734A2" w:rsidP="000B3827">
            <w:pPr>
              <w:rPr>
                <w:sz w:val="20"/>
                <w:szCs w:val="20"/>
              </w:rPr>
            </w:pPr>
            <w:r w:rsidRPr="000B3827">
              <w:rPr>
                <w:sz w:val="20"/>
                <w:szCs w:val="20"/>
              </w:rPr>
              <w:t>80 (41.0%)</w:t>
            </w:r>
          </w:p>
        </w:tc>
        <w:tc>
          <w:tcPr>
            <w:tcW w:w="1326" w:type="pct"/>
          </w:tcPr>
          <w:p w14:paraId="6E7F704B" w14:textId="77777777" w:rsidR="00A734A2" w:rsidRPr="000B3827" w:rsidRDefault="00A734A2" w:rsidP="000B3827">
            <w:pPr>
              <w:rPr>
                <w:sz w:val="20"/>
                <w:szCs w:val="20"/>
              </w:rPr>
            </w:pPr>
            <w:r w:rsidRPr="000B3827">
              <w:rPr>
                <w:sz w:val="20"/>
                <w:szCs w:val="20"/>
              </w:rPr>
              <w:t>92 (44.4%)</w:t>
            </w:r>
          </w:p>
        </w:tc>
      </w:tr>
      <w:tr w:rsidR="00A734A2" w:rsidRPr="00D80974" w14:paraId="6ED21CAD" w14:textId="77777777" w:rsidTr="000B3827">
        <w:trPr>
          <w:trHeight w:val="20"/>
        </w:trPr>
        <w:tc>
          <w:tcPr>
            <w:tcW w:w="909" w:type="pct"/>
            <w:hideMark/>
          </w:tcPr>
          <w:p w14:paraId="734ECB62" w14:textId="77777777" w:rsidR="00A734A2" w:rsidRPr="000B3827" w:rsidRDefault="00A734A2" w:rsidP="000B3827">
            <w:pPr>
              <w:rPr>
                <w:sz w:val="20"/>
                <w:szCs w:val="20"/>
              </w:rPr>
            </w:pPr>
            <w:r w:rsidRPr="000B3827">
              <w:rPr>
                <w:sz w:val="20"/>
                <w:szCs w:val="20"/>
              </w:rPr>
              <w:t>Race</w:t>
            </w:r>
          </w:p>
          <w:p w14:paraId="30DD54F4" w14:textId="77777777" w:rsidR="00A734A2" w:rsidRPr="000B3827" w:rsidRDefault="00A734A2" w:rsidP="000B3827">
            <w:pPr>
              <w:rPr>
                <w:sz w:val="20"/>
                <w:szCs w:val="20"/>
              </w:rPr>
            </w:pPr>
          </w:p>
        </w:tc>
        <w:tc>
          <w:tcPr>
            <w:tcW w:w="1418" w:type="pct"/>
          </w:tcPr>
          <w:p w14:paraId="3610F347" w14:textId="77777777" w:rsidR="00A734A2" w:rsidRPr="000B3827" w:rsidRDefault="00A734A2" w:rsidP="000B3827">
            <w:pPr>
              <w:rPr>
                <w:sz w:val="20"/>
                <w:szCs w:val="20"/>
              </w:rPr>
            </w:pPr>
            <w:r w:rsidRPr="000B3827">
              <w:rPr>
                <w:sz w:val="20"/>
                <w:szCs w:val="20"/>
              </w:rPr>
              <w:t>White</w:t>
            </w:r>
          </w:p>
          <w:p w14:paraId="4351AE14" w14:textId="77777777" w:rsidR="00A734A2" w:rsidRPr="000B3827" w:rsidRDefault="00A734A2" w:rsidP="000B3827">
            <w:pPr>
              <w:rPr>
                <w:sz w:val="20"/>
                <w:szCs w:val="20"/>
              </w:rPr>
            </w:pPr>
            <w:r w:rsidRPr="000B3827">
              <w:rPr>
                <w:sz w:val="20"/>
                <w:szCs w:val="20"/>
              </w:rPr>
              <w:t>Asian</w:t>
            </w:r>
          </w:p>
          <w:p w14:paraId="2F901374" w14:textId="4B77A676" w:rsidR="00A734A2" w:rsidRPr="000B3827" w:rsidRDefault="00A734A2" w:rsidP="000B3827">
            <w:pPr>
              <w:rPr>
                <w:sz w:val="20"/>
                <w:szCs w:val="20"/>
              </w:rPr>
            </w:pPr>
            <w:r w:rsidRPr="000B3827">
              <w:rPr>
                <w:sz w:val="20"/>
                <w:szCs w:val="20"/>
              </w:rPr>
              <w:t>B</w:t>
            </w:r>
            <w:r w:rsidR="00D80974">
              <w:rPr>
                <w:sz w:val="20"/>
                <w:szCs w:val="20"/>
              </w:rPr>
              <w:t>l</w:t>
            </w:r>
            <w:r w:rsidRPr="000B3827">
              <w:rPr>
                <w:sz w:val="20"/>
                <w:szCs w:val="20"/>
              </w:rPr>
              <w:t>ack or African American</w:t>
            </w:r>
          </w:p>
        </w:tc>
        <w:tc>
          <w:tcPr>
            <w:tcW w:w="1346" w:type="pct"/>
            <w:hideMark/>
          </w:tcPr>
          <w:p w14:paraId="454708FB" w14:textId="77777777" w:rsidR="00A734A2" w:rsidRPr="000B3827" w:rsidRDefault="00A734A2" w:rsidP="000B3827">
            <w:pPr>
              <w:rPr>
                <w:sz w:val="20"/>
                <w:szCs w:val="20"/>
              </w:rPr>
            </w:pPr>
            <w:r w:rsidRPr="000B3827">
              <w:rPr>
                <w:sz w:val="20"/>
                <w:szCs w:val="20"/>
              </w:rPr>
              <w:t>161(82.6%)</w:t>
            </w:r>
          </w:p>
          <w:p w14:paraId="513055BB" w14:textId="77777777" w:rsidR="00A734A2" w:rsidRPr="000B3827" w:rsidRDefault="00A734A2" w:rsidP="000B3827">
            <w:pPr>
              <w:rPr>
                <w:sz w:val="20"/>
                <w:szCs w:val="20"/>
              </w:rPr>
            </w:pPr>
            <w:r w:rsidRPr="000B3827">
              <w:rPr>
                <w:sz w:val="20"/>
                <w:szCs w:val="20"/>
              </w:rPr>
              <w:t>25 (12.8%)</w:t>
            </w:r>
          </w:p>
          <w:p w14:paraId="64554C24" w14:textId="4839E29F" w:rsidR="00A734A2" w:rsidRPr="000B3827" w:rsidRDefault="00A734A2" w:rsidP="000B3827">
            <w:pPr>
              <w:rPr>
                <w:sz w:val="20"/>
                <w:szCs w:val="20"/>
              </w:rPr>
            </w:pPr>
            <w:r w:rsidRPr="000B3827">
              <w:rPr>
                <w:sz w:val="20"/>
                <w:szCs w:val="20"/>
              </w:rPr>
              <w:t>4 (2.1%)</w:t>
            </w:r>
          </w:p>
        </w:tc>
        <w:tc>
          <w:tcPr>
            <w:tcW w:w="1326" w:type="pct"/>
            <w:hideMark/>
          </w:tcPr>
          <w:p w14:paraId="3756ED93" w14:textId="77777777" w:rsidR="00A734A2" w:rsidRPr="000B3827" w:rsidRDefault="00A734A2" w:rsidP="000B3827">
            <w:pPr>
              <w:rPr>
                <w:sz w:val="20"/>
                <w:szCs w:val="20"/>
              </w:rPr>
            </w:pPr>
            <w:r w:rsidRPr="000B3827">
              <w:rPr>
                <w:sz w:val="20"/>
                <w:szCs w:val="20"/>
              </w:rPr>
              <w:t>165 (79.7%)</w:t>
            </w:r>
          </w:p>
          <w:p w14:paraId="1CE4FAD8" w14:textId="77777777" w:rsidR="00A734A2" w:rsidRPr="000B3827" w:rsidRDefault="00A734A2" w:rsidP="000B3827">
            <w:pPr>
              <w:rPr>
                <w:sz w:val="20"/>
                <w:szCs w:val="20"/>
              </w:rPr>
            </w:pPr>
            <w:r w:rsidRPr="000B3827">
              <w:rPr>
                <w:sz w:val="20"/>
                <w:szCs w:val="20"/>
              </w:rPr>
              <w:t>25 (12.1%)</w:t>
            </w:r>
          </w:p>
          <w:p w14:paraId="1777ED2A" w14:textId="77777777" w:rsidR="00A734A2" w:rsidRPr="000B3827" w:rsidRDefault="00A734A2" w:rsidP="000B3827">
            <w:pPr>
              <w:rPr>
                <w:sz w:val="20"/>
                <w:szCs w:val="20"/>
              </w:rPr>
            </w:pPr>
            <w:r w:rsidRPr="000B3827">
              <w:rPr>
                <w:sz w:val="20"/>
                <w:szCs w:val="20"/>
              </w:rPr>
              <w:t>7 (3.4%)</w:t>
            </w:r>
          </w:p>
        </w:tc>
      </w:tr>
      <w:tr w:rsidR="00A734A2" w:rsidRPr="00D80974" w14:paraId="42DD319D" w14:textId="77777777" w:rsidTr="000B3827">
        <w:trPr>
          <w:trHeight w:val="708"/>
        </w:trPr>
        <w:tc>
          <w:tcPr>
            <w:tcW w:w="909" w:type="pct"/>
          </w:tcPr>
          <w:p w14:paraId="0DA31070" w14:textId="77777777" w:rsidR="00A734A2" w:rsidRPr="000B3827" w:rsidRDefault="00A734A2" w:rsidP="000B3827">
            <w:pPr>
              <w:rPr>
                <w:sz w:val="20"/>
                <w:szCs w:val="20"/>
              </w:rPr>
            </w:pPr>
            <w:r w:rsidRPr="000B3827">
              <w:rPr>
                <w:sz w:val="20"/>
                <w:szCs w:val="20"/>
              </w:rPr>
              <w:t>ECOG status</w:t>
            </w:r>
          </w:p>
          <w:p w14:paraId="43BA4844" w14:textId="77777777" w:rsidR="00A734A2" w:rsidRPr="000B3827" w:rsidRDefault="00A734A2" w:rsidP="000B3827">
            <w:pPr>
              <w:rPr>
                <w:sz w:val="20"/>
                <w:szCs w:val="20"/>
              </w:rPr>
            </w:pPr>
          </w:p>
        </w:tc>
        <w:tc>
          <w:tcPr>
            <w:tcW w:w="1418" w:type="pct"/>
          </w:tcPr>
          <w:p w14:paraId="5C733FA7" w14:textId="77777777" w:rsidR="00A734A2" w:rsidRPr="000B3827" w:rsidRDefault="00A734A2" w:rsidP="000B3827">
            <w:pPr>
              <w:rPr>
                <w:sz w:val="20"/>
                <w:szCs w:val="20"/>
              </w:rPr>
            </w:pPr>
            <w:r w:rsidRPr="000B3827">
              <w:rPr>
                <w:sz w:val="20"/>
                <w:szCs w:val="20"/>
              </w:rPr>
              <w:t>0</w:t>
            </w:r>
          </w:p>
          <w:p w14:paraId="4C5DD989" w14:textId="77777777" w:rsidR="00A734A2" w:rsidRPr="000B3827" w:rsidRDefault="00A734A2" w:rsidP="000B3827">
            <w:pPr>
              <w:rPr>
                <w:sz w:val="20"/>
                <w:szCs w:val="20"/>
              </w:rPr>
            </w:pPr>
            <w:r w:rsidRPr="000B3827">
              <w:rPr>
                <w:sz w:val="20"/>
                <w:szCs w:val="20"/>
              </w:rPr>
              <w:t>1</w:t>
            </w:r>
          </w:p>
          <w:p w14:paraId="476F3DE0" w14:textId="77777777" w:rsidR="00A734A2" w:rsidRPr="000B3827" w:rsidRDefault="00A734A2" w:rsidP="000B3827">
            <w:pPr>
              <w:rPr>
                <w:sz w:val="20"/>
                <w:szCs w:val="20"/>
              </w:rPr>
            </w:pPr>
            <w:r w:rsidRPr="000B3827">
              <w:rPr>
                <w:sz w:val="20"/>
                <w:szCs w:val="20"/>
              </w:rPr>
              <w:t>2</w:t>
            </w:r>
          </w:p>
        </w:tc>
        <w:tc>
          <w:tcPr>
            <w:tcW w:w="1346" w:type="pct"/>
          </w:tcPr>
          <w:p w14:paraId="11A5A3CD" w14:textId="77777777" w:rsidR="00A734A2" w:rsidRPr="000B3827" w:rsidRDefault="00A734A2" w:rsidP="000B3827">
            <w:pPr>
              <w:rPr>
                <w:sz w:val="20"/>
                <w:szCs w:val="20"/>
              </w:rPr>
            </w:pPr>
            <w:r w:rsidRPr="000B3827">
              <w:rPr>
                <w:sz w:val="20"/>
                <w:szCs w:val="20"/>
              </w:rPr>
              <w:t>69 (35.4%)</w:t>
            </w:r>
          </w:p>
          <w:p w14:paraId="1A89B8C1" w14:textId="77777777" w:rsidR="00A734A2" w:rsidRPr="000B3827" w:rsidRDefault="00A734A2" w:rsidP="000B3827">
            <w:pPr>
              <w:rPr>
                <w:sz w:val="20"/>
                <w:szCs w:val="20"/>
              </w:rPr>
            </w:pPr>
            <w:r w:rsidRPr="000B3827">
              <w:rPr>
                <w:sz w:val="20"/>
                <w:szCs w:val="20"/>
              </w:rPr>
              <w:t>106 (54.4%)</w:t>
            </w:r>
          </w:p>
          <w:p w14:paraId="30819051" w14:textId="77777777" w:rsidR="00A734A2" w:rsidRPr="000B3827" w:rsidRDefault="00A734A2" w:rsidP="000B3827">
            <w:pPr>
              <w:rPr>
                <w:sz w:val="20"/>
                <w:szCs w:val="20"/>
              </w:rPr>
            </w:pPr>
            <w:r w:rsidRPr="000B3827">
              <w:rPr>
                <w:sz w:val="20"/>
                <w:szCs w:val="20"/>
              </w:rPr>
              <w:t>20 (10.3%)</w:t>
            </w:r>
          </w:p>
        </w:tc>
        <w:tc>
          <w:tcPr>
            <w:tcW w:w="1326" w:type="pct"/>
          </w:tcPr>
          <w:p w14:paraId="758A42D9" w14:textId="77777777" w:rsidR="00A734A2" w:rsidRPr="000B3827" w:rsidRDefault="00A734A2" w:rsidP="000B3827">
            <w:pPr>
              <w:rPr>
                <w:sz w:val="20"/>
                <w:szCs w:val="20"/>
              </w:rPr>
            </w:pPr>
            <w:r w:rsidRPr="000B3827">
              <w:rPr>
                <w:sz w:val="20"/>
                <w:szCs w:val="20"/>
              </w:rPr>
              <w:t>77 (37.2%)</w:t>
            </w:r>
          </w:p>
          <w:p w14:paraId="54336D5A" w14:textId="77777777" w:rsidR="00A734A2" w:rsidRPr="000B3827" w:rsidRDefault="00A734A2" w:rsidP="000B3827">
            <w:pPr>
              <w:rPr>
                <w:sz w:val="20"/>
                <w:szCs w:val="20"/>
              </w:rPr>
            </w:pPr>
            <w:r w:rsidRPr="000B3827">
              <w:rPr>
                <w:sz w:val="20"/>
                <w:szCs w:val="20"/>
              </w:rPr>
              <w:t>114 (55.1%)</w:t>
            </w:r>
          </w:p>
          <w:p w14:paraId="53F6EC89" w14:textId="77777777" w:rsidR="00A734A2" w:rsidRPr="000B3827" w:rsidRDefault="00A734A2" w:rsidP="000B3827">
            <w:pPr>
              <w:rPr>
                <w:sz w:val="20"/>
                <w:szCs w:val="20"/>
              </w:rPr>
            </w:pPr>
            <w:r w:rsidRPr="000B3827">
              <w:rPr>
                <w:sz w:val="20"/>
                <w:szCs w:val="20"/>
              </w:rPr>
              <w:t>16 (7.7%)</w:t>
            </w:r>
          </w:p>
        </w:tc>
      </w:tr>
      <w:tr w:rsidR="00A734A2" w:rsidRPr="00D80974" w14:paraId="3903DE94" w14:textId="77777777" w:rsidTr="000B3827">
        <w:trPr>
          <w:trHeight w:val="20"/>
        </w:trPr>
        <w:tc>
          <w:tcPr>
            <w:tcW w:w="2327" w:type="pct"/>
            <w:gridSpan w:val="2"/>
          </w:tcPr>
          <w:p w14:paraId="3AC538D0" w14:textId="77777777" w:rsidR="00A734A2" w:rsidRPr="000B3827" w:rsidRDefault="00A734A2" w:rsidP="000B3827">
            <w:pPr>
              <w:rPr>
                <w:sz w:val="20"/>
                <w:szCs w:val="20"/>
              </w:rPr>
            </w:pPr>
            <w:r w:rsidRPr="000B3827">
              <w:rPr>
                <w:sz w:val="20"/>
                <w:szCs w:val="20"/>
              </w:rPr>
              <w:t>Time from initial diagnosis, median (range), years</w:t>
            </w:r>
          </w:p>
        </w:tc>
        <w:tc>
          <w:tcPr>
            <w:tcW w:w="1346" w:type="pct"/>
          </w:tcPr>
          <w:p w14:paraId="3B21692A" w14:textId="77777777" w:rsidR="00A734A2" w:rsidRPr="000B3827" w:rsidRDefault="00A734A2" w:rsidP="000B3827">
            <w:pPr>
              <w:rPr>
                <w:sz w:val="20"/>
                <w:szCs w:val="20"/>
              </w:rPr>
            </w:pPr>
            <w:r w:rsidRPr="000B3827">
              <w:rPr>
                <w:color w:val="auto"/>
                <w:sz w:val="20"/>
                <w:szCs w:val="20"/>
              </w:rPr>
              <w:t>3.81 (0.4, 23.0)</w:t>
            </w:r>
          </w:p>
        </w:tc>
        <w:tc>
          <w:tcPr>
            <w:tcW w:w="1326" w:type="pct"/>
          </w:tcPr>
          <w:p w14:paraId="0BCC55CA" w14:textId="77777777" w:rsidR="00A734A2" w:rsidRPr="000B3827" w:rsidRDefault="00A734A2" w:rsidP="000B3827">
            <w:pPr>
              <w:rPr>
                <w:sz w:val="20"/>
                <w:szCs w:val="20"/>
              </w:rPr>
            </w:pPr>
            <w:r w:rsidRPr="000B3827">
              <w:rPr>
                <w:color w:val="auto"/>
                <w:sz w:val="20"/>
                <w:szCs w:val="20"/>
              </w:rPr>
              <w:t>3.59 (0.4, 22.0)</w:t>
            </w:r>
          </w:p>
        </w:tc>
      </w:tr>
      <w:tr w:rsidR="00A734A2" w:rsidRPr="00D80974" w14:paraId="3CA370C5" w14:textId="77777777" w:rsidTr="000B3827">
        <w:trPr>
          <w:trHeight w:val="20"/>
        </w:trPr>
        <w:tc>
          <w:tcPr>
            <w:tcW w:w="909" w:type="pct"/>
            <w:hideMark/>
          </w:tcPr>
          <w:p w14:paraId="647EB672" w14:textId="77777777" w:rsidR="00A734A2" w:rsidRPr="000B3827" w:rsidRDefault="00A734A2" w:rsidP="000B3827">
            <w:pPr>
              <w:rPr>
                <w:sz w:val="20"/>
                <w:szCs w:val="20"/>
              </w:rPr>
            </w:pPr>
            <w:r w:rsidRPr="000B3827">
              <w:rPr>
                <w:sz w:val="20"/>
                <w:szCs w:val="20"/>
              </w:rPr>
              <w:t>Creatinine Clearance</w:t>
            </w:r>
          </w:p>
          <w:p w14:paraId="6C2A15B8" w14:textId="77777777" w:rsidR="00A734A2" w:rsidRPr="000B3827" w:rsidRDefault="00A734A2" w:rsidP="000B3827">
            <w:pPr>
              <w:rPr>
                <w:sz w:val="20"/>
                <w:szCs w:val="20"/>
              </w:rPr>
            </w:pPr>
          </w:p>
        </w:tc>
        <w:tc>
          <w:tcPr>
            <w:tcW w:w="1418" w:type="pct"/>
          </w:tcPr>
          <w:p w14:paraId="259019AC" w14:textId="77777777" w:rsidR="00A734A2" w:rsidRPr="000B3827" w:rsidRDefault="00A734A2" w:rsidP="000B3827">
            <w:pPr>
              <w:rPr>
                <w:sz w:val="20"/>
                <w:szCs w:val="20"/>
              </w:rPr>
            </w:pPr>
            <w:r w:rsidRPr="000B3827">
              <w:rPr>
                <w:sz w:val="20"/>
                <w:szCs w:val="20"/>
              </w:rPr>
              <w:t>&lt;30</w:t>
            </w:r>
          </w:p>
          <w:p w14:paraId="2435AFA2" w14:textId="77777777" w:rsidR="00A734A2" w:rsidRPr="000B3827" w:rsidRDefault="00A734A2" w:rsidP="000B3827">
            <w:pPr>
              <w:rPr>
                <w:sz w:val="20"/>
                <w:szCs w:val="20"/>
              </w:rPr>
            </w:pPr>
            <w:r w:rsidRPr="000B3827">
              <w:rPr>
                <w:sz w:val="20"/>
                <w:szCs w:val="20"/>
              </w:rPr>
              <w:t>30-&lt;60</w:t>
            </w:r>
          </w:p>
          <w:p w14:paraId="3A9F8CA7" w14:textId="77777777" w:rsidR="00A734A2" w:rsidRPr="000B3827" w:rsidRDefault="00A734A2" w:rsidP="000B3827">
            <w:pPr>
              <w:rPr>
                <w:sz w:val="20"/>
                <w:szCs w:val="20"/>
              </w:rPr>
            </w:pPr>
            <w:r w:rsidRPr="000B3827">
              <w:rPr>
                <w:sz w:val="20"/>
                <w:szCs w:val="20"/>
              </w:rPr>
              <w:t>≥60</w:t>
            </w:r>
          </w:p>
        </w:tc>
        <w:tc>
          <w:tcPr>
            <w:tcW w:w="1346" w:type="pct"/>
            <w:hideMark/>
          </w:tcPr>
          <w:p w14:paraId="15E3C25B" w14:textId="77777777" w:rsidR="00A734A2" w:rsidRPr="000B3827" w:rsidRDefault="00A734A2" w:rsidP="000B3827">
            <w:pPr>
              <w:rPr>
                <w:sz w:val="20"/>
                <w:szCs w:val="20"/>
              </w:rPr>
            </w:pPr>
            <w:r w:rsidRPr="000B3827">
              <w:rPr>
                <w:sz w:val="20"/>
                <w:szCs w:val="20"/>
              </w:rPr>
              <w:t>3 (1.5%)</w:t>
            </w:r>
          </w:p>
          <w:p w14:paraId="5DA3CECF" w14:textId="77777777" w:rsidR="00A734A2" w:rsidRPr="000B3827" w:rsidRDefault="00A734A2" w:rsidP="000B3827">
            <w:pPr>
              <w:rPr>
                <w:sz w:val="20"/>
                <w:szCs w:val="20"/>
              </w:rPr>
            </w:pPr>
            <w:r w:rsidRPr="000B3827">
              <w:rPr>
                <w:sz w:val="20"/>
                <w:szCs w:val="20"/>
              </w:rPr>
              <w:t>53 (27.2%)</w:t>
            </w:r>
          </w:p>
          <w:p w14:paraId="7041CC6A" w14:textId="77777777" w:rsidR="00A734A2" w:rsidRPr="000B3827" w:rsidRDefault="00A734A2" w:rsidP="000B3827">
            <w:pPr>
              <w:rPr>
                <w:sz w:val="20"/>
                <w:szCs w:val="20"/>
              </w:rPr>
            </w:pPr>
            <w:r w:rsidRPr="000B3827">
              <w:rPr>
                <w:sz w:val="20"/>
                <w:szCs w:val="20"/>
              </w:rPr>
              <w:t>139 (71.3%)</w:t>
            </w:r>
          </w:p>
        </w:tc>
        <w:tc>
          <w:tcPr>
            <w:tcW w:w="1326" w:type="pct"/>
            <w:hideMark/>
          </w:tcPr>
          <w:p w14:paraId="274BE9F5" w14:textId="77777777" w:rsidR="00A734A2" w:rsidRPr="000B3827" w:rsidRDefault="00A734A2" w:rsidP="000B3827">
            <w:pPr>
              <w:rPr>
                <w:sz w:val="20"/>
                <w:szCs w:val="20"/>
              </w:rPr>
            </w:pPr>
            <w:r w:rsidRPr="000B3827">
              <w:rPr>
                <w:sz w:val="20"/>
                <w:szCs w:val="20"/>
              </w:rPr>
              <w:t>10 (4.8%)</w:t>
            </w:r>
          </w:p>
          <w:p w14:paraId="265B21C4" w14:textId="77777777" w:rsidR="00A734A2" w:rsidRPr="000B3827" w:rsidRDefault="00A734A2" w:rsidP="000B3827">
            <w:pPr>
              <w:rPr>
                <w:sz w:val="20"/>
                <w:szCs w:val="20"/>
              </w:rPr>
            </w:pPr>
            <w:r w:rsidRPr="000B3827">
              <w:rPr>
                <w:sz w:val="20"/>
                <w:szCs w:val="20"/>
              </w:rPr>
              <w:t>60 (29.0%)</w:t>
            </w:r>
          </w:p>
          <w:p w14:paraId="112B13CE" w14:textId="77777777" w:rsidR="00A734A2" w:rsidRPr="000B3827" w:rsidRDefault="00A734A2" w:rsidP="000B3827">
            <w:pPr>
              <w:rPr>
                <w:sz w:val="20"/>
                <w:szCs w:val="20"/>
              </w:rPr>
            </w:pPr>
            <w:r w:rsidRPr="000B3827">
              <w:rPr>
                <w:sz w:val="20"/>
                <w:szCs w:val="20"/>
              </w:rPr>
              <w:t>137(66.2%)</w:t>
            </w:r>
          </w:p>
        </w:tc>
      </w:tr>
      <w:tr w:rsidR="00A734A2" w:rsidRPr="00D80974" w14:paraId="519A926E" w14:textId="77777777" w:rsidTr="000B3827">
        <w:trPr>
          <w:trHeight w:val="20"/>
        </w:trPr>
        <w:tc>
          <w:tcPr>
            <w:tcW w:w="909" w:type="pct"/>
          </w:tcPr>
          <w:p w14:paraId="652A127A" w14:textId="77777777" w:rsidR="00A734A2" w:rsidRPr="000B3827" w:rsidRDefault="00A734A2" w:rsidP="000B3827">
            <w:pPr>
              <w:rPr>
                <w:sz w:val="20"/>
                <w:szCs w:val="20"/>
              </w:rPr>
            </w:pPr>
            <w:r w:rsidRPr="000B3827">
              <w:rPr>
                <w:sz w:val="20"/>
                <w:szCs w:val="20"/>
              </w:rPr>
              <w:t xml:space="preserve">R-ISS Stage at Screening </w:t>
            </w:r>
          </w:p>
        </w:tc>
        <w:tc>
          <w:tcPr>
            <w:tcW w:w="1418" w:type="pct"/>
          </w:tcPr>
          <w:p w14:paraId="1A13B527" w14:textId="77777777" w:rsidR="00A734A2" w:rsidRPr="000B3827" w:rsidRDefault="00A734A2" w:rsidP="000B3827">
            <w:pPr>
              <w:rPr>
                <w:sz w:val="20"/>
                <w:szCs w:val="20"/>
              </w:rPr>
            </w:pPr>
            <w:r w:rsidRPr="000B3827">
              <w:rPr>
                <w:sz w:val="20"/>
                <w:szCs w:val="20"/>
              </w:rPr>
              <w:t>I</w:t>
            </w:r>
          </w:p>
          <w:p w14:paraId="0119630D" w14:textId="77777777" w:rsidR="00A734A2" w:rsidRPr="000B3827" w:rsidRDefault="00A734A2" w:rsidP="000B3827">
            <w:pPr>
              <w:rPr>
                <w:sz w:val="20"/>
                <w:szCs w:val="20"/>
              </w:rPr>
            </w:pPr>
            <w:r w:rsidRPr="000B3827">
              <w:rPr>
                <w:sz w:val="20"/>
                <w:szCs w:val="20"/>
              </w:rPr>
              <w:t>II</w:t>
            </w:r>
          </w:p>
          <w:p w14:paraId="45F9A0F2" w14:textId="77777777" w:rsidR="00A734A2" w:rsidRPr="000B3827" w:rsidRDefault="00A734A2" w:rsidP="000B3827">
            <w:pPr>
              <w:rPr>
                <w:sz w:val="20"/>
                <w:szCs w:val="20"/>
              </w:rPr>
            </w:pPr>
            <w:r w:rsidRPr="000B3827">
              <w:rPr>
                <w:sz w:val="20"/>
                <w:szCs w:val="20"/>
              </w:rPr>
              <w:t>III</w:t>
            </w:r>
          </w:p>
        </w:tc>
        <w:tc>
          <w:tcPr>
            <w:tcW w:w="1346" w:type="pct"/>
          </w:tcPr>
          <w:p w14:paraId="14A038BD" w14:textId="77777777" w:rsidR="00A734A2" w:rsidRPr="000B3827" w:rsidRDefault="00A734A2" w:rsidP="000B3827">
            <w:pPr>
              <w:rPr>
                <w:sz w:val="20"/>
                <w:szCs w:val="20"/>
              </w:rPr>
            </w:pPr>
            <w:r w:rsidRPr="000B3827">
              <w:rPr>
                <w:sz w:val="20"/>
                <w:szCs w:val="20"/>
              </w:rPr>
              <w:t>56 (28.7%)</w:t>
            </w:r>
          </w:p>
          <w:p w14:paraId="61AD5AEA" w14:textId="77777777" w:rsidR="00A734A2" w:rsidRPr="000B3827" w:rsidRDefault="00A734A2" w:rsidP="000B3827">
            <w:pPr>
              <w:rPr>
                <w:sz w:val="20"/>
                <w:szCs w:val="20"/>
              </w:rPr>
            </w:pPr>
            <w:r w:rsidRPr="000B3827">
              <w:rPr>
                <w:sz w:val="20"/>
                <w:szCs w:val="20"/>
              </w:rPr>
              <w:t>117 (60%)</w:t>
            </w:r>
          </w:p>
          <w:p w14:paraId="52859BF2" w14:textId="77777777" w:rsidR="00A734A2" w:rsidRPr="000B3827" w:rsidRDefault="00A734A2" w:rsidP="000B3827">
            <w:pPr>
              <w:rPr>
                <w:sz w:val="20"/>
                <w:szCs w:val="20"/>
              </w:rPr>
            </w:pPr>
            <w:r w:rsidRPr="000B3827">
              <w:rPr>
                <w:sz w:val="20"/>
                <w:szCs w:val="20"/>
              </w:rPr>
              <w:t>12 (6.2%)</w:t>
            </w:r>
          </w:p>
        </w:tc>
        <w:tc>
          <w:tcPr>
            <w:tcW w:w="1326" w:type="pct"/>
          </w:tcPr>
          <w:p w14:paraId="6ABC840E" w14:textId="77777777" w:rsidR="00A734A2" w:rsidRPr="000B3827" w:rsidRDefault="00A734A2" w:rsidP="000B3827">
            <w:pPr>
              <w:rPr>
                <w:sz w:val="20"/>
                <w:szCs w:val="20"/>
              </w:rPr>
            </w:pPr>
            <w:r w:rsidRPr="000B3827">
              <w:rPr>
                <w:sz w:val="20"/>
                <w:szCs w:val="20"/>
              </w:rPr>
              <w:t>52 (25.1%)</w:t>
            </w:r>
          </w:p>
          <w:p w14:paraId="5D22F190" w14:textId="77777777" w:rsidR="00A734A2" w:rsidRPr="000B3827" w:rsidRDefault="00A734A2" w:rsidP="000B3827">
            <w:pPr>
              <w:rPr>
                <w:sz w:val="20"/>
                <w:szCs w:val="20"/>
              </w:rPr>
            </w:pPr>
            <w:r w:rsidRPr="000B3827">
              <w:rPr>
                <w:sz w:val="20"/>
                <w:szCs w:val="20"/>
              </w:rPr>
              <w:t>125 (60.4%)</w:t>
            </w:r>
          </w:p>
          <w:p w14:paraId="209A1168" w14:textId="77777777" w:rsidR="00A734A2" w:rsidRPr="000B3827" w:rsidRDefault="00A734A2" w:rsidP="000B3827">
            <w:pPr>
              <w:rPr>
                <w:sz w:val="20"/>
                <w:szCs w:val="20"/>
              </w:rPr>
            </w:pPr>
            <w:r w:rsidRPr="000B3827">
              <w:rPr>
                <w:sz w:val="20"/>
                <w:szCs w:val="20"/>
              </w:rPr>
              <w:t>16 (7.7%)</w:t>
            </w:r>
          </w:p>
        </w:tc>
      </w:tr>
      <w:tr w:rsidR="00A734A2" w:rsidRPr="00D80974" w14:paraId="5B70ACA9" w14:textId="77777777" w:rsidTr="000B3827">
        <w:trPr>
          <w:trHeight w:val="20"/>
        </w:trPr>
        <w:tc>
          <w:tcPr>
            <w:tcW w:w="909" w:type="pct"/>
          </w:tcPr>
          <w:p w14:paraId="31F06306" w14:textId="77777777" w:rsidR="00A734A2" w:rsidRPr="000B3827" w:rsidRDefault="00A734A2" w:rsidP="000B3827">
            <w:pPr>
              <w:rPr>
                <w:sz w:val="20"/>
                <w:szCs w:val="20"/>
              </w:rPr>
            </w:pPr>
            <w:r w:rsidRPr="000B3827">
              <w:rPr>
                <w:sz w:val="20"/>
                <w:szCs w:val="20"/>
              </w:rPr>
              <w:t xml:space="preserve">% </w:t>
            </w:r>
            <w:proofErr w:type="gramStart"/>
            <w:r w:rsidRPr="000B3827">
              <w:rPr>
                <w:sz w:val="20"/>
                <w:szCs w:val="20"/>
              </w:rPr>
              <w:t>plasma</w:t>
            </w:r>
            <w:proofErr w:type="gramEnd"/>
            <w:r w:rsidRPr="000B3827">
              <w:rPr>
                <w:sz w:val="20"/>
                <w:szCs w:val="20"/>
              </w:rPr>
              <w:t xml:space="preserve"> cells at initial diagnosis</w:t>
            </w:r>
          </w:p>
        </w:tc>
        <w:tc>
          <w:tcPr>
            <w:tcW w:w="1418" w:type="pct"/>
          </w:tcPr>
          <w:p w14:paraId="6E13A795" w14:textId="77777777" w:rsidR="00A734A2" w:rsidRPr="000B3827" w:rsidRDefault="00A734A2" w:rsidP="000B3827">
            <w:pPr>
              <w:rPr>
                <w:sz w:val="20"/>
                <w:szCs w:val="20"/>
              </w:rPr>
            </w:pPr>
            <w:r w:rsidRPr="000B3827">
              <w:rPr>
                <w:sz w:val="20"/>
                <w:szCs w:val="20"/>
              </w:rPr>
              <w:t>Median, range</w:t>
            </w:r>
          </w:p>
          <w:p w14:paraId="0310E722" w14:textId="77777777" w:rsidR="00A734A2" w:rsidRPr="000B3827" w:rsidRDefault="00A734A2" w:rsidP="000B3827">
            <w:pPr>
              <w:rPr>
                <w:sz w:val="20"/>
                <w:szCs w:val="20"/>
              </w:rPr>
            </w:pPr>
            <w:r w:rsidRPr="000B3827">
              <w:rPr>
                <w:sz w:val="20"/>
                <w:szCs w:val="20"/>
              </w:rPr>
              <w:t>&lt; 50%</w:t>
            </w:r>
          </w:p>
          <w:p w14:paraId="3A7FBB53" w14:textId="77777777" w:rsidR="00A734A2" w:rsidRPr="000B3827" w:rsidRDefault="00A734A2" w:rsidP="000B3827">
            <w:pPr>
              <w:rPr>
                <w:sz w:val="20"/>
                <w:szCs w:val="20"/>
              </w:rPr>
            </w:pPr>
            <w:r w:rsidRPr="000B3827">
              <w:rPr>
                <w:sz w:val="20"/>
                <w:szCs w:val="20"/>
              </w:rPr>
              <w:t>≥ 50%</w:t>
            </w:r>
          </w:p>
        </w:tc>
        <w:tc>
          <w:tcPr>
            <w:tcW w:w="1346" w:type="pct"/>
          </w:tcPr>
          <w:p w14:paraId="51422CEE" w14:textId="77777777" w:rsidR="00A734A2" w:rsidRPr="000B3827" w:rsidRDefault="00A734A2" w:rsidP="000B3827">
            <w:pPr>
              <w:rPr>
                <w:sz w:val="20"/>
                <w:szCs w:val="20"/>
              </w:rPr>
            </w:pPr>
            <w:r w:rsidRPr="000B3827">
              <w:rPr>
                <w:sz w:val="20"/>
                <w:szCs w:val="20"/>
              </w:rPr>
              <w:t>33.7 (0, 99)</w:t>
            </w:r>
          </w:p>
          <w:p w14:paraId="72C285C4" w14:textId="77777777" w:rsidR="00A734A2" w:rsidRPr="000B3827" w:rsidRDefault="00A734A2" w:rsidP="000B3827">
            <w:pPr>
              <w:rPr>
                <w:sz w:val="20"/>
                <w:szCs w:val="20"/>
              </w:rPr>
            </w:pPr>
            <w:r w:rsidRPr="000B3827">
              <w:rPr>
                <w:sz w:val="20"/>
                <w:szCs w:val="20"/>
              </w:rPr>
              <w:t>116 (59.5%)</w:t>
            </w:r>
          </w:p>
          <w:p w14:paraId="2B92B235" w14:textId="77777777" w:rsidR="00A734A2" w:rsidRPr="000B3827" w:rsidRDefault="00A734A2" w:rsidP="000B3827">
            <w:pPr>
              <w:rPr>
                <w:sz w:val="20"/>
                <w:szCs w:val="20"/>
              </w:rPr>
            </w:pPr>
            <w:r w:rsidRPr="000B3827">
              <w:rPr>
                <w:sz w:val="20"/>
                <w:szCs w:val="20"/>
              </w:rPr>
              <w:t>53 (27.2%)</w:t>
            </w:r>
          </w:p>
        </w:tc>
        <w:tc>
          <w:tcPr>
            <w:tcW w:w="1326" w:type="pct"/>
          </w:tcPr>
          <w:p w14:paraId="35CB546D" w14:textId="77777777" w:rsidR="00A734A2" w:rsidRPr="000B3827" w:rsidRDefault="00A734A2" w:rsidP="000B3827">
            <w:pPr>
              <w:rPr>
                <w:sz w:val="20"/>
                <w:szCs w:val="20"/>
              </w:rPr>
            </w:pPr>
            <w:r w:rsidRPr="000B3827">
              <w:rPr>
                <w:sz w:val="20"/>
                <w:szCs w:val="20"/>
              </w:rPr>
              <w:t>40 (0,95)</w:t>
            </w:r>
          </w:p>
          <w:p w14:paraId="5472A3C7" w14:textId="77777777" w:rsidR="00A734A2" w:rsidRPr="000B3827" w:rsidRDefault="00A734A2" w:rsidP="000B3827">
            <w:pPr>
              <w:rPr>
                <w:sz w:val="20"/>
                <w:szCs w:val="20"/>
              </w:rPr>
            </w:pPr>
            <w:r w:rsidRPr="000B3827">
              <w:rPr>
                <w:sz w:val="20"/>
                <w:szCs w:val="20"/>
              </w:rPr>
              <w:t>100 (48.3%)</w:t>
            </w:r>
          </w:p>
          <w:p w14:paraId="4D01DC63" w14:textId="77777777" w:rsidR="00A734A2" w:rsidRPr="000B3827" w:rsidRDefault="00A734A2" w:rsidP="000B3827">
            <w:pPr>
              <w:rPr>
                <w:sz w:val="20"/>
                <w:szCs w:val="20"/>
              </w:rPr>
            </w:pPr>
            <w:r w:rsidRPr="000B3827">
              <w:rPr>
                <w:sz w:val="20"/>
                <w:szCs w:val="20"/>
              </w:rPr>
              <w:t>70 (33.8%)</w:t>
            </w:r>
          </w:p>
        </w:tc>
      </w:tr>
      <w:tr w:rsidR="00A734A2" w:rsidRPr="00D80974" w14:paraId="3FACDCCB" w14:textId="77777777" w:rsidTr="000B3827">
        <w:trPr>
          <w:trHeight w:val="20"/>
        </w:trPr>
        <w:tc>
          <w:tcPr>
            <w:tcW w:w="909" w:type="pct"/>
            <w:vMerge w:val="restart"/>
          </w:tcPr>
          <w:p w14:paraId="0C9CC26A" w14:textId="77777777" w:rsidR="00A734A2" w:rsidRPr="000B3827" w:rsidRDefault="00A734A2" w:rsidP="000B3827">
            <w:pPr>
              <w:rPr>
                <w:sz w:val="20"/>
                <w:szCs w:val="20"/>
              </w:rPr>
            </w:pPr>
            <w:r w:rsidRPr="000B3827">
              <w:rPr>
                <w:color w:val="auto"/>
                <w:sz w:val="20"/>
                <w:szCs w:val="20"/>
              </w:rPr>
              <w:t>Prior anti MM treatment</w:t>
            </w:r>
          </w:p>
        </w:tc>
        <w:tc>
          <w:tcPr>
            <w:tcW w:w="1418" w:type="pct"/>
          </w:tcPr>
          <w:p w14:paraId="74DB0903" w14:textId="77777777" w:rsidR="00A734A2" w:rsidRPr="000B3827" w:rsidRDefault="00A734A2" w:rsidP="000B3827">
            <w:pPr>
              <w:rPr>
                <w:sz w:val="20"/>
                <w:szCs w:val="20"/>
              </w:rPr>
            </w:pPr>
            <w:r w:rsidRPr="000B3827">
              <w:rPr>
                <w:sz w:val="20"/>
                <w:szCs w:val="20"/>
              </w:rPr>
              <w:t>Prior regimens mean (SD)</w:t>
            </w:r>
          </w:p>
          <w:p w14:paraId="11F5B440" w14:textId="77777777" w:rsidR="00A734A2" w:rsidRPr="000B3827" w:rsidRDefault="00A734A2" w:rsidP="000B3827">
            <w:pPr>
              <w:rPr>
                <w:sz w:val="20"/>
                <w:szCs w:val="20"/>
              </w:rPr>
            </w:pPr>
            <w:r w:rsidRPr="000B3827">
              <w:rPr>
                <w:sz w:val="20"/>
                <w:szCs w:val="20"/>
              </w:rPr>
              <w:t xml:space="preserve">1 </w:t>
            </w:r>
          </w:p>
          <w:p w14:paraId="1A10ADFB" w14:textId="77777777" w:rsidR="00A734A2" w:rsidRPr="000B3827" w:rsidRDefault="00A734A2" w:rsidP="000B3827">
            <w:pPr>
              <w:rPr>
                <w:sz w:val="20"/>
                <w:szCs w:val="20"/>
              </w:rPr>
            </w:pPr>
            <w:r w:rsidRPr="000B3827">
              <w:rPr>
                <w:sz w:val="20"/>
                <w:szCs w:val="20"/>
              </w:rPr>
              <w:t>2</w:t>
            </w:r>
          </w:p>
          <w:p w14:paraId="0CEF288A" w14:textId="77777777" w:rsidR="00A734A2" w:rsidRPr="000B3827" w:rsidRDefault="00A734A2" w:rsidP="000B3827">
            <w:pPr>
              <w:rPr>
                <w:sz w:val="20"/>
                <w:szCs w:val="20"/>
              </w:rPr>
            </w:pPr>
            <w:r w:rsidRPr="000B3827">
              <w:rPr>
                <w:sz w:val="20"/>
                <w:szCs w:val="20"/>
              </w:rPr>
              <w:t>3</w:t>
            </w:r>
          </w:p>
        </w:tc>
        <w:tc>
          <w:tcPr>
            <w:tcW w:w="1346" w:type="pct"/>
          </w:tcPr>
          <w:p w14:paraId="4DF2EC01" w14:textId="77777777" w:rsidR="00A734A2" w:rsidRPr="000B3827" w:rsidRDefault="00A734A2" w:rsidP="000B3827">
            <w:pPr>
              <w:rPr>
                <w:sz w:val="20"/>
                <w:szCs w:val="20"/>
              </w:rPr>
            </w:pPr>
            <w:r w:rsidRPr="000B3827">
              <w:rPr>
                <w:sz w:val="20"/>
                <w:szCs w:val="20"/>
              </w:rPr>
              <w:t>1.7 (0.74)</w:t>
            </w:r>
          </w:p>
          <w:p w14:paraId="7B54D334" w14:textId="77777777" w:rsidR="00A734A2" w:rsidRPr="000B3827" w:rsidRDefault="00A734A2" w:rsidP="000B3827">
            <w:pPr>
              <w:rPr>
                <w:sz w:val="20"/>
                <w:szCs w:val="20"/>
              </w:rPr>
            </w:pPr>
            <w:r w:rsidRPr="000B3827">
              <w:rPr>
                <w:sz w:val="20"/>
                <w:szCs w:val="20"/>
              </w:rPr>
              <w:t>99 (50.8%)</w:t>
            </w:r>
          </w:p>
          <w:p w14:paraId="003760DD" w14:textId="77777777" w:rsidR="00A734A2" w:rsidRPr="000B3827" w:rsidRDefault="00A734A2" w:rsidP="000B3827">
            <w:pPr>
              <w:rPr>
                <w:sz w:val="20"/>
                <w:szCs w:val="20"/>
              </w:rPr>
            </w:pPr>
            <w:r w:rsidRPr="000B3827">
              <w:rPr>
                <w:sz w:val="20"/>
                <w:szCs w:val="20"/>
              </w:rPr>
              <w:t>65 (33.3%)</w:t>
            </w:r>
          </w:p>
          <w:p w14:paraId="678BB235" w14:textId="77777777" w:rsidR="00A734A2" w:rsidRPr="000B3827" w:rsidRDefault="00A734A2" w:rsidP="000B3827">
            <w:pPr>
              <w:rPr>
                <w:sz w:val="20"/>
                <w:szCs w:val="20"/>
              </w:rPr>
            </w:pPr>
            <w:r w:rsidRPr="000B3827">
              <w:rPr>
                <w:sz w:val="20"/>
                <w:szCs w:val="20"/>
              </w:rPr>
              <w:t>31 (15.9%)</w:t>
            </w:r>
          </w:p>
        </w:tc>
        <w:tc>
          <w:tcPr>
            <w:tcW w:w="1326" w:type="pct"/>
          </w:tcPr>
          <w:p w14:paraId="754096BC" w14:textId="77777777" w:rsidR="00A734A2" w:rsidRPr="000B3827" w:rsidRDefault="00A734A2" w:rsidP="000B3827">
            <w:pPr>
              <w:rPr>
                <w:sz w:val="20"/>
                <w:szCs w:val="20"/>
              </w:rPr>
            </w:pPr>
            <w:r w:rsidRPr="000B3827">
              <w:rPr>
                <w:sz w:val="20"/>
                <w:szCs w:val="20"/>
              </w:rPr>
              <w:t>1.7 (0.79)</w:t>
            </w:r>
          </w:p>
          <w:p w14:paraId="49E39FB6" w14:textId="77777777" w:rsidR="00A734A2" w:rsidRPr="000B3827" w:rsidRDefault="00A734A2" w:rsidP="000B3827">
            <w:pPr>
              <w:rPr>
                <w:sz w:val="20"/>
                <w:szCs w:val="20"/>
              </w:rPr>
            </w:pPr>
            <w:r w:rsidRPr="000B3827">
              <w:rPr>
                <w:sz w:val="20"/>
                <w:szCs w:val="20"/>
              </w:rPr>
              <w:t>99 (47.8%)</w:t>
            </w:r>
          </w:p>
          <w:p w14:paraId="3C72D4DF" w14:textId="77777777" w:rsidR="00A734A2" w:rsidRPr="000B3827" w:rsidRDefault="00A734A2" w:rsidP="000B3827">
            <w:pPr>
              <w:rPr>
                <w:sz w:val="20"/>
                <w:szCs w:val="20"/>
              </w:rPr>
            </w:pPr>
            <w:r w:rsidRPr="000B3827">
              <w:rPr>
                <w:sz w:val="20"/>
                <w:szCs w:val="20"/>
              </w:rPr>
              <w:t>64 (30.9%)</w:t>
            </w:r>
          </w:p>
          <w:p w14:paraId="1C5D3AFE" w14:textId="77777777" w:rsidR="00A734A2" w:rsidRPr="000B3827" w:rsidRDefault="00A734A2" w:rsidP="000B3827">
            <w:pPr>
              <w:rPr>
                <w:sz w:val="20"/>
                <w:szCs w:val="20"/>
              </w:rPr>
            </w:pPr>
            <w:r w:rsidRPr="000B3827">
              <w:rPr>
                <w:sz w:val="20"/>
                <w:szCs w:val="20"/>
              </w:rPr>
              <w:t>44 (21.3%)</w:t>
            </w:r>
          </w:p>
        </w:tc>
      </w:tr>
      <w:tr w:rsidR="00A734A2" w:rsidRPr="00D80974" w14:paraId="76738617" w14:textId="77777777" w:rsidTr="000B3827">
        <w:trPr>
          <w:trHeight w:val="20"/>
        </w:trPr>
        <w:tc>
          <w:tcPr>
            <w:tcW w:w="909" w:type="pct"/>
            <w:vMerge/>
          </w:tcPr>
          <w:p w14:paraId="659F2C43" w14:textId="77777777" w:rsidR="00A734A2" w:rsidRPr="000B3827" w:rsidRDefault="00A734A2" w:rsidP="000B3827">
            <w:pPr>
              <w:rPr>
                <w:sz w:val="20"/>
                <w:szCs w:val="20"/>
              </w:rPr>
            </w:pPr>
          </w:p>
        </w:tc>
        <w:tc>
          <w:tcPr>
            <w:tcW w:w="1418" w:type="pct"/>
          </w:tcPr>
          <w:p w14:paraId="26720259" w14:textId="77777777" w:rsidR="00A734A2" w:rsidRPr="000B3827" w:rsidRDefault="00A734A2" w:rsidP="000B3827">
            <w:pPr>
              <w:rPr>
                <w:sz w:val="20"/>
                <w:szCs w:val="20"/>
              </w:rPr>
            </w:pPr>
            <w:r w:rsidRPr="000B3827">
              <w:rPr>
                <w:sz w:val="20"/>
                <w:szCs w:val="20"/>
              </w:rPr>
              <w:t>Prior antimyeloma drugs</w:t>
            </w:r>
          </w:p>
          <w:p w14:paraId="7ED0DB68" w14:textId="77777777" w:rsidR="00A734A2" w:rsidRPr="000B3827" w:rsidRDefault="00A734A2" w:rsidP="000B3827">
            <w:pPr>
              <w:rPr>
                <w:sz w:val="20"/>
                <w:szCs w:val="20"/>
              </w:rPr>
            </w:pPr>
            <w:r w:rsidRPr="000B3827">
              <w:rPr>
                <w:sz w:val="20"/>
                <w:szCs w:val="20"/>
              </w:rPr>
              <w:t>Bortezomib</w:t>
            </w:r>
          </w:p>
          <w:p w14:paraId="2D7E2523" w14:textId="77777777" w:rsidR="00A734A2" w:rsidRPr="000B3827" w:rsidRDefault="00A734A2" w:rsidP="000B3827">
            <w:pPr>
              <w:rPr>
                <w:sz w:val="20"/>
                <w:szCs w:val="20"/>
              </w:rPr>
            </w:pPr>
            <w:r w:rsidRPr="000B3827">
              <w:rPr>
                <w:sz w:val="20"/>
                <w:szCs w:val="20"/>
              </w:rPr>
              <w:t>Carfilzomib</w:t>
            </w:r>
          </w:p>
          <w:p w14:paraId="5B636909" w14:textId="77777777" w:rsidR="00A734A2" w:rsidRPr="000B3827" w:rsidRDefault="00A734A2" w:rsidP="000B3827">
            <w:pPr>
              <w:rPr>
                <w:sz w:val="20"/>
                <w:szCs w:val="20"/>
              </w:rPr>
            </w:pPr>
            <w:proofErr w:type="spellStart"/>
            <w:r w:rsidRPr="000B3827">
              <w:rPr>
                <w:sz w:val="20"/>
                <w:szCs w:val="20"/>
              </w:rPr>
              <w:t>Ixazomib</w:t>
            </w:r>
            <w:proofErr w:type="spellEnd"/>
          </w:p>
          <w:p w14:paraId="0FC15663" w14:textId="77777777" w:rsidR="00A734A2" w:rsidRPr="000B3827" w:rsidRDefault="00A734A2" w:rsidP="000B3827">
            <w:pPr>
              <w:rPr>
                <w:sz w:val="20"/>
                <w:szCs w:val="20"/>
              </w:rPr>
            </w:pPr>
            <w:r w:rsidRPr="000B3827">
              <w:rPr>
                <w:sz w:val="20"/>
                <w:szCs w:val="20"/>
              </w:rPr>
              <w:t>Daratumumab</w:t>
            </w:r>
          </w:p>
          <w:p w14:paraId="071BDED2" w14:textId="77777777" w:rsidR="00A734A2" w:rsidRPr="000B3827" w:rsidRDefault="00A734A2" w:rsidP="000B3827">
            <w:pPr>
              <w:rPr>
                <w:sz w:val="20"/>
                <w:szCs w:val="20"/>
              </w:rPr>
            </w:pPr>
            <w:proofErr w:type="spellStart"/>
            <w:r w:rsidRPr="000B3827">
              <w:rPr>
                <w:sz w:val="20"/>
                <w:szCs w:val="20"/>
              </w:rPr>
              <w:t>Lenolidomide</w:t>
            </w:r>
            <w:proofErr w:type="spellEnd"/>
          </w:p>
          <w:p w14:paraId="533FE35F" w14:textId="77777777" w:rsidR="00A734A2" w:rsidRPr="000B3827" w:rsidRDefault="00A734A2" w:rsidP="000B3827">
            <w:pPr>
              <w:rPr>
                <w:sz w:val="20"/>
                <w:szCs w:val="20"/>
              </w:rPr>
            </w:pPr>
            <w:r w:rsidRPr="000B3827">
              <w:rPr>
                <w:sz w:val="20"/>
                <w:szCs w:val="20"/>
              </w:rPr>
              <w:t>Pomalidomide</w:t>
            </w:r>
          </w:p>
          <w:p w14:paraId="55029F7C" w14:textId="77777777" w:rsidR="00A734A2" w:rsidRPr="000B3827" w:rsidRDefault="00A734A2" w:rsidP="000B3827">
            <w:pPr>
              <w:rPr>
                <w:sz w:val="20"/>
                <w:szCs w:val="20"/>
              </w:rPr>
            </w:pPr>
            <w:r w:rsidRPr="000B3827">
              <w:rPr>
                <w:sz w:val="20"/>
                <w:szCs w:val="20"/>
              </w:rPr>
              <w:t>Prior stem cell transplant</w:t>
            </w:r>
          </w:p>
          <w:p w14:paraId="60AD2812" w14:textId="77777777" w:rsidR="00A734A2" w:rsidRPr="000B3827" w:rsidRDefault="00A734A2" w:rsidP="000B3827">
            <w:pPr>
              <w:rPr>
                <w:sz w:val="20"/>
                <w:szCs w:val="20"/>
              </w:rPr>
            </w:pPr>
            <w:r w:rsidRPr="000B3827">
              <w:rPr>
                <w:sz w:val="20"/>
                <w:szCs w:val="20"/>
              </w:rPr>
              <w:t>Prior radiotherapy</w:t>
            </w:r>
          </w:p>
        </w:tc>
        <w:tc>
          <w:tcPr>
            <w:tcW w:w="1346" w:type="pct"/>
          </w:tcPr>
          <w:p w14:paraId="6DE71413" w14:textId="77777777" w:rsidR="00A734A2" w:rsidRPr="000B3827" w:rsidRDefault="00A734A2" w:rsidP="000B3827">
            <w:pPr>
              <w:rPr>
                <w:sz w:val="20"/>
                <w:szCs w:val="20"/>
              </w:rPr>
            </w:pPr>
          </w:p>
          <w:p w14:paraId="54FA1F6D" w14:textId="77777777" w:rsidR="00A734A2" w:rsidRPr="000B3827" w:rsidRDefault="00A734A2" w:rsidP="000B3827">
            <w:pPr>
              <w:rPr>
                <w:sz w:val="20"/>
                <w:szCs w:val="20"/>
              </w:rPr>
            </w:pPr>
            <w:r w:rsidRPr="000B3827">
              <w:rPr>
                <w:sz w:val="20"/>
                <w:szCs w:val="20"/>
              </w:rPr>
              <w:t>134 (68.7%)</w:t>
            </w:r>
          </w:p>
          <w:p w14:paraId="1A9482A0" w14:textId="77777777" w:rsidR="00A734A2" w:rsidRPr="000B3827" w:rsidRDefault="00A734A2" w:rsidP="000B3827">
            <w:pPr>
              <w:rPr>
                <w:sz w:val="20"/>
                <w:szCs w:val="20"/>
              </w:rPr>
            </w:pPr>
            <w:r w:rsidRPr="000B3827">
              <w:rPr>
                <w:sz w:val="20"/>
                <w:szCs w:val="20"/>
              </w:rPr>
              <w:t>20 (10.3%)</w:t>
            </w:r>
          </w:p>
          <w:p w14:paraId="4E63E86D" w14:textId="77777777" w:rsidR="00A734A2" w:rsidRPr="000B3827" w:rsidRDefault="00A734A2" w:rsidP="000B3827">
            <w:pPr>
              <w:rPr>
                <w:sz w:val="20"/>
                <w:szCs w:val="20"/>
              </w:rPr>
            </w:pPr>
            <w:r w:rsidRPr="000B3827">
              <w:rPr>
                <w:sz w:val="20"/>
                <w:szCs w:val="20"/>
              </w:rPr>
              <w:t>6 (3.1%)</w:t>
            </w:r>
          </w:p>
          <w:p w14:paraId="69D86F31" w14:textId="77777777" w:rsidR="00A734A2" w:rsidRPr="000B3827" w:rsidRDefault="00A734A2" w:rsidP="000B3827">
            <w:pPr>
              <w:rPr>
                <w:sz w:val="20"/>
                <w:szCs w:val="20"/>
              </w:rPr>
            </w:pPr>
            <w:r w:rsidRPr="000B3827">
              <w:rPr>
                <w:sz w:val="20"/>
                <w:szCs w:val="20"/>
              </w:rPr>
              <w:t>11(5.6%)</w:t>
            </w:r>
          </w:p>
          <w:p w14:paraId="2F2EA396" w14:textId="77777777" w:rsidR="00A734A2" w:rsidRPr="000B3827" w:rsidRDefault="00A734A2" w:rsidP="000B3827">
            <w:pPr>
              <w:rPr>
                <w:sz w:val="20"/>
                <w:szCs w:val="20"/>
              </w:rPr>
            </w:pPr>
            <w:r w:rsidRPr="000B3827">
              <w:rPr>
                <w:sz w:val="20"/>
                <w:szCs w:val="20"/>
              </w:rPr>
              <w:t>77 (39.5%)</w:t>
            </w:r>
          </w:p>
          <w:p w14:paraId="2B4683D7" w14:textId="77777777" w:rsidR="00A734A2" w:rsidRPr="000B3827" w:rsidRDefault="00A734A2" w:rsidP="000B3827">
            <w:pPr>
              <w:rPr>
                <w:sz w:val="20"/>
                <w:szCs w:val="20"/>
              </w:rPr>
            </w:pPr>
            <w:r w:rsidRPr="000B3827">
              <w:rPr>
                <w:sz w:val="20"/>
                <w:szCs w:val="20"/>
              </w:rPr>
              <w:t>11(5.6%)</w:t>
            </w:r>
          </w:p>
          <w:p w14:paraId="4B3C9A7C" w14:textId="77777777" w:rsidR="00A734A2" w:rsidRPr="000B3827" w:rsidRDefault="00A734A2" w:rsidP="000B3827">
            <w:pPr>
              <w:rPr>
                <w:sz w:val="20"/>
                <w:szCs w:val="20"/>
              </w:rPr>
            </w:pPr>
            <w:r w:rsidRPr="000B3827">
              <w:rPr>
                <w:sz w:val="20"/>
                <w:szCs w:val="20"/>
              </w:rPr>
              <w:t>76 (39%)</w:t>
            </w:r>
          </w:p>
          <w:p w14:paraId="6EFF568B" w14:textId="77777777" w:rsidR="00A734A2" w:rsidRPr="000B3827" w:rsidRDefault="00A734A2" w:rsidP="000B3827">
            <w:pPr>
              <w:rPr>
                <w:sz w:val="20"/>
                <w:szCs w:val="20"/>
              </w:rPr>
            </w:pPr>
            <w:r w:rsidRPr="000B3827">
              <w:rPr>
                <w:sz w:val="20"/>
                <w:szCs w:val="20"/>
              </w:rPr>
              <w:t>30 (15.4%)</w:t>
            </w:r>
          </w:p>
        </w:tc>
        <w:tc>
          <w:tcPr>
            <w:tcW w:w="1326" w:type="pct"/>
          </w:tcPr>
          <w:p w14:paraId="54A807FC" w14:textId="77777777" w:rsidR="00A734A2" w:rsidRPr="000B3827" w:rsidRDefault="00A734A2" w:rsidP="000B3827">
            <w:pPr>
              <w:rPr>
                <w:sz w:val="20"/>
                <w:szCs w:val="20"/>
              </w:rPr>
            </w:pPr>
          </w:p>
          <w:p w14:paraId="4D472131" w14:textId="77777777" w:rsidR="00A734A2" w:rsidRPr="000B3827" w:rsidRDefault="00A734A2" w:rsidP="000B3827">
            <w:pPr>
              <w:rPr>
                <w:sz w:val="20"/>
                <w:szCs w:val="20"/>
              </w:rPr>
            </w:pPr>
            <w:r w:rsidRPr="000B3827">
              <w:rPr>
                <w:sz w:val="20"/>
                <w:szCs w:val="20"/>
              </w:rPr>
              <w:t>145 (70%)</w:t>
            </w:r>
          </w:p>
          <w:p w14:paraId="3CD13C0D" w14:textId="77777777" w:rsidR="00A734A2" w:rsidRPr="000B3827" w:rsidRDefault="00A734A2" w:rsidP="000B3827">
            <w:pPr>
              <w:rPr>
                <w:sz w:val="20"/>
                <w:szCs w:val="20"/>
              </w:rPr>
            </w:pPr>
            <w:r w:rsidRPr="000B3827">
              <w:rPr>
                <w:sz w:val="20"/>
                <w:szCs w:val="20"/>
              </w:rPr>
              <w:t>21 (10.1%)</w:t>
            </w:r>
          </w:p>
          <w:p w14:paraId="41F9A41A" w14:textId="77777777" w:rsidR="00A734A2" w:rsidRPr="000B3827" w:rsidRDefault="00A734A2" w:rsidP="000B3827">
            <w:pPr>
              <w:rPr>
                <w:sz w:val="20"/>
                <w:szCs w:val="20"/>
              </w:rPr>
            </w:pPr>
            <w:r w:rsidRPr="000B3827">
              <w:rPr>
                <w:sz w:val="20"/>
                <w:szCs w:val="20"/>
              </w:rPr>
              <w:t>3 (1.4%)</w:t>
            </w:r>
          </w:p>
          <w:p w14:paraId="21194A12" w14:textId="77777777" w:rsidR="00A734A2" w:rsidRPr="000B3827" w:rsidRDefault="00A734A2" w:rsidP="000B3827">
            <w:pPr>
              <w:rPr>
                <w:sz w:val="20"/>
                <w:szCs w:val="20"/>
              </w:rPr>
            </w:pPr>
            <w:r w:rsidRPr="000B3827">
              <w:rPr>
                <w:sz w:val="20"/>
                <w:szCs w:val="20"/>
              </w:rPr>
              <w:t>6 (2.9%)</w:t>
            </w:r>
          </w:p>
          <w:p w14:paraId="623B5919" w14:textId="77777777" w:rsidR="00A734A2" w:rsidRPr="000B3827" w:rsidRDefault="00A734A2" w:rsidP="000B3827">
            <w:pPr>
              <w:rPr>
                <w:sz w:val="20"/>
                <w:szCs w:val="20"/>
              </w:rPr>
            </w:pPr>
            <w:r w:rsidRPr="000B3827">
              <w:rPr>
                <w:sz w:val="20"/>
                <w:szCs w:val="20"/>
              </w:rPr>
              <w:t>77 (37.2%)</w:t>
            </w:r>
          </w:p>
          <w:p w14:paraId="19D5F5A4" w14:textId="77777777" w:rsidR="00A734A2" w:rsidRPr="000B3827" w:rsidRDefault="00A734A2" w:rsidP="000B3827">
            <w:pPr>
              <w:rPr>
                <w:sz w:val="20"/>
                <w:szCs w:val="20"/>
              </w:rPr>
            </w:pPr>
            <w:r w:rsidRPr="000B3827">
              <w:rPr>
                <w:sz w:val="20"/>
                <w:szCs w:val="20"/>
              </w:rPr>
              <w:t>7 (3.4%)</w:t>
            </w:r>
          </w:p>
          <w:p w14:paraId="403D5B16" w14:textId="77777777" w:rsidR="00A734A2" w:rsidRPr="000B3827" w:rsidRDefault="00A734A2" w:rsidP="000B3827">
            <w:pPr>
              <w:rPr>
                <w:sz w:val="20"/>
                <w:szCs w:val="20"/>
              </w:rPr>
            </w:pPr>
            <w:r w:rsidRPr="000B3827">
              <w:rPr>
                <w:sz w:val="20"/>
                <w:szCs w:val="20"/>
              </w:rPr>
              <w:t>63 (30.4%)</w:t>
            </w:r>
          </w:p>
          <w:p w14:paraId="0CDC31EA" w14:textId="77777777" w:rsidR="00A734A2" w:rsidRPr="000B3827" w:rsidRDefault="00A734A2" w:rsidP="000B3827">
            <w:pPr>
              <w:rPr>
                <w:sz w:val="20"/>
                <w:szCs w:val="20"/>
              </w:rPr>
            </w:pPr>
            <w:r w:rsidRPr="000B3827">
              <w:rPr>
                <w:sz w:val="20"/>
                <w:szCs w:val="20"/>
              </w:rPr>
              <w:t>71 (17.7%)</w:t>
            </w:r>
          </w:p>
        </w:tc>
      </w:tr>
    </w:tbl>
    <w:p w14:paraId="6F03CBC8" w14:textId="5D177BCA" w:rsidR="00A734A2" w:rsidRPr="007F4550" w:rsidRDefault="00A734A2" w:rsidP="006A4BD2">
      <w:pPr>
        <w:pStyle w:val="Heading6"/>
        <w:rPr>
          <w:lang w:eastAsia="ja-JP"/>
        </w:rPr>
      </w:pPr>
      <w:r>
        <w:rPr>
          <w:lang w:eastAsia="ja-JP"/>
        </w:rPr>
        <w:t>Statistics</w:t>
      </w:r>
    </w:p>
    <w:p w14:paraId="7FAD9DC8" w14:textId="453EB63C" w:rsidR="00A734A2" w:rsidRPr="00B725B6" w:rsidRDefault="00A734A2" w:rsidP="00A734A2">
      <w:r w:rsidRPr="00B725B6">
        <w:t>Three analysis sets were defined in the study:</w:t>
      </w:r>
    </w:p>
    <w:p w14:paraId="428AF1AD" w14:textId="2A6D3AAA" w:rsidR="00A734A2" w:rsidRPr="00B725B6" w:rsidRDefault="00A734A2" w:rsidP="00A734A2">
      <w:pPr>
        <w:pStyle w:val="ListBullet"/>
      </w:pPr>
      <w:r>
        <w:t>Intent to treat (</w:t>
      </w:r>
      <w:r w:rsidRPr="00B725B6">
        <w:t>ITT</w:t>
      </w:r>
      <w:r>
        <w:t>):</w:t>
      </w:r>
      <w:r w:rsidRPr="00B725B6">
        <w:t xml:space="preserve"> all randomised, analysed by randomised treatment arm regardless of treatment received, primary analysis population</w:t>
      </w:r>
    </w:p>
    <w:p w14:paraId="6766429A" w14:textId="170F35A1" w:rsidR="00A734A2" w:rsidRPr="00B725B6" w:rsidRDefault="00A734A2" w:rsidP="00A734A2">
      <w:pPr>
        <w:pStyle w:val="ListBullet"/>
      </w:pPr>
      <w:r w:rsidRPr="00B725B6">
        <w:t>Per-protocol (PP) population</w:t>
      </w:r>
      <w:r>
        <w:t>:</w:t>
      </w:r>
      <w:r w:rsidRPr="00B725B6">
        <w:t xml:space="preserve"> all ITT patients with treatment compliance ≥</w:t>
      </w:r>
      <w:r>
        <w:t> </w:t>
      </w:r>
      <w:r w:rsidRPr="00B725B6">
        <w:t>70% and no major protocol violations that affected assessment of efficacy, included patients who progressed or died, analysis by randomised treatment arm, supportive analyses population</w:t>
      </w:r>
    </w:p>
    <w:p w14:paraId="5915F618" w14:textId="0DE14B37" w:rsidR="00A734A2" w:rsidRPr="00B725B6" w:rsidRDefault="00A734A2" w:rsidP="00A734A2">
      <w:pPr>
        <w:pStyle w:val="ListBullet"/>
      </w:pPr>
      <w:r w:rsidRPr="00B725B6">
        <w:t>Safety population</w:t>
      </w:r>
      <w:r>
        <w:t>:</w:t>
      </w:r>
      <w:r w:rsidRPr="00B725B6">
        <w:t xml:space="preserve"> all patients who had received at least </w:t>
      </w:r>
      <w:r>
        <w:t>one</w:t>
      </w:r>
      <w:r w:rsidRPr="00B725B6">
        <w:t xml:space="preserve"> dose of the study treatment, according to treatment received.</w:t>
      </w:r>
    </w:p>
    <w:p w14:paraId="3A8EE2FE" w14:textId="3318E12A" w:rsidR="00A734A2" w:rsidRDefault="00A734A2" w:rsidP="00A734A2">
      <w:pPr>
        <w:rPr>
          <w:lang w:eastAsia="ja-JP"/>
        </w:rPr>
      </w:pPr>
      <w:r w:rsidRPr="00B725B6">
        <w:rPr>
          <w:lang w:eastAsia="ja-JP"/>
        </w:rPr>
        <w:t xml:space="preserve">The sample size of 364 patients (182 per arm) was required for enrolment to allow for an exponential dropout rate of 0.65% per month. The study was designed to have 80% power to detect a median </w:t>
      </w:r>
      <w:r w:rsidR="00D80974">
        <w:rPr>
          <w:lang w:eastAsia="ja-JP"/>
        </w:rPr>
        <w:t>progression-free survival (</w:t>
      </w:r>
      <w:r w:rsidRPr="00B725B6">
        <w:rPr>
          <w:lang w:eastAsia="ja-JP"/>
        </w:rPr>
        <w:t>PFS</w:t>
      </w:r>
      <w:r w:rsidR="00D80974">
        <w:rPr>
          <w:lang w:eastAsia="ja-JP"/>
        </w:rPr>
        <w:t>)</w:t>
      </w:r>
      <w:r w:rsidRPr="00B725B6">
        <w:rPr>
          <w:lang w:eastAsia="ja-JP"/>
        </w:rPr>
        <w:t xml:space="preserve"> for patients treated with </w:t>
      </w:r>
      <w:proofErr w:type="spellStart"/>
      <w:r w:rsidR="00B6085E">
        <w:t>selinexor</w:t>
      </w:r>
      <w:proofErr w:type="spellEnd"/>
      <w:r w:rsidR="00B6085E">
        <w:t>, bortezomib and dexamethasone (</w:t>
      </w:r>
      <w:proofErr w:type="spellStart"/>
      <w:r w:rsidRPr="00B725B6">
        <w:rPr>
          <w:lang w:eastAsia="ja-JP"/>
        </w:rPr>
        <w:t>SVd</w:t>
      </w:r>
      <w:proofErr w:type="spellEnd"/>
      <w:r w:rsidR="00B6085E">
        <w:rPr>
          <w:lang w:eastAsia="ja-JP"/>
        </w:rPr>
        <w:t>)</w:t>
      </w:r>
      <w:r w:rsidRPr="00B725B6">
        <w:rPr>
          <w:lang w:eastAsia="ja-JP"/>
        </w:rPr>
        <w:t xml:space="preserve"> of 13.5</w:t>
      </w:r>
      <w:r w:rsidR="00D80974">
        <w:rPr>
          <w:lang w:eastAsia="ja-JP"/>
        </w:rPr>
        <w:t> </w:t>
      </w:r>
      <w:r w:rsidRPr="00B725B6">
        <w:rPr>
          <w:lang w:eastAsia="ja-JP"/>
        </w:rPr>
        <w:t>months v</w:t>
      </w:r>
      <w:r>
        <w:rPr>
          <w:lang w:eastAsia="ja-JP"/>
        </w:rPr>
        <w:t>ersus</w:t>
      </w:r>
      <w:r w:rsidRPr="00B725B6">
        <w:rPr>
          <w:lang w:eastAsia="ja-JP"/>
        </w:rPr>
        <w:t xml:space="preserve"> 9.4 months with</w:t>
      </w:r>
      <w:r w:rsidR="00B6085E">
        <w:t xml:space="preserve"> bortezomib and dexamethasone (</w:t>
      </w:r>
      <w:proofErr w:type="spellStart"/>
      <w:r w:rsidRPr="00B725B6">
        <w:rPr>
          <w:lang w:eastAsia="ja-JP"/>
        </w:rPr>
        <w:t>Vd</w:t>
      </w:r>
      <w:proofErr w:type="spellEnd"/>
      <w:r w:rsidR="00B6085E">
        <w:rPr>
          <w:lang w:eastAsia="ja-JP"/>
        </w:rPr>
        <w:t>)</w:t>
      </w:r>
      <w:r w:rsidRPr="00B725B6">
        <w:rPr>
          <w:lang w:eastAsia="ja-JP"/>
        </w:rPr>
        <w:t xml:space="preserve"> of, using a </w:t>
      </w:r>
      <w:r>
        <w:rPr>
          <w:lang w:eastAsia="ja-JP"/>
        </w:rPr>
        <w:t xml:space="preserve">one </w:t>
      </w:r>
      <w:r w:rsidRPr="00B725B6">
        <w:rPr>
          <w:lang w:eastAsia="ja-JP"/>
        </w:rPr>
        <w:t>sided alpha of 0.025, 15 months accrual, 18 months follow</w:t>
      </w:r>
      <w:r>
        <w:rPr>
          <w:lang w:eastAsia="ja-JP"/>
        </w:rPr>
        <w:t xml:space="preserve"> </w:t>
      </w:r>
      <w:r w:rsidRPr="00B725B6">
        <w:rPr>
          <w:lang w:eastAsia="ja-JP"/>
        </w:rPr>
        <w:t xml:space="preserve">up, 1:1 allocation of treatment to </w:t>
      </w:r>
      <w:proofErr w:type="spellStart"/>
      <w:r w:rsidRPr="00B725B6">
        <w:rPr>
          <w:lang w:eastAsia="ja-JP"/>
        </w:rPr>
        <w:t>SVd:Vd</w:t>
      </w:r>
      <w:proofErr w:type="spellEnd"/>
      <w:r w:rsidRPr="00B725B6">
        <w:rPr>
          <w:lang w:eastAsia="ja-JP"/>
        </w:rPr>
        <w:t>, and allowing for an interim analysis (IA) of PFS for futility or superiority, with the treatment difference assessed by a log-rank test. Based on these statistical assumptions, a total of 267 PFS events were required for the final analysis.</w:t>
      </w:r>
    </w:p>
    <w:p w14:paraId="16A6EFCF" w14:textId="77777777" w:rsidR="00A734A2" w:rsidRDefault="00A734A2" w:rsidP="006A4BD2">
      <w:pPr>
        <w:pStyle w:val="Heading6"/>
        <w:rPr>
          <w:lang w:eastAsia="ja-JP"/>
        </w:rPr>
      </w:pPr>
      <w:r w:rsidRPr="006E30B5">
        <w:rPr>
          <w:lang w:eastAsia="ja-JP"/>
        </w:rPr>
        <w:t>Protocol amendments</w:t>
      </w:r>
    </w:p>
    <w:p w14:paraId="1D4AA142" w14:textId="77777777" w:rsidR="00A734A2" w:rsidRDefault="00A734A2" w:rsidP="00A734A2">
      <w:pPr>
        <w:rPr>
          <w:rFonts w:asciiTheme="minorHAnsi" w:hAnsiTheme="minorHAnsi" w:cs="Calibri"/>
          <w:lang w:eastAsia="ja-JP"/>
        </w:rPr>
      </w:pPr>
      <w:r>
        <w:rPr>
          <w:rFonts w:asciiTheme="minorHAnsi" w:hAnsiTheme="minorHAnsi" w:cs="Calibri"/>
          <w:lang w:eastAsia="ja-JP"/>
        </w:rPr>
        <w:t>Key protocol amendments included:</w:t>
      </w:r>
    </w:p>
    <w:p w14:paraId="53191846" w14:textId="23F52F37" w:rsidR="00A734A2" w:rsidRPr="000C3511" w:rsidRDefault="00A734A2" w:rsidP="001C72EF">
      <w:pPr>
        <w:pStyle w:val="ListParagraph"/>
        <w:numPr>
          <w:ilvl w:val="0"/>
          <w:numId w:val="5"/>
        </w:numPr>
        <w:rPr>
          <w:rFonts w:asciiTheme="minorHAnsi" w:hAnsiTheme="minorHAnsi" w:cs="Calibri"/>
        </w:rPr>
      </w:pPr>
      <w:r w:rsidRPr="000C3511">
        <w:rPr>
          <w:rFonts w:asciiTheme="minorHAnsi" w:hAnsiTheme="minorHAnsi" w:cs="Calibri"/>
        </w:rPr>
        <w:t xml:space="preserve">Change for </w:t>
      </w:r>
      <w:r w:rsidR="000A0FC7">
        <w:rPr>
          <w:rFonts w:asciiTheme="minorHAnsi" w:hAnsiTheme="minorHAnsi" w:cs="Calibri"/>
        </w:rPr>
        <w:t>overall response rate</w:t>
      </w:r>
      <w:r w:rsidRPr="000C3511">
        <w:rPr>
          <w:rFonts w:asciiTheme="minorHAnsi" w:hAnsiTheme="minorHAnsi" w:cs="Calibri"/>
        </w:rPr>
        <w:t xml:space="preserve"> to PFS as the primary endpoint, removal of </w:t>
      </w:r>
      <w:r w:rsidR="000A0FC7">
        <w:rPr>
          <w:rFonts w:asciiTheme="minorHAnsi" w:hAnsiTheme="minorHAnsi" w:cs="Calibri"/>
        </w:rPr>
        <w:t>overall response rate</w:t>
      </w:r>
      <w:r w:rsidRPr="000C3511">
        <w:rPr>
          <w:rFonts w:asciiTheme="minorHAnsi" w:hAnsiTheme="minorHAnsi" w:cs="Calibri"/>
        </w:rPr>
        <w:t xml:space="preserve">, PFS and </w:t>
      </w:r>
      <w:r w:rsidR="00D80974">
        <w:rPr>
          <w:rFonts w:asciiTheme="minorHAnsi" w:hAnsiTheme="minorHAnsi" w:cs="Calibri"/>
        </w:rPr>
        <w:t>duration of response (DOR)</w:t>
      </w:r>
      <w:r w:rsidR="00D80974" w:rsidRPr="000C3511">
        <w:rPr>
          <w:rFonts w:asciiTheme="minorHAnsi" w:hAnsiTheme="minorHAnsi" w:cs="Calibri"/>
        </w:rPr>
        <w:t xml:space="preserve"> </w:t>
      </w:r>
      <w:r w:rsidRPr="000C3511">
        <w:rPr>
          <w:rFonts w:asciiTheme="minorHAnsi" w:hAnsiTheme="minorHAnsi" w:cs="Calibri"/>
        </w:rPr>
        <w:t xml:space="preserve">for patients with </w:t>
      </w:r>
      <w:r>
        <w:rPr>
          <w:rFonts w:asciiTheme="minorHAnsi" w:hAnsiTheme="minorHAnsi" w:cs="Calibri"/>
        </w:rPr>
        <w:t>1</w:t>
      </w:r>
      <w:r w:rsidR="00D80974">
        <w:rPr>
          <w:rFonts w:asciiTheme="minorHAnsi" w:hAnsiTheme="minorHAnsi" w:cs="Calibri"/>
        </w:rPr>
        <w:t> </w:t>
      </w:r>
      <w:r w:rsidRPr="000C3511">
        <w:rPr>
          <w:rFonts w:asciiTheme="minorHAnsi" w:hAnsiTheme="minorHAnsi" w:cs="Calibri"/>
        </w:rPr>
        <w:t>versus &gt;</w:t>
      </w:r>
      <w:r w:rsidR="00CC7616">
        <w:rPr>
          <w:rFonts w:asciiTheme="minorHAnsi" w:hAnsiTheme="minorHAnsi" w:cs="Calibri"/>
        </w:rPr>
        <w:t> </w:t>
      </w:r>
      <w:r w:rsidRPr="000C3511">
        <w:rPr>
          <w:rFonts w:asciiTheme="minorHAnsi" w:hAnsiTheme="minorHAnsi" w:cs="Calibri"/>
        </w:rPr>
        <w:t>1 prior anti-</w:t>
      </w:r>
      <w:r>
        <w:rPr>
          <w:rFonts w:asciiTheme="minorHAnsi" w:hAnsiTheme="minorHAnsi" w:cs="Calibri"/>
        </w:rPr>
        <w:t>multiple myeloma</w:t>
      </w:r>
      <w:r w:rsidRPr="000C3511">
        <w:rPr>
          <w:rFonts w:asciiTheme="minorHAnsi" w:hAnsiTheme="minorHAnsi" w:cs="Calibri"/>
        </w:rPr>
        <w:t xml:space="preserve"> regimen (now exploratory), </w:t>
      </w:r>
      <w:r w:rsidR="00D80974">
        <w:rPr>
          <w:rFonts w:asciiTheme="minorHAnsi" w:hAnsiTheme="minorHAnsi" w:cs="Calibri"/>
        </w:rPr>
        <w:t>overall survival (</w:t>
      </w:r>
      <w:r w:rsidRPr="000C3511">
        <w:rPr>
          <w:rFonts w:asciiTheme="minorHAnsi" w:hAnsiTheme="minorHAnsi" w:cs="Calibri"/>
        </w:rPr>
        <w:t>OS</w:t>
      </w:r>
      <w:r w:rsidR="00D80974">
        <w:rPr>
          <w:rFonts w:asciiTheme="minorHAnsi" w:hAnsiTheme="minorHAnsi" w:cs="Calibri"/>
        </w:rPr>
        <w:t>)</w:t>
      </w:r>
      <w:r w:rsidRPr="000C3511">
        <w:rPr>
          <w:rFonts w:asciiTheme="minorHAnsi" w:hAnsiTheme="minorHAnsi" w:cs="Calibri"/>
        </w:rPr>
        <w:t xml:space="preserve"> moved to non-key secondary endpoint</w:t>
      </w:r>
    </w:p>
    <w:p w14:paraId="04C51139" w14:textId="77777777" w:rsidR="00A734A2" w:rsidRPr="000C3511" w:rsidRDefault="00A734A2" w:rsidP="001C72EF">
      <w:pPr>
        <w:pStyle w:val="ListParagraph"/>
        <w:numPr>
          <w:ilvl w:val="0"/>
          <w:numId w:val="5"/>
        </w:numPr>
        <w:rPr>
          <w:rFonts w:asciiTheme="minorHAnsi" w:hAnsiTheme="minorHAnsi" w:cs="Calibri"/>
        </w:rPr>
      </w:pPr>
      <w:r w:rsidRPr="000C3511">
        <w:rPr>
          <w:rFonts w:asciiTheme="minorHAnsi" w:hAnsiTheme="minorHAnsi" w:cs="Calibri"/>
        </w:rPr>
        <w:t>Changed the point of determination of R-ISS to study entry from initial diagnosis</w:t>
      </w:r>
    </w:p>
    <w:p w14:paraId="17325861" w14:textId="4DF1A799" w:rsidR="00A734A2" w:rsidRDefault="00A734A2" w:rsidP="00A734A2">
      <w:pPr>
        <w:rPr>
          <w:rFonts w:asciiTheme="minorHAnsi" w:hAnsiTheme="minorHAnsi" w:cs="Calibri"/>
          <w:lang w:eastAsia="ja-JP"/>
        </w:rPr>
      </w:pPr>
      <w:r w:rsidRPr="009F23F3">
        <w:rPr>
          <w:rFonts w:asciiTheme="minorHAnsi" w:hAnsiTheme="minorHAnsi" w:cs="Calibri"/>
          <w:lang w:eastAsia="ja-JP"/>
        </w:rPr>
        <w:t>Major protocol deviations</w:t>
      </w:r>
      <w:r>
        <w:rPr>
          <w:rFonts w:asciiTheme="minorHAnsi" w:hAnsiTheme="minorHAnsi" w:cs="Calibri"/>
          <w:lang w:eastAsia="ja-JP"/>
        </w:rPr>
        <w:t xml:space="preserve"> </w:t>
      </w:r>
      <w:r w:rsidRPr="009F23F3">
        <w:rPr>
          <w:rFonts w:asciiTheme="minorHAnsi" w:hAnsiTheme="minorHAnsi" w:cs="Calibri"/>
          <w:lang w:eastAsia="ja-JP"/>
        </w:rPr>
        <w:t>(n</w:t>
      </w:r>
      <w:r>
        <w:rPr>
          <w:rFonts w:asciiTheme="minorHAnsi" w:hAnsiTheme="minorHAnsi" w:cs="Calibri"/>
          <w:lang w:eastAsia="ja-JP"/>
        </w:rPr>
        <w:t xml:space="preserve"> </w:t>
      </w:r>
      <w:r w:rsidRPr="009F23F3">
        <w:rPr>
          <w:rFonts w:asciiTheme="minorHAnsi" w:hAnsiTheme="minorHAnsi" w:cs="Calibri"/>
          <w:lang w:eastAsia="ja-JP"/>
        </w:rPr>
        <w:t>=</w:t>
      </w:r>
      <w:r>
        <w:rPr>
          <w:rFonts w:asciiTheme="minorHAnsi" w:hAnsiTheme="minorHAnsi" w:cs="Calibri"/>
          <w:lang w:eastAsia="ja-JP"/>
        </w:rPr>
        <w:t xml:space="preserve"> </w:t>
      </w:r>
      <w:r w:rsidRPr="009F23F3">
        <w:rPr>
          <w:rFonts w:asciiTheme="minorHAnsi" w:hAnsiTheme="minorHAnsi" w:cs="Calibri"/>
          <w:lang w:eastAsia="ja-JP"/>
        </w:rPr>
        <w:t>22) occurred for 21 patients and were balanced between the arms. None were considered by the evaluator to have a significant impact on study conduct, patient safety, or treatment efficacy.</w:t>
      </w:r>
    </w:p>
    <w:p w14:paraId="01753C36" w14:textId="77777777" w:rsidR="00A734A2" w:rsidRDefault="00A734A2" w:rsidP="006A4BD2">
      <w:pPr>
        <w:pStyle w:val="Heading6"/>
        <w:rPr>
          <w:lang w:eastAsia="ja-JP"/>
        </w:rPr>
      </w:pPr>
      <w:r>
        <w:rPr>
          <w:lang w:eastAsia="ja-JP"/>
        </w:rPr>
        <w:lastRenderedPageBreak/>
        <w:t>Disease measurements</w:t>
      </w:r>
    </w:p>
    <w:p w14:paraId="09939539" w14:textId="102114A5" w:rsidR="00A734A2" w:rsidRPr="00C42FB5" w:rsidRDefault="00A734A2" w:rsidP="00A734A2">
      <w:pPr>
        <w:rPr>
          <w:rFonts w:asciiTheme="minorHAnsi" w:hAnsiTheme="minorHAnsi" w:cs="Calibri"/>
          <w:lang w:eastAsia="ja-JP"/>
        </w:rPr>
      </w:pPr>
      <w:r>
        <w:rPr>
          <w:rFonts w:asciiTheme="minorHAnsi" w:hAnsiTheme="minorHAnsi" w:cs="Calibri"/>
          <w:lang w:eastAsia="ja-JP"/>
        </w:rPr>
        <w:t>Disease measurements were undertaken according to the IMWG criteria</w:t>
      </w:r>
      <w:r w:rsidR="00D269C6">
        <w:rPr>
          <w:rFonts w:asciiTheme="minorHAnsi" w:hAnsiTheme="minorHAnsi" w:cs="Calibri"/>
          <w:lang w:eastAsia="ja-JP"/>
        </w:rPr>
        <w:t>;</w:t>
      </w:r>
      <w:r w:rsidR="00D269C6">
        <w:rPr>
          <w:rFonts w:asciiTheme="minorHAnsi" w:hAnsiTheme="minorHAnsi" w:cs="Calibri"/>
          <w:lang w:eastAsia="ja-JP"/>
        </w:rPr>
        <w:fldChar w:fldCharType="begin"/>
      </w:r>
      <w:r w:rsidR="00D269C6">
        <w:rPr>
          <w:rFonts w:asciiTheme="minorHAnsi" w:hAnsiTheme="minorHAnsi" w:cs="Calibri"/>
          <w:lang w:eastAsia="ja-JP"/>
        </w:rPr>
        <w:instrText xml:space="preserve"> NOTEREF _Ref111543588 \f \h </w:instrText>
      </w:r>
      <w:r w:rsidR="00D269C6">
        <w:rPr>
          <w:rFonts w:asciiTheme="minorHAnsi" w:hAnsiTheme="minorHAnsi" w:cs="Calibri"/>
          <w:lang w:eastAsia="ja-JP"/>
        </w:rPr>
      </w:r>
      <w:r w:rsidR="00D269C6">
        <w:rPr>
          <w:rFonts w:asciiTheme="minorHAnsi" w:hAnsiTheme="minorHAnsi" w:cs="Calibri"/>
          <w:lang w:eastAsia="ja-JP"/>
        </w:rPr>
        <w:fldChar w:fldCharType="separate"/>
      </w:r>
      <w:r w:rsidR="00D80974" w:rsidRPr="000B3827">
        <w:rPr>
          <w:rStyle w:val="FootnoteReference"/>
        </w:rPr>
        <w:t>18</w:t>
      </w:r>
      <w:r w:rsidR="00D269C6">
        <w:rPr>
          <w:rFonts w:asciiTheme="minorHAnsi" w:hAnsiTheme="minorHAnsi" w:cs="Calibri"/>
          <w:lang w:eastAsia="ja-JP"/>
        </w:rPr>
        <w:fldChar w:fldCharType="end"/>
      </w:r>
      <w:r>
        <w:rPr>
          <w:rFonts w:asciiTheme="minorHAnsi" w:hAnsiTheme="minorHAnsi" w:cs="Calibri"/>
          <w:lang w:eastAsia="ja-JP"/>
        </w:rPr>
        <w:t xml:space="preserve"> every </w:t>
      </w:r>
      <w:r w:rsidR="00CC7616">
        <w:rPr>
          <w:rFonts w:asciiTheme="minorHAnsi" w:hAnsiTheme="minorHAnsi" w:cs="Calibri"/>
          <w:lang w:eastAsia="ja-JP"/>
        </w:rPr>
        <w:t>three</w:t>
      </w:r>
      <w:r>
        <w:rPr>
          <w:rFonts w:asciiTheme="minorHAnsi" w:hAnsiTheme="minorHAnsi" w:cs="Calibri"/>
          <w:lang w:eastAsia="ja-JP"/>
        </w:rPr>
        <w:t xml:space="preserve"> weeks from </w:t>
      </w:r>
      <w:r w:rsidR="00291317">
        <w:rPr>
          <w:rFonts w:asciiTheme="minorHAnsi" w:hAnsiTheme="minorHAnsi" w:cs="Calibri"/>
          <w:lang w:eastAsia="ja-JP"/>
        </w:rPr>
        <w:t>B</w:t>
      </w:r>
      <w:r>
        <w:rPr>
          <w:rFonts w:asciiTheme="minorHAnsi" w:hAnsiTheme="minorHAnsi" w:cs="Calibri"/>
          <w:lang w:eastAsia="ja-JP"/>
        </w:rPr>
        <w:t xml:space="preserve">aseline through Week 37 then every </w:t>
      </w:r>
      <w:r w:rsidR="00CC7616">
        <w:rPr>
          <w:rFonts w:asciiTheme="minorHAnsi" w:hAnsiTheme="minorHAnsi" w:cs="Calibri"/>
          <w:lang w:eastAsia="ja-JP"/>
        </w:rPr>
        <w:t>five</w:t>
      </w:r>
      <w:r>
        <w:rPr>
          <w:rFonts w:asciiTheme="minorHAnsi" w:hAnsiTheme="minorHAnsi" w:cs="Calibri"/>
          <w:lang w:eastAsia="ja-JP"/>
        </w:rPr>
        <w:t xml:space="preserve"> weeks for the remainder of the study.</w:t>
      </w:r>
    </w:p>
    <w:p w14:paraId="7DD0689F" w14:textId="6BEE4629" w:rsidR="00A734A2" w:rsidRPr="00301193" w:rsidRDefault="006A4BD2" w:rsidP="006A4BD2">
      <w:pPr>
        <w:pStyle w:val="Heading6"/>
        <w:rPr>
          <w:lang w:eastAsia="ja-JP"/>
        </w:rPr>
      </w:pPr>
      <w:r>
        <w:rPr>
          <w:lang w:eastAsia="ja-JP"/>
        </w:rPr>
        <w:t>Result</w:t>
      </w:r>
    </w:p>
    <w:p w14:paraId="3F4A9AF4" w14:textId="5E01751C" w:rsidR="00A734A2" w:rsidRDefault="009E29AC" w:rsidP="00A734A2">
      <w:pPr>
        <w:rPr>
          <w:rFonts w:asciiTheme="minorHAnsi" w:hAnsiTheme="minorHAnsi" w:cs="Calibri"/>
          <w:lang w:eastAsia="ja-JP"/>
        </w:rPr>
      </w:pPr>
      <w:r>
        <w:rPr>
          <w:rFonts w:asciiTheme="minorHAnsi" w:hAnsiTheme="minorHAnsi" w:cs="Calibri"/>
          <w:lang w:eastAsia="ja-JP"/>
        </w:rPr>
        <w:fldChar w:fldCharType="begin"/>
      </w:r>
      <w:r>
        <w:rPr>
          <w:rFonts w:asciiTheme="minorHAnsi" w:hAnsiTheme="minorHAnsi" w:cs="Calibri"/>
          <w:lang w:eastAsia="ja-JP"/>
        </w:rPr>
        <w:instrText xml:space="preserve"> REF _Ref111544073 \h </w:instrText>
      </w:r>
      <w:r>
        <w:rPr>
          <w:rFonts w:asciiTheme="minorHAnsi" w:hAnsiTheme="minorHAnsi" w:cs="Calibri"/>
          <w:lang w:eastAsia="ja-JP"/>
        </w:rPr>
      </w:r>
      <w:r>
        <w:rPr>
          <w:rFonts w:asciiTheme="minorHAnsi" w:hAnsiTheme="minorHAnsi" w:cs="Calibri"/>
          <w:lang w:eastAsia="ja-JP"/>
        </w:rPr>
        <w:fldChar w:fldCharType="separate"/>
      </w:r>
      <w:r w:rsidR="003F6139" w:rsidRPr="00D269C6">
        <w:t xml:space="preserve">Table </w:t>
      </w:r>
      <w:r w:rsidR="003F6139">
        <w:rPr>
          <w:noProof/>
        </w:rPr>
        <w:t>4</w:t>
      </w:r>
      <w:r>
        <w:rPr>
          <w:rFonts w:asciiTheme="minorHAnsi" w:hAnsiTheme="minorHAnsi" w:cs="Calibri"/>
          <w:lang w:eastAsia="ja-JP"/>
        </w:rPr>
        <w:fldChar w:fldCharType="end"/>
      </w:r>
      <w:r>
        <w:rPr>
          <w:rFonts w:asciiTheme="minorHAnsi" w:hAnsiTheme="minorHAnsi" w:cs="Calibri"/>
          <w:lang w:eastAsia="ja-JP"/>
        </w:rPr>
        <w:t xml:space="preserve"> present</w:t>
      </w:r>
      <w:r w:rsidR="00D80974">
        <w:rPr>
          <w:rFonts w:asciiTheme="minorHAnsi" w:hAnsiTheme="minorHAnsi" w:cs="Calibri"/>
          <w:lang w:eastAsia="ja-JP"/>
        </w:rPr>
        <w:t>s</w:t>
      </w:r>
      <w:r>
        <w:rPr>
          <w:rFonts w:asciiTheme="minorHAnsi" w:hAnsiTheme="minorHAnsi" w:cs="Calibri"/>
          <w:lang w:eastAsia="ja-JP"/>
        </w:rPr>
        <w:t xml:space="preserve"> the key outcome from BOSTON trial according to the IMWG criteria;</w:t>
      </w:r>
      <w:r>
        <w:rPr>
          <w:rFonts w:asciiTheme="minorHAnsi" w:hAnsiTheme="minorHAnsi" w:cs="Calibri"/>
          <w:lang w:eastAsia="ja-JP"/>
        </w:rPr>
        <w:fldChar w:fldCharType="begin"/>
      </w:r>
      <w:r>
        <w:rPr>
          <w:rFonts w:asciiTheme="minorHAnsi" w:hAnsiTheme="minorHAnsi" w:cs="Calibri"/>
          <w:lang w:eastAsia="ja-JP"/>
        </w:rPr>
        <w:instrText xml:space="preserve"> NOTEREF _Ref111543588 \f \h </w:instrText>
      </w:r>
      <w:r>
        <w:rPr>
          <w:rFonts w:asciiTheme="minorHAnsi" w:hAnsiTheme="minorHAnsi" w:cs="Calibri"/>
          <w:lang w:eastAsia="ja-JP"/>
        </w:rPr>
      </w:r>
      <w:r>
        <w:rPr>
          <w:rFonts w:asciiTheme="minorHAnsi" w:hAnsiTheme="minorHAnsi" w:cs="Calibri"/>
          <w:lang w:eastAsia="ja-JP"/>
        </w:rPr>
        <w:fldChar w:fldCharType="separate"/>
      </w:r>
      <w:r w:rsidR="00D80974" w:rsidRPr="000B3827">
        <w:rPr>
          <w:rStyle w:val="FootnoteReference"/>
        </w:rPr>
        <w:t>18</w:t>
      </w:r>
      <w:r>
        <w:rPr>
          <w:rFonts w:asciiTheme="minorHAnsi" w:hAnsiTheme="minorHAnsi" w:cs="Calibri"/>
          <w:lang w:eastAsia="ja-JP"/>
        </w:rPr>
        <w:fldChar w:fldCharType="end"/>
      </w:r>
      <w:r>
        <w:rPr>
          <w:rFonts w:asciiTheme="minorHAnsi" w:hAnsiTheme="minorHAnsi" w:cs="Calibri"/>
          <w:lang w:eastAsia="ja-JP"/>
        </w:rPr>
        <w:t xml:space="preserve"> (</w:t>
      </w:r>
      <w:r w:rsidR="00A734A2">
        <w:rPr>
          <w:rFonts w:asciiTheme="minorHAnsi" w:hAnsiTheme="minorHAnsi" w:cs="Calibri"/>
          <w:lang w:eastAsia="ja-JP"/>
        </w:rPr>
        <w:t>database cut of 18 February 2020</w:t>
      </w:r>
      <w:r>
        <w:rPr>
          <w:rFonts w:asciiTheme="minorHAnsi" w:hAnsiTheme="minorHAnsi" w:cs="Calibri"/>
          <w:lang w:eastAsia="ja-JP"/>
        </w:rPr>
        <w:t>).</w:t>
      </w:r>
    </w:p>
    <w:p w14:paraId="25F681AB" w14:textId="29C54D23" w:rsidR="00A734A2" w:rsidRDefault="00D269C6">
      <w:pPr>
        <w:pStyle w:val="TableTitle"/>
      </w:pPr>
      <w:bookmarkStart w:id="44" w:name="_Ref111544073"/>
      <w:r w:rsidRPr="00D269C6">
        <w:t xml:space="preserve">Table </w:t>
      </w:r>
      <w:r w:rsidR="006737A0">
        <w:fldChar w:fldCharType="begin"/>
      </w:r>
      <w:r w:rsidR="006737A0">
        <w:instrText xml:space="preserve"> SEQ Table \* ARABIC </w:instrText>
      </w:r>
      <w:r w:rsidR="006737A0">
        <w:fldChar w:fldCharType="separate"/>
      </w:r>
      <w:r w:rsidR="00BB2836">
        <w:rPr>
          <w:noProof/>
        </w:rPr>
        <w:t>4</w:t>
      </w:r>
      <w:r w:rsidR="006737A0">
        <w:rPr>
          <w:noProof/>
        </w:rPr>
        <w:fldChar w:fldCharType="end"/>
      </w:r>
      <w:bookmarkEnd w:id="44"/>
      <w:r>
        <w:t xml:space="preserve">: </w:t>
      </w:r>
      <w:r w:rsidR="00D80974">
        <w:t>Study KCP-330-023 (BOSTON trial) K</w:t>
      </w:r>
      <w:r>
        <w:t>ey outcomes</w:t>
      </w:r>
    </w:p>
    <w:tbl>
      <w:tblPr>
        <w:tblStyle w:val="TableTGAblue"/>
        <w:tblW w:w="8810" w:type="dxa"/>
        <w:tblLook w:val="04A0" w:firstRow="1" w:lastRow="0" w:firstColumn="1" w:lastColumn="0" w:noHBand="0" w:noVBand="1"/>
      </w:tblPr>
      <w:tblGrid>
        <w:gridCol w:w="4560"/>
        <w:gridCol w:w="2099"/>
        <w:gridCol w:w="2151"/>
      </w:tblGrid>
      <w:tr w:rsidR="00D269C6" w:rsidRPr="00037055" w14:paraId="4FCDC4E6" w14:textId="77777777" w:rsidTr="000B3827">
        <w:trPr>
          <w:cnfStyle w:val="100000000000" w:firstRow="1" w:lastRow="0" w:firstColumn="0" w:lastColumn="0" w:oddVBand="0" w:evenVBand="0" w:oddHBand="0" w:evenHBand="0" w:firstRowFirstColumn="0" w:firstRowLastColumn="0" w:lastRowFirstColumn="0" w:lastRowLastColumn="0"/>
        </w:trPr>
        <w:tc>
          <w:tcPr>
            <w:tcW w:w="0" w:type="dxa"/>
          </w:tcPr>
          <w:p w14:paraId="63DF826B" w14:textId="77777777" w:rsidR="00D269C6" w:rsidRPr="00037055" w:rsidRDefault="00D269C6" w:rsidP="000B3827">
            <w:pPr>
              <w:pStyle w:val="Tabletext"/>
              <w:ind w:left="0" w:right="0"/>
            </w:pPr>
          </w:p>
        </w:tc>
        <w:tc>
          <w:tcPr>
            <w:tcW w:w="0" w:type="dxa"/>
          </w:tcPr>
          <w:p w14:paraId="109B1D50" w14:textId="60FF9A02" w:rsidR="00D269C6" w:rsidRPr="00037055" w:rsidRDefault="00D80974" w:rsidP="000B3827">
            <w:pPr>
              <w:pStyle w:val="Tabletext"/>
              <w:ind w:left="0" w:right="0"/>
            </w:pPr>
            <w:r>
              <w:t>Selinexor, bortezomib and dexamethasone regimen</w:t>
            </w:r>
            <w:r w:rsidRPr="00037055">
              <w:t xml:space="preserve"> </w:t>
            </w:r>
            <w:r>
              <w:t>(</w:t>
            </w:r>
            <w:proofErr w:type="spellStart"/>
            <w:r w:rsidR="00D269C6" w:rsidRPr="00037055">
              <w:t>SVd</w:t>
            </w:r>
            <w:proofErr w:type="spellEnd"/>
            <w:r>
              <w:t xml:space="preserve">), </w:t>
            </w:r>
            <w:r w:rsidR="00D269C6" w:rsidRPr="00037055">
              <w:t>n</w:t>
            </w:r>
            <w:r>
              <w:t> </w:t>
            </w:r>
            <w:r w:rsidR="00D269C6" w:rsidRPr="00037055">
              <w:t>=</w:t>
            </w:r>
            <w:r>
              <w:t> </w:t>
            </w:r>
            <w:r w:rsidR="00D269C6" w:rsidRPr="00037055">
              <w:t>195</w:t>
            </w:r>
          </w:p>
        </w:tc>
        <w:tc>
          <w:tcPr>
            <w:tcW w:w="2151" w:type="dxa"/>
          </w:tcPr>
          <w:p w14:paraId="29C042C2" w14:textId="29B9FF9B" w:rsidR="00D269C6" w:rsidRPr="00037055" w:rsidRDefault="00D80974" w:rsidP="000B3827">
            <w:pPr>
              <w:pStyle w:val="Tabletext"/>
              <w:ind w:left="0" w:right="0"/>
            </w:pPr>
            <w:r>
              <w:t>Bortezomib and dexamethasone regimen</w:t>
            </w:r>
            <w:r w:rsidRPr="00037055">
              <w:t xml:space="preserve"> </w:t>
            </w:r>
            <w:r>
              <w:t>(</w:t>
            </w:r>
            <w:proofErr w:type="spellStart"/>
            <w:r w:rsidR="00D269C6" w:rsidRPr="00037055">
              <w:t>Vd</w:t>
            </w:r>
            <w:proofErr w:type="spellEnd"/>
            <w:r>
              <w:t xml:space="preserve">), </w:t>
            </w:r>
            <w:r w:rsidR="00D269C6" w:rsidRPr="00037055">
              <w:t>n</w:t>
            </w:r>
            <w:r>
              <w:t> </w:t>
            </w:r>
            <w:r w:rsidR="00D269C6" w:rsidRPr="00037055">
              <w:t>=</w:t>
            </w:r>
            <w:r>
              <w:t> </w:t>
            </w:r>
            <w:r w:rsidR="00D269C6" w:rsidRPr="00037055">
              <w:t>207)</w:t>
            </w:r>
          </w:p>
        </w:tc>
      </w:tr>
      <w:tr w:rsidR="00517D9A" w:rsidRPr="00037055" w14:paraId="3BB37EF3" w14:textId="77777777" w:rsidTr="00D80974">
        <w:tc>
          <w:tcPr>
            <w:tcW w:w="4560" w:type="dxa"/>
            <w:vAlign w:val="center"/>
          </w:tcPr>
          <w:p w14:paraId="68DBE9EE" w14:textId="27B66D51" w:rsidR="00517D9A" w:rsidRPr="00037055" w:rsidRDefault="00517D9A" w:rsidP="000B3827">
            <w:pPr>
              <w:pStyle w:val="Tabletext"/>
              <w:ind w:left="0"/>
            </w:pPr>
            <w:r>
              <w:t>Progression-free survival</w:t>
            </w:r>
          </w:p>
        </w:tc>
        <w:tc>
          <w:tcPr>
            <w:tcW w:w="4250" w:type="dxa"/>
            <w:gridSpan w:val="2"/>
            <w:vAlign w:val="center"/>
          </w:tcPr>
          <w:p w14:paraId="57AA4F5D" w14:textId="2EA027FC" w:rsidR="00517D9A" w:rsidRPr="00037055" w:rsidRDefault="00517D9A" w:rsidP="000B3827">
            <w:pPr>
              <w:pStyle w:val="Tabletext"/>
              <w:ind w:left="0" w:right="0"/>
            </w:pPr>
            <w:r>
              <w:t>Hazard ratio</w:t>
            </w:r>
            <w:r w:rsidRPr="00037055">
              <w:t xml:space="preserve"> 0.70 (95% CI: 0.53, 0.93)</w:t>
            </w:r>
            <w:r>
              <w:t xml:space="preserve"> </w:t>
            </w:r>
            <w:r w:rsidRPr="00037055">
              <w:t>P = 0.0075</w:t>
            </w:r>
          </w:p>
        </w:tc>
      </w:tr>
      <w:tr w:rsidR="00517D9A" w:rsidRPr="00037055" w14:paraId="54C599F2" w14:textId="77777777" w:rsidTr="000B3827">
        <w:tc>
          <w:tcPr>
            <w:tcW w:w="0" w:type="dxa"/>
            <w:vAlign w:val="center"/>
          </w:tcPr>
          <w:p w14:paraId="2631D3C0" w14:textId="51B2B636" w:rsidR="00517D9A" w:rsidRDefault="00517D9A" w:rsidP="000B3827">
            <w:pPr>
              <w:pStyle w:val="Tabletext"/>
              <w:ind w:left="0" w:right="0"/>
            </w:pPr>
            <w:r w:rsidRPr="00037055">
              <w:t>Median, months (95% CI)</w:t>
            </w:r>
          </w:p>
        </w:tc>
        <w:tc>
          <w:tcPr>
            <w:tcW w:w="2099" w:type="dxa"/>
            <w:vAlign w:val="center"/>
          </w:tcPr>
          <w:p w14:paraId="53D7FE9E" w14:textId="1BD1B611" w:rsidR="00517D9A" w:rsidRDefault="00517D9A" w:rsidP="000B3827">
            <w:pPr>
              <w:pStyle w:val="Tabletext"/>
              <w:ind w:left="0"/>
            </w:pPr>
            <w:r w:rsidRPr="00037055">
              <w:t xml:space="preserve">13.9 (11.7, </w:t>
            </w:r>
            <w:proofErr w:type="gramStart"/>
            <w:r w:rsidRPr="00037055">
              <w:t xml:space="preserve">NR)   </w:t>
            </w:r>
            <w:proofErr w:type="gramEnd"/>
            <w:r w:rsidRPr="00037055">
              <w:t xml:space="preserve">               </w:t>
            </w:r>
            <w:r>
              <w:t xml:space="preserve">    </w:t>
            </w:r>
          </w:p>
        </w:tc>
        <w:tc>
          <w:tcPr>
            <w:tcW w:w="2151" w:type="dxa"/>
            <w:vAlign w:val="center"/>
          </w:tcPr>
          <w:p w14:paraId="60952552" w14:textId="2EA274A2" w:rsidR="00517D9A" w:rsidRDefault="00517D9A" w:rsidP="000B3827">
            <w:pPr>
              <w:pStyle w:val="Tabletext"/>
              <w:ind w:left="0"/>
            </w:pPr>
            <w:r w:rsidRPr="00037055">
              <w:t>9.5 (7.6, 10.8)</w:t>
            </w:r>
          </w:p>
        </w:tc>
      </w:tr>
      <w:tr w:rsidR="00517D9A" w:rsidRPr="00037055" w14:paraId="4F9BB65E" w14:textId="77777777" w:rsidTr="000B3827">
        <w:trPr>
          <w:trHeight w:val="964"/>
        </w:trPr>
        <w:tc>
          <w:tcPr>
            <w:tcW w:w="0" w:type="dxa"/>
          </w:tcPr>
          <w:p w14:paraId="68A4E485" w14:textId="77777777" w:rsidR="00517D9A" w:rsidRPr="00037055" w:rsidRDefault="00517D9A" w:rsidP="000B3827">
            <w:pPr>
              <w:pStyle w:val="Tabletext"/>
              <w:ind w:left="0" w:right="0"/>
            </w:pPr>
            <w:r w:rsidRPr="00037055">
              <w:t>Overall Response Rate</w:t>
            </w:r>
          </w:p>
          <w:p w14:paraId="5A39455E" w14:textId="24897FF9" w:rsidR="00517D9A" w:rsidRPr="00037055" w:rsidRDefault="00517D9A" w:rsidP="000B3827">
            <w:pPr>
              <w:pStyle w:val="Tabletext"/>
              <w:ind w:left="0" w:right="0"/>
            </w:pPr>
            <w:r w:rsidRPr="00037055">
              <w:t>95% CI</w:t>
            </w:r>
          </w:p>
        </w:tc>
        <w:tc>
          <w:tcPr>
            <w:tcW w:w="2099" w:type="dxa"/>
          </w:tcPr>
          <w:p w14:paraId="622711EB" w14:textId="49FF4607" w:rsidR="00517D9A" w:rsidRPr="00037055" w:rsidRDefault="00517D9A" w:rsidP="000B3827">
            <w:pPr>
              <w:pStyle w:val="Tabletext"/>
              <w:ind w:left="0" w:right="0"/>
            </w:pPr>
            <w:r w:rsidRPr="00037055">
              <w:t xml:space="preserve">149 (76.4%)                     </w:t>
            </w:r>
            <w:r>
              <w:t xml:space="preserve">       </w:t>
            </w:r>
          </w:p>
          <w:p w14:paraId="3A6493BE" w14:textId="612E5AD3" w:rsidR="00517D9A" w:rsidRPr="00037055" w:rsidRDefault="00517D9A" w:rsidP="000B3827">
            <w:pPr>
              <w:pStyle w:val="Tabletext"/>
              <w:ind w:left="0"/>
            </w:pPr>
            <w:r w:rsidRPr="00037055">
              <w:t>(55.3%, 68.9</w:t>
            </w:r>
            <w:proofErr w:type="gramStart"/>
            <w:r w:rsidRPr="00037055">
              <w:t xml:space="preserve">%)   </w:t>
            </w:r>
            <w:proofErr w:type="gramEnd"/>
            <w:r w:rsidRPr="00037055">
              <w:t xml:space="preserve">          </w:t>
            </w:r>
            <w:r>
              <w:t xml:space="preserve">      </w:t>
            </w:r>
          </w:p>
        </w:tc>
        <w:tc>
          <w:tcPr>
            <w:tcW w:w="2151" w:type="dxa"/>
          </w:tcPr>
          <w:p w14:paraId="7EB4B4B4" w14:textId="77777777" w:rsidR="00517D9A" w:rsidRDefault="00517D9A" w:rsidP="000B3827">
            <w:pPr>
              <w:pStyle w:val="Tabletext"/>
              <w:ind w:left="0" w:right="0"/>
            </w:pPr>
            <w:r w:rsidRPr="00037055">
              <w:t xml:space="preserve">129 (62.3%)                              </w:t>
            </w:r>
          </w:p>
          <w:p w14:paraId="3A1B97CF" w14:textId="4A5F3A27" w:rsidR="00517D9A" w:rsidRPr="00037055" w:rsidRDefault="00517D9A" w:rsidP="000B3827">
            <w:pPr>
              <w:pStyle w:val="Tabletext"/>
              <w:ind w:left="0" w:right="0"/>
            </w:pPr>
            <w:r w:rsidRPr="00037055">
              <w:t>(69.8%, 82.2%)</w:t>
            </w:r>
          </w:p>
        </w:tc>
      </w:tr>
      <w:tr w:rsidR="00517D9A" w:rsidRPr="00037055" w14:paraId="04329AC4" w14:textId="77777777" w:rsidTr="00DF40B9">
        <w:tc>
          <w:tcPr>
            <w:tcW w:w="4560" w:type="dxa"/>
          </w:tcPr>
          <w:p w14:paraId="6EE446BC" w14:textId="36DA5C4E" w:rsidR="00517D9A" w:rsidRPr="00037055" w:rsidRDefault="00517D9A" w:rsidP="000B3827">
            <w:pPr>
              <w:pStyle w:val="Tabletext"/>
              <w:ind w:left="0"/>
            </w:pPr>
            <w:r>
              <w:t>One-sided p-value</w:t>
            </w:r>
          </w:p>
        </w:tc>
        <w:tc>
          <w:tcPr>
            <w:tcW w:w="4250" w:type="dxa"/>
            <w:gridSpan w:val="2"/>
          </w:tcPr>
          <w:p w14:paraId="640DE5B7" w14:textId="3C11807D" w:rsidR="00517D9A" w:rsidRPr="00037055" w:rsidRDefault="00517D9A" w:rsidP="000B3827">
            <w:pPr>
              <w:pStyle w:val="Tabletext"/>
              <w:ind w:left="0"/>
            </w:pPr>
            <w:r>
              <w:t>P =</w:t>
            </w:r>
            <w:r w:rsidRPr="00037055">
              <w:t>0.0012</w:t>
            </w:r>
          </w:p>
        </w:tc>
      </w:tr>
      <w:tr w:rsidR="00D269C6" w:rsidRPr="00037055" w14:paraId="36A0F79D" w14:textId="77777777" w:rsidTr="000B3827">
        <w:tc>
          <w:tcPr>
            <w:tcW w:w="0" w:type="dxa"/>
          </w:tcPr>
          <w:p w14:paraId="23B009A5" w14:textId="77777777" w:rsidR="00D269C6" w:rsidRPr="00037055" w:rsidRDefault="00D269C6" w:rsidP="000B3827">
            <w:pPr>
              <w:pStyle w:val="Tabletext"/>
              <w:ind w:left="0" w:right="0"/>
            </w:pPr>
            <w:r w:rsidRPr="00037055">
              <w:t>Stringent complete response (</w:t>
            </w:r>
            <w:proofErr w:type="spellStart"/>
            <w:r w:rsidRPr="00037055">
              <w:t>sCR</w:t>
            </w:r>
            <w:proofErr w:type="spellEnd"/>
            <w:r w:rsidRPr="00037055">
              <w:t>)</w:t>
            </w:r>
          </w:p>
          <w:p w14:paraId="336EBC16" w14:textId="77777777" w:rsidR="00D269C6" w:rsidRPr="00037055" w:rsidRDefault="00D269C6" w:rsidP="000B3827">
            <w:pPr>
              <w:pStyle w:val="Tabletext"/>
              <w:ind w:left="0" w:right="0"/>
            </w:pPr>
            <w:r w:rsidRPr="00037055">
              <w:t>Complete Response (CR)</w:t>
            </w:r>
          </w:p>
          <w:p w14:paraId="3A3253DC" w14:textId="77777777" w:rsidR="00D269C6" w:rsidRPr="00037055" w:rsidRDefault="00D269C6" w:rsidP="000B3827">
            <w:pPr>
              <w:pStyle w:val="Tabletext"/>
              <w:ind w:left="0" w:right="0"/>
            </w:pPr>
            <w:r w:rsidRPr="00037055">
              <w:t>Very Good Partial Response (VGFR)</w:t>
            </w:r>
          </w:p>
          <w:p w14:paraId="37C7FDC8" w14:textId="77777777" w:rsidR="00D269C6" w:rsidRPr="00037055" w:rsidRDefault="00D269C6" w:rsidP="000B3827">
            <w:pPr>
              <w:pStyle w:val="Tabletext"/>
              <w:ind w:left="0" w:right="0"/>
            </w:pPr>
            <w:r w:rsidRPr="00037055">
              <w:t>Partial Response (PR)</w:t>
            </w:r>
          </w:p>
        </w:tc>
        <w:tc>
          <w:tcPr>
            <w:tcW w:w="0" w:type="dxa"/>
          </w:tcPr>
          <w:p w14:paraId="0E5FB9DA" w14:textId="77777777" w:rsidR="00D269C6" w:rsidRPr="00037055" w:rsidRDefault="00D269C6" w:rsidP="000B3827">
            <w:pPr>
              <w:pStyle w:val="Tabletext"/>
              <w:ind w:left="0" w:right="0"/>
            </w:pPr>
            <w:r w:rsidRPr="00037055">
              <w:t>19 (9.7%)</w:t>
            </w:r>
          </w:p>
          <w:p w14:paraId="09698BA8" w14:textId="77777777" w:rsidR="00D269C6" w:rsidRPr="00037055" w:rsidRDefault="00D269C6" w:rsidP="000B3827">
            <w:pPr>
              <w:pStyle w:val="Tabletext"/>
              <w:ind w:left="0" w:right="0"/>
            </w:pPr>
            <w:r w:rsidRPr="00037055">
              <w:t>14 (7.2%)</w:t>
            </w:r>
          </w:p>
          <w:p w14:paraId="311F6CFF" w14:textId="77777777" w:rsidR="00D269C6" w:rsidRPr="00037055" w:rsidRDefault="00D269C6" w:rsidP="000B3827">
            <w:pPr>
              <w:pStyle w:val="Tabletext"/>
              <w:ind w:left="0" w:right="0"/>
            </w:pPr>
            <w:r w:rsidRPr="00037055">
              <w:t>54 (27.7%)</w:t>
            </w:r>
          </w:p>
          <w:p w14:paraId="1DA5389F" w14:textId="77777777" w:rsidR="00D269C6" w:rsidRPr="00037055" w:rsidRDefault="00D269C6" w:rsidP="000B3827">
            <w:pPr>
              <w:pStyle w:val="Tabletext"/>
              <w:ind w:left="0" w:right="0"/>
            </w:pPr>
            <w:r w:rsidRPr="00037055">
              <w:t>62 (31.8%)</w:t>
            </w:r>
          </w:p>
        </w:tc>
        <w:tc>
          <w:tcPr>
            <w:tcW w:w="2151" w:type="dxa"/>
          </w:tcPr>
          <w:p w14:paraId="6679F843" w14:textId="77777777" w:rsidR="00D269C6" w:rsidRPr="00037055" w:rsidRDefault="00D269C6" w:rsidP="000B3827">
            <w:pPr>
              <w:pStyle w:val="Tabletext"/>
              <w:ind w:left="0" w:right="0"/>
            </w:pPr>
            <w:r w:rsidRPr="00037055">
              <w:t>13 (6.3%)</w:t>
            </w:r>
          </w:p>
          <w:p w14:paraId="70360DA2" w14:textId="77777777" w:rsidR="00D269C6" w:rsidRPr="00037055" w:rsidRDefault="00D269C6" w:rsidP="000B3827">
            <w:pPr>
              <w:pStyle w:val="Tabletext"/>
              <w:ind w:left="0" w:right="0"/>
            </w:pPr>
            <w:r w:rsidRPr="00037055">
              <w:t>9 (4.3%)</w:t>
            </w:r>
          </w:p>
          <w:p w14:paraId="64B6043F" w14:textId="77777777" w:rsidR="00D269C6" w:rsidRPr="00037055" w:rsidRDefault="00D269C6" w:rsidP="000B3827">
            <w:pPr>
              <w:pStyle w:val="Tabletext"/>
              <w:ind w:left="0" w:right="0"/>
            </w:pPr>
            <w:r w:rsidRPr="00037055">
              <w:t>45 (21.7%)</w:t>
            </w:r>
          </w:p>
          <w:p w14:paraId="35CDE397" w14:textId="77777777" w:rsidR="00D269C6" w:rsidRPr="00037055" w:rsidRDefault="00D269C6" w:rsidP="000B3827">
            <w:pPr>
              <w:pStyle w:val="Tabletext"/>
              <w:ind w:left="0" w:right="0"/>
            </w:pPr>
            <w:r w:rsidRPr="00037055">
              <w:t>62 (30.0%)</w:t>
            </w:r>
          </w:p>
        </w:tc>
      </w:tr>
      <w:tr w:rsidR="00D269C6" w:rsidRPr="00037055" w14:paraId="45DAB52B" w14:textId="77777777" w:rsidTr="000B3827">
        <w:tc>
          <w:tcPr>
            <w:tcW w:w="0" w:type="dxa"/>
          </w:tcPr>
          <w:p w14:paraId="5848211E" w14:textId="77777777" w:rsidR="00D269C6" w:rsidRPr="00037055" w:rsidRDefault="00D269C6" w:rsidP="000B3827">
            <w:pPr>
              <w:pStyle w:val="Tabletext"/>
              <w:ind w:left="0" w:right="0"/>
            </w:pPr>
            <w:r w:rsidRPr="00037055">
              <w:t>≥ VGPR Response Rate</w:t>
            </w:r>
          </w:p>
        </w:tc>
        <w:tc>
          <w:tcPr>
            <w:tcW w:w="0" w:type="dxa"/>
          </w:tcPr>
          <w:p w14:paraId="622B68FE" w14:textId="77777777" w:rsidR="00D269C6" w:rsidRPr="00037055" w:rsidRDefault="00D269C6" w:rsidP="000B3827">
            <w:pPr>
              <w:pStyle w:val="Tabletext"/>
              <w:ind w:left="0" w:right="0"/>
            </w:pPr>
            <w:r w:rsidRPr="00037055">
              <w:t>87 (44.6%)</w:t>
            </w:r>
          </w:p>
        </w:tc>
        <w:tc>
          <w:tcPr>
            <w:tcW w:w="2151" w:type="dxa"/>
          </w:tcPr>
          <w:p w14:paraId="3667C419" w14:textId="77777777" w:rsidR="00D269C6" w:rsidRPr="00037055" w:rsidRDefault="00D269C6" w:rsidP="000B3827">
            <w:pPr>
              <w:pStyle w:val="Tabletext"/>
              <w:ind w:left="0" w:right="0"/>
            </w:pPr>
            <w:r w:rsidRPr="00037055">
              <w:t>67 (32.4%)</w:t>
            </w:r>
          </w:p>
        </w:tc>
      </w:tr>
    </w:tbl>
    <w:p w14:paraId="76211EAF" w14:textId="20FBAEBA" w:rsidR="009E29AC" w:rsidRDefault="009E29AC" w:rsidP="009E29AC">
      <w:r>
        <w:t>The K</w:t>
      </w:r>
      <w:r w:rsidR="00B0686D">
        <w:t xml:space="preserve">aplan-Meier </w:t>
      </w:r>
      <w:r>
        <w:t>curves were also presented for PFS, showing sustained responses at 12 and 18 months.</w:t>
      </w:r>
    </w:p>
    <w:p w14:paraId="48E8515F" w14:textId="7CBB8DC6" w:rsidR="00D269C6" w:rsidRDefault="00B0686D">
      <w:pPr>
        <w:pStyle w:val="FigureTitle"/>
      </w:pPr>
      <w:r w:rsidRPr="00B0686D">
        <w:lastRenderedPageBreak/>
        <w:t xml:space="preserve">Figure </w:t>
      </w:r>
      <w:r w:rsidR="006737A0">
        <w:fldChar w:fldCharType="begin"/>
      </w:r>
      <w:r w:rsidR="006737A0">
        <w:instrText xml:space="preserve"> SEQ Figure \* ARABIC </w:instrText>
      </w:r>
      <w:r w:rsidR="006737A0">
        <w:fldChar w:fldCharType="separate"/>
      </w:r>
      <w:r w:rsidR="009D17D4">
        <w:rPr>
          <w:noProof/>
        </w:rPr>
        <w:t>3</w:t>
      </w:r>
      <w:r w:rsidR="006737A0">
        <w:rPr>
          <w:noProof/>
        </w:rPr>
        <w:fldChar w:fldCharType="end"/>
      </w:r>
      <w:r>
        <w:t xml:space="preserve">: </w:t>
      </w:r>
      <w:r w:rsidR="00517D9A">
        <w:t xml:space="preserve">Study KCP-330-023 (BOSTON trial) </w:t>
      </w:r>
      <w:r w:rsidRPr="00B0686D">
        <w:t xml:space="preserve">Kaplan-Meier curves of </w:t>
      </w:r>
      <w:r>
        <w:t>progression free survival</w:t>
      </w:r>
      <w:r w:rsidRPr="00B0686D">
        <w:t xml:space="preserve"> for </w:t>
      </w:r>
      <w:proofErr w:type="spellStart"/>
      <w:r>
        <w:t>selinexor</w:t>
      </w:r>
      <w:proofErr w:type="spellEnd"/>
      <w:r>
        <w:t>,</w:t>
      </w:r>
      <w:r w:rsidRPr="00B0686D">
        <w:t xml:space="preserve"> bortezomib </w:t>
      </w:r>
      <w:r>
        <w:t>and</w:t>
      </w:r>
      <w:r w:rsidRPr="00B0686D">
        <w:t xml:space="preserve"> dexamethasone</w:t>
      </w:r>
      <w:r>
        <w:t xml:space="preserve"> </w:t>
      </w:r>
      <w:r w:rsidRPr="00B0686D">
        <w:t>v</w:t>
      </w:r>
      <w:r>
        <w:t>ersus</w:t>
      </w:r>
      <w:r w:rsidRPr="00B0686D">
        <w:t xml:space="preserve"> bortezomib </w:t>
      </w:r>
      <w:r>
        <w:t xml:space="preserve">and </w:t>
      </w:r>
      <w:r w:rsidRPr="00B0686D">
        <w:t>dexamethasone</w:t>
      </w:r>
    </w:p>
    <w:p w14:paraId="4B72BC95" w14:textId="6BBE16E7" w:rsidR="00B0686D" w:rsidRDefault="00B0686D" w:rsidP="00B0686D">
      <w:r w:rsidRPr="003D5CF5">
        <w:rPr>
          <w:rFonts w:ascii="Calibri" w:hAnsi="Calibri" w:cs="Calibri"/>
          <w:noProof/>
          <w:sz w:val="20"/>
          <w:szCs w:val="20"/>
          <w:lang w:val="en-GB" w:eastAsia="en-GB"/>
        </w:rPr>
        <w:drawing>
          <wp:inline distT="0" distB="0" distL="0" distR="0" wp14:anchorId="7FE77DB8" wp14:editId="705AC39F">
            <wp:extent cx="5400040" cy="2421822"/>
            <wp:effectExtent l="0" t="0" r="0" b="0"/>
            <wp:docPr id="83" name="Picture 83" descr="Kaplan-Meier curves of progression free survival for selinexor, bortezomib and dexamethasone (SVd) versus bortezomib and dexamethasone (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Kaplan-Meier curves of progression free survival for selinexor, bortezomib and dexamethasone (SVd) versus bortezomib and dexamethasone (Vd)"/>
                    <pic:cNvPicPr/>
                  </pic:nvPicPr>
                  <pic:blipFill>
                    <a:blip r:embed="rId18"/>
                    <a:stretch>
                      <a:fillRect/>
                    </a:stretch>
                  </pic:blipFill>
                  <pic:spPr>
                    <a:xfrm>
                      <a:off x="0" y="0"/>
                      <a:ext cx="5400040" cy="2421822"/>
                    </a:xfrm>
                    <a:prstGeom prst="rect">
                      <a:avLst/>
                    </a:prstGeom>
                  </pic:spPr>
                </pic:pic>
              </a:graphicData>
            </a:graphic>
          </wp:inline>
        </w:drawing>
      </w:r>
    </w:p>
    <w:p w14:paraId="768195C0" w14:textId="15CB731A" w:rsidR="00B0686D" w:rsidRDefault="00B0686D" w:rsidP="00B0686D">
      <w:pPr>
        <w:pStyle w:val="FigureDescription"/>
      </w:pPr>
      <w:r>
        <w:t xml:space="preserve">IRC = independent review committee; </w:t>
      </w:r>
      <w:proofErr w:type="spellStart"/>
      <w:r>
        <w:t>S</w:t>
      </w:r>
      <w:r w:rsidR="00517D9A">
        <w:t>Vd</w:t>
      </w:r>
      <w:proofErr w:type="spellEnd"/>
      <w:r>
        <w:t xml:space="preserve"> = </w:t>
      </w:r>
      <w:proofErr w:type="spellStart"/>
      <w:r>
        <w:t>selinexor</w:t>
      </w:r>
      <w:proofErr w:type="spellEnd"/>
      <w:r>
        <w:t>,</w:t>
      </w:r>
      <w:r w:rsidRPr="00B0686D">
        <w:t xml:space="preserve"> bortezomib </w:t>
      </w:r>
      <w:r>
        <w:t>and low dose</w:t>
      </w:r>
      <w:r w:rsidRPr="00B0686D">
        <w:t xml:space="preserve"> dexamethasone</w:t>
      </w:r>
      <w:r>
        <w:t xml:space="preserve">; </w:t>
      </w:r>
      <w:proofErr w:type="spellStart"/>
      <w:r>
        <w:t>Vd</w:t>
      </w:r>
      <w:proofErr w:type="spellEnd"/>
      <w:r w:rsidR="00517D9A">
        <w:t> </w:t>
      </w:r>
      <w:r>
        <w:t>=</w:t>
      </w:r>
      <w:r w:rsidR="00517D9A">
        <w:t> </w:t>
      </w:r>
      <w:r w:rsidRPr="00B0686D">
        <w:t xml:space="preserve">bortezomib </w:t>
      </w:r>
      <w:r>
        <w:t xml:space="preserve">and </w:t>
      </w:r>
      <w:r w:rsidRPr="00B0686D">
        <w:t>dexamethasone</w:t>
      </w:r>
      <w:r>
        <w:t>.</w:t>
      </w:r>
    </w:p>
    <w:p w14:paraId="631A382B" w14:textId="3CA14058" w:rsidR="00B0686D" w:rsidRDefault="00B0686D" w:rsidP="00B0686D">
      <w:pPr>
        <w:pStyle w:val="FigureDescription"/>
      </w:pPr>
      <w:r>
        <w:t>Note: Progression free survival is calculated from date of randomisation until first date of IRC-confirmed progressive disease per IMWG response criteria, or death due to any cause, whichever occurred first.</w:t>
      </w:r>
    </w:p>
    <w:p w14:paraId="532CC6AF" w14:textId="25EE7436" w:rsidR="00B0686D" w:rsidRPr="00F25030" w:rsidRDefault="00B0686D" w:rsidP="00B0686D">
      <w:pPr>
        <w:rPr>
          <w:lang w:eastAsia="ja-JP"/>
        </w:rPr>
      </w:pPr>
      <w:r w:rsidRPr="00F25030">
        <w:rPr>
          <w:lang w:eastAsia="ja-JP"/>
        </w:rPr>
        <w:t>The subgroup analyses show similar effects for age, gender, prior lines of therapy, stem cell transplant, ECOG status and frailty. Outliers include</w:t>
      </w:r>
      <w:r>
        <w:rPr>
          <w:lang w:eastAsia="ja-JP"/>
        </w:rPr>
        <w:t>d</w:t>
      </w:r>
      <w:r w:rsidRPr="00F25030">
        <w:rPr>
          <w:lang w:eastAsia="ja-JP"/>
        </w:rPr>
        <w:t xml:space="preserve"> R-ISS stage III, and the presence of t</w:t>
      </w:r>
      <w:r w:rsidR="00517D9A">
        <w:rPr>
          <w:lang w:eastAsia="ja-JP"/>
        </w:rPr>
        <w:t>ranslocation</w:t>
      </w:r>
      <w:r>
        <w:rPr>
          <w:lang w:eastAsia="ja-JP"/>
        </w:rPr>
        <w:t xml:space="preserve"> </w:t>
      </w:r>
      <w:r w:rsidR="00CC7616">
        <w:rPr>
          <w:lang w:eastAsia="ja-JP"/>
        </w:rPr>
        <w:t>(</w:t>
      </w:r>
      <w:r w:rsidRPr="00F25030">
        <w:rPr>
          <w:lang w:eastAsia="ja-JP"/>
        </w:rPr>
        <w:t>4;16</w:t>
      </w:r>
      <w:r w:rsidR="00CC7616">
        <w:rPr>
          <w:lang w:eastAsia="ja-JP"/>
        </w:rPr>
        <w:t>)</w:t>
      </w:r>
      <w:r w:rsidRPr="00F25030">
        <w:rPr>
          <w:lang w:eastAsia="ja-JP"/>
        </w:rPr>
        <w:t xml:space="preserve">, </w:t>
      </w:r>
      <w:r>
        <w:rPr>
          <w:lang w:eastAsia="ja-JP"/>
        </w:rPr>
        <w:t xml:space="preserve">but </w:t>
      </w:r>
      <w:r w:rsidRPr="00F25030">
        <w:rPr>
          <w:lang w:eastAsia="ja-JP"/>
        </w:rPr>
        <w:t>small groups of patient limit</w:t>
      </w:r>
      <w:r>
        <w:rPr>
          <w:lang w:eastAsia="ja-JP"/>
        </w:rPr>
        <w:t xml:space="preserve"> </w:t>
      </w:r>
      <w:r w:rsidRPr="00F25030">
        <w:rPr>
          <w:lang w:eastAsia="ja-JP"/>
        </w:rPr>
        <w:t>conclusions that can be drawn.</w:t>
      </w:r>
    </w:p>
    <w:p w14:paraId="77CF126B" w14:textId="390B6ED5" w:rsidR="00B0686D" w:rsidRPr="00F25030" w:rsidRDefault="00B0686D" w:rsidP="00B0686D">
      <w:pPr>
        <w:pStyle w:val="ListBullet"/>
      </w:pPr>
      <w:r w:rsidRPr="00F25030">
        <w:t xml:space="preserve">Median </w:t>
      </w:r>
      <w:r w:rsidR="00272F51">
        <w:t>overall survival:</w:t>
      </w:r>
      <w:r w:rsidRPr="00F25030">
        <w:t xml:space="preserve"> not reached for </w:t>
      </w:r>
      <w:proofErr w:type="spellStart"/>
      <w:r w:rsidR="00B6085E">
        <w:t>selinexor</w:t>
      </w:r>
      <w:proofErr w:type="spellEnd"/>
      <w:r w:rsidR="00B6085E">
        <w:t>, bortezomib and dexamethasone (</w:t>
      </w:r>
      <w:proofErr w:type="spellStart"/>
      <w:r w:rsidRPr="00F25030">
        <w:t>SVd</w:t>
      </w:r>
      <w:proofErr w:type="spellEnd"/>
      <w:r w:rsidR="00B6085E">
        <w:t>)</w:t>
      </w:r>
      <w:r w:rsidRPr="00F25030">
        <w:t xml:space="preserve"> v</w:t>
      </w:r>
      <w:r>
        <w:t>ersu</w:t>
      </w:r>
      <w:r w:rsidRPr="00F25030">
        <w:t xml:space="preserve">s 24.97 months for </w:t>
      </w:r>
      <w:r w:rsidR="00B6085E">
        <w:t>(</w:t>
      </w:r>
      <w:proofErr w:type="spellStart"/>
      <w:r w:rsidRPr="00F25030">
        <w:t>Vd</w:t>
      </w:r>
      <w:proofErr w:type="spellEnd"/>
      <w:r w:rsidR="00B6085E">
        <w:t>)</w:t>
      </w:r>
      <w:r w:rsidRPr="00F25030">
        <w:t xml:space="preserve"> arm.</w:t>
      </w:r>
    </w:p>
    <w:p w14:paraId="5E0293D2" w14:textId="5101BFFB" w:rsidR="00B0686D" w:rsidRPr="00F25030" w:rsidRDefault="00B0686D" w:rsidP="00B0686D">
      <w:pPr>
        <w:pStyle w:val="ListBullet"/>
      </w:pPr>
      <w:r w:rsidRPr="00F25030">
        <w:t xml:space="preserve">Median duration of response: 20.3 months for </w:t>
      </w:r>
      <w:proofErr w:type="spellStart"/>
      <w:r w:rsidRPr="00F25030">
        <w:t>SVd</w:t>
      </w:r>
      <w:proofErr w:type="spellEnd"/>
      <w:r w:rsidRPr="00F25030">
        <w:t xml:space="preserve"> arm v</w:t>
      </w:r>
      <w:r>
        <w:t>ersus</w:t>
      </w:r>
      <w:r w:rsidRPr="00F25030">
        <w:t xml:space="preserve"> 12.9 months for </w:t>
      </w:r>
      <w:proofErr w:type="spellStart"/>
      <w:r w:rsidRPr="00F25030">
        <w:t>Vd</w:t>
      </w:r>
      <w:proofErr w:type="spellEnd"/>
      <w:r w:rsidRPr="00F25030">
        <w:t xml:space="preserve"> arm (p</w:t>
      </w:r>
      <w:r>
        <w:t xml:space="preserve"> </w:t>
      </w:r>
      <w:r w:rsidRPr="00F25030">
        <w:t>=</w:t>
      </w:r>
      <w:r>
        <w:t xml:space="preserve"> </w:t>
      </w:r>
      <w:r w:rsidRPr="00F25030">
        <w:t>0.1364 stratified log-rank test).</w:t>
      </w:r>
    </w:p>
    <w:p w14:paraId="23EDD05C" w14:textId="1CEBCDC2" w:rsidR="00B0686D" w:rsidRPr="00F25030" w:rsidRDefault="00B0686D" w:rsidP="00B0686D">
      <w:pPr>
        <w:pStyle w:val="ListBullet"/>
      </w:pPr>
      <w:r w:rsidRPr="00F25030">
        <w:t xml:space="preserve">Median </w:t>
      </w:r>
      <w:r>
        <w:t>time to response</w:t>
      </w:r>
      <w:r w:rsidRPr="00F25030">
        <w:t xml:space="preserve">: 1.41 months shorter in the </w:t>
      </w:r>
      <w:proofErr w:type="spellStart"/>
      <w:r w:rsidRPr="00F25030">
        <w:t>SVd</w:t>
      </w:r>
      <w:proofErr w:type="spellEnd"/>
      <w:r w:rsidRPr="00F25030">
        <w:t xml:space="preserve"> arm v</w:t>
      </w:r>
      <w:r>
        <w:t>ersus</w:t>
      </w:r>
      <w:r w:rsidRPr="00F25030">
        <w:t xml:space="preserve"> 1.61 months in the </w:t>
      </w:r>
      <w:proofErr w:type="spellStart"/>
      <w:r w:rsidRPr="00F25030">
        <w:t>Vd</w:t>
      </w:r>
      <w:proofErr w:type="spellEnd"/>
      <w:r w:rsidRPr="00F25030">
        <w:t xml:space="preserve"> arm</w:t>
      </w:r>
      <w:r>
        <w:t>.</w:t>
      </w:r>
    </w:p>
    <w:p w14:paraId="755F1091" w14:textId="1D413FEE" w:rsidR="00B0686D" w:rsidRPr="00F25030" w:rsidRDefault="00B0686D" w:rsidP="00B0686D">
      <w:pPr>
        <w:pStyle w:val="ListBullet"/>
      </w:pPr>
      <w:r w:rsidRPr="00F25030">
        <w:t xml:space="preserve">Median time to next treatment: 16.13 months in the </w:t>
      </w:r>
      <w:proofErr w:type="spellStart"/>
      <w:r w:rsidRPr="00F25030">
        <w:t>SVd</w:t>
      </w:r>
      <w:proofErr w:type="spellEnd"/>
      <w:r w:rsidRPr="00F25030">
        <w:t xml:space="preserve"> arm v</w:t>
      </w:r>
      <w:r>
        <w:t>ersu</w:t>
      </w:r>
      <w:r w:rsidRPr="00F25030">
        <w:t xml:space="preserve">s 10.84 months in the </w:t>
      </w:r>
      <w:proofErr w:type="spellStart"/>
      <w:r w:rsidRPr="00F25030">
        <w:t>Vd</w:t>
      </w:r>
      <w:proofErr w:type="spellEnd"/>
      <w:r w:rsidRPr="00F25030">
        <w:t xml:space="preserve"> arm</w:t>
      </w:r>
      <w:r>
        <w:t>.</w:t>
      </w:r>
    </w:p>
    <w:p w14:paraId="5B0B7EE3" w14:textId="650C8B6F" w:rsidR="00B0686D" w:rsidRPr="00F25030" w:rsidRDefault="00B0686D" w:rsidP="00B0686D">
      <w:pPr>
        <w:rPr>
          <w:lang w:eastAsia="ja-JP"/>
        </w:rPr>
      </w:pPr>
      <w:r w:rsidRPr="00F25030">
        <w:rPr>
          <w:lang w:eastAsia="ja-JP"/>
        </w:rPr>
        <w:t xml:space="preserve">The </w:t>
      </w:r>
      <w:r>
        <w:rPr>
          <w:lang w:eastAsia="ja-JP"/>
        </w:rPr>
        <w:t>E</w:t>
      </w:r>
      <w:r w:rsidRPr="00B0686D">
        <w:rPr>
          <w:lang w:eastAsia="ja-JP"/>
        </w:rPr>
        <w:t>uropean Organization for Research and Treatment of Cancer</w:t>
      </w:r>
      <w:r w:rsidRPr="00F25030">
        <w:rPr>
          <w:lang w:eastAsia="ja-JP"/>
        </w:rPr>
        <w:t xml:space="preserve"> </w:t>
      </w:r>
      <w:r w:rsidR="00850603">
        <w:rPr>
          <w:lang w:eastAsia="ja-JP"/>
        </w:rPr>
        <w:t>q</w:t>
      </w:r>
      <w:r w:rsidR="00850603" w:rsidRPr="00850603">
        <w:rPr>
          <w:lang w:eastAsia="ja-JP"/>
        </w:rPr>
        <w:t xml:space="preserve">uality of </w:t>
      </w:r>
      <w:r w:rsidR="00850603">
        <w:rPr>
          <w:lang w:eastAsia="ja-JP"/>
        </w:rPr>
        <w:t>l</w:t>
      </w:r>
      <w:r w:rsidR="00850603" w:rsidRPr="00850603">
        <w:rPr>
          <w:lang w:eastAsia="ja-JP"/>
        </w:rPr>
        <w:t xml:space="preserve">ife </w:t>
      </w:r>
      <w:r w:rsidR="00850603">
        <w:rPr>
          <w:lang w:eastAsia="ja-JP"/>
        </w:rPr>
        <w:t>q</w:t>
      </w:r>
      <w:r w:rsidR="00850603" w:rsidRPr="00850603">
        <w:rPr>
          <w:lang w:eastAsia="ja-JP"/>
        </w:rPr>
        <w:t xml:space="preserve">uestionnaire </w:t>
      </w:r>
      <w:r w:rsidRPr="00F25030">
        <w:rPr>
          <w:lang w:eastAsia="ja-JP"/>
        </w:rPr>
        <w:t>-</w:t>
      </w:r>
      <w:r w:rsidRPr="00B0686D">
        <w:t xml:space="preserve"> </w:t>
      </w:r>
      <w:r>
        <w:rPr>
          <w:lang w:eastAsia="ja-JP"/>
        </w:rPr>
        <w:t>c</w:t>
      </w:r>
      <w:r w:rsidRPr="00B0686D">
        <w:rPr>
          <w:lang w:eastAsia="ja-JP"/>
        </w:rPr>
        <w:t>hemotherapy-induced peripheral neuropathy</w:t>
      </w:r>
      <w:r w:rsidRPr="00F25030">
        <w:rPr>
          <w:lang w:eastAsia="ja-JP"/>
        </w:rPr>
        <w:t xml:space="preserve"> questionnaire showed that from a similar baseline for sensory, </w:t>
      </w:r>
      <w:proofErr w:type="gramStart"/>
      <w:r w:rsidRPr="00F25030">
        <w:rPr>
          <w:lang w:eastAsia="ja-JP"/>
        </w:rPr>
        <w:t>motor</w:t>
      </w:r>
      <w:proofErr w:type="gramEnd"/>
      <w:r w:rsidRPr="00F25030">
        <w:rPr>
          <w:lang w:eastAsia="ja-JP"/>
        </w:rPr>
        <w:t xml:space="preserve"> and autonomic neuropathy symptoms a lower mean change from </w:t>
      </w:r>
      <w:r>
        <w:rPr>
          <w:lang w:eastAsia="ja-JP"/>
        </w:rPr>
        <w:t>B</w:t>
      </w:r>
      <w:r w:rsidRPr="00F25030">
        <w:rPr>
          <w:lang w:eastAsia="ja-JP"/>
        </w:rPr>
        <w:t xml:space="preserve">aseline score was observed in the </w:t>
      </w:r>
      <w:proofErr w:type="spellStart"/>
      <w:r w:rsidRPr="00F25030">
        <w:rPr>
          <w:lang w:eastAsia="ja-JP"/>
        </w:rPr>
        <w:t>SVd</w:t>
      </w:r>
      <w:proofErr w:type="spellEnd"/>
      <w:r w:rsidRPr="00F25030">
        <w:rPr>
          <w:lang w:eastAsia="ja-JP"/>
        </w:rPr>
        <w:t xml:space="preserve"> arm compared to the </w:t>
      </w:r>
      <w:proofErr w:type="spellStart"/>
      <w:r w:rsidRPr="00F25030">
        <w:rPr>
          <w:lang w:eastAsia="ja-JP"/>
        </w:rPr>
        <w:t>Vd</w:t>
      </w:r>
      <w:proofErr w:type="spellEnd"/>
      <w:r w:rsidRPr="00F25030">
        <w:rPr>
          <w:lang w:eastAsia="ja-JP"/>
        </w:rPr>
        <w:t xml:space="preserve"> arm for the sensory scale but was similar for the other symptoms.</w:t>
      </w:r>
    </w:p>
    <w:p w14:paraId="7ED78107" w14:textId="77777777" w:rsidR="00850603" w:rsidRDefault="00850603" w:rsidP="007A517F">
      <w:pPr>
        <w:pStyle w:val="Heading5"/>
      </w:pPr>
      <w:r>
        <w:t>Safety</w:t>
      </w:r>
    </w:p>
    <w:p w14:paraId="2C7DF67C" w14:textId="1D256125" w:rsidR="00850603" w:rsidRDefault="00850603" w:rsidP="00850603">
      <w:r>
        <w:t xml:space="preserve">The safety population included data from 399 patients. The median duration of study treatment was 30 weeks in the </w:t>
      </w:r>
      <w:proofErr w:type="spellStart"/>
      <w:r w:rsidR="00B6085E">
        <w:t>selinexor</w:t>
      </w:r>
      <w:proofErr w:type="spellEnd"/>
      <w:r w:rsidR="00B6085E">
        <w:t>, bortezomib and dexamethasone (</w:t>
      </w:r>
      <w:proofErr w:type="spellStart"/>
      <w:r>
        <w:t>SVd</w:t>
      </w:r>
      <w:proofErr w:type="spellEnd"/>
      <w:r w:rsidR="00B6085E">
        <w:t>)</w:t>
      </w:r>
      <w:r>
        <w:t xml:space="preserve"> arm and 32 weeks in the </w:t>
      </w:r>
      <w:r w:rsidR="00B6085E">
        <w:t>bortezomib and dexamethasone (</w:t>
      </w:r>
      <w:proofErr w:type="spellStart"/>
      <w:r>
        <w:t>Vd</w:t>
      </w:r>
      <w:proofErr w:type="spellEnd"/>
      <w:r w:rsidR="00B6085E">
        <w:t>)</w:t>
      </w:r>
      <w:r>
        <w:t xml:space="preserve"> arm, with 92.3% of the </w:t>
      </w:r>
      <w:proofErr w:type="spellStart"/>
      <w:r>
        <w:t>SVd</w:t>
      </w:r>
      <w:proofErr w:type="spellEnd"/>
      <w:r>
        <w:t xml:space="preserve"> arm and 90.2% of the Sd arm received study treatment for ≥ 8 weeks; 84.6% of the </w:t>
      </w:r>
      <w:proofErr w:type="spellStart"/>
      <w:r>
        <w:t>SVd</w:t>
      </w:r>
      <w:proofErr w:type="spellEnd"/>
      <w:r>
        <w:t xml:space="preserve"> arm and 80.9% of the Sd arm received study treatment for ≥ 12 weeks. The median duration of </w:t>
      </w:r>
      <w:proofErr w:type="spellStart"/>
      <w:r>
        <w:t>selinexor</w:t>
      </w:r>
      <w:proofErr w:type="spellEnd"/>
      <w:r>
        <w:t xml:space="preserve"> exposure was 29 weeks, with 61.5% of patients receiving </w:t>
      </w:r>
      <w:proofErr w:type="spellStart"/>
      <w:r>
        <w:t>selinexor</w:t>
      </w:r>
      <w:proofErr w:type="spellEnd"/>
      <w:r>
        <w:t xml:space="preserve"> for ≥ 24 weeks.</w:t>
      </w:r>
    </w:p>
    <w:p w14:paraId="112E326F" w14:textId="06A7B8AD" w:rsidR="00B0686D" w:rsidRDefault="00836DE9">
      <w:pPr>
        <w:pStyle w:val="TableTitle"/>
      </w:pPr>
      <w:r w:rsidRPr="00836DE9">
        <w:lastRenderedPageBreak/>
        <w:t xml:space="preserve">Table </w:t>
      </w:r>
      <w:r w:rsidR="006737A0">
        <w:fldChar w:fldCharType="begin"/>
      </w:r>
      <w:r w:rsidR="006737A0">
        <w:instrText xml:space="preserve"> SEQ Table \* ARABIC </w:instrText>
      </w:r>
      <w:r w:rsidR="006737A0">
        <w:fldChar w:fldCharType="separate"/>
      </w:r>
      <w:r w:rsidR="00BB2836">
        <w:rPr>
          <w:noProof/>
        </w:rPr>
        <w:t>5</w:t>
      </w:r>
      <w:r w:rsidR="006737A0">
        <w:rPr>
          <w:noProof/>
        </w:rPr>
        <w:fldChar w:fldCharType="end"/>
      </w:r>
      <w:r>
        <w:t xml:space="preserve">: </w:t>
      </w:r>
      <w:r w:rsidR="00272F51">
        <w:t xml:space="preserve">Study KCP-330-023 (BOSTON trial) </w:t>
      </w:r>
      <w:r w:rsidR="00CC7616">
        <w:t>S</w:t>
      </w:r>
      <w:r>
        <w:t>ummary of safety</w:t>
      </w:r>
      <w:r w:rsidR="00272F51">
        <w:t xml:space="preserve"> results</w:t>
      </w:r>
    </w:p>
    <w:tbl>
      <w:tblPr>
        <w:tblStyle w:val="TableTGAblue"/>
        <w:tblW w:w="8810" w:type="dxa"/>
        <w:tblLook w:val="04A0" w:firstRow="1" w:lastRow="0" w:firstColumn="1" w:lastColumn="0" w:noHBand="0" w:noVBand="1"/>
      </w:tblPr>
      <w:tblGrid>
        <w:gridCol w:w="4210"/>
        <w:gridCol w:w="2530"/>
        <w:gridCol w:w="2070"/>
      </w:tblGrid>
      <w:tr w:rsidR="00836DE9" w:rsidRPr="00765D5D" w14:paraId="13D0D525" w14:textId="77777777" w:rsidTr="000B3827">
        <w:trPr>
          <w:cnfStyle w:val="100000000000" w:firstRow="1" w:lastRow="0" w:firstColumn="0" w:lastColumn="0" w:oddVBand="0" w:evenVBand="0" w:oddHBand="0" w:evenHBand="0" w:firstRowFirstColumn="0" w:firstRowLastColumn="0" w:lastRowFirstColumn="0" w:lastRowLastColumn="0"/>
        </w:trPr>
        <w:tc>
          <w:tcPr>
            <w:tcW w:w="4210" w:type="dxa"/>
          </w:tcPr>
          <w:p w14:paraId="7770B33C" w14:textId="77777777" w:rsidR="00836DE9" w:rsidRPr="00765D5D" w:rsidRDefault="00836DE9" w:rsidP="000B3827">
            <w:pPr>
              <w:pStyle w:val="Tabletext"/>
              <w:ind w:left="0" w:right="0"/>
            </w:pPr>
          </w:p>
        </w:tc>
        <w:tc>
          <w:tcPr>
            <w:tcW w:w="2530" w:type="dxa"/>
          </w:tcPr>
          <w:p w14:paraId="3998F4F7" w14:textId="6B646969" w:rsidR="00836DE9" w:rsidRPr="00765D5D" w:rsidRDefault="00272F51" w:rsidP="000B3827">
            <w:pPr>
              <w:pStyle w:val="Tabletext"/>
              <w:ind w:left="0" w:right="0"/>
            </w:pPr>
            <w:r>
              <w:t>Selinexor, bortezomib and dexamethasone (</w:t>
            </w:r>
            <w:proofErr w:type="spellStart"/>
            <w:r>
              <w:t>SVd</w:t>
            </w:r>
            <w:proofErr w:type="spellEnd"/>
            <w:r>
              <w:t>)</w:t>
            </w:r>
          </w:p>
        </w:tc>
        <w:tc>
          <w:tcPr>
            <w:tcW w:w="2070" w:type="dxa"/>
          </w:tcPr>
          <w:p w14:paraId="3BFA7E6C" w14:textId="252D4A93" w:rsidR="00836DE9" w:rsidRPr="00765D5D" w:rsidRDefault="00272F51" w:rsidP="000B3827">
            <w:pPr>
              <w:pStyle w:val="Tabletext"/>
              <w:ind w:left="0" w:right="0"/>
            </w:pPr>
            <w:r>
              <w:t>Bortezomib and dexamethasone (</w:t>
            </w:r>
            <w:proofErr w:type="spellStart"/>
            <w:r w:rsidR="00836DE9" w:rsidRPr="00765D5D">
              <w:t>Vd</w:t>
            </w:r>
            <w:proofErr w:type="spellEnd"/>
            <w:r>
              <w:t>)</w:t>
            </w:r>
          </w:p>
        </w:tc>
      </w:tr>
      <w:tr w:rsidR="00836DE9" w:rsidRPr="00765D5D" w14:paraId="501CAAEF" w14:textId="77777777" w:rsidTr="000B3827">
        <w:tc>
          <w:tcPr>
            <w:tcW w:w="8810" w:type="dxa"/>
            <w:gridSpan w:val="3"/>
          </w:tcPr>
          <w:p w14:paraId="4D8DB319" w14:textId="509D26D5" w:rsidR="00836DE9" w:rsidRPr="00765D5D" w:rsidRDefault="00836DE9" w:rsidP="000B3827">
            <w:pPr>
              <w:pStyle w:val="Tabletext"/>
              <w:ind w:left="0" w:right="0"/>
              <w:rPr>
                <w:b/>
                <w:i/>
                <w:color w:val="auto"/>
              </w:rPr>
            </w:pPr>
            <w:r w:rsidRPr="00765D5D">
              <w:rPr>
                <w:b/>
                <w:i/>
                <w:color w:val="auto"/>
              </w:rPr>
              <w:t>Treatment-emergent adverse event</w:t>
            </w:r>
            <w:r w:rsidR="00272F51">
              <w:rPr>
                <w:b/>
                <w:i/>
                <w:color w:val="auto"/>
              </w:rPr>
              <w:t>s</w:t>
            </w:r>
          </w:p>
        </w:tc>
      </w:tr>
      <w:tr w:rsidR="00836DE9" w:rsidRPr="00765D5D" w14:paraId="6DE67D9C" w14:textId="77777777" w:rsidTr="000B3827">
        <w:tc>
          <w:tcPr>
            <w:tcW w:w="4210" w:type="dxa"/>
          </w:tcPr>
          <w:p w14:paraId="76D67F64" w14:textId="1CA7CDA9" w:rsidR="00836DE9" w:rsidRPr="00765D5D" w:rsidRDefault="00836DE9" w:rsidP="000B3827">
            <w:pPr>
              <w:pStyle w:val="Tabletext"/>
              <w:ind w:left="0" w:right="0"/>
              <w:rPr>
                <w:b/>
                <w:iCs/>
                <w:color w:val="auto"/>
              </w:rPr>
            </w:pPr>
            <w:r w:rsidRPr="00765D5D">
              <w:rPr>
                <w:b/>
                <w:iCs/>
                <w:color w:val="auto"/>
              </w:rPr>
              <w:t xml:space="preserve">Any </w:t>
            </w:r>
            <w:r w:rsidR="00CC7616">
              <w:rPr>
                <w:b/>
                <w:iCs/>
                <w:color w:val="auto"/>
              </w:rPr>
              <w:t>adverse event</w:t>
            </w:r>
          </w:p>
        </w:tc>
        <w:tc>
          <w:tcPr>
            <w:tcW w:w="2530" w:type="dxa"/>
          </w:tcPr>
          <w:p w14:paraId="1DE2271A" w14:textId="77777777" w:rsidR="00836DE9" w:rsidRPr="00765D5D" w:rsidRDefault="00836DE9" w:rsidP="000B3827">
            <w:pPr>
              <w:pStyle w:val="Tabletext"/>
              <w:ind w:left="0" w:right="0"/>
              <w:rPr>
                <w:iCs/>
                <w:color w:val="auto"/>
              </w:rPr>
            </w:pPr>
            <w:r w:rsidRPr="00765D5D">
              <w:rPr>
                <w:iCs/>
                <w:color w:val="auto"/>
              </w:rPr>
              <w:t xml:space="preserve">194 (99.5%) </w:t>
            </w:r>
          </w:p>
        </w:tc>
        <w:tc>
          <w:tcPr>
            <w:tcW w:w="2070" w:type="dxa"/>
          </w:tcPr>
          <w:p w14:paraId="0802C905" w14:textId="77777777" w:rsidR="00836DE9" w:rsidRPr="00765D5D" w:rsidRDefault="00836DE9" w:rsidP="000B3827">
            <w:pPr>
              <w:pStyle w:val="Tabletext"/>
              <w:ind w:left="0" w:right="0"/>
              <w:rPr>
                <w:iCs/>
                <w:color w:val="auto"/>
              </w:rPr>
            </w:pPr>
            <w:r w:rsidRPr="00765D5D">
              <w:rPr>
                <w:iCs/>
                <w:color w:val="auto"/>
              </w:rPr>
              <w:t>198 (97.1%)</w:t>
            </w:r>
          </w:p>
        </w:tc>
      </w:tr>
      <w:tr w:rsidR="00836DE9" w:rsidRPr="00765D5D" w14:paraId="1314BD13" w14:textId="77777777" w:rsidTr="000B3827">
        <w:tc>
          <w:tcPr>
            <w:tcW w:w="8810" w:type="dxa"/>
            <w:gridSpan w:val="3"/>
          </w:tcPr>
          <w:p w14:paraId="3E6DBDBC" w14:textId="5368B91E" w:rsidR="00836DE9" w:rsidRPr="00765D5D" w:rsidRDefault="00836DE9" w:rsidP="000B3827">
            <w:pPr>
              <w:pStyle w:val="Tabletext"/>
              <w:ind w:left="0" w:right="0"/>
              <w:rPr>
                <w:b/>
                <w:i/>
                <w:color w:val="auto"/>
              </w:rPr>
            </w:pPr>
            <w:r w:rsidRPr="00765D5D">
              <w:rPr>
                <w:b/>
                <w:i/>
                <w:color w:val="auto"/>
              </w:rPr>
              <w:t xml:space="preserve">Most common </w:t>
            </w:r>
            <w:r w:rsidR="00CC7616">
              <w:rPr>
                <w:b/>
                <w:i/>
                <w:color w:val="auto"/>
              </w:rPr>
              <w:t>adverse event</w:t>
            </w:r>
            <w:r w:rsidRPr="00765D5D">
              <w:rPr>
                <w:b/>
                <w:i/>
                <w:color w:val="auto"/>
              </w:rPr>
              <w:t>s &gt;</w:t>
            </w:r>
            <w:r w:rsidR="00272F51">
              <w:rPr>
                <w:b/>
                <w:i/>
                <w:color w:val="auto"/>
              </w:rPr>
              <w:t xml:space="preserve"> </w:t>
            </w:r>
            <w:r w:rsidRPr="00765D5D">
              <w:rPr>
                <w:b/>
                <w:i/>
                <w:color w:val="auto"/>
              </w:rPr>
              <w:t xml:space="preserve">15% </w:t>
            </w:r>
          </w:p>
        </w:tc>
      </w:tr>
      <w:tr w:rsidR="00836DE9" w:rsidRPr="00765D5D" w14:paraId="156AD9E8" w14:textId="77777777" w:rsidTr="000B3827">
        <w:tc>
          <w:tcPr>
            <w:tcW w:w="4210" w:type="dxa"/>
          </w:tcPr>
          <w:p w14:paraId="1DA64B56" w14:textId="77777777" w:rsidR="00836DE9" w:rsidRPr="00765D5D" w:rsidRDefault="00836DE9" w:rsidP="000B3827">
            <w:pPr>
              <w:pStyle w:val="Tabletext"/>
              <w:ind w:left="0" w:right="0"/>
              <w:jc w:val="right"/>
              <w:rPr>
                <w:iCs/>
                <w:color w:val="auto"/>
              </w:rPr>
            </w:pPr>
            <w:r w:rsidRPr="00765D5D">
              <w:rPr>
                <w:iCs/>
                <w:color w:val="auto"/>
              </w:rPr>
              <w:t>thrombocytopenia</w:t>
            </w:r>
          </w:p>
        </w:tc>
        <w:tc>
          <w:tcPr>
            <w:tcW w:w="2530" w:type="dxa"/>
          </w:tcPr>
          <w:p w14:paraId="0FA4D605" w14:textId="77777777" w:rsidR="00836DE9" w:rsidRPr="00765D5D" w:rsidRDefault="00836DE9" w:rsidP="000B3827">
            <w:pPr>
              <w:pStyle w:val="Tabletext"/>
              <w:ind w:left="0" w:right="0"/>
              <w:rPr>
                <w:iCs/>
                <w:color w:val="auto"/>
              </w:rPr>
            </w:pPr>
            <w:r w:rsidRPr="00765D5D">
              <w:rPr>
                <w:iCs/>
                <w:color w:val="auto"/>
              </w:rPr>
              <w:t>60.0%</w:t>
            </w:r>
          </w:p>
        </w:tc>
        <w:tc>
          <w:tcPr>
            <w:tcW w:w="2070" w:type="dxa"/>
          </w:tcPr>
          <w:p w14:paraId="41B34500" w14:textId="77777777" w:rsidR="00836DE9" w:rsidRPr="00765D5D" w:rsidRDefault="00836DE9" w:rsidP="000B3827">
            <w:pPr>
              <w:pStyle w:val="Tabletext"/>
              <w:ind w:left="0" w:right="0"/>
              <w:rPr>
                <w:iCs/>
                <w:color w:val="auto"/>
              </w:rPr>
            </w:pPr>
            <w:r w:rsidRPr="00765D5D">
              <w:rPr>
                <w:iCs/>
                <w:color w:val="auto"/>
              </w:rPr>
              <w:t>27.0%</w:t>
            </w:r>
          </w:p>
        </w:tc>
      </w:tr>
      <w:tr w:rsidR="00836DE9" w:rsidRPr="00765D5D" w14:paraId="357C67D5" w14:textId="77777777" w:rsidTr="000B3827">
        <w:tc>
          <w:tcPr>
            <w:tcW w:w="4210" w:type="dxa"/>
          </w:tcPr>
          <w:p w14:paraId="3F366901" w14:textId="77777777" w:rsidR="00836DE9" w:rsidRPr="00765D5D" w:rsidRDefault="00836DE9" w:rsidP="000B3827">
            <w:pPr>
              <w:pStyle w:val="Tabletext"/>
              <w:ind w:left="0" w:right="0"/>
              <w:jc w:val="right"/>
              <w:rPr>
                <w:iCs/>
                <w:color w:val="auto"/>
              </w:rPr>
            </w:pPr>
            <w:r w:rsidRPr="00765D5D">
              <w:rPr>
                <w:iCs/>
                <w:color w:val="auto"/>
              </w:rPr>
              <w:t>nausea</w:t>
            </w:r>
          </w:p>
        </w:tc>
        <w:tc>
          <w:tcPr>
            <w:tcW w:w="2530" w:type="dxa"/>
          </w:tcPr>
          <w:p w14:paraId="25672F65" w14:textId="77777777" w:rsidR="00836DE9" w:rsidRPr="00765D5D" w:rsidRDefault="00836DE9" w:rsidP="000B3827">
            <w:pPr>
              <w:pStyle w:val="Tabletext"/>
              <w:ind w:left="0" w:right="0"/>
              <w:rPr>
                <w:iCs/>
                <w:color w:val="auto"/>
              </w:rPr>
            </w:pPr>
            <w:r w:rsidRPr="00765D5D">
              <w:rPr>
                <w:iCs/>
                <w:color w:val="auto"/>
              </w:rPr>
              <w:t>50.3%</w:t>
            </w:r>
          </w:p>
        </w:tc>
        <w:tc>
          <w:tcPr>
            <w:tcW w:w="2070" w:type="dxa"/>
          </w:tcPr>
          <w:p w14:paraId="0291FBFA" w14:textId="77777777" w:rsidR="00836DE9" w:rsidRPr="00765D5D" w:rsidRDefault="00836DE9" w:rsidP="000B3827">
            <w:pPr>
              <w:pStyle w:val="Tabletext"/>
              <w:ind w:left="0" w:right="0"/>
              <w:rPr>
                <w:iCs/>
                <w:color w:val="auto"/>
              </w:rPr>
            </w:pPr>
            <w:r w:rsidRPr="00765D5D">
              <w:rPr>
                <w:iCs/>
                <w:color w:val="auto"/>
              </w:rPr>
              <w:t>9.8%</w:t>
            </w:r>
          </w:p>
        </w:tc>
      </w:tr>
      <w:tr w:rsidR="00836DE9" w:rsidRPr="00765D5D" w14:paraId="069B073B" w14:textId="77777777" w:rsidTr="000B3827">
        <w:tc>
          <w:tcPr>
            <w:tcW w:w="4210" w:type="dxa"/>
          </w:tcPr>
          <w:p w14:paraId="00A83133" w14:textId="77777777" w:rsidR="00836DE9" w:rsidRPr="00765D5D" w:rsidRDefault="00836DE9" w:rsidP="000B3827">
            <w:pPr>
              <w:pStyle w:val="Tabletext"/>
              <w:ind w:left="0" w:right="0"/>
              <w:jc w:val="right"/>
              <w:rPr>
                <w:iCs/>
                <w:color w:val="auto"/>
              </w:rPr>
            </w:pPr>
            <w:r w:rsidRPr="00765D5D">
              <w:rPr>
                <w:iCs/>
                <w:color w:val="auto"/>
              </w:rPr>
              <w:t>fatigue</w:t>
            </w:r>
          </w:p>
        </w:tc>
        <w:tc>
          <w:tcPr>
            <w:tcW w:w="2530" w:type="dxa"/>
          </w:tcPr>
          <w:p w14:paraId="4F741B56" w14:textId="77777777" w:rsidR="00836DE9" w:rsidRPr="00765D5D" w:rsidRDefault="00836DE9" w:rsidP="000B3827">
            <w:pPr>
              <w:pStyle w:val="Tabletext"/>
              <w:ind w:left="0" w:right="0"/>
              <w:rPr>
                <w:iCs/>
                <w:color w:val="auto"/>
              </w:rPr>
            </w:pPr>
            <w:r w:rsidRPr="00765D5D">
              <w:rPr>
                <w:iCs/>
                <w:color w:val="auto"/>
              </w:rPr>
              <w:t>42.1%</w:t>
            </w:r>
          </w:p>
        </w:tc>
        <w:tc>
          <w:tcPr>
            <w:tcW w:w="2070" w:type="dxa"/>
          </w:tcPr>
          <w:p w14:paraId="344999B8" w14:textId="77777777" w:rsidR="00836DE9" w:rsidRPr="00765D5D" w:rsidRDefault="00836DE9" w:rsidP="000B3827">
            <w:pPr>
              <w:pStyle w:val="Tabletext"/>
              <w:ind w:left="0" w:right="0"/>
              <w:rPr>
                <w:iCs/>
                <w:color w:val="auto"/>
              </w:rPr>
            </w:pPr>
            <w:r w:rsidRPr="00765D5D">
              <w:rPr>
                <w:iCs/>
                <w:color w:val="auto"/>
              </w:rPr>
              <w:t>18.1%</w:t>
            </w:r>
          </w:p>
        </w:tc>
      </w:tr>
      <w:tr w:rsidR="00836DE9" w:rsidRPr="00765D5D" w14:paraId="426C58E1" w14:textId="77777777" w:rsidTr="000B3827">
        <w:tc>
          <w:tcPr>
            <w:tcW w:w="4210" w:type="dxa"/>
          </w:tcPr>
          <w:p w14:paraId="04711EAE" w14:textId="77777777" w:rsidR="00836DE9" w:rsidRPr="00765D5D" w:rsidRDefault="00836DE9" w:rsidP="000B3827">
            <w:pPr>
              <w:pStyle w:val="Tabletext"/>
              <w:ind w:left="0" w:right="0"/>
              <w:jc w:val="right"/>
              <w:rPr>
                <w:iCs/>
                <w:color w:val="auto"/>
              </w:rPr>
            </w:pPr>
            <w:r w:rsidRPr="00765D5D">
              <w:rPr>
                <w:iCs/>
                <w:color w:val="auto"/>
              </w:rPr>
              <w:t>anaemia</w:t>
            </w:r>
          </w:p>
        </w:tc>
        <w:tc>
          <w:tcPr>
            <w:tcW w:w="2530" w:type="dxa"/>
          </w:tcPr>
          <w:p w14:paraId="02B2AE30" w14:textId="77777777" w:rsidR="00836DE9" w:rsidRPr="00765D5D" w:rsidRDefault="00836DE9" w:rsidP="000B3827">
            <w:pPr>
              <w:pStyle w:val="Tabletext"/>
              <w:ind w:left="0" w:right="0"/>
              <w:rPr>
                <w:iCs/>
                <w:color w:val="auto"/>
              </w:rPr>
            </w:pPr>
            <w:r w:rsidRPr="00765D5D">
              <w:rPr>
                <w:iCs/>
                <w:color w:val="auto"/>
              </w:rPr>
              <w:t>36.4%</w:t>
            </w:r>
          </w:p>
        </w:tc>
        <w:tc>
          <w:tcPr>
            <w:tcW w:w="2070" w:type="dxa"/>
          </w:tcPr>
          <w:p w14:paraId="1BD12B06" w14:textId="77777777" w:rsidR="00836DE9" w:rsidRPr="00765D5D" w:rsidRDefault="00836DE9" w:rsidP="000B3827">
            <w:pPr>
              <w:pStyle w:val="Tabletext"/>
              <w:ind w:left="0" w:right="0"/>
              <w:rPr>
                <w:iCs/>
                <w:color w:val="auto"/>
              </w:rPr>
            </w:pPr>
            <w:r w:rsidRPr="00765D5D">
              <w:rPr>
                <w:iCs/>
                <w:color w:val="auto"/>
              </w:rPr>
              <w:t>23.0%</w:t>
            </w:r>
          </w:p>
        </w:tc>
      </w:tr>
      <w:tr w:rsidR="00836DE9" w:rsidRPr="00765D5D" w14:paraId="252816C6" w14:textId="77777777" w:rsidTr="000B3827">
        <w:tc>
          <w:tcPr>
            <w:tcW w:w="4210" w:type="dxa"/>
          </w:tcPr>
          <w:p w14:paraId="519A7618" w14:textId="77777777" w:rsidR="00836DE9" w:rsidRPr="00765D5D" w:rsidRDefault="00836DE9" w:rsidP="000B3827">
            <w:pPr>
              <w:pStyle w:val="Tabletext"/>
              <w:ind w:left="0" w:right="0"/>
              <w:jc w:val="right"/>
              <w:rPr>
                <w:iCs/>
                <w:color w:val="auto"/>
              </w:rPr>
            </w:pPr>
            <w:r w:rsidRPr="00765D5D">
              <w:rPr>
                <w:iCs/>
                <w:color w:val="auto"/>
              </w:rPr>
              <w:t>decreased appetite</w:t>
            </w:r>
          </w:p>
        </w:tc>
        <w:tc>
          <w:tcPr>
            <w:tcW w:w="2530" w:type="dxa"/>
          </w:tcPr>
          <w:p w14:paraId="2DB16610" w14:textId="77777777" w:rsidR="00836DE9" w:rsidRPr="00765D5D" w:rsidRDefault="00836DE9" w:rsidP="000B3827">
            <w:pPr>
              <w:pStyle w:val="Tabletext"/>
              <w:ind w:left="0" w:right="0"/>
              <w:rPr>
                <w:iCs/>
                <w:color w:val="auto"/>
              </w:rPr>
            </w:pPr>
            <w:r w:rsidRPr="00765D5D">
              <w:rPr>
                <w:iCs/>
                <w:color w:val="auto"/>
              </w:rPr>
              <w:t>35.4%</w:t>
            </w:r>
          </w:p>
        </w:tc>
        <w:tc>
          <w:tcPr>
            <w:tcW w:w="2070" w:type="dxa"/>
          </w:tcPr>
          <w:p w14:paraId="09A54A82" w14:textId="77777777" w:rsidR="00836DE9" w:rsidRPr="00765D5D" w:rsidRDefault="00836DE9" w:rsidP="000B3827">
            <w:pPr>
              <w:pStyle w:val="Tabletext"/>
              <w:ind w:left="0" w:right="0"/>
              <w:rPr>
                <w:iCs/>
                <w:color w:val="auto"/>
              </w:rPr>
            </w:pPr>
            <w:r w:rsidRPr="00765D5D">
              <w:rPr>
                <w:iCs/>
                <w:color w:val="auto"/>
              </w:rPr>
              <w:t>5.4%</w:t>
            </w:r>
          </w:p>
        </w:tc>
      </w:tr>
      <w:tr w:rsidR="00836DE9" w:rsidRPr="00765D5D" w14:paraId="7E26829C" w14:textId="77777777" w:rsidTr="000B3827">
        <w:tc>
          <w:tcPr>
            <w:tcW w:w="4210" w:type="dxa"/>
          </w:tcPr>
          <w:p w14:paraId="0DFE7097" w14:textId="77777777" w:rsidR="00836DE9" w:rsidRPr="00765D5D" w:rsidRDefault="00836DE9" w:rsidP="000B3827">
            <w:pPr>
              <w:pStyle w:val="Tabletext"/>
              <w:ind w:left="0" w:right="0"/>
              <w:jc w:val="right"/>
              <w:rPr>
                <w:iCs/>
                <w:color w:val="auto"/>
              </w:rPr>
            </w:pPr>
            <w:r w:rsidRPr="00765D5D">
              <w:rPr>
                <w:iCs/>
                <w:color w:val="auto"/>
              </w:rPr>
              <w:t>diarrhoea</w:t>
            </w:r>
          </w:p>
        </w:tc>
        <w:tc>
          <w:tcPr>
            <w:tcW w:w="2530" w:type="dxa"/>
          </w:tcPr>
          <w:p w14:paraId="75320F58" w14:textId="77777777" w:rsidR="00836DE9" w:rsidRPr="00765D5D" w:rsidRDefault="00836DE9" w:rsidP="000B3827">
            <w:pPr>
              <w:pStyle w:val="Tabletext"/>
              <w:ind w:left="0" w:right="0"/>
              <w:rPr>
                <w:iCs/>
                <w:color w:val="auto"/>
              </w:rPr>
            </w:pPr>
            <w:r w:rsidRPr="00765D5D">
              <w:rPr>
                <w:iCs/>
                <w:color w:val="auto"/>
              </w:rPr>
              <w:t>32.3%</w:t>
            </w:r>
          </w:p>
        </w:tc>
        <w:tc>
          <w:tcPr>
            <w:tcW w:w="2070" w:type="dxa"/>
          </w:tcPr>
          <w:p w14:paraId="1C838F8B" w14:textId="77777777" w:rsidR="00836DE9" w:rsidRPr="00765D5D" w:rsidRDefault="00836DE9" w:rsidP="000B3827">
            <w:pPr>
              <w:pStyle w:val="Tabletext"/>
              <w:ind w:left="0" w:right="0"/>
              <w:rPr>
                <w:iCs/>
                <w:color w:val="auto"/>
              </w:rPr>
            </w:pPr>
            <w:r w:rsidRPr="00765D5D">
              <w:rPr>
                <w:iCs/>
                <w:color w:val="auto"/>
              </w:rPr>
              <w:t>25.0%</w:t>
            </w:r>
          </w:p>
        </w:tc>
      </w:tr>
      <w:tr w:rsidR="00836DE9" w:rsidRPr="00765D5D" w14:paraId="70EEB29E" w14:textId="77777777" w:rsidTr="000B3827">
        <w:tc>
          <w:tcPr>
            <w:tcW w:w="4210" w:type="dxa"/>
          </w:tcPr>
          <w:p w14:paraId="266DA6F1" w14:textId="77777777" w:rsidR="00836DE9" w:rsidRPr="00765D5D" w:rsidRDefault="00836DE9" w:rsidP="000B3827">
            <w:pPr>
              <w:pStyle w:val="Tabletext"/>
              <w:ind w:left="0" w:right="0"/>
              <w:jc w:val="right"/>
              <w:rPr>
                <w:iCs/>
                <w:color w:val="auto"/>
              </w:rPr>
            </w:pPr>
            <w:r w:rsidRPr="00765D5D">
              <w:rPr>
                <w:iCs/>
                <w:color w:val="auto"/>
              </w:rPr>
              <w:t>weight decreased</w:t>
            </w:r>
          </w:p>
        </w:tc>
        <w:tc>
          <w:tcPr>
            <w:tcW w:w="2530" w:type="dxa"/>
          </w:tcPr>
          <w:p w14:paraId="57AA2039" w14:textId="77777777" w:rsidR="00836DE9" w:rsidRPr="00765D5D" w:rsidRDefault="00836DE9" w:rsidP="000B3827">
            <w:pPr>
              <w:pStyle w:val="Tabletext"/>
              <w:ind w:left="0" w:right="0"/>
              <w:rPr>
                <w:iCs/>
                <w:color w:val="auto"/>
              </w:rPr>
            </w:pPr>
            <w:r w:rsidRPr="00765D5D">
              <w:rPr>
                <w:iCs/>
                <w:color w:val="auto"/>
              </w:rPr>
              <w:t>26.2%</w:t>
            </w:r>
          </w:p>
        </w:tc>
        <w:tc>
          <w:tcPr>
            <w:tcW w:w="2070" w:type="dxa"/>
          </w:tcPr>
          <w:p w14:paraId="34A31F26" w14:textId="77777777" w:rsidR="00836DE9" w:rsidRPr="00765D5D" w:rsidRDefault="00836DE9" w:rsidP="000B3827">
            <w:pPr>
              <w:pStyle w:val="Tabletext"/>
              <w:ind w:left="0" w:right="0"/>
              <w:rPr>
                <w:iCs/>
                <w:color w:val="auto"/>
              </w:rPr>
            </w:pPr>
            <w:r w:rsidRPr="00765D5D">
              <w:rPr>
                <w:iCs/>
                <w:color w:val="auto"/>
              </w:rPr>
              <w:t>12.3%</w:t>
            </w:r>
          </w:p>
        </w:tc>
      </w:tr>
      <w:tr w:rsidR="00836DE9" w:rsidRPr="00765D5D" w14:paraId="5894C266" w14:textId="77777777" w:rsidTr="000B3827">
        <w:tc>
          <w:tcPr>
            <w:tcW w:w="4210" w:type="dxa"/>
          </w:tcPr>
          <w:p w14:paraId="104751FC" w14:textId="77777777" w:rsidR="00836DE9" w:rsidRPr="00765D5D" w:rsidRDefault="00836DE9" w:rsidP="000B3827">
            <w:pPr>
              <w:pStyle w:val="Tabletext"/>
              <w:ind w:left="0" w:right="0"/>
              <w:jc w:val="right"/>
              <w:rPr>
                <w:iCs/>
                <w:color w:val="auto"/>
              </w:rPr>
            </w:pPr>
            <w:r w:rsidRPr="00765D5D">
              <w:rPr>
                <w:iCs/>
                <w:color w:val="auto"/>
              </w:rPr>
              <w:t>asthenia</w:t>
            </w:r>
          </w:p>
        </w:tc>
        <w:tc>
          <w:tcPr>
            <w:tcW w:w="2530" w:type="dxa"/>
          </w:tcPr>
          <w:p w14:paraId="1B20EA52" w14:textId="77777777" w:rsidR="00836DE9" w:rsidRPr="00765D5D" w:rsidRDefault="00836DE9" w:rsidP="000B3827">
            <w:pPr>
              <w:pStyle w:val="Tabletext"/>
              <w:ind w:left="0" w:right="0"/>
              <w:rPr>
                <w:iCs/>
                <w:color w:val="auto"/>
              </w:rPr>
            </w:pPr>
            <w:r w:rsidRPr="00765D5D">
              <w:rPr>
                <w:iCs/>
                <w:color w:val="auto"/>
              </w:rPr>
              <w:t>24.6%</w:t>
            </w:r>
          </w:p>
        </w:tc>
        <w:tc>
          <w:tcPr>
            <w:tcW w:w="2070" w:type="dxa"/>
          </w:tcPr>
          <w:p w14:paraId="58CA00FD" w14:textId="77777777" w:rsidR="00836DE9" w:rsidRPr="00765D5D" w:rsidRDefault="00836DE9" w:rsidP="000B3827">
            <w:pPr>
              <w:pStyle w:val="Tabletext"/>
              <w:ind w:left="0" w:right="0"/>
              <w:rPr>
                <w:iCs/>
                <w:color w:val="auto"/>
              </w:rPr>
            </w:pPr>
            <w:r w:rsidRPr="00765D5D">
              <w:rPr>
                <w:iCs/>
                <w:color w:val="auto"/>
              </w:rPr>
              <w:t>13.2%</w:t>
            </w:r>
          </w:p>
        </w:tc>
      </w:tr>
      <w:tr w:rsidR="00836DE9" w:rsidRPr="00765D5D" w14:paraId="2D3B39CF" w14:textId="77777777" w:rsidTr="000B3827">
        <w:tc>
          <w:tcPr>
            <w:tcW w:w="4210" w:type="dxa"/>
          </w:tcPr>
          <w:p w14:paraId="5DF2B0C0" w14:textId="77777777" w:rsidR="00836DE9" w:rsidRPr="00765D5D" w:rsidRDefault="00836DE9" w:rsidP="000B3827">
            <w:pPr>
              <w:pStyle w:val="Tabletext"/>
              <w:ind w:left="0" w:right="0"/>
              <w:jc w:val="right"/>
              <w:rPr>
                <w:iCs/>
                <w:color w:val="auto"/>
              </w:rPr>
            </w:pPr>
            <w:r w:rsidRPr="00765D5D">
              <w:rPr>
                <w:iCs/>
                <w:color w:val="auto"/>
              </w:rPr>
              <w:t xml:space="preserve">Neurological </w:t>
            </w:r>
            <w:proofErr w:type="spellStart"/>
            <w:r w:rsidRPr="00765D5D">
              <w:rPr>
                <w:iCs/>
                <w:color w:val="auto"/>
              </w:rPr>
              <w:t>toxicity</w:t>
            </w:r>
            <w:r w:rsidRPr="00765D5D">
              <w:rPr>
                <w:iCs/>
                <w:color w:val="auto"/>
                <w:vertAlign w:val="superscript"/>
              </w:rPr>
              <w:t>a</w:t>
            </w:r>
            <w:proofErr w:type="spellEnd"/>
          </w:p>
        </w:tc>
        <w:tc>
          <w:tcPr>
            <w:tcW w:w="2530" w:type="dxa"/>
          </w:tcPr>
          <w:p w14:paraId="42738C98" w14:textId="77777777" w:rsidR="00836DE9" w:rsidRPr="00765D5D" w:rsidRDefault="00836DE9" w:rsidP="000B3827">
            <w:pPr>
              <w:pStyle w:val="Tabletext"/>
              <w:ind w:left="0" w:right="0"/>
              <w:rPr>
                <w:iCs/>
                <w:color w:val="auto"/>
              </w:rPr>
            </w:pPr>
            <w:r w:rsidRPr="00765D5D">
              <w:rPr>
                <w:iCs/>
                <w:color w:val="auto"/>
              </w:rPr>
              <w:t>24.1%</w:t>
            </w:r>
          </w:p>
        </w:tc>
        <w:tc>
          <w:tcPr>
            <w:tcW w:w="2070" w:type="dxa"/>
          </w:tcPr>
          <w:p w14:paraId="65E56AB3" w14:textId="77777777" w:rsidR="00836DE9" w:rsidRPr="00765D5D" w:rsidRDefault="00836DE9" w:rsidP="000B3827">
            <w:pPr>
              <w:pStyle w:val="Tabletext"/>
              <w:ind w:left="0" w:right="0"/>
              <w:rPr>
                <w:iCs/>
                <w:color w:val="auto"/>
              </w:rPr>
            </w:pPr>
            <w:r w:rsidRPr="00765D5D">
              <w:rPr>
                <w:iCs/>
                <w:color w:val="auto"/>
              </w:rPr>
              <w:t>7.8%</w:t>
            </w:r>
          </w:p>
        </w:tc>
      </w:tr>
      <w:tr w:rsidR="00836DE9" w:rsidRPr="00765D5D" w14:paraId="3FFBB7D0" w14:textId="77777777" w:rsidTr="000B3827">
        <w:tc>
          <w:tcPr>
            <w:tcW w:w="4210" w:type="dxa"/>
          </w:tcPr>
          <w:p w14:paraId="54257970" w14:textId="77777777" w:rsidR="00836DE9" w:rsidRPr="00765D5D" w:rsidRDefault="00836DE9" w:rsidP="000B3827">
            <w:pPr>
              <w:pStyle w:val="Tabletext"/>
              <w:ind w:left="0" w:right="0"/>
              <w:jc w:val="right"/>
              <w:rPr>
                <w:iCs/>
                <w:color w:val="auto"/>
              </w:rPr>
            </w:pPr>
            <w:r w:rsidRPr="00765D5D">
              <w:rPr>
                <w:iCs/>
                <w:color w:val="auto"/>
              </w:rPr>
              <w:t>cataract</w:t>
            </w:r>
          </w:p>
        </w:tc>
        <w:tc>
          <w:tcPr>
            <w:tcW w:w="2530" w:type="dxa"/>
          </w:tcPr>
          <w:p w14:paraId="3CB0A337" w14:textId="77777777" w:rsidR="00836DE9" w:rsidRPr="00765D5D" w:rsidRDefault="00836DE9" w:rsidP="000B3827">
            <w:pPr>
              <w:pStyle w:val="Tabletext"/>
              <w:ind w:left="0" w:right="0"/>
              <w:rPr>
                <w:iCs/>
                <w:color w:val="auto"/>
              </w:rPr>
            </w:pPr>
            <w:r w:rsidRPr="00765D5D">
              <w:rPr>
                <w:iCs/>
                <w:color w:val="auto"/>
              </w:rPr>
              <w:t>21.5%</w:t>
            </w:r>
          </w:p>
        </w:tc>
        <w:tc>
          <w:tcPr>
            <w:tcW w:w="2070" w:type="dxa"/>
          </w:tcPr>
          <w:p w14:paraId="5F72538A" w14:textId="77777777" w:rsidR="00836DE9" w:rsidRPr="00765D5D" w:rsidRDefault="00836DE9" w:rsidP="000B3827">
            <w:pPr>
              <w:pStyle w:val="Tabletext"/>
              <w:ind w:left="0" w:right="0"/>
              <w:rPr>
                <w:iCs/>
                <w:color w:val="auto"/>
              </w:rPr>
            </w:pPr>
            <w:r w:rsidRPr="00765D5D">
              <w:rPr>
                <w:iCs/>
                <w:color w:val="auto"/>
              </w:rPr>
              <w:t>6.4%</w:t>
            </w:r>
          </w:p>
        </w:tc>
      </w:tr>
      <w:tr w:rsidR="00836DE9" w:rsidRPr="00765D5D" w14:paraId="61F79C86" w14:textId="77777777" w:rsidTr="000B3827">
        <w:tc>
          <w:tcPr>
            <w:tcW w:w="4210" w:type="dxa"/>
          </w:tcPr>
          <w:p w14:paraId="36C788DF" w14:textId="77777777" w:rsidR="00836DE9" w:rsidRPr="00765D5D" w:rsidRDefault="00836DE9" w:rsidP="000B3827">
            <w:pPr>
              <w:pStyle w:val="Tabletext"/>
              <w:ind w:left="0" w:right="0"/>
              <w:jc w:val="right"/>
              <w:rPr>
                <w:iCs/>
                <w:color w:val="auto"/>
              </w:rPr>
            </w:pPr>
            <w:r w:rsidRPr="00765D5D">
              <w:rPr>
                <w:iCs/>
                <w:color w:val="auto"/>
              </w:rPr>
              <w:t>vomiting</w:t>
            </w:r>
          </w:p>
        </w:tc>
        <w:tc>
          <w:tcPr>
            <w:tcW w:w="2530" w:type="dxa"/>
          </w:tcPr>
          <w:p w14:paraId="1FDA927A" w14:textId="77777777" w:rsidR="00836DE9" w:rsidRPr="00765D5D" w:rsidRDefault="00836DE9" w:rsidP="000B3827">
            <w:pPr>
              <w:pStyle w:val="Tabletext"/>
              <w:ind w:left="0" w:right="0"/>
              <w:rPr>
                <w:iCs/>
                <w:color w:val="auto"/>
              </w:rPr>
            </w:pPr>
            <w:r w:rsidRPr="00765D5D">
              <w:rPr>
                <w:iCs/>
                <w:color w:val="auto"/>
              </w:rPr>
              <w:t>20.5%</w:t>
            </w:r>
          </w:p>
        </w:tc>
        <w:tc>
          <w:tcPr>
            <w:tcW w:w="2070" w:type="dxa"/>
          </w:tcPr>
          <w:p w14:paraId="1F322664" w14:textId="77777777" w:rsidR="00836DE9" w:rsidRPr="00765D5D" w:rsidRDefault="00836DE9" w:rsidP="000B3827">
            <w:pPr>
              <w:pStyle w:val="Tabletext"/>
              <w:ind w:left="0" w:right="0"/>
              <w:rPr>
                <w:iCs/>
                <w:color w:val="auto"/>
              </w:rPr>
            </w:pPr>
            <w:r w:rsidRPr="00765D5D">
              <w:rPr>
                <w:iCs/>
                <w:color w:val="auto"/>
              </w:rPr>
              <w:t>4.4%</w:t>
            </w:r>
          </w:p>
        </w:tc>
      </w:tr>
      <w:tr w:rsidR="00836DE9" w:rsidRPr="00765D5D" w14:paraId="3D5BB31D" w14:textId="77777777" w:rsidTr="000B3827">
        <w:tc>
          <w:tcPr>
            <w:tcW w:w="4210" w:type="dxa"/>
          </w:tcPr>
          <w:p w14:paraId="733CA47B" w14:textId="77777777" w:rsidR="00836DE9" w:rsidRPr="00765D5D" w:rsidRDefault="00836DE9" w:rsidP="000B3827">
            <w:pPr>
              <w:pStyle w:val="Tabletext"/>
              <w:ind w:left="0" w:right="0"/>
              <w:jc w:val="right"/>
              <w:rPr>
                <w:iCs/>
                <w:color w:val="auto"/>
              </w:rPr>
            </w:pPr>
            <w:r w:rsidRPr="00765D5D">
              <w:rPr>
                <w:iCs/>
                <w:color w:val="auto"/>
              </w:rPr>
              <w:t>pneumonia</w:t>
            </w:r>
          </w:p>
        </w:tc>
        <w:tc>
          <w:tcPr>
            <w:tcW w:w="2530" w:type="dxa"/>
          </w:tcPr>
          <w:p w14:paraId="787F00C9" w14:textId="77777777" w:rsidR="00836DE9" w:rsidRPr="00765D5D" w:rsidRDefault="00836DE9" w:rsidP="000B3827">
            <w:pPr>
              <w:pStyle w:val="Tabletext"/>
              <w:ind w:left="0" w:right="0"/>
              <w:rPr>
                <w:iCs/>
                <w:color w:val="auto"/>
              </w:rPr>
            </w:pPr>
            <w:r w:rsidRPr="00765D5D">
              <w:rPr>
                <w:iCs/>
                <w:color w:val="auto"/>
              </w:rPr>
              <w:t>17.9%</w:t>
            </w:r>
          </w:p>
        </w:tc>
        <w:tc>
          <w:tcPr>
            <w:tcW w:w="2070" w:type="dxa"/>
          </w:tcPr>
          <w:p w14:paraId="3B4E13D5" w14:textId="77777777" w:rsidR="00836DE9" w:rsidRPr="00765D5D" w:rsidRDefault="00836DE9" w:rsidP="000B3827">
            <w:pPr>
              <w:pStyle w:val="Tabletext"/>
              <w:ind w:left="0" w:right="0"/>
              <w:rPr>
                <w:iCs/>
                <w:color w:val="auto"/>
              </w:rPr>
            </w:pPr>
            <w:r w:rsidRPr="00765D5D">
              <w:rPr>
                <w:iCs/>
                <w:color w:val="auto"/>
              </w:rPr>
              <w:t>16.7%</w:t>
            </w:r>
          </w:p>
        </w:tc>
      </w:tr>
      <w:tr w:rsidR="00836DE9" w:rsidRPr="00765D5D" w14:paraId="5F43ED5E" w14:textId="77777777" w:rsidTr="000B3827">
        <w:tc>
          <w:tcPr>
            <w:tcW w:w="4210" w:type="dxa"/>
          </w:tcPr>
          <w:p w14:paraId="01F3261F" w14:textId="062CD390" w:rsidR="00836DE9" w:rsidRPr="00765D5D" w:rsidRDefault="00272F51" w:rsidP="000B3827">
            <w:pPr>
              <w:pStyle w:val="Tabletext"/>
              <w:ind w:left="0" w:right="0"/>
              <w:jc w:val="right"/>
              <w:rPr>
                <w:iCs/>
                <w:color w:val="auto"/>
              </w:rPr>
            </w:pPr>
            <w:r>
              <w:rPr>
                <w:iCs/>
                <w:color w:val="auto"/>
              </w:rPr>
              <w:t>upper respiratory tract infections</w:t>
            </w:r>
          </w:p>
        </w:tc>
        <w:tc>
          <w:tcPr>
            <w:tcW w:w="2530" w:type="dxa"/>
          </w:tcPr>
          <w:p w14:paraId="680A2AC8" w14:textId="77777777" w:rsidR="00836DE9" w:rsidRPr="00765D5D" w:rsidRDefault="00836DE9" w:rsidP="000B3827">
            <w:pPr>
              <w:pStyle w:val="Tabletext"/>
              <w:ind w:left="0" w:right="0"/>
              <w:rPr>
                <w:iCs/>
                <w:color w:val="auto"/>
              </w:rPr>
            </w:pPr>
            <w:r w:rsidRPr="00765D5D">
              <w:rPr>
                <w:iCs/>
                <w:color w:val="auto"/>
              </w:rPr>
              <w:t>17.9%</w:t>
            </w:r>
          </w:p>
        </w:tc>
        <w:tc>
          <w:tcPr>
            <w:tcW w:w="2070" w:type="dxa"/>
          </w:tcPr>
          <w:p w14:paraId="69182B59" w14:textId="77777777" w:rsidR="00836DE9" w:rsidRPr="00765D5D" w:rsidRDefault="00836DE9" w:rsidP="000B3827">
            <w:pPr>
              <w:pStyle w:val="Tabletext"/>
              <w:ind w:left="0" w:right="0"/>
              <w:rPr>
                <w:iCs/>
                <w:color w:val="auto"/>
              </w:rPr>
            </w:pPr>
            <w:r w:rsidRPr="00765D5D">
              <w:rPr>
                <w:iCs/>
                <w:color w:val="auto"/>
              </w:rPr>
              <w:t>14.7%</w:t>
            </w:r>
          </w:p>
        </w:tc>
      </w:tr>
      <w:tr w:rsidR="00836DE9" w:rsidRPr="00765D5D" w14:paraId="39BE2F53" w14:textId="77777777" w:rsidTr="000B3827">
        <w:tc>
          <w:tcPr>
            <w:tcW w:w="4210" w:type="dxa"/>
          </w:tcPr>
          <w:p w14:paraId="4BF6088A" w14:textId="77777777" w:rsidR="00836DE9" w:rsidRPr="00765D5D" w:rsidRDefault="00836DE9" w:rsidP="000B3827">
            <w:pPr>
              <w:pStyle w:val="Tabletext"/>
              <w:ind w:left="0" w:right="0"/>
              <w:jc w:val="right"/>
              <w:rPr>
                <w:iCs/>
                <w:color w:val="auto"/>
              </w:rPr>
            </w:pPr>
            <w:r w:rsidRPr="00765D5D">
              <w:rPr>
                <w:iCs/>
                <w:color w:val="auto"/>
              </w:rPr>
              <w:t>cough</w:t>
            </w:r>
          </w:p>
        </w:tc>
        <w:tc>
          <w:tcPr>
            <w:tcW w:w="2530" w:type="dxa"/>
          </w:tcPr>
          <w:p w14:paraId="38B2645C" w14:textId="77777777" w:rsidR="00836DE9" w:rsidRPr="00765D5D" w:rsidRDefault="00836DE9" w:rsidP="000B3827">
            <w:pPr>
              <w:pStyle w:val="Tabletext"/>
              <w:ind w:left="0" w:right="0"/>
              <w:rPr>
                <w:iCs/>
                <w:color w:val="auto"/>
              </w:rPr>
            </w:pPr>
            <w:r w:rsidRPr="00765D5D">
              <w:rPr>
                <w:iCs/>
                <w:color w:val="auto"/>
              </w:rPr>
              <w:t>17.9%</w:t>
            </w:r>
          </w:p>
        </w:tc>
        <w:tc>
          <w:tcPr>
            <w:tcW w:w="2070" w:type="dxa"/>
          </w:tcPr>
          <w:p w14:paraId="2EC0E92D" w14:textId="77777777" w:rsidR="00836DE9" w:rsidRPr="00765D5D" w:rsidRDefault="00836DE9" w:rsidP="000B3827">
            <w:pPr>
              <w:pStyle w:val="Tabletext"/>
              <w:ind w:left="0" w:right="0"/>
              <w:rPr>
                <w:iCs/>
                <w:color w:val="auto"/>
              </w:rPr>
            </w:pPr>
            <w:r w:rsidRPr="00765D5D">
              <w:rPr>
                <w:iCs/>
                <w:color w:val="auto"/>
              </w:rPr>
              <w:t>14.7%</w:t>
            </w:r>
          </w:p>
        </w:tc>
      </w:tr>
      <w:tr w:rsidR="00836DE9" w:rsidRPr="00765D5D" w14:paraId="4306EF9F" w14:textId="77777777" w:rsidTr="000B3827">
        <w:tc>
          <w:tcPr>
            <w:tcW w:w="4210" w:type="dxa"/>
          </w:tcPr>
          <w:p w14:paraId="502A6409" w14:textId="77777777" w:rsidR="00836DE9" w:rsidRPr="00765D5D" w:rsidRDefault="00836DE9" w:rsidP="000B3827">
            <w:pPr>
              <w:pStyle w:val="Tabletext"/>
              <w:ind w:left="0" w:right="0"/>
              <w:jc w:val="right"/>
              <w:rPr>
                <w:iCs/>
                <w:color w:val="auto"/>
              </w:rPr>
            </w:pPr>
            <w:r w:rsidRPr="00765D5D">
              <w:rPr>
                <w:iCs/>
                <w:color w:val="auto"/>
              </w:rPr>
              <w:t>constipation</w:t>
            </w:r>
          </w:p>
        </w:tc>
        <w:tc>
          <w:tcPr>
            <w:tcW w:w="2530" w:type="dxa"/>
          </w:tcPr>
          <w:p w14:paraId="054C81CB" w14:textId="77777777" w:rsidR="00836DE9" w:rsidRPr="00765D5D" w:rsidRDefault="00836DE9" w:rsidP="000B3827">
            <w:pPr>
              <w:pStyle w:val="Tabletext"/>
              <w:ind w:left="0" w:right="0"/>
              <w:rPr>
                <w:iCs/>
                <w:color w:val="auto"/>
              </w:rPr>
            </w:pPr>
            <w:r w:rsidRPr="00765D5D">
              <w:rPr>
                <w:iCs/>
                <w:color w:val="auto"/>
              </w:rPr>
              <w:t>16.9%</w:t>
            </w:r>
          </w:p>
        </w:tc>
        <w:tc>
          <w:tcPr>
            <w:tcW w:w="2070" w:type="dxa"/>
          </w:tcPr>
          <w:p w14:paraId="631BF806" w14:textId="77777777" w:rsidR="00836DE9" w:rsidRPr="00765D5D" w:rsidRDefault="00836DE9" w:rsidP="000B3827">
            <w:pPr>
              <w:pStyle w:val="Tabletext"/>
              <w:ind w:left="0" w:right="0"/>
              <w:rPr>
                <w:iCs/>
                <w:color w:val="auto"/>
              </w:rPr>
            </w:pPr>
            <w:r w:rsidRPr="00765D5D">
              <w:rPr>
                <w:iCs/>
                <w:color w:val="auto"/>
              </w:rPr>
              <w:t>17.2%</w:t>
            </w:r>
          </w:p>
        </w:tc>
      </w:tr>
      <w:tr w:rsidR="00836DE9" w:rsidRPr="00765D5D" w14:paraId="3CDDAF17" w14:textId="77777777" w:rsidTr="000B3827">
        <w:tc>
          <w:tcPr>
            <w:tcW w:w="4210" w:type="dxa"/>
          </w:tcPr>
          <w:p w14:paraId="7C2380BF" w14:textId="77777777" w:rsidR="00836DE9" w:rsidRPr="00765D5D" w:rsidRDefault="00836DE9" w:rsidP="000B3827">
            <w:pPr>
              <w:pStyle w:val="Tabletext"/>
              <w:ind w:left="0" w:right="0"/>
              <w:jc w:val="right"/>
              <w:rPr>
                <w:iCs/>
                <w:color w:val="auto"/>
              </w:rPr>
            </w:pPr>
            <w:r w:rsidRPr="00765D5D">
              <w:rPr>
                <w:iCs/>
                <w:color w:val="auto"/>
              </w:rPr>
              <w:t>insomnia</w:t>
            </w:r>
          </w:p>
        </w:tc>
        <w:tc>
          <w:tcPr>
            <w:tcW w:w="2530" w:type="dxa"/>
          </w:tcPr>
          <w:p w14:paraId="790F255B" w14:textId="77777777" w:rsidR="00836DE9" w:rsidRPr="00765D5D" w:rsidRDefault="00836DE9" w:rsidP="000B3827">
            <w:pPr>
              <w:pStyle w:val="Tabletext"/>
              <w:ind w:left="0" w:right="0"/>
              <w:rPr>
                <w:iCs/>
                <w:color w:val="auto"/>
              </w:rPr>
            </w:pPr>
            <w:r w:rsidRPr="00765D5D">
              <w:rPr>
                <w:iCs/>
                <w:color w:val="auto"/>
              </w:rPr>
              <w:t>15.9%</w:t>
            </w:r>
          </w:p>
        </w:tc>
        <w:tc>
          <w:tcPr>
            <w:tcW w:w="2070" w:type="dxa"/>
          </w:tcPr>
          <w:p w14:paraId="55190B91" w14:textId="77777777" w:rsidR="00836DE9" w:rsidRPr="00765D5D" w:rsidRDefault="00836DE9" w:rsidP="000B3827">
            <w:pPr>
              <w:pStyle w:val="Tabletext"/>
              <w:ind w:left="0" w:right="0"/>
              <w:rPr>
                <w:iCs/>
                <w:color w:val="auto"/>
              </w:rPr>
            </w:pPr>
            <w:r w:rsidRPr="00765D5D">
              <w:rPr>
                <w:iCs/>
                <w:color w:val="auto"/>
              </w:rPr>
              <w:t>15.7%</w:t>
            </w:r>
          </w:p>
        </w:tc>
      </w:tr>
      <w:tr w:rsidR="00836DE9" w:rsidRPr="00765D5D" w14:paraId="11497142" w14:textId="77777777" w:rsidTr="000B3827">
        <w:tc>
          <w:tcPr>
            <w:tcW w:w="4210" w:type="dxa"/>
          </w:tcPr>
          <w:p w14:paraId="1F92D109" w14:textId="77777777" w:rsidR="00836DE9" w:rsidRPr="00765D5D" w:rsidRDefault="00836DE9" w:rsidP="000B3827">
            <w:pPr>
              <w:pStyle w:val="Tabletext"/>
              <w:ind w:left="0" w:right="0"/>
              <w:jc w:val="right"/>
              <w:rPr>
                <w:iCs/>
                <w:color w:val="auto"/>
              </w:rPr>
            </w:pPr>
            <w:r w:rsidRPr="00765D5D">
              <w:rPr>
                <w:iCs/>
                <w:color w:val="auto"/>
              </w:rPr>
              <w:t>back pain</w:t>
            </w:r>
          </w:p>
        </w:tc>
        <w:tc>
          <w:tcPr>
            <w:tcW w:w="2530" w:type="dxa"/>
          </w:tcPr>
          <w:p w14:paraId="5E6A0B47" w14:textId="77777777" w:rsidR="00836DE9" w:rsidRPr="00765D5D" w:rsidRDefault="00836DE9" w:rsidP="000B3827">
            <w:pPr>
              <w:pStyle w:val="Tabletext"/>
              <w:ind w:left="0" w:right="0"/>
              <w:rPr>
                <w:iCs/>
                <w:color w:val="auto"/>
              </w:rPr>
            </w:pPr>
            <w:r w:rsidRPr="00765D5D">
              <w:rPr>
                <w:iCs/>
                <w:color w:val="auto"/>
              </w:rPr>
              <w:t>15.4%</w:t>
            </w:r>
          </w:p>
        </w:tc>
        <w:tc>
          <w:tcPr>
            <w:tcW w:w="2070" w:type="dxa"/>
          </w:tcPr>
          <w:p w14:paraId="253F87CC" w14:textId="77777777" w:rsidR="00836DE9" w:rsidRPr="00765D5D" w:rsidRDefault="00836DE9" w:rsidP="000B3827">
            <w:pPr>
              <w:pStyle w:val="Tabletext"/>
              <w:ind w:left="0" w:right="0"/>
              <w:rPr>
                <w:iCs/>
                <w:color w:val="auto"/>
              </w:rPr>
            </w:pPr>
            <w:r w:rsidRPr="00765D5D">
              <w:rPr>
                <w:iCs/>
                <w:color w:val="auto"/>
              </w:rPr>
              <w:t>14.2%</w:t>
            </w:r>
          </w:p>
        </w:tc>
      </w:tr>
      <w:tr w:rsidR="00836DE9" w:rsidRPr="00765D5D" w14:paraId="744A400A" w14:textId="77777777" w:rsidTr="000B3827">
        <w:tc>
          <w:tcPr>
            <w:tcW w:w="4210" w:type="dxa"/>
          </w:tcPr>
          <w:p w14:paraId="498AA3C7" w14:textId="77777777" w:rsidR="00836DE9" w:rsidRPr="00765D5D" w:rsidRDefault="00836DE9" w:rsidP="000B3827">
            <w:pPr>
              <w:pStyle w:val="Tabletext"/>
              <w:ind w:left="0" w:right="0"/>
              <w:jc w:val="right"/>
              <w:rPr>
                <w:iCs/>
                <w:color w:val="auto"/>
              </w:rPr>
            </w:pPr>
            <w:r w:rsidRPr="00765D5D">
              <w:rPr>
                <w:iCs/>
                <w:color w:val="auto"/>
              </w:rPr>
              <w:t>pyrexia</w:t>
            </w:r>
          </w:p>
        </w:tc>
        <w:tc>
          <w:tcPr>
            <w:tcW w:w="2530" w:type="dxa"/>
          </w:tcPr>
          <w:p w14:paraId="66B9E8F9" w14:textId="77777777" w:rsidR="00836DE9" w:rsidRPr="00765D5D" w:rsidRDefault="00836DE9" w:rsidP="000B3827">
            <w:pPr>
              <w:pStyle w:val="Tabletext"/>
              <w:ind w:left="0" w:right="0"/>
              <w:rPr>
                <w:iCs/>
                <w:color w:val="auto"/>
              </w:rPr>
            </w:pPr>
            <w:r w:rsidRPr="00765D5D">
              <w:rPr>
                <w:iCs/>
                <w:color w:val="auto"/>
              </w:rPr>
              <w:t>15.4%</w:t>
            </w:r>
          </w:p>
        </w:tc>
        <w:tc>
          <w:tcPr>
            <w:tcW w:w="2070" w:type="dxa"/>
          </w:tcPr>
          <w:p w14:paraId="052B96F1" w14:textId="77777777" w:rsidR="00836DE9" w:rsidRPr="00765D5D" w:rsidRDefault="00836DE9" w:rsidP="000B3827">
            <w:pPr>
              <w:pStyle w:val="Tabletext"/>
              <w:ind w:left="0" w:right="0"/>
              <w:rPr>
                <w:iCs/>
                <w:color w:val="auto"/>
              </w:rPr>
            </w:pPr>
            <w:r w:rsidRPr="00765D5D">
              <w:rPr>
                <w:iCs/>
                <w:color w:val="auto"/>
              </w:rPr>
              <w:t>10.8%</w:t>
            </w:r>
          </w:p>
        </w:tc>
      </w:tr>
      <w:tr w:rsidR="00836DE9" w:rsidRPr="00765D5D" w14:paraId="320F368C" w14:textId="77777777" w:rsidTr="000B3827">
        <w:tc>
          <w:tcPr>
            <w:tcW w:w="4210" w:type="dxa"/>
          </w:tcPr>
          <w:p w14:paraId="5F87AB14" w14:textId="00BCFCE1" w:rsidR="00836DE9" w:rsidRPr="00765D5D" w:rsidRDefault="00836DE9" w:rsidP="000B3827">
            <w:pPr>
              <w:pStyle w:val="Tabletext"/>
              <w:ind w:left="0" w:right="0"/>
              <w:rPr>
                <w:b/>
                <w:i/>
                <w:color w:val="auto"/>
              </w:rPr>
            </w:pPr>
            <w:r w:rsidRPr="00765D5D">
              <w:rPr>
                <w:b/>
                <w:i/>
                <w:color w:val="auto"/>
              </w:rPr>
              <w:t xml:space="preserve">Any </w:t>
            </w:r>
            <w:r w:rsidR="00272F51">
              <w:rPr>
                <w:b/>
                <w:i/>
                <w:color w:val="auto"/>
              </w:rPr>
              <w:t>treatment-related adverse event</w:t>
            </w:r>
          </w:p>
        </w:tc>
        <w:tc>
          <w:tcPr>
            <w:tcW w:w="2530" w:type="dxa"/>
          </w:tcPr>
          <w:p w14:paraId="72BB0A62" w14:textId="77777777" w:rsidR="00836DE9" w:rsidRPr="00765D5D" w:rsidRDefault="00836DE9" w:rsidP="000B3827">
            <w:pPr>
              <w:pStyle w:val="Tabletext"/>
              <w:ind w:left="0" w:right="0"/>
              <w:rPr>
                <w:iCs/>
                <w:color w:val="auto"/>
              </w:rPr>
            </w:pPr>
            <w:r w:rsidRPr="00765D5D">
              <w:rPr>
                <w:iCs/>
                <w:color w:val="auto"/>
              </w:rPr>
              <w:t>95.4%</w:t>
            </w:r>
          </w:p>
        </w:tc>
        <w:tc>
          <w:tcPr>
            <w:tcW w:w="2070" w:type="dxa"/>
          </w:tcPr>
          <w:p w14:paraId="0C8A55EE" w14:textId="77777777" w:rsidR="00836DE9" w:rsidRPr="00765D5D" w:rsidRDefault="00836DE9" w:rsidP="000B3827">
            <w:pPr>
              <w:pStyle w:val="Tabletext"/>
              <w:ind w:left="0" w:right="0"/>
              <w:rPr>
                <w:iCs/>
                <w:color w:val="auto"/>
              </w:rPr>
            </w:pPr>
            <w:r w:rsidRPr="00765D5D">
              <w:rPr>
                <w:iCs/>
                <w:color w:val="auto"/>
              </w:rPr>
              <w:t>80.9%</w:t>
            </w:r>
          </w:p>
        </w:tc>
      </w:tr>
      <w:tr w:rsidR="00836DE9" w:rsidRPr="00765D5D" w14:paraId="4B85D38F" w14:textId="77777777" w:rsidTr="000B3827">
        <w:tc>
          <w:tcPr>
            <w:tcW w:w="8810" w:type="dxa"/>
            <w:gridSpan w:val="3"/>
          </w:tcPr>
          <w:p w14:paraId="0CAC5D59" w14:textId="6D3DF4BD" w:rsidR="00836DE9" w:rsidRPr="00765D5D" w:rsidRDefault="00836DE9" w:rsidP="000B3827">
            <w:pPr>
              <w:pStyle w:val="Tabletext"/>
              <w:ind w:left="0" w:right="0"/>
              <w:rPr>
                <w:b/>
                <w:i/>
              </w:rPr>
            </w:pPr>
            <w:r w:rsidRPr="00765D5D">
              <w:rPr>
                <w:b/>
                <w:i/>
                <w:color w:val="auto"/>
              </w:rPr>
              <w:t xml:space="preserve">Most common </w:t>
            </w:r>
            <w:r w:rsidR="00272F51">
              <w:rPr>
                <w:b/>
                <w:i/>
                <w:color w:val="auto"/>
              </w:rPr>
              <w:t>treatment-related adverse events</w:t>
            </w:r>
          </w:p>
        </w:tc>
      </w:tr>
      <w:tr w:rsidR="00836DE9" w:rsidRPr="00765D5D" w14:paraId="0C0F1C63" w14:textId="77777777" w:rsidTr="000B3827">
        <w:tc>
          <w:tcPr>
            <w:tcW w:w="4210" w:type="dxa"/>
          </w:tcPr>
          <w:p w14:paraId="6811DF93" w14:textId="27D8D26F" w:rsidR="00836DE9" w:rsidRPr="00765D5D" w:rsidRDefault="00272F51" w:rsidP="000B3827">
            <w:pPr>
              <w:pStyle w:val="Tabletext"/>
              <w:ind w:left="0" w:right="0"/>
              <w:jc w:val="right"/>
              <w:rPr>
                <w:iCs/>
                <w:color w:val="auto"/>
              </w:rPr>
            </w:pPr>
            <w:r w:rsidRPr="00765D5D">
              <w:rPr>
                <w:iCs/>
                <w:color w:val="auto"/>
              </w:rPr>
              <w:t>T</w:t>
            </w:r>
            <w:r w:rsidR="00836DE9" w:rsidRPr="00765D5D">
              <w:rPr>
                <w:iCs/>
                <w:color w:val="auto"/>
              </w:rPr>
              <w:t>hrombocytopenia</w:t>
            </w:r>
          </w:p>
        </w:tc>
        <w:tc>
          <w:tcPr>
            <w:tcW w:w="2530" w:type="dxa"/>
          </w:tcPr>
          <w:p w14:paraId="10BB0750" w14:textId="77777777" w:rsidR="00836DE9" w:rsidRPr="00765D5D" w:rsidRDefault="00836DE9" w:rsidP="000B3827">
            <w:pPr>
              <w:pStyle w:val="Tabletext"/>
              <w:ind w:left="0" w:right="0"/>
              <w:rPr>
                <w:iCs/>
                <w:color w:val="auto"/>
              </w:rPr>
            </w:pPr>
            <w:r w:rsidRPr="00765D5D">
              <w:rPr>
                <w:iCs/>
                <w:color w:val="auto"/>
              </w:rPr>
              <w:t>56.4%</w:t>
            </w:r>
          </w:p>
        </w:tc>
        <w:tc>
          <w:tcPr>
            <w:tcW w:w="2070" w:type="dxa"/>
          </w:tcPr>
          <w:p w14:paraId="721433AB" w14:textId="77777777" w:rsidR="00836DE9" w:rsidRPr="00765D5D" w:rsidRDefault="00836DE9" w:rsidP="000B3827">
            <w:pPr>
              <w:pStyle w:val="Tabletext"/>
              <w:ind w:left="0" w:right="0"/>
              <w:rPr>
                <w:iCs/>
                <w:color w:val="auto"/>
              </w:rPr>
            </w:pPr>
            <w:r w:rsidRPr="00765D5D">
              <w:rPr>
                <w:iCs/>
                <w:color w:val="auto"/>
              </w:rPr>
              <w:t>23.0%</w:t>
            </w:r>
          </w:p>
        </w:tc>
      </w:tr>
      <w:tr w:rsidR="00836DE9" w:rsidRPr="00765D5D" w14:paraId="28F74ACA" w14:textId="77777777" w:rsidTr="000B3827">
        <w:tc>
          <w:tcPr>
            <w:tcW w:w="4210" w:type="dxa"/>
          </w:tcPr>
          <w:p w14:paraId="3AC0BFC8" w14:textId="31527F22" w:rsidR="00836DE9" w:rsidRPr="00765D5D" w:rsidRDefault="00272F51" w:rsidP="000B3827">
            <w:pPr>
              <w:pStyle w:val="Tabletext"/>
              <w:ind w:left="0" w:right="0"/>
              <w:jc w:val="right"/>
              <w:rPr>
                <w:iCs/>
                <w:color w:val="auto"/>
              </w:rPr>
            </w:pPr>
            <w:r w:rsidRPr="00765D5D">
              <w:rPr>
                <w:iCs/>
                <w:color w:val="auto"/>
              </w:rPr>
              <w:t>N</w:t>
            </w:r>
            <w:r w:rsidR="00836DE9" w:rsidRPr="00765D5D">
              <w:rPr>
                <w:iCs/>
                <w:color w:val="auto"/>
              </w:rPr>
              <w:t>ausea</w:t>
            </w:r>
          </w:p>
        </w:tc>
        <w:tc>
          <w:tcPr>
            <w:tcW w:w="2530" w:type="dxa"/>
          </w:tcPr>
          <w:p w14:paraId="0F8A2FE1" w14:textId="77777777" w:rsidR="00836DE9" w:rsidRPr="00765D5D" w:rsidRDefault="00836DE9" w:rsidP="000B3827">
            <w:pPr>
              <w:pStyle w:val="Tabletext"/>
              <w:ind w:left="0" w:right="0"/>
              <w:rPr>
                <w:iCs/>
                <w:color w:val="auto"/>
              </w:rPr>
            </w:pPr>
            <w:r w:rsidRPr="00765D5D">
              <w:rPr>
                <w:iCs/>
                <w:color w:val="auto"/>
              </w:rPr>
              <w:t>47.7%</w:t>
            </w:r>
          </w:p>
        </w:tc>
        <w:tc>
          <w:tcPr>
            <w:tcW w:w="2070" w:type="dxa"/>
          </w:tcPr>
          <w:p w14:paraId="435B8482" w14:textId="77777777" w:rsidR="00836DE9" w:rsidRPr="00765D5D" w:rsidRDefault="00836DE9" w:rsidP="000B3827">
            <w:pPr>
              <w:pStyle w:val="Tabletext"/>
              <w:ind w:left="0" w:right="0"/>
              <w:rPr>
                <w:iCs/>
                <w:color w:val="auto"/>
              </w:rPr>
            </w:pPr>
            <w:r w:rsidRPr="00765D5D">
              <w:rPr>
                <w:iCs/>
                <w:color w:val="auto"/>
              </w:rPr>
              <w:t>5.9%</w:t>
            </w:r>
          </w:p>
        </w:tc>
      </w:tr>
      <w:tr w:rsidR="00836DE9" w:rsidRPr="00765D5D" w14:paraId="6BB02610" w14:textId="77777777" w:rsidTr="000B3827">
        <w:tc>
          <w:tcPr>
            <w:tcW w:w="4210" w:type="dxa"/>
          </w:tcPr>
          <w:p w14:paraId="31FCFFE0" w14:textId="7359BEEF" w:rsidR="00836DE9" w:rsidRPr="00765D5D" w:rsidRDefault="00272F51" w:rsidP="000B3827">
            <w:pPr>
              <w:pStyle w:val="Tabletext"/>
              <w:ind w:left="0" w:right="0"/>
              <w:jc w:val="right"/>
              <w:rPr>
                <w:iCs/>
                <w:color w:val="auto"/>
              </w:rPr>
            </w:pPr>
            <w:r w:rsidRPr="00765D5D">
              <w:rPr>
                <w:iCs/>
                <w:color w:val="auto"/>
              </w:rPr>
              <w:lastRenderedPageBreak/>
              <w:t>F</w:t>
            </w:r>
            <w:r w:rsidR="00836DE9" w:rsidRPr="00765D5D">
              <w:rPr>
                <w:iCs/>
                <w:color w:val="auto"/>
              </w:rPr>
              <w:t>atigue</w:t>
            </w:r>
          </w:p>
        </w:tc>
        <w:tc>
          <w:tcPr>
            <w:tcW w:w="2530" w:type="dxa"/>
          </w:tcPr>
          <w:p w14:paraId="51F0FBB5" w14:textId="77777777" w:rsidR="00836DE9" w:rsidRPr="00765D5D" w:rsidRDefault="00836DE9" w:rsidP="000B3827">
            <w:pPr>
              <w:pStyle w:val="Tabletext"/>
              <w:ind w:left="0" w:right="0"/>
              <w:rPr>
                <w:iCs/>
                <w:color w:val="auto"/>
              </w:rPr>
            </w:pPr>
            <w:r w:rsidRPr="00765D5D">
              <w:rPr>
                <w:iCs/>
                <w:color w:val="auto"/>
              </w:rPr>
              <w:t>35.4%</w:t>
            </w:r>
          </w:p>
        </w:tc>
        <w:tc>
          <w:tcPr>
            <w:tcW w:w="2070" w:type="dxa"/>
          </w:tcPr>
          <w:p w14:paraId="24F52599" w14:textId="77777777" w:rsidR="00836DE9" w:rsidRPr="00765D5D" w:rsidRDefault="00836DE9" w:rsidP="000B3827">
            <w:pPr>
              <w:pStyle w:val="Tabletext"/>
              <w:ind w:left="0" w:right="0"/>
              <w:rPr>
                <w:iCs/>
                <w:color w:val="auto"/>
              </w:rPr>
            </w:pPr>
            <w:r w:rsidRPr="00765D5D">
              <w:rPr>
                <w:iCs/>
                <w:color w:val="auto"/>
              </w:rPr>
              <w:t>9.3%</w:t>
            </w:r>
          </w:p>
        </w:tc>
      </w:tr>
      <w:tr w:rsidR="00836DE9" w:rsidRPr="00765D5D" w14:paraId="6BBE1F5B" w14:textId="77777777" w:rsidTr="000B3827">
        <w:tc>
          <w:tcPr>
            <w:tcW w:w="4210" w:type="dxa"/>
          </w:tcPr>
          <w:p w14:paraId="5FB11897" w14:textId="7CE2EEEB" w:rsidR="00836DE9" w:rsidRPr="000B3827" w:rsidRDefault="00836DE9" w:rsidP="000B3827">
            <w:pPr>
              <w:pStyle w:val="Tabletext"/>
              <w:ind w:left="0" w:right="0"/>
              <w:jc w:val="right"/>
              <w:rPr>
                <w:b/>
                <w:bCs/>
                <w:color w:val="auto"/>
              </w:rPr>
            </w:pPr>
            <w:r w:rsidRPr="000B3827">
              <w:rPr>
                <w:b/>
                <w:bCs/>
              </w:rPr>
              <w:t xml:space="preserve">Any </w:t>
            </w:r>
            <w:r w:rsidR="00272F51" w:rsidRPr="000B3827">
              <w:rPr>
                <w:b/>
                <w:bCs/>
              </w:rPr>
              <w:t>adverse drug reaction</w:t>
            </w:r>
          </w:p>
        </w:tc>
        <w:tc>
          <w:tcPr>
            <w:tcW w:w="2530" w:type="dxa"/>
          </w:tcPr>
          <w:p w14:paraId="28093E89" w14:textId="77777777" w:rsidR="00836DE9" w:rsidRPr="00765D5D" w:rsidRDefault="00836DE9" w:rsidP="000B3827">
            <w:pPr>
              <w:pStyle w:val="Tabletext"/>
              <w:ind w:left="0" w:right="0"/>
              <w:rPr>
                <w:iCs/>
                <w:color w:val="auto"/>
              </w:rPr>
            </w:pPr>
            <w:r w:rsidRPr="00765D5D">
              <w:rPr>
                <w:iCs/>
                <w:color w:val="auto"/>
              </w:rPr>
              <w:t>95.4%</w:t>
            </w:r>
          </w:p>
        </w:tc>
        <w:tc>
          <w:tcPr>
            <w:tcW w:w="2070" w:type="dxa"/>
          </w:tcPr>
          <w:p w14:paraId="05B0D3E8" w14:textId="77777777" w:rsidR="00836DE9" w:rsidRPr="00765D5D" w:rsidRDefault="00836DE9" w:rsidP="000B3827">
            <w:pPr>
              <w:pStyle w:val="Tabletext"/>
              <w:ind w:left="0" w:right="0"/>
              <w:rPr>
                <w:iCs/>
                <w:color w:val="auto"/>
              </w:rPr>
            </w:pPr>
            <w:r w:rsidRPr="00765D5D">
              <w:rPr>
                <w:iCs/>
                <w:color w:val="auto"/>
              </w:rPr>
              <w:t>80.9%</w:t>
            </w:r>
          </w:p>
        </w:tc>
      </w:tr>
      <w:tr w:rsidR="00836DE9" w:rsidRPr="00765D5D" w14:paraId="0FC1E7C3" w14:textId="77777777" w:rsidTr="000B3827">
        <w:tc>
          <w:tcPr>
            <w:tcW w:w="4210" w:type="dxa"/>
          </w:tcPr>
          <w:p w14:paraId="77C5C91C" w14:textId="28F4A748" w:rsidR="00836DE9" w:rsidRPr="000B3827" w:rsidRDefault="00272F51" w:rsidP="000B3827">
            <w:pPr>
              <w:pStyle w:val="Tabletext"/>
              <w:ind w:left="0" w:right="0"/>
              <w:rPr>
                <w:b/>
                <w:bCs/>
                <w:i/>
                <w:color w:val="auto"/>
              </w:rPr>
            </w:pPr>
            <w:r w:rsidRPr="000B3827">
              <w:rPr>
                <w:b/>
                <w:bCs/>
                <w:i/>
              </w:rPr>
              <w:t xml:space="preserve">Treatment-emergent adverse event </w:t>
            </w:r>
            <w:r w:rsidR="00836DE9" w:rsidRPr="000B3827">
              <w:rPr>
                <w:b/>
                <w:bCs/>
                <w:i/>
              </w:rPr>
              <w:t xml:space="preserve">leading to dose modification </w:t>
            </w:r>
          </w:p>
        </w:tc>
        <w:tc>
          <w:tcPr>
            <w:tcW w:w="2530" w:type="dxa"/>
          </w:tcPr>
          <w:p w14:paraId="79C13C77" w14:textId="77777777" w:rsidR="00836DE9" w:rsidRPr="00765D5D" w:rsidRDefault="00836DE9" w:rsidP="000B3827">
            <w:pPr>
              <w:pStyle w:val="Tabletext"/>
              <w:ind w:left="0" w:right="0"/>
              <w:rPr>
                <w:iCs/>
                <w:color w:val="auto"/>
              </w:rPr>
            </w:pPr>
            <w:r w:rsidRPr="00765D5D">
              <w:rPr>
                <w:iCs/>
                <w:color w:val="auto"/>
              </w:rPr>
              <w:t>88.7%</w:t>
            </w:r>
          </w:p>
        </w:tc>
        <w:tc>
          <w:tcPr>
            <w:tcW w:w="2070" w:type="dxa"/>
          </w:tcPr>
          <w:p w14:paraId="0539A6D5" w14:textId="77777777" w:rsidR="00836DE9" w:rsidRPr="00765D5D" w:rsidRDefault="00836DE9" w:rsidP="000B3827">
            <w:pPr>
              <w:pStyle w:val="Tabletext"/>
              <w:ind w:left="0" w:right="0"/>
              <w:rPr>
                <w:iCs/>
                <w:color w:val="auto"/>
              </w:rPr>
            </w:pPr>
            <w:r w:rsidRPr="00765D5D">
              <w:rPr>
                <w:iCs/>
                <w:color w:val="auto"/>
              </w:rPr>
              <w:t>76.5%</w:t>
            </w:r>
          </w:p>
        </w:tc>
      </w:tr>
      <w:tr w:rsidR="00836DE9" w:rsidRPr="00765D5D" w14:paraId="52199566" w14:textId="77777777" w:rsidTr="000B3827">
        <w:tc>
          <w:tcPr>
            <w:tcW w:w="4210" w:type="dxa"/>
          </w:tcPr>
          <w:p w14:paraId="1CE4E807" w14:textId="4CC23D03" w:rsidR="00836DE9" w:rsidRPr="000B3827" w:rsidRDefault="00272F51" w:rsidP="000B3827">
            <w:pPr>
              <w:pStyle w:val="Tabletext"/>
              <w:ind w:left="0" w:right="0"/>
              <w:rPr>
                <w:b/>
                <w:bCs/>
                <w:i/>
                <w:color w:val="auto"/>
              </w:rPr>
            </w:pPr>
            <w:r w:rsidRPr="000B3827">
              <w:rPr>
                <w:b/>
                <w:bCs/>
                <w:i/>
              </w:rPr>
              <w:t xml:space="preserve">Treatment-emergent adverse event </w:t>
            </w:r>
            <w:r w:rsidR="00836DE9" w:rsidRPr="000B3827">
              <w:rPr>
                <w:b/>
                <w:bCs/>
                <w:i/>
              </w:rPr>
              <w:t>leading to dose reduction</w:t>
            </w:r>
          </w:p>
        </w:tc>
        <w:tc>
          <w:tcPr>
            <w:tcW w:w="2530" w:type="dxa"/>
          </w:tcPr>
          <w:p w14:paraId="14A61343" w14:textId="77777777" w:rsidR="00836DE9" w:rsidRPr="00765D5D" w:rsidRDefault="00836DE9" w:rsidP="000B3827">
            <w:pPr>
              <w:pStyle w:val="Tabletext"/>
              <w:ind w:left="0" w:right="0"/>
              <w:rPr>
                <w:iCs/>
                <w:color w:val="auto"/>
              </w:rPr>
            </w:pPr>
            <w:r w:rsidRPr="00765D5D">
              <w:rPr>
                <w:iCs/>
                <w:color w:val="auto"/>
              </w:rPr>
              <w:t>72.3%</w:t>
            </w:r>
          </w:p>
        </w:tc>
        <w:tc>
          <w:tcPr>
            <w:tcW w:w="2070" w:type="dxa"/>
          </w:tcPr>
          <w:p w14:paraId="423DA617" w14:textId="77777777" w:rsidR="00836DE9" w:rsidRPr="00765D5D" w:rsidRDefault="00836DE9" w:rsidP="000B3827">
            <w:pPr>
              <w:pStyle w:val="Tabletext"/>
              <w:ind w:left="0" w:right="0"/>
              <w:rPr>
                <w:iCs/>
                <w:color w:val="auto"/>
              </w:rPr>
            </w:pPr>
            <w:r w:rsidRPr="00765D5D">
              <w:rPr>
                <w:iCs/>
                <w:color w:val="auto"/>
              </w:rPr>
              <w:t>51.0%</w:t>
            </w:r>
          </w:p>
        </w:tc>
      </w:tr>
      <w:tr w:rsidR="00836DE9" w:rsidRPr="00765D5D" w14:paraId="5B4F77E7" w14:textId="77777777" w:rsidTr="000B3827">
        <w:tc>
          <w:tcPr>
            <w:tcW w:w="4210" w:type="dxa"/>
          </w:tcPr>
          <w:p w14:paraId="3A854A1D" w14:textId="52AB7D59" w:rsidR="00836DE9" w:rsidRPr="000B3827" w:rsidRDefault="00272F51" w:rsidP="000B3827">
            <w:pPr>
              <w:pStyle w:val="Tabletext"/>
              <w:ind w:left="0" w:right="0"/>
              <w:rPr>
                <w:b/>
                <w:bCs/>
                <w:i/>
                <w:color w:val="auto"/>
              </w:rPr>
            </w:pPr>
            <w:r w:rsidRPr="000B3827">
              <w:rPr>
                <w:b/>
                <w:bCs/>
                <w:i/>
              </w:rPr>
              <w:t>Treatment-emergent adverse event</w:t>
            </w:r>
            <w:r w:rsidR="00836DE9" w:rsidRPr="000B3827">
              <w:rPr>
                <w:b/>
                <w:bCs/>
                <w:i/>
              </w:rPr>
              <w:t xml:space="preserve"> leading to treatment discontinuation</w:t>
            </w:r>
          </w:p>
        </w:tc>
        <w:tc>
          <w:tcPr>
            <w:tcW w:w="2530" w:type="dxa"/>
          </w:tcPr>
          <w:p w14:paraId="26790F22" w14:textId="77777777" w:rsidR="00836DE9" w:rsidRPr="00765D5D" w:rsidRDefault="00836DE9" w:rsidP="000B3827">
            <w:pPr>
              <w:pStyle w:val="Tabletext"/>
              <w:ind w:left="0" w:right="0"/>
              <w:rPr>
                <w:iCs/>
                <w:color w:val="auto"/>
              </w:rPr>
            </w:pPr>
            <w:r w:rsidRPr="00765D5D">
              <w:rPr>
                <w:iCs/>
                <w:color w:val="auto"/>
              </w:rPr>
              <w:t>21.0%</w:t>
            </w:r>
          </w:p>
        </w:tc>
        <w:tc>
          <w:tcPr>
            <w:tcW w:w="2070" w:type="dxa"/>
          </w:tcPr>
          <w:p w14:paraId="0D46419A" w14:textId="77777777" w:rsidR="00836DE9" w:rsidRPr="00765D5D" w:rsidRDefault="00836DE9" w:rsidP="000B3827">
            <w:pPr>
              <w:pStyle w:val="Tabletext"/>
              <w:ind w:left="0" w:right="0"/>
              <w:rPr>
                <w:iCs/>
                <w:color w:val="auto"/>
              </w:rPr>
            </w:pPr>
            <w:r w:rsidRPr="00765D5D">
              <w:rPr>
                <w:iCs/>
                <w:color w:val="auto"/>
              </w:rPr>
              <w:t>15.7%</w:t>
            </w:r>
          </w:p>
        </w:tc>
      </w:tr>
      <w:tr w:rsidR="00836DE9" w:rsidRPr="00765D5D" w14:paraId="3C677ACF" w14:textId="77777777" w:rsidTr="000B3827">
        <w:tc>
          <w:tcPr>
            <w:tcW w:w="4210" w:type="dxa"/>
          </w:tcPr>
          <w:p w14:paraId="12B7B349" w14:textId="17F49055" w:rsidR="00836DE9" w:rsidRPr="000B3827" w:rsidRDefault="00836DE9" w:rsidP="000B3827">
            <w:pPr>
              <w:pStyle w:val="Tabletext"/>
              <w:ind w:left="0" w:right="0"/>
              <w:rPr>
                <w:b/>
                <w:iCs/>
                <w:color w:val="auto"/>
              </w:rPr>
            </w:pPr>
            <w:r w:rsidRPr="000B3827">
              <w:rPr>
                <w:b/>
                <w:iCs/>
              </w:rPr>
              <w:t xml:space="preserve">Fatal </w:t>
            </w:r>
            <w:r w:rsidR="00272F51" w:rsidRPr="000B3827">
              <w:rPr>
                <w:b/>
                <w:iCs/>
              </w:rPr>
              <w:t>adverse event</w:t>
            </w:r>
          </w:p>
        </w:tc>
        <w:tc>
          <w:tcPr>
            <w:tcW w:w="2530" w:type="dxa"/>
          </w:tcPr>
          <w:p w14:paraId="2C65AD3F" w14:textId="77777777" w:rsidR="00836DE9" w:rsidRPr="00765D5D" w:rsidRDefault="00836DE9" w:rsidP="000B3827">
            <w:pPr>
              <w:pStyle w:val="Tabletext"/>
              <w:ind w:left="0" w:right="0"/>
              <w:rPr>
                <w:iCs/>
                <w:color w:val="auto"/>
              </w:rPr>
            </w:pPr>
            <w:r w:rsidRPr="00765D5D">
              <w:rPr>
                <w:iCs/>
                <w:color w:val="auto"/>
              </w:rPr>
              <w:t>6.2%</w:t>
            </w:r>
          </w:p>
        </w:tc>
        <w:tc>
          <w:tcPr>
            <w:tcW w:w="2070" w:type="dxa"/>
          </w:tcPr>
          <w:p w14:paraId="53B4066E" w14:textId="77777777" w:rsidR="00836DE9" w:rsidRPr="00765D5D" w:rsidRDefault="00836DE9" w:rsidP="000B3827">
            <w:pPr>
              <w:pStyle w:val="Tabletext"/>
              <w:ind w:left="0" w:right="0"/>
              <w:rPr>
                <w:iCs/>
                <w:color w:val="auto"/>
              </w:rPr>
            </w:pPr>
            <w:r w:rsidRPr="00765D5D">
              <w:rPr>
                <w:iCs/>
                <w:color w:val="auto"/>
              </w:rPr>
              <w:t>5.4%</w:t>
            </w:r>
          </w:p>
        </w:tc>
      </w:tr>
      <w:tr w:rsidR="00836DE9" w:rsidRPr="00765D5D" w14:paraId="555ABEF3" w14:textId="77777777" w:rsidTr="000B3827">
        <w:tc>
          <w:tcPr>
            <w:tcW w:w="8810" w:type="dxa"/>
            <w:gridSpan w:val="3"/>
          </w:tcPr>
          <w:p w14:paraId="68DF30A9" w14:textId="09557D53" w:rsidR="00836DE9" w:rsidRPr="00765D5D" w:rsidRDefault="00836DE9" w:rsidP="000B3827">
            <w:pPr>
              <w:pStyle w:val="Tabletext"/>
              <w:ind w:left="0" w:right="0"/>
              <w:rPr>
                <w:b/>
                <w:i/>
                <w:color w:val="auto"/>
              </w:rPr>
            </w:pPr>
            <w:r w:rsidRPr="00765D5D">
              <w:rPr>
                <w:b/>
                <w:i/>
                <w:color w:val="auto"/>
              </w:rPr>
              <w:t xml:space="preserve">Serious </w:t>
            </w:r>
            <w:r w:rsidR="00272F51">
              <w:rPr>
                <w:b/>
                <w:i/>
                <w:color w:val="auto"/>
              </w:rPr>
              <w:t>a</w:t>
            </w:r>
            <w:r w:rsidRPr="00765D5D">
              <w:rPr>
                <w:b/>
                <w:i/>
                <w:color w:val="auto"/>
              </w:rPr>
              <w:t xml:space="preserve">dverse </w:t>
            </w:r>
            <w:r w:rsidR="00272F51">
              <w:rPr>
                <w:b/>
                <w:i/>
                <w:color w:val="auto"/>
              </w:rPr>
              <w:t>e</w:t>
            </w:r>
            <w:r w:rsidRPr="00765D5D">
              <w:rPr>
                <w:b/>
                <w:i/>
                <w:color w:val="auto"/>
              </w:rPr>
              <w:t>vent</w:t>
            </w:r>
            <w:r w:rsidR="00272F51">
              <w:rPr>
                <w:b/>
                <w:i/>
                <w:color w:val="auto"/>
              </w:rPr>
              <w:t>s</w:t>
            </w:r>
          </w:p>
        </w:tc>
      </w:tr>
      <w:tr w:rsidR="00836DE9" w:rsidRPr="00765D5D" w14:paraId="50CC64BB" w14:textId="77777777" w:rsidTr="000B3827">
        <w:tc>
          <w:tcPr>
            <w:tcW w:w="4210" w:type="dxa"/>
          </w:tcPr>
          <w:p w14:paraId="155C5E46" w14:textId="2FB5A189" w:rsidR="00836DE9" w:rsidRPr="00765D5D" w:rsidRDefault="00836DE9" w:rsidP="000B3827">
            <w:pPr>
              <w:pStyle w:val="Tabletext"/>
              <w:ind w:left="0" w:right="0"/>
              <w:rPr>
                <w:b/>
                <w:iCs/>
                <w:color w:val="auto"/>
              </w:rPr>
            </w:pPr>
            <w:r w:rsidRPr="00765D5D">
              <w:rPr>
                <w:b/>
                <w:iCs/>
                <w:color w:val="auto"/>
              </w:rPr>
              <w:t xml:space="preserve">Any </w:t>
            </w:r>
            <w:r w:rsidR="00272F51">
              <w:rPr>
                <w:b/>
                <w:iCs/>
                <w:color w:val="auto"/>
              </w:rPr>
              <w:t>serious adverse event</w:t>
            </w:r>
          </w:p>
        </w:tc>
        <w:tc>
          <w:tcPr>
            <w:tcW w:w="2530" w:type="dxa"/>
          </w:tcPr>
          <w:p w14:paraId="13996FC9" w14:textId="77777777" w:rsidR="00836DE9" w:rsidRPr="00765D5D" w:rsidRDefault="00836DE9" w:rsidP="000B3827">
            <w:pPr>
              <w:pStyle w:val="Tabletext"/>
              <w:ind w:left="0" w:right="0"/>
              <w:rPr>
                <w:iCs/>
                <w:color w:val="auto"/>
              </w:rPr>
            </w:pPr>
            <w:r w:rsidRPr="00765D5D">
              <w:rPr>
                <w:iCs/>
                <w:color w:val="auto"/>
              </w:rPr>
              <w:t>51.8%</w:t>
            </w:r>
          </w:p>
        </w:tc>
        <w:tc>
          <w:tcPr>
            <w:tcW w:w="2070" w:type="dxa"/>
          </w:tcPr>
          <w:p w14:paraId="00622905" w14:textId="77777777" w:rsidR="00836DE9" w:rsidRPr="00765D5D" w:rsidRDefault="00836DE9" w:rsidP="000B3827">
            <w:pPr>
              <w:pStyle w:val="Tabletext"/>
              <w:ind w:left="0" w:right="0"/>
              <w:rPr>
                <w:iCs/>
                <w:color w:val="auto"/>
              </w:rPr>
            </w:pPr>
            <w:r w:rsidRPr="00765D5D">
              <w:rPr>
                <w:iCs/>
                <w:color w:val="auto"/>
              </w:rPr>
              <w:t>37.7%</w:t>
            </w:r>
          </w:p>
        </w:tc>
      </w:tr>
      <w:tr w:rsidR="00836DE9" w:rsidRPr="00765D5D" w14:paraId="7C12F6FE" w14:textId="77777777" w:rsidTr="000B3827">
        <w:tc>
          <w:tcPr>
            <w:tcW w:w="8810" w:type="dxa"/>
            <w:gridSpan w:val="3"/>
          </w:tcPr>
          <w:p w14:paraId="4C413173" w14:textId="6602CA14" w:rsidR="00836DE9" w:rsidRPr="00765D5D" w:rsidRDefault="00272F51" w:rsidP="000B3827">
            <w:pPr>
              <w:pStyle w:val="Tabletext"/>
              <w:ind w:left="0" w:right="0"/>
              <w:rPr>
                <w:b/>
                <w:i/>
                <w:color w:val="auto"/>
              </w:rPr>
            </w:pPr>
            <w:r>
              <w:rPr>
                <w:b/>
                <w:i/>
                <w:color w:val="auto"/>
              </w:rPr>
              <w:t>Serious adverse events</w:t>
            </w:r>
            <w:r w:rsidRPr="00765D5D">
              <w:rPr>
                <w:b/>
                <w:i/>
                <w:color w:val="auto"/>
              </w:rPr>
              <w:t xml:space="preserve"> </w:t>
            </w:r>
            <w:r w:rsidR="00836DE9" w:rsidRPr="00765D5D">
              <w:rPr>
                <w:b/>
                <w:i/>
                <w:color w:val="auto"/>
              </w:rPr>
              <w:t>in &gt;</w:t>
            </w:r>
            <w:r>
              <w:rPr>
                <w:b/>
                <w:i/>
                <w:color w:val="auto"/>
              </w:rPr>
              <w:t xml:space="preserve"> </w:t>
            </w:r>
            <w:r w:rsidR="00836DE9" w:rsidRPr="00765D5D">
              <w:rPr>
                <w:b/>
                <w:i/>
                <w:color w:val="auto"/>
              </w:rPr>
              <w:t>2% of either arm</w:t>
            </w:r>
          </w:p>
        </w:tc>
      </w:tr>
      <w:tr w:rsidR="00836DE9" w:rsidRPr="00765D5D" w14:paraId="5F216BB5" w14:textId="77777777" w:rsidTr="000B3827">
        <w:tc>
          <w:tcPr>
            <w:tcW w:w="4210" w:type="dxa"/>
          </w:tcPr>
          <w:p w14:paraId="7E9A75E4" w14:textId="77777777" w:rsidR="00836DE9" w:rsidRPr="00765D5D" w:rsidRDefault="00836DE9" w:rsidP="000B3827">
            <w:pPr>
              <w:pStyle w:val="Tabletext"/>
              <w:ind w:left="0" w:right="0"/>
              <w:jc w:val="right"/>
              <w:rPr>
                <w:iCs/>
                <w:color w:val="auto"/>
              </w:rPr>
            </w:pPr>
            <w:r w:rsidRPr="00765D5D">
              <w:rPr>
                <w:iCs/>
                <w:color w:val="auto"/>
              </w:rPr>
              <w:t>pneumonia</w:t>
            </w:r>
          </w:p>
        </w:tc>
        <w:tc>
          <w:tcPr>
            <w:tcW w:w="2530" w:type="dxa"/>
          </w:tcPr>
          <w:p w14:paraId="06A9A358" w14:textId="77777777" w:rsidR="00836DE9" w:rsidRPr="00765D5D" w:rsidRDefault="00836DE9" w:rsidP="000B3827">
            <w:pPr>
              <w:pStyle w:val="Tabletext"/>
              <w:ind w:left="0" w:right="0"/>
              <w:rPr>
                <w:iCs/>
                <w:color w:val="auto"/>
              </w:rPr>
            </w:pPr>
            <w:r w:rsidRPr="00765D5D">
              <w:rPr>
                <w:iCs/>
                <w:color w:val="auto"/>
              </w:rPr>
              <w:t>14.4%</w:t>
            </w:r>
          </w:p>
        </w:tc>
        <w:tc>
          <w:tcPr>
            <w:tcW w:w="2070" w:type="dxa"/>
          </w:tcPr>
          <w:p w14:paraId="34EC0FA8" w14:textId="77777777" w:rsidR="00836DE9" w:rsidRPr="00765D5D" w:rsidRDefault="00836DE9" w:rsidP="000B3827">
            <w:pPr>
              <w:pStyle w:val="Tabletext"/>
              <w:ind w:left="0" w:right="0"/>
              <w:rPr>
                <w:iCs/>
                <w:color w:val="auto"/>
              </w:rPr>
            </w:pPr>
            <w:r w:rsidRPr="00765D5D">
              <w:rPr>
                <w:iCs/>
                <w:color w:val="auto"/>
              </w:rPr>
              <w:t>12.7%</w:t>
            </w:r>
          </w:p>
        </w:tc>
      </w:tr>
      <w:tr w:rsidR="00836DE9" w:rsidRPr="00765D5D" w14:paraId="71528603" w14:textId="77777777" w:rsidTr="000B3827">
        <w:tc>
          <w:tcPr>
            <w:tcW w:w="4210" w:type="dxa"/>
          </w:tcPr>
          <w:p w14:paraId="202DEA21" w14:textId="77777777" w:rsidR="00836DE9" w:rsidRPr="00765D5D" w:rsidRDefault="00836DE9" w:rsidP="000B3827">
            <w:pPr>
              <w:pStyle w:val="Tabletext"/>
              <w:ind w:left="0" w:right="0"/>
              <w:jc w:val="right"/>
              <w:rPr>
                <w:iCs/>
                <w:color w:val="auto"/>
              </w:rPr>
            </w:pPr>
            <w:r w:rsidRPr="00765D5D">
              <w:rPr>
                <w:iCs/>
                <w:color w:val="auto"/>
              </w:rPr>
              <w:t>sepsis</w:t>
            </w:r>
          </w:p>
        </w:tc>
        <w:tc>
          <w:tcPr>
            <w:tcW w:w="2530" w:type="dxa"/>
          </w:tcPr>
          <w:p w14:paraId="1C7BB2A1" w14:textId="77777777" w:rsidR="00836DE9" w:rsidRPr="00765D5D" w:rsidRDefault="00836DE9" w:rsidP="000B3827">
            <w:pPr>
              <w:pStyle w:val="Tabletext"/>
              <w:ind w:left="0" w:right="0"/>
              <w:rPr>
                <w:iCs/>
                <w:color w:val="auto"/>
              </w:rPr>
            </w:pPr>
            <w:r w:rsidRPr="00765D5D">
              <w:rPr>
                <w:iCs/>
                <w:color w:val="auto"/>
              </w:rPr>
              <w:t>4.1%</w:t>
            </w:r>
          </w:p>
        </w:tc>
        <w:tc>
          <w:tcPr>
            <w:tcW w:w="2070" w:type="dxa"/>
          </w:tcPr>
          <w:p w14:paraId="50809EA2" w14:textId="77777777" w:rsidR="00836DE9" w:rsidRPr="00765D5D" w:rsidRDefault="00836DE9" w:rsidP="000B3827">
            <w:pPr>
              <w:pStyle w:val="Tabletext"/>
              <w:ind w:left="0" w:right="0"/>
              <w:rPr>
                <w:iCs/>
                <w:color w:val="auto"/>
              </w:rPr>
            </w:pPr>
            <w:r w:rsidRPr="00765D5D">
              <w:rPr>
                <w:iCs/>
                <w:color w:val="auto"/>
              </w:rPr>
              <w:t>1.0%</w:t>
            </w:r>
          </w:p>
        </w:tc>
      </w:tr>
      <w:tr w:rsidR="00836DE9" w:rsidRPr="00765D5D" w14:paraId="522453C5" w14:textId="77777777" w:rsidTr="000B3827">
        <w:tc>
          <w:tcPr>
            <w:tcW w:w="4210" w:type="dxa"/>
          </w:tcPr>
          <w:p w14:paraId="05EC2724" w14:textId="77777777" w:rsidR="00836DE9" w:rsidRPr="00765D5D" w:rsidRDefault="00836DE9" w:rsidP="000B3827">
            <w:pPr>
              <w:pStyle w:val="Tabletext"/>
              <w:ind w:left="0" w:right="0"/>
              <w:jc w:val="right"/>
              <w:rPr>
                <w:iCs/>
                <w:color w:val="auto"/>
              </w:rPr>
            </w:pPr>
            <w:r w:rsidRPr="00765D5D">
              <w:rPr>
                <w:iCs/>
                <w:color w:val="auto"/>
              </w:rPr>
              <w:t>anaemia</w:t>
            </w:r>
          </w:p>
        </w:tc>
        <w:tc>
          <w:tcPr>
            <w:tcW w:w="2530" w:type="dxa"/>
          </w:tcPr>
          <w:p w14:paraId="4FA641E8" w14:textId="77777777" w:rsidR="00836DE9" w:rsidRPr="00765D5D" w:rsidRDefault="00836DE9" w:rsidP="000B3827">
            <w:pPr>
              <w:pStyle w:val="Tabletext"/>
              <w:ind w:left="0" w:right="0"/>
              <w:rPr>
                <w:iCs/>
                <w:color w:val="auto"/>
              </w:rPr>
            </w:pPr>
            <w:r w:rsidRPr="00765D5D">
              <w:rPr>
                <w:iCs/>
                <w:color w:val="auto"/>
              </w:rPr>
              <w:t>2.6%</w:t>
            </w:r>
          </w:p>
        </w:tc>
        <w:tc>
          <w:tcPr>
            <w:tcW w:w="2070" w:type="dxa"/>
          </w:tcPr>
          <w:p w14:paraId="383B331B" w14:textId="77777777" w:rsidR="00836DE9" w:rsidRPr="00765D5D" w:rsidRDefault="00836DE9" w:rsidP="000B3827">
            <w:pPr>
              <w:pStyle w:val="Tabletext"/>
              <w:ind w:left="0" w:right="0"/>
              <w:rPr>
                <w:iCs/>
                <w:color w:val="auto"/>
              </w:rPr>
            </w:pPr>
            <w:r w:rsidRPr="00765D5D">
              <w:rPr>
                <w:iCs/>
                <w:color w:val="auto"/>
              </w:rPr>
              <w:t>1.5%</w:t>
            </w:r>
          </w:p>
        </w:tc>
      </w:tr>
      <w:tr w:rsidR="00836DE9" w:rsidRPr="00765D5D" w14:paraId="36F07DB8" w14:textId="77777777" w:rsidTr="000B3827">
        <w:tc>
          <w:tcPr>
            <w:tcW w:w="4210" w:type="dxa"/>
          </w:tcPr>
          <w:p w14:paraId="56AE98E9" w14:textId="77777777" w:rsidR="00836DE9" w:rsidRPr="00765D5D" w:rsidRDefault="00836DE9" w:rsidP="000B3827">
            <w:pPr>
              <w:pStyle w:val="Tabletext"/>
              <w:ind w:left="0" w:right="0"/>
              <w:jc w:val="right"/>
              <w:rPr>
                <w:iCs/>
                <w:color w:val="auto"/>
              </w:rPr>
            </w:pPr>
            <w:r w:rsidRPr="00765D5D">
              <w:rPr>
                <w:iCs/>
                <w:color w:val="auto"/>
              </w:rPr>
              <w:t>vomiting</w:t>
            </w:r>
          </w:p>
        </w:tc>
        <w:tc>
          <w:tcPr>
            <w:tcW w:w="2530" w:type="dxa"/>
          </w:tcPr>
          <w:p w14:paraId="032D1583" w14:textId="77777777" w:rsidR="00836DE9" w:rsidRPr="00765D5D" w:rsidRDefault="00836DE9" w:rsidP="000B3827">
            <w:pPr>
              <w:pStyle w:val="Tabletext"/>
              <w:ind w:left="0" w:right="0"/>
              <w:rPr>
                <w:iCs/>
                <w:color w:val="auto"/>
              </w:rPr>
            </w:pPr>
            <w:r w:rsidRPr="00765D5D">
              <w:rPr>
                <w:iCs/>
                <w:color w:val="auto"/>
              </w:rPr>
              <w:t>3.6%</w:t>
            </w:r>
          </w:p>
        </w:tc>
        <w:tc>
          <w:tcPr>
            <w:tcW w:w="2070" w:type="dxa"/>
          </w:tcPr>
          <w:p w14:paraId="739F0785" w14:textId="77777777" w:rsidR="00836DE9" w:rsidRPr="00765D5D" w:rsidRDefault="00836DE9" w:rsidP="000B3827">
            <w:pPr>
              <w:pStyle w:val="Tabletext"/>
              <w:ind w:left="0" w:right="0"/>
              <w:rPr>
                <w:iCs/>
                <w:color w:val="auto"/>
              </w:rPr>
            </w:pPr>
            <w:r w:rsidRPr="00765D5D">
              <w:rPr>
                <w:iCs/>
                <w:color w:val="auto"/>
              </w:rPr>
              <w:t>0</w:t>
            </w:r>
          </w:p>
        </w:tc>
      </w:tr>
      <w:tr w:rsidR="00836DE9" w:rsidRPr="00765D5D" w14:paraId="0E5F5232" w14:textId="77777777" w:rsidTr="000B3827">
        <w:tc>
          <w:tcPr>
            <w:tcW w:w="4210" w:type="dxa"/>
          </w:tcPr>
          <w:p w14:paraId="4313C4C0" w14:textId="77777777" w:rsidR="00836DE9" w:rsidRPr="00765D5D" w:rsidRDefault="00836DE9" w:rsidP="000B3827">
            <w:pPr>
              <w:pStyle w:val="Tabletext"/>
              <w:ind w:left="0" w:right="0"/>
              <w:jc w:val="right"/>
              <w:rPr>
                <w:iCs/>
                <w:color w:val="auto"/>
              </w:rPr>
            </w:pPr>
            <w:r w:rsidRPr="00765D5D">
              <w:rPr>
                <w:iCs/>
                <w:color w:val="auto"/>
              </w:rPr>
              <w:t>Lower respiratory tract infection</w:t>
            </w:r>
          </w:p>
        </w:tc>
        <w:tc>
          <w:tcPr>
            <w:tcW w:w="2530" w:type="dxa"/>
          </w:tcPr>
          <w:p w14:paraId="686FC979" w14:textId="77777777" w:rsidR="00836DE9" w:rsidRPr="00765D5D" w:rsidRDefault="00836DE9" w:rsidP="000B3827">
            <w:pPr>
              <w:pStyle w:val="Tabletext"/>
              <w:ind w:left="0" w:right="0"/>
              <w:rPr>
                <w:iCs/>
                <w:color w:val="auto"/>
              </w:rPr>
            </w:pPr>
            <w:r w:rsidRPr="00765D5D">
              <w:rPr>
                <w:iCs/>
                <w:color w:val="auto"/>
              </w:rPr>
              <w:t>2.1%</w:t>
            </w:r>
          </w:p>
        </w:tc>
        <w:tc>
          <w:tcPr>
            <w:tcW w:w="2070" w:type="dxa"/>
          </w:tcPr>
          <w:p w14:paraId="23910AFD" w14:textId="77777777" w:rsidR="00836DE9" w:rsidRPr="00765D5D" w:rsidRDefault="00836DE9" w:rsidP="000B3827">
            <w:pPr>
              <w:pStyle w:val="Tabletext"/>
              <w:ind w:left="0" w:right="0"/>
              <w:rPr>
                <w:iCs/>
                <w:color w:val="auto"/>
              </w:rPr>
            </w:pPr>
            <w:r w:rsidRPr="00765D5D">
              <w:rPr>
                <w:iCs/>
                <w:color w:val="auto"/>
              </w:rPr>
              <w:t>1.5%</w:t>
            </w:r>
          </w:p>
        </w:tc>
      </w:tr>
      <w:tr w:rsidR="00836DE9" w:rsidRPr="00765D5D" w14:paraId="142B0D25" w14:textId="77777777" w:rsidTr="000B3827">
        <w:tc>
          <w:tcPr>
            <w:tcW w:w="4210" w:type="dxa"/>
          </w:tcPr>
          <w:p w14:paraId="79E10A2C" w14:textId="77777777" w:rsidR="00836DE9" w:rsidRPr="00765D5D" w:rsidRDefault="00836DE9" w:rsidP="000B3827">
            <w:pPr>
              <w:pStyle w:val="Tabletext"/>
              <w:ind w:left="0" w:right="0"/>
              <w:jc w:val="right"/>
              <w:rPr>
                <w:iCs/>
                <w:color w:val="auto"/>
              </w:rPr>
            </w:pPr>
            <w:r w:rsidRPr="00765D5D">
              <w:rPr>
                <w:iCs/>
                <w:color w:val="auto"/>
              </w:rPr>
              <w:t>Acute kidney injury</w:t>
            </w:r>
          </w:p>
        </w:tc>
        <w:tc>
          <w:tcPr>
            <w:tcW w:w="2530" w:type="dxa"/>
          </w:tcPr>
          <w:p w14:paraId="49503B29" w14:textId="77777777" w:rsidR="00836DE9" w:rsidRPr="00765D5D" w:rsidRDefault="00836DE9" w:rsidP="000B3827">
            <w:pPr>
              <w:pStyle w:val="Tabletext"/>
              <w:ind w:left="0" w:right="0"/>
              <w:rPr>
                <w:iCs/>
                <w:color w:val="auto"/>
              </w:rPr>
            </w:pPr>
            <w:r w:rsidRPr="00765D5D">
              <w:rPr>
                <w:iCs/>
                <w:color w:val="auto"/>
              </w:rPr>
              <w:t>2.1%</w:t>
            </w:r>
          </w:p>
        </w:tc>
        <w:tc>
          <w:tcPr>
            <w:tcW w:w="2070" w:type="dxa"/>
          </w:tcPr>
          <w:p w14:paraId="25FA736E" w14:textId="77777777" w:rsidR="00836DE9" w:rsidRPr="00765D5D" w:rsidRDefault="00836DE9" w:rsidP="000B3827">
            <w:pPr>
              <w:pStyle w:val="Tabletext"/>
              <w:ind w:left="0" w:right="0"/>
              <w:rPr>
                <w:iCs/>
                <w:color w:val="auto"/>
              </w:rPr>
            </w:pPr>
            <w:r w:rsidRPr="00765D5D">
              <w:rPr>
                <w:iCs/>
                <w:color w:val="auto"/>
              </w:rPr>
              <w:t>1.0%</w:t>
            </w:r>
          </w:p>
        </w:tc>
      </w:tr>
      <w:tr w:rsidR="00836DE9" w:rsidRPr="00765D5D" w14:paraId="3EED7904" w14:textId="77777777" w:rsidTr="000B3827">
        <w:tc>
          <w:tcPr>
            <w:tcW w:w="4210" w:type="dxa"/>
          </w:tcPr>
          <w:p w14:paraId="52A3F12C" w14:textId="77777777" w:rsidR="00836DE9" w:rsidRPr="00765D5D" w:rsidRDefault="00836DE9" w:rsidP="000B3827">
            <w:pPr>
              <w:pStyle w:val="Tabletext"/>
              <w:ind w:left="0" w:right="0"/>
              <w:jc w:val="right"/>
              <w:rPr>
                <w:iCs/>
                <w:color w:val="auto"/>
              </w:rPr>
            </w:pPr>
            <w:r w:rsidRPr="00765D5D">
              <w:rPr>
                <w:iCs/>
                <w:color w:val="auto"/>
              </w:rPr>
              <w:t>Atrial fibrillation</w:t>
            </w:r>
          </w:p>
        </w:tc>
        <w:tc>
          <w:tcPr>
            <w:tcW w:w="2530" w:type="dxa"/>
          </w:tcPr>
          <w:p w14:paraId="76680FAE" w14:textId="77777777" w:rsidR="00836DE9" w:rsidRPr="00765D5D" w:rsidRDefault="00836DE9" w:rsidP="000B3827">
            <w:pPr>
              <w:pStyle w:val="Tabletext"/>
              <w:ind w:left="0" w:right="0"/>
              <w:rPr>
                <w:iCs/>
                <w:color w:val="auto"/>
              </w:rPr>
            </w:pPr>
            <w:r w:rsidRPr="00765D5D">
              <w:rPr>
                <w:iCs/>
                <w:color w:val="auto"/>
              </w:rPr>
              <w:t>2.1%</w:t>
            </w:r>
          </w:p>
        </w:tc>
        <w:tc>
          <w:tcPr>
            <w:tcW w:w="2070" w:type="dxa"/>
          </w:tcPr>
          <w:p w14:paraId="112E793B" w14:textId="77777777" w:rsidR="00836DE9" w:rsidRPr="00765D5D" w:rsidRDefault="00836DE9" w:rsidP="000B3827">
            <w:pPr>
              <w:pStyle w:val="Tabletext"/>
              <w:ind w:left="0" w:right="0"/>
              <w:rPr>
                <w:iCs/>
                <w:color w:val="auto"/>
              </w:rPr>
            </w:pPr>
            <w:r w:rsidRPr="00765D5D">
              <w:rPr>
                <w:iCs/>
                <w:color w:val="auto"/>
              </w:rPr>
              <w:t>1.0%</w:t>
            </w:r>
          </w:p>
        </w:tc>
      </w:tr>
      <w:tr w:rsidR="00836DE9" w:rsidRPr="00765D5D" w14:paraId="768314F8" w14:textId="77777777" w:rsidTr="000B3827">
        <w:tc>
          <w:tcPr>
            <w:tcW w:w="4210" w:type="dxa"/>
          </w:tcPr>
          <w:p w14:paraId="37486B37" w14:textId="77777777" w:rsidR="00836DE9" w:rsidRPr="00765D5D" w:rsidRDefault="00836DE9" w:rsidP="000B3827">
            <w:pPr>
              <w:pStyle w:val="Tabletext"/>
              <w:ind w:left="0" w:right="0"/>
              <w:jc w:val="right"/>
              <w:rPr>
                <w:iCs/>
                <w:color w:val="auto"/>
              </w:rPr>
            </w:pPr>
            <w:r w:rsidRPr="00765D5D">
              <w:rPr>
                <w:iCs/>
                <w:color w:val="auto"/>
              </w:rPr>
              <w:t>gastroenteritis</w:t>
            </w:r>
          </w:p>
        </w:tc>
        <w:tc>
          <w:tcPr>
            <w:tcW w:w="2530" w:type="dxa"/>
          </w:tcPr>
          <w:p w14:paraId="7045F1DF" w14:textId="77777777" w:rsidR="00836DE9" w:rsidRPr="00765D5D" w:rsidRDefault="00836DE9" w:rsidP="000B3827">
            <w:pPr>
              <w:pStyle w:val="Tabletext"/>
              <w:ind w:left="0" w:right="0"/>
              <w:rPr>
                <w:iCs/>
                <w:color w:val="auto"/>
              </w:rPr>
            </w:pPr>
            <w:r w:rsidRPr="00765D5D">
              <w:rPr>
                <w:iCs/>
                <w:color w:val="auto"/>
              </w:rPr>
              <w:t>2.1%</w:t>
            </w:r>
          </w:p>
        </w:tc>
        <w:tc>
          <w:tcPr>
            <w:tcW w:w="2070" w:type="dxa"/>
          </w:tcPr>
          <w:p w14:paraId="465CF07F" w14:textId="77777777" w:rsidR="00836DE9" w:rsidRPr="00765D5D" w:rsidRDefault="00836DE9" w:rsidP="000B3827">
            <w:pPr>
              <w:pStyle w:val="Tabletext"/>
              <w:ind w:left="0" w:right="0"/>
              <w:rPr>
                <w:iCs/>
                <w:color w:val="auto"/>
              </w:rPr>
            </w:pPr>
            <w:r w:rsidRPr="00765D5D">
              <w:rPr>
                <w:iCs/>
                <w:color w:val="auto"/>
              </w:rPr>
              <w:t>0.5%</w:t>
            </w:r>
          </w:p>
        </w:tc>
      </w:tr>
      <w:tr w:rsidR="00836DE9" w:rsidRPr="00765D5D" w14:paraId="2F800C58" w14:textId="77777777" w:rsidTr="000B3827">
        <w:tc>
          <w:tcPr>
            <w:tcW w:w="4210" w:type="dxa"/>
          </w:tcPr>
          <w:p w14:paraId="1DC87052" w14:textId="77777777" w:rsidR="00836DE9" w:rsidRPr="00765D5D" w:rsidRDefault="00836DE9" w:rsidP="000B3827">
            <w:pPr>
              <w:pStyle w:val="Tabletext"/>
              <w:ind w:left="0" w:right="0"/>
              <w:jc w:val="right"/>
              <w:rPr>
                <w:iCs/>
                <w:color w:val="auto"/>
              </w:rPr>
            </w:pPr>
            <w:r w:rsidRPr="00765D5D">
              <w:rPr>
                <w:iCs/>
                <w:color w:val="auto"/>
              </w:rPr>
              <w:t>cataract</w:t>
            </w:r>
          </w:p>
        </w:tc>
        <w:tc>
          <w:tcPr>
            <w:tcW w:w="2530" w:type="dxa"/>
          </w:tcPr>
          <w:p w14:paraId="2D89C7F1" w14:textId="77777777" w:rsidR="00836DE9" w:rsidRPr="00765D5D" w:rsidRDefault="00836DE9" w:rsidP="000B3827">
            <w:pPr>
              <w:pStyle w:val="Tabletext"/>
              <w:ind w:left="0" w:right="0"/>
              <w:rPr>
                <w:iCs/>
                <w:color w:val="auto"/>
              </w:rPr>
            </w:pPr>
            <w:r w:rsidRPr="00765D5D">
              <w:rPr>
                <w:iCs/>
                <w:color w:val="auto"/>
              </w:rPr>
              <w:t>2.1%</w:t>
            </w:r>
          </w:p>
        </w:tc>
        <w:tc>
          <w:tcPr>
            <w:tcW w:w="2070" w:type="dxa"/>
          </w:tcPr>
          <w:p w14:paraId="19C82D56" w14:textId="77777777" w:rsidR="00836DE9" w:rsidRPr="00765D5D" w:rsidRDefault="00836DE9" w:rsidP="000B3827">
            <w:pPr>
              <w:pStyle w:val="Tabletext"/>
              <w:ind w:left="0" w:right="0"/>
              <w:rPr>
                <w:iCs/>
                <w:color w:val="auto"/>
              </w:rPr>
            </w:pPr>
            <w:r w:rsidRPr="00765D5D">
              <w:rPr>
                <w:iCs/>
                <w:color w:val="auto"/>
              </w:rPr>
              <w:t>0</w:t>
            </w:r>
          </w:p>
        </w:tc>
      </w:tr>
      <w:tr w:rsidR="00836DE9" w:rsidRPr="00765D5D" w14:paraId="583B6ADF" w14:textId="77777777" w:rsidTr="000B3827">
        <w:tc>
          <w:tcPr>
            <w:tcW w:w="4210" w:type="dxa"/>
          </w:tcPr>
          <w:p w14:paraId="5E66461D" w14:textId="77777777" w:rsidR="00836DE9" w:rsidRPr="00765D5D" w:rsidRDefault="00836DE9" w:rsidP="000B3827">
            <w:pPr>
              <w:pStyle w:val="Tabletext"/>
              <w:ind w:left="0" w:right="0"/>
              <w:jc w:val="right"/>
              <w:rPr>
                <w:iCs/>
                <w:color w:val="auto"/>
              </w:rPr>
            </w:pPr>
            <w:r w:rsidRPr="00765D5D">
              <w:rPr>
                <w:iCs/>
                <w:color w:val="auto"/>
              </w:rPr>
              <w:t>nausea</w:t>
            </w:r>
          </w:p>
        </w:tc>
        <w:tc>
          <w:tcPr>
            <w:tcW w:w="2530" w:type="dxa"/>
          </w:tcPr>
          <w:p w14:paraId="149C9E94" w14:textId="77777777" w:rsidR="00836DE9" w:rsidRPr="00765D5D" w:rsidRDefault="00836DE9" w:rsidP="000B3827">
            <w:pPr>
              <w:pStyle w:val="Tabletext"/>
              <w:ind w:left="0" w:right="0"/>
              <w:rPr>
                <w:iCs/>
                <w:color w:val="auto"/>
              </w:rPr>
            </w:pPr>
            <w:r w:rsidRPr="00765D5D">
              <w:rPr>
                <w:iCs/>
                <w:color w:val="auto"/>
              </w:rPr>
              <w:t>2.1%</w:t>
            </w:r>
          </w:p>
        </w:tc>
        <w:tc>
          <w:tcPr>
            <w:tcW w:w="2070" w:type="dxa"/>
          </w:tcPr>
          <w:p w14:paraId="577C57A6" w14:textId="77777777" w:rsidR="00836DE9" w:rsidRPr="00765D5D" w:rsidRDefault="00836DE9" w:rsidP="000B3827">
            <w:pPr>
              <w:pStyle w:val="Tabletext"/>
              <w:ind w:left="0" w:right="0"/>
              <w:rPr>
                <w:iCs/>
                <w:color w:val="auto"/>
              </w:rPr>
            </w:pPr>
            <w:r w:rsidRPr="00765D5D">
              <w:rPr>
                <w:iCs/>
                <w:color w:val="auto"/>
              </w:rPr>
              <w:t>0</w:t>
            </w:r>
          </w:p>
        </w:tc>
      </w:tr>
      <w:tr w:rsidR="00836DE9" w:rsidRPr="00765D5D" w14:paraId="395D8DC9" w14:textId="77777777" w:rsidTr="000B3827">
        <w:tc>
          <w:tcPr>
            <w:tcW w:w="4210" w:type="dxa"/>
          </w:tcPr>
          <w:p w14:paraId="7A7FD89B" w14:textId="77777777" w:rsidR="00836DE9" w:rsidRPr="00765D5D" w:rsidRDefault="00836DE9" w:rsidP="000B3827">
            <w:pPr>
              <w:pStyle w:val="Tabletext"/>
              <w:ind w:left="0" w:right="0"/>
              <w:jc w:val="right"/>
              <w:rPr>
                <w:iCs/>
                <w:color w:val="auto"/>
              </w:rPr>
            </w:pPr>
            <w:r w:rsidRPr="00765D5D">
              <w:rPr>
                <w:iCs/>
                <w:color w:val="auto"/>
              </w:rPr>
              <w:t>urinary tract infection</w:t>
            </w:r>
          </w:p>
        </w:tc>
        <w:tc>
          <w:tcPr>
            <w:tcW w:w="2530" w:type="dxa"/>
          </w:tcPr>
          <w:p w14:paraId="15A5AC38" w14:textId="77777777" w:rsidR="00836DE9" w:rsidRPr="00765D5D" w:rsidRDefault="00836DE9" w:rsidP="000B3827">
            <w:pPr>
              <w:pStyle w:val="Tabletext"/>
              <w:ind w:left="0" w:right="0"/>
              <w:rPr>
                <w:iCs/>
                <w:color w:val="auto"/>
              </w:rPr>
            </w:pPr>
            <w:r w:rsidRPr="00765D5D">
              <w:rPr>
                <w:iCs/>
                <w:color w:val="auto"/>
              </w:rPr>
              <w:t>2.1%</w:t>
            </w:r>
          </w:p>
        </w:tc>
        <w:tc>
          <w:tcPr>
            <w:tcW w:w="2070" w:type="dxa"/>
          </w:tcPr>
          <w:p w14:paraId="0FCCA834" w14:textId="77777777" w:rsidR="00836DE9" w:rsidRPr="00765D5D" w:rsidRDefault="00836DE9" w:rsidP="000B3827">
            <w:pPr>
              <w:pStyle w:val="Tabletext"/>
              <w:ind w:left="0" w:right="0"/>
              <w:rPr>
                <w:iCs/>
                <w:color w:val="auto"/>
              </w:rPr>
            </w:pPr>
            <w:r w:rsidRPr="00765D5D">
              <w:rPr>
                <w:iCs/>
                <w:color w:val="auto"/>
              </w:rPr>
              <w:t>0</w:t>
            </w:r>
          </w:p>
        </w:tc>
      </w:tr>
    </w:tbl>
    <w:p w14:paraId="49BFD872" w14:textId="311132A4" w:rsidR="00836DE9" w:rsidRDefault="00836DE9" w:rsidP="00836DE9">
      <w:pPr>
        <w:pStyle w:val="TableDescription"/>
      </w:pPr>
      <w:proofErr w:type="spellStart"/>
      <w:r w:rsidRPr="00836DE9">
        <w:t>a</w:t>
      </w:r>
      <w:proofErr w:type="spellEnd"/>
      <w:r w:rsidRPr="00836DE9">
        <w:t xml:space="preserve"> includes dizziness, </w:t>
      </w:r>
      <w:proofErr w:type="spellStart"/>
      <w:r w:rsidRPr="00836DE9">
        <w:t>confusional</w:t>
      </w:r>
      <w:proofErr w:type="spellEnd"/>
      <w:r w:rsidRPr="00836DE9">
        <w:t xml:space="preserve"> state, syncope, amnesia, cognitive disorder, somnolence, delirium, depressed level of consciousness, encephalopathy, and hypersomnia</w:t>
      </w:r>
    </w:p>
    <w:p w14:paraId="05D6A662" w14:textId="140F3BC8" w:rsidR="00836DE9" w:rsidRDefault="00836DE9" w:rsidP="00836DE9">
      <w:r>
        <w:t xml:space="preserve">The </w:t>
      </w:r>
      <w:proofErr w:type="gramStart"/>
      <w:r>
        <w:t>most commonly reported</w:t>
      </w:r>
      <w:proofErr w:type="gramEnd"/>
      <w:r>
        <w:t xml:space="preserve"> </w:t>
      </w:r>
      <w:r w:rsidR="007430FB">
        <w:t>treatment emergence adverse events (</w:t>
      </w:r>
      <w:r>
        <w:t>TEAEs</w:t>
      </w:r>
      <w:r w:rsidR="007430FB">
        <w:t>)</w:t>
      </w:r>
      <w:r>
        <w:t xml:space="preserve"> leading to treatment discontinuation for </w:t>
      </w:r>
      <w:proofErr w:type="spellStart"/>
      <w:r w:rsidR="00B6085E">
        <w:t>selinexor</w:t>
      </w:r>
      <w:proofErr w:type="spellEnd"/>
      <w:r w:rsidR="00B6085E">
        <w:t>, bortezomib and dexamethasone (</w:t>
      </w:r>
      <w:proofErr w:type="spellStart"/>
      <w:r>
        <w:t>SVd</w:t>
      </w:r>
      <w:proofErr w:type="spellEnd"/>
      <w:r w:rsidR="00B6085E">
        <w:t>)</w:t>
      </w:r>
      <w:r>
        <w:t xml:space="preserve"> versus</w:t>
      </w:r>
      <w:r w:rsidR="00B6085E">
        <w:t xml:space="preserve"> bortezomib and dexamethasone (</w:t>
      </w:r>
      <w:proofErr w:type="spellStart"/>
      <w:r>
        <w:t>Vd</w:t>
      </w:r>
      <w:proofErr w:type="spellEnd"/>
      <w:r w:rsidR="00B6085E">
        <w:t>)</w:t>
      </w:r>
      <w:r>
        <w:t xml:space="preserve"> were peripheral neuropathy (4.6% versus 7.4%) and fatigue (3.6% versus 0.5%).</w:t>
      </w:r>
    </w:p>
    <w:p w14:paraId="16B9A16C" w14:textId="5F9529EE" w:rsidR="00836DE9" w:rsidRDefault="00836DE9" w:rsidP="00836DE9">
      <w:r>
        <w:t xml:space="preserve">Death due to TEAEs: </w:t>
      </w:r>
      <w:proofErr w:type="spellStart"/>
      <w:r>
        <w:t>SVd</w:t>
      </w:r>
      <w:proofErr w:type="spellEnd"/>
      <w:r>
        <w:t xml:space="preserve"> 6.2% versus </w:t>
      </w:r>
      <w:proofErr w:type="spellStart"/>
      <w:r>
        <w:t>Vd</w:t>
      </w:r>
      <w:proofErr w:type="spellEnd"/>
      <w:r>
        <w:t xml:space="preserve"> 5.4%, most commonly causes of death were septic shock (</w:t>
      </w:r>
      <w:proofErr w:type="spellStart"/>
      <w:r>
        <w:t>SVd</w:t>
      </w:r>
      <w:proofErr w:type="spellEnd"/>
      <w:r>
        <w:t xml:space="preserve"> 1.5% versus </w:t>
      </w:r>
      <w:proofErr w:type="spellStart"/>
      <w:r>
        <w:t>Vd</w:t>
      </w:r>
      <w:proofErr w:type="spellEnd"/>
      <w:r>
        <w:t xml:space="preserve"> 0%) and pneumonia (</w:t>
      </w:r>
      <w:proofErr w:type="spellStart"/>
      <w:r>
        <w:t>SVd</w:t>
      </w:r>
      <w:proofErr w:type="spellEnd"/>
      <w:r>
        <w:t xml:space="preserve"> 1% versus </w:t>
      </w:r>
      <w:proofErr w:type="spellStart"/>
      <w:r>
        <w:t>Vd</w:t>
      </w:r>
      <w:proofErr w:type="spellEnd"/>
      <w:r>
        <w:t xml:space="preserve"> 1.5%).</w:t>
      </w:r>
    </w:p>
    <w:p w14:paraId="6A7258F7" w14:textId="77777777" w:rsidR="00836DE9" w:rsidRDefault="00836DE9" w:rsidP="007430FB">
      <w:pPr>
        <w:pStyle w:val="ListBullet"/>
      </w:pPr>
      <w:r>
        <w:lastRenderedPageBreak/>
        <w:t>Fatigue</w:t>
      </w:r>
    </w:p>
    <w:p w14:paraId="3FCBE66E" w14:textId="435116B8" w:rsidR="00836DE9" w:rsidRDefault="007430FB" w:rsidP="007430FB">
      <w:pPr>
        <w:pStyle w:val="ListBullet2"/>
      </w:pPr>
      <w:r>
        <w:t>Adverse events (</w:t>
      </w:r>
      <w:r w:rsidR="00836DE9">
        <w:t>AE</w:t>
      </w:r>
      <w:r w:rsidR="00272F51">
        <w:t>s</w:t>
      </w:r>
      <w:r>
        <w:t>)</w:t>
      </w:r>
      <w:r w:rsidR="00836DE9">
        <w:t xml:space="preserve">: </w:t>
      </w:r>
      <w:proofErr w:type="spellStart"/>
      <w:r w:rsidR="00836DE9">
        <w:t>SVd</w:t>
      </w:r>
      <w:proofErr w:type="spellEnd"/>
      <w:r w:rsidR="00836DE9">
        <w:t xml:space="preserve"> 42.1% versus </w:t>
      </w:r>
      <w:proofErr w:type="spellStart"/>
      <w:r w:rsidR="00836DE9">
        <w:t>Vd</w:t>
      </w:r>
      <w:proofErr w:type="spellEnd"/>
      <w:r w:rsidR="00836DE9">
        <w:t xml:space="preserve"> 18.1% </w:t>
      </w:r>
    </w:p>
    <w:p w14:paraId="0C53D69E" w14:textId="2FE47F61" w:rsidR="00836DE9" w:rsidRDefault="007430FB" w:rsidP="007430FB">
      <w:pPr>
        <w:pStyle w:val="ListBullet2"/>
      </w:pPr>
      <w:r w:rsidRPr="007430FB">
        <w:t xml:space="preserve">Treatment-related adverse events </w:t>
      </w:r>
      <w:r>
        <w:t>(</w:t>
      </w:r>
      <w:r w:rsidR="00836DE9">
        <w:t>TRAEs</w:t>
      </w:r>
      <w:r>
        <w:t>)</w:t>
      </w:r>
      <w:r w:rsidR="00836DE9">
        <w:t xml:space="preserve">: </w:t>
      </w:r>
      <w:proofErr w:type="spellStart"/>
      <w:r w:rsidR="00836DE9">
        <w:t>SVd</w:t>
      </w:r>
      <w:proofErr w:type="spellEnd"/>
      <w:r w:rsidR="00836DE9">
        <w:t xml:space="preserve"> 35.4% versus </w:t>
      </w:r>
      <w:proofErr w:type="spellStart"/>
      <w:r w:rsidR="00836DE9">
        <w:t>Vd</w:t>
      </w:r>
      <w:proofErr w:type="spellEnd"/>
      <w:r w:rsidR="00836DE9">
        <w:t xml:space="preserve"> 18.1% </w:t>
      </w:r>
    </w:p>
    <w:p w14:paraId="075D17E9" w14:textId="271AA8EC" w:rsidR="00836DE9" w:rsidRDefault="007430FB" w:rsidP="007430FB">
      <w:pPr>
        <w:pStyle w:val="ListBullet2"/>
      </w:pPr>
      <w:r>
        <w:t>Serious adverse events (</w:t>
      </w:r>
      <w:r w:rsidR="00836DE9">
        <w:t>SAEs</w:t>
      </w:r>
      <w:r>
        <w:t>)</w:t>
      </w:r>
      <w:r w:rsidR="00836DE9">
        <w:t xml:space="preserve">: </w:t>
      </w:r>
      <w:proofErr w:type="spellStart"/>
      <w:r w:rsidR="00836DE9">
        <w:t>SVd</w:t>
      </w:r>
      <w:proofErr w:type="spellEnd"/>
      <w:r w:rsidR="00836DE9">
        <w:t xml:space="preserve"> 1% versus </w:t>
      </w:r>
      <w:proofErr w:type="spellStart"/>
      <w:r w:rsidR="00836DE9">
        <w:t>Vd</w:t>
      </w:r>
      <w:proofErr w:type="spellEnd"/>
      <w:r w:rsidR="00836DE9">
        <w:t xml:space="preserve"> 0.5%</w:t>
      </w:r>
    </w:p>
    <w:p w14:paraId="196AF514" w14:textId="77777777" w:rsidR="00836DE9" w:rsidRDefault="00836DE9" w:rsidP="007430FB">
      <w:pPr>
        <w:pStyle w:val="ListBullet"/>
      </w:pPr>
      <w:r>
        <w:t>Decreased appetite</w:t>
      </w:r>
    </w:p>
    <w:p w14:paraId="3748B2EB" w14:textId="5CE68629" w:rsidR="00836DE9" w:rsidRDefault="00836DE9" w:rsidP="007430FB">
      <w:pPr>
        <w:pStyle w:val="ListBullet2"/>
      </w:pPr>
      <w:r>
        <w:t xml:space="preserve">AEs: </w:t>
      </w:r>
      <w:proofErr w:type="spellStart"/>
      <w:r>
        <w:t>SVd</w:t>
      </w:r>
      <w:proofErr w:type="spellEnd"/>
      <w:r>
        <w:t xml:space="preserve"> 35.4% versus </w:t>
      </w:r>
      <w:proofErr w:type="spellStart"/>
      <w:r>
        <w:t>Vd</w:t>
      </w:r>
      <w:proofErr w:type="spellEnd"/>
      <w:r>
        <w:t xml:space="preserve"> 5.4%</w:t>
      </w:r>
    </w:p>
    <w:p w14:paraId="7B04B31D" w14:textId="789FDE3D" w:rsidR="00836DE9" w:rsidRDefault="00836DE9" w:rsidP="007430FB">
      <w:pPr>
        <w:pStyle w:val="ListBullet2"/>
      </w:pPr>
      <w:r>
        <w:t xml:space="preserve">TRAEs: </w:t>
      </w:r>
      <w:proofErr w:type="spellStart"/>
      <w:r>
        <w:t>SVd</w:t>
      </w:r>
      <w:proofErr w:type="spellEnd"/>
      <w:r>
        <w:t xml:space="preserve"> 32.3% versus </w:t>
      </w:r>
      <w:proofErr w:type="spellStart"/>
      <w:r>
        <w:t>Vd</w:t>
      </w:r>
      <w:proofErr w:type="spellEnd"/>
      <w:r>
        <w:t xml:space="preserve"> 3.4%</w:t>
      </w:r>
    </w:p>
    <w:p w14:paraId="7E586641" w14:textId="281DD228" w:rsidR="00836DE9" w:rsidRDefault="00836DE9" w:rsidP="007430FB">
      <w:pPr>
        <w:pStyle w:val="ListBullet2"/>
      </w:pPr>
      <w:r>
        <w:t xml:space="preserve">SAEs: </w:t>
      </w:r>
      <w:proofErr w:type="spellStart"/>
      <w:r>
        <w:t>SVd</w:t>
      </w:r>
      <w:proofErr w:type="spellEnd"/>
      <w:r>
        <w:t xml:space="preserve"> 1.0% versus </w:t>
      </w:r>
      <w:proofErr w:type="spellStart"/>
      <w:r>
        <w:t>Vd</w:t>
      </w:r>
      <w:proofErr w:type="spellEnd"/>
      <w:r>
        <w:t xml:space="preserve"> 0%</w:t>
      </w:r>
    </w:p>
    <w:p w14:paraId="2057BC3C" w14:textId="77777777" w:rsidR="00836DE9" w:rsidRDefault="00836DE9" w:rsidP="007430FB">
      <w:pPr>
        <w:pStyle w:val="ListBullet"/>
      </w:pPr>
      <w:r>
        <w:t>Decreased weight</w:t>
      </w:r>
    </w:p>
    <w:p w14:paraId="60DCFD92" w14:textId="69481176" w:rsidR="00836DE9" w:rsidRDefault="00836DE9" w:rsidP="007430FB">
      <w:pPr>
        <w:pStyle w:val="ListBullet2"/>
      </w:pPr>
      <w:r>
        <w:t xml:space="preserve">AEs: </w:t>
      </w:r>
      <w:proofErr w:type="spellStart"/>
      <w:r>
        <w:t>SVd</w:t>
      </w:r>
      <w:proofErr w:type="spellEnd"/>
      <w:r>
        <w:t xml:space="preserve"> 26.2% versus </w:t>
      </w:r>
      <w:proofErr w:type="spellStart"/>
      <w:r>
        <w:t>Vd</w:t>
      </w:r>
      <w:proofErr w:type="spellEnd"/>
      <w:r>
        <w:t xml:space="preserve"> 12.3%, no SAEs</w:t>
      </w:r>
    </w:p>
    <w:p w14:paraId="18F8B796" w14:textId="0CAE1A1E" w:rsidR="00836DE9" w:rsidRDefault="00836DE9" w:rsidP="007430FB">
      <w:pPr>
        <w:pStyle w:val="ListBullet2"/>
      </w:pPr>
      <w:r>
        <w:t xml:space="preserve">TRAEs: </w:t>
      </w:r>
      <w:proofErr w:type="spellStart"/>
      <w:r>
        <w:t>SVd</w:t>
      </w:r>
      <w:proofErr w:type="spellEnd"/>
      <w:r>
        <w:t xml:space="preserve"> 19.5% versus </w:t>
      </w:r>
      <w:proofErr w:type="spellStart"/>
      <w:r>
        <w:t>Vd</w:t>
      </w:r>
      <w:proofErr w:type="spellEnd"/>
      <w:r>
        <w:t xml:space="preserve"> 3.9%</w:t>
      </w:r>
    </w:p>
    <w:p w14:paraId="18A7BE66" w14:textId="77777777" w:rsidR="00836DE9" w:rsidRDefault="00836DE9" w:rsidP="007430FB">
      <w:pPr>
        <w:pStyle w:val="ListBullet"/>
      </w:pPr>
      <w:r>
        <w:t>Nausea</w:t>
      </w:r>
    </w:p>
    <w:p w14:paraId="76401EC7" w14:textId="607A1641" w:rsidR="00836DE9" w:rsidRDefault="00836DE9" w:rsidP="007430FB">
      <w:pPr>
        <w:pStyle w:val="ListBullet2"/>
      </w:pPr>
      <w:r>
        <w:t xml:space="preserve">AEs: </w:t>
      </w:r>
      <w:proofErr w:type="spellStart"/>
      <w:r>
        <w:t>SVd</w:t>
      </w:r>
      <w:proofErr w:type="spellEnd"/>
      <w:r>
        <w:t xml:space="preserve"> 50.3% versus </w:t>
      </w:r>
      <w:proofErr w:type="spellStart"/>
      <w:r>
        <w:t>Vd</w:t>
      </w:r>
      <w:proofErr w:type="spellEnd"/>
      <w:r>
        <w:t xml:space="preserve"> 9.8% </w:t>
      </w:r>
    </w:p>
    <w:p w14:paraId="14E99C53" w14:textId="1AFE3BFC" w:rsidR="00836DE9" w:rsidRDefault="00836DE9" w:rsidP="007430FB">
      <w:pPr>
        <w:pStyle w:val="ListBullet2"/>
      </w:pPr>
      <w:r>
        <w:t xml:space="preserve">TRAEs: </w:t>
      </w:r>
      <w:proofErr w:type="spellStart"/>
      <w:r>
        <w:t>SVd</w:t>
      </w:r>
      <w:proofErr w:type="spellEnd"/>
      <w:r>
        <w:t xml:space="preserve"> 47.7% versus </w:t>
      </w:r>
      <w:proofErr w:type="spellStart"/>
      <w:r>
        <w:t>Vd</w:t>
      </w:r>
      <w:proofErr w:type="spellEnd"/>
      <w:r>
        <w:t xml:space="preserve"> 5.9%</w:t>
      </w:r>
    </w:p>
    <w:p w14:paraId="611EE282" w14:textId="644EEDCC" w:rsidR="00836DE9" w:rsidRDefault="00836DE9" w:rsidP="007430FB">
      <w:pPr>
        <w:pStyle w:val="ListBullet2"/>
      </w:pPr>
      <w:r>
        <w:t xml:space="preserve">SAEs: </w:t>
      </w:r>
      <w:proofErr w:type="spellStart"/>
      <w:r>
        <w:t>SVd</w:t>
      </w:r>
      <w:proofErr w:type="spellEnd"/>
      <w:r>
        <w:t xml:space="preserve"> 2.1% versus </w:t>
      </w:r>
      <w:proofErr w:type="spellStart"/>
      <w:r>
        <w:t>Vd</w:t>
      </w:r>
      <w:proofErr w:type="spellEnd"/>
      <w:r>
        <w:t xml:space="preserve"> 0%</w:t>
      </w:r>
    </w:p>
    <w:p w14:paraId="78E48491" w14:textId="77777777" w:rsidR="00836DE9" w:rsidRDefault="00836DE9" w:rsidP="007430FB">
      <w:pPr>
        <w:pStyle w:val="ListBullet"/>
      </w:pPr>
      <w:r>
        <w:t>Vomiting</w:t>
      </w:r>
    </w:p>
    <w:p w14:paraId="71BEABBA" w14:textId="45D5AF6F" w:rsidR="00836DE9" w:rsidRDefault="00836DE9" w:rsidP="007430FB">
      <w:pPr>
        <w:pStyle w:val="ListBullet2"/>
      </w:pPr>
      <w:r>
        <w:t xml:space="preserve">AEs: </w:t>
      </w:r>
      <w:proofErr w:type="spellStart"/>
      <w:r>
        <w:t>SVd</w:t>
      </w:r>
      <w:proofErr w:type="spellEnd"/>
      <w:r>
        <w:t xml:space="preserve"> 20.5% versus </w:t>
      </w:r>
      <w:proofErr w:type="spellStart"/>
      <w:r>
        <w:t>Vd</w:t>
      </w:r>
      <w:proofErr w:type="spellEnd"/>
      <w:r>
        <w:t xml:space="preserve"> 4.4%</w:t>
      </w:r>
    </w:p>
    <w:p w14:paraId="3ACF04EB" w14:textId="7AA0ED27" w:rsidR="00836DE9" w:rsidRDefault="00836DE9" w:rsidP="007430FB">
      <w:pPr>
        <w:pStyle w:val="ListBullet2"/>
      </w:pPr>
      <w:r>
        <w:t xml:space="preserve">TRAEs: </w:t>
      </w:r>
      <w:proofErr w:type="spellStart"/>
      <w:r>
        <w:t>SVd</w:t>
      </w:r>
      <w:proofErr w:type="spellEnd"/>
      <w:r>
        <w:t xml:space="preserve"> 17.4% versus </w:t>
      </w:r>
      <w:proofErr w:type="spellStart"/>
      <w:r>
        <w:t>Vd</w:t>
      </w:r>
      <w:proofErr w:type="spellEnd"/>
      <w:r>
        <w:t xml:space="preserve"> 2.5%</w:t>
      </w:r>
    </w:p>
    <w:p w14:paraId="32FC7913" w14:textId="28DD89AC" w:rsidR="00836DE9" w:rsidRDefault="00836DE9" w:rsidP="007430FB">
      <w:pPr>
        <w:pStyle w:val="ListBullet2"/>
      </w:pPr>
      <w:r>
        <w:t xml:space="preserve">SAEs: </w:t>
      </w:r>
      <w:proofErr w:type="spellStart"/>
      <w:r>
        <w:t>SVd</w:t>
      </w:r>
      <w:proofErr w:type="spellEnd"/>
      <w:r>
        <w:t xml:space="preserve"> 3.6% versus </w:t>
      </w:r>
      <w:proofErr w:type="spellStart"/>
      <w:r>
        <w:t>Vd</w:t>
      </w:r>
      <w:proofErr w:type="spellEnd"/>
      <w:r>
        <w:t xml:space="preserve"> 0%</w:t>
      </w:r>
    </w:p>
    <w:p w14:paraId="1ABD8F3E" w14:textId="22BCE6C0" w:rsidR="00836DE9" w:rsidRDefault="00836DE9" w:rsidP="007430FB">
      <w:pPr>
        <w:pStyle w:val="ListBullet"/>
      </w:pPr>
      <w:r>
        <w:t xml:space="preserve">Neurological </w:t>
      </w:r>
      <w:r w:rsidR="007430FB">
        <w:t>adverse events</w:t>
      </w:r>
    </w:p>
    <w:p w14:paraId="752CFFFB" w14:textId="0C702FED" w:rsidR="00836DE9" w:rsidRDefault="00836DE9" w:rsidP="007430FB">
      <w:pPr>
        <w:pStyle w:val="ListBullet2"/>
      </w:pPr>
      <w:r>
        <w:t>Most common AEs: dizziness (</w:t>
      </w:r>
      <w:proofErr w:type="spellStart"/>
      <w:r>
        <w:t>SVd</w:t>
      </w:r>
      <w:proofErr w:type="spellEnd"/>
      <w:r>
        <w:t xml:space="preserve"> 12.3% versus </w:t>
      </w:r>
      <w:proofErr w:type="spellStart"/>
      <w:r>
        <w:t>Vd</w:t>
      </w:r>
      <w:proofErr w:type="spellEnd"/>
      <w:r>
        <w:t xml:space="preserve"> 3.9%); </w:t>
      </w:r>
      <w:proofErr w:type="spellStart"/>
      <w:r>
        <w:t>confusional</w:t>
      </w:r>
      <w:proofErr w:type="spellEnd"/>
      <w:r>
        <w:t xml:space="preserve"> state (</w:t>
      </w:r>
      <w:proofErr w:type="spellStart"/>
      <w:r>
        <w:t>SVd</w:t>
      </w:r>
      <w:proofErr w:type="spellEnd"/>
      <w:r>
        <w:t xml:space="preserve"> 8.2% versus </w:t>
      </w:r>
      <w:proofErr w:type="spellStart"/>
      <w:r>
        <w:t>Vd</w:t>
      </w:r>
      <w:proofErr w:type="spellEnd"/>
      <w:r>
        <w:t xml:space="preserve"> 1 %)</w:t>
      </w:r>
    </w:p>
    <w:p w14:paraId="5A6544CE" w14:textId="11E67DEA" w:rsidR="00836DE9" w:rsidRDefault="00836DE9" w:rsidP="007430FB">
      <w:pPr>
        <w:pStyle w:val="ListBullet2"/>
      </w:pPr>
      <w:r>
        <w:t xml:space="preserve">TRAEs: dizziness </w:t>
      </w:r>
      <w:r w:rsidR="00272F51">
        <w:t>(</w:t>
      </w:r>
      <w:proofErr w:type="spellStart"/>
      <w:r>
        <w:t>SVd</w:t>
      </w:r>
      <w:proofErr w:type="spellEnd"/>
      <w:r>
        <w:t xml:space="preserve"> 5.6% versus </w:t>
      </w:r>
      <w:proofErr w:type="spellStart"/>
      <w:r>
        <w:t>Vd</w:t>
      </w:r>
      <w:proofErr w:type="spellEnd"/>
      <w:r>
        <w:t xml:space="preserve"> 1.0%</w:t>
      </w:r>
      <w:r w:rsidR="00272F51">
        <w:t>)</w:t>
      </w:r>
      <w:r>
        <w:t xml:space="preserve">; </w:t>
      </w:r>
      <w:proofErr w:type="spellStart"/>
      <w:r>
        <w:t>confusional</w:t>
      </w:r>
      <w:proofErr w:type="spellEnd"/>
      <w:r>
        <w:t xml:space="preserve"> state </w:t>
      </w:r>
      <w:proofErr w:type="spellStart"/>
      <w:r>
        <w:t>SVd</w:t>
      </w:r>
      <w:proofErr w:type="spellEnd"/>
      <w:r>
        <w:t xml:space="preserve"> </w:t>
      </w:r>
      <w:r w:rsidR="00272F51">
        <w:t>(</w:t>
      </w:r>
      <w:r>
        <w:t xml:space="preserve">5.6% versus </w:t>
      </w:r>
      <w:proofErr w:type="spellStart"/>
      <w:r>
        <w:t>Vd</w:t>
      </w:r>
      <w:proofErr w:type="spellEnd"/>
      <w:r>
        <w:t xml:space="preserve"> 0%</w:t>
      </w:r>
      <w:r w:rsidR="00272F51">
        <w:t>)</w:t>
      </w:r>
      <w:r>
        <w:t xml:space="preserve"> </w:t>
      </w:r>
    </w:p>
    <w:p w14:paraId="7A0D8027" w14:textId="0E7593B5" w:rsidR="00836DE9" w:rsidRDefault="00836DE9" w:rsidP="007430FB">
      <w:pPr>
        <w:pStyle w:val="ListBullet2"/>
      </w:pPr>
      <w:r>
        <w:t xml:space="preserve">SAEs: </w:t>
      </w:r>
      <w:proofErr w:type="spellStart"/>
      <w:r>
        <w:t>SVd</w:t>
      </w:r>
      <w:proofErr w:type="spellEnd"/>
      <w:r>
        <w:t xml:space="preserve"> 1.0% versus. </w:t>
      </w:r>
      <w:proofErr w:type="spellStart"/>
      <w:r>
        <w:t>Vd</w:t>
      </w:r>
      <w:proofErr w:type="spellEnd"/>
      <w:r>
        <w:t xml:space="preserve"> 0.5%, none</w:t>
      </w:r>
      <w:r w:rsidR="007430FB">
        <w:t xml:space="preserve"> was</w:t>
      </w:r>
      <w:r>
        <w:t xml:space="preserve"> fatal</w:t>
      </w:r>
    </w:p>
    <w:p w14:paraId="72FA58E4" w14:textId="19548D1D" w:rsidR="00836DE9" w:rsidRDefault="00836DE9" w:rsidP="007430FB">
      <w:pPr>
        <w:pStyle w:val="ListBullet2"/>
      </w:pPr>
      <w:r>
        <w:t>Grade ≥</w:t>
      </w:r>
      <w:r w:rsidR="007430FB">
        <w:t xml:space="preserve"> </w:t>
      </w:r>
      <w:r>
        <w:t xml:space="preserve">2 </w:t>
      </w:r>
      <w:r w:rsidR="007430FB">
        <w:t>p</w:t>
      </w:r>
      <w:r w:rsidR="007430FB" w:rsidRPr="007430FB">
        <w:t>eripheral neuropathy</w:t>
      </w:r>
      <w:r>
        <w:t xml:space="preserve"> (secondary safety endpoint): </w:t>
      </w:r>
      <w:proofErr w:type="spellStart"/>
      <w:r>
        <w:t>SVd</w:t>
      </w:r>
      <w:proofErr w:type="spellEnd"/>
      <w:r>
        <w:t xml:space="preserve"> arm 21.0% versus </w:t>
      </w:r>
      <w:proofErr w:type="spellStart"/>
      <w:r>
        <w:t>Vd</w:t>
      </w:r>
      <w:proofErr w:type="spellEnd"/>
      <w:r>
        <w:t xml:space="preserve"> 34.3%</w:t>
      </w:r>
    </w:p>
    <w:p w14:paraId="0931256F" w14:textId="10ABFF4A" w:rsidR="00836DE9" w:rsidRDefault="00836DE9" w:rsidP="007430FB">
      <w:pPr>
        <w:pStyle w:val="ListBullet"/>
      </w:pPr>
      <w:r>
        <w:t xml:space="preserve">Ophthalmology </w:t>
      </w:r>
      <w:r w:rsidR="007430FB">
        <w:t>adverse events</w:t>
      </w:r>
    </w:p>
    <w:p w14:paraId="3D75B784" w14:textId="34E7EFEE" w:rsidR="00836DE9" w:rsidRDefault="00836DE9" w:rsidP="007430FB">
      <w:pPr>
        <w:pStyle w:val="ListBullet2"/>
      </w:pPr>
      <w:r>
        <w:t xml:space="preserve">Blurred vision AEs: </w:t>
      </w:r>
      <w:proofErr w:type="spellStart"/>
      <w:r>
        <w:t>SVd</w:t>
      </w:r>
      <w:proofErr w:type="spellEnd"/>
      <w:r>
        <w:t xml:space="preserve"> 12.8% versus </w:t>
      </w:r>
      <w:proofErr w:type="spellStart"/>
      <w:r>
        <w:t>Vd</w:t>
      </w:r>
      <w:proofErr w:type="spellEnd"/>
      <w:r>
        <w:t xml:space="preserve"> 6.4%, no SAEs</w:t>
      </w:r>
    </w:p>
    <w:p w14:paraId="680E1286" w14:textId="41BF061B" w:rsidR="00836DE9" w:rsidRDefault="00836DE9" w:rsidP="007430FB">
      <w:pPr>
        <w:pStyle w:val="ListBullet2"/>
      </w:pPr>
      <w:r>
        <w:t xml:space="preserve">Blurred vision TRAEs: </w:t>
      </w:r>
      <w:proofErr w:type="spellStart"/>
      <w:r>
        <w:t>SVd</w:t>
      </w:r>
      <w:proofErr w:type="spellEnd"/>
      <w:r>
        <w:t xml:space="preserve"> 5.1% versus </w:t>
      </w:r>
      <w:proofErr w:type="spellStart"/>
      <w:r>
        <w:t>Vd</w:t>
      </w:r>
      <w:proofErr w:type="spellEnd"/>
      <w:r>
        <w:t xml:space="preserve"> 3.4% </w:t>
      </w:r>
    </w:p>
    <w:p w14:paraId="7EE99B22" w14:textId="150F1DB1" w:rsidR="00836DE9" w:rsidRDefault="00836DE9" w:rsidP="007430FB">
      <w:pPr>
        <w:pStyle w:val="ListBullet2"/>
      </w:pPr>
      <w:r>
        <w:t xml:space="preserve">Cataract AEs: </w:t>
      </w:r>
      <w:proofErr w:type="spellStart"/>
      <w:r>
        <w:t>SVd</w:t>
      </w:r>
      <w:proofErr w:type="spellEnd"/>
      <w:r>
        <w:t xml:space="preserve"> 21.5% versus </w:t>
      </w:r>
      <w:proofErr w:type="spellStart"/>
      <w:r>
        <w:t>Vd</w:t>
      </w:r>
      <w:proofErr w:type="spellEnd"/>
      <w:r>
        <w:t xml:space="preserve"> 6.4%, most occurring &gt; 7 months after start of </w:t>
      </w:r>
      <w:proofErr w:type="spellStart"/>
      <w:r>
        <w:t>selinexor</w:t>
      </w:r>
      <w:proofErr w:type="spellEnd"/>
    </w:p>
    <w:p w14:paraId="62F15C3D" w14:textId="210168A1" w:rsidR="00836DE9" w:rsidRDefault="00836DE9" w:rsidP="007430FB">
      <w:pPr>
        <w:pStyle w:val="ListBullet2"/>
      </w:pPr>
      <w:r>
        <w:t xml:space="preserve">Cataract TRAEs: </w:t>
      </w:r>
      <w:proofErr w:type="spellStart"/>
      <w:r>
        <w:t>SVd</w:t>
      </w:r>
      <w:proofErr w:type="spellEnd"/>
      <w:r>
        <w:t xml:space="preserve"> 16.4% versus </w:t>
      </w:r>
      <w:proofErr w:type="spellStart"/>
      <w:r>
        <w:t>Vd</w:t>
      </w:r>
      <w:proofErr w:type="spellEnd"/>
      <w:r>
        <w:t xml:space="preserve"> 2.0%</w:t>
      </w:r>
    </w:p>
    <w:p w14:paraId="606C77C9" w14:textId="7C4E12D0" w:rsidR="00836DE9" w:rsidRDefault="00836DE9" w:rsidP="007430FB">
      <w:pPr>
        <w:pStyle w:val="ListBullet2"/>
      </w:pPr>
      <w:r>
        <w:t xml:space="preserve">Cataract SAEs: </w:t>
      </w:r>
      <w:proofErr w:type="spellStart"/>
      <w:r>
        <w:t>SVd</w:t>
      </w:r>
      <w:proofErr w:type="spellEnd"/>
      <w:r>
        <w:t xml:space="preserve"> 2.1% versus </w:t>
      </w:r>
      <w:proofErr w:type="spellStart"/>
      <w:r>
        <w:t>Vd</w:t>
      </w:r>
      <w:proofErr w:type="spellEnd"/>
      <w:r>
        <w:t xml:space="preserve"> 0%</w:t>
      </w:r>
    </w:p>
    <w:p w14:paraId="6DD1E2C1" w14:textId="37D29E44" w:rsidR="00836DE9" w:rsidRDefault="00836DE9" w:rsidP="00A9333F">
      <w:pPr>
        <w:pStyle w:val="ListBullet"/>
      </w:pPr>
      <w:r>
        <w:t>Hyponatraemia</w:t>
      </w:r>
    </w:p>
    <w:p w14:paraId="27F4F2E9" w14:textId="204B400D" w:rsidR="00836DE9" w:rsidRDefault="00836DE9" w:rsidP="00A9333F">
      <w:pPr>
        <w:pStyle w:val="ListBullet2"/>
      </w:pPr>
      <w:r>
        <w:t xml:space="preserve">Baseline to new maximum Grade 3 or 4: </w:t>
      </w:r>
      <w:proofErr w:type="spellStart"/>
      <w:r>
        <w:t>SVd</w:t>
      </w:r>
      <w:proofErr w:type="spellEnd"/>
      <w:r>
        <w:t xml:space="preserve"> (58.5%) versus </w:t>
      </w:r>
      <w:proofErr w:type="spellStart"/>
      <w:r>
        <w:t>Vd</w:t>
      </w:r>
      <w:proofErr w:type="spellEnd"/>
      <w:r>
        <w:t xml:space="preserve"> (24.9%).</w:t>
      </w:r>
    </w:p>
    <w:p w14:paraId="7B17A497" w14:textId="6613CA78" w:rsidR="00836DE9" w:rsidRDefault="00836DE9" w:rsidP="00A9333F">
      <w:pPr>
        <w:pStyle w:val="ListBullet2"/>
      </w:pPr>
      <w:r>
        <w:t xml:space="preserve">Considered AE: </w:t>
      </w:r>
      <w:proofErr w:type="spellStart"/>
      <w:r>
        <w:t>SVd</w:t>
      </w:r>
      <w:proofErr w:type="spellEnd"/>
      <w:r>
        <w:t xml:space="preserve"> (8.2%) versu</w:t>
      </w:r>
      <w:r w:rsidR="00CC7616">
        <w:t>s</w:t>
      </w:r>
      <w:r>
        <w:t xml:space="preserve"> </w:t>
      </w:r>
      <w:proofErr w:type="spellStart"/>
      <w:r>
        <w:t>Vd</w:t>
      </w:r>
      <w:proofErr w:type="spellEnd"/>
      <w:r>
        <w:t xml:space="preserve"> (1.5%) </w:t>
      </w:r>
    </w:p>
    <w:p w14:paraId="55122DCA" w14:textId="43D5BE47" w:rsidR="00836DE9" w:rsidRDefault="00836DE9" w:rsidP="00A9333F">
      <w:pPr>
        <w:pStyle w:val="ListBullet2"/>
      </w:pPr>
      <w:r>
        <w:t xml:space="preserve">SAE of hyponatraemia: </w:t>
      </w:r>
      <w:proofErr w:type="spellStart"/>
      <w:r>
        <w:t>SVd</w:t>
      </w:r>
      <w:proofErr w:type="spellEnd"/>
      <w:r>
        <w:t xml:space="preserve"> 0.5% versus </w:t>
      </w:r>
      <w:proofErr w:type="spellStart"/>
      <w:r>
        <w:t>Vd</w:t>
      </w:r>
      <w:proofErr w:type="spellEnd"/>
      <w:r>
        <w:t xml:space="preserve"> 0%; none</w:t>
      </w:r>
      <w:r w:rsidR="00A9333F">
        <w:t xml:space="preserve"> was</w:t>
      </w:r>
      <w:r>
        <w:t xml:space="preserve"> fatal</w:t>
      </w:r>
    </w:p>
    <w:p w14:paraId="2AD4E900" w14:textId="77777777" w:rsidR="00836DE9" w:rsidRDefault="00836DE9" w:rsidP="00A9333F">
      <w:pPr>
        <w:pStyle w:val="ListBullet"/>
      </w:pPr>
      <w:r>
        <w:lastRenderedPageBreak/>
        <w:t>Anaemia</w:t>
      </w:r>
    </w:p>
    <w:p w14:paraId="44FB6D02" w14:textId="22774995" w:rsidR="00836DE9" w:rsidRDefault="00836DE9" w:rsidP="00A9333F">
      <w:pPr>
        <w:pStyle w:val="ListBullet2"/>
      </w:pPr>
      <w:r>
        <w:t xml:space="preserve">Baseline to new maximum Grade 3 or 4: </w:t>
      </w:r>
      <w:proofErr w:type="spellStart"/>
      <w:r>
        <w:t>SVd</w:t>
      </w:r>
      <w:proofErr w:type="spellEnd"/>
      <w:r>
        <w:t xml:space="preserve"> 16.9% versus </w:t>
      </w:r>
      <w:proofErr w:type="spellStart"/>
      <w:r>
        <w:t>Vd</w:t>
      </w:r>
      <w:proofErr w:type="spellEnd"/>
      <w:r>
        <w:t xml:space="preserve"> 11.9%</w:t>
      </w:r>
    </w:p>
    <w:p w14:paraId="7C91AE8E" w14:textId="1B141616" w:rsidR="00836DE9" w:rsidRDefault="00836DE9" w:rsidP="00A9333F">
      <w:pPr>
        <w:pStyle w:val="ListBullet2"/>
      </w:pPr>
      <w:r>
        <w:t xml:space="preserve">Considered AEs: </w:t>
      </w:r>
      <w:proofErr w:type="spellStart"/>
      <w:r>
        <w:t>SVd</w:t>
      </w:r>
      <w:proofErr w:type="spellEnd"/>
      <w:r>
        <w:t xml:space="preserve"> 36.4% versus </w:t>
      </w:r>
      <w:proofErr w:type="spellStart"/>
      <w:r>
        <w:t>Vd</w:t>
      </w:r>
      <w:proofErr w:type="spellEnd"/>
      <w:r>
        <w:t xml:space="preserve"> 23.0%</w:t>
      </w:r>
    </w:p>
    <w:p w14:paraId="7BE26CB4" w14:textId="6C9FFD64" w:rsidR="00836DE9" w:rsidRDefault="00836DE9" w:rsidP="00A9333F">
      <w:pPr>
        <w:pStyle w:val="ListBullet2"/>
      </w:pPr>
      <w:r>
        <w:t xml:space="preserve">Considered TRAEs: </w:t>
      </w:r>
      <w:proofErr w:type="spellStart"/>
      <w:r>
        <w:t>SVd</w:t>
      </w:r>
      <w:proofErr w:type="spellEnd"/>
      <w:r>
        <w:t xml:space="preserve"> 22.1% versus </w:t>
      </w:r>
      <w:proofErr w:type="spellStart"/>
      <w:r>
        <w:t>Vd</w:t>
      </w:r>
      <w:proofErr w:type="spellEnd"/>
      <w:r>
        <w:t xml:space="preserve"> 8.3% </w:t>
      </w:r>
    </w:p>
    <w:p w14:paraId="38711D9E" w14:textId="50C8D665" w:rsidR="00836DE9" w:rsidRDefault="00836DE9" w:rsidP="00A9333F">
      <w:pPr>
        <w:pStyle w:val="ListBullet2"/>
      </w:pPr>
      <w:r>
        <w:t xml:space="preserve">SAEs: </w:t>
      </w:r>
      <w:proofErr w:type="spellStart"/>
      <w:r>
        <w:t>SVd</w:t>
      </w:r>
      <w:proofErr w:type="spellEnd"/>
      <w:r>
        <w:t xml:space="preserve"> 2.6% versus </w:t>
      </w:r>
      <w:proofErr w:type="spellStart"/>
      <w:r>
        <w:t>Vd</w:t>
      </w:r>
      <w:proofErr w:type="spellEnd"/>
      <w:r>
        <w:t xml:space="preserve"> 1.5%; none</w:t>
      </w:r>
      <w:r w:rsidR="00A9333F">
        <w:t xml:space="preserve"> was</w:t>
      </w:r>
      <w:r>
        <w:t xml:space="preserve"> fatal</w:t>
      </w:r>
    </w:p>
    <w:p w14:paraId="668A0359" w14:textId="77777777" w:rsidR="00836DE9" w:rsidRDefault="00836DE9" w:rsidP="00A9333F">
      <w:pPr>
        <w:pStyle w:val="ListBullet"/>
      </w:pPr>
      <w:r>
        <w:t>Thrombocytopenia</w:t>
      </w:r>
    </w:p>
    <w:p w14:paraId="57AF5C13" w14:textId="01E50021" w:rsidR="00836DE9" w:rsidRDefault="00836DE9" w:rsidP="00A9333F">
      <w:pPr>
        <w:pStyle w:val="ListBullet2"/>
      </w:pPr>
      <w:r>
        <w:t xml:space="preserve">Baseline to new maximum Grade 3 or 4:  </w:t>
      </w:r>
      <w:proofErr w:type="spellStart"/>
      <w:r>
        <w:t>SVd</w:t>
      </w:r>
      <w:proofErr w:type="spellEnd"/>
      <w:r>
        <w:t xml:space="preserve"> 42.6% versus </w:t>
      </w:r>
      <w:proofErr w:type="spellStart"/>
      <w:r>
        <w:t>Vd</w:t>
      </w:r>
      <w:proofErr w:type="spellEnd"/>
      <w:r>
        <w:t xml:space="preserve"> 19.4%</w:t>
      </w:r>
    </w:p>
    <w:p w14:paraId="7D6C3092" w14:textId="49429774" w:rsidR="00836DE9" w:rsidRDefault="00836DE9" w:rsidP="00A9333F">
      <w:pPr>
        <w:pStyle w:val="ListBullet2"/>
      </w:pPr>
      <w:r>
        <w:t xml:space="preserve">Considered AE: </w:t>
      </w:r>
      <w:proofErr w:type="spellStart"/>
      <w:r>
        <w:t>SVd</w:t>
      </w:r>
      <w:proofErr w:type="spellEnd"/>
      <w:r>
        <w:t xml:space="preserve"> 60.0% versus </w:t>
      </w:r>
      <w:proofErr w:type="spellStart"/>
      <w:r>
        <w:t>Vd</w:t>
      </w:r>
      <w:proofErr w:type="spellEnd"/>
      <w:r>
        <w:t xml:space="preserve"> 27.0% </w:t>
      </w:r>
    </w:p>
    <w:p w14:paraId="3A9051EB" w14:textId="1AB91017" w:rsidR="00836DE9" w:rsidRDefault="00836DE9" w:rsidP="00A9333F">
      <w:pPr>
        <w:pStyle w:val="ListBullet2"/>
      </w:pPr>
      <w:r>
        <w:t xml:space="preserve">Considered TRAE: </w:t>
      </w:r>
      <w:proofErr w:type="spellStart"/>
      <w:r>
        <w:t>SVd</w:t>
      </w:r>
      <w:proofErr w:type="spellEnd"/>
      <w:r>
        <w:t xml:space="preserve"> 56.4% versus </w:t>
      </w:r>
      <w:proofErr w:type="spellStart"/>
      <w:r>
        <w:t>Vd</w:t>
      </w:r>
      <w:proofErr w:type="spellEnd"/>
      <w:r>
        <w:t xml:space="preserve"> 23.0%</w:t>
      </w:r>
    </w:p>
    <w:p w14:paraId="4DA36808" w14:textId="3B0C01B8" w:rsidR="00836DE9" w:rsidRDefault="00836DE9" w:rsidP="00A9333F">
      <w:pPr>
        <w:pStyle w:val="ListBullet2"/>
      </w:pPr>
      <w:r>
        <w:t xml:space="preserve">SAEs: </w:t>
      </w:r>
      <w:proofErr w:type="spellStart"/>
      <w:r>
        <w:t>SVd</w:t>
      </w:r>
      <w:proofErr w:type="spellEnd"/>
      <w:r>
        <w:t xml:space="preserve"> 1.5% versus </w:t>
      </w:r>
      <w:proofErr w:type="spellStart"/>
      <w:r>
        <w:t>Vd</w:t>
      </w:r>
      <w:proofErr w:type="spellEnd"/>
      <w:r>
        <w:t xml:space="preserve"> 0.5%</w:t>
      </w:r>
    </w:p>
    <w:p w14:paraId="10DAD593" w14:textId="77777777" w:rsidR="00836DE9" w:rsidRDefault="00836DE9" w:rsidP="00A9333F">
      <w:pPr>
        <w:pStyle w:val="ListBullet"/>
      </w:pPr>
      <w:r>
        <w:t>White cells</w:t>
      </w:r>
    </w:p>
    <w:p w14:paraId="364013A3" w14:textId="1096AD95" w:rsidR="00836DE9" w:rsidRDefault="00836DE9" w:rsidP="00A9333F">
      <w:pPr>
        <w:pStyle w:val="ListBullet2"/>
      </w:pPr>
      <w:r>
        <w:t xml:space="preserve">Baseline to new maximum Grade 3 or 4 leukopenia: </w:t>
      </w:r>
      <w:proofErr w:type="spellStart"/>
      <w:r>
        <w:t>SVd</w:t>
      </w:r>
      <w:proofErr w:type="spellEnd"/>
      <w:r>
        <w:t xml:space="preserve"> 10.3% versus </w:t>
      </w:r>
      <w:proofErr w:type="spellStart"/>
      <w:r>
        <w:t>Vd</w:t>
      </w:r>
      <w:proofErr w:type="spellEnd"/>
      <w:r>
        <w:t xml:space="preserve"> 2.5%</w:t>
      </w:r>
    </w:p>
    <w:p w14:paraId="533E26A3" w14:textId="7F8DF1E9" w:rsidR="00836DE9" w:rsidRDefault="00836DE9" w:rsidP="00A9333F">
      <w:pPr>
        <w:pStyle w:val="ListBullet2"/>
      </w:pPr>
      <w:r>
        <w:t xml:space="preserve">Baseline to new maximum Grade 3 or 4 lymphocytopenia: </w:t>
      </w:r>
      <w:proofErr w:type="spellStart"/>
      <w:r>
        <w:t>SVd</w:t>
      </w:r>
      <w:proofErr w:type="spellEnd"/>
      <w:r>
        <w:t xml:space="preserve"> 38.3% versus </w:t>
      </w:r>
      <w:proofErr w:type="spellStart"/>
      <w:r>
        <w:t>Vd</w:t>
      </w:r>
      <w:proofErr w:type="spellEnd"/>
      <w:r w:rsidR="00A9333F">
        <w:t xml:space="preserve"> </w:t>
      </w:r>
      <w:r>
        <w:t xml:space="preserve">25.1% </w:t>
      </w:r>
    </w:p>
    <w:p w14:paraId="125D0D90" w14:textId="03866E1C" w:rsidR="00836DE9" w:rsidRDefault="00836DE9" w:rsidP="00A9333F">
      <w:pPr>
        <w:pStyle w:val="ListBullet2"/>
      </w:pPr>
      <w:r>
        <w:t xml:space="preserve">Baseline to new maximum Grade 3 or 4 neutropenia: </w:t>
      </w:r>
      <w:proofErr w:type="spellStart"/>
      <w:r>
        <w:t>SVd</w:t>
      </w:r>
      <w:proofErr w:type="spellEnd"/>
      <w:r>
        <w:t xml:space="preserve"> 11.2% versus </w:t>
      </w:r>
      <w:proofErr w:type="spellStart"/>
      <w:r>
        <w:t>Vd</w:t>
      </w:r>
      <w:proofErr w:type="spellEnd"/>
      <w:r>
        <w:t xml:space="preserve"> 6.7%</w:t>
      </w:r>
    </w:p>
    <w:p w14:paraId="16DE18B1" w14:textId="20A50BAD" w:rsidR="00836DE9" w:rsidRDefault="00836DE9" w:rsidP="00A9333F">
      <w:pPr>
        <w:pStyle w:val="ListBullet2"/>
      </w:pPr>
      <w:r>
        <w:t xml:space="preserve">Considered neutropenia AE: </w:t>
      </w:r>
      <w:proofErr w:type="spellStart"/>
      <w:r>
        <w:t>SVd</w:t>
      </w:r>
      <w:proofErr w:type="spellEnd"/>
      <w:r>
        <w:t xml:space="preserve"> 15.4% versus </w:t>
      </w:r>
      <w:proofErr w:type="spellStart"/>
      <w:r>
        <w:t>Vd</w:t>
      </w:r>
      <w:proofErr w:type="spellEnd"/>
      <w:r>
        <w:t xml:space="preserve"> 6.4%</w:t>
      </w:r>
    </w:p>
    <w:p w14:paraId="61660DCC" w14:textId="67395AEC" w:rsidR="00836DE9" w:rsidRDefault="00836DE9" w:rsidP="00A9333F">
      <w:pPr>
        <w:pStyle w:val="ListBullet2"/>
      </w:pPr>
      <w:r>
        <w:t xml:space="preserve">Considered Neutropenia TRAE: </w:t>
      </w:r>
      <w:proofErr w:type="spellStart"/>
      <w:r>
        <w:t>SVd</w:t>
      </w:r>
      <w:proofErr w:type="spellEnd"/>
      <w:r>
        <w:t xml:space="preserve"> 13.3% versus </w:t>
      </w:r>
      <w:proofErr w:type="spellStart"/>
      <w:r>
        <w:t>Vd</w:t>
      </w:r>
      <w:proofErr w:type="spellEnd"/>
      <w:r>
        <w:t xml:space="preserve"> 2.9%</w:t>
      </w:r>
    </w:p>
    <w:p w14:paraId="232C4099" w14:textId="69FBA58C" w:rsidR="00836DE9" w:rsidRDefault="00836DE9" w:rsidP="00A9333F">
      <w:pPr>
        <w:pStyle w:val="ListBullet2"/>
      </w:pPr>
      <w:r>
        <w:t xml:space="preserve">Neutropenia SAE: </w:t>
      </w:r>
      <w:proofErr w:type="spellStart"/>
      <w:r>
        <w:t>SVd</w:t>
      </w:r>
      <w:proofErr w:type="spellEnd"/>
      <w:r>
        <w:t xml:space="preserve"> 1.0% versus </w:t>
      </w:r>
      <w:proofErr w:type="spellStart"/>
      <w:r>
        <w:t>Vd</w:t>
      </w:r>
      <w:proofErr w:type="spellEnd"/>
      <w:r>
        <w:t xml:space="preserve"> 0.5%, none</w:t>
      </w:r>
      <w:r w:rsidR="00A9333F">
        <w:t xml:space="preserve"> was</w:t>
      </w:r>
      <w:r>
        <w:t xml:space="preserve"> fatal</w:t>
      </w:r>
    </w:p>
    <w:p w14:paraId="73B7003A" w14:textId="1158B6F1" w:rsidR="00836DE9" w:rsidRDefault="00836DE9" w:rsidP="00A9333F">
      <w:pPr>
        <w:pStyle w:val="ListBullet2"/>
      </w:pPr>
      <w:r>
        <w:t xml:space="preserve">Febrile neutropenia: 1 </w:t>
      </w:r>
      <w:proofErr w:type="spellStart"/>
      <w:r>
        <w:t>SVd</w:t>
      </w:r>
      <w:proofErr w:type="spellEnd"/>
      <w:r>
        <w:t xml:space="preserve"> patient</w:t>
      </w:r>
    </w:p>
    <w:p w14:paraId="7BD08ECD" w14:textId="090BF557" w:rsidR="00836DE9" w:rsidRDefault="00836DE9" w:rsidP="00836DE9">
      <w:r>
        <w:t xml:space="preserve">Sepsis was reported in 4.1% with </w:t>
      </w:r>
      <w:proofErr w:type="spellStart"/>
      <w:r>
        <w:t>SVd</w:t>
      </w:r>
      <w:proofErr w:type="spellEnd"/>
      <w:r>
        <w:t xml:space="preserve"> versus 1.0% with </w:t>
      </w:r>
      <w:proofErr w:type="spellStart"/>
      <w:r>
        <w:t>Vd</w:t>
      </w:r>
      <w:proofErr w:type="spellEnd"/>
      <w:r>
        <w:t xml:space="preserve">, the same proportions as sepsis SAEs, with fatal events in </w:t>
      </w:r>
      <w:proofErr w:type="spellStart"/>
      <w:r>
        <w:t>SVd</w:t>
      </w:r>
      <w:proofErr w:type="spellEnd"/>
      <w:r>
        <w:t xml:space="preserve"> arm (1.5%) versus 0% in </w:t>
      </w:r>
      <w:proofErr w:type="spellStart"/>
      <w:r>
        <w:t>Vd</w:t>
      </w:r>
      <w:proofErr w:type="spellEnd"/>
      <w:r>
        <w:t xml:space="preserve"> arm.</w:t>
      </w:r>
    </w:p>
    <w:p w14:paraId="39A5498C" w14:textId="77777777" w:rsidR="00A9333F" w:rsidRPr="00006F29" w:rsidRDefault="00A9333F" w:rsidP="007A517F">
      <w:pPr>
        <w:pStyle w:val="Heading5"/>
      </w:pPr>
      <w:r>
        <w:t>Discussion</w:t>
      </w:r>
    </w:p>
    <w:p w14:paraId="15034984" w14:textId="27752B51" w:rsidR="00A9333F" w:rsidRDefault="00A9333F" w:rsidP="00272F51">
      <w:r w:rsidRPr="00272F51">
        <w:t xml:space="preserve">In this submission </w:t>
      </w:r>
      <w:r w:rsidR="00272F51" w:rsidRPr="00272F51">
        <w:t>Study KCP-330-023 (BOSTON trial)</w:t>
      </w:r>
      <w:r w:rsidR="00272F51" w:rsidDel="00272F51">
        <w:t xml:space="preserve"> </w:t>
      </w:r>
      <w:r>
        <w:t xml:space="preserve">is the only Phase III comparator study presented to support a proposed indication for </w:t>
      </w:r>
      <w:proofErr w:type="spellStart"/>
      <w:r>
        <w:t>selinexor</w:t>
      </w:r>
      <w:proofErr w:type="spellEnd"/>
      <w:r>
        <w:t>.</w:t>
      </w:r>
    </w:p>
    <w:p w14:paraId="3A2815A2" w14:textId="0760FC51" w:rsidR="00A9333F" w:rsidRDefault="00A9333F" w:rsidP="00A9333F">
      <w:r>
        <w:t xml:space="preserve">In this study compared the combination of </w:t>
      </w:r>
      <w:proofErr w:type="spellStart"/>
      <w:r>
        <w:t>selinexor</w:t>
      </w:r>
      <w:proofErr w:type="spellEnd"/>
      <w:r>
        <w:t xml:space="preserve">, bortezomib and dexamethasone </w:t>
      </w:r>
      <w:r w:rsidR="00B6085E">
        <w:t>(</w:t>
      </w:r>
      <w:proofErr w:type="spellStart"/>
      <w:r w:rsidR="00B6085E">
        <w:t>SVd</w:t>
      </w:r>
      <w:proofErr w:type="spellEnd"/>
      <w:r w:rsidR="00B6085E">
        <w:t xml:space="preserve"> regimen) </w:t>
      </w:r>
      <w:r>
        <w:t xml:space="preserve">in mostly lower to moderate risk (by R-ISS), who were mostly well functioning (ECOG </w:t>
      </w:r>
      <w:r w:rsidR="00296A7E">
        <w:t xml:space="preserve">PS </w:t>
      </w:r>
      <w:r>
        <w:t>0 or 1), with mostly 1 to 2 prior treatment regimens that could have included stem cell transplant. There were no requisite prior therapies.</w:t>
      </w:r>
    </w:p>
    <w:p w14:paraId="2ED2C909" w14:textId="60764C64" w:rsidR="00A9333F" w:rsidRDefault="00A9333F" w:rsidP="00A9333F">
      <w:r>
        <w:t>The comparator arm was bortezomib and dexamethasone</w:t>
      </w:r>
      <w:r w:rsidR="00B6085E">
        <w:t xml:space="preserve"> (</w:t>
      </w:r>
      <w:proofErr w:type="spellStart"/>
      <w:r w:rsidR="00B6085E">
        <w:t>Vd</w:t>
      </w:r>
      <w:proofErr w:type="spellEnd"/>
      <w:r w:rsidR="00B6085E">
        <w:t xml:space="preserve"> regimen)</w:t>
      </w:r>
      <w:r>
        <w:t xml:space="preserve">. In the second line setting there are generally a range of options for patients and prescribers, including triplet and other doublet combinations if stem cell transplant therapy is not considered an option or has failed. It is noted that around 40% of patients had had prior immunomodulator therapy. It is noted the combination of </w:t>
      </w:r>
      <w:proofErr w:type="gramStart"/>
      <w:r>
        <w:t>bortezomib</w:t>
      </w:r>
      <w:proofErr w:type="gramEnd"/>
      <w:r>
        <w:t xml:space="preserve"> and dexamethasone has previously been accepted as a comparator in a registration study but there is some uncertainty about the generalisability of this aspect of the study in the current Australian clinical context and the Advisory Committee of Medicine (ACM) is requested to advise.</w:t>
      </w:r>
    </w:p>
    <w:p w14:paraId="6777284C" w14:textId="76FFEED7" w:rsidR="00A9333F" w:rsidRDefault="00A9333F" w:rsidP="00A9333F">
      <w:r>
        <w:t xml:space="preserve">Having a comparator arm allows some isolation of the activity of </w:t>
      </w:r>
      <w:proofErr w:type="spellStart"/>
      <w:r>
        <w:t>selinexor</w:t>
      </w:r>
      <w:proofErr w:type="spellEnd"/>
      <w:r>
        <w:t xml:space="preserve"> in this setting of multiple myeloma.</w:t>
      </w:r>
    </w:p>
    <w:p w14:paraId="6151D721" w14:textId="77777777" w:rsidR="00A9333F" w:rsidRDefault="00A9333F" w:rsidP="00A9333F">
      <w:r>
        <w:t xml:space="preserve">The main analyses were conducted based on randomised treatment arm, however cross-over was permitted for 73 patients with progressive disease in the </w:t>
      </w:r>
      <w:proofErr w:type="spellStart"/>
      <w:r>
        <w:t>Vd</w:t>
      </w:r>
      <w:proofErr w:type="spellEnd"/>
      <w:r>
        <w:t xml:space="preserve"> arm, and this could potentially impact the interpretation of progression free survival and overall survival in subsequent analyses.</w:t>
      </w:r>
    </w:p>
    <w:p w14:paraId="1BB6FFEE" w14:textId="5EC677CD" w:rsidR="00A9333F" w:rsidRDefault="00A9333F" w:rsidP="00A9333F">
      <w:r>
        <w:lastRenderedPageBreak/>
        <w:t xml:space="preserve">Progressive disease events were reported for 35.4% of the </w:t>
      </w:r>
      <w:proofErr w:type="spellStart"/>
      <w:r>
        <w:t>SVd</w:t>
      </w:r>
      <w:proofErr w:type="spellEnd"/>
      <w:r>
        <w:t xml:space="preserve"> arm and 59.9% of the </w:t>
      </w:r>
      <w:proofErr w:type="spellStart"/>
      <w:r>
        <w:t>Vd</w:t>
      </w:r>
      <w:proofErr w:type="spellEnd"/>
      <w:r>
        <w:t xml:space="preserve"> arm, (Hazard ratio = 0.7), with a mean PFS gain of 4.2 months a 12% gain in deep response and a 14.1% overall survival gain. Among responders, benefits appear durable with an additional 7.4 months over </w:t>
      </w:r>
      <w:proofErr w:type="spellStart"/>
      <w:r>
        <w:t>Vd</w:t>
      </w:r>
      <w:proofErr w:type="spellEnd"/>
      <w:r>
        <w:t xml:space="preserve"> and an additional approximately 5 months before the commencement of the next treatment.</w:t>
      </w:r>
    </w:p>
    <w:p w14:paraId="5685195D" w14:textId="2ACFCA5F" w:rsidR="00A9333F" w:rsidRDefault="00A9333F" w:rsidP="00A9333F">
      <w:r>
        <w:t xml:space="preserve">While the limitations of cross-study comparisons are noted, the magnitude of benefit was considered by the evaluator who noted the </w:t>
      </w:r>
      <w:r w:rsidR="000A0FC7">
        <w:t>overall response rate</w:t>
      </w:r>
      <w:r>
        <w:t xml:space="preserve"> of 82.9% of the combination of daratumumab, bortezomib and dexamethasone with 63.2% for </w:t>
      </w:r>
      <w:proofErr w:type="spellStart"/>
      <w:r>
        <w:t>Vd</w:t>
      </w:r>
      <w:proofErr w:type="spellEnd"/>
      <w:r>
        <w:t xml:space="preserve"> in a study supporting registration of that combination.</w:t>
      </w:r>
    </w:p>
    <w:p w14:paraId="4B2ADEB3" w14:textId="7EEEEA01" w:rsidR="00A9333F" w:rsidRDefault="00A9333F" w:rsidP="00A9333F">
      <w:r>
        <w:t>Selinexor is an oral therapy, that may be an additional benefit, but the regimen includes bortezomib that requires visits to a medical facility, as may the toxicities.</w:t>
      </w:r>
    </w:p>
    <w:p w14:paraId="46AE51AB" w14:textId="717B468B" w:rsidR="00A9333F" w:rsidRDefault="00A9333F" w:rsidP="00A9333F">
      <w:r>
        <w:t xml:space="preserve">There is a toxicity cost to offset of the combination of </w:t>
      </w:r>
      <w:proofErr w:type="spellStart"/>
      <w:r>
        <w:t>selinexor</w:t>
      </w:r>
      <w:proofErr w:type="spellEnd"/>
      <w:r>
        <w:t xml:space="preserve">, bortezomib and dexamethasone against the benefits, that include haematological disturbances, electrolyte disturbances, and neurological and ophthalmological toxicities. The most common adverse events were thrombocytopenia 60% (Grade 3 to 4, 39.5%), nausea 50.3% (Grade 3 to 4, 7.7%), fatigue 42.1% (Grade 3 to 4, 13.3%). There are also toxicities with a potential impact on quality of life such as fatigue, and nausea, vomiting and decreased appetite. Serious adverse events were common (51.8%), most commonly pneumonia, </w:t>
      </w:r>
      <w:proofErr w:type="gramStart"/>
      <w:r>
        <w:t>sepsis</w:t>
      </w:r>
      <w:proofErr w:type="gramEnd"/>
      <w:r>
        <w:t xml:space="preserve"> and anaemia. Fatal events occurred in 6.2%, most commonly from pneumonia and septic shock.</w:t>
      </w:r>
    </w:p>
    <w:p w14:paraId="287FE264" w14:textId="1678CED5" w:rsidR="00A9333F" w:rsidRDefault="00A9333F" w:rsidP="00A9333F">
      <w:r>
        <w:t>The haematological toxicities, electrolyte disturbances and the potential for cataract formation require close monitoring, and as in the clinical trials grade three hyponatraemia was seen (5.1% in the BOSTON trial). In this and other indications, early intervention with dose adjustment or interruption and therapies to counter the adverse effects may be needed but dose interruptions also potentially impact efficacy. Patients will need to be carefully selected for this regimen, because in a broader population the harms are likely to be more impactful.</w:t>
      </w:r>
    </w:p>
    <w:p w14:paraId="4D1CE4ED" w14:textId="383A1E74" w:rsidR="00A9333F" w:rsidRDefault="00A9333F" w:rsidP="00A9333F">
      <w:r>
        <w:t>In the consideration also is the cost of multiple myeloma for the patient including haematological, renal, and bony complications that themselves can be symptomatic and harmful.</w:t>
      </w:r>
    </w:p>
    <w:p w14:paraId="688746B1" w14:textId="550B9D17" w:rsidR="00A9333F" w:rsidRPr="00932452" w:rsidRDefault="00A9333F" w:rsidP="00A9333F">
      <w:r>
        <w:t xml:space="preserve">Taking these considerations together, there may be benefit in an additional triplet treatment option for consideration by prescribers. The preliminary view, subject to the advice of the ACM, is that </w:t>
      </w:r>
      <w:proofErr w:type="spellStart"/>
      <w:r>
        <w:t>selinexor</w:t>
      </w:r>
      <w:proofErr w:type="spellEnd"/>
      <w:r>
        <w:t xml:space="preserve"> i</w:t>
      </w:r>
      <w:r w:rsidR="00B6085E">
        <w:t>n</w:t>
      </w:r>
      <w:r>
        <w:t xml:space="preserve"> combination with bortezomib and dexamethasone favourably tips the balance of benefits and harms for the proposed indication.</w:t>
      </w:r>
    </w:p>
    <w:p w14:paraId="4C046C60" w14:textId="69FB395C" w:rsidR="00270355" w:rsidRDefault="00A92905" w:rsidP="007A517F">
      <w:pPr>
        <w:pStyle w:val="Heading4"/>
      </w:pPr>
      <w:r>
        <w:t>M</w:t>
      </w:r>
      <w:r w:rsidR="00270355">
        <w:t>ultiple class refractory myeloma</w:t>
      </w:r>
    </w:p>
    <w:p w14:paraId="2279EA3B" w14:textId="23AE2A0C" w:rsidR="00A9333F" w:rsidRDefault="00A9333F" w:rsidP="00A9333F">
      <w:pPr>
        <w:rPr>
          <w:rFonts w:asciiTheme="minorHAnsi" w:hAnsiTheme="minorHAnsi" w:cs="Calibri"/>
          <w:lang w:eastAsia="ja-JP"/>
        </w:rPr>
      </w:pPr>
      <w:r w:rsidRPr="00AA4097">
        <w:rPr>
          <w:rFonts w:asciiTheme="minorHAnsi" w:hAnsiTheme="minorHAnsi" w:cs="Calibri"/>
          <w:lang w:eastAsia="ja-JP"/>
        </w:rPr>
        <w:t xml:space="preserve">The selection of the Phase </w:t>
      </w:r>
      <w:r w:rsidR="007A517F">
        <w:rPr>
          <w:rFonts w:asciiTheme="minorHAnsi" w:hAnsiTheme="minorHAnsi" w:cs="Calibri"/>
          <w:lang w:eastAsia="ja-JP"/>
        </w:rPr>
        <w:t>II</w:t>
      </w:r>
      <w:r w:rsidRPr="00AA4097">
        <w:rPr>
          <w:rFonts w:asciiTheme="minorHAnsi" w:hAnsiTheme="minorHAnsi" w:cs="Calibri"/>
          <w:lang w:eastAsia="ja-JP"/>
        </w:rPr>
        <w:t xml:space="preserve"> dose and regimen of </w:t>
      </w:r>
      <w:proofErr w:type="spellStart"/>
      <w:r w:rsidR="00C479C3" w:rsidRPr="00C67E95">
        <w:t>selinexor</w:t>
      </w:r>
      <w:proofErr w:type="spellEnd"/>
      <w:r w:rsidR="00C479C3" w:rsidRPr="00C67E95">
        <w:t xml:space="preserve"> plus low-dose dexamethasone </w:t>
      </w:r>
      <w:r w:rsidR="00C479C3">
        <w:t>(</w:t>
      </w:r>
      <w:r w:rsidRPr="00AA4097">
        <w:rPr>
          <w:rFonts w:asciiTheme="minorHAnsi" w:hAnsiTheme="minorHAnsi" w:cs="Calibri"/>
          <w:lang w:eastAsia="ja-JP"/>
        </w:rPr>
        <w:t>Sd</w:t>
      </w:r>
      <w:r w:rsidR="00C479C3">
        <w:rPr>
          <w:rFonts w:asciiTheme="minorHAnsi" w:hAnsiTheme="minorHAnsi" w:cs="Calibri"/>
          <w:lang w:eastAsia="ja-JP"/>
        </w:rPr>
        <w:t>)</w:t>
      </w:r>
      <w:r w:rsidRPr="00AA4097">
        <w:rPr>
          <w:rFonts w:asciiTheme="minorHAnsi" w:hAnsiTheme="minorHAnsi" w:cs="Calibri"/>
          <w:lang w:eastAsia="ja-JP"/>
        </w:rPr>
        <w:t xml:space="preserve"> for the STORM </w:t>
      </w:r>
      <w:r w:rsidR="00176F75">
        <w:rPr>
          <w:rFonts w:asciiTheme="minorHAnsi" w:hAnsiTheme="minorHAnsi" w:cs="Calibri"/>
          <w:lang w:eastAsia="ja-JP"/>
        </w:rPr>
        <w:t>trial</w:t>
      </w:r>
      <w:r w:rsidRPr="00AA4097">
        <w:rPr>
          <w:rFonts w:asciiTheme="minorHAnsi" w:hAnsiTheme="minorHAnsi" w:cs="Calibri"/>
          <w:lang w:eastAsia="ja-JP"/>
        </w:rPr>
        <w:t xml:space="preserve"> was based on the clinical efficacy and safety data from 81 heavily pre-treated </w:t>
      </w:r>
      <w:r w:rsidR="00A92905">
        <w:rPr>
          <w:color w:val="000000"/>
        </w:rPr>
        <w:t>r</w:t>
      </w:r>
      <w:r w:rsidR="00A92905" w:rsidRPr="000823B9">
        <w:rPr>
          <w:color w:val="000000"/>
        </w:rPr>
        <w:t>elapsed or refractory multiple myeloma</w:t>
      </w:r>
      <w:r w:rsidR="00A92905" w:rsidRPr="00AA4097">
        <w:rPr>
          <w:rFonts w:asciiTheme="minorHAnsi" w:hAnsiTheme="minorHAnsi" w:cs="Calibri"/>
          <w:lang w:eastAsia="ja-JP"/>
        </w:rPr>
        <w:t xml:space="preserve"> </w:t>
      </w:r>
      <w:r w:rsidR="00A92905">
        <w:rPr>
          <w:rFonts w:asciiTheme="minorHAnsi" w:hAnsiTheme="minorHAnsi" w:cs="Calibri"/>
          <w:lang w:eastAsia="ja-JP"/>
        </w:rPr>
        <w:t>(</w:t>
      </w:r>
      <w:r w:rsidRPr="00AA4097">
        <w:rPr>
          <w:rFonts w:asciiTheme="minorHAnsi" w:hAnsiTheme="minorHAnsi" w:cs="Calibri"/>
          <w:lang w:eastAsia="ja-JP"/>
        </w:rPr>
        <w:t>RRMM</w:t>
      </w:r>
      <w:r w:rsidR="00A92905">
        <w:rPr>
          <w:rFonts w:asciiTheme="minorHAnsi" w:hAnsiTheme="minorHAnsi" w:cs="Calibri"/>
          <w:lang w:eastAsia="ja-JP"/>
        </w:rPr>
        <w:t>)</w:t>
      </w:r>
      <w:r w:rsidRPr="00AA4097">
        <w:rPr>
          <w:rFonts w:asciiTheme="minorHAnsi" w:hAnsiTheme="minorHAnsi" w:cs="Calibri"/>
          <w:lang w:eastAsia="ja-JP"/>
        </w:rPr>
        <w:t xml:space="preserve"> patients from the Phase </w:t>
      </w:r>
      <w:r w:rsidR="00176F75">
        <w:rPr>
          <w:rFonts w:asciiTheme="minorHAnsi" w:hAnsiTheme="minorHAnsi" w:cs="Calibri"/>
          <w:lang w:eastAsia="ja-JP"/>
        </w:rPr>
        <w:t>I trial, S</w:t>
      </w:r>
      <w:r w:rsidRPr="00AA4097">
        <w:rPr>
          <w:rFonts w:asciiTheme="minorHAnsi" w:hAnsiTheme="minorHAnsi" w:cs="Calibri"/>
          <w:lang w:eastAsia="ja-JP"/>
        </w:rPr>
        <w:t xml:space="preserve">tudy KCP-330-001. In the dose escalation phase of this study </w:t>
      </w:r>
      <w:proofErr w:type="spellStart"/>
      <w:r w:rsidRPr="00AA4097">
        <w:rPr>
          <w:rFonts w:asciiTheme="minorHAnsi" w:hAnsiTheme="minorHAnsi" w:cs="Calibri"/>
          <w:lang w:eastAsia="ja-JP"/>
        </w:rPr>
        <w:t>selinexor</w:t>
      </w:r>
      <w:proofErr w:type="spellEnd"/>
      <w:r w:rsidRPr="00AA4097">
        <w:rPr>
          <w:rFonts w:asciiTheme="minorHAnsi" w:hAnsiTheme="minorHAnsi" w:cs="Calibri"/>
          <w:lang w:eastAsia="ja-JP"/>
        </w:rPr>
        <w:t xml:space="preserve"> was administered from 3 mg/m</w:t>
      </w:r>
      <w:r w:rsidRPr="00AA4097">
        <w:rPr>
          <w:rFonts w:asciiTheme="minorHAnsi" w:hAnsiTheme="minorHAnsi" w:cs="Calibri"/>
          <w:vertAlign w:val="superscript"/>
          <w:lang w:eastAsia="ja-JP"/>
        </w:rPr>
        <w:t>2</w:t>
      </w:r>
      <w:r w:rsidRPr="00AA4097">
        <w:rPr>
          <w:rFonts w:asciiTheme="minorHAnsi" w:hAnsiTheme="minorHAnsi" w:cs="Calibri"/>
          <w:lang w:eastAsia="ja-JP"/>
        </w:rPr>
        <w:t xml:space="preserve"> (5 mg) to 60</w:t>
      </w:r>
      <w:r w:rsidR="00F50C82">
        <w:rPr>
          <w:rFonts w:asciiTheme="minorHAnsi" w:hAnsiTheme="minorHAnsi" w:cs="Calibri"/>
          <w:lang w:eastAsia="ja-JP"/>
        </w:rPr>
        <w:t> </w:t>
      </w:r>
      <w:r w:rsidRPr="00AA4097">
        <w:rPr>
          <w:rFonts w:asciiTheme="minorHAnsi" w:hAnsiTheme="minorHAnsi" w:cs="Calibri"/>
          <w:lang w:eastAsia="ja-JP"/>
        </w:rPr>
        <w:t>mg/m</w:t>
      </w:r>
      <w:r w:rsidRPr="00AA4097">
        <w:rPr>
          <w:rFonts w:asciiTheme="minorHAnsi" w:hAnsiTheme="minorHAnsi" w:cs="Calibri"/>
          <w:vertAlign w:val="superscript"/>
          <w:lang w:eastAsia="ja-JP"/>
        </w:rPr>
        <w:t>2</w:t>
      </w:r>
      <w:r w:rsidRPr="00AA4097">
        <w:rPr>
          <w:rFonts w:asciiTheme="minorHAnsi" w:hAnsiTheme="minorHAnsi" w:cs="Calibri"/>
          <w:lang w:eastAsia="ja-JP"/>
        </w:rPr>
        <w:t xml:space="preserve"> (</w:t>
      </w:r>
      <w:r w:rsidR="00176F75">
        <w:rPr>
          <w:rFonts w:asciiTheme="minorHAnsi" w:hAnsiTheme="minorHAnsi" w:cs="Calibri"/>
          <w:lang w:eastAsia="ja-JP"/>
        </w:rPr>
        <w:t xml:space="preserve">about </w:t>
      </w:r>
      <w:r w:rsidRPr="00AA4097">
        <w:rPr>
          <w:rFonts w:asciiTheme="minorHAnsi" w:hAnsiTheme="minorHAnsi" w:cs="Calibri"/>
          <w:lang w:eastAsia="ja-JP"/>
        </w:rPr>
        <w:t>100 mg) twice</w:t>
      </w:r>
      <w:r w:rsidR="00176F75">
        <w:rPr>
          <w:rFonts w:asciiTheme="minorHAnsi" w:hAnsiTheme="minorHAnsi" w:cs="Calibri"/>
          <w:lang w:eastAsia="ja-JP"/>
        </w:rPr>
        <w:t xml:space="preserve"> </w:t>
      </w:r>
      <w:r w:rsidRPr="00AA4097">
        <w:rPr>
          <w:rFonts w:asciiTheme="minorHAnsi" w:hAnsiTheme="minorHAnsi" w:cs="Calibri"/>
          <w:lang w:eastAsia="ja-JP"/>
        </w:rPr>
        <w:t>weekly in patients with RRMM, with 80</w:t>
      </w:r>
      <w:r w:rsidR="00F50C82">
        <w:rPr>
          <w:rFonts w:asciiTheme="minorHAnsi" w:hAnsiTheme="minorHAnsi" w:cs="Calibri"/>
          <w:lang w:eastAsia="ja-JP"/>
        </w:rPr>
        <w:t> </w:t>
      </w:r>
      <w:r w:rsidRPr="00AA4097">
        <w:rPr>
          <w:rFonts w:asciiTheme="minorHAnsi" w:hAnsiTheme="minorHAnsi" w:cs="Calibri"/>
          <w:lang w:eastAsia="ja-JP"/>
        </w:rPr>
        <w:t>mg twice</w:t>
      </w:r>
      <w:r w:rsidR="00176F75">
        <w:rPr>
          <w:rFonts w:asciiTheme="minorHAnsi" w:hAnsiTheme="minorHAnsi" w:cs="Calibri"/>
          <w:lang w:eastAsia="ja-JP"/>
        </w:rPr>
        <w:t xml:space="preserve"> </w:t>
      </w:r>
      <w:r w:rsidRPr="00AA4097">
        <w:rPr>
          <w:rFonts w:asciiTheme="minorHAnsi" w:hAnsiTheme="minorHAnsi" w:cs="Calibri"/>
          <w:lang w:eastAsia="ja-JP"/>
        </w:rPr>
        <w:t>weekly determined to be the optimal dose.</w:t>
      </w:r>
    </w:p>
    <w:p w14:paraId="5F31B4D8" w14:textId="05718CDA" w:rsidR="00270355" w:rsidRPr="00AA4097" w:rsidRDefault="00270355" w:rsidP="000B3827">
      <w:pPr>
        <w:pStyle w:val="Heading4"/>
        <w:rPr>
          <w:rFonts w:asciiTheme="minorHAnsi" w:hAnsiTheme="minorHAnsi" w:cs="Calibri"/>
          <w:lang w:eastAsia="ja-JP"/>
        </w:rPr>
      </w:pPr>
      <w:r>
        <w:t xml:space="preserve">Study </w:t>
      </w:r>
      <w:r w:rsidRPr="006F009F">
        <w:t>KCP-330-01</w:t>
      </w:r>
      <w:r w:rsidR="00A92905">
        <w:t>2 (STORM</w:t>
      </w:r>
      <w:r>
        <w:t xml:space="preserve"> trial)</w:t>
      </w:r>
    </w:p>
    <w:p w14:paraId="3A1B9620" w14:textId="6A7EE86C" w:rsidR="00A9333F" w:rsidRPr="00742A1A" w:rsidRDefault="00A9333F" w:rsidP="00176F75">
      <w:pPr>
        <w:pStyle w:val="Heading5"/>
      </w:pPr>
      <w:r>
        <w:t>Efficacy</w:t>
      </w:r>
    </w:p>
    <w:p w14:paraId="772A155D" w14:textId="4C735943" w:rsidR="00A9333F" w:rsidRDefault="00A9333F" w:rsidP="00A9333F">
      <w:r w:rsidRPr="00C67E95">
        <w:t>Study KCP-330-012</w:t>
      </w:r>
      <w:r>
        <w:t xml:space="preserve"> (STORM</w:t>
      </w:r>
      <w:r w:rsidR="000A1710">
        <w:t xml:space="preserve"> trial</w:t>
      </w:r>
      <w:r>
        <w:t>)</w:t>
      </w:r>
      <w:r w:rsidRPr="00C67E95">
        <w:t xml:space="preserve"> was a Phase </w:t>
      </w:r>
      <w:r w:rsidR="000A1710">
        <w:t>II</w:t>
      </w:r>
      <w:r w:rsidRPr="00C67E95">
        <w:t>b, multicentre, open</w:t>
      </w:r>
      <w:r w:rsidR="000A1710">
        <w:t xml:space="preserve"> </w:t>
      </w:r>
      <w:r w:rsidRPr="00C67E95">
        <w:t>label, single</w:t>
      </w:r>
      <w:r w:rsidR="000A1710">
        <w:t xml:space="preserve"> </w:t>
      </w:r>
      <w:r w:rsidRPr="00C67E95">
        <w:t xml:space="preserve">arm study of </w:t>
      </w:r>
      <w:proofErr w:type="spellStart"/>
      <w:r w:rsidR="00A92905">
        <w:t>selinexor</w:t>
      </w:r>
      <w:proofErr w:type="spellEnd"/>
      <w:r w:rsidR="00A92905">
        <w:t xml:space="preserve"> plus dexamethasone (</w:t>
      </w:r>
      <w:r w:rsidRPr="00C67E95">
        <w:t>Sd</w:t>
      </w:r>
      <w:r w:rsidR="00A92905">
        <w:t>)</w:t>
      </w:r>
      <w:r w:rsidRPr="00C67E95">
        <w:t xml:space="preserve"> in patients with multiple myeloma previously treated </w:t>
      </w:r>
      <w:r>
        <w:t xml:space="preserve">multiple myeloma, refractory to </w:t>
      </w:r>
      <w:r w:rsidR="000A1710">
        <w:t>five</w:t>
      </w:r>
      <w:r>
        <w:t xml:space="preserve"> anti-myeloma agents and refractory to an </w:t>
      </w:r>
      <w:r w:rsidR="00A92905">
        <w:lastRenderedPageBreak/>
        <w:t>immunomodulatory imide drug (</w:t>
      </w:r>
      <w:proofErr w:type="spellStart"/>
      <w:r>
        <w:t>IMiD</w:t>
      </w:r>
      <w:proofErr w:type="spellEnd"/>
      <w:r w:rsidR="00A92905">
        <w:t>)</w:t>
      </w:r>
      <w:r>
        <w:t xml:space="preserve">, a </w:t>
      </w:r>
      <w:r w:rsidR="000A1710">
        <w:t>proteasome inhibitor</w:t>
      </w:r>
      <w:r>
        <w:t>, glucocorticoids and daratumumab.</w:t>
      </w:r>
    </w:p>
    <w:p w14:paraId="0034459F" w14:textId="24B8A9B1" w:rsidR="00A92905" w:rsidRPr="00F82E97" w:rsidRDefault="00A92905" w:rsidP="000B3827">
      <w:pPr>
        <w:pStyle w:val="Heading6"/>
      </w:pPr>
      <w:r>
        <w:t>Study design</w:t>
      </w:r>
    </w:p>
    <w:p w14:paraId="24828D18" w14:textId="2958DC23" w:rsidR="00A9333F" w:rsidRPr="00083903" w:rsidRDefault="00A57C32" w:rsidP="00A9333F">
      <w:pPr>
        <w:rPr>
          <w:rFonts w:asciiTheme="minorHAnsi" w:hAnsiTheme="minorHAnsi" w:cs="Calibri"/>
          <w:lang w:eastAsia="ja-JP"/>
        </w:rPr>
      </w:pPr>
      <w:r>
        <w:rPr>
          <w:rFonts w:asciiTheme="minorHAnsi" w:hAnsiTheme="minorHAnsi" w:cs="Calibri"/>
          <w:lang w:eastAsia="ja-JP"/>
        </w:rPr>
        <w:t>The S</w:t>
      </w:r>
      <w:r w:rsidR="00F50C82">
        <w:rPr>
          <w:rFonts w:asciiTheme="minorHAnsi" w:hAnsiTheme="minorHAnsi" w:cs="Calibri"/>
          <w:lang w:eastAsia="ja-JP"/>
        </w:rPr>
        <w:t xml:space="preserve">TORM </w:t>
      </w:r>
      <w:r>
        <w:rPr>
          <w:rFonts w:asciiTheme="minorHAnsi" w:hAnsiTheme="minorHAnsi" w:cs="Calibri"/>
          <w:lang w:eastAsia="ja-JP"/>
        </w:rPr>
        <w:t>trial</w:t>
      </w:r>
      <w:r w:rsidR="00A9333F" w:rsidRPr="00083903">
        <w:rPr>
          <w:rFonts w:asciiTheme="minorHAnsi" w:hAnsiTheme="minorHAnsi" w:cs="Calibri"/>
        </w:rPr>
        <w:t xml:space="preserve"> </w:t>
      </w:r>
      <w:r w:rsidR="00F50C82">
        <w:rPr>
          <w:rFonts w:asciiTheme="minorHAnsi" w:hAnsiTheme="minorHAnsi" w:cs="Calibri"/>
        </w:rPr>
        <w:t xml:space="preserve">is </w:t>
      </w:r>
      <w:r w:rsidR="00A9333F" w:rsidRPr="00083903">
        <w:rPr>
          <w:rFonts w:asciiTheme="minorHAnsi" w:hAnsiTheme="minorHAnsi" w:cs="Calibri"/>
        </w:rPr>
        <w:t xml:space="preserve">a multi-centre study conducted at 60 sites across </w:t>
      </w:r>
      <w:r w:rsidR="00C479C3">
        <w:rPr>
          <w:rFonts w:asciiTheme="minorHAnsi" w:hAnsiTheme="minorHAnsi" w:cs="Calibri"/>
        </w:rPr>
        <w:t>six</w:t>
      </w:r>
      <w:r w:rsidR="00A9333F" w:rsidRPr="00083903">
        <w:rPr>
          <w:rFonts w:asciiTheme="minorHAnsi" w:hAnsiTheme="minorHAnsi" w:cs="Calibri"/>
        </w:rPr>
        <w:t xml:space="preserve"> countries. The first </w:t>
      </w:r>
      <w:r w:rsidR="00A9333F" w:rsidRPr="00083903">
        <w:rPr>
          <w:rFonts w:asciiTheme="minorHAnsi" w:hAnsiTheme="minorHAnsi" w:cs="Calibri"/>
          <w:lang w:eastAsia="ja-JP"/>
        </w:rPr>
        <w:t>patient enrolled on 26 May 2015 and the last patient last visit was 26 July 2019.</w:t>
      </w:r>
    </w:p>
    <w:p w14:paraId="3FBA09D6" w14:textId="77777777" w:rsidR="00A92905" w:rsidRDefault="00A9333F" w:rsidP="00A9333F">
      <w:pPr>
        <w:rPr>
          <w:rFonts w:asciiTheme="minorHAnsi" w:hAnsiTheme="minorHAnsi"/>
        </w:rPr>
      </w:pPr>
      <w:r w:rsidRPr="00F352DE">
        <w:rPr>
          <w:rFonts w:asciiTheme="minorHAnsi" w:hAnsiTheme="minorHAnsi" w:cs="Calibri"/>
          <w:lang w:eastAsia="ja-JP"/>
        </w:rPr>
        <w:t>The study consisted of an initial screening phase, a treatment phase, and a follow</w:t>
      </w:r>
      <w:r w:rsidR="006A4BD2">
        <w:rPr>
          <w:rFonts w:asciiTheme="minorHAnsi" w:hAnsiTheme="minorHAnsi" w:cs="Calibri"/>
          <w:lang w:eastAsia="ja-JP"/>
        </w:rPr>
        <w:t xml:space="preserve"> </w:t>
      </w:r>
      <w:r w:rsidRPr="00F352DE">
        <w:rPr>
          <w:rFonts w:asciiTheme="minorHAnsi" w:hAnsiTheme="minorHAnsi" w:cs="Calibri"/>
          <w:lang w:eastAsia="ja-JP"/>
        </w:rPr>
        <w:t>up phase.</w:t>
      </w:r>
      <w:r w:rsidRPr="00F57917">
        <w:rPr>
          <w:rFonts w:ascii="Calibri" w:hAnsi="Calibri" w:cs="Calibri"/>
          <w:lang w:eastAsia="ja-JP"/>
        </w:rPr>
        <w:t xml:space="preserve"> </w:t>
      </w:r>
      <w:r>
        <w:rPr>
          <w:rFonts w:ascii="Calibri" w:hAnsi="Calibri" w:cs="Calibri"/>
          <w:lang w:eastAsia="ja-JP"/>
        </w:rPr>
        <w:t>It</w:t>
      </w:r>
      <w:r>
        <w:t xml:space="preserve"> was conducted in two parts</w:t>
      </w:r>
      <w:r w:rsidR="00A92905">
        <w:rPr>
          <w:rFonts w:asciiTheme="minorHAnsi" w:hAnsiTheme="minorHAnsi"/>
        </w:rPr>
        <w:t>:</w:t>
      </w:r>
    </w:p>
    <w:p w14:paraId="3F6B9262" w14:textId="1224CC97" w:rsidR="00A9333F" w:rsidRPr="00EF3E40" w:rsidRDefault="00C479C3" w:rsidP="000B3827">
      <w:pPr>
        <w:pStyle w:val="ListBullet"/>
        <w:rPr>
          <w:rFonts w:ascii="Calibri" w:hAnsi="Calibri"/>
          <w:lang w:eastAsia="ja-JP"/>
        </w:rPr>
      </w:pPr>
      <w:r>
        <w:t>STORM trial</w:t>
      </w:r>
      <w:r w:rsidRPr="00F955EF">
        <w:rPr>
          <w:lang w:eastAsia="ja-JP"/>
        </w:rPr>
        <w:t xml:space="preserve"> </w:t>
      </w:r>
      <w:r>
        <w:rPr>
          <w:lang w:eastAsia="ja-JP"/>
        </w:rPr>
        <w:t>p</w:t>
      </w:r>
      <w:r w:rsidR="00A9333F" w:rsidRPr="00F955EF">
        <w:rPr>
          <w:lang w:eastAsia="ja-JP"/>
        </w:rPr>
        <w:t>art 1 enrolled patients with both quad-exposed, double</w:t>
      </w:r>
      <w:r>
        <w:rPr>
          <w:lang w:eastAsia="ja-JP"/>
        </w:rPr>
        <w:t xml:space="preserve"> </w:t>
      </w:r>
      <w:r w:rsidR="00A9333F" w:rsidRPr="00F955EF">
        <w:rPr>
          <w:lang w:eastAsia="ja-JP"/>
        </w:rPr>
        <w:t>class</w:t>
      </w:r>
      <w:r>
        <w:rPr>
          <w:lang w:eastAsia="ja-JP"/>
        </w:rPr>
        <w:t xml:space="preserve"> </w:t>
      </w:r>
      <w:r w:rsidR="00A9333F" w:rsidRPr="00F955EF">
        <w:rPr>
          <w:lang w:eastAsia="ja-JP"/>
        </w:rPr>
        <w:t>refractory</w:t>
      </w:r>
      <w:r>
        <w:rPr>
          <w:lang w:eastAsia="ja-JP"/>
        </w:rPr>
        <w:t xml:space="preserve"> multiple myeloma </w:t>
      </w:r>
      <w:r w:rsidR="00A9333F" w:rsidRPr="00F955EF">
        <w:rPr>
          <w:lang w:eastAsia="ja-JP"/>
        </w:rPr>
        <w:t>(defined as</w:t>
      </w:r>
      <w:r>
        <w:rPr>
          <w:lang w:eastAsia="ja-JP"/>
        </w:rPr>
        <w:t xml:space="preserve"> multiple myeloma</w:t>
      </w:r>
      <w:r w:rsidR="00A9333F" w:rsidRPr="00F955EF">
        <w:rPr>
          <w:lang w:eastAsia="ja-JP"/>
        </w:rPr>
        <w:t xml:space="preserve"> exposed to lenalidomide, pomalidomide, bortezomib and carfilzomib, and refractory to at least </w:t>
      </w:r>
      <w:r>
        <w:rPr>
          <w:lang w:eastAsia="ja-JP"/>
        </w:rPr>
        <w:t>one</w:t>
      </w:r>
      <w:r w:rsidR="00A9333F" w:rsidRPr="00F955EF">
        <w:rPr>
          <w:lang w:eastAsia="ja-JP"/>
        </w:rPr>
        <w:t xml:space="preserve"> </w:t>
      </w:r>
      <w:r>
        <w:rPr>
          <w:lang w:eastAsia="ja-JP"/>
        </w:rPr>
        <w:t xml:space="preserve">protease inhibitor </w:t>
      </w:r>
      <w:r w:rsidR="00A9333F" w:rsidRPr="00F955EF">
        <w:rPr>
          <w:lang w:eastAsia="ja-JP"/>
        </w:rPr>
        <w:t xml:space="preserve">and at least </w:t>
      </w:r>
      <w:r>
        <w:rPr>
          <w:lang w:eastAsia="ja-JP"/>
        </w:rPr>
        <w:t>one</w:t>
      </w:r>
      <w:r w:rsidR="00A9333F" w:rsidRPr="00F955EF">
        <w:rPr>
          <w:lang w:eastAsia="ja-JP"/>
        </w:rPr>
        <w:t xml:space="preserve"> </w:t>
      </w:r>
      <w:r w:rsidR="003A366E">
        <w:rPr>
          <w:lang w:eastAsia="ja-JP"/>
        </w:rPr>
        <w:t>immunomodulatory imide drug (</w:t>
      </w:r>
      <w:proofErr w:type="spellStart"/>
      <w:r w:rsidR="00A9333F" w:rsidRPr="00F955EF">
        <w:rPr>
          <w:lang w:eastAsia="ja-JP"/>
        </w:rPr>
        <w:t>IMiD</w:t>
      </w:r>
      <w:proofErr w:type="spellEnd"/>
      <w:r w:rsidR="003A366E">
        <w:rPr>
          <w:lang w:eastAsia="ja-JP"/>
        </w:rPr>
        <w:t>)</w:t>
      </w:r>
      <w:r w:rsidR="00A9333F" w:rsidRPr="00F955EF">
        <w:rPr>
          <w:lang w:eastAsia="ja-JP"/>
        </w:rPr>
        <w:t>, and steroids) and penta-exposed, triple</w:t>
      </w:r>
      <w:r>
        <w:rPr>
          <w:lang w:eastAsia="ja-JP"/>
        </w:rPr>
        <w:t xml:space="preserve"> </w:t>
      </w:r>
      <w:r w:rsidR="00A9333F" w:rsidRPr="00F955EF">
        <w:rPr>
          <w:lang w:eastAsia="ja-JP"/>
        </w:rPr>
        <w:t>class</w:t>
      </w:r>
      <w:r>
        <w:rPr>
          <w:lang w:eastAsia="ja-JP"/>
        </w:rPr>
        <w:t xml:space="preserve"> </w:t>
      </w:r>
      <w:r w:rsidR="00A9333F" w:rsidRPr="00F955EF">
        <w:rPr>
          <w:lang w:eastAsia="ja-JP"/>
        </w:rPr>
        <w:t xml:space="preserve">refractory </w:t>
      </w:r>
      <w:r>
        <w:rPr>
          <w:lang w:eastAsia="ja-JP"/>
        </w:rPr>
        <w:t>multiple myeloma</w:t>
      </w:r>
      <w:r w:rsidR="00A9333F" w:rsidRPr="00F955EF">
        <w:rPr>
          <w:lang w:eastAsia="ja-JP"/>
        </w:rPr>
        <w:t xml:space="preserve"> (defined as </w:t>
      </w:r>
      <w:r>
        <w:rPr>
          <w:lang w:eastAsia="ja-JP"/>
        </w:rPr>
        <w:t>multiple myeloma</w:t>
      </w:r>
      <w:r w:rsidR="00A9333F" w:rsidRPr="00F955EF">
        <w:rPr>
          <w:lang w:eastAsia="ja-JP"/>
        </w:rPr>
        <w:t xml:space="preserve"> exposed to lenalidomide, pomalidomide, bortezomib, carfilzomib, and daratumumab, and refractory to at least </w:t>
      </w:r>
      <w:r>
        <w:rPr>
          <w:lang w:eastAsia="ja-JP"/>
        </w:rPr>
        <w:t>one</w:t>
      </w:r>
      <w:r w:rsidR="00A9333F" w:rsidRPr="00F955EF">
        <w:rPr>
          <w:lang w:eastAsia="ja-JP"/>
        </w:rPr>
        <w:t xml:space="preserve"> </w:t>
      </w:r>
      <w:r>
        <w:rPr>
          <w:lang w:eastAsia="ja-JP"/>
        </w:rPr>
        <w:t>protease inhibitor</w:t>
      </w:r>
      <w:r w:rsidR="00A9333F" w:rsidRPr="00F955EF">
        <w:rPr>
          <w:lang w:eastAsia="ja-JP"/>
        </w:rPr>
        <w:t xml:space="preserve">, at least </w:t>
      </w:r>
      <w:r>
        <w:rPr>
          <w:lang w:eastAsia="ja-JP"/>
        </w:rPr>
        <w:t>one</w:t>
      </w:r>
      <w:r w:rsidR="00A9333F" w:rsidRPr="00F955EF">
        <w:rPr>
          <w:lang w:eastAsia="ja-JP"/>
        </w:rPr>
        <w:t xml:space="preserve"> </w:t>
      </w:r>
      <w:proofErr w:type="spellStart"/>
      <w:r w:rsidR="00A9333F" w:rsidRPr="00F955EF">
        <w:rPr>
          <w:lang w:eastAsia="ja-JP"/>
        </w:rPr>
        <w:t>IMiD</w:t>
      </w:r>
      <w:proofErr w:type="spellEnd"/>
      <w:r w:rsidR="00A9333F" w:rsidRPr="00F955EF">
        <w:rPr>
          <w:lang w:eastAsia="ja-JP"/>
        </w:rPr>
        <w:t xml:space="preserve">, and the anti-CD38 </w:t>
      </w:r>
      <w:proofErr w:type="spellStart"/>
      <w:r w:rsidR="00A9333F" w:rsidRPr="00F955EF">
        <w:rPr>
          <w:lang w:eastAsia="ja-JP"/>
        </w:rPr>
        <w:t>mAb</w:t>
      </w:r>
      <w:proofErr w:type="spellEnd"/>
      <w:r w:rsidR="00A9333F" w:rsidRPr="00F955EF">
        <w:rPr>
          <w:lang w:eastAsia="ja-JP"/>
        </w:rPr>
        <w:t xml:space="preserve"> daratumumab [and glucocorticoids]).</w:t>
      </w:r>
    </w:p>
    <w:p w14:paraId="1CDB8A14" w14:textId="51D34AF7" w:rsidR="00A9333F" w:rsidRDefault="00C479C3" w:rsidP="000B3827">
      <w:pPr>
        <w:pStyle w:val="ListBullet"/>
      </w:pPr>
      <w:r>
        <w:t>STORM trial</w:t>
      </w:r>
      <w:r w:rsidRPr="00F352DE">
        <w:rPr>
          <w:rFonts w:asciiTheme="minorHAnsi" w:hAnsiTheme="minorHAnsi" w:cs="Calibri"/>
          <w:lang w:eastAsia="ja-JP"/>
        </w:rPr>
        <w:t xml:space="preserve"> </w:t>
      </w:r>
      <w:r>
        <w:rPr>
          <w:rFonts w:asciiTheme="minorHAnsi" w:hAnsiTheme="minorHAnsi" w:cs="Calibri"/>
          <w:lang w:eastAsia="ja-JP"/>
        </w:rPr>
        <w:t>p</w:t>
      </w:r>
      <w:r w:rsidR="00A9333F" w:rsidRPr="00F352DE">
        <w:rPr>
          <w:rFonts w:asciiTheme="minorHAnsi" w:hAnsiTheme="minorHAnsi" w:cs="Calibri"/>
          <w:lang w:eastAsia="ja-JP"/>
        </w:rPr>
        <w:t>art 2 enrolled patients with penta-exposed</w:t>
      </w:r>
      <w:r w:rsidR="00A9333F">
        <w:rPr>
          <w:rFonts w:asciiTheme="minorHAnsi" w:hAnsiTheme="minorHAnsi" w:cs="Calibri"/>
          <w:lang w:eastAsia="ja-JP"/>
        </w:rPr>
        <w:t xml:space="preserve"> (to</w:t>
      </w:r>
      <w:r w:rsidR="00A9333F" w:rsidRPr="00F352DE">
        <w:rPr>
          <w:rFonts w:asciiTheme="minorHAnsi" w:hAnsiTheme="minorHAnsi" w:cs="Calibri"/>
          <w:lang w:eastAsia="ja-JP"/>
        </w:rPr>
        <w:t xml:space="preserve"> </w:t>
      </w:r>
      <w:r w:rsidR="00A9333F" w:rsidRPr="00C67E95">
        <w:t>lenalidomide, pomalidomide, bortezomib, carfilzomib, and daratumumab</w:t>
      </w:r>
      <w:r w:rsidR="00A9333F">
        <w:t>)</w:t>
      </w:r>
      <w:r w:rsidR="00A9333F" w:rsidRPr="00C67E95">
        <w:t xml:space="preserve">, and </w:t>
      </w:r>
      <w:r w:rsidR="00A9333F" w:rsidRPr="00F352DE">
        <w:rPr>
          <w:rFonts w:asciiTheme="minorHAnsi" w:hAnsiTheme="minorHAnsi" w:cs="Calibri"/>
          <w:lang w:eastAsia="ja-JP"/>
        </w:rPr>
        <w:t>triple-class-refractory</w:t>
      </w:r>
      <w:r w:rsidR="00A9333F">
        <w:rPr>
          <w:rFonts w:asciiTheme="minorHAnsi" w:hAnsiTheme="minorHAnsi" w:cs="Calibri"/>
          <w:lang w:eastAsia="ja-JP"/>
        </w:rPr>
        <w:t xml:space="preserve"> (</w:t>
      </w:r>
      <w:r w:rsidR="00A9333F" w:rsidRPr="00C67E95">
        <w:t xml:space="preserve">to prior treatment with glucocorticoids, an </w:t>
      </w:r>
      <w:proofErr w:type="spellStart"/>
      <w:r w:rsidR="00A9333F" w:rsidRPr="00C67E95">
        <w:t>IMiD</w:t>
      </w:r>
      <w:proofErr w:type="spellEnd"/>
      <w:r w:rsidR="00A9333F" w:rsidRPr="00C67E95">
        <w:t xml:space="preserve">, a proteasome inhibitor (PI), and the anti-CD38 </w:t>
      </w:r>
      <w:proofErr w:type="spellStart"/>
      <w:r w:rsidR="00A9333F" w:rsidRPr="00C67E95">
        <w:t>mAb</w:t>
      </w:r>
      <w:proofErr w:type="spellEnd"/>
      <w:r w:rsidR="00A9333F" w:rsidRPr="00C67E95">
        <w:t xml:space="preserve"> daratumumab</w:t>
      </w:r>
      <w:r w:rsidR="00A9333F">
        <w:t>. Refractory was defined as either ≤</w:t>
      </w:r>
      <w:r>
        <w:t> </w:t>
      </w:r>
      <w:r w:rsidR="00A9333F">
        <w:t>25% response to therapy or progression during or within 60 days of completion of therapy (per IMWG criteria).</w:t>
      </w:r>
      <w:r w:rsidR="00A92905" w:rsidRPr="000B3827">
        <w:rPr>
          <w:vertAlign w:val="superscript"/>
        </w:rPr>
        <w:fldChar w:fldCharType="begin"/>
      </w:r>
      <w:r w:rsidR="00A92905" w:rsidRPr="000B3827">
        <w:rPr>
          <w:vertAlign w:val="superscript"/>
        </w:rPr>
        <w:instrText xml:space="preserve"> NOTEREF _Ref111543588 \h </w:instrText>
      </w:r>
      <w:r w:rsidR="00A92905">
        <w:rPr>
          <w:vertAlign w:val="superscript"/>
        </w:rPr>
        <w:instrText xml:space="preserve"> \* MERGEFORMAT </w:instrText>
      </w:r>
      <w:r w:rsidR="00A92905" w:rsidRPr="000B3827">
        <w:rPr>
          <w:vertAlign w:val="superscript"/>
        </w:rPr>
      </w:r>
      <w:r w:rsidR="00A92905" w:rsidRPr="000B3827">
        <w:rPr>
          <w:vertAlign w:val="superscript"/>
        </w:rPr>
        <w:fldChar w:fldCharType="separate"/>
      </w:r>
      <w:r w:rsidR="00A92905" w:rsidRPr="000B3827">
        <w:rPr>
          <w:vertAlign w:val="superscript"/>
        </w:rPr>
        <w:t>18</w:t>
      </w:r>
      <w:r w:rsidR="00A92905" w:rsidRPr="000B3827">
        <w:rPr>
          <w:vertAlign w:val="superscript"/>
        </w:rPr>
        <w:fldChar w:fldCharType="end"/>
      </w:r>
      <w:r w:rsidR="00A9333F">
        <w:t xml:space="preserve"> Hence, the patient population is considered penta-exposed </w:t>
      </w:r>
      <w:r w:rsidR="00A9333F" w:rsidRPr="00C479C3">
        <w:t>and</w:t>
      </w:r>
      <w:r w:rsidR="00A9333F">
        <w:rPr>
          <w:i/>
          <w:iCs/>
        </w:rPr>
        <w:t xml:space="preserve"> </w:t>
      </w:r>
      <w:r w:rsidR="00A9333F">
        <w:t>triple-class refractory.</w:t>
      </w:r>
    </w:p>
    <w:p w14:paraId="472539D7" w14:textId="6CCA7304" w:rsidR="00A92905" w:rsidRPr="001735E4" w:rsidRDefault="00A92905" w:rsidP="000B3827">
      <w:pPr>
        <w:pStyle w:val="Heading6"/>
      </w:pPr>
      <w:r>
        <w:t>Inclusion criteria</w:t>
      </w:r>
    </w:p>
    <w:p w14:paraId="1D9A7877" w14:textId="5A118DE6" w:rsidR="00A9333F" w:rsidRDefault="00FF4984" w:rsidP="00A9333F">
      <w:r>
        <w:rPr>
          <w:rFonts w:asciiTheme="minorHAnsi" w:hAnsiTheme="minorHAnsi" w:cs="Calibri"/>
          <w:lang w:eastAsia="ja-JP"/>
        </w:rPr>
        <w:t xml:space="preserve">Key </w:t>
      </w:r>
      <w:r>
        <w:t>i</w:t>
      </w:r>
      <w:r w:rsidR="008B14E9">
        <w:t>nclusion criteria</w:t>
      </w:r>
      <w:r w:rsidR="00A57C32">
        <w:t xml:space="preserve"> </w:t>
      </w:r>
      <w:proofErr w:type="gramStart"/>
      <w:r w:rsidR="00A57C32">
        <w:t>includes</w:t>
      </w:r>
      <w:proofErr w:type="gramEnd"/>
      <w:r w:rsidR="008B14E9">
        <w:t>:</w:t>
      </w:r>
    </w:p>
    <w:p w14:paraId="2868FD84" w14:textId="646D2E3C" w:rsidR="008B14E9" w:rsidRPr="001A50C7" w:rsidRDefault="008B14E9" w:rsidP="008B14E9">
      <w:pPr>
        <w:pStyle w:val="ListBullet"/>
      </w:pPr>
      <w:r w:rsidRPr="001A50C7">
        <w:t>Measurable disease based on IMWG guidelines</w:t>
      </w:r>
      <w:r w:rsidR="00A92905">
        <w:t>;</w:t>
      </w:r>
      <w:r w:rsidR="00A92905" w:rsidRPr="000B3827">
        <w:rPr>
          <w:vertAlign w:val="superscript"/>
        </w:rPr>
        <w:fldChar w:fldCharType="begin"/>
      </w:r>
      <w:r w:rsidR="00A92905" w:rsidRPr="000B3827">
        <w:rPr>
          <w:vertAlign w:val="superscript"/>
        </w:rPr>
        <w:instrText xml:space="preserve"> NOTEREF _Ref111543588 \h </w:instrText>
      </w:r>
      <w:r w:rsidR="00A92905">
        <w:rPr>
          <w:vertAlign w:val="superscript"/>
        </w:rPr>
        <w:instrText xml:space="preserve"> \* MERGEFORMAT </w:instrText>
      </w:r>
      <w:r w:rsidR="00A92905" w:rsidRPr="000B3827">
        <w:rPr>
          <w:vertAlign w:val="superscript"/>
        </w:rPr>
      </w:r>
      <w:r w:rsidR="00A92905" w:rsidRPr="000B3827">
        <w:rPr>
          <w:vertAlign w:val="superscript"/>
        </w:rPr>
        <w:fldChar w:fldCharType="separate"/>
      </w:r>
      <w:r w:rsidR="00A92905" w:rsidRPr="000B3827">
        <w:rPr>
          <w:vertAlign w:val="superscript"/>
        </w:rPr>
        <w:t>18</w:t>
      </w:r>
      <w:r w:rsidR="00A92905" w:rsidRPr="000B3827">
        <w:rPr>
          <w:vertAlign w:val="superscript"/>
        </w:rPr>
        <w:fldChar w:fldCharType="end"/>
      </w:r>
      <w:r w:rsidRPr="001A50C7">
        <w:t xml:space="preserve"> as defined by at least </w:t>
      </w:r>
      <w:r w:rsidR="00F50C82">
        <w:t>one</w:t>
      </w:r>
      <w:r w:rsidRPr="001A50C7">
        <w:t xml:space="preserve"> of the following:</w:t>
      </w:r>
    </w:p>
    <w:p w14:paraId="5ED267A6" w14:textId="31EFCB1C" w:rsidR="008B14E9" w:rsidRPr="001A50C7" w:rsidRDefault="008B14E9" w:rsidP="00A92905">
      <w:pPr>
        <w:pStyle w:val="ListBullet2"/>
      </w:pPr>
      <w:r w:rsidRPr="001A50C7">
        <w:t>Serum M-protein ≥</w:t>
      </w:r>
      <w:r w:rsidR="000A1B6A">
        <w:t> </w:t>
      </w:r>
      <w:r w:rsidRPr="001A50C7">
        <w:t xml:space="preserve">0.5 g/dL by </w:t>
      </w:r>
      <w:r w:rsidR="00A92905">
        <w:t>s</w:t>
      </w:r>
      <w:r w:rsidR="00A92905" w:rsidRPr="00A92905">
        <w:t xml:space="preserve">erum protein electrophoresis </w:t>
      </w:r>
      <w:r w:rsidRPr="001A50C7">
        <w:t>or quantitative IgA</w:t>
      </w:r>
    </w:p>
    <w:p w14:paraId="48DF3C12" w14:textId="765F1A0B" w:rsidR="008B14E9" w:rsidRPr="001A50C7" w:rsidRDefault="008B14E9" w:rsidP="008B14E9">
      <w:pPr>
        <w:pStyle w:val="ListBullet2"/>
      </w:pPr>
      <w:r w:rsidRPr="001A50C7">
        <w:t>Urinary M-protein excretion ≥</w:t>
      </w:r>
      <w:r w:rsidR="000A1B6A">
        <w:t> </w:t>
      </w:r>
      <w:r w:rsidRPr="001A50C7">
        <w:t>200 mg/24 hours</w:t>
      </w:r>
    </w:p>
    <w:p w14:paraId="3710668A" w14:textId="574FC1CB" w:rsidR="008B14E9" w:rsidRPr="001A50C7" w:rsidRDefault="00A92905" w:rsidP="008B14E9">
      <w:pPr>
        <w:pStyle w:val="ListBullet2"/>
      </w:pPr>
      <w:r>
        <w:t>Free light chain (FLC)</w:t>
      </w:r>
      <w:r w:rsidRPr="001A50C7">
        <w:t xml:space="preserve"> </w:t>
      </w:r>
      <w:r w:rsidR="008B14E9" w:rsidRPr="001A50C7">
        <w:t>≥</w:t>
      </w:r>
      <w:r w:rsidR="000A1B6A">
        <w:t> </w:t>
      </w:r>
      <w:r w:rsidR="008B14E9" w:rsidRPr="001A50C7">
        <w:t>100 mg/L, provided that the FLC ratio is abnormal</w:t>
      </w:r>
    </w:p>
    <w:p w14:paraId="0B3A9A79" w14:textId="1749A80E" w:rsidR="008B14E9" w:rsidRPr="001A50C7" w:rsidRDefault="008B14E9" w:rsidP="008B14E9">
      <w:pPr>
        <w:pStyle w:val="ListBullet"/>
      </w:pPr>
      <w:r w:rsidRPr="001A50C7">
        <w:t>Previously received ≥</w:t>
      </w:r>
      <w:r>
        <w:t> </w:t>
      </w:r>
      <w:r w:rsidRPr="001A50C7">
        <w:t>3 anti-</w:t>
      </w:r>
      <w:r w:rsidR="00F50C82">
        <w:t>multiple myeloma</w:t>
      </w:r>
      <w:r w:rsidRPr="001A50C7">
        <w:t xml:space="preserve"> regimens including: an alkylating agent, lenalidomide, pomalidomide, bortezomib, carfilzomib, daratumumab, and a glucocorticoid</w:t>
      </w:r>
    </w:p>
    <w:p w14:paraId="6244BB5E" w14:textId="2A9958C4" w:rsidR="008B14E9" w:rsidRPr="001A50C7" w:rsidRDefault="008B14E9" w:rsidP="008B14E9">
      <w:pPr>
        <w:pStyle w:val="ListBullet"/>
      </w:pPr>
      <w:r w:rsidRPr="001A50C7">
        <w:t>Refractory to previous anticancer treatments: glucocorticoids, proteasome inhibitor (</w:t>
      </w:r>
      <w:r>
        <w:t>that is</w:t>
      </w:r>
      <w:r w:rsidRPr="001A50C7">
        <w:t xml:space="preserve"> bortezomib and/or carfilzomib), </w:t>
      </w:r>
      <w:proofErr w:type="spellStart"/>
      <w:r w:rsidRPr="001A50C7">
        <w:t>IMiD</w:t>
      </w:r>
      <w:proofErr w:type="spellEnd"/>
      <w:r w:rsidRPr="001A50C7">
        <w:t xml:space="preserve"> (</w:t>
      </w:r>
      <w:r>
        <w:t>that is</w:t>
      </w:r>
      <w:r w:rsidRPr="001A50C7">
        <w:t xml:space="preserve"> lenalidomide and/or pomalidomide), and daratumumab</w:t>
      </w:r>
    </w:p>
    <w:p w14:paraId="01D4F3D2" w14:textId="0FC141E0" w:rsidR="008B14E9" w:rsidRPr="001A50C7" w:rsidRDefault="008B14E9" w:rsidP="008B14E9">
      <w:pPr>
        <w:pStyle w:val="ListBullet2"/>
      </w:pPr>
      <w:r w:rsidRPr="001A50C7">
        <w:t>Refractory: ≤</w:t>
      </w:r>
      <w:r>
        <w:t> </w:t>
      </w:r>
      <w:r w:rsidRPr="001A50C7">
        <w:t>25% response to therapy or progression during or within 60 days after completion of therapy</w:t>
      </w:r>
    </w:p>
    <w:p w14:paraId="619A7DA1" w14:textId="4A3E4FDD" w:rsidR="008B14E9" w:rsidRPr="001A50C7" w:rsidRDefault="008B14E9" w:rsidP="008B14E9">
      <w:pPr>
        <w:pStyle w:val="ListBullet"/>
      </w:pPr>
      <w:r w:rsidRPr="001A50C7">
        <w:t>Refractory to most recent anti-</w:t>
      </w:r>
      <w:r w:rsidR="00F50C82">
        <w:t>multiple myeloma</w:t>
      </w:r>
      <w:r w:rsidRPr="001A50C7">
        <w:t xml:space="preserve"> regimen</w:t>
      </w:r>
    </w:p>
    <w:p w14:paraId="7ED2681F" w14:textId="55F4D082" w:rsidR="008B14E9" w:rsidRPr="001A50C7" w:rsidRDefault="008B14E9" w:rsidP="008B14E9">
      <w:pPr>
        <w:pStyle w:val="ListBullet"/>
      </w:pPr>
      <w:r w:rsidRPr="001A50C7">
        <w:t>Adequate hepatic function</w:t>
      </w:r>
    </w:p>
    <w:p w14:paraId="68F16DE9" w14:textId="432501B8" w:rsidR="008B14E9" w:rsidRPr="001A50C7" w:rsidRDefault="008B14E9" w:rsidP="008B14E9">
      <w:pPr>
        <w:pStyle w:val="ListBullet2"/>
      </w:pPr>
      <w:r w:rsidRPr="001A50C7">
        <w:t xml:space="preserve">Total bilirubin &lt;2 × </w:t>
      </w:r>
      <w:r w:rsidR="000A1B6A" w:rsidRPr="000A1B6A">
        <w:t>upper limit of normal</w:t>
      </w:r>
      <w:r w:rsidR="000A1B6A">
        <w:t xml:space="preserve"> (</w:t>
      </w:r>
      <w:r w:rsidRPr="001A50C7">
        <w:t>ULN</w:t>
      </w:r>
      <w:r w:rsidR="000A1B6A">
        <w:t>)</w:t>
      </w:r>
      <w:r w:rsidRPr="001A50C7">
        <w:t xml:space="preserve"> (</w:t>
      </w:r>
      <w:r w:rsidR="007447D5">
        <w:t xml:space="preserve">or in </w:t>
      </w:r>
      <w:r w:rsidRPr="001A50C7">
        <w:t>Gilbert’s syndrome</w:t>
      </w:r>
      <w:r w:rsidR="007447D5">
        <w:t>,</w:t>
      </w:r>
      <w:r w:rsidRPr="001A50C7">
        <w:t xml:space="preserve"> &lt;</w:t>
      </w:r>
      <w:r w:rsidR="007447D5">
        <w:t> </w:t>
      </w:r>
      <w:r w:rsidRPr="001A50C7">
        <w:t>3</w:t>
      </w:r>
      <w:r w:rsidR="007447D5">
        <w:t> </w:t>
      </w:r>
      <w:proofErr w:type="gramStart"/>
      <w:r w:rsidRPr="001A50C7">
        <w:t>×</w:t>
      </w:r>
      <w:r w:rsidR="007447D5">
        <w:t xml:space="preserve">  </w:t>
      </w:r>
      <w:r w:rsidRPr="001A50C7">
        <w:t>ULN</w:t>
      </w:r>
      <w:proofErr w:type="gramEnd"/>
      <w:r w:rsidRPr="001A50C7">
        <w:t>)</w:t>
      </w:r>
    </w:p>
    <w:p w14:paraId="11127F34" w14:textId="00215B3A" w:rsidR="008B14E9" w:rsidRPr="001A50C7" w:rsidRDefault="008B14E9" w:rsidP="008B14E9">
      <w:pPr>
        <w:pStyle w:val="ListBullet2"/>
      </w:pPr>
      <w:r w:rsidRPr="001A50C7">
        <w:t>AST &lt;</w:t>
      </w:r>
      <w:r w:rsidR="007447D5">
        <w:t xml:space="preserve"> </w:t>
      </w:r>
      <w:r w:rsidRPr="001A50C7">
        <w:t>2.5 × ULN</w:t>
      </w:r>
    </w:p>
    <w:p w14:paraId="0DA6B587" w14:textId="7E0F3195" w:rsidR="008B14E9" w:rsidRPr="001A50C7" w:rsidRDefault="008B14E9" w:rsidP="008B14E9">
      <w:pPr>
        <w:pStyle w:val="ListBullet2"/>
      </w:pPr>
      <w:r w:rsidRPr="001A50C7">
        <w:t>ALT &lt;</w:t>
      </w:r>
      <w:r w:rsidR="007447D5">
        <w:t xml:space="preserve"> </w:t>
      </w:r>
      <w:r w:rsidRPr="001A50C7">
        <w:t>2.5 × ULN</w:t>
      </w:r>
    </w:p>
    <w:p w14:paraId="4F8EA208" w14:textId="18BCC52A" w:rsidR="008B14E9" w:rsidRPr="001A50C7" w:rsidRDefault="008B14E9" w:rsidP="008B14E9">
      <w:pPr>
        <w:pStyle w:val="ListBullet"/>
      </w:pPr>
      <w:r w:rsidRPr="001A50C7">
        <w:t>Adequate renal function</w:t>
      </w:r>
    </w:p>
    <w:p w14:paraId="2DEAEA45" w14:textId="5F619D71" w:rsidR="008B14E9" w:rsidRPr="001A50C7" w:rsidRDefault="008B14E9" w:rsidP="008B14E9">
      <w:pPr>
        <w:pStyle w:val="ListBullet2"/>
      </w:pPr>
      <w:r w:rsidRPr="001A50C7">
        <w:lastRenderedPageBreak/>
        <w:t>Estimated creatinine clearance of ≥</w:t>
      </w:r>
      <w:r w:rsidR="000A1B6A">
        <w:t> </w:t>
      </w:r>
      <w:r w:rsidRPr="001A50C7">
        <w:t>20 mL/min per Cockcroft/Gault</w:t>
      </w:r>
      <w:r w:rsidR="007447D5">
        <w:t xml:space="preserve"> formula</w:t>
      </w:r>
    </w:p>
    <w:p w14:paraId="282A18FB" w14:textId="7DBFC6C2" w:rsidR="008B14E9" w:rsidRPr="001A50C7" w:rsidRDefault="008B14E9" w:rsidP="008B14E9">
      <w:pPr>
        <w:pStyle w:val="ListBullet"/>
      </w:pPr>
      <w:r w:rsidRPr="001A50C7">
        <w:t>ECOG</w:t>
      </w:r>
      <w:r w:rsidR="000A1B6A">
        <w:t xml:space="preserve"> </w:t>
      </w:r>
      <w:r w:rsidRPr="001A50C7">
        <w:t>PS ≤</w:t>
      </w:r>
      <w:r w:rsidR="000A1B6A">
        <w:t> </w:t>
      </w:r>
      <w:r w:rsidRPr="001A50C7">
        <w:t>2</w:t>
      </w:r>
      <w:r w:rsidR="000A1B6A">
        <w:t>;</w:t>
      </w:r>
      <w:r w:rsidR="000A1B6A">
        <w:fldChar w:fldCharType="begin"/>
      </w:r>
      <w:r w:rsidR="000A1B6A">
        <w:instrText xml:space="preserve"> NOTEREF _Ref111552444 \f \h </w:instrText>
      </w:r>
      <w:r w:rsidR="000A1B6A">
        <w:fldChar w:fldCharType="separate"/>
      </w:r>
      <w:r w:rsidR="007447D5" w:rsidRPr="000B3827">
        <w:rPr>
          <w:rStyle w:val="FootnoteReference"/>
        </w:rPr>
        <w:t>14</w:t>
      </w:r>
      <w:r w:rsidR="000A1B6A">
        <w:fldChar w:fldCharType="end"/>
      </w:r>
    </w:p>
    <w:p w14:paraId="720D2CB2" w14:textId="4EAEA670" w:rsidR="008B14E9" w:rsidRPr="001A50C7" w:rsidRDefault="008B14E9" w:rsidP="008B14E9">
      <w:pPr>
        <w:pStyle w:val="ListBullet"/>
      </w:pPr>
      <w:r w:rsidRPr="001A50C7">
        <w:t>Adequate h</w:t>
      </w:r>
      <w:r w:rsidR="007447D5">
        <w:t>a</w:t>
      </w:r>
      <w:r w:rsidRPr="001A50C7">
        <w:t>ematopoietic function</w:t>
      </w:r>
    </w:p>
    <w:p w14:paraId="7E78AEDB" w14:textId="4138F54A" w:rsidR="008B14E9" w:rsidRPr="001A50C7" w:rsidRDefault="007447D5" w:rsidP="008B14E9">
      <w:pPr>
        <w:pStyle w:val="ListBullet2"/>
      </w:pPr>
      <w:r>
        <w:t>t</w:t>
      </w:r>
      <w:r w:rsidR="008B14E9" w:rsidRPr="001A50C7">
        <w:t xml:space="preserve">otal </w:t>
      </w:r>
      <w:r w:rsidR="00F50C82">
        <w:t>white blood count</w:t>
      </w:r>
      <w:r w:rsidR="008B14E9" w:rsidRPr="001A50C7">
        <w:t xml:space="preserve"> &gt;</w:t>
      </w:r>
      <w:r w:rsidR="000A1B6A">
        <w:t> </w:t>
      </w:r>
      <w:r w:rsidR="008B14E9" w:rsidRPr="001A50C7">
        <w:t>1000/mm</w:t>
      </w:r>
      <w:r w:rsidR="008B14E9" w:rsidRPr="000A1B6A">
        <w:rPr>
          <w:vertAlign w:val="superscript"/>
        </w:rPr>
        <w:t>3</w:t>
      </w:r>
    </w:p>
    <w:p w14:paraId="76D9140C" w14:textId="294FDA3F" w:rsidR="008B14E9" w:rsidRPr="001A50C7" w:rsidRDefault="00F50C82" w:rsidP="008B14E9">
      <w:pPr>
        <w:pStyle w:val="ListBullet2"/>
      </w:pPr>
      <w:r w:rsidRPr="00F50C82">
        <w:t>absolute neutrophil count</w:t>
      </w:r>
      <w:r w:rsidR="008B14E9" w:rsidRPr="001A50C7">
        <w:t xml:space="preserve"> ≥</w:t>
      </w:r>
      <w:r w:rsidR="000A1B6A">
        <w:t> </w:t>
      </w:r>
      <w:r w:rsidR="008B14E9" w:rsidRPr="001A50C7">
        <w:t>1000/mm</w:t>
      </w:r>
      <w:r w:rsidR="008B14E9" w:rsidRPr="000A1B6A">
        <w:rPr>
          <w:vertAlign w:val="superscript"/>
        </w:rPr>
        <w:t>3</w:t>
      </w:r>
    </w:p>
    <w:p w14:paraId="00E30062" w14:textId="6336AF07" w:rsidR="008B14E9" w:rsidRPr="001A50C7" w:rsidRDefault="008B14E9" w:rsidP="008B14E9">
      <w:pPr>
        <w:pStyle w:val="ListBullet"/>
      </w:pPr>
      <w:r w:rsidRPr="001A50C7">
        <w:t>Platelet count ≥</w:t>
      </w:r>
      <w:r w:rsidR="000A1B6A">
        <w:t> </w:t>
      </w:r>
      <w:r w:rsidRPr="001A50C7">
        <w:t>75</w:t>
      </w:r>
      <w:r w:rsidR="00F50C82">
        <w:t>,</w:t>
      </w:r>
      <w:r w:rsidRPr="001A50C7">
        <w:t>000/mm</w:t>
      </w:r>
      <w:r w:rsidRPr="000A1B6A">
        <w:rPr>
          <w:vertAlign w:val="superscript"/>
        </w:rPr>
        <w:t>3</w:t>
      </w:r>
      <w:r w:rsidRPr="001A50C7">
        <w:t xml:space="preserve"> for patients with &lt;</w:t>
      </w:r>
      <w:r w:rsidR="000A1B6A">
        <w:t> </w:t>
      </w:r>
      <w:r w:rsidRPr="001A50C7">
        <w:t>50% of bone marrow nucleated cells are plasma cells; or ≥</w:t>
      </w:r>
      <w:r w:rsidR="000A1B6A">
        <w:t> </w:t>
      </w:r>
      <w:r w:rsidRPr="001A50C7">
        <w:t>50,000/mm</w:t>
      </w:r>
      <w:r w:rsidRPr="000A1B6A">
        <w:rPr>
          <w:vertAlign w:val="superscript"/>
        </w:rPr>
        <w:t>3</w:t>
      </w:r>
      <w:r w:rsidRPr="001A50C7">
        <w:t xml:space="preserve"> for patients with ≥</w:t>
      </w:r>
      <w:r w:rsidR="000A1B6A">
        <w:t> </w:t>
      </w:r>
      <w:r w:rsidRPr="001A50C7">
        <w:t>50% of bone marrow nucleated cells are plasma cells</w:t>
      </w:r>
    </w:p>
    <w:p w14:paraId="7C785CB2" w14:textId="54A75634" w:rsidR="008B14E9" w:rsidRDefault="008B14E9" w:rsidP="008B14E9">
      <w:pPr>
        <w:pStyle w:val="ListBullet"/>
      </w:pPr>
      <w:r w:rsidRPr="001A50C7">
        <w:t>H</w:t>
      </w:r>
      <w:r w:rsidR="007447D5">
        <w:t>a</w:t>
      </w:r>
      <w:r w:rsidRPr="001A50C7">
        <w:t>emoglobin ≥</w:t>
      </w:r>
      <w:r w:rsidR="000A1B6A">
        <w:t> </w:t>
      </w:r>
      <w:r w:rsidRPr="001A50C7">
        <w:t>8.5 g/dL (&gt;</w:t>
      </w:r>
      <w:r w:rsidR="000A1B6A">
        <w:t> </w:t>
      </w:r>
      <w:r w:rsidRPr="001A50C7">
        <w:t>8 g/dL with approval from medical monitor)</w:t>
      </w:r>
    </w:p>
    <w:p w14:paraId="32A2EC3F" w14:textId="3737ED69" w:rsidR="007447D5" w:rsidRDefault="007447D5" w:rsidP="000B3827">
      <w:pPr>
        <w:pStyle w:val="Heading6"/>
      </w:pPr>
      <w:r>
        <w:t>Exclusion criteria</w:t>
      </w:r>
    </w:p>
    <w:p w14:paraId="1119159D" w14:textId="58A1A8A9" w:rsidR="000A1B6A" w:rsidRDefault="00FF4984" w:rsidP="000A1B6A">
      <w:pPr>
        <w:pStyle w:val="ListBullet"/>
        <w:numPr>
          <w:ilvl w:val="0"/>
          <w:numId w:val="0"/>
        </w:numPr>
      </w:pPr>
      <w:r>
        <w:t>Key e</w:t>
      </w:r>
      <w:r w:rsidR="000A1B6A">
        <w:t>xclusion criteria included:</w:t>
      </w:r>
    </w:p>
    <w:p w14:paraId="4177C67F" w14:textId="3F4DCEE8" w:rsidR="000A1B6A" w:rsidRPr="001A50C7" w:rsidRDefault="000A1B6A" w:rsidP="000A1B6A">
      <w:pPr>
        <w:pStyle w:val="ListBullet"/>
      </w:pPr>
      <w:r w:rsidRPr="001A50C7">
        <w:t xml:space="preserve">Active smouldering </w:t>
      </w:r>
      <w:r w:rsidR="00A57C32">
        <w:t>multiple myeloma</w:t>
      </w:r>
    </w:p>
    <w:p w14:paraId="2B06D359" w14:textId="2711837D" w:rsidR="000A1B6A" w:rsidRPr="001A50C7" w:rsidRDefault="000A1B6A" w:rsidP="000A1B6A">
      <w:pPr>
        <w:pStyle w:val="ListBullet"/>
      </w:pPr>
      <w:r w:rsidRPr="001A50C7">
        <w:t>Active plasma cell leuk</w:t>
      </w:r>
      <w:r w:rsidR="007447D5">
        <w:t>a</w:t>
      </w:r>
      <w:r w:rsidRPr="001A50C7">
        <w:t>emia</w:t>
      </w:r>
    </w:p>
    <w:p w14:paraId="3FE6D5AC" w14:textId="012E04BF" w:rsidR="000A1B6A" w:rsidRPr="001A50C7" w:rsidRDefault="000A1B6A" w:rsidP="000A1B6A">
      <w:pPr>
        <w:pStyle w:val="ListBullet"/>
      </w:pPr>
      <w:r w:rsidRPr="001A50C7">
        <w:t>Documented systemic amyloid light chain amyloidosis</w:t>
      </w:r>
    </w:p>
    <w:p w14:paraId="15A0073F" w14:textId="640F14AD" w:rsidR="000A1B6A" w:rsidRPr="001A50C7" w:rsidRDefault="000A1B6A" w:rsidP="000A1B6A">
      <w:pPr>
        <w:pStyle w:val="ListBullet"/>
      </w:pPr>
      <w:r w:rsidRPr="001A50C7">
        <w:t xml:space="preserve">Active central nervous system </w:t>
      </w:r>
      <w:r w:rsidR="00A57C32">
        <w:t>multiple myeloma</w:t>
      </w:r>
    </w:p>
    <w:p w14:paraId="3742B49C" w14:textId="515831F6" w:rsidR="000A1B6A" w:rsidRPr="001A50C7" w:rsidRDefault="000A1B6A" w:rsidP="000A1B6A">
      <w:pPr>
        <w:pStyle w:val="ListBullet"/>
      </w:pPr>
      <w:r w:rsidRPr="001A50C7">
        <w:t xml:space="preserve">Active graft vs host disease (after allogeneic stem cell transplantation) at </w:t>
      </w:r>
      <w:r w:rsidR="00A57C32">
        <w:t>Cycle 1 Day 1</w:t>
      </w:r>
    </w:p>
    <w:p w14:paraId="15178B68" w14:textId="3F819178" w:rsidR="000A1B6A" w:rsidRPr="001A50C7" w:rsidRDefault="000A1B6A" w:rsidP="000A1B6A">
      <w:pPr>
        <w:pStyle w:val="ListBullet"/>
      </w:pPr>
      <w:r w:rsidRPr="001A50C7">
        <w:t>Life expectancy of &lt;</w:t>
      </w:r>
      <w:r w:rsidR="00A57C32">
        <w:t> </w:t>
      </w:r>
      <w:r w:rsidRPr="001A50C7">
        <w:t>4 months</w:t>
      </w:r>
    </w:p>
    <w:p w14:paraId="434BDA3D" w14:textId="7887DEEA" w:rsidR="000A1B6A" w:rsidRPr="001A50C7" w:rsidRDefault="000A1B6A" w:rsidP="000A1B6A">
      <w:pPr>
        <w:pStyle w:val="ListBullet"/>
      </w:pPr>
      <w:r w:rsidRPr="001A50C7">
        <w:t>Active, unstable cardiovascular function</w:t>
      </w:r>
    </w:p>
    <w:p w14:paraId="50003E9C" w14:textId="32E09624" w:rsidR="000A1B6A" w:rsidRPr="001A50C7" w:rsidRDefault="000A1B6A" w:rsidP="000A1B6A">
      <w:pPr>
        <w:pStyle w:val="ListBullet"/>
      </w:pPr>
      <w:r w:rsidRPr="001A50C7">
        <w:t>HIV seropositive</w:t>
      </w:r>
    </w:p>
    <w:p w14:paraId="346EC874" w14:textId="133BDD46" w:rsidR="000A1B6A" w:rsidRPr="001A50C7" w:rsidRDefault="000A1B6A" w:rsidP="000A1B6A">
      <w:pPr>
        <w:pStyle w:val="ListBullet"/>
      </w:pPr>
      <w:r w:rsidRPr="001A50C7">
        <w:t xml:space="preserve">Known active hepatitis A, B, or C infection; or known to be positive for </w:t>
      </w:r>
      <w:r w:rsidR="00A57C32" w:rsidRPr="00A57C32">
        <w:t xml:space="preserve">hepatitis C </w:t>
      </w:r>
      <w:r w:rsidRPr="001A50C7">
        <w:t xml:space="preserve">RNA or </w:t>
      </w:r>
      <w:r w:rsidR="00A57C32" w:rsidRPr="00A57C32">
        <w:t xml:space="preserve">hepatitis </w:t>
      </w:r>
      <w:r w:rsidR="00A57C32">
        <w:t>B</w:t>
      </w:r>
      <w:r w:rsidR="00A57C32" w:rsidRPr="00A57C32">
        <w:t xml:space="preserve"> </w:t>
      </w:r>
      <w:r w:rsidR="00A57C32">
        <w:t>surface antigen</w:t>
      </w:r>
    </w:p>
    <w:p w14:paraId="190CE58E" w14:textId="606CB0F1" w:rsidR="000A1B6A" w:rsidRPr="001A50C7" w:rsidRDefault="000A1B6A" w:rsidP="000A1B6A">
      <w:pPr>
        <w:pStyle w:val="ListBullet"/>
      </w:pPr>
      <w:r w:rsidRPr="001A50C7">
        <w:t xml:space="preserve">Prior malignancy that required treatment or has shown evidence of recurrence (except for non-melanoma skin cancer or adequately treated cervical carcinoma in situ) within 5 years prior to </w:t>
      </w:r>
      <w:proofErr w:type="spellStart"/>
      <w:r w:rsidRPr="001A50C7">
        <w:t>enrollment</w:t>
      </w:r>
      <w:proofErr w:type="spellEnd"/>
    </w:p>
    <w:p w14:paraId="1ECF4324" w14:textId="12EB4AB3" w:rsidR="000A1B6A" w:rsidRPr="001A50C7" w:rsidRDefault="000A1B6A" w:rsidP="000A1B6A">
      <w:pPr>
        <w:pStyle w:val="ListBullet"/>
      </w:pPr>
      <w:r w:rsidRPr="001A50C7">
        <w:t>Grade ≥</w:t>
      </w:r>
      <w:r w:rsidR="00A57C32">
        <w:t> </w:t>
      </w:r>
      <w:r w:rsidRPr="001A50C7">
        <w:t>3 peripheral neuropathy or Grade ≥</w:t>
      </w:r>
      <w:r w:rsidR="00A57C32">
        <w:t> </w:t>
      </w:r>
      <w:r w:rsidRPr="001A50C7">
        <w:t xml:space="preserve">2 painful </w:t>
      </w:r>
      <w:proofErr w:type="gramStart"/>
      <w:r w:rsidRPr="001A50C7">
        <w:t>neuropathy</w:t>
      </w:r>
      <w:proofErr w:type="gramEnd"/>
    </w:p>
    <w:p w14:paraId="104F8BA8" w14:textId="4126F89E" w:rsidR="000A1B6A" w:rsidRPr="001A50C7" w:rsidRDefault="000A1B6A" w:rsidP="000A1B6A">
      <w:pPr>
        <w:pStyle w:val="ListBullet"/>
      </w:pPr>
      <w:r w:rsidRPr="001A50C7">
        <w:t>Participation in an investigational anticancer study within 21 days prior to Cycle 1 Day</w:t>
      </w:r>
      <w:r w:rsidR="00B6085E">
        <w:t> </w:t>
      </w:r>
      <w:r w:rsidRPr="001A50C7">
        <w:t>1</w:t>
      </w:r>
    </w:p>
    <w:p w14:paraId="56AD5BC2" w14:textId="7D1F26B9" w:rsidR="000A1B6A" w:rsidRPr="001A50C7" w:rsidRDefault="000A1B6A" w:rsidP="000A1B6A">
      <w:pPr>
        <w:pStyle w:val="ListBullet"/>
      </w:pPr>
      <w:r w:rsidRPr="001A50C7">
        <w:t>Receipt of transfusions as follows:</w:t>
      </w:r>
    </w:p>
    <w:p w14:paraId="53A6165D" w14:textId="59762C29" w:rsidR="000A1B6A" w:rsidRPr="001A50C7" w:rsidRDefault="00F50C82" w:rsidP="000A1B6A">
      <w:pPr>
        <w:pStyle w:val="ListBullet2"/>
      </w:pPr>
      <w:r>
        <w:t>p</w:t>
      </w:r>
      <w:r w:rsidR="000A1B6A" w:rsidRPr="001A50C7">
        <w:t>latelet infusion within 1 week prior to Cycle 1 Day 1</w:t>
      </w:r>
    </w:p>
    <w:p w14:paraId="25B4D56A" w14:textId="13892A27" w:rsidR="000A1B6A" w:rsidRPr="001A50C7" w:rsidRDefault="00F50C82" w:rsidP="000A1B6A">
      <w:pPr>
        <w:pStyle w:val="ListBullet2"/>
      </w:pPr>
      <w:r>
        <w:t>red blood cells</w:t>
      </w:r>
      <w:r w:rsidR="000A1B6A" w:rsidRPr="001A50C7">
        <w:t xml:space="preserve"> transfusion within 2 weeks prior to Cycle 1 Day 1</w:t>
      </w:r>
    </w:p>
    <w:p w14:paraId="256BFF01" w14:textId="7084F30A" w:rsidR="000A1B6A" w:rsidRPr="001A50C7" w:rsidRDefault="000A1B6A" w:rsidP="000A1B6A">
      <w:pPr>
        <w:pStyle w:val="ListBullet"/>
      </w:pPr>
      <w:r w:rsidRPr="001A50C7">
        <w:t>Receipt of the following blood growth factors within 2 weeks prior to Cycle 1 Day 1: Granulocyte colony stimulating factor, granulocyte-macrophage colony stimulating factor, erythropoietin, or megakaryocyte growth factor</w:t>
      </w:r>
    </w:p>
    <w:p w14:paraId="3B228562" w14:textId="0E9558E1" w:rsidR="000A1B6A" w:rsidRPr="001A50C7" w:rsidRDefault="000A1B6A" w:rsidP="000A1B6A">
      <w:pPr>
        <w:pStyle w:val="ListBullet"/>
      </w:pPr>
      <w:r w:rsidRPr="001A50C7">
        <w:t xml:space="preserve">Prior exposure to a SINE compound, including </w:t>
      </w:r>
      <w:proofErr w:type="spellStart"/>
      <w:r w:rsidRPr="001A50C7">
        <w:t>selinexor</w:t>
      </w:r>
      <w:proofErr w:type="spellEnd"/>
    </w:p>
    <w:p w14:paraId="2CF62C19" w14:textId="2E8408CA" w:rsidR="000A1B6A" w:rsidRPr="000A0FC7" w:rsidRDefault="000A1B6A" w:rsidP="000A0FC7">
      <w:pPr>
        <w:pStyle w:val="Heading6"/>
      </w:pPr>
      <w:r w:rsidRPr="000A0FC7">
        <w:t>Treatment</w:t>
      </w:r>
      <w:r w:rsidR="00A57C32" w:rsidRPr="000A0FC7">
        <w:t xml:space="preserve"> regimen</w:t>
      </w:r>
    </w:p>
    <w:p w14:paraId="7B068F00" w14:textId="0F1C8BFC" w:rsidR="000A1B6A" w:rsidRDefault="007447D5" w:rsidP="000A1B6A">
      <w:pPr>
        <w:rPr>
          <w:rFonts w:asciiTheme="minorHAnsi" w:hAnsiTheme="minorHAnsi" w:cs="Calibri"/>
          <w:lang w:eastAsia="ja-JP"/>
        </w:rPr>
      </w:pPr>
      <w:r>
        <w:rPr>
          <w:rFonts w:asciiTheme="minorHAnsi" w:hAnsiTheme="minorHAnsi" w:cs="Calibri"/>
          <w:lang w:eastAsia="ja-JP"/>
        </w:rPr>
        <w:t>The s</w:t>
      </w:r>
      <w:r w:rsidR="000A1B6A" w:rsidRPr="006F45C7">
        <w:rPr>
          <w:rFonts w:asciiTheme="minorHAnsi" w:hAnsiTheme="minorHAnsi" w:cs="Calibri"/>
          <w:lang w:eastAsia="ja-JP"/>
        </w:rPr>
        <w:t xml:space="preserve">tudy drug was </w:t>
      </w:r>
      <w:proofErr w:type="spellStart"/>
      <w:r w:rsidR="000A1B6A" w:rsidRPr="006F45C7">
        <w:rPr>
          <w:rFonts w:asciiTheme="minorHAnsi" w:hAnsiTheme="minorHAnsi" w:cs="Calibri"/>
          <w:lang w:eastAsia="ja-JP"/>
        </w:rPr>
        <w:t>selinexor</w:t>
      </w:r>
      <w:proofErr w:type="spellEnd"/>
      <w:r w:rsidR="000A1B6A" w:rsidRPr="006F45C7">
        <w:rPr>
          <w:rFonts w:asciiTheme="minorHAnsi" w:hAnsiTheme="minorHAnsi" w:cs="Calibri"/>
          <w:lang w:eastAsia="ja-JP"/>
        </w:rPr>
        <w:t xml:space="preserve"> tablet (20 mg). In </w:t>
      </w:r>
      <w:r>
        <w:rPr>
          <w:rFonts w:asciiTheme="minorHAnsi" w:hAnsiTheme="minorHAnsi" w:cs="Calibri"/>
          <w:lang w:eastAsia="ja-JP"/>
        </w:rPr>
        <w:t xml:space="preserve">part 1 of </w:t>
      </w:r>
      <w:r>
        <w:t>Study KCP-330-012 (</w:t>
      </w:r>
      <w:r w:rsidR="00A57C32">
        <w:t>STORM trial</w:t>
      </w:r>
      <w:r w:rsidR="00A57C32" w:rsidRPr="00F955EF">
        <w:rPr>
          <w:rFonts w:asciiTheme="minorHAnsi" w:hAnsiTheme="minorHAnsi" w:cs="Calibri"/>
          <w:lang w:eastAsia="ja-JP"/>
        </w:rPr>
        <w:t xml:space="preserve"> </w:t>
      </w:r>
      <w:r w:rsidR="00037055">
        <w:rPr>
          <w:rFonts w:asciiTheme="minorHAnsi" w:hAnsiTheme="minorHAnsi" w:cs="Calibri"/>
          <w:lang w:eastAsia="ja-JP"/>
        </w:rPr>
        <w:t>p</w:t>
      </w:r>
      <w:r w:rsidR="000A1B6A" w:rsidRPr="006F45C7">
        <w:rPr>
          <w:rFonts w:asciiTheme="minorHAnsi" w:hAnsiTheme="minorHAnsi" w:cs="Calibri"/>
          <w:lang w:eastAsia="ja-JP"/>
        </w:rPr>
        <w:t>art 1</w:t>
      </w:r>
      <w:r>
        <w:rPr>
          <w:rFonts w:asciiTheme="minorHAnsi" w:hAnsiTheme="minorHAnsi" w:cs="Calibri"/>
          <w:lang w:eastAsia="ja-JP"/>
        </w:rPr>
        <w:t>)</w:t>
      </w:r>
      <w:r w:rsidR="000A1B6A" w:rsidRPr="006F45C7">
        <w:rPr>
          <w:rFonts w:asciiTheme="minorHAnsi" w:hAnsiTheme="minorHAnsi" w:cs="Calibri"/>
          <w:lang w:eastAsia="ja-JP"/>
        </w:rPr>
        <w:t xml:space="preserve">, </w:t>
      </w:r>
      <w:proofErr w:type="spellStart"/>
      <w:r w:rsidR="000A1B6A" w:rsidRPr="006F45C7">
        <w:rPr>
          <w:rFonts w:asciiTheme="minorHAnsi" w:hAnsiTheme="minorHAnsi" w:cs="Calibri"/>
          <w:lang w:eastAsia="ja-JP"/>
        </w:rPr>
        <w:t>selinexor</w:t>
      </w:r>
      <w:proofErr w:type="spellEnd"/>
      <w:r w:rsidR="000A1B6A" w:rsidRPr="006F45C7">
        <w:rPr>
          <w:rFonts w:asciiTheme="minorHAnsi" w:hAnsiTheme="minorHAnsi" w:cs="Calibri"/>
          <w:lang w:eastAsia="ja-JP"/>
        </w:rPr>
        <w:t xml:space="preserve"> was administered as a fixed oral dose of 80 mg twice</w:t>
      </w:r>
      <w:r w:rsidR="00A57C32">
        <w:rPr>
          <w:rFonts w:asciiTheme="minorHAnsi" w:hAnsiTheme="minorHAnsi" w:cs="Calibri"/>
          <w:lang w:eastAsia="ja-JP"/>
        </w:rPr>
        <w:t xml:space="preserve"> </w:t>
      </w:r>
      <w:r w:rsidR="000A1B6A" w:rsidRPr="006F45C7">
        <w:rPr>
          <w:rFonts w:asciiTheme="minorHAnsi" w:hAnsiTheme="minorHAnsi" w:cs="Calibri"/>
          <w:lang w:eastAsia="ja-JP"/>
        </w:rPr>
        <w:t xml:space="preserve">weekly on Days 1 and 3 of each week for 3 weeks out of each </w:t>
      </w:r>
      <w:proofErr w:type="gramStart"/>
      <w:r w:rsidR="000A1B6A" w:rsidRPr="006F45C7">
        <w:rPr>
          <w:rFonts w:asciiTheme="minorHAnsi" w:hAnsiTheme="minorHAnsi" w:cs="Calibri"/>
          <w:lang w:eastAsia="ja-JP"/>
        </w:rPr>
        <w:t>4</w:t>
      </w:r>
      <w:r w:rsidR="00A57C32">
        <w:rPr>
          <w:rFonts w:asciiTheme="minorHAnsi" w:hAnsiTheme="minorHAnsi" w:cs="Calibri"/>
          <w:lang w:eastAsia="ja-JP"/>
        </w:rPr>
        <w:t xml:space="preserve"> </w:t>
      </w:r>
      <w:r w:rsidR="000A1B6A" w:rsidRPr="006F45C7">
        <w:rPr>
          <w:rFonts w:asciiTheme="minorHAnsi" w:hAnsiTheme="minorHAnsi" w:cs="Calibri"/>
          <w:lang w:eastAsia="ja-JP"/>
        </w:rPr>
        <w:t>week</w:t>
      </w:r>
      <w:proofErr w:type="gramEnd"/>
      <w:r w:rsidR="000A1B6A" w:rsidRPr="006F45C7">
        <w:rPr>
          <w:rFonts w:asciiTheme="minorHAnsi" w:hAnsiTheme="minorHAnsi" w:cs="Calibri"/>
          <w:lang w:eastAsia="ja-JP"/>
        </w:rPr>
        <w:t xml:space="preserve"> cycle or every week continuously.</w:t>
      </w:r>
    </w:p>
    <w:p w14:paraId="45A8DD9F" w14:textId="6A84BB6E" w:rsidR="000A1B6A" w:rsidRPr="006F45C7" w:rsidRDefault="000A1B6A" w:rsidP="000A1B6A">
      <w:pPr>
        <w:rPr>
          <w:rFonts w:asciiTheme="minorHAnsi" w:hAnsiTheme="minorHAnsi" w:cs="Calibri"/>
          <w:lang w:eastAsia="ja-JP"/>
        </w:rPr>
      </w:pPr>
      <w:r w:rsidRPr="006F45C7">
        <w:rPr>
          <w:rFonts w:asciiTheme="minorHAnsi" w:hAnsiTheme="minorHAnsi" w:cs="Calibri"/>
          <w:lang w:eastAsia="ja-JP"/>
        </w:rPr>
        <w:t xml:space="preserve">In </w:t>
      </w:r>
      <w:r w:rsidR="00A57C32">
        <w:t>STORM trial</w:t>
      </w:r>
      <w:r w:rsidR="00A57C32" w:rsidRPr="00F955EF">
        <w:rPr>
          <w:rFonts w:asciiTheme="minorHAnsi" w:hAnsiTheme="minorHAnsi" w:cs="Calibri"/>
          <w:lang w:eastAsia="ja-JP"/>
        </w:rPr>
        <w:t xml:space="preserve"> </w:t>
      </w:r>
      <w:r w:rsidR="00037055">
        <w:rPr>
          <w:rFonts w:asciiTheme="minorHAnsi" w:hAnsiTheme="minorHAnsi" w:cs="Calibri"/>
          <w:lang w:eastAsia="ja-JP"/>
        </w:rPr>
        <w:t>p</w:t>
      </w:r>
      <w:r w:rsidRPr="006F45C7">
        <w:rPr>
          <w:rFonts w:asciiTheme="minorHAnsi" w:hAnsiTheme="minorHAnsi" w:cs="Calibri"/>
          <w:lang w:eastAsia="ja-JP"/>
        </w:rPr>
        <w:t xml:space="preserve">art 2, </w:t>
      </w:r>
      <w:proofErr w:type="spellStart"/>
      <w:r w:rsidRPr="006F45C7">
        <w:rPr>
          <w:rFonts w:asciiTheme="minorHAnsi" w:hAnsiTheme="minorHAnsi" w:cs="Calibri"/>
          <w:lang w:eastAsia="ja-JP"/>
        </w:rPr>
        <w:t>selinexor</w:t>
      </w:r>
      <w:proofErr w:type="spellEnd"/>
      <w:r w:rsidRPr="006F45C7">
        <w:rPr>
          <w:rFonts w:asciiTheme="minorHAnsi" w:hAnsiTheme="minorHAnsi" w:cs="Calibri"/>
          <w:lang w:eastAsia="ja-JP"/>
        </w:rPr>
        <w:t xml:space="preserve"> was administered as a fixed oral dose of 80 mg twice</w:t>
      </w:r>
      <w:r w:rsidR="00A57C32">
        <w:rPr>
          <w:rFonts w:asciiTheme="minorHAnsi" w:hAnsiTheme="minorHAnsi" w:cs="Calibri"/>
          <w:lang w:eastAsia="ja-JP"/>
        </w:rPr>
        <w:t xml:space="preserve"> </w:t>
      </w:r>
      <w:r w:rsidRPr="006F45C7">
        <w:rPr>
          <w:rFonts w:asciiTheme="minorHAnsi" w:hAnsiTheme="minorHAnsi" w:cs="Calibri"/>
          <w:lang w:eastAsia="ja-JP"/>
        </w:rPr>
        <w:t>weekly on Days 1 and 3 of each week continuously.</w:t>
      </w:r>
    </w:p>
    <w:p w14:paraId="7A4B08E1" w14:textId="77777777" w:rsidR="000A1B6A" w:rsidRPr="006F45C7" w:rsidRDefault="000A1B6A" w:rsidP="000A1B6A">
      <w:pPr>
        <w:rPr>
          <w:rFonts w:asciiTheme="minorHAnsi" w:hAnsiTheme="minorHAnsi" w:cs="Calibri"/>
          <w:lang w:eastAsia="ja-JP"/>
        </w:rPr>
      </w:pPr>
      <w:r w:rsidRPr="006F45C7">
        <w:rPr>
          <w:rFonts w:asciiTheme="minorHAnsi" w:hAnsiTheme="minorHAnsi" w:cs="Calibri"/>
          <w:lang w:eastAsia="ja-JP"/>
        </w:rPr>
        <w:lastRenderedPageBreak/>
        <w:t xml:space="preserve">Dexamethasone 20 mg was administered with each dose of </w:t>
      </w:r>
      <w:proofErr w:type="spellStart"/>
      <w:r w:rsidRPr="006F45C7">
        <w:rPr>
          <w:rFonts w:asciiTheme="minorHAnsi" w:hAnsiTheme="minorHAnsi" w:cs="Calibri"/>
          <w:lang w:eastAsia="ja-JP"/>
        </w:rPr>
        <w:t>selinexor</w:t>
      </w:r>
      <w:proofErr w:type="spellEnd"/>
      <w:r w:rsidRPr="006F45C7">
        <w:rPr>
          <w:rFonts w:asciiTheme="minorHAnsi" w:hAnsiTheme="minorHAnsi" w:cs="Calibri"/>
          <w:lang w:eastAsia="ja-JP"/>
        </w:rPr>
        <w:t xml:space="preserve">. </w:t>
      </w:r>
      <w:r>
        <w:rPr>
          <w:rFonts w:asciiTheme="minorHAnsi" w:hAnsiTheme="minorHAnsi" w:cs="Calibri"/>
          <w:lang w:eastAsia="ja-JP"/>
        </w:rPr>
        <w:t>Patients</w:t>
      </w:r>
      <w:r w:rsidRPr="006F45C7">
        <w:rPr>
          <w:rFonts w:asciiTheme="minorHAnsi" w:hAnsiTheme="minorHAnsi" w:cs="Calibri"/>
          <w:lang w:eastAsia="ja-JP"/>
        </w:rPr>
        <w:t xml:space="preserve"> with partial intolerance to glucocorticoids were given a minimum of 10 mg.</w:t>
      </w:r>
    </w:p>
    <w:p w14:paraId="61C030DA" w14:textId="1FB04EDF" w:rsidR="00F50C82" w:rsidRDefault="000A1B6A" w:rsidP="00F50C82">
      <w:bookmarkStart w:id="45" w:name="_Ref111626566"/>
      <w:r w:rsidRPr="00F50C82">
        <w:t xml:space="preserve">Treatment continued until disease progression, death, or unacceptable toxicity. Selinexor treatment modifications for </w:t>
      </w:r>
      <w:proofErr w:type="spellStart"/>
      <w:r w:rsidR="00F50C82">
        <w:t>selinexor</w:t>
      </w:r>
      <w:proofErr w:type="spellEnd"/>
      <w:r w:rsidR="00F50C82">
        <w:t xml:space="preserve"> </w:t>
      </w:r>
      <w:r w:rsidRPr="00F50C82">
        <w:t>related toxicities are outlined i</w:t>
      </w:r>
      <w:bookmarkEnd w:id="45"/>
      <w:r w:rsidR="00F57CEB" w:rsidRPr="00F50C82">
        <w:t xml:space="preserve">n </w:t>
      </w:r>
      <w:r w:rsidR="00F57CEB" w:rsidRPr="00F50C82">
        <w:fldChar w:fldCharType="begin"/>
      </w:r>
      <w:r w:rsidR="00F57CEB" w:rsidRPr="00F50C82">
        <w:instrText xml:space="preserve"> REF _Ref111626609 \h </w:instrText>
      </w:r>
      <w:r w:rsidR="00F50C82">
        <w:instrText xml:space="preserve"> \* MERGEFORMAT </w:instrText>
      </w:r>
      <w:r w:rsidR="00F57CEB" w:rsidRPr="00F50C82">
        <w:fldChar w:fldCharType="separate"/>
      </w:r>
      <w:r w:rsidR="007447D5" w:rsidRPr="00C73A2B">
        <w:t xml:space="preserve">Table </w:t>
      </w:r>
      <w:r w:rsidR="007447D5">
        <w:t>6</w:t>
      </w:r>
      <w:r w:rsidR="00F57CEB" w:rsidRPr="00F50C82">
        <w:fldChar w:fldCharType="end"/>
      </w:r>
      <w:r w:rsidR="00F50C82">
        <w:t>.</w:t>
      </w:r>
    </w:p>
    <w:p w14:paraId="23D199F2" w14:textId="12D10BB0" w:rsidR="007447D5" w:rsidRPr="00F50C82" w:rsidRDefault="007447D5" w:rsidP="00F50C82">
      <w:r>
        <w:br w:type="page"/>
      </w:r>
    </w:p>
    <w:p w14:paraId="28679ADA" w14:textId="4E41DA7D" w:rsidR="00C73A2B" w:rsidRDefault="00F57CEB" w:rsidP="000A0FC7">
      <w:pPr>
        <w:pStyle w:val="TableTitle"/>
        <w:widowControl w:val="0"/>
      </w:pPr>
      <w:bookmarkStart w:id="46" w:name="_Ref111626609"/>
      <w:bookmarkStart w:id="47" w:name="_Ref111626576"/>
      <w:r w:rsidRPr="00C73A2B">
        <w:lastRenderedPageBreak/>
        <w:t xml:space="preserve">Table </w:t>
      </w:r>
      <w:r w:rsidR="006737A0">
        <w:fldChar w:fldCharType="begin"/>
      </w:r>
      <w:r w:rsidR="006737A0">
        <w:instrText xml:space="preserve"> SEQ Table \* ARABIC </w:instrText>
      </w:r>
      <w:r w:rsidR="006737A0">
        <w:fldChar w:fldCharType="separate"/>
      </w:r>
      <w:r w:rsidR="00BB2836">
        <w:rPr>
          <w:noProof/>
        </w:rPr>
        <w:t>6</w:t>
      </w:r>
      <w:r w:rsidR="006737A0">
        <w:rPr>
          <w:noProof/>
        </w:rPr>
        <w:fldChar w:fldCharType="end"/>
      </w:r>
      <w:bookmarkEnd w:id="46"/>
      <w:r w:rsidRPr="00C73A2B">
        <w:t>:</w:t>
      </w:r>
      <w:r>
        <w:t xml:space="preserve"> </w:t>
      </w:r>
      <w:r w:rsidR="007447D5">
        <w:t>Study KCP-330-012 (</w:t>
      </w:r>
      <w:r>
        <w:t>STORM trial</w:t>
      </w:r>
      <w:r w:rsidR="007447D5">
        <w:t>)</w:t>
      </w:r>
      <w:r>
        <w:t xml:space="preserve"> Selinexor </w:t>
      </w:r>
      <w:r w:rsidRPr="00F57CEB">
        <w:t xml:space="preserve">related </w:t>
      </w:r>
      <w:r>
        <w:t>t</w:t>
      </w:r>
      <w:r w:rsidRPr="00F57CEB">
        <w:t xml:space="preserve">oxicities </w:t>
      </w:r>
      <w:r>
        <w:t>l</w:t>
      </w:r>
      <w:r w:rsidRPr="00F57CEB">
        <w:t xml:space="preserve">eading to </w:t>
      </w:r>
      <w:r>
        <w:t>d</w:t>
      </w:r>
      <w:r w:rsidRPr="00F57CEB">
        <w:t xml:space="preserve">ose </w:t>
      </w:r>
      <w:r>
        <w:t>m</w:t>
      </w:r>
      <w:r w:rsidRPr="00F57CEB">
        <w:t>odification</w:t>
      </w:r>
    </w:p>
    <w:p w14:paraId="2D40541E" w14:textId="522E6D5C" w:rsidR="00F57CEB" w:rsidRDefault="000A0FC7" w:rsidP="00C73A2B">
      <w:pPr>
        <w:tabs>
          <w:tab w:val="left" w:pos="7655"/>
        </w:tabs>
      </w:pPr>
      <w:r w:rsidRPr="000A0FC7">
        <w:rPr>
          <w:noProof/>
          <w:lang w:val="en-GB" w:eastAsia="en-GB"/>
        </w:rPr>
        <w:drawing>
          <wp:inline distT="0" distB="0" distL="0" distR="0" wp14:anchorId="5A263178" wp14:editId="4507DE9D">
            <wp:extent cx="4841240" cy="81564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56548" cy="8182228"/>
                    </a:xfrm>
                    <a:prstGeom prst="rect">
                      <a:avLst/>
                    </a:prstGeom>
                  </pic:spPr>
                </pic:pic>
              </a:graphicData>
            </a:graphic>
          </wp:inline>
        </w:drawing>
      </w:r>
    </w:p>
    <w:p w14:paraId="148A8E06" w14:textId="77777777" w:rsidR="004F17FE" w:rsidRDefault="004F17FE">
      <w:pPr>
        <w:spacing w:before="0" w:after="200" w:line="0" w:lineRule="auto"/>
        <w:rPr>
          <w:b/>
        </w:rPr>
      </w:pPr>
      <w:r>
        <w:br w:type="page"/>
      </w:r>
    </w:p>
    <w:p w14:paraId="5C2E8634" w14:textId="0FD25EC6" w:rsidR="000A0FC7" w:rsidRDefault="000A0FC7" w:rsidP="000A0FC7">
      <w:pPr>
        <w:pStyle w:val="TableTitle"/>
        <w:widowControl w:val="0"/>
      </w:pPr>
      <w:r>
        <w:lastRenderedPageBreak/>
        <w:t xml:space="preserve">Table 6 </w:t>
      </w:r>
      <w:r w:rsidR="007447D5">
        <w:t>(</w:t>
      </w:r>
      <w:r>
        <w:t>cont</w:t>
      </w:r>
      <w:r w:rsidR="007447D5">
        <w:t>inued)</w:t>
      </w:r>
      <w:r w:rsidRPr="00C73A2B">
        <w:t>:</w:t>
      </w:r>
      <w:r>
        <w:t xml:space="preserve"> STORM trial Selinexor </w:t>
      </w:r>
      <w:r w:rsidRPr="00F57CEB">
        <w:t xml:space="preserve">related </w:t>
      </w:r>
      <w:r>
        <w:t>t</w:t>
      </w:r>
      <w:r w:rsidRPr="00F57CEB">
        <w:t xml:space="preserve">oxicities </w:t>
      </w:r>
      <w:r>
        <w:t>l</w:t>
      </w:r>
      <w:r w:rsidRPr="00F57CEB">
        <w:t xml:space="preserve">eading to </w:t>
      </w:r>
      <w:r>
        <w:t>d</w:t>
      </w:r>
      <w:r w:rsidRPr="00F57CEB">
        <w:t xml:space="preserve">ose </w:t>
      </w:r>
      <w:r>
        <w:t>m</w:t>
      </w:r>
      <w:r w:rsidRPr="00F57CEB">
        <w:t>odification</w:t>
      </w:r>
    </w:p>
    <w:p w14:paraId="012AB6C8" w14:textId="61AD57E1" w:rsidR="00C73A2B" w:rsidRDefault="00C73A2B" w:rsidP="00C73A2B">
      <w:pPr>
        <w:tabs>
          <w:tab w:val="left" w:pos="7655"/>
        </w:tabs>
      </w:pPr>
      <w:r w:rsidRPr="00C73A2B">
        <w:rPr>
          <w:noProof/>
          <w:lang w:val="en-GB" w:eastAsia="en-GB"/>
        </w:rPr>
        <w:drawing>
          <wp:inline distT="0" distB="0" distL="0" distR="0" wp14:anchorId="095AEA8D" wp14:editId="6017AC27">
            <wp:extent cx="4839818" cy="81103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63156" b="4941"/>
                    <a:stretch/>
                  </pic:blipFill>
                  <pic:spPr bwMode="auto">
                    <a:xfrm>
                      <a:off x="0" y="0"/>
                      <a:ext cx="4842345" cy="811456"/>
                    </a:xfrm>
                    <a:prstGeom prst="rect">
                      <a:avLst/>
                    </a:prstGeom>
                    <a:ln>
                      <a:noFill/>
                    </a:ln>
                    <a:extLst>
                      <a:ext uri="{53640926-AAD7-44D8-BBD7-CCE9431645EC}">
                        <a14:shadowObscured xmlns:a14="http://schemas.microsoft.com/office/drawing/2010/main"/>
                      </a:ext>
                    </a:extLst>
                  </pic:spPr>
                </pic:pic>
              </a:graphicData>
            </a:graphic>
          </wp:inline>
        </w:drawing>
      </w:r>
    </w:p>
    <w:p w14:paraId="52113545" w14:textId="0D08B8D4" w:rsidR="000A0FC7" w:rsidRPr="00F57CEB" w:rsidRDefault="000A0FC7" w:rsidP="000A0FC7">
      <w:pPr>
        <w:pStyle w:val="TableDescription"/>
      </w:pPr>
      <w:r>
        <w:t>Grade is based on CTCAE criteria. QW = once weekly</w:t>
      </w:r>
    </w:p>
    <w:p w14:paraId="5D3BA191" w14:textId="10B834FA" w:rsidR="00F57CEB" w:rsidRDefault="00F57CEB" w:rsidP="000A0FC7">
      <w:pPr>
        <w:pStyle w:val="TableTitle"/>
      </w:pPr>
      <w:r w:rsidRPr="000A0FC7">
        <w:t xml:space="preserve">Table </w:t>
      </w:r>
      <w:r w:rsidR="006737A0">
        <w:fldChar w:fldCharType="begin"/>
      </w:r>
      <w:r w:rsidR="006737A0">
        <w:instrText xml:space="preserve"> SEQ Table \* ARABIC </w:instrText>
      </w:r>
      <w:r w:rsidR="006737A0">
        <w:fldChar w:fldCharType="separate"/>
      </w:r>
      <w:r w:rsidR="00BB2836">
        <w:rPr>
          <w:noProof/>
        </w:rPr>
        <w:t>7</w:t>
      </w:r>
      <w:r w:rsidR="006737A0">
        <w:rPr>
          <w:noProof/>
        </w:rPr>
        <w:fldChar w:fldCharType="end"/>
      </w:r>
      <w:bookmarkEnd w:id="47"/>
      <w:r>
        <w:t xml:space="preserve">: </w:t>
      </w:r>
      <w:r w:rsidR="00B3200B">
        <w:t>Study KCP-330-012 (</w:t>
      </w:r>
      <w:r>
        <w:t>STORM trial</w:t>
      </w:r>
      <w:r w:rsidR="00B3200B">
        <w:t>)</w:t>
      </w:r>
      <w:r>
        <w:t xml:space="preserve"> </w:t>
      </w:r>
      <w:proofErr w:type="gramStart"/>
      <w:r w:rsidRPr="00F57CEB">
        <w:t>Pre-specified</w:t>
      </w:r>
      <w:proofErr w:type="gramEnd"/>
      <w:r w:rsidRPr="00F57CEB">
        <w:t xml:space="preserve"> </w:t>
      </w:r>
      <w:r>
        <w:t>d</w:t>
      </w:r>
      <w:r w:rsidRPr="00F57CEB">
        <w:t>ose/</w:t>
      </w:r>
      <w:r>
        <w:t>s</w:t>
      </w:r>
      <w:r w:rsidRPr="00F57CEB">
        <w:t xml:space="preserve">chedule </w:t>
      </w:r>
      <w:r>
        <w:t>m</w:t>
      </w:r>
      <w:r w:rsidRPr="00F57CEB">
        <w:t xml:space="preserve">odifications for </w:t>
      </w:r>
      <w:r>
        <w:t>a</w:t>
      </w:r>
      <w:r w:rsidRPr="00F57CEB">
        <w:t xml:space="preserve">dverse </w:t>
      </w:r>
      <w:r>
        <w:t>e</w:t>
      </w:r>
      <w:r w:rsidRPr="00F57CEB">
        <w:t xml:space="preserve">vents </w:t>
      </w:r>
      <w:r>
        <w:t>r</w:t>
      </w:r>
      <w:r w:rsidRPr="00F57CEB">
        <w:t xml:space="preserve">elated to </w:t>
      </w:r>
      <w:r>
        <w:t>s</w:t>
      </w:r>
      <w:r w:rsidRPr="00F57CEB">
        <w:t xml:space="preserve">tudy </w:t>
      </w:r>
      <w:r>
        <w:t>d</w:t>
      </w:r>
      <w:r w:rsidRPr="00F57CEB">
        <w:t>rug</w:t>
      </w:r>
    </w:p>
    <w:p w14:paraId="7B764A9F" w14:textId="20EF4055" w:rsidR="000A0FC7" w:rsidRPr="00F57CEB" w:rsidRDefault="000A0FC7" w:rsidP="000A0FC7">
      <w:r w:rsidRPr="003D5CF5">
        <w:rPr>
          <w:noProof/>
          <w:lang w:val="en-GB" w:eastAsia="en-GB"/>
        </w:rPr>
        <w:drawing>
          <wp:inline distT="0" distB="0" distL="0" distR="0" wp14:anchorId="1583C470" wp14:editId="4834FB2D">
            <wp:extent cx="4909958" cy="3235960"/>
            <wp:effectExtent l="0" t="0" r="5080" b="2540"/>
            <wp:docPr id="8" name="Picture 8" descr="STORM trial Pre-specified dose/schedule modifications for adverse events related to study d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ORM trial Pre-specified dose/schedule modifications for adverse events related to study drug"/>
                    <pic:cNvPicPr/>
                  </pic:nvPicPr>
                  <pic:blipFill rotWithShape="1">
                    <a:blip r:embed="rId21"/>
                    <a:srcRect l="1121"/>
                    <a:stretch/>
                  </pic:blipFill>
                  <pic:spPr bwMode="auto">
                    <a:xfrm>
                      <a:off x="0" y="0"/>
                      <a:ext cx="4925494" cy="3246199"/>
                    </a:xfrm>
                    <a:prstGeom prst="rect">
                      <a:avLst/>
                    </a:prstGeom>
                    <a:ln>
                      <a:noFill/>
                    </a:ln>
                    <a:extLst>
                      <a:ext uri="{53640926-AAD7-44D8-BBD7-CCE9431645EC}">
                        <a14:shadowObscured xmlns:a14="http://schemas.microsoft.com/office/drawing/2010/main"/>
                      </a:ext>
                    </a:extLst>
                  </pic:spPr>
                </pic:pic>
              </a:graphicData>
            </a:graphic>
          </wp:inline>
        </w:drawing>
      </w:r>
    </w:p>
    <w:p w14:paraId="4CC2CB42" w14:textId="5F58AFBE" w:rsidR="000A1B6A" w:rsidRPr="000A0FC7" w:rsidRDefault="00B3200B" w:rsidP="000A0FC7">
      <w:pPr>
        <w:pStyle w:val="Heading6"/>
      </w:pPr>
      <w:r>
        <w:t>Study e</w:t>
      </w:r>
      <w:r w:rsidR="000A1B6A" w:rsidRPr="000A0FC7">
        <w:t>ndpoint</w:t>
      </w:r>
      <w:r>
        <w:t>s</w:t>
      </w:r>
    </w:p>
    <w:p w14:paraId="67FC8DD2" w14:textId="61D3FB0D" w:rsidR="000A1B6A" w:rsidRPr="0068154C" w:rsidRDefault="000A1B6A" w:rsidP="000A1B6A">
      <w:pPr>
        <w:rPr>
          <w:rFonts w:asciiTheme="minorHAnsi" w:hAnsiTheme="minorHAnsi" w:cs="Calibri"/>
          <w:lang w:eastAsia="ja-JP"/>
        </w:rPr>
      </w:pPr>
      <w:r w:rsidRPr="0068154C">
        <w:rPr>
          <w:rFonts w:asciiTheme="minorHAnsi" w:hAnsiTheme="minorHAnsi" w:cs="Calibri"/>
          <w:lang w:eastAsia="ja-JP"/>
        </w:rPr>
        <w:t>The primary efficacy endpoint was objective/overall response rate per IMWG criteria</w:t>
      </w:r>
      <w:r w:rsidR="00B3200B">
        <w:rPr>
          <w:rFonts w:asciiTheme="minorHAnsi" w:hAnsiTheme="minorHAnsi" w:cs="Calibri"/>
          <w:lang w:eastAsia="ja-JP"/>
        </w:rPr>
        <w:t>;</w:t>
      </w:r>
      <w:r w:rsidR="00B3200B">
        <w:rPr>
          <w:rFonts w:asciiTheme="minorHAnsi" w:hAnsiTheme="minorHAnsi" w:cs="Calibri"/>
          <w:lang w:eastAsia="ja-JP"/>
        </w:rPr>
        <w:fldChar w:fldCharType="begin"/>
      </w:r>
      <w:r w:rsidR="00B3200B">
        <w:rPr>
          <w:rFonts w:asciiTheme="minorHAnsi" w:hAnsiTheme="minorHAnsi" w:cs="Calibri"/>
          <w:lang w:eastAsia="ja-JP"/>
        </w:rPr>
        <w:instrText xml:space="preserve"> NOTEREF _Ref111543588 \h </w:instrText>
      </w:r>
      <w:r w:rsidR="00B3200B">
        <w:rPr>
          <w:rFonts w:asciiTheme="minorHAnsi" w:hAnsiTheme="minorHAnsi" w:cs="Calibri"/>
          <w:lang w:eastAsia="ja-JP"/>
        </w:rPr>
      </w:r>
      <w:r w:rsidR="00B3200B">
        <w:rPr>
          <w:rFonts w:asciiTheme="minorHAnsi" w:hAnsiTheme="minorHAnsi" w:cs="Calibri"/>
          <w:lang w:eastAsia="ja-JP"/>
        </w:rPr>
        <w:fldChar w:fldCharType="separate"/>
      </w:r>
      <w:r w:rsidR="00B3200B">
        <w:rPr>
          <w:rFonts w:asciiTheme="minorHAnsi" w:hAnsiTheme="minorHAnsi" w:cs="Calibri"/>
          <w:lang w:eastAsia="ja-JP"/>
        </w:rPr>
        <w:t>18</w:t>
      </w:r>
      <w:r w:rsidR="00B3200B">
        <w:rPr>
          <w:rFonts w:asciiTheme="minorHAnsi" w:hAnsiTheme="minorHAnsi" w:cs="Calibri"/>
          <w:lang w:eastAsia="ja-JP"/>
        </w:rPr>
        <w:fldChar w:fldCharType="end"/>
      </w:r>
      <w:r w:rsidRPr="0068154C">
        <w:rPr>
          <w:rFonts w:asciiTheme="minorHAnsi" w:hAnsiTheme="minorHAnsi" w:cs="Calibri"/>
          <w:lang w:eastAsia="ja-JP"/>
        </w:rPr>
        <w:t xml:space="preserve"> by the IRC in the </w:t>
      </w:r>
      <w:r w:rsidR="000A0FC7">
        <w:rPr>
          <w:rFonts w:asciiTheme="minorHAnsi" w:hAnsiTheme="minorHAnsi" w:cs="Calibri"/>
          <w:lang w:eastAsia="ja-JP"/>
        </w:rPr>
        <w:t>modified intent to treat (</w:t>
      </w:r>
      <w:proofErr w:type="spellStart"/>
      <w:r w:rsidRPr="0068154C">
        <w:rPr>
          <w:rFonts w:asciiTheme="minorHAnsi" w:hAnsiTheme="minorHAnsi" w:cs="Calibri"/>
          <w:lang w:eastAsia="ja-JP"/>
        </w:rPr>
        <w:t>mITT</w:t>
      </w:r>
      <w:proofErr w:type="spellEnd"/>
      <w:r w:rsidR="000A0FC7">
        <w:rPr>
          <w:rFonts w:asciiTheme="minorHAnsi" w:hAnsiTheme="minorHAnsi" w:cs="Calibri"/>
          <w:lang w:eastAsia="ja-JP"/>
        </w:rPr>
        <w:t>)</w:t>
      </w:r>
      <w:r w:rsidRPr="0068154C">
        <w:rPr>
          <w:rFonts w:asciiTheme="minorHAnsi" w:hAnsiTheme="minorHAnsi" w:cs="Calibri"/>
          <w:lang w:eastAsia="ja-JP"/>
        </w:rPr>
        <w:t xml:space="preserve"> population. </w:t>
      </w:r>
    </w:p>
    <w:p w14:paraId="5ED9B23D" w14:textId="3487E55C" w:rsidR="000A1B6A" w:rsidRPr="0068154C" w:rsidRDefault="000A0FC7" w:rsidP="000A1B6A">
      <w:pPr>
        <w:rPr>
          <w:rFonts w:asciiTheme="minorHAnsi" w:hAnsiTheme="minorHAnsi" w:cs="Calibri"/>
          <w:lang w:eastAsia="ja-JP"/>
        </w:rPr>
      </w:pPr>
      <w:r>
        <w:rPr>
          <w:rFonts w:asciiTheme="minorHAnsi" w:hAnsiTheme="minorHAnsi" w:cs="Calibri"/>
          <w:lang w:eastAsia="ja-JP"/>
        </w:rPr>
        <w:t>The overall response rate</w:t>
      </w:r>
      <w:r w:rsidR="000A1B6A" w:rsidRPr="0068154C">
        <w:rPr>
          <w:rFonts w:asciiTheme="minorHAnsi" w:hAnsiTheme="minorHAnsi" w:cs="Calibri"/>
          <w:lang w:eastAsia="ja-JP"/>
        </w:rPr>
        <w:t xml:space="preserve"> included a </w:t>
      </w:r>
      <w:r w:rsidR="00B3200B">
        <w:rPr>
          <w:rFonts w:asciiTheme="minorHAnsi" w:hAnsiTheme="minorHAnsi" w:cs="Calibri"/>
          <w:lang w:eastAsia="ja-JP"/>
        </w:rPr>
        <w:t>partial response (</w:t>
      </w:r>
      <w:r w:rsidR="000A1B6A" w:rsidRPr="0068154C">
        <w:rPr>
          <w:rFonts w:asciiTheme="minorHAnsi" w:hAnsiTheme="minorHAnsi" w:cs="Calibri"/>
          <w:lang w:eastAsia="ja-JP"/>
        </w:rPr>
        <w:t>PR</w:t>
      </w:r>
      <w:r w:rsidR="00B3200B">
        <w:rPr>
          <w:rFonts w:asciiTheme="minorHAnsi" w:hAnsiTheme="minorHAnsi" w:cs="Calibri"/>
          <w:lang w:eastAsia="ja-JP"/>
        </w:rPr>
        <w:t>)</w:t>
      </w:r>
      <w:r w:rsidR="000A1B6A" w:rsidRPr="0068154C">
        <w:rPr>
          <w:rFonts w:asciiTheme="minorHAnsi" w:hAnsiTheme="minorHAnsi" w:cs="Calibri"/>
          <w:lang w:eastAsia="ja-JP"/>
        </w:rPr>
        <w:t>, very good partial response (VGPR), complete response (CR), or stringent complete response (</w:t>
      </w:r>
      <w:proofErr w:type="spellStart"/>
      <w:r w:rsidR="000A1B6A" w:rsidRPr="0068154C">
        <w:rPr>
          <w:rFonts w:asciiTheme="minorHAnsi" w:hAnsiTheme="minorHAnsi" w:cs="Calibri"/>
          <w:lang w:eastAsia="ja-JP"/>
        </w:rPr>
        <w:t>sCR</w:t>
      </w:r>
      <w:proofErr w:type="spellEnd"/>
      <w:r w:rsidR="000A1B6A" w:rsidRPr="0068154C">
        <w:rPr>
          <w:rFonts w:asciiTheme="minorHAnsi" w:hAnsiTheme="minorHAnsi" w:cs="Calibri"/>
          <w:lang w:eastAsia="ja-JP"/>
        </w:rPr>
        <w:t>).</w:t>
      </w:r>
    </w:p>
    <w:p w14:paraId="6097BF26" w14:textId="0A3025E2" w:rsidR="000A1B6A" w:rsidRPr="0068154C" w:rsidRDefault="000A1B6A" w:rsidP="000A1B6A">
      <w:pPr>
        <w:rPr>
          <w:rFonts w:asciiTheme="minorHAnsi" w:hAnsiTheme="minorHAnsi" w:cs="Calibri"/>
          <w:lang w:eastAsia="ja-JP"/>
        </w:rPr>
      </w:pPr>
      <w:r w:rsidRPr="0068154C">
        <w:rPr>
          <w:rFonts w:asciiTheme="minorHAnsi" w:hAnsiTheme="minorHAnsi" w:cs="Calibri"/>
          <w:lang w:eastAsia="ja-JP"/>
        </w:rPr>
        <w:t xml:space="preserve">The </w:t>
      </w:r>
      <w:r w:rsidR="000A0FC7">
        <w:rPr>
          <w:rFonts w:asciiTheme="minorHAnsi" w:hAnsiTheme="minorHAnsi" w:cs="Calibri"/>
          <w:lang w:eastAsia="ja-JP"/>
        </w:rPr>
        <w:t>overall response rate</w:t>
      </w:r>
      <w:r w:rsidRPr="0068154C">
        <w:rPr>
          <w:rFonts w:asciiTheme="minorHAnsi" w:hAnsiTheme="minorHAnsi" w:cs="Calibri"/>
          <w:lang w:eastAsia="ja-JP"/>
        </w:rPr>
        <w:t xml:space="preserve"> was compared to a minimal threshold level for </w:t>
      </w:r>
      <w:r w:rsidR="000A0FC7">
        <w:rPr>
          <w:rFonts w:asciiTheme="minorHAnsi" w:hAnsiTheme="minorHAnsi" w:cs="Calibri"/>
          <w:lang w:eastAsia="ja-JP"/>
        </w:rPr>
        <w:t>overall response rate</w:t>
      </w:r>
      <w:r w:rsidRPr="0068154C">
        <w:rPr>
          <w:rFonts w:asciiTheme="minorHAnsi" w:hAnsiTheme="minorHAnsi" w:cs="Calibri"/>
          <w:lang w:eastAsia="ja-JP"/>
        </w:rPr>
        <w:t xml:space="preserve">, set to 0.10 (10%), based on preliminary evidence from </w:t>
      </w:r>
      <w:r w:rsidR="000A0FC7">
        <w:rPr>
          <w:rFonts w:asciiTheme="minorHAnsi" w:hAnsiTheme="minorHAnsi" w:cs="Calibri"/>
          <w:lang w:eastAsia="ja-JP"/>
        </w:rPr>
        <w:t xml:space="preserve">STORM trial </w:t>
      </w:r>
      <w:r w:rsidR="004B4871">
        <w:rPr>
          <w:rFonts w:asciiTheme="minorHAnsi" w:hAnsiTheme="minorHAnsi" w:cs="Calibri"/>
          <w:lang w:eastAsia="ja-JP"/>
        </w:rPr>
        <w:t>p</w:t>
      </w:r>
      <w:r w:rsidRPr="0068154C">
        <w:rPr>
          <w:rFonts w:asciiTheme="minorHAnsi" w:hAnsiTheme="minorHAnsi" w:cs="Calibri"/>
          <w:lang w:eastAsia="ja-JP"/>
        </w:rPr>
        <w:t xml:space="preserve">art </w:t>
      </w:r>
      <w:r w:rsidR="000A0FC7">
        <w:rPr>
          <w:rFonts w:asciiTheme="minorHAnsi" w:hAnsiTheme="minorHAnsi" w:cs="Calibri"/>
          <w:lang w:eastAsia="ja-JP"/>
        </w:rPr>
        <w:t>1</w:t>
      </w:r>
      <w:r w:rsidRPr="0068154C">
        <w:rPr>
          <w:rFonts w:asciiTheme="minorHAnsi" w:hAnsiTheme="minorHAnsi" w:cs="Calibri"/>
          <w:lang w:eastAsia="ja-JP"/>
        </w:rPr>
        <w:t>.</w:t>
      </w:r>
    </w:p>
    <w:p w14:paraId="388D11B6" w14:textId="77777777" w:rsidR="000A1B6A" w:rsidRPr="0068154C" w:rsidRDefault="000A1B6A" w:rsidP="000A0FC7">
      <w:pPr>
        <w:rPr>
          <w:lang w:eastAsia="ja-JP"/>
        </w:rPr>
      </w:pPr>
      <w:r w:rsidRPr="0068154C">
        <w:rPr>
          <w:lang w:eastAsia="ja-JP"/>
        </w:rPr>
        <w:t>Secondary efficacy endpoints included:</w:t>
      </w:r>
    </w:p>
    <w:p w14:paraId="16ED4517" w14:textId="685B076E" w:rsidR="000A1B6A" w:rsidRPr="00282AA1" w:rsidRDefault="000A1B6A" w:rsidP="000A0FC7">
      <w:pPr>
        <w:pStyle w:val="ListBullet"/>
      </w:pPr>
      <w:r w:rsidRPr="00282AA1">
        <w:t>duration of response</w:t>
      </w:r>
      <w:r w:rsidR="000A0FC7">
        <w:t xml:space="preserve"> </w:t>
      </w:r>
      <w:r w:rsidRPr="00282AA1">
        <w:t xml:space="preserve">for patients with a confirmed response, defined as duration from first response </w:t>
      </w:r>
      <w:r w:rsidR="000A0FC7">
        <w:t>(</w:t>
      </w:r>
      <w:r w:rsidRPr="00282AA1">
        <w:t xml:space="preserve">at least </w:t>
      </w:r>
      <w:r w:rsidR="00B3200B">
        <w:t>partial response</w:t>
      </w:r>
      <w:r w:rsidR="000A0FC7">
        <w:t>)</w:t>
      </w:r>
      <w:r w:rsidRPr="00282AA1">
        <w:t xml:space="preserve"> to time of progressive disease or death due to </w:t>
      </w:r>
      <w:r w:rsidR="000A0FC7" w:rsidRPr="00282AA1">
        <w:t>progressive disease</w:t>
      </w:r>
      <w:r w:rsidRPr="00282AA1">
        <w:t xml:space="preserve"> </w:t>
      </w:r>
      <w:r w:rsidR="000A0FC7">
        <w:t>(</w:t>
      </w:r>
      <w:r w:rsidRPr="00282AA1">
        <w:t>per IRC</w:t>
      </w:r>
      <w:r w:rsidR="000A0FC7">
        <w:t>)</w:t>
      </w:r>
      <w:r w:rsidRPr="00282AA1">
        <w:t xml:space="preserve">, whichever occurred </w:t>
      </w:r>
      <w:proofErr w:type="gramStart"/>
      <w:r w:rsidRPr="00282AA1">
        <w:t>first;</w:t>
      </w:r>
      <w:proofErr w:type="gramEnd"/>
    </w:p>
    <w:p w14:paraId="27805242" w14:textId="0738E706" w:rsidR="000A1B6A" w:rsidRPr="00282AA1" w:rsidRDefault="000A1B6A" w:rsidP="000A0FC7">
      <w:pPr>
        <w:pStyle w:val="ListBullet"/>
      </w:pPr>
      <w:r w:rsidRPr="00282AA1">
        <w:t>clinical benefit ratio</w:t>
      </w:r>
      <w:r w:rsidR="000A0FC7">
        <w:t xml:space="preserve">: </w:t>
      </w:r>
      <w:r w:rsidRPr="00282AA1">
        <w:t xml:space="preserve">proportion of patients who achieve a confirmed minimal response or </w:t>
      </w:r>
      <w:proofErr w:type="gramStart"/>
      <w:r w:rsidRPr="00282AA1">
        <w:t>better;</w:t>
      </w:r>
      <w:proofErr w:type="gramEnd"/>
    </w:p>
    <w:p w14:paraId="00E06BB9" w14:textId="2D037F69" w:rsidR="000A1B6A" w:rsidRPr="00282AA1" w:rsidRDefault="000A1B6A" w:rsidP="000A0FC7">
      <w:pPr>
        <w:pStyle w:val="ListBullet"/>
      </w:pPr>
      <w:r w:rsidRPr="00282AA1">
        <w:t>duration of clinical benefit</w:t>
      </w:r>
      <w:r w:rsidR="000A0FC7">
        <w:t>:</w:t>
      </w:r>
      <w:r w:rsidRPr="00282AA1">
        <w:t xml:space="preserve"> duration from first response </w:t>
      </w:r>
      <w:r w:rsidR="000A0FC7">
        <w:t>(</w:t>
      </w:r>
      <w:r w:rsidRPr="00282AA1">
        <w:t xml:space="preserve">at least </w:t>
      </w:r>
      <w:r w:rsidR="00B3200B">
        <w:t>minimal response</w:t>
      </w:r>
      <w:r w:rsidR="000A0FC7">
        <w:t>)</w:t>
      </w:r>
      <w:r w:rsidRPr="00282AA1">
        <w:t xml:space="preserve"> to time of </w:t>
      </w:r>
      <w:r w:rsidR="000A0FC7" w:rsidRPr="00282AA1">
        <w:t>progressive disease</w:t>
      </w:r>
      <w:r w:rsidRPr="00282AA1">
        <w:t xml:space="preserve"> or death due to </w:t>
      </w:r>
      <w:r w:rsidR="000A0FC7" w:rsidRPr="00282AA1">
        <w:t>progressive disease</w:t>
      </w:r>
      <w:r w:rsidRPr="00282AA1">
        <w:t xml:space="preserve"> </w:t>
      </w:r>
      <w:r w:rsidR="000A0FC7">
        <w:t>(</w:t>
      </w:r>
      <w:r w:rsidRPr="00282AA1">
        <w:t>per IRC</w:t>
      </w:r>
      <w:r w:rsidR="000A0FC7">
        <w:t>)</w:t>
      </w:r>
      <w:r w:rsidRPr="00282AA1">
        <w:t xml:space="preserve">, whichever occurred </w:t>
      </w:r>
      <w:proofErr w:type="gramStart"/>
      <w:r w:rsidRPr="00282AA1">
        <w:t>first;</w:t>
      </w:r>
      <w:proofErr w:type="gramEnd"/>
    </w:p>
    <w:p w14:paraId="3C913F18" w14:textId="417487B1" w:rsidR="000A1B6A" w:rsidRPr="00282AA1" w:rsidRDefault="000A1B6A" w:rsidP="000A0FC7">
      <w:pPr>
        <w:pStyle w:val="ListBullet"/>
      </w:pPr>
      <w:r w:rsidRPr="00282AA1">
        <w:t>durable clinical response</w:t>
      </w:r>
      <w:r w:rsidR="000A0FC7">
        <w:t xml:space="preserve">: </w:t>
      </w:r>
      <w:r w:rsidRPr="00282AA1">
        <w:t xml:space="preserve">proportion of patients who achieve stable disease or better for a minimum of 12 </w:t>
      </w:r>
      <w:proofErr w:type="gramStart"/>
      <w:r w:rsidRPr="00282AA1">
        <w:t>weeks;</w:t>
      </w:r>
      <w:proofErr w:type="gramEnd"/>
    </w:p>
    <w:p w14:paraId="2B2E5FFA" w14:textId="3763702C" w:rsidR="000A1B6A" w:rsidRPr="00282AA1" w:rsidRDefault="000A0FC7" w:rsidP="000A0FC7">
      <w:pPr>
        <w:pStyle w:val="ListBullet"/>
      </w:pPr>
      <w:r>
        <w:lastRenderedPageBreak/>
        <w:t xml:space="preserve">Progression free survival: </w:t>
      </w:r>
      <w:r w:rsidR="000A1B6A" w:rsidRPr="00282AA1">
        <w:t xml:space="preserve">duration from start of study treatment to time of </w:t>
      </w:r>
      <w:r>
        <w:t>progressive disease (</w:t>
      </w:r>
      <w:r w:rsidR="000A1B6A" w:rsidRPr="00282AA1">
        <w:t>per IRC</w:t>
      </w:r>
      <w:r>
        <w:t>)</w:t>
      </w:r>
      <w:r w:rsidR="000A1B6A" w:rsidRPr="00282AA1">
        <w:t xml:space="preserve"> or death from any cause, whichever occurred </w:t>
      </w:r>
      <w:proofErr w:type="gramStart"/>
      <w:r w:rsidR="000A1B6A" w:rsidRPr="00282AA1">
        <w:t>first;</w:t>
      </w:r>
      <w:proofErr w:type="gramEnd"/>
    </w:p>
    <w:p w14:paraId="2D24BA1C" w14:textId="31ADF0F4" w:rsidR="000A1B6A" w:rsidRPr="00282AA1" w:rsidRDefault="000A1B6A" w:rsidP="000A0FC7">
      <w:pPr>
        <w:pStyle w:val="ListBullet"/>
      </w:pPr>
      <w:r w:rsidRPr="00282AA1">
        <w:t>time to progression</w:t>
      </w:r>
      <w:r w:rsidR="000A0FC7">
        <w:t xml:space="preserve">: </w:t>
      </w:r>
      <w:r w:rsidRPr="00282AA1">
        <w:t xml:space="preserve">duration from start of study treatment to time of </w:t>
      </w:r>
      <w:r w:rsidR="000A0FC7">
        <w:t>progressive disease</w:t>
      </w:r>
      <w:r w:rsidRPr="00282AA1">
        <w:t xml:space="preserve"> or death due to </w:t>
      </w:r>
      <w:r w:rsidR="000A0FC7">
        <w:t>progressive disease</w:t>
      </w:r>
      <w:r w:rsidRPr="00282AA1">
        <w:t xml:space="preserve"> </w:t>
      </w:r>
      <w:r w:rsidR="000A0FC7">
        <w:t>(</w:t>
      </w:r>
      <w:r w:rsidRPr="00282AA1">
        <w:t>per IRC</w:t>
      </w:r>
      <w:r w:rsidR="000A0FC7">
        <w:t>)</w:t>
      </w:r>
      <w:r w:rsidRPr="00282AA1">
        <w:t xml:space="preserve">, whichever occurred </w:t>
      </w:r>
      <w:proofErr w:type="gramStart"/>
      <w:r w:rsidRPr="00282AA1">
        <w:t>first;</w:t>
      </w:r>
      <w:proofErr w:type="gramEnd"/>
    </w:p>
    <w:p w14:paraId="7504982A" w14:textId="0DD50B6A" w:rsidR="000A1B6A" w:rsidRPr="00282AA1" w:rsidRDefault="000A1B6A" w:rsidP="000A0FC7">
      <w:pPr>
        <w:pStyle w:val="ListBullet"/>
      </w:pPr>
      <w:r w:rsidRPr="00282AA1">
        <w:t>time to next treatment (duration from start of study treatment to start of next anti-</w:t>
      </w:r>
      <w:r w:rsidR="000A0FC7">
        <w:t>multiple myeloma</w:t>
      </w:r>
      <w:r w:rsidRPr="00282AA1">
        <w:t xml:space="preserve"> treatment or death due to disease progression, whichever occurred </w:t>
      </w:r>
      <w:proofErr w:type="gramStart"/>
      <w:r w:rsidRPr="00282AA1">
        <w:t>first;</w:t>
      </w:r>
      <w:proofErr w:type="gramEnd"/>
    </w:p>
    <w:p w14:paraId="4C4E74D9" w14:textId="7D5E23BA" w:rsidR="000A1B6A" w:rsidRPr="00282AA1" w:rsidRDefault="000A1B6A" w:rsidP="000A0FC7">
      <w:pPr>
        <w:pStyle w:val="ListBullet"/>
      </w:pPr>
      <w:r w:rsidRPr="00282AA1">
        <w:t>O</w:t>
      </w:r>
      <w:r w:rsidR="000A0FC7">
        <w:t xml:space="preserve">verall survival: </w:t>
      </w:r>
      <w:r w:rsidRPr="00282AA1">
        <w:t xml:space="preserve">duration from start of study treatment to death from any cause; or patient censored at date of study discontinuation, or database cut date, whichever was </w:t>
      </w:r>
      <w:proofErr w:type="gramStart"/>
      <w:r w:rsidRPr="00282AA1">
        <w:t>earlier;</w:t>
      </w:r>
      <w:proofErr w:type="gramEnd"/>
    </w:p>
    <w:p w14:paraId="78E590C1" w14:textId="3A3EB371" w:rsidR="000A1B6A" w:rsidRPr="00282AA1" w:rsidRDefault="000A1B6A" w:rsidP="000A0FC7">
      <w:pPr>
        <w:pStyle w:val="ListBullet"/>
      </w:pPr>
      <w:r w:rsidRPr="00282AA1">
        <w:t xml:space="preserve">health-related </w:t>
      </w:r>
      <w:r w:rsidR="0011239E">
        <w:t xml:space="preserve">quality of life </w:t>
      </w:r>
      <w:r w:rsidRPr="00282AA1">
        <w:t>by Functional Assessment of Cancer Therapy–Multiple Myeloma</w:t>
      </w:r>
      <w:r w:rsidR="00E63A3A">
        <w:t xml:space="preserve"> (FACT-MM)</w:t>
      </w:r>
      <w:r w:rsidRPr="00282AA1">
        <w:t xml:space="preserve"> questionnaire</w:t>
      </w:r>
      <w:r w:rsidR="0011239E">
        <w:t>.</w:t>
      </w:r>
      <w:r w:rsidRPr="00282AA1">
        <w:rPr>
          <w:rStyle w:val="FootnoteReference"/>
          <w:rFonts w:asciiTheme="minorHAnsi" w:hAnsiTheme="minorHAnsi" w:cs="Calibri"/>
        </w:rPr>
        <w:footnoteReference w:id="19"/>
      </w:r>
    </w:p>
    <w:p w14:paraId="19EF39D8" w14:textId="77777777" w:rsidR="000A1B6A" w:rsidRPr="0011239E" w:rsidRDefault="000A1B6A" w:rsidP="0011239E">
      <w:pPr>
        <w:pStyle w:val="Heading6"/>
      </w:pPr>
      <w:r w:rsidRPr="0011239E">
        <w:t>Analysis populations</w:t>
      </w:r>
    </w:p>
    <w:p w14:paraId="098AE585" w14:textId="358A413A" w:rsidR="000A1B6A" w:rsidRPr="00A52516" w:rsidRDefault="000A1B6A" w:rsidP="000A1B6A">
      <w:pPr>
        <w:rPr>
          <w:rFonts w:asciiTheme="minorHAnsi" w:hAnsiTheme="minorHAnsi" w:cs="Calibri"/>
        </w:rPr>
      </w:pPr>
      <w:r>
        <w:rPr>
          <w:rFonts w:asciiTheme="minorHAnsi" w:hAnsiTheme="minorHAnsi" w:cs="Calibri"/>
        </w:rPr>
        <w:t>M</w:t>
      </w:r>
      <w:r w:rsidRPr="00A52516">
        <w:rPr>
          <w:rFonts w:asciiTheme="minorHAnsi" w:hAnsiTheme="minorHAnsi" w:cs="Calibri"/>
        </w:rPr>
        <w:t xml:space="preserve">odified </w:t>
      </w:r>
      <w:r w:rsidR="0011239E">
        <w:rPr>
          <w:rFonts w:asciiTheme="minorHAnsi" w:hAnsiTheme="minorHAnsi" w:cs="Calibri"/>
        </w:rPr>
        <w:t>i</w:t>
      </w:r>
      <w:r w:rsidRPr="00A52516">
        <w:rPr>
          <w:rFonts w:asciiTheme="minorHAnsi" w:hAnsiTheme="minorHAnsi" w:cs="Calibri"/>
        </w:rPr>
        <w:t>nten</w:t>
      </w:r>
      <w:r w:rsidR="0011239E">
        <w:rPr>
          <w:rFonts w:asciiTheme="minorHAnsi" w:hAnsiTheme="minorHAnsi" w:cs="Calibri"/>
        </w:rPr>
        <w:t>t to t</w:t>
      </w:r>
      <w:r w:rsidRPr="00A52516">
        <w:rPr>
          <w:rFonts w:asciiTheme="minorHAnsi" w:hAnsiTheme="minorHAnsi" w:cs="Calibri"/>
        </w:rPr>
        <w:t xml:space="preserve">reat </w:t>
      </w:r>
      <w:r w:rsidR="0011239E">
        <w:rPr>
          <w:rFonts w:asciiTheme="minorHAnsi" w:hAnsiTheme="minorHAnsi" w:cs="Calibri"/>
        </w:rPr>
        <w:t>p</w:t>
      </w:r>
      <w:r w:rsidRPr="00A52516">
        <w:rPr>
          <w:rFonts w:asciiTheme="minorHAnsi" w:hAnsiTheme="minorHAnsi" w:cs="Calibri"/>
        </w:rPr>
        <w:t>opulation</w:t>
      </w:r>
      <w:r w:rsidR="00B3200B">
        <w:rPr>
          <w:rFonts w:asciiTheme="minorHAnsi" w:hAnsiTheme="minorHAnsi" w:cs="Calibri"/>
        </w:rPr>
        <w:t xml:space="preserve"> (</w:t>
      </w:r>
      <w:proofErr w:type="spellStart"/>
      <w:r w:rsidR="00B3200B">
        <w:rPr>
          <w:rFonts w:asciiTheme="minorHAnsi" w:hAnsiTheme="minorHAnsi" w:cs="Calibri"/>
        </w:rPr>
        <w:t>mITT</w:t>
      </w:r>
      <w:proofErr w:type="spellEnd"/>
      <w:r w:rsidR="00B3200B">
        <w:rPr>
          <w:rFonts w:asciiTheme="minorHAnsi" w:hAnsiTheme="minorHAnsi" w:cs="Calibri"/>
        </w:rPr>
        <w:t>)</w:t>
      </w:r>
      <w:r>
        <w:rPr>
          <w:rFonts w:asciiTheme="minorHAnsi" w:hAnsiTheme="minorHAnsi" w:cs="Calibri"/>
        </w:rPr>
        <w:t xml:space="preserve">: </w:t>
      </w:r>
      <w:r w:rsidRPr="00A52516">
        <w:rPr>
          <w:rFonts w:asciiTheme="minorHAnsi" w:hAnsiTheme="minorHAnsi" w:cs="Calibri"/>
        </w:rPr>
        <w:t xml:space="preserve">patients with penta-exposed, triple-class-refractory </w:t>
      </w:r>
      <w:r w:rsidR="0011239E">
        <w:rPr>
          <w:rFonts w:asciiTheme="minorHAnsi" w:hAnsiTheme="minorHAnsi" w:cs="Calibri"/>
        </w:rPr>
        <w:t>multiple myeloma</w:t>
      </w:r>
      <w:r w:rsidRPr="00A52516">
        <w:rPr>
          <w:rFonts w:asciiTheme="minorHAnsi" w:hAnsiTheme="minorHAnsi" w:cs="Calibri"/>
        </w:rPr>
        <w:t xml:space="preserve"> who received at least </w:t>
      </w:r>
      <w:r w:rsidR="0011239E">
        <w:rPr>
          <w:rFonts w:asciiTheme="minorHAnsi" w:hAnsiTheme="minorHAnsi" w:cs="Calibri"/>
        </w:rPr>
        <w:t>one</w:t>
      </w:r>
      <w:r w:rsidRPr="00A52516">
        <w:rPr>
          <w:rFonts w:asciiTheme="minorHAnsi" w:hAnsiTheme="minorHAnsi" w:cs="Calibri"/>
        </w:rPr>
        <w:t xml:space="preserve"> dose of </w:t>
      </w:r>
      <w:r w:rsidR="00B3200B">
        <w:rPr>
          <w:rFonts w:asciiTheme="minorHAnsi" w:hAnsiTheme="minorHAnsi" w:cs="Calibri"/>
        </w:rPr>
        <w:t xml:space="preserve">the </w:t>
      </w:r>
      <w:proofErr w:type="spellStart"/>
      <w:r w:rsidR="00B3200B">
        <w:rPr>
          <w:rFonts w:asciiTheme="minorHAnsi" w:hAnsiTheme="minorHAnsi" w:cs="Calibri"/>
        </w:rPr>
        <w:t>selinexor</w:t>
      </w:r>
      <w:proofErr w:type="spellEnd"/>
      <w:r w:rsidR="00B3200B">
        <w:rPr>
          <w:rFonts w:asciiTheme="minorHAnsi" w:hAnsiTheme="minorHAnsi" w:cs="Calibri"/>
        </w:rPr>
        <w:t xml:space="preserve"> + dexamethasone (</w:t>
      </w:r>
      <w:r w:rsidRPr="00A52516">
        <w:rPr>
          <w:rFonts w:asciiTheme="minorHAnsi" w:hAnsiTheme="minorHAnsi" w:cs="Calibri"/>
        </w:rPr>
        <w:t>Sd</w:t>
      </w:r>
      <w:r w:rsidR="00B3200B">
        <w:rPr>
          <w:rFonts w:asciiTheme="minorHAnsi" w:hAnsiTheme="minorHAnsi" w:cs="Calibri"/>
        </w:rPr>
        <w:t>) treatment regimen</w:t>
      </w:r>
      <w:r w:rsidR="0011239E">
        <w:rPr>
          <w:rFonts w:asciiTheme="minorHAnsi" w:hAnsiTheme="minorHAnsi" w:cs="Calibri"/>
        </w:rPr>
        <w:t>.</w:t>
      </w:r>
    </w:p>
    <w:p w14:paraId="3093CED2" w14:textId="4E8DABF1" w:rsidR="000A1B6A" w:rsidRPr="00A52516" w:rsidRDefault="000A1B6A" w:rsidP="000A1B6A">
      <w:pPr>
        <w:rPr>
          <w:rFonts w:asciiTheme="minorHAnsi" w:hAnsiTheme="minorHAnsi" w:cs="Calibri"/>
          <w:bCs/>
          <w:lang w:eastAsia="ja-JP"/>
        </w:rPr>
      </w:pPr>
      <w:r w:rsidRPr="00A52516">
        <w:rPr>
          <w:rFonts w:asciiTheme="minorHAnsi" w:hAnsiTheme="minorHAnsi" w:cs="Calibri"/>
        </w:rPr>
        <w:t>Per-protocol population</w:t>
      </w:r>
      <w:r>
        <w:rPr>
          <w:rFonts w:asciiTheme="minorHAnsi" w:hAnsiTheme="minorHAnsi" w:cs="Calibri"/>
        </w:rPr>
        <w:t xml:space="preserve">: </w:t>
      </w:r>
      <w:proofErr w:type="spellStart"/>
      <w:r w:rsidRPr="00A52516">
        <w:rPr>
          <w:rFonts w:asciiTheme="minorHAnsi" w:hAnsiTheme="minorHAnsi" w:cs="Calibri"/>
        </w:rPr>
        <w:t>mITT</w:t>
      </w:r>
      <w:proofErr w:type="spellEnd"/>
      <w:r w:rsidRPr="00A52516">
        <w:rPr>
          <w:rFonts w:asciiTheme="minorHAnsi" w:hAnsiTheme="minorHAnsi" w:cs="Calibri"/>
        </w:rPr>
        <w:t xml:space="preserve"> population with ≥</w:t>
      </w:r>
      <w:r w:rsidR="0011239E">
        <w:rPr>
          <w:rFonts w:asciiTheme="minorHAnsi" w:hAnsiTheme="minorHAnsi" w:cs="Calibri"/>
        </w:rPr>
        <w:t> </w:t>
      </w:r>
      <w:r w:rsidRPr="00A52516">
        <w:rPr>
          <w:rFonts w:asciiTheme="minorHAnsi" w:hAnsiTheme="minorHAnsi" w:cs="Calibri"/>
        </w:rPr>
        <w:t xml:space="preserve">70% compliance to </w:t>
      </w:r>
      <w:r w:rsidR="00B3200B">
        <w:rPr>
          <w:rFonts w:asciiTheme="minorHAnsi" w:hAnsiTheme="minorHAnsi" w:cs="Calibri"/>
        </w:rPr>
        <w:t xml:space="preserve">the </w:t>
      </w:r>
      <w:r w:rsidRPr="00A52516">
        <w:rPr>
          <w:rFonts w:asciiTheme="minorHAnsi" w:hAnsiTheme="minorHAnsi" w:cs="Calibri"/>
        </w:rPr>
        <w:t xml:space="preserve">Sd </w:t>
      </w:r>
      <w:r w:rsidR="0010285B">
        <w:rPr>
          <w:rFonts w:asciiTheme="minorHAnsi" w:hAnsiTheme="minorHAnsi" w:cs="Calibri"/>
        </w:rPr>
        <w:t>regimen</w:t>
      </w:r>
      <w:r w:rsidR="00B3200B">
        <w:rPr>
          <w:rFonts w:asciiTheme="minorHAnsi" w:hAnsiTheme="minorHAnsi" w:cs="Calibri"/>
        </w:rPr>
        <w:t xml:space="preserve"> </w:t>
      </w:r>
      <w:r w:rsidRPr="00A52516">
        <w:rPr>
          <w:rFonts w:asciiTheme="minorHAnsi" w:hAnsiTheme="minorHAnsi" w:cs="Calibri"/>
        </w:rPr>
        <w:t>with ≥</w:t>
      </w:r>
      <w:r w:rsidR="0011239E">
        <w:rPr>
          <w:rFonts w:asciiTheme="minorHAnsi" w:hAnsiTheme="minorHAnsi" w:cs="Calibri"/>
        </w:rPr>
        <w:t xml:space="preserve"> </w:t>
      </w:r>
      <w:r w:rsidRPr="00A52516">
        <w:rPr>
          <w:rFonts w:asciiTheme="minorHAnsi" w:hAnsiTheme="minorHAnsi" w:cs="Calibri"/>
        </w:rPr>
        <w:t>1 adequate post-baseline response assessment (unless died</w:t>
      </w:r>
      <w:r>
        <w:rPr>
          <w:rFonts w:asciiTheme="minorHAnsi" w:hAnsiTheme="minorHAnsi" w:cs="Calibri"/>
        </w:rPr>
        <w:t>/</w:t>
      </w:r>
      <w:r w:rsidRPr="00A52516">
        <w:rPr>
          <w:rFonts w:asciiTheme="minorHAnsi" w:hAnsiTheme="minorHAnsi" w:cs="Calibri"/>
        </w:rPr>
        <w:t xml:space="preserve">withdrew from study </w:t>
      </w:r>
      <w:r>
        <w:rPr>
          <w:rFonts w:asciiTheme="minorHAnsi" w:hAnsiTheme="minorHAnsi" w:cs="Calibri"/>
        </w:rPr>
        <w:t>before</w:t>
      </w:r>
      <w:r w:rsidRPr="00A52516">
        <w:rPr>
          <w:rFonts w:asciiTheme="minorHAnsi" w:hAnsiTheme="minorHAnsi" w:cs="Calibri"/>
        </w:rPr>
        <w:t xml:space="preserve"> first assessment)</w:t>
      </w:r>
      <w:r>
        <w:rPr>
          <w:rFonts w:asciiTheme="minorHAnsi" w:hAnsiTheme="minorHAnsi" w:cs="Calibri"/>
        </w:rPr>
        <w:t xml:space="preserve">, </w:t>
      </w:r>
      <w:r w:rsidRPr="00A52516">
        <w:rPr>
          <w:rFonts w:asciiTheme="minorHAnsi" w:hAnsiTheme="minorHAnsi" w:cs="Calibri"/>
        </w:rPr>
        <w:t>used for supportive efficacy analyses.</w:t>
      </w:r>
    </w:p>
    <w:p w14:paraId="31722E46" w14:textId="12F7C9CE" w:rsidR="000A1B6A" w:rsidRPr="0011239E" w:rsidRDefault="000A1B6A" w:rsidP="0011239E">
      <w:pPr>
        <w:pStyle w:val="Heading6"/>
      </w:pPr>
      <w:r w:rsidRPr="0011239E">
        <w:t>Stat</w:t>
      </w:r>
      <w:r w:rsidR="0011239E" w:rsidRPr="0011239E">
        <w:t>istics</w:t>
      </w:r>
    </w:p>
    <w:p w14:paraId="0466010F" w14:textId="05D8D8C8" w:rsidR="000A1B6A" w:rsidRPr="00A52516" w:rsidRDefault="000A1B6A" w:rsidP="000A1B6A">
      <w:pPr>
        <w:rPr>
          <w:rFonts w:asciiTheme="minorHAnsi" w:hAnsiTheme="minorHAnsi" w:cs="Calibri"/>
          <w:lang w:eastAsia="ja-JP"/>
        </w:rPr>
      </w:pPr>
      <w:r w:rsidRPr="00A52516">
        <w:rPr>
          <w:rFonts w:asciiTheme="minorHAnsi" w:hAnsiTheme="minorHAnsi" w:cs="Calibri"/>
          <w:lang w:eastAsia="ja-JP"/>
        </w:rPr>
        <w:t xml:space="preserve">The primary analysis of </w:t>
      </w:r>
      <w:r w:rsidR="000A0FC7">
        <w:rPr>
          <w:rFonts w:asciiTheme="minorHAnsi" w:hAnsiTheme="minorHAnsi" w:cs="Calibri"/>
          <w:lang w:eastAsia="ja-JP"/>
        </w:rPr>
        <w:t>overall response rate</w:t>
      </w:r>
      <w:r w:rsidRPr="00A52516">
        <w:rPr>
          <w:rFonts w:asciiTheme="minorHAnsi" w:hAnsiTheme="minorHAnsi" w:cs="Calibri"/>
          <w:lang w:eastAsia="ja-JP"/>
        </w:rPr>
        <w:t xml:space="preserve"> used a </w:t>
      </w:r>
      <w:r w:rsidR="0011239E">
        <w:rPr>
          <w:rFonts w:asciiTheme="minorHAnsi" w:hAnsiTheme="minorHAnsi" w:cs="Calibri"/>
          <w:lang w:eastAsia="ja-JP"/>
        </w:rPr>
        <w:t xml:space="preserve">two </w:t>
      </w:r>
      <w:r w:rsidRPr="00A52516">
        <w:rPr>
          <w:rFonts w:asciiTheme="minorHAnsi" w:hAnsiTheme="minorHAnsi" w:cs="Calibri"/>
          <w:lang w:eastAsia="ja-JP"/>
        </w:rPr>
        <w:t xml:space="preserve">sided, exact 95% </w:t>
      </w:r>
      <w:r w:rsidR="004B4871">
        <w:rPr>
          <w:rFonts w:asciiTheme="minorHAnsi" w:hAnsiTheme="minorHAnsi" w:cs="Calibri"/>
          <w:lang w:eastAsia="ja-JP"/>
        </w:rPr>
        <w:t>CI</w:t>
      </w:r>
      <w:r w:rsidRPr="00A52516">
        <w:rPr>
          <w:rFonts w:asciiTheme="minorHAnsi" w:hAnsiTheme="minorHAnsi" w:cs="Calibri"/>
          <w:lang w:eastAsia="ja-JP"/>
        </w:rPr>
        <w:t xml:space="preserve">, </w:t>
      </w:r>
      <w:r>
        <w:rPr>
          <w:rFonts w:asciiTheme="minorHAnsi" w:hAnsiTheme="minorHAnsi" w:cs="Calibri"/>
          <w:lang w:eastAsia="ja-JP"/>
        </w:rPr>
        <w:t>in</w:t>
      </w:r>
      <w:r w:rsidRPr="00A52516">
        <w:rPr>
          <w:rFonts w:asciiTheme="minorHAnsi" w:hAnsiTheme="minorHAnsi" w:cs="Calibri"/>
          <w:lang w:eastAsia="ja-JP"/>
        </w:rPr>
        <w:t xml:space="preserve"> the </w:t>
      </w:r>
      <w:proofErr w:type="spellStart"/>
      <w:r w:rsidRPr="00A52516">
        <w:rPr>
          <w:rFonts w:asciiTheme="minorHAnsi" w:hAnsiTheme="minorHAnsi" w:cs="Calibri"/>
          <w:lang w:eastAsia="ja-JP"/>
        </w:rPr>
        <w:t>mITT</w:t>
      </w:r>
      <w:proofErr w:type="spellEnd"/>
      <w:r w:rsidRPr="00A52516">
        <w:rPr>
          <w:rFonts w:asciiTheme="minorHAnsi" w:hAnsiTheme="minorHAnsi" w:cs="Calibri"/>
          <w:lang w:eastAsia="ja-JP"/>
        </w:rPr>
        <w:t xml:space="preserve"> population</w:t>
      </w:r>
      <w:r>
        <w:rPr>
          <w:rFonts w:asciiTheme="minorHAnsi" w:hAnsiTheme="minorHAnsi" w:cs="Calibri"/>
          <w:lang w:eastAsia="ja-JP"/>
        </w:rPr>
        <w:t>.</w:t>
      </w:r>
      <w:r w:rsidRPr="00A52516">
        <w:rPr>
          <w:rFonts w:asciiTheme="minorHAnsi" w:hAnsiTheme="minorHAnsi" w:cs="Calibri"/>
          <w:lang w:eastAsia="ja-JP"/>
        </w:rPr>
        <w:t xml:space="preserve"> </w:t>
      </w:r>
      <w:r>
        <w:rPr>
          <w:rFonts w:asciiTheme="minorHAnsi" w:hAnsiTheme="minorHAnsi" w:cs="Calibri"/>
          <w:lang w:eastAsia="ja-JP"/>
        </w:rPr>
        <w:t>S</w:t>
      </w:r>
      <w:r w:rsidRPr="00A52516">
        <w:rPr>
          <w:rFonts w:asciiTheme="minorHAnsi" w:hAnsiTheme="minorHAnsi" w:cs="Calibri"/>
          <w:lang w:eastAsia="ja-JP"/>
        </w:rPr>
        <w:t>tatistical significance was declared if the lower bound was &gt;</w:t>
      </w:r>
      <w:r w:rsidR="0011239E">
        <w:rPr>
          <w:rFonts w:asciiTheme="minorHAnsi" w:hAnsiTheme="minorHAnsi" w:cs="Calibri"/>
          <w:lang w:eastAsia="ja-JP"/>
        </w:rPr>
        <w:t> </w:t>
      </w:r>
      <w:r w:rsidRPr="00A52516">
        <w:rPr>
          <w:rFonts w:asciiTheme="minorHAnsi" w:hAnsiTheme="minorHAnsi" w:cs="Calibri"/>
          <w:lang w:eastAsia="ja-JP"/>
        </w:rPr>
        <w:t>10%.</w:t>
      </w:r>
      <w:r>
        <w:rPr>
          <w:rFonts w:asciiTheme="minorHAnsi" w:hAnsiTheme="minorHAnsi" w:cs="Calibri"/>
          <w:lang w:eastAsia="ja-JP"/>
        </w:rPr>
        <w:t xml:space="preserve"> </w:t>
      </w:r>
      <w:r w:rsidRPr="00A52516">
        <w:rPr>
          <w:rFonts w:asciiTheme="minorHAnsi" w:hAnsiTheme="minorHAnsi" w:cs="Calibri"/>
          <w:lang w:eastAsia="ja-JP"/>
        </w:rPr>
        <w:t xml:space="preserve">The comparison to the threshold maintained a Type I error rate of 0.025, </w:t>
      </w:r>
      <w:r w:rsidR="0011239E">
        <w:rPr>
          <w:rFonts w:asciiTheme="minorHAnsi" w:hAnsiTheme="minorHAnsi" w:cs="Calibri"/>
          <w:lang w:eastAsia="ja-JP"/>
        </w:rPr>
        <w:t xml:space="preserve">one </w:t>
      </w:r>
      <w:r w:rsidRPr="00A52516">
        <w:rPr>
          <w:rFonts w:asciiTheme="minorHAnsi" w:hAnsiTheme="minorHAnsi" w:cs="Calibri"/>
          <w:lang w:eastAsia="ja-JP"/>
        </w:rPr>
        <w:t xml:space="preserve">sided. A sample size of 122 patients with penta-exposed, triple-class-refractory </w:t>
      </w:r>
      <w:r w:rsidR="0011239E">
        <w:rPr>
          <w:rFonts w:asciiTheme="minorHAnsi" w:hAnsiTheme="minorHAnsi" w:cs="Calibri"/>
          <w:lang w:eastAsia="ja-JP"/>
        </w:rPr>
        <w:t>multiple myeloma</w:t>
      </w:r>
      <w:r w:rsidRPr="00A52516">
        <w:rPr>
          <w:rFonts w:asciiTheme="minorHAnsi" w:hAnsiTheme="minorHAnsi" w:cs="Calibri"/>
          <w:lang w:eastAsia="ja-JP"/>
        </w:rPr>
        <w:t xml:space="preserve"> would allow a</w:t>
      </w:r>
      <w:r w:rsidR="0011239E">
        <w:rPr>
          <w:rFonts w:asciiTheme="minorHAnsi" w:hAnsiTheme="minorHAnsi" w:cs="Calibri"/>
          <w:lang w:eastAsia="ja-JP"/>
        </w:rPr>
        <w:t xml:space="preserve"> </w:t>
      </w:r>
      <w:proofErr w:type="gramStart"/>
      <w:r w:rsidR="0011239E">
        <w:rPr>
          <w:rFonts w:asciiTheme="minorHAnsi" w:hAnsiTheme="minorHAnsi" w:cs="Calibri"/>
          <w:lang w:eastAsia="ja-JP"/>
        </w:rPr>
        <w:t xml:space="preserve">one </w:t>
      </w:r>
      <w:r w:rsidRPr="00A52516">
        <w:rPr>
          <w:rFonts w:asciiTheme="minorHAnsi" w:hAnsiTheme="minorHAnsi" w:cs="Calibri"/>
          <w:lang w:eastAsia="ja-JP"/>
        </w:rPr>
        <w:t>sided</w:t>
      </w:r>
      <w:proofErr w:type="gramEnd"/>
      <w:r w:rsidRPr="00A52516">
        <w:rPr>
          <w:rFonts w:asciiTheme="minorHAnsi" w:hAnsiTheme="minorHAnsi" w:cs="Calibri"/>
          <w:lang w:eastAsia="ja-JP"/>
        </w:rPr>
        <w:t xml:space="preserve"> test at α</w:t>
      </w:r>
      <w:r w:rsidR="0011239E">
        <w:rPr>
          <w:rFonts w:asciiTheme="minorHAnsi" w:hAnsiTheme="minorHAnsi" w:cs="Calibri"/>
          <w:lang w:eastAsia="ja-JP"/>
        </w:rPr>
        <w:t xml:space="preserve"> </w:t>
      </w:r>
      <w:r w:rsidRPr="00A52516">
        <w:rPr>
          <w:rFonts w:asciiTheme="minorHAnsi" w:hAnsiTheme="minorHAnsi" w:cs="Calibri"/>
          <w:lang w:eastAsia="ja-JP"/>
        </w:rPr>
        <w:t>=</w:t>
      </w:r>
      <w:r w:rsidR="0011239E">
        <w:rPr>
          <w:rFonts w:asciiTheme="minorHAnsi" w:hAnsiTheme="minorHAnsi" w:cs="Calibri"/>
          <w:lang w:eastAsia="ja-JP"/>
        </w:rPr>
        <w:t xml:space="preserve"> </w:t>
      </w:r>
      <w:r w:rsidRPr="00A52516">
        <w:rPr>
          <w:rFonts w:asciiTheme="minorHAnsi" w:hAnsiTheme="minorHAnsi" w:cs="Calibri"/>
          <w:lang w:eastAsia="ja-JP"/>
        </w:rPr>
        <w:t xml:space="preserve">0.025 to detect an </w:t>
      </w:r>
      <w:r w:rsidR="000A0FC7">
        <w:rPr>
          <w:rFonts w:asciiTheme="minorHAnsi" w:hAnsiTheme="minorHAnsi" w:cs="Calibri"/>
          <w:lang w:eastAsia="ja-JP"/>
        </w:rPr>
        <w:t>overall response rate</w:t>
      </w:r>
      <w:r w:rsidRPr="00A52516">
        <w:rPr>
          <w:rFonts w:asciiTheme="minorHAnsi" w:hAnsiTheme="minorHAnsi" w:cs="Calibri"/>
          <w:lang w:eastAsia="ja-JP"/>
        </w:rPr>
        <w:t xml:space="preserve"> of ≥</w:t>
      </w:r>
      <w:r w:rsidR="0011239E">
        <w:rPr>
          <w:rFonts w:asciiTheme="minorHAnsi" w:hAnsiTheme="minorHAnsi" w:cs="Calibri"/>
          <w:lang w:eastAsia="ja-JP"/>
        </w:rPr>
        <w:t> </w:t>
      </w:r>
      <w:r w:rsidRPr="00A52516">
        <w:rPr>
          <w:rFonts w:asciiTheme="minorHAnsi" w:hAnsiTheme="minorHAnsi" w:cs="Calibri"/>
          <w:lang w:eastAsia="ja-JP"/>
        </w:rPr>
        <w:t xml:space="preserve">0.20 against the threshold </w:t>
      </w:r>
      <w:r w:rsidR="000A0FC7">
        <w:rPr>
          <w:rFonts w:asciiTheme="minorHAnsi" w:hAnsiTheme="minorHAnsi" w:cs="Calibri"/>
          <w:lang w:eastAsia="ja-JP"/>
        </w:rPr>
        <w:t>overall response rate</w:t>
      </w:r>
      <w:r w:rsidRPr="00A52516">
        <w:rPr>
          <w:rFonts w:asciiTheme="minorHAnsi" w:hAnsiTheme="minorHAnsi" w:cs="Calibri"/>
          <w:lang w:eastAsia="ja-JP"/>
        </w:rPr>
        <w:t xml:space="preserve"> of 0.10, with 90% power.</w:t>
      </w:r>
    </w:p>
    <w:p w14:paraId="2A667CE0" w14:textId="77777777" w:rsidR="000A1B6A" w:rsidRPr="0011239E" w:rsidRDefault="000A1B6A" w:rsidP="0011239E">
      <w:pPr>
        <w:pStyle w:val="Heading6"/>
      </w:pPr>
      <w:r w:rsidRPr="0011239E">
        <w:t>Protocol amendments</w:t>
      </w:r>
    </w:p>
    <w:p w14:paraId="38D154E6" w14:textId="180A189C" w:rsidR="000A1B6A" w:rsidRPr="00A52516" w:rsidRDefault="000A1B6A" w:rsidP="000A1B6A">
      <w:pPr>
        <w:rPr>
          <w:rFonts w:asciiTheme="minorHAnsi" w:hAnsiTheme="minorHAnsi" w:cs="Calibri"/>
          <w:lang w:eastAsia="ja-JP"/>
        </w:rPr>
      </w:pPr>
      <w:r w:rsidRPr="00A52516">
        <w:rPr>
          <w:rFonts w:asciiTheme="minorHAnsi" w:hAnsiTheme="minorHAnsi" w:cs="Calibri"/>
          <w:lang w:eastAsia="ja-JP"/>
        </w:rPr>
        <w:t xml:space="preserve">The protocol was amended </w:t>
      </w:r>
      <w:r w:rsidR="0011239E">
        <w:rPr>
          <w:rFonts w:asciiTheme="minorHAnsi" w:hAnsiTheme="minorHAnsi" w:cs="Calibri"/>
          <w:lang w:eastAsia="ja-JP"/>
        </w:rPr>
        <w:t>five</w:t>
      </w:r>
      <w:r w:rsidRPr="00A52516">
        <w:rPr>
          <w:rFonts w:asciiTheme="minorHAnsi" w:hAnsiTheme="minorHAnsi" w:cs="Calibri"/>
          <w:lang w:eastAsia="ja-JP"/>
        </w:rPr>
        <w:t xml:space="preserve"> times. At </w:t>
      </w:r>
      <w:r w:rsidR="004B4871">
        <w:rPr>
          <w:rFonts w:asciiTheme="minorHAnsi" w:hAnsiTheme="minorHAnsi" w:cs="Calibri"/>
          <w:lang w:eastAsia="ja-JP"/>
        </w:rPr>
        <w:t>a</w:t>
      </w:r>
      <w:r w:rsidRPr="00A52516">
        <w:rPr>
          <w:rFonts w:asciiTheme="minorHAnsi" w:hAnsiTheme="minorHAnsi" w:cs="Calibri"/>
          <w:lang w:eastAsia="ja-JP"/>
        </w:rPr>
        <w:t xml:space="preserve">mendment 2 </w:t>
      </w:r>
      <w:r>
        <w:rPr>
          <w:rFonts w:asciiTheme="minorHAnsi" w:hAnsiTheme="minorHAnsi" w:cs="Calibri"/>
          <w:lang w:eastAsia="ja-JP"/>
        </w:rPr>
        <w:t xml:space="preserve">(September 2015) </w:t>
      </w:r>
      <w:r w:rsidRPr="00A52516">
        <w:rPr>
          <w:rFonts w:asciiTheme="minorHAnsi" w:hAnsiTheme="minorHAnsi" w:cs="Calibri"/>
          <w:lang w:eastAsia="ja-JP"/>
        </w:rPr>
        <w:t xml:space="preserve">patients were required to have </w:t>
      </w:r>
      <w:r w:rsidR="0011239E">
        <w:rPr>
          <w:rFonts w:asciiTheme="minorHAnsi" w:hAnsiTheme="minorHAnsi" w:cs="Calibri"/>
          <w:lang w:eastAsia="ja-JP"/>
        </w:rPr>
        <w:t>multiple myeloma</w:t>
      </w:r>
      <w:r w:rsidRPr="00A52516">
        <w:rPr>
          <w:rFonts w:asciiTheme="minorHAnsi" w:hAnsiTheme="minorHAnsi" w:cs="Calibri"/>
          <w:lang w:eastAsia="ja-JP"/>
        </w:rPr>
        <w:t xml:space="preserve"> double refractory to the </w:t>
      </w:r>
      <w:r>
        <w:rPr>
          <w:rFonts w:asciiTheme="minorHAnsi" w:hAnsiTheme="minorHAnsi" w:cs="Calibri"/>
          <w:lang w:eastAsia="ja-JP"/>
        </w:rPr>
        <w:t xml:space="preserve">proteasome inhibitor and immunomodulator </w:t>
      </w:r>
      <w:r w:rsidRPr="00A52516">
        <w:rPr>
          <w:rFonts w:asciiTheme="minorHAnsi" w:hAnsiTheme="minorHAnsi" w:cs="Calibri"/>
          <w:lang w:eastAsia="ja-JP"/>
        </w:rPr>
        <w:t xml:space="preserve">classes, the dosing changed from twice weekly for three weeks of every </w:t>
      </w:r>
      <w:proofErr w:type="gramStart"/>
      <w:r w:rsidR="004B4871">
        <w:rPr>
          <w:rFonts w:asciiTheme="minorHAnsi" w:hAnsiTheme="minorHAnsi" w:cs="Calibri"/>
          <w:lang w:eastAsia="ja-JP"/>
        </w:rPr>
        <w:t>four</w:t>
      </w:r>
      <w:r w:rsidRPr="00A52516">
        <w:rPr>
          <w:rFonts w:asciiTheme="minorHAnsi" w:hAnsiTheme="minorHAnsi" w:cs="Calibri"/>
          <w:lang w:eastAsia="ja-JP"/>
        </w:rPr>
        <w:t xml:space="preserve"> week</w:t>
      </w:r>
      <w:proofErr w:type="gramEnd"/>
      <w:r w:rsidRPr="00A52516">
        <w:rPr>
          <w:rFonts w:asciiTheme="minorHAnsi" w:hAnsiTheme="minorHAnsi" w:cs="Calibri"/>
          <w:lang w:eastAsia="ja-JP"/>
        </w:rPr>
        <w:t xml:space="preserve"> cycle to twice weekly for every week of a </w:t>
      </w:r>
      <w:r w:rsidR="004B4871">
        <w:rPr>
          <w:rFonts w:asciiTheme="minorHAnsi" w:hAnsiTheme="minorHAnsi" w:cs="Calibri"/>
          <w:lang w:eastAsia="ja-JP"/>
        </w:rPr>
        <w:t>four</w:t>
      </w:r>
      <w:r w:rsidRPr="00A52516">
        <w:rPr>
          <w:rFonts w:asciiTheme="minorHAnsi" w:hAnsiTheme="minorHAnsi" w:cs="Calibri"/>
          <w:lang w:eastAsia="ja-JP"/>
        </w:rPr>
        <w:t xml:space="preserve"> week cycle, the exploratory objectives </w:t>
      </w:r>
      <w:r w:rsidR="000A0FC7">
        <w:rPr>
          <w:rFonts w:asciiTheme="minorHAnsi" w:hAnsiTheme="minorHAnsi" w:cs="Calibri"/>
          <w:lang w:eastAsia="ja-JP"/>
        </w:rPr>
        <w:t>overall response rate</w:t>
      </w:r>
      <w:r w:rsidRPr="00A52516">
        <w:rPr>
          <w:rFonts w:asciiTheme="minorHAnsi" w:hAnsiTheme="minorHAnsi" w:cs="Calibri"/>
          <w:lang w:eastAsia="ja-JP"/>
        </w:rPr>
        <w:t xml:space="preserve">, DOR, PFS, and OS in the subgroup of patients with free light chain </w:t>
      </w:r>
      <w:r w:rsidR="0011239E">
        <w:rPr>
          <w:rFonts w:asciiTheme="minorHAnsi" w:hAnsiTheme="minorHAnsi" w:cs="Calibri"/>
          <w:lang w:eastAsia="ja-JP"/>
        </w:rPr>
        <w:t>multiple myeloma</w:t>
      </w:r>
      <w:r w:rsidRPr="00A52516">
        <w:rPr>
          <w:rFonts w:asciiTheme="minorHAnsi" w:hAnsiTheme="minorHAnsi" w:cs="Calibri"/>
          <w:lang w:eastAsia="ja-JP"/>
        </w:rPr>
        <w:t>.</w:t>
      </w:r>
    </w:p>
    <w:p w14:paraId="51B2C5E2" w14:textId="3D86A4E4" w:rsidR="000A1B6A" w:rsidRDefault="000A1B6A" w:rsidP="000A1B6A">
      <w:pPr>
        <w:rPr>
          <w:rFonts w:asciiTheme="minorHAnsi" w:hAnsiTheme="minorHAnsi" w:cs="Calibri"/>
          <w:lang w:eastAsia="ja-JP"/>
        </w:rPr>
      </w:pPr>
      <w:r w:rsidRPr="00A52516">
        <w:rPr>
          <w:rFonts w:asciiTheme="minorHAnsi" w:hAnsiTheme="minorHAnsi" w:cs="Calibri"/>
          <w:lang w:eastAsia="ja-JP"/>
        </w:rPr>
        <w:t xml:space="preserve">At </w:t>
      </w:r>
      <w:r w:rsidR="004B4871">
        <w:rPr>
          <w:rFonts w:asciiTheme="minorHAnsi" w:hAnsiTheme="minorHAnsi" w:cs="Calibri"/>
          <w:lang w:eastAsia="ja-JP"/>
        </w:rPr>
        <w:t>a</w:t>
      </w:r>
      <w:r w:rsidRPr="00A52516">
        <w:rPr>
          <w:rFonts w:asciiTheme="minorHAnsi" w:hAnsiTheme="minorHAnsi" w:cs="Calibri"/>
          <w:lang w:eastAsia="ja-JP"/>
        </w:rPr>
        <w:t xml:space="preserve">mendment 3 </w:t>
      </w:r>
      <w:r>
        <w:rPr>
          <w:rFonts w:asciiTheme="minorHAnsi" w:hAnsiTheme="minorHAnsi" w:cs="Calibri"/>
          <w:lang w:eastAsia="ja-JP"/>
        </w:rPr>
        <w:t xml:space="preserve">(August 2016) </w:t>
      </w:r>
      <w:r w:rsidRPr="00A52516">
        <w:rPr>
          <w:rFonts w:asciiTheme="minorHAnsi" w:hAnsiTheme="minorHAnsi" w:cs="Calibri"/>
          <w:lang w:eastAsia="ja-JP"/>
        </w:rPr>
        <w:t xml:space="preserve">the primary efficacy analysis (using </w:t>
      </w:r>
      <w:r w:rsidR="000A0FC7">
        <w:rPr>
          <w:rFonts w:asciiTheme="minorHAnsi" w:hAnsiTheme="minorHAnsi" w:cs="Calibri"/>
          <w:lang w:eastAsia="ja-JP"/>
        </w:rPr>
        <w:t>overall response rate</w:t>
      </w:r>
      <w:r w:rsidRPr="00A52516">
        <w:rPr>
          <w:rFonts w:asciiTheme="minorHAnsi" w:hAnsiTheme="minorHAnsi" w:cs="Calibri"/>
          <w:lang w:eastAsia="ja-JP"/>
        </w:rPr>
        <w:t xml:space="preserve">) was changed from the patients enrolled in </w:t>
      </w:r>
      <w:r w:rsidR="004B4871">
        <w:rPr>
          <w:rFonts w:asciiTheme="minorHAnsi" w:hAnsiTheme="minorHAnsi" w:cs="Calibri"/>
          <w:lang w:eastAsia="ja-JP"/>
        </w:rPr>
        <w:t>p</w:t>
      </w:r>
      <w:r w:rsidRPr="00A52516">
        <w:rPr>
          <w:rFonts w:asciiTheme="minorHAnsi" w:hAnsiTheme="minorHAnsi" w:cs="Calibri"/>
          <w:lang w:eastAsia="ja-JP"/>
        </w:rPr>
        <w:t xml:space="preserve">art 1 to the </w:t>
      </w:r>
      <w:r w:rsidR="004B4871">
        <w:rPr>
          <w:rFonts w:asciiTheme="minorHAnsi" w:hAnsiTheme="minorHAnsi" w:cs="Calibri"/>
          <w:lang w:eastAsia="ja-JP"/>
        </w:rPr>
        <w:t>p</w:t>
      </w:r>
      <w:r w:rsidRPr="00A52516">
        <w:rPr>
          <w:rFonts w:asciiTheme="minorHAnsi" w:hAnsiTheme="minorHAnsi" w:cs="Calibri"/>
          <w:lang w:eastAsia="ja-JP"/>
        </w:rPr>
        <w:t xml:space="preserve">art 2 population. Patients in </w:t>
      </w:r>
      <w:r w:rsidR="004B4871">
        <w:rPr>
          <w:rFonts w:asciiTheme="minorHAnsi" w:hAnsiTheme="minorHAnsi" w:cs="Calibri"/>
          <w:lang w:eastAsia="ja-JP"/>
        </w:rPr>
        <w:t>p</w:t>
      </w:r>
      <w:r w:rsidRPr="00A52516">
        <w:rPr>
          <w:rFonts w:asciiTheme="minorHAnsi" w:hAnsiTheme="minorHAnsi" w:cs="Calibri"/>
          <w:lang w:eastAsia="ja-JP"/>
        </w:rPr>
        <w:t>art</w:t>
      </w:r>
      <w:r w:rsidR="00B3200B">
        <w:rPr>
          <w:rFonts w:asciiTheme="minorHAnsi" w:hAnsiTheme="minorHAnsi" w:cs="Calibri"/>
          <w:lang w:eastAsia="ja-JP"/>
        </w:rPr>
        <w:t> </w:t>
      </w:r>
      <w:r w:rsidRPr="00A52516">
        <w:rPr>
          <w:rFonts w:asciiTheme="minorHAnsi" w:hAnsiTheme="minorHAnsi" w:cs="Calibri"/>
          <w:lang w:eastAsia="ja-JP"/>
        </w:rPr>
        <w:t xml:space="preserve">1 became a secondary analysis. Other changes to the analysis sub-populations. </w:t>
      </w:r>
      <w:r>
        <w:rPr>
          <w:rFonts w:asciiTheme="minorHAnsi" w:hAnsiTheme="minorHAnsi" w:cs="Calibri"/>
          <w:lang w:eastAsia="ja-JP"/>
        </w:rPr>
        <w:t>In part</w:t>
      </w:r>
      <w:r w:rsidR="0010285B">
        <w:rPr>
          <w:rFonts w:asciiTheme="minorHAnsi" w:hAnsiTheme="minorHAnsi" w:cs="Calibri"/>
          <w:lang w:eastAsia="ja-JP"/>
        </w:rPr>
        <w:t> </w:t>
      </w:r>
      <w:r>
        <w:rPr>
          <w:rFonts w:asciiTheme="minorHAnsi" w:hAnsiTheme="minorHAnsi" w:cs="Calibri"/>
          <w:lang w:eastAsia="ja-JP"/>
        </w:rPr>
        <w:t>2</w:t>
      </w:r>
      <w:r w:rsidRPr="00A52516">
        <w:rPr>
          <w:rFonts w:asciiTheme="minorHAnsi" w:hAnsiTheme="minorHAnsi" w:cs="Calibri"/>
          <w:lang w:eastAsia="ja-JP"/>
        </w:rPr>
        <w:t xml:space="preserve"> daratumumab </w:t>
      </w:r>
      <w:r>
        <w:rPr>
          <w:rFonts w:asciiTheme="minorHAnsi" w:hAnsiTheme="minorHAnsi" w:cs="Calibri"/>
          <w:lang w:eastAsia="ja-JP"/>
        </w:rPr>
        <w:t>was required as a</w:t>
      </w:r>
      <w:r w:rsidRPr="00A52516">
        <w:rPr>
          <w:rFonts w:asciiTheme="minorHAnsi" w:hAnsiTheme="minorHAnsi" w:cs="Calibri"/>
          <w:lang w:eastAsia="ja-JP"/>
        </w:rPr>
        <w:t xml:space="preserve"> prior therap</w:t>
      </w:r>
      <w:r>
        <w:rPr>
          <w:rFonts w:asciiTheme="minorHAnsi" w:hAnsiTheme="minorHAnsi" w:cs="Calibri"/>
          <w:lang w:eastAsia="ja-JP"/>
        </w:rPr>
        <w:t>y</w:t>
      </w:r>
      <w:r w:rsidRPr="00A52516">
        <w:rPr>
          <w:rFonts w:asciiTheme="minorHAnsi" w:hAnsiTheme="minorHAnsi" w:cs="Calibri"/>
          <w:lang w:eastAsia="ja-JP"/>
        </w:rPr>
        <w:t xml:space="preserve">, and removal of an exclusion for patients whose </w:t>
      </w:r>
      <w:r w:rsidR="0011239E">
        <w:rPr>
          <w:rFonts w:asciiTheme="minorHAnsi" w:hAnsiTheme="minorHAnsi" w:cs="Calibri"/>
          <w:lang w:eastAsia="ja-JP"/>
        </w:rPr>
        <w:t>multiple myeloma</w:t>
      </w:r>
      <w:r w:rsidRPr="00A52516">
        <w:rPr>
          <w:rFonts w:asciiTheme="minorHAnsi" w:hAnsiTheme="minorHAnsi" w:cs="Calibri"/>
          <w:lang w:eastAsia="ja-JP"/>
        </w:rPr>
        <w:t xml:space="preserve"> dose not express either M-protein or </w:t>
      </w:r>
      <w:r w:rsidR="004B4871">
        <w:rPr>
          <w:rFonts w:asciiTheme="minorHAnsi" w:hAnsiTheme="minorHAnsi" w:cs="Calibri"/>
          <w:lang w:eastAsia="ja-JP"/>
        </w:rPr>
        <w:t>free light chain</w:t>
      </w:r>
      <w:r w:rsidRPr="00A52516">
        <w:rPr>
          <w:rFonts w:asciiTheme="minorHAnsi" w:hAnsiTheme="minorHAnsi" w:cs="Calibri"/>
          <w:lang w:eastAsia="ja-JP"/>
        </w:rPr>
        <w:t xml:space="preserve">, and the central assessment to confirm </w:t>
      </w:r>
      <w:r w:rsidR="0010285B">
        <w:rPr>
          <w:rFonts w:asciiTheme="minorHAnsi" w:hAnsiTheme="minorHAnsi" w:cs="Calibri"/>
          <w:lang w:eastAsia="ja-JP"/>
        </w:rPr>
        <w:t>complete</w:t>
      </w:r>
      <w:r w:rsidR="0010285B" w:rsidRPr="00A52516">
        <w:rPr>
          <w:rFonts w:asciiTheme="minorHAnsi" w:hAnsiTheme="minorHAnsi" w:cs="Calibri"/>
          <w:lang w:eastAsia="ja-JP"/>
        </w:rPr>
        <w:t xml:space="preserve"> </w:t>
      </w:r>
      <w:r w:rsidRPr="00A52516">
        <w:rPr>
          <w:rFonts w:asciiTheme="minorHAnsi" w:hAnsiTheme="minorHAnsi" w:cs="Calibri"/>
          <w:lang w:eastAsia="ja-JP"/>
        </w:rPr>
        <w:t xml:space="preserve">and </w:t>
      </w:r>
      <w:r w:rsidR="0010285B">
        <w:rPr>
          <w:rFonts w:asciiTheme="minorHAnsi" w:hAnsiTheme="minorHAnsi" w:cs="Calibri"/>
          <w:lang w:eastAsia="ja-JP"/>
        </w:rPr>
        <w:t>stringent complete responses</w:t>
      </w:r>
      <w:r w:rsidRPr="00A52516">
        <w:rPr>
          <w:rFonts w:asciiTheme="minorHAnsi" w:hAnsiTheme="minorHAnsi" w:cs="Calibri"/>
          <w:lang w:eastAsia="ja-JP"/>
        </w:rPr>
        <w:t>.</w:t>
      </w:r>
    </w:p>
    <w:p w14:paraId="525E5022" w14:textId="3F677D8C" w:rsidR="000A1B6A" w:rsidRPr="00A52516" w:rsidRDefault="000A1B6A" w:rsidP="000A1B6A">
      <w:pPr>
        <w:rPr>
          <w:rFonts w:asciiTheme="minorHAnsi" w:hAnsiTheme="minorHAnsi" w:cs="Calibri"/>
          <w:lang w:eastAsia="ja-JP"/>
        </w:rPr>
      </w:pPr>
      <w:r>
        <w:rPr>
          <w:rFonts w:asciiTheme="minorHAnsi" w:hAnsiTheme="minorHAnsi" w:cs="Calibri"/>
          <w:lang w:eastAsia="ja-JP"/>
        </w:rPr>
        <w:t xml:space="preserve">At </w:t>
      </w:r>
      <w:r w:rsidR="004B4871">
        <w:rPr>
          <w:rFonts w:asciiTheme="minorHAnsi" w:hAnsiTheme="minorHAnsi" w:cs="Calibri"/>
          <w:lang w:eastAsia="ja-JP"/>
        </w:rPr>
        <w:t>a</w:t>
      </w:r>
      <w:r>
        <w:rPr>
          <w:rFonts w:asciiTheme="minorHAnsi" w:hAnsiTheme="minorHAnsi" w:cs="Calibri"/>
          <w:lang w:eastAsia="ja-JP"/>
        </w:rPr>
        <w:t xml:space="preserve">mendment 4, among other changes, the karyotyping and </w:t>
      </w:r>
      <w:r w:rsidR="0011239E" w:rsidRPr="0011239E">
        <w:rPr>
          <w:rFonts w:asciiTheme="minorHAnsi" w:hAnsiTheme="minorHAnsi" w:cs="Calibri"/>
          <w:lang w:eastAsia="ja-JP"/>
        </w:rPr>
        <w:t xml:space="preserve">fluorescence </w:t>
      </w:r>
      <w:r w:rsidR="0011239E" w:rsidRPr="0011239E">
        <w:rPr>
          <w:rFonts w:asciiTheme="minorHAnsi" w:hAnsiTheme="minorHAnsi" w:cs="Calibri"/>
          <w:i/>
          <w:iCs/>
          <w:lang w:eastAsia="ja-JP"/>
        </w:rPr>
        <w:t>in situ</w:t>
      </w:r>
      <w:r w:rsidR="0011239E" w:rsidRPr="0011239E">
        <w:rPr>
          <w:rFonts w:asciiTheme="minorHAnsi" w:hAnsiTheme="minorHAnsi" w:cs="Calibri"/>
          <w:lang w:eastAsia="ja-JP"/>
        </w:rPr>
        <w:t xml:space="preserve"> hybridisation</w:t>
      </w:r>
      <w:r>
        <w:rPr>
          <w:rFonts w:asciiTheme="minorHAnsi" w:hAnsiTheme="minorHAnsi" w:cs="Calibri"/>
          <w:lang w:eastAsia="ja-JP"/>
        </w:rPr>
        <w:t xml:space="preserve"> were to be performed at a central laboratory, and there was an update to reflect the IMWG</w:t>
      </w:r>
      <w:r w:rsidR="00B3200B" w:rsidRPr="000B3827">
        <w:rPr>
          <w:rFonts w:asciiTheme="minorHAnsi" w:hAnsiTheme="minorHAnsi" w:cs="Calibri"/>
          <w:vertAlign w:val="superscript"/>
          <w:lang w:eastAsia="ja-JP"/>
        </w:rPr>
        <w:fldChar w:fldCharType="begin"/>
      </w:r>
      <w:r w:rsidR="00B3200B" w:rsidRPr="000B3827">
        <w:rPr>
          <w:rFonts w:asciiTheme="minorHAnsi" w:hAnsiTheme="minorHAnsi" w:cs="Calibri"/>
          <w:vertAlign w:val="superscript"/>
          <w:lang w:eastAsia="ja-JP"/>
        </w:rPr>
        <w:instrText xml:space="preserve"> NOTEREF _Ref111543588 \h </w:instrText>
      </w:r>
      <w:r w:rsidR="00B3200B">
        <w:rPr>
          <w:rFonts w:asciiTheme="minorHAnsi" w:hAnsiTheme="minorHAnsi" w:cs="Calibri"/>
          <w:vertAlign w:val="superscript"/>
          <w:lang w:eastAsia="ja-JP"/>
        </w:rPr>
        <w:instrText xml:space="preserve"> \* MERGEFORMAT </w:instrText>
      </w:r>
      <w:r w:rsidR="00B3200B" w:rsidRPr="000B3827">
        <w:rPr>
          <w:rFonts w:asciiTheme="minorHAnsi" w:hAnsiTheme="minorHAnsi" w:cs="Calibri"/>
          <w:vertAlign w:val="superscript"/>
          <w:lang w:eastAsia="ja-JP"/>
        </w:rPr>
      </w:r>
      <w:r w:rsidR="00B3200B" w:rsidRPr="000B3827">
        <w:rPr>
          <w:rFonts w:asciiTheme="minorHAnsi" w:hAnsiTheme="minorHAnsi" w:cs="Calibri"/>
          <w:vertAlign w:val="superscript"/>
          <w:lang w:eastAsia="ja-JP"/>
        </w:rPr>
        <w:fldChar w:fldCharType="separate"/>
      </w:r>
      <w:r w:rsidR="00B3200B" w:rsidRPr="000B3827">
        <w:rPr>
          <w:rFonts w:asciiTheme="minorHAnsi" w:hAnsiTheme="minorHAnsi" w:cs="Calibri"/>
          <w:vertAlign w:val="superscript"/>
          <w:lang w:eastAsia="ja-JP"/>
        </w:rPr>
        <w:t>18</w:t>
      </w:r>
      <w:r w:rsidR="00B3200B" w:rsidRPr="000B3827">
        <w:rPr>
          <w:rFonts w:asciiTheme="minorHAnsi" w:hAnsiTheme="minorHAnsi" w:cs="Calibri"/>
          <w:vertAlign w:val="superscript"/>
          <w:lang w:eastAsia="ja-JP"/>
        </w:rPr>
        <w:fldChar w:fldCharType="end"/>
      </w:r>
      <w:r>
        <w:rPr>
          <w:rFonts w:asciiTheme="minorHAnsi" w:hAnsiTheme="minorHAnsi" w:cs="Calibri"/>
          <w:lang w:eastAsia="ja-JP"/>
        </w:rPr>
        <w:t xml:space="preserve"> requirement for a sequential sample</w:t>
      </w:r>
      <w:r w:rsidR="000C1F4E">
        <w:rPr>
          <w:rFonts w:asciiTheme="minorHAnsi" w:hAnsiTheme="minorHAnsi" w:cs="Calibri"/>
          <w:lang w:eastAsia="ja-JP"/>
        </w:rPr>
        <w:t>.</w:t>
      </w:r>
    </w:p>
    <w:p w14:paraId="18EC749A" w14:textId="77777777" w:rsidR="000A1B6A" w:rsidRPr="00F530F5" w:rsidRDefault="000A1B6A" w:rsidP="0014092D">
      <w:pPr>
        <w:rPr>
          <w:rFonts w:asciiTheme="minorHAnsi" w:hAnsiTheme="minorHAnsi"/>
          <w:lang w:eastAsia="ja-JP"/>
        </w:rPr>
      </w:pPr>
      <w:r w:rsidRPr="00F530F5">
        <w:rPr>
          <w:rFonts w:asciiTheme="minorHAnsi" w:hAnsiTheme="minorHAnsi"/>
          <w:lang w:eastAsia="ja-JP"/>
        </w:rPr>
        <w:lastRenderedPageBreak/>
        <w:t>There were 34 major protocol deviations but only one resulted in exclusion of the patient from the efficacy analysis.</w:t>
      </w:r>
    </w:p>
    <w:p w14:paraId="3184748B" w14:textId="1DAC1698" w:rsidR="000A1B6A" w:rsidRDefault="0014092D" w:rsidP="0014092D">
      <w:pPr>
        <w:pStyle w:val="Heading6"/>
      </w:pPr>
      <w:r>
        <w:t xml:space="preserve">Baseline </w:t>
      </w:r>
      <w:r w:rsidRPr="0014092D">
        <w:t>characteristics</w:t>
      </w:r>
    </w:p>
    <w:p w14:paraId="6DEB81AF" w14:textId="3B2F36CA" w:rsidR="0014092D" w:rsidRDefault="00993D60" w:rsidP="0014092D">
      <w:r>
        <w:fldChar w:fldCharType="begin"/>
      </w:r>
      <w:r>
        <w:instrText xml:space="preserve"> REF _Ref111630534 \h </w:instrText>
      </w:r>
      <w:r>
        <w:fldChar w:fldCharType="separate"/>
      </w:r>
      <w:r w:rsidR="003F6139" w:rsidRPr="00993D60">
        <w:t xml:space="preserve">Table </w:t>
      </w:r>
      <w:r w:rsidR="003F6139">
        <w:rPr>
          <w:noProof/>
        </w:rPr>
        <w:t>8</w:t>
      </w:r>
      <w:r>
        <w:fldChar w:fldCharType="end"/>
      </w:r>
      <w:r>
        <w:t xml:space="preserve"> is a summary of baseline characteristics for </w:t>
      </w:r>
      <w:r w:rsidR="00B3200B">
        <w:t>Study KCP-330-012 (</w:t>
      </w:r>
      <w:r>
        <w:t>STORM trial</w:t>
      </w:r>
      <w:r w:rsidR="00B3200B">
        <w:t>)</w:t>
      </w:r>
      <w:r>
        <w:t>.</w:t>
      </w:r>
    </w:p>
    <w:p w14:paraId="70F2C379" w14:textId="15FB3F83" w:rsidR="00993D60" w:rsidRDefault="00993D60" w:rsidP="00993D60">
      <w:pPr>
        <w:pStyle w:val="TableTitle"/>
      </w:pPr>
      <w:bookmarkStart w:id="48" w:name="_Ref111630534"/>
      <w:r w:rsidRPr="00993D60">
        <w:t xml:space="preserve">Table </w:t>
      </w:r>
      <w:r w:rsidR="006737A0">
        <w:fldChar w:fldCharType="begin"/>
      </w:r>
      <w:r w:rsidR="006737A0">
        <w:instrText xml:space="preserve"> SEQ Table \* ARABIC </w:instrText>
      </w:r>
      <w:r w:rsidR="006737A0">
        <w:fldChar w:fldCharType="separate"/>
      </w:r>
      <w:r w:rsidR="00BB2836">
        <w:rPr>
          <w:noProof/>
        </w:rPr>
        <w:t>8</w:t>
      </w:r>
      <w:r w:rsidR="006737A0">
        <w:rPr>
          <w:noProof/>
        </w:rPr>
        <w:fldChar w:fldCharType="end"/>
      </w:r>
      <w:bookmarkEnd w:id="48"/>
      <w:r>
        <w:t>:</w:t>
      </w:r>
      <w:r w:rsidR="00B3200B" w:rsidRPr="00B3200B">
        <w:t xml:space="preserve"> </w:t>
      </w:r>
      <w:r w:rsidR="00B3200B">
        <w:t xml:space="preserve">Study KCP-330-012 </w:t>
      </w:r>
      <w:proofErr w:type="gramStart"/>
      <w:r w:rsidR="00B3200B">
        <w:t>(</w:t>
      </w:r>
      <w:r>
        <w:t xml:space="preserve"> STORM</w:t>
      </w:r>
      <w:proofErr w:type="gramEnd"/>
      <w:r>
        <w:t xml:space="preserve"> trial</w:t>
      </w:r>
      <w:r w:rsidR="00B3200B">
        <w:t>)</w:t>
      </w:r>
      <w:r>
        <w:t xml:space="preserve"> Baseline characteristics</w:t>
      </w:r>
    </w:p>
    <w:tbl>
      <w:tblPr>
        <w:tblStyle w:val="TableTGAblue"/>
        <w:tblW w:w="5000" w:type="pct"/>
        <w:tblLook w:val="0420" w:firstRow="1" w:lastRow="0" w:firstColumn="0" w:lastColumn="0" w:noHBand="0" w:noVBand="1"/>
      </w:tblPr>
      <w:tblGrid>
        <w:gridCol w:w="1935"/>
        <w:gridCol w:w="4019"/>
        <w:gridCol w:w="2530"/>
      </w:tblGrid>
      <w:tr w:rsidR="00993D60" w:rsidRPr="00765D5D" w14:paraId="76DCD94F" w14:textId="77777777" w:rsidTr="000B3827">
        <w:trPr>
          <w:cnfStyle w:val="100000000000" w:firstRow="1" w:lastRow="0" w:firstColumn="0" w:lastColumn="0" w:oddVBand="0" w:evenVBand="0" w:oddHBand="0" w:evenHBand="0" w:firstRowFirstColumn="0" w:firstRowLastColumn="0" w:lastRowFirstColumn="0" w:lastRowLastColumn="0"/>
          <w:trHeight w:val="20"/>
        </w:trPr>
        <w:tc>
          <w:tcPr>
            <w:tcW w:w="1313" w:type="pct"/>
            <w:hideMark/>
          </w:tcPr>
          <w:p w14:paraId="3B202A85" w14:textId="77777777" w:rsidR="00993D60" w:rsidRPr="00765D5D" w:rsidRDefault="00993D60" w:rsidP="00765D5D">
            <w:pPr>
              <w:pStyle w:val="Tabletext"/>
            </w:pPr>
          </w:p>
        </w:tc>
        <w:tc>
          <w:tcPr>
            <w:tcW w:w="2023" w:type="pct"/>
          </w:tcPr>
          <w:p w14:paraId="5C0C0848" w14:textId="77777777" w:rsidR="00993D60" w:rsidRPr="00765D5D" w:rsidRDefault="00993D60" w:rsidP="00765D5D">
            <w:pPr>
              <w:pStyle w:val="Tabletext"/>
              <w:rPr>
                <w:color w:val="4C8E3A" w:themeColor="accent6" w:themeTint="BF"/>
              </w:rPr>
            </w:pPr>
          </w:p>
        </w:tc>
        <w:tc>
          <w:tcPr>
            <w:tcW w:w="1664" w:type="pct"/>
            <w:hideMark/>
          </w:tcPr>
          <w:p w14:paraId="15BFB704" w14:textId="71708F4C" w:rsidR="00993D60" w:rsidRPr="000C1F4E" w:rsidRDefault="00993D60" w:rsidP="000C1F4E">
            <w:pPr>
              <w:pStyle w:val="Tabletext"/>
              <w:rPr>
                <w:rFonts w:cs="Calibri"/>
                <w:bCs/>
                <w:szCs w:val="19"/>
                <w:lang w:val="en-US"/>
              </w:rPr>
            </w:pPr>
            <w:r w:rsidRPr="00765D5D">
              <w:rPr>
                <w:rFonts w:cs="Calibri"/>
                <w:bCs/>
                <w:szCs w:val="19"/>
                <w:lang w:val="en-US"/>
              </w:rPr>
              <w:t>STORM</w:t>
            </w:r>
            <w:r w:rsidR="000C1F4E">
              <w:rPr>
                <w:rFonts w:cs="Calibri"/>
                <w:bCs/>
                <w:szCs w:val="19"/>
                <w:lang w:val="en-US"/>
              </w:rPr>
              <w:t xml:space="preserve"> trial</w:t>
            </w:r>
            <w:r w:rsidRPr="00765D5D">
              <w:rPr>
                <w:rFonts w:cs="Calibri"/>
                <w:bCs/>
                <w:szCs w:val="19"/>
                <w:lang w:val="en-US"/>
              </w:rPr>
              <w:t xml:space="preserve"> </w:t>
            </w:r>
            <w:r w:rsidR="000C1F4E">
              <w:rPr>
                <w:rFonts w:cs="Calibri"/>
                <w:bCs/>
                <w:szCs w:val="19"/>
                <w:lang w:val="en-US"/>
              </w:rPr>
              <w:t>p</w:t>
            </w:r>
            <w:r w:rsidRPr="00765D5D">
              <w:rPr>
                <w:rFonts w:cs="Calibri"/>
                <w:bCs/>
                <w:szCs w:val="19"/>
                <w:lang w:val="en-US"/>
              </w:rPr>
              <w:t>art 2</w:t>
            </w:r>
            <w:r w:rsidR="000C1F4E">
              <w:rPr>
                <w:rFonts w:cs="Calibri"/>
                <w:bCs/>
                <w:szCs w:val="19"/>
                <w:lang w:val="en-US"/>
              </w:rPr>
              <w:t xml:space="preserve"> </w:t>
            </w:r>
            <w:r w:rsidRPr="00765D5D">
              <w:rPr>
                <w:rFonts w:cs="Calibri"/>
                <w:bCs/>
                <w:szCs w:val="19"/>
                <w:lang w:val="en-US"/>
              </w:rPr>
              <w:t>(n</w:t>
            </w:r>
            <w:r w:rsidR="0010285B">
              <w:rPr>
                <w:rFonts w:cs="Calibri"/>
                <w:bCs/>
                <w:szCs w:val="19"/>
                <w:lang w:val="en-US"/>
              </w:rPr>
              <w:t> </w:t>
            </w:r>
            <w:r w:rsidRPr="00765D5D">
              <w:rPr>
                <w:rFonts w:cs="Calibri"/>
                <w:bCs/>
                <w:szCs w:val="19"/>
                <w:lang w:val="en-US"/>
              </w:rPr>
              <w:t>=</w:t>
            </w:r>
            <w:r w:rsidR="000C1F4E">
              <w:rPr>
                <w:rFonts w:cs="Calibri"/>
                <w:bCs/>
                <w:szCs w:val="19"/>
                <w:lang w:val="en-US"/>
              </w:rPr>
              <w:t xml:space="preserve"> </w:t>
            </w:r>
            <w:r w:rsidRPr="00765D5D">
              <w:rPr>
                <w:rFonts w:cs="Calibri"/>
                <w:bCs/>
                <w:szCs w:val="19"/>
                <w:lang w:val="en-US"/>
              </w:rPr>
              <w:t>123)</w:t>
            </w:r>
          </w:p>
        </w:tc>
      </w:tr>
      <w:tr w:rsidR="00993D60" w:rsidRPr="00765D5D" w14:paraId="22144B65" w14:textId="77777777" w:rsidTr="000B3827">
        <w:trPr>
          <w:trHeight w:val="20"/>
        </w:trPr>
        <w:tc>
          <w:tcPr>
            <w:tcW w:w="1313" w:type="pct"/>
            <w:hideMark/>
          </w:tcPr>
          <w:p w14:paraId="1189A922" w14:textId="77777777" w:rsidR="00993D60" w:rsidRPr="00765D5D" w:rsidRDefault="00993D60" w:rsidP="00765D5D">
            <w:pPr>
              <w:pStyle w:val="Tabletext"/>
              <w:rPr>
                <w:rFonts w:cs="Calibri"/>
                <w:b/>
                <w:szCs w:val="19"/>
                <w:lang w:val="en-US"/>
              </w:rPr>
            </w:pPr>
            <w:r w:rsidRPr="00765D5D">
              <w:rPr>
                <w:rFonts w:cs="Calibri"/>
                <w:b/>
                <w:szCs w:val="19"/>
                <w:lang w:val="en-US"/>
              </w:rPr>
              <w:t>Age</w:t>
            </w:r>
          </w:p>
        </w:tc>
        <w:tc>
          <w:tcPr>
            <w:tcW w:w="2023" w:type="pct"/>
          </w:tcPr>
          <w:p w14:paraId="692A3386" w14:textId="77777777" w:rsidR="00993D60" w:rsidRPr="00765D5D" w:rsidRDefault="00993D60" w:rsidP="00765D5D">
            <w:pPr>
              <w:pStyle w:val="Tabletext"/>
              <w:rPr>
                <w:rFonts w:cs="Calibri"/>
                <w:iCs/>
                <w:szCs w:val="19"/>
                <w:lang w:val="en-US"/>
              </w:rPr>
            </w:pPr>
            <w:r w:rsidRPr="00765D5D">
              <w:rPr>
                <w:rFonts w:cs="Calibri"/>
                <w:iCs/>
                <w:szCs w:val="19"/>
                <w:lang w:val="en-US"/>
              </w:rPr>
              <w:t>Median (range)</w:t>
            </w:r>
          </w:p>
        </w:tc>
        <w:tc>
          <w:tcPr>
            <w:tcW w:w="1664" w:type="pct"/>
            <w:hideMark/>
          </w:tcPr>
          <w:p w14:paraId="13078209" w14:textId="77777777" w:rsidR="00993D60" w:rsidRPr="00765D5D" w:rsidRDefault="00993D60" w:rsidP="00765D5D">
            <w:pPr>
              <w:pStyle w:val="Tabletext"/>
              <w:rPr>
                <w:rFonts w:cs="Calibri"/>
                <w:iCs/>
                <w:szCs w:val="19"/>
              </w:rPr>
            </w:pPr>
            <w:r w:rsidRPr="00765D5D">
              <w:rPr>
                <w:rFonts w:cs="Calibri"/>
                <w:iCs/>
                <w:szCs w:val="19"/>
              </w:rPr>
              <w:t>65.3 (40, 86)</w:t>
            </w:r>
          </w:p>
        </w:tc>
      </w:tr>
      <w:tr w:rsidR="00993D60" w:rsidRPr="00765D5D" w14:paraId="0A11616E" w14:textId="77777777" w:rsidTr="000B3827">
        <w:trPr>
          <w:trHeight w:val="20"/>
        </w:trPr>
        <w:tc>
          <w:tcPr>
            <w:tcW w:w="1313" w:type="pct"/>
            <w:hideMark/>
          </w:tcPr>
          <w:p w14:paraId="4889C10F" w14:textId="08AA7EE2" w:rsidR="00993D60" w:rsidRPr="00765D5D" w:rsidRDefault="00993D60" w:rsidP="004F17FE">
            <w:pPr>
              <w:pStyle w:val="Tabletext"/>
              <w:rPr>
                <w:rFonts w:cs="Calibri"/>
                <w:b/>
                <w:szCs w:val="19"/>
                <w:lang w:val="en-US"/>
              </w:rPr>
            </w:pPr>
            <w:r w:rsidRPr="00765D5D">
              <w:rPr>
                <w:rFonts w:cs="Calibri"/>
                <w:b/>
                <w:szCs w:val="19"/>
                <w:lang w:val="en-US"/>
              </w:rPr>
              <w:t>Age group</w:t>
            </w:r>
          </w:p>
        </w:tc>
        <w:tc>
          <w:tcPr>
            <w:tcW w:w="2023" w:type="pct"/>
          </w:tcPr>
          <w:p w14:paraId="67C041FA" w14:textId="77777777" w:rsidR="00993D60" w:rsidRPr="00765D5D" w:rsidRDefault="00993D60" w:rsidP="00765D5D">
            <w:pPr>
              <w:pStyle w:val="Tabletext"/>
              <w:rPr>
                <w:rFonts w:cs="Calibri"/>
                <w:iCs/>
                <w:szCs w:val="19"/>
                <w:lang w:val="en-US"/>
              </w:rPr>
            </w:pPr>
            <w:r w:rsidRPr="00765D5D">
              <w:rPr>
                <w:rFonts w:cs="Calibri"/>
                <w:iCs/>
                <w:szCs w:val="19"/>
                <w:lang w:val="en-US"/>
              </w:rPr>
              <w:t>18-50 years</w:t>
            </w:r>
          </w:p>
          <w:p w14:paraId="55AFF261" w14:textId="77777777" w:rsidR="00993D60" w:rsidRPr="00765D5D" w:rsidRDefault="00993D60" w:rsidP="00765D5D">
            <w:pPr>
              <w:pStyle w:val="Tabletext"/>
              <w:rPr>
                <w:rFonts w:cs="Calibri"/>
                <w:iCs/>
                <w:szCs w:val="19"/>
                <w:lang w:val="en-US"/>
              </w:rPr>
            </w:pPr>
            <w:r w:rsidRPr="00765D5D">
              <w:rPr>
                <w:rFonts w:cs="Calibri"/>
                <w:iCs/>
                <w:szCs w:val="19"/>
                <w:lang w:val="en-US"/>
              </w:rPr>
              <w:t>51-64 years</w:t>
            </w:r>
          </w:p>
          <w:p w14:paraId="59F255EB" w14:textId="27A5C519" w:rsidR="00993D60" w:rsidRPr="00765D5D" w:rsidRDefault="00B3200B" w:rsidP="00765D5D">
            <w:pPr>
              <w:pStyle w:val="Tabletext"/>
              <w:rPr>
                <w:rFonts w:cs="Calibri"/>
                <w:iCs/>
                <w:szCs w:val="19"/>
                <w:lang w:val="en-US"/>
              </w:rPr>
            </w:pPr>
            <w:r>
              <w:rPr>
                <w:rFonts w:cs="Calibri"/>
                <w:iCs/>
                <w:szCs w:val="19"/>
                <w:lang w:val="en-US"/>
              </w:rPr>
              <w:t>65 – 75 y</w:t>
            </w:r>
            <w:r w:rsidR="00993D60" w:rsidRPr="00765D5D">
              <w:rPr>
                <w:rFonts w:cs="Calibri"/>
                <w:iCs/>
                <w:szCs w:val="19"/>
                <w:lang w:val="en-US"/>
              </w:rPr>
              <w:t>ears</w:t>
            </w:r>
          </w:p>
          <w:p w14:paraId="40D6FAAD" w14:textId="77777777" w:rsidR="00993D60" w:rsidRPr="00765D5D" w:rsidRDefault="00993D60" w:rsidP="00765D5D">
            <w:pPr>
              <w:pStyle w:val="Tabletext"/>
              <w:rPr>
                <w:rFonts w:cs="Calibri"/>
                <w:iCs/>
                <w:szCs w:val="19"/>
                <w:lang w:val="en-US"/>
              </w:rPr>
            </w:pPr>
            <w:r w:rsidRPr="00765D5D">
              <w:rPr>
                <w:rFonts w:cs="Calibri"/>
                <w:iCs/>
                <w:szCs w:val="19"/>
                <w:lang w:val="en-US"/>
              </w:rPr>
              <w:t>&gt;75 years</w:t>
            </w:r>
          </w:p>
        </w:tc>
        <w:tc>
          <w:tcPr>
            <w:tcW w:w="1664" w:type="pct"/>
            <w:hideMark/>
          </w:tcPr>
          <w:p w14:paraId="125BA4AE" w14:textId="77777777" w:rsidR="00993D60" w:rsidRPr="00765D5D" w:rsidRDefault="00993D60" w:rsidP="00765D5D">
            <w:pPr>
              <w:pStyle w:val="Tabletext"/>
              <w:rPr>
                <w:rFonts w:cs="Calibri"/>
                <w:iCs/>
                <w:szCs w:val="19"/>
              </w:rPr>
            </w:pPr>
            <w:r w:rsidRPr="00765D5D">
              <w:rPr>
                <w:rFonts w:cs="Calibri"/>
                <w:iCs/>
                <w:szCs w:val="19"/>
              </w:rPr>
              <w:t>8 (6.5%)</w:t>
            </w:r>
          </w:p>
          <w:p w14:paraId="60C954EA" w14:textId="77777777" w:rsidR="00993D60" w:rsidRPr="00765D5D" w:rsidRDefault="00993D60" w:rsidP="00765D5D">
            <w:pPr>
              <w:pStyle w:val="Tabletext"/>
              <w:rPr>
                <w:rFonts w:cs="Calibri"/>
                <w:iCs/>
                <w:szCs w:val="19"/>
              </w:rPr>
            </w:pPr>
            <w:r w:rsidRPr="00765D5D">
              <w:rPr>
                <w:rFonts w:cs="Calibri"/>
                <w:iCs/>
                <w:szCs w:val="19"/>
              </w:rPr>
              <w:t>52 (42.3%)</w:t>
            </w:r>
          </w:p>
          <w:p w14:paraId="26CB8D92" w14:textId="77777777" w:rsidR="00993D60" w:rsidRPr="00765D5D" w:rsidRDefault="00993D60" w:rsidP="00765D5D">
            <w:pPr>
              <w:pStyle w:val="Tabletext"/>
              <w:rPr>
                <w:rFonts w:cs="Calibri"/>
                <w:iCs/>
                <w:szCs w:val="19"/>
              </w:rPr>
            </w:pPr>
            <w:r w:rsidRPr="00765D5D">
              <w:rPr>
                <w:rFonts w:cs="Calibri"/>
                <w:iCs/>
                <w:szCs w:val="19"/>
              </w:rPr>
              <w:t>44 (35.8%)</w:t>
            </w:r>
          </w:p>
          <w:p w14:paraId="6A02D77A" w14:textId="77777777" w:rsidR="00993D60" w:rsidRPr="00765D5D" w:rsidRDefault="00993D60" w:rsidP="00765D5D">
            <w:pPr>
              <w:pStyle w:val="Tabletext"/>
              <w:rPr>
                <w:rFonts w:cs="Calibri"/>
                <w:iCs/>
                <w:szCs w:val="19"/>
              </w:rPr>
            </w:pPr>
            <w:r w:rsidRPr="00765D5D">
              <w:rPr>
                <w:rFonts w:cs="Calibri"/>
                <w:iCs/>
                <w:szCs w:val="19"/>
              </w:rPr>
              <w:t>19 (15.4%)</w:t>
            </w:r>
          </w:p>
        </w:tc>
      </w:tr>
      <w:tr w:rsidR="00993D60" w:rsidRPr="00765D5D" w14:paraId="61B9EAC3" w14:textId="77777777" w:rsidTr="000B3827">
        <w:trPr>
          <w:trHeight w:val="20"/>
        </w:trPr>
        <w:tc>
          <w:tcPr>
            <w:tcW w:w="1313" w:type="pct"/>
            <w:vMerge w:val="restart"/>
            <w:hideMark/>
          </w:tcPr>
          <w:p w14:paraId="57D360F9" w14:textId="77777777" w:rsidR="00993D60" w:rsidRPr="00765D5D" w:rsidRDefault="00993D60" w:rsidP="00765D5D">
            <w:pPr>
              <w:pStyle w:val="Tabletext"/>
              <w:rPr>
                <w:rFonts w:cs="Calibri"/>
                <w:b/>
                <w:szCs w:val="19"/>
                <w:lang w:val="en-US"/>
              </w:rPr>
            </w:pPr>
            <w:r w:rsidRPr="00765D5D">
              <w:rPr>
                <w:rFonts w:cs="Calibri"/>
                <w:b/>
                <w:szCs w:val="19"/>
                <w:lang w:val="en-US"/>
              </w:rPr>
              <w:t>Sex</w:t>
            </w:r>
          </w:p>
        </w:tc>
        <w:tc>
          <w:tcPr>
            <w:tcW w:w="2023" w:type="pct"/>
          </w:tcPr>
          <w:p w14:paraId="633C0A25" w14:textId="77777777" w:rsidR="00993D60" w:rsidRPr="00765D5D" w:rsidRDefault="00993D60" w:rsidP="00765D5D">
            <w:pPr>
              <w:pStyle w:val="Tabletext"/>
              <w:rPr>
                <w:rFonts w:cs="Calibri"/>
                <w:iCs/>
                <w:szCs w:val="19"/>
                <w:lang w:val="en-US"/>
              </w:rPr>
            </w:pPr>
            <w:r w:rsidRPr="00765D5D">
              <w:rPr>
                <w:rFonts w:cs="Calibri"/>
                <w:iCs/>
                <w:szCs w:val="19"/>
                <w:lang w:val="en-US"/>
              </w:rPr>
              <w:t>Male</w:t>
            </w:r>
          </w:p>
        </w:tc>
        <w:tc>
          <w:tcPr>
            <w:tcW w:w="1664" w:type="pct"/>
            <w:hideMark/>
          </w:tcPr>
          <w:p w14:paraId="115E178B" w14:textId="77777777" w:rsidR="00993D60" w:rsidRPr="00765D5D" w:rsidRDefault="00993D60" w:rsidP="00765D5D">
            <w:pPr>
              <w:pStyle w:val="Tabletext"/>
              <w:rPr>
                <w:rFonts w:cs="Calibri"/>
                <w:iCs/>
                <w:szCs w:val="19"/>
              </w:rPr>
            </w:pPr>
            <w:r w:rsidRPr="00765D5D">
              <w:rPr>
                <w:rFonts w:cs="Calibri"/>
                <w:iCs/>
                <w:szCs w:val="19"/>
              </w:rPr>
              <w:t>71 (57.7%)</w:t>
            </w:r>
          </w:p>
        </w:tc>
      </w:tr>
      <w:tr w:rsidR="00993D60" w:rsidRPr="00765D5D" w14:paraId="1860495C" w14:textId="77777777" w:rsidTr="000B3827">
        <w:trPr>
          <w:trHeight w:val="20"/>
        </w:trPr>
        <w:tc>
          <w:tcPr>
            <w:tcW w:w="1313" w:type="pct"/>
            <w:vMerge/>
          </w:tcPr>
          <w:p w14:paraId="34702EAE" w14:textId="77777777" w:rsidR="00993D60" w:rsidRPr="00765D5D" w:rsidRDefault="00993D60" w:rsidP="00765D5D">
            <w:pPr>
              <w:pStyle w:val="Tabletext"/>
              <w:rPr>
                <w:rFonts w:cs="Calibri"/>
                <w:b/>
                <w:szCs w:val="19"/>
                <w:lang w:val="en-US"/>
              </w:rPr>
            </w:pPr>
          </w:p>
        </w:tc>
        <w:tc>
          <w:tcPr>
            <w:tcW w:w="2023" w:type="pct"/>
          </w:tcPr>
          <w:p w14:paraId="4EBB9C02" w14:textId="77777777" w:rsidR="00993D60" w:rsidRPr="00765D5D" w:rsidRDefault="00993D60" w:rsidP="00765D5D">
            <w:pPr>
              <w:pStyle w:val="Tabletext"/>
              <w:rPr>
                <w:rFonts w:cs="Calibri"/>
                <w:iCs/>
                <w:szCs w:val="19"/>
                <w:lang w:val="en-US"/>
              </w:rPr>
            </w:pPr>
            <w:r w:rsidRPr="00765D5D">
              <w:rPr>
                <w:rFonts w:cs="Calibri"/>
                <w:iCs/>
                <w:szCs w:val="19"/>
                <w:lang w:val="en-US"/>
              </w:rPr>
              <w:t>Female</w:t>
            </w:r>
          </w:p>
        </w:tc>
        <w:tc>
          <w:tcPr>
            <w:tcW w:w="1664" w:type="pct"/>
          </w:tcPr>
          <w:p w14:paraId="0E5CC78E" w14:textId="77777777" w:rsidR="00993D60" w:rsidRPr="00765D5D" w:rsidRDefault="00993D60" w:rsidP="00765D5D">
            <w:pPr>
              <w:pStyle w:val="Tabletext"/>
              <w:rPr>
                <w:rFonts w:cs="Calibri"/>
                <w:iCs/>
                <w:szCs w:val="19"/>
              </w:rPr>
            </w:pPr>
            <w:r w:rsidRPr="00765D5D">
              <w:rPr>
                <w:rFonts w:cs="Calibri"/>
                <w:iCs/>
                <w:szCs w:val="19"/>
              </w:rPr>
              <w:t>52 (42.3%)</w:t>
            </w:r>
          </w:p>
        </w:tc>
      </w:tr>
      <w:tr w:rsidR="00993D60" w:rsidRPr="00765D5D" w14:paraId="07312F69" w14:textId="77777777" w:rsidTr="000B3827">
        <w:trPr>
          <w:trHeight w:val="20"/>
        </w:trPr>
        <w:tc>
          <w:tcPr>
            <w:tcW w:w="1313" w:type="pct"/>
            <w:hideMark/>
          </w:tcPr>
          <w:p w14:paraId="172F92A1" w14:textId="73B883F0" w:rsidR="00993D60" w:rsidRPr="00765D5D" w:rsidRDefault="00993D60" w:rsidP="004F17FE">
            <w:pPr>
              <w:pStyle w:val="Tabletext"/>
              <w:rPr>
                <w:rFonts w:cs="Calibri"/>
                <w:b/>
                <w:szCs w:val="19"/>
                <w:lang w:val="en-US"/>
              </w:rPr>
            </w:pPr>
            <w:r w:rsidRPr="00765D5D">
              <w:rPr>
                <w:rFonts w:cs="Calibri"/>
                <w:b/>
                <w:szCs w:val="19"/>
                <w:lang w:val="en-US"/>
              </w:rPr>
              <w:t>Race</w:t>
            </w:r>
          </w:p>
        </w:tc>
        <w:tc>
          <w:tcPr>
            <w:tcW w:w="2023" w:type="pct"/>
          </w:tcPr>
          <w:p w14:paraId="1718E2D6" w14:textId="77777777" w:rsidR="00993D60" w:rsidRPr="00765D5D" w:rsidRDefault="00993D60" w:rsidP="00765D5D">
            <w:pPr>
              <w:pStyle w:val="Tabletext"/>
              <w:rPr>
                <w:rFonts w:cs="Calibri"/>
                <w:iCs/>
                <w:szCs w:val="19"/>
                <w:lang w:val="en-US"/>
              </w:rPr>
            </w:pPr>
            <w:r w:rsidRPr="00765D5D">
              <w:rPr>
                <w:rFonts w:cs="Calibri"/>
                <w:iCs/>
                <w:szCs w:val="19"/>
                <w:lang w:val="en-US"/>
              </w:rPr>
              <w:t>White</w:t>
            </w:r>
          </w:p>
          <w:p w14:paraId="30C2F5FF" w14:textId="77777777" w:rsidR="00993D60" w:rsidRPr="00765D5D" w:rsidRDefault="00993D60" w:rsidP="00765D5D">
            <w:pPr>
              <w:pStyle w:val="Tabletext"/>
              <w:rPr>
                <w:rFonts w:cs="Calibri"/>
                <w:iCs/>
                <w:szCs w:val="19"/>
                <w:lang w:val="en-US"/>
              </w:rPr>
            </w:pPr>
            <w:r w:rsidRPr="00765D5D">
              <w:rPr>
                <w:rFonts w:cs="Calibri"/>
                <w:iCs/>
                <w:szCs w:val="19"/>
                <w:lang w:val="en-US"/>
              </w:rPr>
              <w:t>Asian</w:t>
            </w:r>
          </w:p>
          <w:p w14:paraId="426411B3" w14:textId="77777777" w:rsidR="00993D60" w:rsidRPr="00765D5D" w:rsidRDefault="00993D60" w:rsidP="00765D5D">
            <w:pPr>
              <w:pStyle w:val="Tabletext"/>
              <w:rPr>
                <w:rFonts w:cs="Calibri"/>
                <w:iCs/>
                <w:szCs w:val="19"/>
                <w:lang w:val="en-US"/>
              </w:rPr>
            </w:pPr>
            <w:r w:rsidRPr="00765D5D">
              <w:rPr>
                <w:rFonts w:cs="Calibri"/>
                <w:iCs/>
                <w:szCs w:val="19"/>
                <w:lang w:val="en-US"/>
              </w:rPr>
              <w:t>African American</w:t>
            </w:r>
          </w:p>
        </w:tc>
        <w:tc>
          <w:tcPr>
            <w:tcW w:w="1664" w:type="pct"/>
            <w:hideMark/>
          </w:tcPr>
          <w:p w14:paraId="1407E69B" w14:textId="77777777" w:rsidR="00993D60" w:rsidRPr="00765D5D" w:rsidRDefault="00993D60" w:rsidP="00765D5D">
            <w:pPr>
              <w:pStyle w:val="Tabletext"/>
              <w:rPr>
                <w:rFonts w:cs="Calibri"/>
                <w:iCs/>
                <w:szCs w:val="19"/>
              </w:rPr>
            </w:pPr>
            <w:r w:rsidRPr="00765D5D">
              <w:rPr>
                <w:rFonts w:cs="Calibri"/>
                <w:iCs/>
                <w:szCs w:val="19"/>
              </w:rPr>
              <w:t>86 (69.9%)</w:t>
            </w:r>
          </w:p>
          <w:p w14:paraId="0E269557" w14:textId="77777777" w:rsidR="00993D60" w:rsidRPr="00765D5D" w:rsidRDefault="00993D60" w:rsidP="00765D5D">
            <w:pPr>
              <w:pStyle w:val="Tabletext"/>
              <w:rPr>
                <w:rFonts w:cs="Calibri"/>
                <w:iCs/>
                <w:szCs w:val="19"/>
              </w:rPr>
            </w:pPr>
            <w:r w:rsidRPr="00765D5D">
              <w:rPr>
                <w:rFonts w:cs="Calibri"/>
                <w:iCs/>
                <w:szCs w:val="19"/>
              </w:rPr>
              <w:t>2 (1.6%)</w:t>
            </w:r>
          </w:p>
          <w:p w14:paraId="793BD397" w14:textId="77777777" w:rsidR="00993D60" w:rsidRPr="00765D5D" w:rsidRDefault="00993D60" w:rsidP="00765D5D">
            <w:pPr>
              <w:pStyle w:val="Tabletext"/>
              <w:rPr>
                <w:rFonts w:cs="Calibri"/>
                <w:iCs/>
                <w:szCs w:val="19"/>
              </w:rPr>
            </w:pPr>
            <w:r w:rsidRPr="00765D5D">
              <w:rPr>
                <w:rFonts w:cs="Calibri"/>
                <w:iCs/>
                <w:szCs w:val="19"/>
              </w:rPr>
              <w:t>21 (17.7%)</w:t>
            </w:r>
          </w:p>
        </w:tc>
      </w:tr>
      <w:tr w:rsidR="00993D60" w:rsidRPr="00765D5D" w14:paraId="0D8EE77C" w14:textId="77777777" w:rsidTr="000B3827">
        <w:trPr>
          <w:trHeight w:val="20"/>
        </w:trPr>
        <w:tc>
          <w:tcPr>
            <w:tcW w:w="1313" w:type="pct"/>
            <w:hideMark/>
          </w:tcPr>
          <w:p w14:paraId="3371DD5E" w14:textId="2304B705" w:rsidR="00993D60" w:rsidRPr="00765D5D" w:rsidRDefault="00993D60" w:rsidP="004F17FE">
            <w:pPr>
              <w:pStyle w:val="Tabletext"/>
              <w:rPr>
                <w:rFonts w:cs="Calibri"/>
                <w:b/>
                <w:szCs w:val="19"/>
                <w:lang w:val="en-US"/>
              </w:rPr>
            </w:pPr>
            <w:r w:rsidRPr="00765D5D">
              <w:rPr>
                <w:rFonts w:cs="Calibri"/>
                <w:b/>
                <w:szCs w:val="19"/>
                <w:lang w:val="en-US"/>
              </w:rPr>
              <w:t>ECOG status</w:t>
            </w:r>
          </w:p>
        </w:tc>
        <w:tc>
          <w:tcPr>
            <w:tcW w:w="2023" w:type="pct"/>
          </w:tcPr>
          <w:p w14:paraId="32461CF7" w14:textId="77777777" w:rsidR="00993D60" w:rsidRPr="00765D5D" w:rsidRDefault="00993D60" w:rsidP="00765D5D">
            <w:pPr>
              <w:pStyle w:val="Tabletext"/>
              <w:rPr>
                <w:rFonts w:cs="Calibri"/>
                <w:iCs/>
                <w:szCs w:val="19"/>
                <w:lang w:val="en-US"/>
              </w:rPr>
            </w:pPr>
            <w:r w:rsidRPr="00765D5D">
              <w:rPr>
                <w:rFonts w:cs="Calibri"/>
                <w:iCs/>
                <w:szCs w:val="19"/>
                <w:lang w:val="en-US"/>
              </w:rPr>
              <w:t>0</w:t>
            </w:r>
          </w:p>
          <w:p w14:paraId="46D203F3" w14:textId="77777777" w:rsidR="00993D60" w:rsidRPr="00765D5D" w:rsidRDefault="00993D60" w:rsidP="00765D5D">
            <w:pPr>
              <w:pStyle w:val="Tabletext"/>
              <w:rPr>
                <w:rFonts w:cs="Calibri"/>
                <w:iCs/>
                <w:szCs w:val="19"/>
                <w:lang w:val="en-US"/>
              </w:rPr>
            </w:pPr>
            <w:r w:rsidRPr="00765D5D">
              <w:rPr>
                <w:rFonts w:cs="Calibri"/>
                <w:iCs/>
                <w:szCs w:val="19"/>
                <w:lang w:val="en-US"/>
              </w:rPr>
              <w:t>1</w:t>
            </w:r>
          </w:p>
          <w:p w14:paraId="01EE616A" w14:textId="77777777" w:rsidR="00993D60" w:rsidRPr="00765D5D" w:rsidRDefault="00993D60" w:rsidP="00765D5D">
            <w:pPr>
              <w:pStyle w:val="Tabletext"/>
              <w:rPr>
                <w:rFonts w:cs="Calibri"/>
                <w:iCs/>
                <w:szCs w:val="19"/>
                <w:lang w:val="en-US"/>
              </w:rPr>
            </w:pPr>
            <w:r w:rsidRPr="00765D5D">
              <w:rPr>
                <w:rFonts w:cs="Calibri"/>
                <w:iCs/>
                <w:szCs w:val="19"/>
                <w:lang w:val="en-US"/>
              </w:rPr>
              <w:t>2</w:t>
            </w:r>
          </w:p>
        </w:tc>
        <w:tc>
          <w:tcPr>
            <w:tcW w:w="1664" w:type="pct"/>
            <w:hideMark/>
          </w:tcPr>
          <w:p w14:paraId="311BD4B5" w14:textId="77777777" w:rsidR="00993D60" w:rsidRPr="00765D5D" w:rsidRDefault="00993D60" w:rsidP="00765D5D">
            <w:pPr>
              <w:pStyle w:val="Tabletext"/>
              <w:rPr>
                <w:rFonts w:cs="Calibri"/>
                <w:iCs/>
                <w:szCs w:val="19"/>
              </w:rPr>
            </w:pPr>
            <w:r w:rsidRPr="00765D5D">
              <w:rPr>
                <w:rFonts w:cs="Calibri"/>
                <w:iCs/>
                <w:szCs w:val="19"/>
              </w:rPr>
              <w:t>37 (30.1%)</w:t>
            </w:r>
          </w:p>
          <w:p w14:paraId="13BBFC40" w14:textId="77777777" w:rsidR="00993D60" w:rsidRPr="00765D5D" w:rsidRDefault="00993D60" w:rsidP="00765D5D">
            <w:pPr>
              <w:pStyle w:val="Tabletext"/>
              <w:rPr>
                <w:rFonts w:cs="Calibri"/>
                <w:iCs/>
                <w:szCs w:val="19"/>
              </w:rPr>
            </w:pPr>
            <w:r w:rsidRPr="00765D5D">
              <w:rPr>
                <w:rFonts w:cs="Calibri"/>
                <w:iCs/>
                <w:szCs w:val="19"/>
              </w:rPr>
              <w:t>72 (58.5%)</w:t>
            </w:r>
          </w:p>
          <w:p w14:paraId="2DC8DB39" w14:textId="77777777" w:rsidR="00993D60" w:rsidRPr="00765D5D" w:rsidRDefault="00993D60" w:rsidP="00765D5D">
            <w:pPr>
              <w:pStyle w:val="Tabletext"/>
              <w:rPr>
                <w:rFonts w:cs="Calibri"/>
                <w:iCs/>
                <w:szCs w:val="19"/>
              </w:rPr>
            </w:pPr>
            <w:r w:rsidRPr="00765D5D">
              <w:rPr>
                <w:rFonts w:cs="Calibri"/>
                <w:iCs/>
                <w:szCs w:val="19"/>
              </w:rPr>
              <w:t>11 (8.9%)</w:t>
            </w:r>
          </w:p>
        </w:tc>
      </w:tr>
      <w:tr w:rsidR="00993D60" w:rsidRPr="00765D5D" w14:paraId="25BD1A90" w14:textId="77777777" w:rsidTr="000B3827">
        <w:trPr>
          <w:trHeight w:val="20"/>
        </w:trPr>
        <w:tc>
          <w:tcPr>
            <w:tcW w:w="1313" w:type="pct"/>
            <w:hideMark/>
          </w:tcPr>
          <w:p w14:paraId="1C0B8967" w14:textId="06EE0167" w:rsidR="00993D60" w:rsidRPr="00765D5D" w:rsidRDefault="00993D60" w:rsidP="004F17FE">
            <w:pPr>
              <w:pStyle w:val="Tabletext"/>
              <w:rPr>
                <w:rFonts w:cs="Calibri"/>
                <w:b/>
                <w:szCs w:val="19"/>
                <w:lang w:val="en-US"/>
              </w:rPr>
            </w:pPr>
            <w:r w:rsidRPr="00765D5D">
              <w:rPr>
                <w:rFonts w:cs="Calibri"/>
                <w:b/>
                <w:szCs w:val="19"/>
                <w:lang w:val="en-US"/>
              </w:rPr>
              <w:t>Revised ISS at baseline</w:t>
            </w:r>
          </w:p>
        </w:tc>
        <w:tc>
          <w:tcPr>
            <w:tcW w:w="2023" w:type="pct"/>
          </w:tcPr>
          <w:p w14:paraId="01A2ECB1" w14:textId="77777777" w:rsidR="00993D60" w:rsidRPr="00765D5D" w:rsidRDefault="00993D60" w:rsidP="00765D5D">
            <w:pPr>
              <w:pStyle w:val="Tabletext"/>
              <w:rPr>
                <w:rFonts w:cs="Calibri"/>
                <w:iCs/>
                <w:szCs w:val="19"/>
                <w:lang w:val="en-US"/>
              </w:rPr>
            </w:pPr>
            <w:r w:rsidRPr="00765D5D">
              <w:rPr>
                <w:rFonts w:cs="Calibri"/>
                <w:iCs/>
                <w:szCs w:val="19"/>
                <w:lang w:val="en-US"/>
              </w:rPr>
              <w:t>I</w:t>
            </w:r>
          </w:p>
          <w:p w14:paraId="625F0596" w14:textId="77777777" w:rsidR="00993D60" w:rsidRPr="00765D5D" w:rsidRDefault="00993D60" w:rsidP="00765D5D">
            <w:pPr>
              <w:pStyle w:val="Tabletext"/>
              <w:rPr>
                <w:rFonts w:cs="Calibri"/>
                <w:iCs/>
                <w:szCs w:val="19"/>
                <w:lang w:val="en-US"/>
              </w:rPr>
            </w:pPr>
            <w:r w:rsidRPr="00765D5D">
              <w:rPr>
                <w:rFonts w:cs="Calibri"/>
                <w:iCs/>
                <w:szCs w:val="19"/>
                <w:lang w:val="en-US"/>
              </w:rPr>
              <w:t>II</w:t>
            </w:r>
          </w:p>
          <w:p w14:paraId="726629AD" w14:textId="77777777" w:rsidR="00993D60" w:rsidRPr="00765D5D" w:rsidRDefault="00993D60" w:rsidP="00765D5D">
            <w:pPr>
              <w:pStyle w:val="Tabletext"/>
              <w:rPr>
                <w:rFonts w:cs="Calibri"/>
                <w:iCs/>
                <w:szCs w:val="19"/>
                <w:lang w:val="en-US"/>
              </w:rPr>
            </w:pPr>
            <w:r w:rsidRPr="00765D5D">
              <w:rPr>
                <w:rFonts w:cs="Calibri"/>
                <w:iCs/>
                <w:szCs w:val="19"/>
                <w:lang w:val="en-US"/>
              </w:rPr>
              <w:t>III</w:t>
            </w:r>
          </w:p>
          <w:p w14:paraId="5459C383" w14:textId="11D10EF8" w:rsidR="00993D60" w:rsidRPr="00765D5D" w:rsidRDefault="00B3200B" w:rsidP="00765D5D">
            <w:pPr>
              <w:pStyle w:val="Tabletext"/>
              <w:rPr>
                <w:rFonts w:cs="Calibri"/>
                <w:iCs/>
                <w:szCs w:val="19"/>
                <w:lang w:val="en-US"/>
              </w:rPr>
            </w:pPr>
            <w:r w:rsidRPr="00765D5D">
              <w:rPr>
                <w:rFonts w:cs="Calibri"/>
                <w:iCs/>
                <w:szCs w:val="19"/>
                <w:lang w:val="en-US"/>
              </w:rPr>
              <w:t>U</w:t>
            </w:r>
            <w:r w:rsidR="00993D60" w:rsidRPr="00765D5D">
              <w:rPr>
                <w:rFonts w:cs="Calibri"/>
                <w:iCs/>
                <w:szCs w:val="19"/>
                <w:lang w:val="en-US"/>
              </w:rPr>
              <w:t>nknown</w:t>
            </w:r>
          </w:p>
        </w:tc>
        <w:tc>
          <w:tcPr>
            <w:tcW w:w="1664" w:type="pct"/>
            <w:hideMark/>
          </w:tcPr>
          <w:p w14:paraId="12AE6790" w14:textId="77777777" w:rsidR="00993D60" w:rsidRPr="00765D5D" w:rsidRDefault="00993D60" w:rsidP="00765D5D">
            <w:pPr>
              <w:pStyle w:val="Tabletext"/>
              <w:rPr>
                <w:rFonts w:cs="Calibri"/>
                <w:iCs/>
                <w:szCs w:val="19"/>
              </w:rPr>
            </w:pPr>
            <w:r w:rsidRPr="00765D5D">
              <w:rPr>
                <w:rFonts w:cs="Calibri"/>
                <w:iCs/>
                <w:szCs w:val="19"/>
              </w:rPr>
              <w:t>20 (16.3%)</w:t>
            </w:r>
          </w:p>
          <w:p w14:paraId="47C7B32A" w14:textId="77777777" w:rsidR="00993D60" w:rsidRPr="00765D5D" w:rsidRDefault="00993D60" w:rsidP="00765D5D">
            <w:pPr>
              <w:pStyle w:val="Tabletext"/>
              <w:rPr>
                <w:rFonts w:cs="Calibri"/>
                <w:iCs/>
                <w:szCs w:val="19"/>
              </w:rPr>
            </w:pPr>
            <w:r w:rsidRPr="00765D5D">
              <w:rPr>
                <w:rFonts w:cs="Calibri"/>
                <w:iCs/>
                <w:szCs w:val="19"/>
              </w:rPr>
              <w:t>79 (64.2%)</w:t>
            </w:r>
          </w:p>
          <w:p w14:paraId="53312068" w14:textId="77777777" w:rsidR="00993D60" w:rsidRPr="00765D5D" w:rsidRDefault="00993D60" w:rsidP="00765D5D">
            <w:pPr>
              <w:pStyle w:val="Tabletext"/>
              <w:rPr>
                <w:rFonts w:cs="Calibri"/>
                <w:iCs/>
                <w:szCs w:val="19"/>
              </w:rPr>
            </w:pPr>
            <w:r w:rsidRPr="00765D5D">
              <w:rPr>
                <w:rFonts w:cs="Calibri"/>
                <w:iCs/>
                <w:szCs w:val="19"/>
              </w:rPr>
              <w:t>23 (18.7%)</w:t>
            </w:r>
          </w:p>
          <w:p w14:paraId="1EB520EE" w14:textId="77777777" w:rsidR="00993D60" w:rsidRPr="00765D5D" w:rsidRDefault="00993D60" w:rsidP="00765D5D">
            <w:pPr>
              <w:pStyle w:val="Tabletext"/>
              <w:rPr>
                <w:rFonts w:cs="Calibri"/>
                <w:iCs/>
                <w:szCs w:val="19"/>
              </w:rPr>
            </w:pPr>
            <w:r w:rsidRPr="00765D5D">
              <w:rPr>
                <w:rFonts w:cs="Calibri"/>
                <w:iCs/>
                <w:szCs w:val="19"/>
              </w:rPr>
              <w:t>1 (0.8%)</w:t>
            </w:r>
          </w:p>
        </w:tc>
      </w:tr>
      <w:tr w:rsidR="00993D60" w:rsidRPr="00765D5D" w14:paraId="5337DF22" w14:textId="77777777" w:rsidTr="000B3827">
        <w:trPr>
          <w:trHeight w:val="20"/>
        </w:trPr>
        <w:tc>
          <w:tcPr>
            <w:tcW w:w="1313" w:type="pct"/>
          </w:tcPr>
          <w:p w14:paraId="62B0C074" w14:textId="77777777" w:rsidR="00993D60" w:rsidRPr="00765D5D" w:rsidRDefault="00993D60" w:rsidP="00765D5D">
            <w:pPr>
              <w:pStyle w:val="Tabletext"/>
              <w:rPr>
                <w:rFonts w:cs="Calibri"/>
                <w:b/>
                <w:szCs w:val="19"/>
                <w:lang w:val="en-US"/>
              </w:rPr>
            </w:pPr>
            <w:r w:rsidRPr="00765D5D">
              <w:rPr>
                <w:rFonts w:cs="Calibri"/>
                <w:b/>
                <w:szCs w:val="19"/>
                <w:lang w:val="en-US"/>
              </w:rPr>
              <w:t xml:space="preserve">Baseline creatinine clearance </w:t>
            </w:r>
          </w:p>
        </w:tc>
        <w:tc>
          <w:tcPr>
            <w:tcW w:w="2023" w:type="pct"/>
          </w:tcPr>
          <w:p w14:paraId="31D4208C" w14:textId="77777777" w:rsidR="00993D60" w:rsidRPr="00765D5D" w:rsidRDefault="00993D60" w:rsidP="00765D5D">
            <w:pPr>
              <w:pStyle w:val="Tabletext"/>
              <w:rPr>
                <w:rFonts w:cs="Calibri"/>
                <w:iCs/>
                <w:szCs w:val="19"/>
                <w:lang w:val="en-US"/>
              </w:rPr>
            </w:pPr>
            <w:r w:rsidRPr="00765D5D">
              <w:rPr>
                <w:rFonts w:cs="Calibri"/>
                <w:iCs/>
                <w:szCs w:val="19"/>
                <w:lang w:val="en-US"/>
              </w:rPr>
              <w:t>&lt;30</w:t>
            </w:r>
          </w:p>
          <w:p w14:paraId="31F15EBF" w14:textId="77777777" w:rsidR="00993D60" w:rsidRPr="00765D5D" w:rsidRDefault="00993D60" w:rsidP="00765D5D">
            <w:pPr>
              <w:pStyle w:val="Tabletext"/>
              <w:rPr>
                <w:rFonts w:cs="Calibri"/>
                <w:iCs/>
                <w:szCs w:val="19"/>
                <w:lang w:val="en-US"/>
              </w:rPr>
            </w:pPr>
            <w:r w:rsidRPr="00765D5D">
              <w:rPr>
                <w:rFonts w:cs="Calibri"/>
                <w:iCs/>
                <w:szCs w:val="19"/>
                <w:lang w:val="en-US"/>
              </w:rPr>
              <w:t>30 to 60</w:t>
            </w:r>
          </w:p>
          <w:p w14:paraId="13CC8E98" w14:textId="77777777" w:rsidR="00993D60" w:rsidRPr="00765D5D" w:rsidRDefault="00993D60" w:rsidP="00765D5D">
            <w:pPr>
              <w:pStyle w:val="Tabletext"/>
              <w:rPr>
                <w:rFonts w:cs="Calibri"/>
                <w:iCs/>
                <w:szCs w:val="19"/>
                <w:lang w:val="en-US"/>
              </w:rPr>
            </w:pPr>
            <w:r w:rsidRPr="00765D5D">
              <w:rPr>
                <w:rFonts w:cs="Calibri"/>
                <w:iCs/>
                <w:szCs w:val="19"/>
                <w:lang w:val="en-US"/>
              </w:rPr>
              <w:t>≥ 60</w:t>
            </w:r>
          </w:p>
        </w:tc>
        <w:tc>
          <w:tcPr>
            <w:tcW w:w="1664" w:type="pct"/>
          </w:tcPr>
          <w:p w14:paraId="29872274" w14:textId="77777777" w:rsidR="00993D60" w:rsidRPr="00765D5D" w:rsidRDefault="00993D60" w:rsidP="00765D5D">
            <w:pPr>
              <w:pStyle w:val="Tabletext"/>
              <w:rPr>
                <w:rFonts w:cs="Calibri"/>
                <w:iCs/>
                <w:szCs w:val="19"/>
              </w:rPr>
            </w:pPr>
            <w:r w:rsidRPr="00765D5D">
              <w:rPr>
                <w:rFonts w:cs="Calibri"/>
                <w:iCs/>
                <w:szCs w:val="19"/>
                <w:lang w:val="en-US"/>
              </w:rPr>
              <w:t>6 (4.9%)</w:t>
            </w:r>
          </w:p>
          <w:p w14:paraId="40418FB0" w14:textId="77777777" w:rsidR="00993D60" w:rsidRPr="00765D5D" w:rsidRDefault="00993D60" w:rsidP="00765D5D">
            <w:pPr>
              <w:pStyle w:val="Tabletext"/>
              <w:rPr>
                <w:rFonts w:cs="Calibri"/>
                <w:iCs/>
                <w:szCs w:val="19"/>
                <w:lang w:val="en-US"/>
              </w:rPr>
            </w:pPr>
            <w:r w:rsidRPr="00765D5D">
              <w:rPr>
                <w:rFonts w:cs="Calibri"/>
                <w:iCs/>
                <w:szCs w:val="19"/>
                <w:lang w:val="en-US"/>
              </w:rPr>
              <w:t>34 (27.6%)</w:t>
            </w:r>
          </w:p>
          <w:p w14:paraId="2E321AB8" w14:textId="77777777" w:rsidR="00993D60" w:rsidRPr="00765D5D" w:rsidRDefault="00993D60" w:rsidP="00765D5D">
            <w:pPr>
              <w:pStyle w:val="Tabletext"/>
              <w:rPr>
                <w:rFonts w:cs="Calibri"/>
                <w:iCs/>
                <w:szCs w:val="19"/>
                <w:lang w:val="en-US"/>
              </w:rPr>
            </w:pPr>
            <w:r w:rsidRPr="00765D5D">
              <w:rPr>
                <w:rFonts w:cs="Calibri"/>
                <w:iCs/>
                <w:szCs w:val="19"/>
                <w:lang w:val="en-US"/>
              </w:rPr>
              <w:t>82 (66.7%)</w:t>
            </w:r>
          </w:p>
        </w:tc>
      </w:tr>
      <w:tr w:rsidR="00993D60" w:rsidRPr="00765D5D" w14:paraId="48AE90C8" w14:textId="77777777" w:rsidTr="000B3827">
        <w:trPr>
          <w:trHeight w:val="20"/>
        </w:trPr>
        <w:tc>
          <w:tcPr>
            <w:tcW w:w="1313" w:type="pct"/>
          </w:tcPr>
          <w:p w14:paraId="2177F079" w14:textId="77777777" w:rsidR="00993D60" w:rsidRPr="00765D5D" w:rsidRDefault="00993D60" w:rsidP="00765D5D">
            <w:pPr>
              <w:pStyle w:val="Tabletext"/>
              <w:rPr>
                <w:rFonts w:cs="Calibri"/>
                <w:b/>
                <w:szCs w:val="19"/>
                <w:lang w:val="en-US"/>
              </w:rPr>
            </w:pPr>
            <w:r w:rsidRPr="00765D5D">
              <w:rPr>
                <w:rFonts w:cs="Calibri"/>
                <w:b/>
                <w:szCs w:val="19"/>
                <w:lang w:val="en-US"/>
              </w:rPr>
              <w:t>High risk cytogenetics</w:t>
            </w:r>
          </w:p>
        </w:tc>
        <w:tc>
          <w:tcPr>
            <w:tcW w:w="2023" w:type="pct"/>
          </w:tcPr>
          <w:p w14:paraId="115112A0" w14:textId="2D0D1A41" w:rsidR="00993D60" w:rsidRPr="00765D5D" w:rsidRDefault="00B3200B" w:rsidP="00765D5D">
            <w:pPr>
              <w:pStyle w:val="Tabletext"/>
              <w:rPr>
                <w:rFonts w:cs="Calibri"/>
                <w:iCs/>
                <w:szCs w:val="19"/>
                <w:lang w:val="en-US"/>
              </w:rPr>
            </w:pPr>
            <w:r w:rsidRPr="00765D5D">
              <w:rPr>
                <w:rFonts w:cs="Calibri"/>
                <w:iCs/>
                <w:szCs w:val="19"/>
                <w:lang w:val="en-US"/>
              </w:rPr>
              <w:t>P</w:t>
            </w:r>
            <w:r w:rsidR="00993D60" w:rsidRPr="00765D5D">
              <w:rPr>
                <w:rFonts w:cs="Calibri"/>
                <w:iCs/>
                <w:szCs w:val="19"/>
                <w:lang w:val="en-US"/>
              </w:rPr>
              <w:t>resent</w:t>
            </w:r>
          </w:p>
        </w:tc>
        <w:tc>
          <w:tcPr>
            <w:tcW w:w="1664" w:type="pct"/>
          </w:tcPr>
          <w:p w14:paraId="6E442E3B" w14:textId="77777777" w:rsidR="00993D60" w:rsidRPr="00765D5D" w:rsidRDefault="00993D60" w:rsidP="00765D5D">
            <w:pPr>
              <w:pStyle w:val="Tabletext"/>
              <w:rPr>
                <w:rFonts w:cs="Calibri"/>
                <w:iCs/>
                <w:szCs w:val="19"/>
              </w:rPr>
            </w:pPr>
            <w:r w:rsidRPr="00765D5D">
              <w:rPr>
                <w:rFonts w:cs="Calibri"/>
                <w:iCs/>
                <w:szCs w:val="19"/>
                <w:lang w:val="en-US"/>
              </w:rPr>
              <w:t>65 (52.8%)</w:t>
            </w:r>
          </w:p>
        </w:tc>
      </w:tr>
      <w:tr w:rsidR="00993D60" w:rsidRPr="00765D5D" w14:paraId="0B75D64D" w14:textId="77777777" w:rsidTr="000B3827">
        <w:trPr>
          <w:trHeight w:val="20"/>
        </w:trPr>
        <w:tc>
          <w:tcPr>
            <w:tcW w:w="1313" w:type="pct"/>
          </w:tcPr>
          <w:p w14:paraId="38A05822" w14:textId="063659F6" w:rsidR="00993D60" w:rsidRPr="00765D5D" w:rsidRDefault="00993D60">
            <w:pPr>
              <w:pStyle w:val="Tabletext"/>
              <w:rPr>
                <w:b/>
                <w:szCs w:val="19"/>
                <w:lang w:val="en-US"/>
              </w:rPr>
            </w:pPr>
            <w:r w:rsidRPr="00765D5D">
              <w:rPr>
                <w:rFonts w:cs="Calibri"/>
                <w:b/>
                <w:szCs w:val="19"/>
                <w:lang w:val="en-US"/>
              </w:rPr>
              <w:t>Prior stem</w:t>
            </w:r>
            <w:r w:rsidR="00B3200B">
              <w:rPr>
                <w:rFonts w:cs="Calibri"/>
                <w:b/>
                <w:szCs w:val="19"/>
                <w:lang w:val="en-US"/>
              </w:rPr>
              <w:t xml:space="preserve"> </w:t>
            </w:r>
            <w:r w:rsidRPr="00765D5D">
              <w:rPr>
                <w:rFonts w:cs="Calibri"/>
                <w:b/>
                <w:szCs w:val="19"/>
                <w:lang w:val="en-US"/>
              </w:rPr>
              <w:t>cell transplant</w:t>
            </w:r>
          </w:p>
        </w:tc>
        <w:tc>
          <w:tcPr>
            <w:tcW w:w="2023" w:type="pct"/>
          </w:tcPr>
          <w:p w14:paraId="7A61EA30" w14:textId="77777777" w:rsidR="00993D60" w:rsidRPr="00765D5D" w:rsidRDefault="00993D60" w:rsidP="00765D5D">
            <w:pPr>
              <w:pStyle w:val="Tabletext"/>
              <w:rPr>
                <w:rFonts w:cs="Calibri"/>
                <w:iCs/>
                <w:szCs w:val="19"/>
                <w:lang w:val="en-US"/>
              </w:rPr>
            </w:pPr>
            <w:r w:rsidRPr="00765D5D">
              <w:rPr>
                <w:rFonts w:cs="Calibri"/>
                <w:iCs/>
                <w:szCs w:val="19"/>
                <w:lang w:val="en-US"/>
              </w:rPr>
              <w:t>Yes</w:t>
            </w:r>
          </w:p>
        </w:tc>
        <w:tc>
          <w:tcPr>
            <w:tcW w:w="1664" w:type="pct"/>
          </w:tcPr>
          <w:p w14:paraId="662A9A7F" w14:textId="6E25F5E0" w:rsidR="00993D60" w:rsidRPr="00765D5D" w:rsidRDefault="00993D60">
            <w:pPr>
              <w:pStyle w:val="Tabletext"/>
              <w:rPr>
                <w:rFonts w:cs="Calibri"/>
                <w:iCs/>
                <w:szCs w:val="19"/>
                <w:lang w:val="en-US"/>
              </w:rPr>
            </w:pPr>
            <w:r w:rsidRPr="00765D5D">
              <w:rPr>
                <w:rFonts w:cs="Calibri"/>
                <w:iCs/>
                <w:szCs w:val="19"/>
                <w:lang w:val="en-US"/>
              </w:rPr>
              <w:t>102 (82.9%)</w:t>
            </w:r>
          </w:p>
        </w:tc>
      </w:tr>
      <w:tr w:rsidR="00993D60" w:rsidRPr="00765D5D" w14:paraId="7FC278C9" w14:textId="77777777" w:rsidTr="000B3827">
        <w:trPr>
          <w:cantSplit/>
          <w:trHeight w:val="20"/>
        </w:trPr>
        <w:tc>
          <w:tcPr>
            <w:tcW w:w="1313" w:type="pct"/>
          </w:tcPr>
          <w:p w14:paraId="42AB0B7C" w14:textId="77777777" w:rsidR="00993D60" w:rsidRPr="00765D5D" w:rsidRDefault="00993D60" w:rsidP="00765D5D">
            <w:pPr>
              <w:pStyle w:val="Tabletext"/>
              <w:rPr>
                <w:rFonts w:cs="Calibri"/>
                <w:b/>
                <w:szCs w:val="19"/>
                <w:lang w:val="en-US"/>
              </w:rPr>
            </w:pPr>
            <w:r w:rsidRPr="00765D5D">
              <w:rPr>
                <w:rFonts w:cs="Calibri"/>
                <w:b/>
                <w:szCs w:val="19"/>
                <w:lang w:val="en-US"/>
              </w:rPr>
              <w:t xml:space="preserve">Prior therapy  </w:t>
            </w:r>
          </w:p>
        </w:tc>
        <w:tc>
          <w:tcPr>
            <w:tcW w:w="2023" w:type="pct"/>
          </w:tcPr>
          <w:p w14:paraId="36E460C6" w14:textId="77777777" w:rsidR="00993D60" w:rsidRPr="00765D5D" w:rsidRDefault="00993D60" w:rsidP="00765D5D">
            <w:pPr>
              <w:pStyle w:val="Tabletext"/>
              <w:rPr>
                <w:rFonts w:cs="Calibri"/>
                <w:iCs/>
                <w:szCs w:val="19"/>
                <w:lang w:val="en-US"/>
              </w:rPr>
            </w:pPr>
            <w:r w:rsidRPr="00765D5D">
              <w:rPr>
                <w:rFonts w:cs="Calibri"/>
                <w:iCs/>
                <w:szCs w:val="19"/>
                <w:lang w:val="en-US"/>
              </w:rPr>
              <w:t>Median lines of therapy</w:t>
            </w:r>
          </w:p>
          <w:p w14:paraId="726165C4" w14:textId="77777777" w:rsidR="00993D60" w:rsidRPr="00765D5D" w:rsidRDefault="00993D60" w:rsidP="00765D5D">
            <w:pPr>
              <w:pStyle w:val="Tabletext"/>
              <w:rPr>
                <w:rFonts w:cs="Calibri"/>
                <w:iCs/>
                <w:szCs w:val="19"/>
                <w:lang w:val="en-US"/>
              </w:rPr>
            </w:pPr>
            <w:r w:rsidRPr="00765D5D">
              <w:rPr>
                <w:rFonts w:cs="Calibri"/>
                <w:iCs/>
                <w:szCs w:val="19"/>
                <w:lang w:val="en-US"/>
              </w:rPr>
              <w:t xml:space="preserve">≥5 prior regimens </w:t>
            </w:r>
          </w:p>
          <w:p w14:paraId="1D8A083E" w14:textId="77777777" w:rsidR="00993D60" w:rsidRPr="00765D5D" w:rsidRDefault="00993D60" w:rsidP="00765D5D">
            <w:pPr>
              <w:pStyle w:val="Tabletext"/>
              <w:rPr>
                <w:rFonts w:cs="Calibri"/>
                <w:iCs/>
                <w:szCs w:val="19"/>
                <w:lang w:val="en-US"/>
              </w:rPr>
            </w:pPr>
            <w:r w:rsidRPr="00765D5D">
              <w:rPr>
                <w:rFonts w:cs="Calibri"/>
                <w:iCs/>
                <w:szCs w:val="19"/>
                <w:lang w:val="en-US"/>
              </w:rPr>
              <w:t>≥9 prior regimens</w:t>
            </w:r>
          </w:p>
        </w:tc>
        <w:tc>
          <w:tcPr>
            <w:tcW w:w="1664" w:type="pct"/>
          </w:tcPr>
          <w:p w14:paraId="536AE5B3" w14:textId="77777777" w:rsidR="00993D60" w:rsidRPr="00765D5D" w:rsidRDefault="00993D60" w:rsidP="00765D5D">
            <w:pPr>
              <w:pStyle w:val="Tabletext"/>
              <w:rPr>
                <w:rFonts w:cs="Calibri"/>
                <w:iCs/>
                <w:szCs w:val="19"/>
                <w:lang w:val="en-US"/>
              </w:rPr>
            </w:pPr>
            <w:r w:rsidRPr="00765D5D">
              <w:rPr>
                <w:rFonts w:cs="Calibri"/>
                <w:iCs/>
                <w:szCs w:val="19"/>
                <w:lang w:val="en-US"/>
              </w:rPr>
              <w:t>7 (3, 18)</w:t>
            </w:r>
          </w:p>
          <w:p w14:paraId="46FAE030" w14:textId="77777777" w:rsidR="00993D60" w:rsidRPr="00765D5D" w:rsidRDefault="00993D60" w:rsidP="00765D5D">
            <w:pPr>
              <w:pStyle w:val="Tabletext"/>
              <w:rPr>
                <w:rFonts w:cs="Calibri"/>
                <w:iCs/>
                <w:szCs w:val="19"/>
                <w:lang w:val="en-US"/>
              </w:rPr>
            </w:pPr>
            <w:r w:rsidRPr="00765D5D">
              <w:rPr>
                <w:rFonts w:cs="Calibri"/>
                <w:iCs/>
                <w:szCs w:val="19"/>
                <w:lang w:val="en-US"/>
              </w:rPr>
              <w:t>108 (87.8%)</w:t>
            </w:r>
          </w:p>
          <w:p w14:paraId="21777B50" w14:textId="77777777" w:rsidR="00993D60" w:rsidRPr="00765D5D" w:rsidRDefault="00993D60" w:rsidP="00765D5D">
            <w:pPr>
              <w:pStyle w:val="Tabletext"/>
              <w:rPr>
                <w:rFonts w:cs="Calibri"/>
                <w:iCs/>
                <w:szCs w:val="19"/>
                <w:lang w:val="en-US"/>
              </w:rPr>
            </w:pPr>
            <w:r w:rsidRPr="00765D5D">
              <w:rPr>
                <w:rFonts w:cs="Calibri"/>
                <w:iCs/>
                <w:szCs w:val="19"/>
                <w:lang w:val="en-US"/>
              </w:rPr>
              <w:t>36 (29.3%)</w:t>
            </w:r>
          </w:p>
        </w:tc>
      </w:tr>
      <w:tr w:rsidR="00993D60" w:rsidRPr="00765D5D" w14:paraId="56F1894E" w14:textId="77777777" w:rsidTr="000B3827">
        <w:trPr>
          <w:trHeight w:val="20"/>
        </w:trPr>
        <w:tc>
          <w:tcPr>
            <w:tcW w:w="1313" w:type="pct"/>
          </w:tcPr>
          <w:p w14:paraId="62A0B738" w14:textId="77777777" w:rsidR="00993D60" w:rsidRPr="00765D5D" w:rsidRDefault="00993D60" w:rsidP="00765D5D">
            <w:pPr>
              <w:pStyle w:val="Tabletext"/>
              <w:rPr>
                <w:rFonts w:cs="Calibri"/>
                <w:b/>
                <w:szCs w:val="19"/>
                <w:lang w:val="en-US"/>
              </w:rPr>
            </w:pPr>
            <w:r w:rsidRPr="00765D5D">
              <w:rPr>
                <w:rFonts w:cs="Calibri"/>
                <w:b/>
                <w:szCs w:val="19"/>
                <w:lang w:val="en-US"/>
              </w:rPr>
              <w:lastRenderedPageBreak/>
              <w:t>Documented refractory status</w:t>
            </w:r>
          </w:p>
        </w:tc>
        <w:tc>
          <w:tcPr>
            <w:tcW w:w="2023" w:type="pct"/>
          </w:tcPr>
          <w:p w14:paraId="4AA1D774" w14:textId="77777777" w:rsidR="00993D60" w:rsidRPr="00765D5D" w:rsidRDefault="00993D60" w:rsidP="00765D5D">
            <w:pPr>
              <w:pStyle w:val="Tabletext"/>
              <w:rPr>
                <w:rFonts w:cs="Calibri"/>
                <w:iCs/>
                <w:szCs w:val="19"/>
                <w:lang w:val="en-US"/>
              </w:rPr>
            </w:pPr>
            <w:r w:rsidRPr="00765D5D">
              <w:rPr>
                <w:rFonts w:cs="Calibri"/>
                <w:iCs/>
                <w:szCs w:val="19"/>
                <w:lang w:val="en-US"/>
              </w:rPr>
              <w:t>Carfilzomib/pomalidomide/daratumumab (CPD)</w:t>
            </w:r>
          </w:p>
          <w:p w14:paraId="3DD35D80" w14:textId="77777777" w:rsidR="00993D60" w:rsidRPr="00765D5D" w:rsidRDefault="00993D60" w:rsidP="00765D5D">
            <w:pPr>
              <w:pStyle w:val="Tabletext"/>
              <w:rPr>
                <w:rFonts w:cs="Calibri"/>
                <w:iCs/>
                <w:szCs w:val="19"/>
                <w:lang w:val="en-US"/>
              </w:rPr>
            </w:pPr>
            <w:r w:rsidRPr="00765D5D">
              <w:rPr>
                <w:rFonts w:cs="Calibri"/>
                <w:iCs/>
                <w:szCs w:val="19"/>
                <w:lang w:val="en-US"/>
              </w:rPr>
              <w:t>Lenalidomide + CPD (CLPD)</w:t>
            </w:r>
          </w:p>
          <w:p w14:paraId="70B6C19A" w14:textId="77777777" w:rsidR="00993D60" w:rsidRPr="00765D5D" w:rsidRDefault="00993D60" w:rsidP="00765D5D">
            <w:pPr>
              <w:pStyle w:val="Tabletext"/>
              <w:rPr>
                <w:rFonts w:cs="Calibri"/>
                <w:iCs/>
                <w:szCs w:val="19"/>
                <w:lang w:val="en-US"/>
              </w:rPr>
            </w:pPr>
            <w:r w:rsidRPr="00765D5D">
              <w:rPr>
                <w:rFonts w:cs="Calibri"/>
                <w:iCs/>
                <w:szCs w:val="19"/>
                <w:lang w:val="en-US"/>
              </w:rPr>
              <w:t>Bortezomib + CPD (CBPD)</w:t>
            </w:r>
          </w:p>
          <w:p w14:paraId="2E2E2370" w14:textId="77777777" w:rsidR="00993D60" w:rsidRPr="00765D5D" w:rsidRDefault="00993D60" w:rsidP="00765D5D">
            <w:pPr>
              <w:pStyle w:val="Tabletext"/>
              <w:rPr>
                <w:rFonts w:cs="Calibri"/>
                <w:iCs/>
                <w:szCs w:val="19"/>
                <w:lang w:val="en-US"/>
              </w:rPr>
            </w:pPr>
            <w:r w:rsidRPr="00765D5D">
              <w:rPr>
                <w:rFonts w:cs="Calibri"/>
                <w:iCs/>
                <w:szCs w:val="19"/>
                <w:lang w:val="en-US"/>
              </w:rPr>
              <w:t>Lenalidomide + CBPD</w:t>
            </w:r>
          </w:p>
        </w:tc>
        <w:tc>
          <w:tcPr>
            <w:tcW w:w="1664" w:type="pct"/>
          </w:tcPr>
          <w:p w14:paraId="3B124825" w14:textId="77777777" w:rsidR="00993D60" w:rsidRPr="00765D5D" w:rsidRDefault="00993D60" w:rsidP="00765D5D">
            <w:pPr>
              <w:pStyle w:val="Tabletext"/>
              <w:rPr>
                <w:rFonts w:cs="Calibri"/>
                <w:iCs/>
                <w:szCs w:val="19"/>
                <w:lang w:val="en-US"/>
              </w:rPr>
            </w:pPr>
            <w:r w:rsidRPr="00765D5D">
              <w:rPr>
                <w:rFonts w:cs="Calibri"/>
                <w:iCs/>
                <w:szCs w:val="19"/>
                <w:lang w:val="en-US"/>
              </w:rPr>
              <w:t>117 (95.1%)</w:t>
            </w:r>
          </w:p>
          <w:p w14:paraId="47667FB8" w14:textId="77777777" w:rsidR="00993D60" w:rsidRPr="00765D5D" w:rsidRDefault="00993D60" w:rsidP="00765D5D">
            <w:pPr>
              <w:pStyle w:val="Tabletext"/>
              <w:rPr>
                <w:rFonts w:cs="Calibri"/>
                <w:iCs/>
                <w:szCs w:val="19"/>
                <w:lang w:val="en-US"/>
              </w:rPr>
            </w:pPr>
            <w:r w:rsidRPr="00765D5D">
              <w:rPr>
                <w:rFonts w:cs="Calibri"/>
                <w:iCs/>
                <w:szCs w:val="19"/>
                <w:lang w:val="en-US"/>
              </w:rPr>
              <w:t>101 (82.1%)</w:t>
            </w:r>
          </w:p>
          <w:p w14:paraId="423E8C3C" w14:textId="77777777" w:rsidR="00993D60" w:rsidRPr="00765D5D" w:rsidRDefault="00993D60" w:rsidP="00765D5D">
            <w:pPr>
              <w:pStyle w:val="Tabletext"/>
              <w:rPr>
                <w:rFonts w:cs="Calibri"/>
                <w:iCs/>
                <w:szCs w:val="19"/>
                <w:lang w:val="en-US"/>
              </w:rPr>
            </w:pPr>
            <w:r w:rsidRPr="00765D5D">
              <w:rPr>
                <w:rFonts w:cs="Calibri"/>
                <w:iCs/>
                <w:szCs w:val="19"/>
                <w:lang w:val="en-US"/>
              </w:rPr>
              <w:t>94 (76.4%)</w:t>
            </w:r>
          </w:p>
          <w:p w14:paraId="7496C431" w14:textId="77777777" w:rsidR="00993D60" w:rsidRPr="00765D5D" w:rsidRDefault="00993D60" w:rsidP="00765D5D">
            <w:pPr>
              <w:pStyle w:val="Tabletext"/>
              <w:rPr>
                <w:rFonts w:cs="Calibri"/>
                <w:iCs/>
                <w:szCs w:val="19"/>
                <w:lang w:val="en-US"/>
              </w:rPr>
            </w:pPr>
            <w:r w:rsidRPr="00765D5D">
              <w:rPr>
                <w:rFonts w:cs="Calibri"/>
                <w:iCs/>
                <w:szCs w:val="19"/>
                <w:lang w:val="en-US"/>
              </w:rPr>
              <w:t>83 (67.5%)</w:t>
            </w:r>
          </w:p>
        </w:tc>
      </w:tr>
      <w:tr w:rsidR="00993D60" w:rsidRPr="00765D5D" w14:paraId="1CC674F2" w14:textId="77777777" w:rsidTr="000B3827">
        <w:trPr>
          <w:trHeight w:val="20"/>
        </w:trPr>
        <w:tc>
          <w:tcPr>
            <w:tcW w:w="1313" w:type="pct"/>
          </w:tcPr>
          <w:p w14:paraId="0B2D58C5" w14:textId="77777777" w:rsidR="00993D60" w:rsidRPr="00765D5D" w:rsidRDefault="00993D60" w:rsidP="00765D5D">
            <w:pPr>
              <w:pStyle w:val="Tabletext"/>
              <w:rPr>
                <w:rFonts w:cs="Calibri"/>
                <w:b/>
                <w:szCs w:val="19"/>
                <w:lang w:val="en-US"/>
              </w:rPr>
            </w:pPr>
            <w:r w:rsidRPr="00765D5D">
              <w:rPr>
                <w:rFonts w:cs="Calibri"/>
                <w:b/>
                <w:szCs w:val="19"/>
                <w:lang w:val="en-US"/>
              </w:rPr>
              <w:t>Additional therapies</w:t>
            </w:r>
          </w:p>
        </w:tc>
        <w:tc>
          <w:tcPr>
            <w:tcW w:w="2023" w:type="pct"/>
          </w:tcPr>
          <w:p w14:paraId="65B33277" w14:textId="77777777" w:rsidR="00993D60" w:rsidRPr="00765D5D" w:rsidRDefault="00993D60" w:rsidP="00765D5D">
            <w:pPr>
              <w:pStyle w:val="Tabletext"/>
              <w:rPr>
                <w:rFonts w:cs="Calibri"/>
                <w:iCs/>
                <w:szCs w:val="19"/>
                <w:lang w:val="en-US"/>
              </w:rPr>
            </w:pPr>
            <w:r w:rsidRPr="00765D5D">
              <w:rPr>
                <w:rFonts w:cs="Calibri"/>
                <w:iCs/>
                <w:szCs w:val="19"/>
                <w:lang w:val="en-US"/>
              </w:rPr>
              <w:t>Alkylating agents</w:t>
            </w:r>
          </w:p>
          <w:p w14:paraId="26A3E236" w14:textId="77777777" w:rsidR="00993D60" w:rsidRPr="00765D5D" w:rsidRDefault="00993D60" w:rsidP="00765D5D">
            <w:pPr>
              <w:pStyle w:val="Tabletext"/>
              <w:rPr>
                <w:rFonts w:cs="Calibri"/>
                <w:iCs/>
                <w:szCs w:val="19"/>
                <w:lang w:val="en-US"/>
              </w:rPr>
            </w:pPr>
            <w:r w:rsidRPr="00765D5D">
              <w:rPr>
                <w:rFonts w:cs="Calibri"/>
                <w:iCs/>
                <w:szCs w:val="19"/>
                <w:lang w:val="en-US"/>
              </w:rPr>
              <w:t>Anthracyclines</w:t>
            </w:r>
          </w:p>
          <w:p w14:paraId="782A096E" w14:textId="77777777" w:rsidR="00993D60" w:rsidRPr="00765D5D" w:rsidRDefault="00993D60" w:rsidP="00765D5D">
            <w:pPr>
              <w:pStyle w:val="Tabletext"/>
              <w:rPr>
                <w:rFonts w:cs="Calibri"/>
                <w:iCs/>
                <w:szCs w:val="19"/>
                <w:lang w:val="en-US"/>
              </w:rPr>
            </w:pPr>
            <w:r w:rsidRPr="00765D5D">
              <w:rPr>
                <w:rFonts w:cs="Calibri"/>
                <w:iCs/>
                <w:szCs w:val="19"/>
                <w:lang w:val="en-US"/>
              </w:rPr>
              <w:t>Checkpoint inhibitors</w:t>
            </w:r>
          </w:p>
          <w:p w14:paraId="7FB8BCAA" w14:textId="77777777" w:rsidR="00993D60" w:rsidRPr="00765D5D" w:rsidRDefault="00993D60" w:rsidP="00765D5D">
            <w:pPr>
              <w:pStyle w:val="Tabletext"/>
              <w:rPr>
                <w:rFonts w:cs="Calibri"/>
                <w:iCs/>
                <w:szCs w:val="19"/>
                <w:lang w:val="en-US"/>
              </w:rPr>
            </w:pPr>
            <w:r w:rsidRPr="00765D5D">
              <w:rPr>
                <w:rFonts w:cs="Calibri"/>
                <w:iCs/>
                <w:szCs w:val="19"/>
                <w:lang w:val="en-US"/>
              </w:rPr>
              <w:t>Glucocorticoid-containing regimens</w:t>
            </w:r>
          </w:p>
          <w:p w14:paraId="6D2AC1C3" w14:textId="77777777" w:rsidR="00993D60" w:rsidRPr="00765D5D" w:rsidRDefault="00993D60" w:rsidP="00765D5D">
            <w:pPr>
              <w:pStyle w:val="Tabletext"/>
              <w:rPr>
                <w:rFonts w:cs="Calibri"/>
                <w:iCs/>
                <w:szCs w:val="19"/>
                <w:lang w:val="en-US"/>
              </w:rPr>
            </w:pPr>
            <w:r w:rsidRPr="00765D5D">
              <w:rPr>
                <w:rFonts w:cs="Calibri"/>
                <w:iCs/>
                <w:szCs w:val="19"/>
                <w:lang w:val="en-US"/>
              </w:rPr>
              <w:t>1 – 5</w:t>
            </w:r>
          </w:p>
          <w:p w14:paraId="1C58475C" w14:textId="77777777" w:rsidR="00993D60" w:rsidRPr="00765D5D" w:rsidRDefault="00993D60" w:rsidP="00765D5D">
            <w:pPr>
              <w:pStyle w:val="Tabletext"/>
              <w:rPr>
                <w:rFonts w:cs="Calibri"/>
                <w:iCs/>
                <w:szCs w:val="19"/>
                <w:lang w:val="en-US"/>
              </w:rPr>
            </w:pPr>
            <w:r w:rsidRPr="00765D5D">
              <w:rPr>
                <w:rFonts w:cs="Calibri"/>
                <w:iCs/>
                <w:szCs w:val="19"/>
                <w:lang w:val="en-US"/>
              </w:rPr>
              <w:t>6 – 10</w:t>
            </w:r>
          </w:p>
          <w:p w14:paraId="01B64F18" w14:textId="77777777" w:rsidR="00993D60" w:rsidRPr="00765D5D" w:rsidRDefault="00993D60" w:rsidP="00765D5D">
            <w:pPr>
              <w:pStyle w:val="Tabletext"/>
              <w:rPr>
                <w:rFonts w:cs="Calibri"/>
                <w:iCs/>
                <w:szCs w:val="19"/>
                <w:lang w:val="en-US"/>
              </w:rPr>
            </w:pPr>
            <w:r w:rsidRPr="00765D5D">
              <w:rPr>
                <w:rFonts w:cs="Calibri"/>
                <w:iCs/>
                <w:szCs w:val="19"/>
                <w:lang w:val="en-US"/>
              </w:rPr>
              <w:t>&gt;10</w:t>
            </w:r>
          </w:p>
        </w:tc>
        <w:tc>
          <w:tcPr>
            <w:tcW w:w="1664" w:type="pct"/>
          </w:tcPr>
          <w:p w14:paraId="4A0507D0" w14:textId="77777777" w:rsidR="00993D60" w:rsidRPr="00765D5D" w:rsidRDefault="00993D60" w:rsidP="00765D5D">
            <w:pPr>
              <w:pStyle w:val="Tabletext"/>
              <w:rPr>
                <w:rFonts w:cs="Calibri"/>
                <w:iCs/>
                <w:szCs w:val="19"/>
                <w:lang w:val="en-US"/>
              </w:rPr>
            </w:pPr>
            <w:r w:rsidRPr="00765D5D">
              <w:rPr>
                <w:rFonts w:cs="Calibri"/>
                <w:iCs/>
                <w:szCs w:val="19"/>
                <w:lang w:val="en-US"/>
              </w:rPr>
              <w:t>123 (100%)</w:t>
            </w:r>
          </w:p>
          <w:p w14:paraId="3E0983F7" w14:textId="77777777" w:rsidR="00993D60" w:rsidRPr="00765D5D" w:rsidRDefault="00993D60" w:rsidP="00765D5D">
            <w:pPr>
              <w:pStyle w:val="Tabletext"/>
              <w:rPr>
                <w:rFonts w:cs="Calibri"/>
                <w:iCs/>
                <w:szCs w:val="19"/>
                <w:lang w:val="en-US"/>
              </w:rPr>
            </w:pPr>
            <w:r w:rsidRPr="00765D5D">
              <w:rPr>
                <w:rFonts w:cs="Calibri"/>
                <w:iCs/>
                <w:szCs w:val="19"/>
                <w:lang w:val="en-US"/>
              </w:rPr>
              <w:t>45 (36.6%)</w:t>
            </w:r>
          </w:p>
          <w:p w14:paraId="0E187D90" w14:textId="77777777" w:rsidR="00993D60" w:rsidRPr="00765D5D" w:rsidRDefault="00993D60" w:rsidP="00765D5D">
            <w:pPr>
              <w:pStyle w:val="Tabletext"/>
              <w:rPr>
                <w:rFonts w:cs="Calibri"/>
                <w:iCs/>
                <w:szCs w:val="19"/>
                <w:lang w:val="en-US"/>
              </w:rPr>
            </w:pPr>
            <w:r w:rsidRPr="00765D5D">
              <w:rPr>
                <w:rFonts w:cs="Calibri"/>
                <w:iCs/>
                <w:szCs w:val="19"/>
                <w:lang w:val="en-US"/>
              </w:rPr>
              <w:t>19 (15.4%)</w:t>
            </w:r>
          </w:p>
          <w:p w14:paraId="5C95C731" w14:textId="77777777" w:rsidR="00993D60" w:rsidRPr="00765D5D" w:rsidRDefault="00993D60" w:rsidP="00765D5D">
            <w:pPr>
              <w:pStyle w:val="Tabletext"/>
              <w:rPr>
                <w:rFonts w:cs="Calibri"/>
                <w:iCs/>
                <w:szCs w:val="19"/>
                <w:lang w:val="en-US"/>
              </w:rPr>
            </w:pPr>
          </w:p>
          <w:p w14:paraId="79078062" w14:textId="77777777" w:rsidR="00993D60" w:rsidRPr="00765D5D" w:rsidRDefault="00993D60" w:rsidP="00765D5D">
            <w:pPr>
              <w:pStyle w:val="Tabletext"/>
              <w:rPr>
                <w:rFonts w:cs="Calibri"/>
                <w:iCs/>
                <w:szCs w:val="19"/>
                <w:lang w:val="en-US"/>
              </w:rPr>
            </w:pPr>
            <w:r w:rsidRPr="00765D5D">
              <w:rPr>
                <w:rFonts w:cs="Calibri"/>
                <w:iCs/>
                <w:szCs w:val="19"/>
                <w:lang w:val="en-US"/>
              </w:rPr>
              <w:t>50 (40.7%)</w:t>
            </w:r>
          </w:p>
          <w:p w14:paraId="2FD52AC9" w14:textId="77777777" w:rsidR="00993D60" w:rsidRPr="00765D5D" w:rsidRDefault="00993D60" w:rsidP="00765D5D">
            <w:pPr>
              <w:pStyle w:val="Tabletext"/>
              <w:rPr>
                <w:rFonts w:cs="Calibri"/>
                <w:iCs/>
                <w:szCs w:val="19"/>
                <w:lang w:val="en-US"/>
              </w:rPr>
            </w:pPr>
            <w:r w:rsidRPr="00765D5D">
              <w:rPr>
                <w:rFonts w:cs="Calibri"/>
                <w:iCs/>
                <w:szCs w:val="19"/>
                <w:lang w:val="en-US"/>
              </w:rPr>
              <w:t>64 (52.0%)</w:t>
            </w:r>
          </w:p>
          <w:p w14:paraId="1FD72C2D" w14:textId="77777777" w:rsidR="00993D60" w:rsidRPr="00765D5D" w:rsidRDefault="00993D60" w:rsidP="00765D5D">
            <w:pPr>
              <w:pStyle w:val="Tabletext"/>
              <w:rPr>
                <w:rFonts w:cs="Calibri"/>
                <w:iCs/>
                <w:szCs w:val="19"/>
                <w:lang w:val="en-US"/>
              </w:rPr>
            </w:pPr>
            <w:r w:rsidRPr="00765D5D">
              <w:rPr>
                <w:rFonts w:cs="Calibri"/>
                <w:iCs/>
                <w:szCs w:val="19"/>
                <w:lang w:val="en-US"/>
              </w:rPr>
              <w:t>9 (7.3%)</w:t>
            </w:r>
          </w:p>
        </w:tc>
      </w:tr>
    </w:tbl>
    <w:p w14:paraId="6E240579" w14:textId="6B4E8435" w:rsidR="00993D60" w:rsidRDefault="00993D60" w:rsidP="00993D60">
      <w:r w:rsidRPr="00993D60">
        <w:t xml:space="preserve">Most (67.2%) had an </w:t>
      </w:r>
      <w:r w:rsidR="0010285B">
        <w:t xml:space="preserve">immunoglobulin </w:t>
      </w:r>
      <w:r w:rsidRPr="00993D60">
        <w:t xml:space="preserve">IgG type at </w:t>
      </w:r>
      <w:r w:rsidR="004B4871">
        <w:t>B</w:t>
      </w:r>
      <w:r w:rsidRPr="00993D60">
        <w:t>aseline, most (65.5%) had kappa light chains, almost half (53.3%) had a high</w:t>
      </w:r>
      <w:r w:rsidR="004B4871">
        <w:t xml:space="preserve"> </w:t>
      </w:r>
      <w:r w:rsidRPr="00993D60">
        <w:t>risk chromosomal abnormality (</w:t>
      </w:r>
      <w:r w:rsidR="00B3200B">
        <w:t>h</w:t>
      </w:r>
      <w:r w:rsidRPr="00993D60">
        <w:t xml:space="preserve">igh-risk </w:t>
      </w:r>
      <w:r w:rsidR="00B3200B">
        <w:t>multiple myeloma</w:t>
      </w:r>
      <w:r w:rsidR="00B3200B" w:rsidRPr="00993D60">
        <w:t xml:space="preserve"> </w:t>
      </w:r>
      <w:r w:rsidRPr="00993D60">
        <w:t xml:space="preserve">is defined by the presence of </w:t>
      </w:r>
      <w:r w:rsidR="00B3200B">
        <w:t xml:space="preserve">translocations/mutations </w:t>
      </w:r>
      <w:proofErr w:type="gramStart"/>
      <w:r w:rsidRPr="00993D60">
        <w:t>t(</w:t>
      </w:r>
      <w:proofErr w:type="gramEnd"/>
      <w:r w:rsidRPr="00993D60">
        <w:t>4;14), t(14;16), t(14;20), gain 1q, del(17p), or p53 mutation).</w:t>
      </w:r>
    </w:p>
    <w:p w14:paraId="0A9B1742" w14:textId="3E32E502" w:rsidR="00993D60" w:rsidRDefault="00DF40B9" w:rsidP="00993D60">
      <w:pPr>
        <w:pStyle w:val="Heading6"/>
      </w:pPr>
      <w:r>
        <w:t>Study results</w:t>
      </w:r>
    </w:p>
    <w:p w14:paraId="69F5B00E" w14:textId="10A54BF8" w:rsidR="00B3200B" w:rsidRPr="000B3827" w:rsidRDefault="00B3200B" w:rsidP="000B3827">
      <w:pPr>
        <w:rPr>
          <w:rFonts w:asciiTheme="minorHAnsi" w:hAnsiTheme="minorHAnsi" w:cs="Calibri"/>
          <w:lang w:eastAsia="ja-JP"/>
        </w:rPr>
      </w:pPr>
      <w:r w:rsidRPr="0011239E">
        <w:t xml:space="preserve">Patient flow for </w:t>
      </w:r>
      <w:r w:rsidR="0010285B">
        <w:t xml:space="preserve">the </w:t>
      </w:r>
      <w:r w:rsidRPr="00037055">
        <w:t>STORM trial part 2</w:t>
      </w:r>
      <w:r w:rsidRPr="00A52516">
        <w:rPr>
          <w:rFonts w:asciiTheme="minorHAnsi" w:hAnsiTheme="minorHAnsi" w:cs="Calibri"/>
          <w:b/>
          <w:bCs/>
          <w:lang w:eastAsia="ja-JP"/>
        </w:rPr>
        <w:t xml:space="preserve">: </w:t>
      </w:r>
      <w:r w:rsidRPr="00A52516">
        <w:rPr>
          <w:rFonts w:asciiTheme="minorHAnsi" w:hAnsiTheme="minorHAnsi" w:cs="Calibri"/>
          <w:lang w:eastAsia="ja-JP"/>
        </w:rPr>
        <w:t xml:space="preserve">123 patients were treated. All discontinued treatment most commonly because of disease progression (56.9%) and </w:t>
      </w:r>
      <w:r>
        <w:rPr>
          <w:rFonts w:asciiTheme="minorHAnsi" w:hAnsiTheme="minorHAnsi" w:cs="Calibri"/>
          <w:lang w:eastAsia="ja-JP"/>
        </w:rPr>
        <w:t xml:space="preserve">adverse events </w:t>
      </w:r>
      <w:r w:rsidR="0010285B">
        <w:rPr>
          <w:rFonts w:asciiTheme="minorHAnsi" w:hAnsiTheme="minorHAnsi" w:cs="Calibri"/>
          <w:lang w:eastAsia="ja-JP"/>
        </w:rPr>
        <w:t xml:space="preserve">(31.7%). 35 patients </w:t>
      </w:r>
      <w:r w:rsidRPr="00A52516">
        <w:rPr>
          <w:rFonts w:asciiTheme="minorHAnsi" w:hAnsiTheme="minorHAnsi" w:cs="Calibri"/>
          <w:lang w:eastAsia="ja-JP"/>
        </w:rPr>
        <w:t xml:space="preserve">(28.5%) completed </w:t>
      </w:r>
      <w:r>
        <w:rPr>
          <w:rFonts w:asciiTheme="minorHAnsi" w:hAnsiTheme="minorHAnsi" w:cs="Calibri"/>
          <w:lang w:eastAsia="ja-JP"/>
        </w:rPr>
        <w:t>one</w:t>
      </w:r>
      <w:r w:rsidRPr="00A52516">
        <w:rPr>
          <w:rFonts w:asciiTheme="minorHAnsi" w:hAnsiTheme="minorHAnsi" w:cs="Calibri"/>
          <w:lang w:eastAsia="ja-JP"/>
        </w:rPr>
        <w:t xml:space="preserve"> year of survival follow</w:t>
      </w:r>
      <w:r>
        <w:rPr>
          <w:rFonts w:asciiTheme="minorHAnsi" w:hAnsiTheme="minorHAnsi" w:cs="Calibri"/>
          <w:lang w:eastAsia="ja-JP"/>
        </w:rPr>
        <w:t xml:space="preserve"> </w:t>
      </w:r>
      <w:r w:rsidRPr="00A52516">
        <w:rPr>
          <w:rFonts w:asciiTheme="minorHAnsi" w:hAnsiTheme="minorHAnsi" w:cs="Calibri"/>
          <w:lang w:eastAsia="ja-JP"/>
        </w:rPr>
        <w:t xml:space="preserve">up. One </w:t>
      </w:r>
      <w:r>
        <w:rPr>
          <w:rFonts w:asciiTheme="minorHAnsi" w:hAnsiTheme="minorHAnsi" w:cs="Calibri"/>
          <w:lang w:eastAsia="ja-JP"/>
        </w:rPr>
        <w:t xml:space="preserve">patient </w:t>
      </w:r>
      <w:r w:rsidRPr="00A52516">
        <w:rPr>
          <w:rFonts w:asciiTheme="minorHAnsi" w:hAnsiTheme="minorHAnsi" w:cs="Calibri"/>
          <w:lang w:eastAsia="ja-JP"/>
        </w:rPr>
        <w:t xml:space="preserve">was excluded from the </w:t>
      </w:r>
      <w:proofErr w:type="spellStart"/>
      <w:r w:rsidRPr="00A52516">
        <w:rPr>
          <w:rFonts w:asciiTheme="minorHAnsi" w:hAnsiTheme="minorHAnsi" w:cs="Calibri"/>
          <w:lang w:eastAsia="ja-JP"/>
        </w:rPr>
        <w:t>mITT</w:t>
      </w:r>
      <w:proofErr w:type="spellEnd"/>
      <w:r w:rsidRPr="00A52516">
        <w:rPr>
          <w:rFonts w:asciiTheme="minorHAnsi" w:hAnsiTheme="minorHAnsi" w:cs="Calibri"/>
          <w:lang w:eastAsia="ja-JP"/>
        </w:rPr>
        <w:t xml:space="preserve"> population because</w:t>
      </w:r>
      <w:r>
        <w:rPr>
          <w:rFonts w:asciiTheme="minorHAnsi" w:hAnsiTheme="minorHAnsi" w:cs="Calibri"/>
          <w:lang w:eastAsia="ja-JP"/>
        </w:rPr>
        <w:t xml:space="preserve"> they had no prior carfilzomib.</w:t>
      </w:r>
    </w:p>
    <w:p w14:paraId="0DDED423" w14:textId="08E55045" w:rsidR="00993D60" w:rsidRDefault="00993D60" w:rsidP="00993D60">
      <w:r>
        <w:fldChar w:fldCharType="begin"/>
      </w:r>
      <w:r>
        <w:instrText xml:space="preserve"> REF _Ref111630513 \h </w:instrText>
      </w:r>
      <w:r>
        <w:fldChar w:fldCharType="separate"/>
      </w:r>
      <w:r w:rsidR="003F6139" w:rsidRPr="00993D60">
        <w:t xml:space="preserve">Table </w:t>
      </w:r>
      <w:r w:rsidR="003F6139">
        <w:rPr>
          <w:noProof/>
        </w:rPr>
        <w:t>9</w:t>
      </w:r>
      <w:r>
        <w:fldChar w:fldCharType="end"/>
      </w:r>
      <w:r>
        <w:t xml:space="preserve"> summaries the key efficacy finding from STORM trial.</w:t>
      </w:r>
    </w:p>
    <w:p w14:paraId="0CCF1AD0" w14:textId="461318BA" w:rsidR="00993D60" w:rsidRDefault="00993D60" w:rsidP="00993D60">
      <w:pPr>
        <w:pStyle w:val="TableTitle"/>
      </w:pPr>
      <w:bookmarkStart w:id="49" w:name="_Ref111630513"/>
      <w:r w:rsidRPr="00993D60">
        <w:t xml:space="preserve">Table </w:t>
      </w:r>
      <w:r w:rsidR="006737A0">
        <w:fldChar w:fldCharType="begin"/>
      </w:r>
      <w:r w:rsidR="006737A0">
        <w:instrText xml:space="preserve"> SEQ Table \* ARABIC </w:instrText>
      </w:r>
      <w:r w:rsidR="006737A0">
        <w:fldChar w:fldCharType="separate"/>
      </w:r>
      <w:r w:rsidR="00BB2836">
        <w:rPr>
          <w:noProof/>
        </w:rPr>
        <w:t>9</w:t>
      </w:r>
      <w:r w:rsidR="006737A0">
        <w:rPr>
          <w:noProof/>
        </w:rPr>
        <w:fldChar w:fldCharType="end"/>
      </w:r>
      <w:bookmarkEnd w:id="49"/>
      <w:r w:rsidRPr="00993D60">
        <w:t>:</w:t>
      </w:r>
      <w:r>
        <w:t xml:space="preserve"> </w:t>
      </w:r>
      <w:r w:rsidR="0010285B">
        <w:t>Study KCP-330-012 (</w:t>
      </w:r>
      <w:r>
        <w:t>STORM trial</w:t>
      </w:r>
      <w:r w:rsidR="0010285B">
        <w:t>)</w:t>
      </w:r>
      <w:r>
        <w:t xml:space="preserve"> </w:t>
      </w:r>
      <w:r w:rsidRPr="00993D60">
        <w:t xml:space="preserve">Summary of </w:t>
      </w:r>
      <w:r>
        <w:t>k</w:t>
      </w:r>
      <w:r w:rsidRPr="00993D60">
        <w:t xml:space="preserve">ey </w:t>
      </w:r>
      <w:r>
        <w:t>e</w:t>
      </w:r>
      <w:r w:rsidRPr="00993D60">
        <w:t xml:space="preserve">fficacy </w:t>
      </w:r>
      <w:r>
        <w:t>o</w:t>
      </w:r>
      <w:r w:rsidRPr="00993D60">
        <w:t>utcomes</w:t>
      </w:r>
    </w:p>
    <w:tbl>
      <w:tblPr>
        <w:tblStyle w:val="TableTGAblue"/>
        <w:tblW w:w="4785" w:type="pct"/>
        <w:tblLook w:val="04A0" w:firstRow="1" w:lastRow="0" w:firstColumn="1" w:lastColumn="0" w:noHBand="0" w:noVBand="1"/>
      </w:tblPr>
      <w:tblGrid>
        <w:gridCol w:w="5480"/>
        <w:gridCol w:w="2639"/>
      </w:tblGrid>
      <w:tr w:rsidR="00993D60" w:rsidRPr="00993D60" w14:paraId="5CF053A8" w14:textId="77777777" w:rsidTr="00993D60">
        <w:trPr>
          <w:cnfStyle w:val="100000000000" w:firstRow="1" w:lastRow="0" w:firstColumn="0" w:lastColumn="0" w:oddVBand="0" w:evenVBand="0" w:oddHBand="0" w:evenHBand="0" w:firstRowFirstColumn="0" w:firstRowLastColumn="0" w:lastRowFirstColumn="0" w:lastRowLastColumn="0"/>
          <w:trHeight w:val="445"/>
        </w:trPr>
        <w:tc>
          <w:tcPr>
            <w:tcW w:w="5000" w:type="pct"/>
            <w:gridSpan w:val="2"/>
          </w:tcPr>
          <w:p w14:paraId="47FA0075" w14:textId="24D97B44" w:rsidR="00993D60" w:rsidRPr="00765D5D" w:rsidRDefault="0010285B">
            <w:pPr>
              <w:pStyle w:val="Tabletext"/>
              <w:rPr>
                <w:color w:val="auto"/>
                <w:lang w:eastAsia="ja-JP"/>
              </w:rPr>
            </w:pPr>
            <w:r>
              <w:rPr>
                <w:lang w:eastAsia="ja-JP"/>
              </w:rPr>
              <w:t>Study KCP-330-012 (</w:t>
            </w:r>
            <w:r w:rsidR="00993D60" w:rsidRPr="00765D5D">
              <w:rPr>
                <w:lang w:eastAsia="ja-JP"/>
              </w:rPr>
              <w:t>STORM trial</w:t>
            </w:r>
            <w:r>
              <w:rPr>
                <w:lang w:eastAsia="ja-JP"/>
              </w:rPr>
              <w:t>) Key efficacy outcomes</w:t>
            </w:r>
            <w:r w:rsidR="00993D60" w:rsidRPr="00765D5D">
              <w:rPr>
                <w:lang w:eastAsia="ja-JP"/>
              </w:rPr>
              <w:t xml:space="preserve"> (n = 122)</w:t>
            </w:r>
          </w:p>
        </w:tc>
      </w:tr>
      <w:tr w:rsidR="00993D60" w:rsidRPr="00993D60" w14:paraId="70EBA965" w14:textId="77777777" w:rsidTr="00993D60">
        <w:trPr>
          <w:trHeight w:val="216"/>
        </w:trPr>
        <w:tc>
          <w:tcPr>
            <w:tcW w:w="5000" w:type="pct"/>
            <w:gridSpan w:val="2"/>
          </w:tcPr>
          <w:p w14:paraId="0AC634FE" w14:textId="77777777" w:rsidR="00993D60" w:rsidRPr="00765D5D" w:rsidRDefault="00993D60" w:rsidP="00765D5D">
            <w:pPr>
              <w:pStyle w:val="Tabletext"/>
              <w:rPr>
                <w:b/>
                <w:color w:val="12220E" w:themeColor="accent6" w:themeShade="80"/>
                <w:vertAlign w:val="superscript"/>
                <w:lang w:eastAsia="ja-JP"/>
              </w:rPr>
            </w:pPr>
            <w:r w:rsidRPr="00765D5D">
              <w:rPr>
                <w:b/>
                <w:color w:val="auto"/>
                <w:lang w:eastAsia="ja-JP"/>
              </w:rPr>
              <w:t>Overall Response Rate (Primary endpoint)</w:t>
            </w:r>
          </w:p>
        </w:tc>
      </w:tr>
      <w:tr w:rsidR="00993D60" w:rsidRPr="00993D60" w14:paraId="48079A1F" w14:textId="77777777" w:rsidTr="000B3827">
        <w:trPr>
          <w:trHeight w:val="1553"/>
        </w:trPr>
        <w:tc>
          <w:tcPr>
            <w:tcW w:w="3375" w:type="pct"/>
          </w:tcPr>
          <w:p w14:paraId="1BCE7F94" w14:textId="465AA78F" w:rsidR="00993D60" w:rsidRPr="00765D5D" w:rsidRDefault="0010285B" w:rsidP="00765D5D">
            <w:pPr>
              <w:pStyle w:val="Tabletext"/>
              <w:jc w:val="right"/>
              <w:rPr>
                <w:color w:val="auto"/>
                <w:lang w:eastAsia="ja-JP"/>
              </w:rPr>
            </w:pPr>
            <w:r>
              <w:rPr>
                <w:color w:val="auto"/>
                <w:lang w:eastAsia="ja-JP"/>
              </w:rPr>
              <w:t>Overall response rate</w:t>
            </w:r>
            <w:r w:rsidRPr="00765D5D">
              <w:rPr>
                <w:color w:val="auto"/>
                <w:lang w:eastAsia="ja-JP"/>
              </w:rPr>
              <w:t xml:space="preserve"> </w:t>
            </w:r>
            <w:r w:rsidR="00993D60" w:rsidRPr="00765D5D">
              <w:rPr>
                <w:color w:val="auto"/>
                <w:lang w:eastAsia="ja-JP"/>
              </w:rPr>
              <w:t>% (95% CI)</w:t>
            </w:r>
          </w:p>
          <w:p w14:paraId="5C011C38" w14:textId="70ED42A6" w:rsidR="00993D60" w:rsidRPr="00765D5D" w:rsidRDefault="0010285B" w:rsidP="00765D5D">
            <w:pPr>
              <w:pStyle w:val="Tabletext"/>
              <w:jc w:val="right"/>
              <w:rPr>
                <w:color w:val="auto"/>
                <w:lang w:eastAsia="ja-JP"/>
              </w:rPr>
            </w:pPr>
            <w:r>
              <w:rPr>
                <w:color w:val="auto"/>
                <w:lang w:eastAsia="ja-JP"/>
              </w:rPr>
              <w:t>Stringent complete responders</w:t>
            </w:r>
            <w:r w:rsidR="00993D60" w:rsidRPr="00765D5D">
              <w:rPr>
                <w:color w:val="auto"/>
                <w:lang w:eastAsia="ja-JP"/>
              </w:rPr>
              <w:t>/</w:t>
            </w:r>
            <w:r>
              <w:rPr>
                <w:color w:val="auto"/>
                <w:lang w:eastAsia="ja-JP"/>
              </w:rPr>
              <w:t>complete responders</w:t>
            </w:r>
            <w:r w:rsidR="00993D60" w:rsidRPr="00765D5D">
              <w:rPr>
                <w:color w:val="auto"/>
                <w:lang w:eastAsia="ja-JP"/>
              </w:rPr>
              <w:t>, n (%)</w:t>
            </w:r>
          </w:p>
          <w:p w14:paraId="31A466D0" w14:textId="5922CD9E" w:rsidR="00993D60" w:rsidRPr="00765D5D" w:rsidRDefault="0010285B" w:rsidP="00765D5D">
            <w:pPr>
              <w:pStyle w:val="Tabletext"/>
              <w:jc w:val="right"/>
              <w:rPr>
                <w:color w:val="auto"/>
                <w:lang w:eastAsia="ja-JP"/>
              </w:rPr>
            </w:pPr>
            <w:r>
              <w:rPr>
                <w:color w:val="auto"/>
                <w:lang w:eastAsia="ja-JP"/>
              </w:rPr>
              <w:t>Very good partial responders</w:t>
            </w:r>
            <w:r w:rsidR="00993D60" w:rsidRPr="00765D5D">
              <w:rPr>
                <w:color w:val="auto"/>
                <w:lang w:eastAsia="ja-JP"/>
              </w:rPr>
              <w:t>, n (%)</w:t>
            </w:r>
          </w:p>
          <w:p w14:paraId="0B090492" w14:textId="27371538" w:rsidR="00993D60" w:rsidRPr="00765D5D" w:rsidRDefault="0010285B" w:rsidP="00765D5D">
            <w:pPr>
              <w:pStyle w:val="Tabletext"/>
              <w:jc w:val="right"/>
              <w:rPr>
                <w:color w:val="auto"/>
                <w:lang w:eastAsia="ja-JP"/>
              </w:rPr>
            </w:pPr>
            <w:r>
              <w:rPr>
                <w:color w:val="auto"/>
                <w:lang w:eastAsia="ja-JP"/>
              </w:rPr>
              <w:t>Partial responders</w:t>
            </w:r>
            <w:r w:rsidR="00993D60" w:rsidRPr="00765D5D">
              <w:rPr>
                <w:color w:val="auto"/>
                <w:lang w:eastAsia="ja-JP"/>
              </w:rPr>
              <w:t>, n (%)</w:t>
            </w:r>
          </w:p>
          <w:p w14:paraId="740101B2" w14:textId="0735D1A0" w:rsidR="00993D60" w:rsidRPr="00765D5D" w:rsidRDefault="0010285B" w:rsidP="00765D5D">
            <w:pPr>
              <w:pStyle w:val="Tabletext"/>
              <w:jc w:val="right"/>
              <w:rPr>
                <w:color w:val="auto"/>
                <w:lang w:eastAsia="ja-JP"/>
              </w:rPr>
            </w:pPr>
            <w:r>
              <w:rPr>
                <w:color w:val="auto"/>
                <w:lang w:eastAsia="ja-JP"/>
              </w:rPr>
              <w:t>Minimal responders</w:t>
            </w:r>
            <w:r w:rsidR="00993D60" w:rsidRPr="00765D5D">
              <w:rPr>
                <w:color w:val="auto"/>
                <w:lang w:eastAsia="ja-JP"/>
              </w:rPr>
              <w:t>, n (%)</w:t>
            </w:r>
          </w:p>
          <w:p w14:paraId="65AAED64" w14:textId="36B79728" w:rsidR="00993D60" w:rsidRPr="00765D5D" w:rsidRDefault="0010285B" w:rsidP="00765D5D">
            <w:pPr>
              <w:pStyle w:val="Tabletext"/>
              <w:jc w:val="right"/>
              <w:rPr>
                <w:color w:val="auto"/>
                <w:lang w:eastAsia="ja-JP"/>
              </w:rPr>
            </w:pPr>
            <w:r>
              <w:rPr>
                <w:color w:val="auto"/>
                <w:lang w:eastAsia="ja-JP"/>
              </w:rPr>
              <w:t>Stable disease</w:t>
            </w:r>
            <w:r w:rsidR="00993D60" w:rsidRPr="00765D5D">
              <w:rPr>
                <w:color w:val="auto"/>
                <w:lang w:eastAsia="ja-JP"/>
              </w:rPr>
              <w:t xml:space="preserve"> n (%)</w:t>
            </w:r>
          </w:p>
          <w:p w14:paraId="69620C89" w14:textId="3C2E9D91" w:rsidR="00993D60" w:rsidRPr="00765D5D" w:rsidRDefault="0010285B" w:rsidP="00765D5D">
            <w:pPr>
              <w:pStyle w:val="Tabletext"/>
              <w:jc w:val="right"/>
              <w:rPr>
                <w:color w:val="auto"/>
                <w:lang w:eastAsia="ja-JP"/>
              </w:rPr>
            </w:pPr>
            <w:r>
              <w:rPr>
                <w:color w:val="auto"/>
                <w:lang w:eastAsia="ja-JP"/>
              </w:rPr>
              <w:t>Progressive disease/not evaluable</w:t>
            </w:r>
            <w:r w:rsidR="00993D60" w:rsidRPr="00765D5D">
              <w:rPr>
                <w:color w:val="auto"/>
                <w:lang w:eastAsia="ja-JP"/>
              </w:rPr>
              <w:t xml:space="preserve">, </w:t>
            </w:r>
            <w:proofErr w:type="gramStart"/>
            <w:r w:rsidR="00993D60" w:rsidRPr="00765D5D">
              <w:rPr>
                <w:color w:val="auto"/>
                <w:lang w:eastAsia="ja-JP"/>
              </w:rPr>
              <w:t>n(</w:t>
            </w:r>
            <w:proofErr w:type="gramEnd"/>
            <w:r w:rsidR="00993D60" w:rsidRPr="00765D5D">
              <w:rPr>
                <w:color w:val="auto"/>
                <w:lang w:eastAsia="ja-JP"/>
              </w:rPr>
              <w:t>%)</w:t>
            </w:r>
          </w:p>
        </w:tc>
        <w:tc>
          <w:tcPr>
            <w:tcW w:w="1625" w:type="pct"/>
          </w:tcPr>
          <w:p w14:paraId="7187E398" w14:textId="77777777" w:rsidR="00993D60" w:rsidRPr="00765D5D" w:rsidRDefault="00993D60" w:rsidP="00765D5D">
            <w:pPr>
              <w:pStyle w:val="Tabletext"/>
              <w:rPr>
                <w:color w:val="auto"/>
                <w:lang w:eastAsia="ja-JP"/>
              </w:rPr>
            </w:pPr>
            <w:r w:rsidRPr="00765D5D">
              <w:rPr>
                <w:color w:val="auto"/>
                <w:lang w:eastAsia="ja-JP"/>
              </w:rPr>
              <w:t>26.2% (18.7, 35.0)</w:t>
            </w:r>
          </w:p>
          <w:p w14:paraId="053339C8" w14:textId="77777777" w:rsidR="00993D60" w:rsidRPr="00765D5D" w:rsidRDefault="00993D60" w:rsidP="00765D5D">
            <w:pPr>
              <w:pStyle w:val="Tabletext"/>
              <w:rPr>
                <w:color w:val="auto"/>
                <w:lang w:eastAsia="ja-JP"/>
              </w:rPr>
            </w:pPr>
            <w:r w:rsidRPr="00765D5D">
              <w:rPr>
                <w:color w:val="auto"/>
                <w:lang w:eastAsia="ja-JP"/>
              </w:rPr>
              <w:t>2 (1.6%)</w:t>
            </w:r>
          </w:p>
          <w:p w14:paraId="193C4F01" w14:textId="77777777" w:rsidR="00993D60" w:rsidRPr="00765D5D" w:rsidRDefault="00993D60" w:rsidP="00765D5D">
            <w:pPr>
              <w:pStyle w:val="Tabletext"/>
              <w:rPr>
                <w:color w:val="auto"/>
                <w:lang w:eastAsia="ja-JP"/>
              </w:rPr>
            </w:pPr>
            <w:r w:rsidRPr="00765D5D">
              <w:rPr>
                <w:color w:val="auto"/>
                <w:lang w:eastAsia="ja-JP"/>
              </w:rPr>
              <w:t>6 (4.9%)</w:t>
            </w:r>
          </w:p>
          <w:p w14:paraId="39AF8652" w14:textId="77777777" w:rsidR="00993D60" w:rsidRPr="00765D5D" w:rsidRDefault="00993D60" w:rsidP="00765D5D">
            <w:pPr>
              <w:pStyle w:val="Tabletext"/>
              <w:rPr>
                <w:color w:val="auto"/>
                <w:lang w:eastAsia="ja-JP"/>
              </w:rPr>
            </w:pPr>
            <w:r w:rsidRPr="00765D5D">
              <w:rPr>
                <w:color w:val="auto"/>
                <w:lang w:eastAsia="ja-JP"/>
              </w:rPr>
              <w:t>24 (19.7%)</w:t>
            </w:r>
          </w:p>
          <w:p w14:paraId="1DC0D108" w14:textId="77777777" w:rsidR="00993D60" w:rsidRPr="00765D5D" w:rsidRDefault="00993D60" w:rsidP="00765D5D">
            <w:pPr>
              <w:pStyle w:val="Tabletext"/>
              <w:rPr>
                <w:color w:val="auto"/>
                <w:lang w:eastAsia="ja-JP"/>
              </w:rPr>
            </w:pPr>
            <w:r w:rsidRPr="00765D5D">
              <w:rPr>
                <w:color w:val="auto"/>
                <w:lang w:eastAsia="ja-JP"/>
              </w:rPr>
              <w:t>16 (13.1%)</w:t>
            </w:r>
          </w:p>
          <w:p w14:paraId="091FE033" w14:textId="77777777" w:rsidR="00993D60" w:rsidRPr="00765D5D" w:rsidRDefault="00993D60" w:rsidP="00765D5D">
            <w:pPr>
              <w:pStyle w:val="Tabletext"/>
              <w:rPr>
                <w:color w:val="auto"/>
                <w:lang w:eastAsia="ja-JP"/>
              </w:rPr>
            </w:pPr>
            <w:r w:rsidRPr="00765D5D">
              <w:rPr>
                <w:color w:val="auto"/>
                <w:lang w:eastAsia="ja-JP"/>
              </w:rPr>
              <w:t>48 (39.3%)</w:t>
            </w:r>
          </w:p>
          <w:p w14:paraId="26E8B229" w14:textId="77777777" w:rsidR="00993D60" w:rsidRPr="00765D5D" w:rsidRDefault="00993D60" w:rsidP="00765D5D">
            <w:pPr>
              <w:pStyle w:val="Tabletext"/>
              <w:rPr>
                <w:color w:val="auto"/>
                <w:lang w:eastAsia="ja-JP"/>
              </w:rPr>
            </w:pPr>
            <w:r w:rsidRPr="00765D5D">
              <w:rPr>
                <w:color w:val="auto"/>
                <w:lang w:eastAsia="ja-JP"/>
              </w:rPr>
              <w:t>26 (21.3%)</w:t>
            </w:r>
          </w:p>
        </w:tc>
      </w:tr>
      <w:tr w:rsidR="00993D60" w:rsidRPr="00993D60" w14:paraId="1C0C2BCE" w14:textId="77777777" w:rsidTr="00993D60">
        <w:trPr>
          <w:trHeight w:val="216"/>
        </w:trPr>
        <w:tc>
          <w:tcPr>
            <w:tcW w:w="5000" w:type="pct"/>
            <w:gridSpan w:val="2"/>
          </w:tcPr>
          <w:p w14:paraId="66B07F2F" w14:textId="0DCCC97A" w:rsidR="00993D60" w:rsidRPr="00765D5D" w:rsidRDefault="00993D60" w:rsidP="00765D5D">
            <w:pPr>
              <w:pStyle w:val="Tabletext"/>
              <w:rPr>
                <w:b/>
                <w:lang w:eastAsia="ja-JP"/>
              </w:rPr>
            </w:pPr>
            <w:r w:rsidRPr="00765D5D">
              <w:rPr>
                <w:b/>
                <w:color w:val="auto"/>
                <w:lang w:eastAsia="ja-JP"/>
              </w:rPr>
              <w:t xml:space="preserve">Progression </w:t>
            </w:r>
            <w:r w:rsidR="0010285B" w:rsidRPr="00765D5D">
              <w:rPr>
                <w:b/>
                <w:color w:val="auto"/>
                <w:lang w:eastAsia="ja-JP"/>
              </w:rPr>
              <w:t xml:space="preserve">free survival </w:t>
            </w:r>
            <w:r w:rsidRPr="00765D5D">
              <w:rPr>
                <w:b/>
                <w:color w:val="auto"/>
                <w:lang w:eastAsia="ja-JP"/>
              </w:rPr>
              <w:t xml:space="preserve">(PFS) </w:t>
            </w:r>
          </w:p>
        </w:tc>
      </w:tr>
      <w:tr w:rsidR="00993D60" w:rsidRPr="00993D60" w14:paraId="6CB250F8" w14:textId="77777777" w:rsidTr="000B3827">
        <w:trPr>
          <w:trHeight w:val="321"/>
        </w:trPr>
        <w:tc>
          <w:tcPr>
            <w:tcW w:w="3375" w:type="pct"/>
          </w:tcPr>
          <w:p w14:paraId="19F94FBC" w14:textId="77777777" w:rsidR="00993D60" w:rsidRPr="00765D5D" w:rsidRDefault="00993D60" w:rsidP="00765D5D">
            <w:pPr>
              <w:pStyle w:val="Tabletext"/>
              <w:jc w:val="right"/>
              <w:rPr>
                <w:color w:val="auto"/>
                <w:lang w:eastAsia="ja-JP"/>
              </w:rPr>
            </w:pPr>
            <w:r w:rsidRPr="00765D5D">
              <w:rPr>
                <w:color w:val="auto"/>
                <w:lang w:eastAsia="ja-JP"/>
              </w:rPr>
              <w:t>Median PFS, months (range)</w:t>
            </w:r>
          </w:p>
          <w:p w14:paraId="0C74A73B" w14:textId="0058517E" w:rsidR="00993D60" w:rsidRPr="00765D5D" w:rsidRDefault="00993D60" w:rsidP="00765D5D">
            <w:pPr>
              <w:pStyle w:val="Tabletext"/>
              <w:jc w:val="right"/>
              <w:rPr>
                <w:color w:val="auto"/>
                <w:lang w:eastAsia="ja-JP"/>
              </w:rPr>
            </w:pPr>
            <w:r w:rsidRPr="00765D5D">
              <w:rPr>
                <w:color w:val="auto"/>
                <w:lang w:eastAsia="ja-JP"/>
              </w:rPr>
              <w:t>Number of PFS events, n</w:t>
            </w:r>
            <w:r w:rsidR="0010285B">
              <w:rPr>
                <w:color w:val="auto"/>
                <w:lang w:eastAsia="ja-JP"/>
              </w:rPr>
              <w:t xml:space="preserve"> </w:t>
            </w:r>
            <w:r w:rsidRPr="00765D5D">
              <w:rPr>
                <w:color w:val="auto"/>
                <w:lang w:eastAsia="ja-JP"/>
              </w:rPr>
              <w:t>(%)</w:t>
            </w:r>
          </w:p>
        </w:tc>
        <w:tc>
          <w:tcPr>
            <w:tcW w:w="1625" w:type="pct"/>
          </w:tcPr>
          <w:p w14:paraId="7240444B" w14:textId="77777777" w:rsidR="00993D60" w:rsidRPr="00765D5D" w:rsidRDefault="00993D60" w:rsidP="00765D5D">
            <w:pPr>
              <w:pStyle w:val="Tabletext"/>
              <w:rPr>
                <w:color w:val="auto"/>
                <w:lang w:eastAsia="ja-JP"/>
              </w:rPr>
            </w:pPr>
            <w:r w:rsidRPr="00765D5D">
              <w:rPr>
                <w:color w:val="auto"/>
                <w:lang w:eastAsia="ja-JP"/>
              </w:rPr>
              <w:t>3.7 (2.8, 4.7)</w:t>
            </w:r>
          </w:p>
          <w:p w14:paraId="2688E47D" w14:textId="77777777" w:rsidR="00993D60" w:rsidRPr="00765D5D" w:rsidRDefault="00993D60" w:rsidP="00765D5D">
            <w:pPr>
              <w:pStyle w:val="Tabletext"/>
              <w:rPr>
                <w:color w:val="12220E" w:themeColor="accent6" w:themeShade="80"/>
                <w:lang w:eastAsia="ja-JP"/>
              </w:rPr>
            </w:pPr>
            <w:r w:rsidRPr="00765D5D">
              <w:rPr>
                <w:color w:val="auto"/>
                <w:lang w:eastAsia="ja-JP"/>
              </w:rPr>
              <w:t>51 (41.8%)</w:t>
            </w:r>
          </w:p>
        </w:tc>
      </w:tr>
      <w:tr w:rsidR="00993D60" w:rsidRPr="00993D60" w14:paraId="1B3F6BB4" w14:textId="77777777" w:rsidTr="00993D60">
        <w:trPr>
          <w:trHeight w:val="216"/>
        </w:trPr>
        <w:tc>
          <w:tcPr>
            <w:tcW w:w="5000" w:type="pct"/>
            <w:gridSpan w:val="2"/>
          </w:tcPr>
          <w:p w14:paraId="0FD937D4" w14:textId="45648602" w:rsidR="00993D60" w:rsidRPr="00765D5D" w:rsidRDefault="00993D60" w:rsidP="00765D5D">
            <w:pPr>
              <w:pStyle w:val="Tabletext"/>
              <w:rPr>
                <w:b/>
                <w:color w:val="12220E" w:themeColor="accent6" w:themeShade="80"/>
                <w:lang w:eastAsia="ja-JP"/>
              </w:rPr>
            </w:pPr>
            <w:r w:rsidRPr="00765D5D">
              <w:rPr>
                <w:b/>
                <w:color w:val="auto"/>
                <w:lang w:eastAsia="ja-JP"/>
              </w:rPr>
              <w:lastRenderedPageBreak/>
              <w:t>Overall survival</w:t>
            </w:r>
            <w:r w:rsidR="0010285B">
              <w:rPr>
                <w:b/>
                <w:color w:val="auto"/>
                <w:lang w:eastAsia="ja-JP"/>
              </w:rPr>
              <w:t xml:space="preserve"> (OS)</w:t>
            </w:r>
          </w:p>
        </w:tc>
      </w:tr>
      <w:tr w:rsidR="00993D60" w:rsidRPr="00993D60" w14:paraId="0DF6DB5E" w14:textId="77777777" w:rsidTr="000B3827">
        <w:trPr>
          <w:trHeight w:val="1107"/>
        </w:trPr>
        <w:tc>
          <w:tcPr>
            <w:tcW w:w="3375" w:type="pct"/>
          </w:tcPr>
          <w:p w14:paraId="6B1387E5" w14:textId="635F9AD1" w:rsidR="00993D60" w:rsidRPr="00765D5D" w:rsidRDefault="00993D60" w:rsidP="00765D5D">
            <w:pPr>
              <w:pStyle w:val="Tabletext"/>
              <w:jc w:val="right"/>
              <w:rPr>
                <w:color w:val="auto"/>
                <w:lang w:eastAsia="ja-JP"/>
              </w:rPr>
            </w:pPr>
            <w:r w:rsidRPr="00765D5D">
              <w:rPr>
                <w:color w:val="auto"/>
                <w:lang w:eastAsia="ja-JP"/>
              </w:rPr>
              <w:t xml:space="preserve">Median </w:t>
            </w:r>
            <w:r w:rsidR="0010285B">
              <w:rPr>
                <w:color w:val="auto"/>
                <w:lang w:eastAsia="ja-JP"/>
              </w:rPr>
              <w:t>OS</w:t>
            </w:r>
            <w:r w:rsidR="0010285B" w:rsidRPr="00765D5D">
              <w:rPr>
                <w:color w:val="auto"/>
                <w:lang w:eastAsia="ja-JP"/>
              </w:rPr>
              <w:t xml:space="preserve"> </w:t>
            </w:r>
            <w:r w:rsidRPr="00765D5D">
              <w:rPr>
                <w:color w:val="auto"/>
                <w:lang w:eastAsia="ja-JP"/>
              </w:rPr>
              <w:t>(months, 95% CI)) all Part 2 patients (n=122)</w:t>
            </w:r>
          </w:p>
          <w:p w14:paraId="67513C2C" w14:textId="65C32747" w:rsidR="00993D60" w:rsidRPr="00765D5D" w:rsidRDefault="00993D60" w:rsidP="00765D5D">
            <w:pPr>
              <w:pStyle w:val="Tabletext"/>
              <w:jc w:val="right"/>
              <w:rPr>
                <w:color w:val="auto"/>
                <w:lang w:eastAsia="ja-JP"/>
              </w:rPr>
            </w:pPr>
            <w:r w:rsidRPr="00765D5D">
              <w:rPr>
                <w:color w:val="auto"/>
                <w:lang w:eastAsia="ja-JP"/>
              </w:rPr>
              <w:t xml:space="preserve">Median OS patients with ≥ </w:t>
            </w:r>
            <w:r w:rsidR="0010285B">
              <w:rPr>
                <w:color w:val="auto"/>
                <w:lang w:eastAsia="ja-JP"/>
              </w:rPr>
              <w:t>partial response</w:t>
            </w:r>
            <w:r w:rsidR="0010285B" w:rsidRPr="00765D5D">
              <w:rPr>
                <w:color w:val="auto"/>
                <w:lang w:eastAsia="ja-JP"/>
              </w:rPr>
              <w:t xml:space="preserve"> </w:t>
            </w:r>
            <w:r w:rsidRPr="00765D5D">
              <w:rPr>
                <w:color w:val="auto"/>
                <w:lang w:eastAsia="ja-JP"/>
              </w:rPr>
              <w:t>(n=32)</w:t>
            </w:r>
          </w:p>
          <w:p w14:paraId="327E580D" w14:textId="0AC6C974" w:rsidR="00993D60" w:rsidRPr="00765D5D" w:rsidRDefault="00993D60" w:rsidP="00765D5D">
            <w:pPr>
              <w:pStyle w:val="Tabletext"/>
              <w:jc w:val="right"/>
              <w:rPr>
                <w:color w:val="auto"/>
                <w:lang w:eastAsia="ja-JP"/>
              </w:rPr>
            </w:pPr>
            <w:r w:rsidRPr="00765D5D">
              <w:rPr>
                <w:color w:val="auto"/>
                <w:lang w:eastAsia="ja-JP"/>
              </w:rPr>
              <w:t xml:space="preserve">Median OS in patients with ≥ </w:t>
            </w:r>
            <w:r w:rsidR="0010285B">
              <w:rPr>
                <w:color w:val="auto"/>
                <w:lang w:eastAsia="ja-JP"/>
              </w:rPr>
              <w:t>minimal response</w:t>
            </w:r>
            <w:r w:rsidRPr="00765D5D">
              <w:rPr>
                <w:color w:val="auto"/>
                <w:lang w:eastAsia="ja-JP"/>
              </w:rPr>
              <w:t xml:space="preserve"> (n=48)</w:t>
            </w:r>
          </w:p>
          <w:p w14:paraId="3404AC10" w14:textId="072B27E2" w:rsidR="00993D60" w:rsidRPr="00765D5D" w:rsidRDefault="00993D60" w:rsidP="00765D5D">
            <w:pPr>
              <w:pStyle w:val="Tabletext"/>
              <w:jc w:val="right"/>
              <w:rPr>
                <w:color w:val="auto"/>
                <w:lang w:eastAsia="ja-JP"/>
              </w:rPr>
            </w:pPr>
            <w:r w:rsidRPr="00765D5D">
              <w:rPr>
                <w:color w:val="auto"/>
                <w:lang w:eastAsia="ja-JP"/>
              </w:rPr>
              <w:t xml:space="preserve">Median OS best response of </w:t>
            </w:r>
            <w:r w:rsidR="0010285B">
              <w:rPr>
                <w:color w:val="auto"/>
                <w:lang w:eastAsia="ja-JP"/>
              </w:rPr>
              <w:t>stable disease</w:t>
            </w:r>
            <w:r w:rsidR="0010285B" w:rsidRPr="00765D5D">
              <w:rPr>
                <w:color w:val="auto"/>
                <w:lang w:eastAsia="ja-JP"/>
              </w:rPr>
              <w:t xml:space="preserve"> </w:t>
            </w:r>
            <w:r w:rsidRPr="00765D5D">
              <w:rPr>
                <w:color w:val="auto"/>
                <w:lang w:eastAsia="ja-JP"/>
              </w:rPr>
              <w:t>(N=48)</w:t>
            </w:r>
          </w:p>
          <w:p w14:paraId="3249A446" w14:textId="79E44F93" w:rsidR="00993D60" w:rsidRPr="00765D5D" w:rsidRDefault="00993D60" w:rsidP="00765D5D">
            <w:pPr>
              <w:pStyle w:val="Tabletext"/>
              <w:jc w:val="right"/>
              <w:rPr>
                <w:color w:val="auto"/>
                <w:lang w:eastAsia="ja-JP"/>
              </w:rPr>
            </w:pPr>
            <w:r w:rsidRPr="00765D5D">
              <w:rPr>
                <w:color w:val="auto"/>
                <w:lang w:eastAsia="ja-JP"/>
              </w:rPr>
              <w:t xml:space="preserve">Median OS </w:t>
            </w:r>
            <w:r w:rsidR="0010285B">
              <w:rPr>
                <w:color w:val="auto"/>
                <w:lang w:eastAsia="ja-JP"/>
              </w:rPr>
              <w:t>progressive disease</w:t>
            </w:r>
            <w:r w:rsidRPr="00765D5D">
              <w:rPr>
                <w:color w:val="auto"/>
                <w:lang w:eastAsia="ja-JP"/>
              </w:rPr>
              <w:t xml:space="preserve"> or </w:t>
            </w:r>
            <w:r w:rsidR="0010285B">
              <w:rPr>
                <w:color w:val="auto"/>
                <w:lang w:eastAsia="ja-JP"/>
              </w:rPr>
              <w:t>non-evaluable</w:t>
            </w:r>
          </w:p>
        </w:tc>
        <w:tc>
          <w:tcPr>
            <w:tcW w:w="1625" w:type="pct"/>
          </w:tcPr>
          <w:p w14:paraId="4E2FEFB0" w14:textId="77777777" w:rsidR="00993D60" w:rsidRPr="00765D5D" w:rsidRDefault="00993D60" w:rsidP="00765D5D">
            <w:pPr>
              <w:pStyle w:val="Tabletext"/>
              <w:rPr>
                <w:color w:val="auto"/>
                <w:lang w:eastAsia="ja-JP"/>
              </w:rPr>
            </w:pPr>
            <w:r w:rsidRPr="00765D5D">
              <w:rPr>
                <w:color w:val="auto"/>
                <w:lang w:eastAsia="ja-JP"/>
              </w:rPr>
              <w:t>8.4 (6.2, 11.2)</w:t>
            </w:r>
          </w:p>
          <w:p w14:paraId="200B201C" w14:textId="77777777" w:rsidR="00993D60" w:rsidRPr="00765D5D" w:rsidRDefault="00993D60" w:rsidP="00765D5D">
            <w:pPr>
              <w:pStyle w:val="Tabletext"/>
              <w:rPr>
                <w:color w:val="auto"/>
                <w:lang w:eastAsia="ja-JP"/>
              </w:rPr>
            </w:pPr>
            <w:r w:rsidRPr="00765D5D">
              <w:rPr>
                <w:color w:val="auto"/>
                <w:lang w:eastAsia="ja-JP"/>
              </w:rPr>
              <w:t>NE (15.6, NE)</w:t>
            </w:r>
          </w:p>
          <w:p w14:paraId="65DB9E99" w14:textId="77777777" w:rsidR="00993D60" w:rsidRPr="00765D5D" w:rsidRDefault="00993D60" w:rsidP="00765D5D">
            <w:pPr>
              <w:pStyle w:val="Tabletext"/>
              <w:rPr>
                <w:color w:val="auto"/>
                <w:lang w:eastAsia="ja-JP"/>
              </w:rPr>
            </w:pPr>
            <w:r w:rsidRPr="00765D5D">
              <w:rPr>
                <w:color w:val="auto"/>
                <w:lang w:eastAsia="ja-JP"/>
              </w:rPr>
              <w:t>NE (12.9, NE)</w:t>
            </w:r>
          </w:p>
          <w:p w14:paraId="356037E9" w14:textId="77777777" w:rsidR="00993D60" w:rsidRPr="00765D5D" w:rsidRDefault="00993D60" w:rsidP="00765D5D">
            <w:pPr>
              <w:pStyle w:val="Tabletext"/>
              <w:rPr>
                <w:color w:val="auto"/>
                <w:lang w:eastAsia="ja-JP"/>
              </w:rPr>
            </w:pPr>
            <w:r w:rsidRPr="00765D5D">
              <w:rPr>
                <w:color w:val="auto"/>
                <w:lang w:eastAsia="ja-JP"/>
              </w:rPr>
              <w:t>6.3 (4.3, 10.0)</w:t>
            </w:r>
          </w:p>
          <w:p w14:paraId="474DC7CD" w14:textId="77777777" w:rsidR="00993D60" w:rsidRPr="00765D5D" w:rsidRDefault="00993D60" w:rsidP="00765D5D">
            <w:pPr>
              <w:pStyle w:val="Tabletext"/>
              <w:rPr>
                <w:color w:val="12220E" w:themeColor="accent6" w:themeShade="80"/>
                <w:lang w:eastAsia="ja-JP"/>
              </w:rPr>
            </w:pPr>
            <w:r w:rsidRPr="00765D5D">
              <w:rPr>
                <w:color w:val="auto"/>
                <w:lang w:eastAsia="ja-JP"/>
              </w:rPr>
              <w:t>1.7 (1.2, 9.9)</w:t>
            </w:r>
          </w:p>
        </w:tc>
      </w:tr>
    </w:tbl>
    <w:p w14:paraId="5EF21E3C" w14:textId="77777777" w:rsidR="00993D60" w:rsidRDefault="00993D60" w:rsidP="00993D60">
      <w:r>
        <w:t>Other secondary endpoint results:</w:t>
      </w:r>
    </w:p>
    <w:p w14:paraId="097ED504" w14:textId="46CDA493" w:rsidR="00993D60" w:rsidRDefault="00993D60" w:rsidP="00993D60">
      <w:pPr>
        <w:pStyle w:val="ListBullet"/>
      </w:pPr>
      <w:r>
        <w:t xml:space="preserve">Median </w:t>
      </w:r>
      <w:r w:rsidR="0010285B">
        <w:t xml:space="preserve">duration of response </w:t>
      </w:r>
      <w:r>
        <w:t>(</w:t>
      </w:r>
      <w:r w:rsidR="0010285B">
        <w:t xml:space="preserve">by </w:t>
      </w:r>
      <w:r>
        <w:t>IRC) in penta-exposed, triple-class refractory multiple myeloma patients with a response (n</w:t>
      </w:r>
      <w:r w:rsidR="00E63A3A">
        <w:t xml:space="preserve"> </w:t>
      </w:r>
      <w:r>
        <w:t>=</w:t>
      </w:r>
      <w:r w:rsidR="00E63A3A">
        <w:t xml:space="preserve"> </w:t>
      </w:r>
      <w:r>
        <w:t>31), the median duration of response: 4.4 months (95% CI: 3.7, 10.8).</w:t>
      </w:r>
    </w:p>
    <w:p w14:paraId="61BEBF89" w14:textId="5A2F8413" w:rsidR="00993D60" w:rsidRDefault="0010285B" w:rsidP="00993D60">
      <w:pPr>
        <w:pStyle w:val="ListBullet"/>
      </w:pPr>
      <w:r>
        <w:t>C</w:t>
      </w:r>
      <w:r w:rsidR="00993D60" w:rsidRPr="00993D60">
        <w:t>linical benefit ratio</w:t>
      </w:r>
      <w:r w:rsidR="00993D60">
        <w:t>: 39.3% (95% CI: 30.6, 48.6), consistent across the subgroups (36.6% to 38.5%).</w:t>
      </w:r>
    </w:p>
    <w:p w14:paraId="6DC6D6BD" w14:textId="6BEAC396" w:rsidR="00993D60" w:rsidRDefault="0010285B" w:rsidP="00993D60">
      <w:pPr>
        <w:pStyle w:val="ListBullet"/>
      </w:pPr>
      <w:r>
        <w:t>D</w:t>
      </w:r>
      <w:r w:rsidR="00993D60" w:rsidRPr="00993D60">
        <w:t>uration of clinical benefit</w:t>
      </w:r>
      <w:r w:rsidR="00993D60">
        <w:t xml:space="preserve"> (</w:t>
      </w:r>
      <w:proofErr w:type="spellStart"/>
      <w:r w:rsidR="00993D60">
        <w:t>mITT</w:t>
      </w:r>
      <w:proofErr w:type="spellEnd"/>
      <w:r w:rsidR="00993D60">
        <w:t>): 44.3% (95% CI: 35.3, 53.5).</w:t>
      </w:r>
    </w:p>
    <w:p w14:paraId="0029070D" w14:textId="6DD24846" w:rsidR="00993D60" w:rsidRDefault="00993D60" w:rsidP="00993D60">
      <w:pPr>
        <w:pStyle w:val="ListBullet"/>
      </w:pPr>
      <w:r>
        <w:t xml:space="preserve">Median </w:t>
      </w:r>
      <w:r w:rsidRPr="00993D60">
        <w:t>duration of clinical benefit</w:t>
      </w:r>
      <w:r>
        <w:t xml:space="preserve"> (</w:t>
      </w:r>
      <w:r w:rsidR="0010285B">
        <w:t xml:space="preserve">by </w:t>
      </w:r>
      <w:r>
        <w:t xml:space="preserve">IRC) in penta-exposed, triple-class refractory </w:t>
      </w:r>
      <w:r w:rsidR="00E63A3A">
        <w:t>multiple myeloma</w:t>
      </w:r>
      <w:r>
        <w:t>: 3.8 months (95% CI: 3.2, 10.9).</w:t>
      </w:r>
    </w:p>
    <w:p w14:paraId="410030E6" w14:textId="18AB34B5" w:rsidR="00993D60" w:rsidRDefault="00993D60" w:rsidP="00993D60">
      <w:pPr>
        <w:pStyle w:val="ListBullet"/>
      </w:pPr>
      <w:r>
        <w:t xml:space="preserve">Median </w:t>
      </w:r>
      <w:r w:rsidRPr="00993D60">
        <w:t>time to progression</w:t>
      </w:r>
      <w:r>
        <w:t xml:space="preserve"> (IRC): 4.1 months (95% CI: 3.0, 6.2).</w:t>
      </w:r>
    </w:p>
    <w:p w14:paraId="3F60C3B8" w14:textId="155618DE" w:rsidR="00993D60" w:rsidRDefault="00993D60" w:rsidP="00993D60">
      <w:pPr>
        <w:pStyle w:val="ListBullet"/>
      </w:pPr>
      <w:r>
        <w:t xml:space="preserve">Median time to next treatment from first dose of </w:t>
      </w:r>
      <w:proofErr w:type="spellStart"/>
      <w:r w:rsidR="0010285B">
        <w:t>selinexor</w:t>
      </w:r>
      <w:proofErr w:type="spellEnd"/>
      <w:r w:rsidR="0010285B">
        <w:t xml:space="preserve"> + </w:t>
      </w:r>
      <w:r w:rsidR="00DF40B9">
        <w:t>dexamethasone</w:t>
      </w:r>
      <w:r>
        <w:t>: 3.2</w:t>
      </w:r>
      <w:r w:rsidR="002F037D">
        <w:t> </w:t>
      </w:r>
      <w:r>
        <w:t>months (95% CI: 2.6, 3.8).</w:t>
      </w:r>
    </w:p>
    <w:p w14:paraId="7E413BBD" w14:textId="10E730C6" w:rsidR="00993D60" w:rsidRDefault="00993D60" w:rsidP="00993D60">
      <w:r>
        <w:t>The estimated 6</w:t>
      </w:r>
      <w:r w:rsidR="00E63A3A">
        <w:t xml:space="preserve"> </w:t>
      </w:r>
      <w:r>
        <w:t xml:space="preserve">month and 12 months survival overall for patients was 60.7% and 37.7%, respectively. For responders with </w:t>
      </w:r>
      <w:r w:rsidR="00DF40B9">
        <w:t xml:space="preserve">partial response </w:t>
      </w:r>
      <w:r>
        <w:t>or better, the estimated 6</w:t>
      </w:r>
      <w:r w:rsidR="00E63A3A">
        <w:t xml:space="preserve"> </w:t>
      </w:r>
      <w:r>
        <w:t xml:space="preserve">month and </w:t>
      </w:r>
      <w:proofErr w:type="gramStart"/>
      <w:r>
        <w:t>12</w:t>
      </w:r>
      <w:r w:rsidR="00E63A3A">
        <w:t xml:space="preserve"> </w:t>
      </w:r>
      <w:r>
        <w:t>month</w:t>
      </w:r>
      <w:proofErr w:type="gramEnd"/>
      <w:r>
        <w:t xml:space="preserve"> overall survival was 90.3% and 72.2%, respectively. For responders with </w:t>
      </w:r>
      <w:r w:rsidR="00DF40B9">
        <w:t xml:space="preserve">minimal response </w:t>
      </w:r>
      <w:r>
        <w:t>or better, the estimated 6</w:t>
      </w:r>
      <w:r w:rsidR="00E63A3A">
        <w:t xml:space="preserve"> </w:t>
      </w:r>
      <w:r>
        <w:t xml:space="preserve">month and </w:t>
      </w:r>
      <w:proofErr w:type="gramStart"/>
      <w:r>
        <w:t>12</w:t>
      </w:r>
      <w:r w:rsidR="00E63A3A">
        <w:t xml:space="preserve"> </w:t>
      </w:r>
      <w:r>
        <w:t>month</w:t>
      </w:r>
      <w:proofErr w:type="gramEnd"/>
      <w:r>
        <w:t xml:space="preserve"> overall survival was 84.9% and 66.1%, respectively. For patients with a best response of </w:t>
      </w:r>
      <w:r w:rsidR="00E63A3A">
        <w:t>stable disease</w:t>
      </w:r>
      <w:r>
        <w:t>, the estimated 6</w:t>
      </w:r>
      <w:r w:rsidR="00E63A3A">
        <w:t xml:space="preserve"> </w:t>
      </w:r>
      <w:r>
        <w:t xml:space="preserve">month and </w:t>
      </w:r>
      <w:proofErr w:type="gramStart"/>
      <w:r>
        <w:t>12</w:t>
      </w:r>
      <w:r w:rsidR="00E63A3A">
        <w:t xml:space="preserve"> </w:t>
      </w:r>
      <w:r>
        <w:t>month</w:t>
      </w:r>
      <w:proofErr w:type="gramEnd"/>
      <w:r>
        <w:t xml:space="preserve"> overall survival was 51.2% and 20.9%, respectively. For patients with </w:t>
      </w:r>
      <w:r w:rsidR="00E63A3A">
        <w:t>progressive disease</w:t>
      </w:r>
      <w:r>
        <w:t xml:space="preserve"> or </w:t>
      </w:r>
      <w:r w:rsidR="00E63A3A">
        <w:t>not evaluable</w:t>
      </w:r>
      <w:r>
        <w:t>, the estimated 6</w:t>
      </w:r>
      <w:r w:rsidR="00E63A3A">
        <w:t xml:space="preserve"> </w:t>
      </w:r>
      <w:r>
        <w:t xml:space="preserve">month and </w:t>
      </w:r>
      <w:proofErr w:type="gramStart"/>
      <w:r>
        <w:t>12</w:t>
      </w:r>
      <w:r w:rsidR="00E63A3A">
        <w:t xml:space="preserve"> </w:t>
      </w:r>
      <w:r>
        <w:t>month</w:t>
      </w:r>
      <w:proofErr w:type="gramEnd"/>
      <w:r>
        <w:t xml:space="preserve"> overall survival was 32.6% and 16.3%, respectively.</w:t>
      </w:r>
    </w:p>
    <w:p w14:paraId="279DAFF5" w14:textId="7F99CD2A" w:rsidR="00993D60" w:rsidRDefault="00993D60" w:rsidP="00993D60">
      <w:r>
        <w:t xml:space="preserve">Additional analyses were conducted by refractoriness to specific agents. The </w:t>
      </w:r>
      <w:r w:rsidR="00E63A3A" w:rsidRPr="00E63A3A">
        <w:t xml:space="preserve">bortezomib, carfilzomib, lenalidomide, pomalidomide and daratumumab </w:t>
      </w:r>
      <w:r w:rsidR="00E63A3A">
        <w:t>(</w:t>
      </w:r>
      <w:r>
        <w:t>BCLPD</w:t>
      </w:r>
      <w:r w:rsidR="00E63A3A">
        <w:t>)</w:t>
      </w:r>
      <w:r w:rsidR="00DF40B9">
        <w:t xml:space="preserve"> treated</w:t>
      </w:r>
      <w:r>
        <w:t xml:space="preserve"> group comprised the 83 patients who were refractory to </w:t>
      </w:r>
      <w:r w:rsidR="00E63A3A">
        <w:t>BCLPD</w:t>
      </w:r>
      <w:r>
        <w:t xml:space="preserve">. In this group the results were: </w:t>
      </w:r>
      <w:r w:rsidR="00E63A3A">
        <w:t xml:space="preserve">overall response rate of </w:t>
      </w:r>
      <w:r>
        <w:t xml:space="preserve">25.3% (95% CI:16.4, 36.0), </w:t>
      </w:r>
      <w:r w:rsidR="00E63A3A" w:rsidRPr="00E63A3A">
        <w:t>clinical benefit ratio</w:t>
      </w:r>
      <w:r w:rsidR="00E63A3A">
        <w:t xml:space="preserve"> of</w:t>
      </w:r>
      <w:r>
        <w:t xml:space="preserve"> 37.3% (95% CI: 27.0, 48.7%), median </w:t>
      </w:r>
      <w:r w:rsidR="00E63A3A">
        <w:t>duration of response of</w:t>
      </w:r>
      <w:r>
        <w:t xml:space="preserve"> 3.8 (3.7, 10.8) months.</w:t>
      </w:r>
    </w:p>
    <w:p w14:paraId="67740BDD" w14:textId="06C383A4" w:rsidR="00993D60" w:rsidRDefault="00993D60" w:rsidP="00993D60">
      <w:r>
        <w:t xml:space="preserve">In the </w:t>
      </w:r>
      <w:proofErr w:type="gramStart"/>
      <w:r w:rsidR="00E63A3A">
        <w:t>q</w:t>
      </w:r>
      <w:r>
        <w:t>uality of life</w:t>
      </w:r>
      <w:proofErr w:type="gramEnd"/>
      <w:r>
        <w:t xml:space="preserve"> assessment using the FACT-MM questionnaire treatment with </w:t>
      </w:r>
      <w:proofErr w:type="spellStart"/>
      <w:r w:rsidR="00DF40B9">
        <w:t>selinexor</w:t>
      </w:r>
      <w:proofErr w:type="spellEnd"/>
      <w:r w:rsidR="00DF40B9">
        <w:t xml:space="preserve"> + dexamethasone </w:t>
      </w:r>
      <w:r>
        <w:t xml:space="preserve">led to median decreases (-4 to -25) from </w:t>
      </w:r>
      <w:r w:rsidR="00E63A3A">
        <w:t>B</w:t>
      </w:r>
      <w:r>
        <w:t>aseline in the FACT</w:t>
      </w:r>
      <w:r w:rsidR="00DF40B9">
        <w:noBreakHyphen/>
      </w:r>
      <w:r>
        <w:t xml:space="preserve">MM </w:t>
      </w:r>
      <w:r w:rsidR="00E63A3A">
        <w:t>t</w:t>
      </w:r>
      <w:r>
        <w:t xml:space="preserve">otal </w:t>
      </w:r>
      <w:r w:rsidR="00E63A3A">
        <w:t>t</w:t>
      </w:r>
      <w:r>
        <w:t xml:space="preserve">rial </w:t>
      </w:r>
      <w:r w:rsidR="00E63A3A">
        <w:t>o</w:t>
      </w:r>
      <w:r>
        <w:t xml:space="preserve">utcomes </w:t>
      </w:r>
      <w:r w:rsidR="00E63A3A">
        <w:t>i</w:t>
      </w:r>
      <w:r>
        <w:t xml:space="preserve">ndex </w:t>
      </w:r>
      <w:r w:rsidR="00E63A3A">
        <w:t>s</w:t>
      </w:r>
      <w:r>
        <w:t>core starting as early as Cycle 2 and continuing through Cycle 8.</w:t>
      </w:r>
    </w:p>
    <w:p w14:paraId="30F09E8A" w14:textId="65B13C6C" w:rsidR="00993D60" w:rsidRDefault="00993D60" w:rsidP="00993D60">
      <w:r>
        <w:t xml:space="preserve">Study KCP-330-00, a </w:t>
      </w:r>
      <w:r w:rsidR="00E63A3A">
        <w:t>P</w:t>
      </w:r>
      <w:r>
        <w:t xml:space="preserve">hase </w:t>
      </w:r>
      <w:r w:rsidR="004B4871">
        <w:t>I</w:t>
      </w:r>
      <w:r>
        <w:t xml:space="preserve"> study that included patients with symptomatic disease to ≥</w:t>
      </w:r>
      <w:r w:rsidR="00DF40B9">
        <w:t> </w:t>
      </w:r>
      <w:r>
        <w:t>3</w:t>
      </w:r>
      <w:r w:rsidR="00DF40B9">
        <w:t> </w:t>
      </w:r>
      <w:r>
        <w:t xml:space="preserve">prior regimens that included at least an alkylating agent, an </w:t>
      </w:r>
      <w:proofErr w:type="spellStart"/>
      <w:r>
        <w:t>IMiD</w:t>
      </w:r>
      <w:proofErr w:type="spellEnd"/>
      <w:r>
        <w:t xml:space="preserve">, a </w:t>
      </w:r>
      <w:r w:rsidR="00DF40B9">
        <w:t xml:space="preserve">proteasome inhibitor </w:t>
      </w:r>
      <w:r>
        <w:t xml:space="preserve">and a steroid contributed data from 12 </w:t>
      </w:r>
      <w:r w:rsidR="00E63A3A">
        <w:t>multiple myeloma</w:t>
      </w:r>
      <w:r>
        <w:t xml:space="preserve"> patients to the efficacy evidence. </w:t>
      </w:r>
      <w:r w:rsidR="00E63A3A">
        <w:t>Overall response rate</w:t>
      </w:r>
      <w:r>
        <w:t xml:space="preserve"> was 50% (95% CI: 21%, 79%), including </w:t>
      </w:r>
      <w:r w:rsidR="00E63A3A">
        <w:t>one</w:t>
      </w:r>
      <w:r>
        <w:t xml:space="preserve"> patient with a </w:t>
      </w:r>
      <w:r w:rsidR="00DF40B9">
        <w:t>stringent complete, or complete response</w:t>
      </w:r>
      <w:r>
        <w:t xml:space="preserve"> and </w:t>
      </w:r>
      <w:r w:rsidR="00E63A3A">
        <w:t>five</w:t>
      </w:r>
      <w:r>
        <w:t xml:space="preserve"> patients with a </w:t>
      </w:r>
      <w:r w:rsidR="00DF40B9">
        <w:t>partial response</w:t>
      </w:r>
      <w:r>
        <w:t xml:space="preserve">. The median </w:t>
      </w:r>
      <w:r w:rsidR="00DF40B9">
        <w:t xml:space="preserve">duration of response </w:t>
      </w:r>
      <w:r>
        <w:t xml:space="preserve">was 180 days and median </w:t>
      </w:r>
      <w:r w:rsidR="00DF40B9">
        <w:t xml:space="preserve">progression-free survival </w:t>
      </w:r>
      <w:r>
        <w:t>was 232</w:t>
      </w:r>
      <w:r w:rsidR="00DF40B9">
        <w:t> </w:t>
      </w:r>
      <w:r>
        <w:t>days.</w:t>
      </w:r>
    </w:p>
    <w:p w14:paraId="64F22978" w14:textId="34542A16" w:rsidR="00E63A3A" w:rsidRDefault="00E63A3A" w:rsidP="00E63A3A">
      <w:pPr>
        <w:pStyle w:val="Heading5"/>
      </w:pPr>
      <w:r>
        <w:lastRenderedPageBreak/>
        <w:t>Safety</w:t>
      </w:r>
    </w:p>
    <w:p w14:paraId="1BDF5E78" w14:textId="4FEA1BF9" w:rsidR="00E63A3A" w:rsidRDefault="00E63A3A" w:rsidP="00E63A3A">
      <w:r>
        <w:t>The median duration of study treatment (</w:t>
      </w:r>
      <w:proofErr w:type="spellStart"/>
      <w:r>
        <w:t>selinexor</w:t>
      </w:r>
      <w:proofErr w:type="spellEnd"/>
      <w:r>
        <w:t xml:space="preserve"> plus dexamethasone) was 9 weeks, with 57.7% of patients receiving </w:t>
      </w:r>
      <w:proofErr w:type="spellStart"/>
      <w:r>
        <w:t>selinexor</w:t>
      </w:r>
      <w:proofErr w:type="spellEnd"/>
      <w:r>
        <w:t xml:space="preserve"> ≥ 8 weeks, and 37.4% of patients receiving </w:t>
      </w:r>
      <w:proofErr w:type="spellStart"/>
      <w:r>
        <w:t>selinexor</w:t>
      </w:r>
      <w:proofErr w:type="spellEnd"/>
      <w:r>
        <w:t xml:space="preserve"> ≥ 12 weeks. The median total dose of </w:t>
      </w:r>
      <w:proofErr w:type="spellStart"/>
      <w:r>
        <w:t>selinexor</w:t>
      </w:r>
      <w:proofErr w:type="spellEnd"/>
      <w:r>
        <w:t xml:space="preserve"> received was 920 mg (range: 160 to 6220), with a median of 113.6 mg (range: 22 to 240) received per week (</w:t>
      </w:r>
      <w:r>
        <w:fldChar w:fldCharType="begin"/>
      </w:r>
      <w:r>
        <w:instrText xml:space="preserve"> REF _Ref111631356 \h </w:instrText>
      </w:r>
      <w:r>
        <w:fldChar w:fldCharType="separate"/>
      </w:r>
      <w:r w:rsidR="003F6139" w:rsidRPr="00E63A3A">
        <w:t xml:space="preserve">Table </w:t>
      </w:r>
      <w:r w:rsidR="003F6139">
        <w:rPr>
          <w:noProof/>
        </w:rPr>
        <w:t>10</w:t>
      </w:r>
      <w:r>
        <w:fldChar w:fldCharType="end"/>
      </w:r>
      <w:r>
        <w:t>).</w:t>
      </w:r>
    </w:p>
    <w:p w14:paraId="1C65AA62" w14:textId="2933F0E2" w:rsidR="00E63A3A" w:rsidRDefault="00E63A3A" w:rsidP="00E63A3A">
      <w:pPr>
        <w:pStyle w:val="TableTitle"/>
      </w:pPr>
      <w:bookmarkStart w:id="50" w:name="_Ref111631356"/>
      <w:r w:rsidRPr="00E63A3A">
        <w:t xml:space="preserve">Table </w:t>
      </w:r>
      <w:r w:rsidR="006737A0">
        <w:fldChar w:fldCharType="begin"/>
      </w:r>
      <w:r w:rsidR="006737A0">
        <w:instrText xml:space="preserve"> SEQ Table \* ARABIC </w:instrText>
      </w:r>
      <w:r w:rsidR="006737A0">
        <w:fldChar w:fldCharType="separate"/>
      </w:r>
      <w:r w:rsidR="00BB2836">
        <w:rPr>
          <w:noProof/>
        </w:rPr>
        <w:t>10</w:t>
      </w:r>
      <w:r w:rsidR="006737A0">
        <w:rPr>
          <w:noProof/>
        </w:rPr>
        <w:fldChar w:fldCharType="end"/>
      </w:r>
      <w:bookmarkEnd w:id="50"/>
      <w:r>
        <w:t xml:space="preserve">: </w:t>
      </w:r>
      <w:r w:rsidR="00DF40B9">
        <w:t xml:space="preserve">Study KCP-330-012 </w:t>
      </w:r>
      <w:r>
        <w:t>Summary of key safety finding</w:t>
      </w:r>
    </w:p>
    <w:tbl>
      <w:tblPr>
        <w:tblStyle w:val="TableTGAblue"/>
        <w:tblW w:w="6653" w:type="dxa"/>
        <w:tblLook w:val="04A0" w:firstRow="1" w:lastRow="0" w:firstColumn="1" w:lastColumn="0" w:noHBand="0" w:noVBand="1"/>
      </w:tblPr>
      <w:tblGrid>
        <w:gridCol w:w="3804"/>
        <w:gridCol w:w="2849"/>
      </w:tblGrid>
      <w:tr w:rsidR="00DF40B9" w:rsidRPr="00B21C5E" w14:paraId="67F20DB6" w14:textId="77777777" w:rsidTr="00DF40B9">
        <w:trPr>
          <w:cnfStyle w:val="100000000000" w:firstRow="1" w:lastRow="0" w:firstColumn="0" w:lastColumn="0" w:oddVBand="0" w:evenVBand="0" w:oddHBand="0" w:evenHBand="0" w:firstRowFirstColumn="0" w:firstRowLastColumn="0" w:lastRowFirstColumn="0" w:lastRowLastColumn="0"/>
          <w:trHeight w:val="54"/>
        </w:trPr>
        <w:tc>
          <w:tcPr>
            <w:tcW w:w="6653" w:type="dxa"/>
            <w:gridSpan w:val="2"/>
          </w:tcPr>
          <w:p w14:paraId="4D76F717" w14:textId="5B67FAC3" w:rsidR="00DF40B9" w:rsidRPr="00A5291E" w:rsidRDefault="00DF40B9">
            <w:pPr>
              <w:pStyle w:val="Tabletext"/>
              <w:jc w:val="center"/>
            </w:pPr>
            <w:r>
              <w:rPr>
                <w:bCs/>
                <w:lang w:eastAsia="ja-JP"/>
              </w:rPr>
              <w:t>Study KCP-330-012 (</w:t>
            </w:r>
            <w:r w:rsidRPr="00E63A3A">
              <w:rPr>
                <w:bCs/>
                <w:lang w:eastAsia="ja-JP"/>
              </w:rPr>
              <w:t>STORM</w:t>
            </w:r>
            <w:r>
              <w:rPr>
                <w:bCs/>
                <w:lang w:eastAsia="ja-JP"/>
              </w:rPr>
              <w:t xml:space="preserve"> trial) Summary of safety </w:t>
            </w:r>
            <w:r w:rsidRPr="00E63A3A">
              <w:rPr>
                <w:bCs/>
                <w:lang w:eastAsia="ja-JP"/>
              </w:rPr>
              <w:t>(n</w:t>
            </w:r>
            <w:r>
              <w:rPr>
                <w:bCs/>
                <w:lang w:eastAsia="ja-JP"/>
              </w:rPr>
              <w:t xml:space="preserve"> </w:t>
            </w:r>
            <w:r w:rsidRPr="00E63A3A">
              <w:rPr>
                <w:bCs/>
                <w:lang w:eastAsia="ja-JP"/>
              </w:rPr>
              <w:t>=</w:t>
            </w:r>
            <w:r>
              <w:rPr>
                <w:bCs/>
                <w:lang w:eastAsia="ja-JP"/>
              </w:rPr>
              <w:t xml:space="preserve"> </w:t>
            </w:r>
            <w:r w:rsidRPr="00E63A3A">
              <w:rPr>
                <w:bCs/>
                <w:lang w:eastAsia="ja-JP"/>
              </w:rPr>
              <w:t>123)</w:t>
            </w:r>
          </w:p>
        </w:tc>
      </w:tr>
      <w:tr w:rsidR="00E63A3A" w:rsidRPr="00B21C5E" w14:paraId="58ABB137" w14:textId="77777777" w:rsidTr="00E63A3A">
        <w:trPr>
          <w:trHeight w:val="107"/>
        </w:trPr>
        <w:tc>
          <w:tcPr>
            <w:tcW w:w="3804" w:type="dxa"/>
          </w:tcPr>
          <w:p w14:paraId="4C04EF96" w14:textId="3F0BEA86" w:rsidR="00E63A3A" w:rsidRPr="00765D5D" w:rsidRDefault="00E63A3A">
            <w:pPr>
              <w:pStyle w:val="Tabletext"/>
              <w:rPr>
                <w:b/>
                <w:bCs/>
              </w:rPr>
            </w:pPr>
            <w:r w:rsidRPr="00765D5D">
              <w:rPr>
                <w:b/>
                <w:bCs/>
              </w:rPr>
              <w:t xml:space="preserve">Any </w:t>
            </w:r>
            <w:r w:rsidR="00DF40B9">
              <w:rPr>
                <w:b/>
                <w:bCs/>
              </w:rPr>
              <w:t>adverse events</w:t>
            </w:r>
          </w:p>
        </w:tc>
        <w:tc>
          <w:tcPr>
            <w:tcW w:w="2849" w:type="dxa"/>
          </w:tcPr>
          <w:p w14:paraId="7468199E" w14:textId="77777777" w:rsidR="00E63A3A" w:rsidRPr="009E3FB4" w:rsidRDefault="00E63A3A" w:rsidP="00E63A3A">
            <w:pPr>
              <w:pStyle w:val="Tabletext"/>
            </w:pPr>
            <w:r w:rsidRPr="009E3FB4">
              <w:t>100%</w:t>
            </w:r>
          </w:p>
        </w:tc>
      </w:tr>
      <w:tr w:rsidR="00E63A3A" w:rsidRPr="00B21C5E" w14:paraId="0674F307" w14:textId="77777777" w:rsidTr="00E63A3A">
        <w:trPr>
          <w:trHeight w:val="107"/>
        </w:trPr>
        <w:tc>
          <w:tcPr>
            <w:tcW w:w="6653" w:type="dxa"/>
            <w:gridSpan w:val="2"/>
          </w:tcPr>
          <w:p w14:paraId="4DBA7DB2" w14:textId="4730EECC" w:rsidR="00E63A3A" w:rsidRPr="00765D5D" w:rsidRDefault="00E63A3A">
            <w:pPr>
              <w:pStyle w:val="Tabletext"/>
              <w:rPr>
                <w:b/>
                <w:bCs/>
              </w:rPr>
            </w:pPr>
            <w:r w:rsidRPr="00765D5D">
              <w:rPr>
                <w:b/>
                <w:bCs/>
              </w:rPr>
              <w:t xml:space="preserve">Common </w:t>
            </w:r>
            <w:r w:rsidR="00DF40B9">
              <w:rPr>
                <w:b/>
                <w:bCs/>
              </w:rPr>
              <w:t>adverse events</w:t>
            </w:r>
            <w:r w:rsidR="00DF40B9" w:rsidRPr="00765D5D">
              <w:rPr>
                <w:b/>
                <w:bCs/>
              </w:rPr>
              <w:t xml:space="preserve"> </w:t>
            </w:r>
            <w:r w:rsidRPr="00765D5D">
              <w:rPr>
                <w:b/>
                <w:bCs/>
              </w:rPr>
              <w:t>(&gt;</w:t>
            </w:r>
            <w:r w:rsidR="00DF40B9">
              <w:rPr>
                <w:b/>
                <w:bCs/>
              </w:rPr>
              <w:t xml:space="preserve"> </w:t>
            </w:r>
            <w:r w:rsidRPr="00765D5D">
              <w:rPr>
                <w:b/>
                <w:bCs/>
              </w:rPr>
              <w:t>20%)</w:t>
            </w:r>
          </w:p>
        </w:tc>
      </w:tr>
      <w:tr w:rsidR="00E63A3A" w:rsidRPr="00B21C5E" w14:paraId="5FE86AA6" w14:textId="77777777" w:rsidTr="00E63A3A">
        <w:trPr>
          <w:trHeight w:val="269"/>
        </w:trPr>
        <w:tc>
          <w:tcPr>
            <w:tcW w:w="3804" w:type="dxa"/>
          </w:tcPr>
          <w:p w14:paraId="4F9C1375" w14:textId="77777777" w:rsidR="00E63A3A" w:rsidRPr="006E638B" w:rsidRDefault="00E63A3A" w:rsidP="00765D5D">
            <w:pPr>
              <w:pStyle w:val="Tabletext"/>
              <w:jc w:val="right"/>
            </w:pPr>
            <w:r w:rsidRPr="006E638B">
              <w:t>thrombocytopenia</w:t>
            </w:r>
          </w:p>
        </w:tc>
        <w:tc>
          <w:tcPr>
            <w:tcW w:w="2849" w:type="dxa"/>
          </w:tcPr>
          <w:p w14:paraId="31A34705" w14:textId="77777777" w:rsidR="00E63A3A" w:rsidRPr="006E638B" w:rsidRDefault="00E63A3A" w:rsidP="00E63A3A">
            <w:pPr>
              <w:pStyle w:val="Tabletext"/>
            </w:pPr>
            <w:r w:rsidRPr="006E638B">
              <w:t>74.8%</w:t>
            </w:r>
          </w:p>
        </w:tc>
      </w:tr>
      <w:tr w:rsidR="00E63A3A" w:rsidRPr="00B21C5E" w14:paraId="22AB832E" w14:textId="77777777" w:rsidTr="00E63A3A">
        <w:trPr>
          <w:trHeight w:val="269"/>
        </w:trPr>
        <w:tc>
          <w:tcPr>
            <w:tcW w:w="3804" w:type="dxa"/>
          </w:tcPr>
          <w:p w14:paraId="7250485B" w14:textId="77777777" w:rsidR="00E63A3A" w:rsidRPr="006E638B" w:rsidRDefault="00E63A3A" w:rsidP="00765D5D">
            <w:pPr>
              <w:pStyle w:val="Tabletext"/>
              <w:jc w:val="right"/>
            </w:pPr>
            <w:r w:rsidRPr="006E638B">
              <w:t>nausea</w:t>
            </w:r>
          </w:p>
        </w:tc>
        <w:tc>
          <w:tcPr>
            <w:tcW w:w="2849" w:type="dxa"/>
          </w:tcPr>
          <w:p w14:paraId="0CF4B409" w14:textId="77777777" w:rsidR="00E63A3A" w:rsidRPr="006E638B" w:rsidRDefault="00E63A3A" w:rsidP="00E63A3A">
            <w:pPr>
              <w:pStyle w:val="Tabletext"/>
            </w:pPr>
            <w:r w:rsidRPr="006E638B">
              <w:t>71.5%</w:t>
            </w:r>
          </w:p>
        </w:tc>
      </w:tr>
      <w:tr w:rsidR="00E63A3A" w:rsidRPr="00B21C5E" w14:paraId="005DB937" w14:textId="77777777" w:rsidTr="00E63A3A">
        <w:trPr>
          <w:trHeight w:val="269"/>
        </w:trPr>
        <w:tc>
          <w:tcPr>
            <w:tcW w:w="3804" w:type="dxa"/>
          </w:tcPr>
          <w:p w14:paraId="28D4413F" w14:textId="77777777" w:rsidR="00E63A3A" w:rsidRPr="006E638B" w:rsidRDefault="00E63A3A" w:rsidP="00765D5D">
            <w:pPr>
              <w:pStyle w:val="Tabletext"/>
              <w:jc w:val="right"/>
            </w:pPr>
            <w:r w:rsidRPr="006E638B">
              <w:t>anaemia</w:t>
            </w:r>
          </w:p>
        </w:tc>
        <w:tc>
          <w:tcPr>
            <w:tcW w:w="2849" w:type="dxa"/>
          </w:tcPr>
          <w:p w14:paraId="71D7D6F0" w14:textId="77777777" w:rsidR="00E63A3A" w:rsidRPr="006E638B" w:rsidRDefault="00E63A3A" w:rsidP="00E63A3A">
            <w:pPr>
              <w:pStyle w:val="Tabletext"/>
            </w:pPr>
            <w:r w:rsidRPr="006E638B">
              <w:t>66.7%</w:t>
            </w:r>
          </w:p>
        </w:tc>
      </w:tr>
      <w:tr w:rsidR="00E63A3A" w:rsidRPr="00B21C5E" w14:paraId="43E4C310" w14:textId="77777777" w:rsidTr="00E63A3A">
        <w:trPr>
          <w:trHeight w:val="269"/>
        </w:trPr>
        <w:tc>
          <w:tcPr>
            <w:tcW w:w="3804" w:type="dxa"/>
          </w:tcPr>
          <w:p w14:paraId="2697288E" w14:textId="77777777" w:rsidR="00E63A3A" w:rsidRPr="006E638B" w:rsidRDefault="00E63A3A" w:rsidP="00765D5D">
            <w:pPr>
              <w:pStyle w:val="Tabletext"/>
              <w:jc w:val="right"/>
            </w:pPr>
            <w:r w:rsidRPr="006E638B">
              <w:t>fatigue</w:t>
            </w:r>
          </w:p>
        </w:tc>
        <w:tc>
          <w:tcPr>
            <w:tcW w:w="2849" w:type="dxa"/>
          </w:tcPr>
          <w:p w14:paraId="0FFBA48F" w14:textId="77777777" w:rsidR="00E63A3A" w:rsidRPr="006E638B" w:rsidRDefault="00E63A3A" w:rsidP="00E63A3A">
            <w:pPr>
              <w:pStyle w:val="Tabletext"/>
            </w:pPr>
            <w:r w:rsidRPr="006E638B">
              <w:t>62.6%</w:t>
            </w:r>
          </w:p>
        </w:tc>
      </w:tr>
      <w:tr w:rsidR="00E63A3A" w:rsidRPr="00B21C5E" w14:paraId="5479F3A2" w14:textId="77777777" w:rsidTr="00E63A3A">
        <w:trPr>
          <w:trHeight w:val="269"/>
        </w:trPr>
        <w:tc>
          <w:tcPr>
            <w:tcW w:w="3804" w:type="dxa"/>
          </w:tcPr>
          <w:p w14:paraId="3A1C10BC" w14:textId="77777777" w:rsidR="00E63A3A" w:rsidRPr="006E638B" w:rsidRDefault="00E63A3A" w:rsidP="00765D5D">
            <w:pPr>
              <w:pStyle w:val="Tabletext"/>
              <w:jc w:val="right"/>
            </w:pPr>
            <w:r w:rsidRPr="006E638B">
              <w:t>decreased appetite</w:t>
            </w:r>
          </w:p>
        </w:tc>
        <w:tc>
          <w:tcPr>
            <w:tcW w:w="2849" w:type="dxa"/>
          </w:tcPr>
          <w:p w14:paraId="61BAC08E" w14:textId="77777777" w:rsidR="00E63A3A" w:rsidRPr="006E638B" w:rsidRDefault="00E63A3A" w:rsidP="00E63A3A">
            <w:pPr>
              <w:pStyle w:val="Tabletext"/>
            </w:pPr>
            <w:r w:rsidRPr="006E638B">
              <w:t>56.9%</w:t>
            </w:r>
          </w:p>
        </w:tc>
      </w:tr>
      <w:tr w:rsidR="00E63A3A" w:rsidRPr="00B21C5E" w14:paraId="3EF2EC00" w14:textId="77777777" w:rsidTr="00E63A3A">
        <w:trPr>
          <w:trHeight w:val="269"/>
        </w:trPr>
        <w:tc>
          <w:tcPr>
            <w:tcW w:w="3804" w:type="dxa"/>
          </w:tcPr>
          <w:p w14:paraId="658464D7" w14:textId="3B45D2F7" w:rsidR="00E63A3A" w:rsidRPr="000E6CD6" w:rsidRDefault="00DF40B9" w:rsidP="00765D5D">
            <w:pPr>
              <w:pStyle w:val="Tabletext"/>
              <w:jc w:val="right"/>
              <w:rPr>
                <w:color w:val="12220E" w:themeColor="accent6" w:themeShade="80"/>
              </w:rPr>
            </w:pPr>
            <w:r>
              <w:t>w</w:t>
            </w:r>
            <w:r w:rsidR="00E63A3A" w:rsidRPr="006E638B">
              <w:t>eight decreased</w:t>
            </w:r>
          </w:p>
        </w:tc>
        <w:tc>
          <w:tcPr>
            <w:tcW w:w="2849" w:type="dxa"/>
          </w:tcPr>
          <w:p w14:paraId="231D87E4" w14:textId="77777777" w:rsidR="00E63A3A" w:rsidRPr="000E6CD6" w:rsidRDefault="00E63A3A" w:rsidP="00E63A3A">
            <w:pPr>
              <w:pStyle w:val="Tabletext"/>
              <w:rPr>
                <w:color w:val="12220E" w:themeColor="accent6" w:themeShade="80"/>
              </w:rPr>
            </w:pPr>
            <w:r w:rsidRPr="006E638B">
              <w:t>50.4%</w:t>
            </w:r>
          </w:p>
        </w:tc>
      </w:tr>
      <w:tr w:rsidR="00E63A3A" w:rsidRPr="00B21C5E" w14:paraId="4136016C" w14:textId="77777777" w:rsidTr="00E63A3A">
        <w:trPr>
          <w:trHeight w:val="269"/>
        </w:trPr>
        <w:tc>
          <w:tcPr>
            <w:tcW w:w="3804" w:type="dxa"/>
          </w:tcPr>
          <w:p w14:paraId="0854A25B" w14:textId="77777777" w:rsidR="00E63A3A" w:rsidRPr="000E6CD6" w:rsidRDefault="00E63A3A" w:rsidP="00765D5D">
            <w:pPr>
              <w:pStyle w:val="Tabletext"/>
              <w:jc w:val="right"/>
              <w:rPr>
                <w:color w:val="12220E" w:themeColor="accent6" w:themeShade="80"/>
              </w:rPr>
            </w:pPr>
            <w:r w:rsidRPr="006E638B">
              <w:t>diarrhoea</w:t>
            </w:r>
          </w:p>
        </w:tc>
        <w:tc>
          <w:tcPr>
            <w:tcW w:w="2849" w:type="dxa"/>
          </w:tcPr>
          <w:p w14:paraId="31E5352E" w14:textId="77777777" w:rsidR="00E63A3A" w:rsidRPr="000E6CD6" w:rsidRDefault="00E63A3A" w:rsidP="00E63A3A">
            <w:pPr>
              <w:pStyle w:val="Tabletext"/>
              <w:rPr>
                <w:color w:val="12220E" w:themeColor="accent6" w:themeShade="80"/>
              </w:rPr>
            </w:pPr>
            <w:r w:rsidRPr="006E638B">
              <w:t>47.2%</w:t>
            </w:r>
          </w:p>
        </w:tc>
      </w:tr>
      <w:tr w:rsidR="00E63A3A" w:rsidRPr="00B21C5E" w14:paraId="5B8C366C" w14:textId="77777777" w:rsidTr="00E63A3A">
        <w:trPr>
          <w:trHeight w:val="269"/>
        </w:trPr>
        <w:tc>
          <w:tcPr>
            <w:tcW w:w="3804" w:type="dxa"/>
          </w:tcPr>
          <w:p w14:paraId="4FE172A9" w14:textId="77777777" w:rsidR="00E63A3A" w:rsidRPr="00634D9E" w:rsidRDefault="00E63A3A" w:rsidP="00765D5D">
            <w:pPr>
              <w:pStyle w:val="Tabletext"/>
              <w:jc w:val="right"/>
            </w:pPr>
            <w:r w:rsidRPr="00634D9E">
              <w:t>neutropenia</w:t>
            </w:r>
          </w:p>
        </w:tc>
        <w:tc>
          <w:tcPr>
            <w:tcW w:w="2849" w:type="dxa"/>
          </w:tcPr>
          <w:p w14:paraId="16F8A2DA" w14:textId="77777777" w:rsidR="00E63A3A" w:rsidRPr="00634D9E" w:rsidRDefault="00E63A3A" w:rsidP="00E63A3A">
            <w:pPr>
              <w:pStyle w:val="Tabletext"/>
            </w:pPr>
            <w:r w:rsidRPr="00634D9E">
              <w:t>39.8%</w:t>
            </w:r>
          </w:p>
        </w:tc>
      </w:tr>
      <w:tr w:rsidR="00E63A3A" w:rsidRPr="00B21C5E" w14:paraId="0F0350E1" w14:textId="77777777" w:rsidTr="00E63A3A">
        <w:trPr>
          <w:trHeight w:val="269"/>
        </w:trPr>
        <w:tc>
          <w:tcPr>
            <w:tcW w:w="3804" w:type="dxa"/>
          </w:tcPr>
          <w:p w14:paraId="2D10B40A" w14:textId="77777777" w:rsidR="00E63A3A" w:rsidRPr="00634D9E" w:rsidRDefault="00E63A3A" w:rsidP="00765D5D">
            <w:pPr>
              <w:pStyle w:val="Tabletext"/>
              <w:jc w:val="right"/>
            </w:pPr>
            <w:r>
              <w:t>vomiting</w:t>
            </w:r>
            <w:r w:rsidRPr="00634D9E">
              <w:t xml:space="preserve"> </w:t>
            </w:r>
          </w:p>
        </w:tc>
        <w:tc>
          <w:tcPr>
            <w:tcW w:w="2849" w:type="dxa"/>
          </w:tcPr>
          <w:p w14:paraId="74D79F33" w14:textId="77777777" w:rsidR="00E63A3A" w:rsidRPr="00634D9E" w:rsidRDefault="00E63A3A" w:rsidP="00E63A3A">
            <w:pPr>
              <w:pStyle w:val="Tabletext"/>
            </w:pPr>
            <w:r>
              <w:t>39.0%</w:t>
            </w:r>
          </w:p>
        </w:tc>
      </w:tr>
      <w:tr w:rsidR="00E63A3A" w:rsidRPr="00B21C5E" w14:paraId="7C0AA030" w14:textId="77777777" w:rsidTr="00E63A3A">
        <w:trPr>
          <w:trHeight w:val="269"/>
        </w:trPr>
        <w:tc>
          <w:tcPr>
            <w:tcW w:w="3804" w:type="dxa"/>
          </w:tcPr>
          <w:p w14:paraId="0D428A34" w14:textId="77777777" w:rsidR="00E63A3A" w:rsidRPr="00634D9E" w:rsidRDefault="00E63A3A" w:rsidP="00765D5D">
            <w:pPr>
              <w:pStyle w:val="Tabletext"/>
              <w:jc w:val="right"/>
            </w:pPr>
            <w:r>
              <w:t>hyponatraemia</w:t>
            </w:r>
          </w:p>
        </w:tc>
        <w:tc>
          <w:tcPr>
            <w:tcW w:w="2849" w:type="dxa"/>
          </w:tcPr>
          <w:p w14:paraId="4CBCA4C9" w14:textId="77777777" w:rsidR="00E63A3A" w:rsidRPr="00634D9E" w:rsidRDefault="00E63A3A" w:rsidP="00E63A3A">
            <w:pPr>
              <w:pStyle w:val="Tabletext"/>
            </w:pPr>
            <w:r>
              <w:t>37.4%</w:t>
            </w:r>
          </w:p>
        </w:tc>
      </w:tr>
      <w:tr w:rsidR="00E63A3A" w:rsidRPr="00B21C5E" w14:paraId="3CAAB036" w14:textId="77777777" w:rsidTr="00E63A3A">
        <w:trPr>
          <w:trHeight w:val="269"/>
        </w:trPr>
        <w:tc>
          <w:tcPr>
            <w:tcW w:w="3804" w:type="dxa"/>
          </w:tcPr>
          <w:p w14:paraId="3EB0443A" w14:textId="77777777" w:rsidR="00E63A3A" w:rsidRPr="00634D9E" w:rsidRDefault="00E63A3A" w:rsidP="00765D5D">
            <w:pPr>
              <w:pStyle w:val="Tabletext"/>
              <w:jc w:val="right"/>
            </w:pPr>
            <w:r w:rsidRPr="00634D9E">
              <w:t>leukopenia</w:t>
            </w:r>
          </w:p>
        </w:tc>
        <w:tc>
          <w:tcPr>
            <w:tcW w:w="2849" w:type="dxa"/>
          </w:tcPr>
          <w:p w14:paraId="0B364967" w14:textId="77777777" w:rsidR="00E63A3A" w:rsidRPr="00634D9E" w:rsidRDefault="00E63A3A" w:rsidP="00E63A3A">
            <w:pPr>
              <w:pStyle w:val="Tabletext"/>
            </w:pPr>
            <w:r w:rsidRPr="00634D9E">
              <w:t>33.3%</w:t>
            </w:r>
          </w:p>
        </w:tc>
      </w:tr>
      <w:tr w:rsidR="00E63A3A" w:rsidRPr="00B21C5E" w14:paraId="64833194" w14:textId="77777777" w:rsidTr="00E63A3A">
        <w:trPr>
          <w:trHeight w:val="269"/>
        </w:trPr>
        <w:tc>
          <w:tcPr>
            <w:tcW w:w="3804" w:type="dxa"/>
          </w:tcPr>
          <w:p w14:paraId="7B36DF81" w14:textId="77777777" w:rsidR="00E63A3A" w:rsidRPr="00634D9E" w:rsidRDefault="00E63A3A" w:rsidP="00765D5D">
            <w:pPr>
              <w:pStyle w:val="Tabletext"/>
              <w:jc w:val="right"/>
            </w:pPr>
            <w:r>
              <w:t>dyspnoea</w:t>
            </w:r>
          </w:p>
        </w:tc>
        <w:tc>
          <w:tcPr>
            <w:tcW w:w="2849" w:type="dxa"/>
          </w:tcPr>
          <w:p w14:paraId="03295A8B" w14:textId="77777777" w:rsidR="00E63A3A" w:rsidRPr="00634D9E" w:rsidRDefault="00E63A3A" w:rsidP="00E63A3A">
            <w:pPr>
              <w:pStyle w:val="Tabletext"/>
            </w:pPr>
            <w:r>
              <w:t>22.8%</w:t>
            </w:r>
          </w:p>
        </w:tc>
      </w:tr>
      <w:tr w:rsidR="00E63A3A" w:rsidRPr="00B21C5E" w14:paraId="5852470D" w14:textId="77777777" w:rsidTr="00E63A3A">
        <w:trPr>
          <w:trHeight w:val="269"/>
        </w:trPr>
        <w:tc>
          <w:tcPr>
            <w:tcW w:w="3804" w:type="dxa"/>
          </w:tcPr>
          <w:p w14:paraId="1811E59E" w14:textId="77777777" w:rsidR="00E63A3A" w:rsidRPr="00634D9E" w:rsidRDefault="00E63A3A" w:rsidP="00765D5D">
            <w:pPr>
              <w:pStyle w:val="Tabletext"/>
              <w:jc w:val="right"/>
            </w:pPr>
            <w:r w:rsidRPr="00634D9E">
              <w:t>constipation</w:t>
            </w:r>
          </w:p>
        </w:tc>
        <w:tc>
          <w:tcPr>
            <w:tcW w:w="2849" w:type="dxa"/>
          </w:tcPr>
          <w:p w14:paraId="01A2A9A1" w14:textId="77777777" w:rsidR="00E63A3A" w:rsidRPr="00634D9E" w:rsidRDefault="00E63A3A" w:rsidP="00E63A3A">
            <w:pPr>
              <w:pStyle w:val="Tabletext"/>
            </w:pPr>
            <w:r w:rsidRPr="00634D9E">
              <w:t>22%</w:t>
            </w:r>
          </w:p>
        </w:tc>
      </w:tr>
      <w:tr w:rsidR="00E63A3A" w:rsidRPr="00B21C5E" w14:paraId="41A102C2" w14:textId="77777777" w:rsidTr="00E63A3A">
        <w:trPr>
          <w:trHeight w:val="269"/>
        </w:trPr>
        <w:tc>
          <w:tcPr>
            <w:tcW w:w="3804" w:type="dxa"/>
          </w:tcPr>
          <w:p w14:paraId="677C9517" w14:textId="77777777" w:rsidR="00E63A3A" w:rsidRPr="00765D5D" w:rsidRDefault="00E63A3A" w:rsidP="00E63A3A">
            <w:pPr>
              <w:pStyle w:val="Tabletext"/>
              <w:rPr>
                <w:b/>
                <w:bCs/>
              </w:rPr>
            </w:pPr>
            <w:r w:rsidRPr="00765D5D">
              <w:rPr>
                <w:b/>
                <w:bCs/>
              </w:rPr>
              <w:t xml:space="preserve">Any CTCAE Grade 3 - 4 </w:t>
            </w:r>
          </w:p>
        </w:tc>
        <w:tc>
          <w:tcPr>
            <w:tcW w:w="2849" w:type="dxa"/>
          </w:tcPr>
          <w:p w14:paraId="317070B8" w14:textId="77777777" w:rsidR="00E63A3A" w:rsidRPr="00472C94" w:rsidRDefault="00E63A3A" w:rsidP="00E63A3A">
            <w:pPr>
              <w:pStyle w:val="Tabletext"/>
            </w:pPr>
            <w:r w:rsidRPr="00472C94">
              <w:t>93.5%</w:t>
            </w:r>
          </w:p>
        </w:tc>
      </w:tr>
      <w:tr w:rsidR="00E63A3A" w:rsidRPr="00B21C5E" w14:paraId="5FD41CDC" w14:textId="77777777" w:rsidTr="00E63A3A">
        <w:trPr>
          <w:trHeight w:val="269"/>
        </w:trPr>
        <w:tc>
          <w:tcPr>
            <w:tcW w:w="3804" w:type="dxa"/>
          </w:tcPr>
          <w:p w14:paraId="58F3A3FE" w14:textId="00BB12D2" w:rsidR="00E63A3A" w:rsidRPr="000E6CD6" w:rsidRDefault="00E63A3A">
            <w:pPr>
              <w:pStyle w:val="Tabletext"/>
              <w:jc w:val="right"/>
              <w:rPr>
                <w:color w:val="12220E" w:themeColor="accent6" w:themeShade="80"/>
              </w:rPr>
            </w:pPr>
            <w:r w:rsidRPr="00472C94">
              <w:t xml:space="preserve">Any </w:t>
            </w:r>
            <w:r w:rsidR="00DF40B9">
              <w:t>treatment emergent adverse event</w:t>
            </w:r>
            <w:r w:rsidR="00DF40B9" w:rsidRPr="00472C94">
              <w:t xml:space="preserve"> </w:t>
            </w:r>
            <w:r w:rsidRPr="00472C94">
              <w:t>leading to dose modification</w:t>
            </w:r>
          </w:p>
        </w:tc>
        <w:tc>
          <w:tcPr>
            <w:tcW w:w="2849" w:type="dxa"/>
          </w:tcPr>
          <w:p w14:paraId="15E7271C" w14:textId="77777777" w:rsidR="00E63A3A" w:rsidRPr="000E6CD6" w:rsidRDefault="00E63A3A" w:rsidP="00E63A3A">
            <w:pPr>
              <w:pStyle w:val="Tabletext"/>
              <w:rPr>
                <w:color w:val="12220E" w:themeColor="accent6" w:themeShade="80"/>
              </w:rPr>
            </w:pPr>
            <w:r w:rsidRPr="00472C94">
              <w:t>78.9%</w:t>
            </w:r>
          </w:p>
        </w:tc>
      </w:tr>
      <w:tr w:rsidR="00E63A3A" w:rsidRPr="00B21C5E" w14:paraId="7CBC4FE4" w14:textId="77777777" w:rsidTr="00E63A3A">
        <w:trPr>
          <w:trHeight w:val="269"/>
        </w:trPr>
        <w:tc>
          <w:tcPr>
            <w:tcW w:w="3804" w:type="dxa"/>
          </w:tcPr>
          <w:p w14:paraId="67640CE5" w14:textId="23CDA189" w:rsidR="00E63A3A" w:rsidRPr="00472C94" w:rsidRDefault="00E63A3A" w:rsidP="00765D5D">
            <w:pPr>
              <w:pStyle w:val="Tabletext"/>
              <w:jc w:val="right"/>
            </w:pPr>
            <w:r w:rsidRPr="00472C94">
              <w:t xml:space="preserve">Any </w:t>
            </w:r>
            <w:r w:rsidR="00DF40B9">
              <w:t>treatment emergent adverse event</w:t>
            </w:r>
            <w:r w:rsidR="00DF40B9" w:rsidRPr="00472C94">
              <w:t xml:space="preserve"> </w:t>
            </w:r>
            <w:r w:rsidRPr="00472C94">
              <w:t xml:space="preserve">leading to dose </w:t>
            </w:r>
            <w:r>
              <w:t>hold</w:t>
            </w:r>
          </w:p>
        </w:tc>
        <w:tc>
          <w:tcPr>
            <w:tcW w:w="2849" w:type="dxa"/>
          </w:tcPr>
          <w:p w14:paraId="044F9964" w14:textId="77777777" w:rsidR="00E63A3A" w:rsidRDefault="00E63A3A" w:rsidP="00E63A3A">
            <w:pPr>
              <w:pStyle w:val="Tabletext"/>
              <w:rPr>
                <w:color w:val="12220E" w:themeColor="accent6" w:themeShade="80"/>
              </w:rPr>
            </w:pPr>
            <w:r w:rsidRPr="00472C94">
              <w:t>65.0%</w:t>
            </w:r>
          </w:p>
        </w:tc>
      </w:tr>
      <w:tr w:rsidR="00E63A3A" w:rsidRPr="00B21C5E" w14:paraId="2189A160" w14:textId="77777777" w:rsidTr="00E63A3A">
        <w:trPr>
          <w:trHeight w:val="269"/>
        </w:trPr>
        <w:tc>
          <w:tcPr>
            <w:tcW w:w="3804" w:type="dxa"/>
          </w:tcPr>
          <w:p w14:paraId="5F51D15E" w14:textId="22BAD4CC" w:rsidR="00E63A3A" w:rsidRPr="00472C94" w:rsidRDefault="00E63A3A" w:rsidP="00765D5D">
            <w:pPr>
              <w:pStyle w:val="Tabletext"/>
              <w:jc w:val="right"/>
            </w:pPr>
            <w:r w:rsidRPr="00472C94">
              <w:t xml:space="preserve">Any </w:t>
            </w:r>
            <w:r w:rsidR="00DF40B9">
              <w:t>treatment emergent adverse event</w:t>
            </w:r>
            <w:r w:rsidR="00DF40B9" w:rsidRPr="00472C94">
              <w:t xml:space="preserve"> </w:t>
            </w:r>
            <w:r w:rsidRPr="00472C94">
              <w:t xml:space="preserve">leading to dose </w:t>
            </w:r>
            <w:r>
              <w:t>reduction</w:t>
            </w:r>
          </w:p>
        </w:tc>
        <w:tc>
          <w:tcPr>
            <w:tcW w:w="2849" w:type="dxa"/>
          </w:tcPr>
          <w:p w14:paraId="60D9E095" w14:textId="77777777" w:rsidR="00E63A3A" w:rsidRDefault="00E63A3A" w:rsidP="00E63A3A">
            <w:pPr>
              <w:pStyle w:val="Tabletext"/>
              <w:rPr>
                <w:color w:val="12220E" w:themeColor="accent6" w:themeShade="80"/>
              </w:rPr>
            </w:pPr>
            <w:r w:rsidRPr="00472C94">
              <w:t>58.5%</w:t>
            </w:r>
          </w:p>
        </w:tc>
      </w:tr>
      <w:tr w:rsidR="00E63A3A" w:rsidRPr="00B21C5E" w14:paraId="6E63E5F5" w14:textId="77777777" w:rsidTr="00E63A3A">
        <w:trPr>
          <w:trHeight w:val="269"/>
        </w:trPr>
        <w:tc>
          <w:tcPr>
            <w:tcW w:w="3804" w:type="dxa"/>
          </w:tcPr>
          <w:p w14:paraId="3800B345" w14:textId="748254C9" w:rsidR="00E63A3A" w:rsidRPr="00472C94" w:rsidRDefault="00E63A3A" w:rsidP="00765D5D">
            <w:pPr>
              <w:pStyle w:val="Tabletext"/>
              <w:jc w:val="right"/>
            </w:pPr>
            <w:r w:rsidRPr="00472C94">
              <w:t xml:space="preserve">Any </w:t>
            </w:r>
            <w:r w:rsidR="00DF40B9">
              <w:t>treatment emergent adverse event</w:t>
            </w:r>
            <w:r w:rsidR="00DF40B9" w:rsidRPr="00472C94">
              <w:t xml:space="preserve"> </w:t>
            </w:r>
            <w:r w:rsidRPr="00472C94">
              <w:t xml:space="preserve">leading to </w:t>
            </w:r>
            <w:r>
              <w:t>treatment discontinuation</w:t>
            </w:r>
          </w:p>
        </w:tc>
        <w:tc>
          <w:tcPr>
            <w:tcW w:w="2849" w:type="dxa"/>
          </w:tcPr>
          <w:p w14:paraId="0DEA3E47" w14:textId="77777777" w:rsidR="00E63A3A" w:rsidRPr="00472C94" w:rsidRDefault="00E63A3A" w:rsidP="00E63A3A">
            <w:pPr>
              <w:pStyle w:val="Tabletext"/>
            </w:pPr>
            <w:r>
              <w:t>31.7%</w:t>
            </w:r>
          </w:p>
        </w:tc>
      </w:tr>
      <w:tr w:rsidR="00E63A3A" w:rsidRPr="00B21C5E" w14:paraId="1D778D36" w14:textId="77777777" w:rsidTr="00E63A3A">
        <w:trPr>
          <w:trHeight w:val="269"/>
        </w:trPr>
        <w:tc>
          <w:tcPr>
            <w:tcW w:w="3804" w:type="dxa"/>
          </w:tcPr>
          <w:p w14:paraId="0979E2BD" w14:textId="46FB8DD4" w:rsidR="00E63A3A" w:rsidRPr="00765D5D" w:rsidRDefault="00E63A3A">
            <w:pPr>
              <w:pStyle w:val="Tabletext"/>
              <w:rPr>
                <w:b/>
                <w:bCs/>
              </w:rPr>
            </w:pPr>
            <w:r w:rsidRPr="00765D5D">
              <w:rPr>
                <w:b/>
                <w:bCs/>
              </w:rPr>
              <w:t xml:space="preserve">Any </w:t>
            </w:r>
            <w:r w:rsidR="00DF40B9">
              <w:rPr>
                <w:b/>
                <w:bCs/>
              </w:rPr>
              <w:t>treatment-related adverse event</w:t>
            </w:r>
          </w:p>
        </w:tc>
        <w:tc>
          <w:tcPr>
            <w:tcW w:w="2849" w:type="dxa"/>
          </w:tcPr>
          <w:p w14:paraId="23FC3485" w14:textId="77777777" w:rsidR="00E63A3A" w:rsidRPr="00472C94" w:rsidRDefault="00E63A3A" w:rsidP="00E63A3A">
            <w:pPr>
              <w:pStyle w:val="Tabletext"/>
            </w:pPr>
            <w:r w:rsidRPr="00472C94">
              <w:t>98.4%</w:t>
            </w:r>
          </w:p>
        </w:tc>
      </w:tr>
      <w:tr w:rsidR="00E63A3A" w:rsidRPr="00B21C5E" w14:paraId="25236B70" w14:textId="77777777" w:rsidTr="00E63A3A">
        <w:trPr>
          <w:trHeight w:val="269"/>
        </w:trPr>
        <w:tc>
          <w:tcPr>
            <w:tcW w:w="6653" w:type="dxa"/>
            <w:gridSpan w:val="2"/>
          </w:tcPr>
          <w:p w14:paraId="0E71219E" w14:textId="3B7CE857" w:rsidR="00E63A3A" w:rsidRPr="00765D5D" w:rsidRDefault="00E63A3A" w:rsidP="00E63A3A">
            <w:pPr>
              <w:pStyle w:val="Tabletext"/>
              <w:rPr>
                <w:b/>
                <w:bCs/>
              </w:rPr>
            </w:pPr>
            <w:r w:rsidRPr="00765D5D">
              <w:rPr>
                <w:b/>
                <w:bCs/>
              </w:rPr>
              <w:lastRenderedPageBreak/>
              <w:t>Most common</w:t>
            </w:r>
            <w:r w:rsidR="00DF40B9">
              <w:rPr>
                <w:b/>
                <w:bCs/>
              </w:rPr>
              <w:t xml:space="preserve"> treatment-related adverse events</w:t>
            </w:r>
          </w:p>
        </w:tc>
      </w:tr>
      <w:tr w:rsidR="00E63A3A" w:rsidRPr="00B21C5E" w14:paraId="65C9C5AD" w14:textId="77777777" w:rsidTr="00E63A3A">
        <w:trPr>
          <w:trHeight w:val="269"/>
        </w:trPr>
        <w:tc>
          <w:tcPr>
            <w:tcW w:w="3804" w:type="dxa"/>
          </w:tcPr>
          <w:p w14:paraId="5ADD74A3" w14:textId="77777777" w:rsidR="00E63A3A" w:rsidRPr="003160A9" w:rsidRDefault="00E63A3A" w:rsidP="00765D5D">
            <w:pPr>
              <w:pStyle w:val="Tabletext"/>
              <w:jc w:val="right"/>
            </w:pPr>
            <w:r>
              <w:t>thrombocytopenia</w:t>
            </w:r>
          </w:p>
        </w:tc>
        <w:tc>
          <w:tcPr>
            <w:tcW w:w="2849" w:type="dxa"/>
          </w:tcPr>
          <w:p w14:paraId="7CD07FF5" w14:textId="77777777" w:rsidR="00E63A3A" w:rsidRPr="00472C94" w:rsidRDefault="00E63A3A" w:rsidP="00E63A3A">
            <w:pPr>
              <w:pStyle w:val="Tabletext"/>
            </w:pPr>
            <w:r>
              <w:t>69.1%</w:t>
            </w:r>
          </w:p>
        </w:tc>
      </w:tr>
      <w:tr w:rsidR="00E63A3A" w:rsidRPr="00B21C5E" w14:paraId="41DF78F8" w14:textId="77777777" w:rsidTr="00E63A3A">
        <w:trPr>
          <w:trHeight w:val="269"/>
        </w:trPr>
        <w:tc>
          <w:tcPr>
            <w:tcW w:w="3804" w:type="dxa"/>
          </w:tcPr>
          <w:p w14:paraId="08B15871" w14:textId="77777777" w:rsidR="00E63A3A" w:rsidRPr="00886F9B" w:rsidRDefault="00E63A3A" w:rsidP="00765D5D">
            <w:pPr>
              <w:pStyle w:val="Tabletext"/>
              <w:jc w:val="right"/>
            </w:pPr>
            <w:r w:rsidRPr="00886F9B">
              <w:t>nausea</w:t>
            </w:r>
          </w:p>
        </w:tc>
        <w:tc>
          <w:tcPr>
            <w:tcW w:w="2849" w:type="dxa"/>
          </w:tcPr>
          <w:p w14:paraId="169A8B52" w14:textId="77777777" w:rsidR="00E63A3A" w:rsidRPr="00472C94" w:rsidRDefault="00E63A3A" w:rsidP="00E63A3A">
            <w:pPr>
              <w:pStyle w:val="Tabletext"/>
            </w:pPr>
            <w:r>
              <w:t>69.1%</w:t>
            </w:r>
          </w:p>
        </w:tc>
      </w:tr>
      <w:tr w:rsidR="00E63A3A" w:rsidRPr="00B21C5E" w14:paraId="438E0002" w14:textId="77777777" w:rsidTr="00E63A3A">
        <w:trPr>
          <w:trHeight w:val="269"/>
        </w:trPr>
        <w:tc>
          <w:tcPr>
            <w:tcW w:w="3804" w:type="dxa"/>
          </w:tcPr>
          <w:p w14:paraId="35309411" w14:textId="77777777" w:rsidR="00E63A3A" w:rsidRPr="00886F9B" w:rsidRDefault="00E63A3A" w:rsidP="00765D5D">
            <w:pPr>
              <w:pStyle w:val="Tabletext"/>
              <w:jc w:val="right"/>
            </w:pPr>
            <w:r w:rsidRPr="00886F9B">
              <w:t>fatigue</w:t>
            </w:r>
          </w:p>
        </w:tc>
        <w:tc>
          <w:tcPr>
            <w:tcW w:w="2849" w:type="dxa"/>
          </w:tcPr>
          <w:p w14:paraId="23AD1F14" w14:textId="77777777" w:rsidR="00E63A3A" w:rsidRPr="00472C94" w:rsidRDefault="00E63A3A" w:rsidP="00E63A3A">
            <w:pPr>
              <w:pStyle w:val="Tabletext"/>
            </w:pPr>
            <w:r>
              <w:t>55.3%</w:t>
            </w:r>
          </w:p>
        </w:tc>
      </w:tr>
      <w:tr w:rsidR="00E63A3A" w:rsidRPr="00B21C5E" w14:paraId="47606417" w14:textId="77777777" w:rsidTr="00E63A3A">
        <w:trPr>
          <w:trHeight w:val="269"/>
        </w:trPr>
        <w:tc>
          <w:tcPr>
            <w:tcW w:w="3804" w:type="dxa"/>
          </w:tcPr>
          <w:p w14:paraId="39A319FA" w14:textId="77777777" w:rsidR="00E63A3A" w:rsidRPr="007E7959" w:rsidRDefault="00E63A3A" w:rsidP="00765D5D">
            <w:pPr>
              <w:pStyle w:val="Tabletext"/>
              <w:jc w:val="right"/>
            </w:pPr>
            <w:r>
              <w:t>decreased appetite</w:t>
            </w:r>
          </w:p>
        </w:tc>
        <w:tc>
          <w:tcPr>
            <w:tcW w:w="2849" w:type="dxa"/>
          </w:tcPr>
          <w:p w14:paraId="41287013" w14:textId="77777777" w:rsidR="00E63A3A" w:rsidRPr="00472C94" w:rsidRDefault="00E63A3A" w:rsidP="00E63A3A">
            <w:pPr>
              <w:pStyle w:val="Tabletext"/>
            </w:pPr>
            <w:r>
              <w:t>52.8%</w:t>
            </w:r>
          </w:p>
        </w:tc>
      </w:tr>
      <w:tr w:rsidR="00E63A3A" w:rsidRPr="00B21C5E" w14:paraId="0E2B3CF7" w14:textId="77777777" w:rsidTr="00E63A3A">
        <w:trPr>
          <w:trHeight w:val="269"/>
        </w:trPr>
        <w:tc>
          <w:tcPr>
            <w:tcW w:w="3804" w:type="dxa"/>
          </w:tcPr>
          <w:p w14:paraId="57ECA25E" w14:textId="41EA21C7" w:rsidR="00E63A3A" w:rsidRPr="00765D5D" w:rsidRDefault="00E63A3A" w:rsidP="00E63A3A">
            <w:pPr>
              <w:pStyle w:val="Tabletext"/>
              <w:rPr>
                <w:b/>
                <w:bCs/>
              </w:rPr>
            </w:pPr>
            <w:r w:rsidRPr="00765D5D">
              <w:rPr>
                <w:b/>
                <w:bCs/>
              </w:rPr>
              <w:t xml:space="preserve">Any CTCAE Grade 3 -5 </w:t>
            </w:r>
            <w:r w:rsidR="00B9231C">
              <w:rPr>
                <w:b/>
                <w:bCs/>
              </w:rPr>
              <w:t>treatment-related adverse events</w:t>
            </w:r>
          </w:p>
        </w:tc>
        <w:tc>
          <w:tcPr>
            <w:tcW w:w="2849" w:type="dxa"/>
          </w:tcPr>
          <w:p w14:paraId="2C1DCC16" w14:textId="77777777" w:rsidR="00E63A3A" w:rsidRPr="00472C94" w:rsidRDefault="00E63A3A" w:rsidP="00E63A3A">
            <w:pPr>
              <w:pStyle w:val="Tabletext"/>
            </w:pPr>
            <w:r w:rsidRPr="00472C94">
              <w:t>89.4%</w:t>
            </w:r>
          </w:p>
        </w:tc>
      </w:tr>
      <w:tr w:rsidR="00E63A3A" w:rsidRPr="00B21C5E" w14:paraId="50A28F94" w14:textId="77777777" w:rsidTr="00E63A3A">
        <w:trPr>
          <w:trHeight w:val="269"/>
        </w:trPr>
        <w:tc>
          <w:tcPr>
            <w:tcW w:w="3804" w:type="dxa"/>
          </w:tcPr>
          <w:p w14:paraId="2BCE8275" w14:textId="4E1EB6C5" w:rsidR="00E63A3A" w:rsidRPr="00765D5D" w:rsidRDefault="00E63A3A">
            <w:pPr>
              <w:pStyle w:val="Tabletext"/>
              <w:rPr>
                <w:b/>
                <w:bCs/>
                <w:color w:val="12220E" w:themeColor="accent6" w:themeShade="80"/>
              </w:rPr>
            </w:pPr>
            <w:r w:rsidRPr="00765D5D">
              <w:rPr>
                <w:b/>
                <w:bCs/>
              </w:rPr>
              <w:t xml:space="preserve">Any </w:t>
            </w:r>
            <w:r w:rsidR="00B9231C">
              <w:rPr>
                <w:b/>
                <w:bCs/>
              </w:rPr>
              <w:t>serious adverse events</w:t>
            </w:r>
          </w:p>
        </w:tc>
        <w:tc>
          <w:tcPr>
            <w:tcW w:w="2849" w:type="dxa"/>
          </w:tcPr>
          <w:p w14:paraId="2C6F9B38" w14:textId="77777777" w:rsidR="00E63A3A" w:rsidRPr="000E6CD6" w:rsidRDefault="00E63A3A" w:rsidP="00E63A3A">
            <w:pPr>
              <w:pStyle w:val="Tabletext"/>
              <w:rPr>
                <w:color w:val="12220E" w:themeColor="accent6" w:themeShade="80"/>
              </w:rPr>
            </w:pPr>
            <w:r w:rsidRPr="00472C94">
              <w:t>63.4%</w:t>
            </w:r>
          </w:p>
        </w:tc>
      </w:tr>
      <w:tr w:rsidR="00E63A3A" w:rsidRPr="00B21C5E" w14:paraId="318F5647" w14:textId="77777777" w:rsidTr="00E63A3A">
        <w:trPr>
          <w:trHeight w:val="269"/>
        </w:trPr>
        <w:tc>
          <w:tcPr>
            <w:tcW w:w="6653" w:type="dxa"/>
            <w:gridSpan w:val="2"/>
          </w:tcPr>
          <w:p w14:paraId="076B119D" w14:textId="0B56777D" w:rsidR="00E63A3A" w:rsidRPr="00765D5D" w:rsidRDefault="00E63A3A" w:rsidP="00E63A3A">
            <w:pPr>
              <w:pStyle w:val="Tabletext"/>
              <w:rPr>
                <w:b/>
                <w:bCs/>
                <w:color w:val="12220E" w:themeColor="accent6" w:themeShade="80"/>
              </w:rPr>
            </w:pPr>
            <w:r w:rsidRPr="00765D5D">
              <w:rPr>
                <w:b/>
                <w:bCs/>
              </w:rPr>
              <w:t xml:space="preserve">Most common </w:t>
            </w:r>
            <w:r w:rsidR="00B9231C">
              <w:rPr>
                <w:b/>
                <w:bCs/>
              </w:rPr>
              <w:t>serious adverse events</w:t>
            </w:r>
            <w:r w:rsidRPr="00765D5D">
              <w:rPr>
                <w:b/>
                <w:bCs/>
              </w:rPr>
              <w:t xml:space="preserve"> (&gt; 5%)</w:t>
            </w:r>
          </w:p>
        </w:tc>
      </w:tr>
      <w:tr w:rsidR="00E63A3A" w:rsidRPr="00B21C5E" w14:paraId="55418A85" w14:textId="77777777" w:rsidTr="00E63A3A">
        <w:trPr>
          <w:trHeight w:val="269"/>
        </w:trPr>
        <w:tc>
          <w:tcPr>
            <w:tcW w:w="3804" w:type="dxa"/>
          </w:tcPr>
          <w:p w14:paraId="62EDBC01" w14:textId="4C10C740" w:rsidR="00E63A3A" w:rsidRPr="006E7ACB" w:rsidRDefault="00B9231C" w:rsidP="00765D5D">
            <w:pPr>
              <w:pStyle w:val="Tabletext"/>
              <w:jc w:val="right"/>
            </w:pPr>
            <w:r w:rsidRPr="006E7ACB">
              <w:t>P</w:t>
            </w:r>
            <w:r w:rsidR="00E63A3A" w:rsidRPr="006E7ACB">
              <w:t>neumonia</w:t>
            </w:r>
          </w:p>
        </w:tc>
        <w:tc>
          <w:tcPr>
            <w:tcW w:w="2849" w:type="dxa"/>
          </w:tcPr>
          <w:p w14:paraId="555266E0" w14:textId="77777777" w:rsidR="00E63A3A" w:rsidRPr="006E7ACB" w:rsidRDefault="00E63A3A" w:rsidP="00E63A3A">
            <w:pPr>
              <w:pStyle w:val="Tabletext"/>
            </w:pPr>
            <w:r w:rsidRPr="006E7ACB">
              <w:t>11.4%</w:t>
            </w:r>
          </w:p>
        </w:tc>
      </w:tr>
      <w:tr w:rsidR="00E63A3A" w:rsidRPr="00B21C5E" w14:paraId="1D58F084" w14:textId="77777777" w:rsidTr="00E63A3A">
        <w:trPr>
          <w:trHeight w:val="269"/>
        </w:trPr>
        <w:tc>
          <w:tcPr>
            <w:tcW w:w="3804" w:type="dxa"/>
          </w:tcPr>
          <w:p w14:paraId="4E6C06C7" w14:textId="5ED3B5F2" w:rsidR="00E63A3A" w:rsidRPr="006E7ACB" w:rsidRDefault="00B9231C" w:rsidP="00765D5D">
            <w:pPr>
              <w:pStyle w:val="Tabletext"/>
              <w:jc w:val="right"/>
            </w:pPr>
            <w:r w:rsidRPr="006E7ACB">
              <w:t>S</w:t>
            </w:r>
            <w:r w:rsidR="00E63A3A" w:rsidRPr="006E7ACB">
              <w:t>epsis</w:t>
            </w:r>
          </w:p>
        </w:tc>
        <w:tc>
          <w:tcPr>
            <w:tcW w:w="2849" w:type="dxa"/>
          </w:tcPr>
          <w:p w14:paraId="214CE0CE" w14:textId="77777777" w:rsidR="00E63A3A" w:rsidRPr="006E7ACB" w:rsidRDefault="00E63A3A" w:rsidP="00E63A3A">
            <w:pPr>
              <w:pStyle w:val="Tabletext"/>
            </w:pPr>
            <w:r w:rsidRPr="006E7ACB">
              <w:t>9.8%</w:t>
            </w:r>
          </w:p>
        </w:tc>
      </w:tr>
      <w:tr w:rsidR="00E63A3A" w:rsidRPr="00B21C5E" w14:paraId="0F00F260" w14:textId="77777777" w:rsidTr="00E63A3A">
        <w:trPr>
          <w:trHeight w:val="269"/>
        </w:trPr>
        <w:tc>
          <w:tcPr>
            <w:tcW w:w="3804" w:type="dxa"/>
          </w:tcPr>
          <w:p w14:paraId="780FBBD6" w14:textId="0F32BAAC" w:rsidR="00E63A3A" w:rsidRPr="00765D5D" w:rsidRDefault="00E63A3A">
            <w:pPr>
              <w:pStyle w:val="Tabletext"/>
              <w:rPr>
                <w:b/>
                <w:bCs/>
                <w:color w:val="12220E" w:themeColor="accent6" w:themeShade="80"/>
              </w:rPr>
            </w:pPr>
            <w:r w:rsidRPr="00765D5D">
              <w:rPr>
                <w:b/>
                <w:bCs/>
              </w:rPr>
              <w:t xml:space="preserve">Any drug-related </w:t>
            </w:r>
            <w:r w:rsidR="00B9231C">
              <w:rPr>
                <w:b/>
                <w:bCs/>
              </w:rPr>
              <w:t>serious adverse events</w:t>
            </w:r>
            <w:r w:rsidR="00B9231C" w:rsidRPr="00765D5D">
              <w:rPr>
                <w:b/>
                <w:bCs/>
              </w:rPr>
              <w:t xml:space="preserve"> </w:t>
            </w:r>
          </w:p>
        </w:tc>
        <w:tc>
          <w:tcPr>
            <w:tcW w:w="2849" w:type="dxa"/>
          </w:tcPr>
          <w:p w14:paraId="0EA5F050" w14:textId="77777777" w:rsidR="00E63A3A" w:rsidRPr="000E6CD6" w:rsidRDefault="00E63A3A" w:rsidP="00E63A3A">
            <w:pPr>
              <w:pStyle w:val="Tabletext"/>
              <w:rPr>
                <w:color w:val="12220E" w:themeColor="accent6" w:themeShade="80"/>
              </w:rPr>
            </w:pPr>
            <w:r w:rsidRPr="00472C94">
              <w:t>30.9%</w:t>
            </w:r>
          </w:p>
        </w:tc>
      </w:tr>
      <w:tr w:rsidR="00E63A3A" w:rsidRPr="00B21C5E" w14:paraId="6B4DFE8D" w14:textId="77777777" w:rsidTr="00E63A3A">
        <w:trPr>
          <w:trHeight w:val="269"/>
        </w:trPr>
        <w:tc>
          <w:tcPr>
            <w:tcW w:w="3804" w:type="dxa"/>
          </w:tcPr>
          <w:p w14:paraId="325F0107" w14:textId="28301E2B" w:rsidR="00E63A3A" w:rsidRPr="00765D5D" w:rsidRDefault="00E63A3A" w:rsidP="00E63A3A">
            <w:pPr>
              <w:pStyle w:val="Tabletext"/>
              <w:rPr>
                <w:b/>
                <w:bCs/>
              </w:rPr>
            </w:pPr>
            <w:r w:rsidRPr="00765D5D">
              <w:rPr>
                <w:b/>
                <w:bCs/>
              </w:rPr>
              <w:t xml:space="preserve">Fatal </w:t>
            </w:r>
            <w:r w:rsidR="00B9231C">
              <w:rPr>
                <w:b/>
                <w:bCs/>
              </w:rPr>
              <w:t>adverse events</w:t>
            </w:r>
          </w:p>
        </w:tc>
        <w:tc>
          <w:tcPr>
            <w:tcW w:w="2849" w:type="dxa"/>
          </w:tcPr>
          <w:p w14:paraId="01B72D35" w14:textId="77777777" w:rsidR="00E63A3A" w:rsidRPr="009E3FB4" w:rsidRDefault="00E63A3A" w:rsidP="00E63A3A">
            <w:pPr>
              <w:pStyle w:val="Tabletext"/>
              <w:rPr>
                <w:color w:val="12220E" w:themeColor="accent6" w:themeShade="80"/>
              </w:rPr>
            </w:pPr>
            <w:r w:rsidRPr="00472C94">
              <w:t>9.8%</w:t>
            </w:r>
          </w:p>
        </w:tc>
      </w:tr>
      <w:tr w:rsidR="00E63A3A" w:rsidRPr="00B21C5E" w14:paraId="69C832C7" w14:textId="77777777" w:rsidTr="00E63A3A">
        <w:trPr>
          <w:trHeight w:val="269"/>
        </w:trPr>
        <w:tc>
          <w:tcPr>
            <w:tcW w:w="3804" w:type="dxa"/>
          </w:tcPr>
          <w:p w14:paraId="2A2B5F30" w14:textId="59022E9D" w:rsidR="00E63A3A" w:rsidRPr="00765D5D" w:rsidRDefault="00E63A3A" w:rsidP="00E63A3A">
            <w:pPr>
              <w:pStyle w:val="Tabletext"/>
              <w:rPr>
                <w:b/>
                <w:bCs/>
              </w:rPr>
            </w:pPr>
            <w:r w:rsidRPr="00765D5D">
              <w:rPr>
                <w:b/>
                <w:bCs/>
              </w:rPr>
              <w:t xml:space="preserve">Fatal </w:t>
            </w:r>
            <w:r w:rsidR="00B9231C">
              <w:rPr>
                <w:b/>
                <w:bCs/>
              </w:rPr>
              <w:t>treatment-related adverse events</w:t>
            </w:r>
          </w:p>
        </w:tc>
        <w:tc>
          <w:tcPr>
            <w:tcW w:w="2849" w:type="dxa"/>
          </w:tcPr>
          <w:p w14:paraId="5CEF777F" w14:textId="77777777" w:rsidR="00E63A3A" w:rsidRPr="000E6CD6" w:rsidRDefault="00E63A3A" w:rsidP="00E63A3A">
            <w:pPr>
              <w:pStyle w:val="Tabletext"/>
              <w:rPr>
                <w:color w:val="12220E" w:themeColor="accent6" w:themeShade="80"/>
              </w:rPr>
            </w:pPr>
            <w:r w:rsidRPr="00472C94">
              <w:t>2.4%</w:t>
            </w:r>
          </w:p>
        </w:tc>
      </w:tr>
    </w:tbl>
    <w:p w14:paraId="2DEC652E" w14:textId="43C31274" w:rsidR="00765D5D" w:rsidRDefault="00765D5D" w:rsidP="00765D5D">
      <w:r>
        <w:t xml:space="preserve">The </w:t>
      </w:r>
      <w:proofErr w:type="gramStart"/>
      <w:r>
        <w:t>most commonly reported</w:t>
      </w:r>
      <w:proofErr w:type="gramEnd"/>
      <w:r>
        <w:t xml:space="preserve"> treatment-related </w:t>
      </w:r>
      <w:r w:rsidR="00B9231C">
        <w:t xml:space="preserve">adverse events (TRAEs) </w:t>
      </w:r>
      <w:r>
        <w:t>leading to treatment discontinuation were nausea (5.7%) and fatigue (4.9%).</w:t>
      </w:r>
    </w:p>
    <w:p w14:paraId="60F26FC6" w14:textId="510DFB02" w:rsidR="00765D5D" w:rsidRDefault="00765D5D" w:rsidP="00765D5D">
      <w:r>
        <w:t xml:space="preserve">The fatal events within 30 days of last dose of </w:t>
      </w:r>
      <w:proofErr w:type="spellStart"/>
      <w:r>
        <w:t>selinexor</w:t>
      </w:r>
      <w:proofErr w:type="spellEnd"/>
      <w:r>
        <w:t xml:space="preserve"> occurred in 28 patients, with 12</w:t>
      </w:r>
      <w:r w:rsidR="00B9231C">
        <w:t> </w:t>
      </w:r>
      <w:r>
        <w:t xml:space="preserve">considered </w:t>
      </w:r>
      <w:r w:rsidR="00B9231C">
        <w:t xml:space="preserve">treatment-emergent adverse events (TEAEs) </w:t>
      </w:r>
      <w:r>
        <w:t>and 3 considered TRAEs (pneumonia</w:t>
      </w:r>
      <w:r w:rsidR="00B9231C">
        <w:t xml:space="preserve">, </w:t>
      </w:r>
      <w:r>
        <w:t>1 patient; sepsis</w:t>
      </w:r>
      <w:r w:rsidR="00B9231C">
        <w:t xml:space="preserve">, </w:t>
      </w:r>
      <w:r>
        <w:t>2 patients).</w:t>
      </w:r>
    </w:p>
    <w:p w14:paraId="368F7941" w14:textId="575F59F4" w:rsidR="00765D5D" w:rsidRDefault="00765D5D" w:rsidP="00937553">
      <w:pPr>
        <w:pStyle w:val="ListBullet"/>
      </w:pPr>
      <w:r>
        <w:t>Hyponatraemia</w:t>
      </w:r>
    </w:p>
    <w:p w14:paraId="392B81F7" w14:textId="20635352" w:rsidR="00765D5D" w:rsidRDefault="00B9231C" w:rsidP="00937553">
      <w:pPr>
        <w:pStyle w:val="ListBullet2"/>
      </w:pPr>
      <w:r>
        <w:t xml:space="preserve">Adverse events </w:t>
      </w:r>
      <w:r w:rsidR="00765D5D">
        <w:t xml:space="preserve">in 38.2%, TRAEs in 30.9%, Grade 3 or 4 severity in 26.2%, </w:t>
      </w:r>
      <w:r w:rsidR="00576080">
        <w:t>treatment related serious adverse event</w:t>
      </w:r>
      <w:r>
        <w:t>s</w:t>
      </w:r>
      <w:r w:rsidR="00576080">
        <w:t xml:space="preserve"> (</w:t>
      </w:r>
      <w:r w:rsidR="00765D5D">
        <w:t>TRSAE</w:t>
      </w:r>
      <w:r>
        <w:t>s</w:t>
      </w:r>
      <w:r w:rsidR="00576080">
        <w:t>)</w:t>
      </w:r>
      <w:r w:rsidR="00765D5D">
        <w:t xml:space="preserve"> in 1.6%.</w:t>
      </w:r>
    </w:p>
    <w:p w14:paraId="1FC18F43" w14:textId="77777777" w:rsidR="00765D5D" w:rsidRDefault="00765D5D" w:rsidP="00937553">
      <w:pPr>
        <w:pStyle w:val="ListBullet"/>
      </w:pPr>
      <w:r>
        <w:t>Anaemia</w:t>
      </w:r>
    </w:p>
    <w:p w14:paraId="5FA1BD7A" w14:textId="2A981B57" w:rsidR="00765D5D" w:rsidRDefault="00765D5D" w:rsidP="00937553">
      <w:pPr>
        <w:pStyle w:val="ListBullet2"/>
      </w:pPr>
      <w:r>
        <w:t>Baseline to new maximum Grade 3 or 4: 47.9%</w:t>
      </w:r>
    </w:p>
    <w:p w14:paraId="5AEEDDBD" w14:textId="38C64D81" w:rsidR="00765D5D" w:rsidRDefault="00765D5D" w:rsidP="00937553">
      <w:pPr>
        <w:pStyle w:val="ListBullet2"/>
      </w:pPr>
      <w:r>
        <w:t>Considered AEs: 66.7%, Considered TRAEs: 48.0%, SAEs: 0.8%; none</w:t>
      </w:r>
      <w:r w:rsidR="00937553">
        <w:t xml:space="preserve"> was</w:t>
      </w:r>
      <w:r>
        <w:t xml:space="preserve"> fatal</w:t>
      </w:r>
    </w:p>
    <w:p w14:paraId="18BD957F" w14:textId="77777777" w:rsidR="00765D5D" w:rsidRDefault="00765D5D" w:rsidP="00937553">
      <w:pPr>
        <w:pStyle w:val="ListBullet"/>
      </w:pPr>
      <w:r>
        <w:t>Thrombocytopenia</w:t>
      </w:r>
    </w:p>
    <w:p w14:paraId="3C1CE9F3" w14:textId="79F27957" w:rsidR="00765D5D" w:rsidRDefault="00765D5D" w:rsidP="00937553">
      <w:pPr>
        <w:pStyle w:val="ListBullet2"/>
      </w:pPr>
      <w:r>
        <w:t>Baseline to new maximum Grade 3 or 4: 74.8%</w:t>
      </w:r>
    </w:p>
    <w:p w14:paraId="3C47EDB0" w14:textId="47302A4B" w:rsidR="00765D5D" w:rsidRDefault="00765D5D" w:rsidP="00937553">
      <w:pPr>
        <w:pStyle w:val="ListBullet2"/>
      </w:pPr>
      <w:r>
        <w:t>Considered AE: 74.8%, Considered TRAE: 69.1%, SAEs: 1.6%; none</w:t>
      </w:r>
      <w:r w:rsidR="00937553">
        <w:t xml:space="preserve"> was</w:t>
      </w:r>
      <w:r>
        <w:t xml:space="preserve"> fatal</w:t>
      </w:r>
    </w:p>
    <w:p w14:paraId="2E764DAF" w14:textId="77777777" w:rsidR="00765D5D" w:rsidRDefault="00765D5D" w:rsidP="00937553">
      <w:pPr>
        <w:pStyle w:val="ListBullet"/>
      </w:pPr>
      <w:r>
        <w:t>White cells</w:t>
      </w:r>
    </w:p>
    <w:p w14:paraId="0B8EF6C3" w14:textId="2C855D3E" w:rsidR="00765D5D" w:rsidRDefault="00765D5D" w:rsidP="00937553">
      <w:pPr>
        <w:pStyle w:val="ListBullet2"/>
      </w:pPr>
      <w:r>
        <w:t>Baseline to new maximum Grade 3 or 4 leukopenia: 33.1%</w:t>
      </w:r>
    </w:p>
    <w:p w14:paraId="069D558F" w14:textId="1356F0AA" w:rsidR="00765D5D" w:rsidRDefault="00765D5D" w:rsidP="00937553">
      <w:pPr>
        <w:pStyle w:val="ListBullet2"/>
      </w:pPr>
      <w:r>
        <w:t>Baseline to new maximum Grade 3 or 4 lymphocytopenia: 43.0%</w:t>
      </w:r>
    </w:p>
    <w:p w14:paraId="5CE803B3" w14:textId="5A059CEB" w:rsidR="00765D5D" w:rsidRDefault="00765D5D" w:rsidP="00937553">
      <w:pPr>
        <w:pStyle w:val="ListBullet2"/>
      </w:pPr>
      <w:r>
        <w:lastRenderedPageBreak/>
        <w:t>Baseline to new maximum Grade 3 or 4 neutropenia: 26.1%</w:t>
      </w:r>
    </w:p>
    <w:p w14:paraId="4BE2BF12" w14:textId="57C3AE56" w:rsidR="00765D5D" w:rsidRDefault="00765D5D" w:rsidP="00937553">
      <w:pPr>
        <w:pStyle w:val="ListBullet2"/>
      </w:pPr>
      <w:r>
        <w:t>Considered neutropenia AE: 39.8%</w:t>
      </w:r>
    </w:p>
    <w:p w14:paraId="54C8F599" w14:textId="0FCFC716" w:rsidR="00765D5D" w:rsidRDefault="00765D5D" w:rsidP="00937553">
      <w:pPr>
        <w:pStyle w:val="ListBullet2"/>
      </w:pPr>
      <w:r>
        <w:t xml:space="preserve">Considered </w:t>
      </w:r>
      <w:r w:rsidR="004B4871">
        <w:t>n</w:t>
      </w:r>
      <w:r>
        <w:t>eutropenia TRAE: 36.6%</w:t>
      </w:r>
    </w:p>
    <w:p w14:paraId="3C82C32D" w14:textId="31154F57" w:rsidR="00765D5D" w:rsidRDefault="00765D5D" w:rsidP="00937553">
      <w:pPr>
        <w:pStyle w:val="ListBullet2"/>
      </w:pPr>
      <w:r>
        <w:t>Neutropenia SAE: 0.8, none</w:t>
      </w:r>
      <w:r w:rsidR="00937553">
        <w:t xml:space="preserve"> was</w:t>
      </w:r>
      <w:r>
        <w:t xml:space="preserve"> fatal</w:t>
      </w:r>
    </w:p>
    <w:p w14:paraId="7F8671F5" w14:textId="04EEA98A" w:rsidR="00765D5D" w:rsidRDefault="00765D5D" w:rsidP="00937553">
      <w:pPr>
        <w:pStyle w:val="ListBullet2"/>
      </w:pPr>
      <w:r>
        <w:t>Febrile neutropenia: 1.6% (both Grade 3 but not considered SAEs), none</w:t>
      </w:r>
      <w:r w:rsidR="00937553">
        <w:t xml:space="preserve"> was</w:t>
      </w:r>
      <w:r>
        <w:t xml:space="preserve"> fatal</w:t>
      </w:r>
    </w:p>
    <w:p w14:paraId="5B8D1299" w14:textId="77777777" w:rsidR="00937553" w:rsidRDefault="00765D5D" w:rsidP="00937553">
      <w:pPr>
        <w:pStyle w:val="ListBullet"/>
      </w:pPr>
      <w:r>
        <w:t>Infection</w:t>
      </w:r>
    </w:p>
    <w:p w14:paraId="63CEB153" w14:textId="019F0F9F" w:rsidR="00765D5D" w:rsidRDefault="00765D5D" w:rsidP="00937553">
      <w:pPr>
        <w:pStyle w:val="ListBullet2"/>
      </w:pPr>
      <w:r>
        <w:t>AEs 53.3%, TRAEs 17.8%, TRSAEs 5.6%, 3</w:t>
      </w:r>
      <w:r w:rsidR="000C1F4E">
        <w:t xml:space="preserve"> were</w:t>
      </w:r>
      <w:r>
        <w:t xml:space="preserve"> fatal</w:t>
      </w:r>
    </w:p>
    <w:p w14:paraId="39455EE9" w14:textId="77777777" w:rsidR="00765D5D" w:rsidRDefault="00765D5D" w:rsidP="00937553">
      <w:pPr>
        <w:pStyle w:val="ListBullet"/>
      </w:pPr>
      <w:r>
        <w:t>Fatigue</w:t>
      </w:r>
    </w:p>
    <w:p w14:paraId="3556EF6E" w14:textId="3E5CE63B" w:rsidR="00765D5D" w:rsidRDefault="00765D5D" w:rsidP="00937553">
      <w:pPr>
        <w:pStyle w:val="ListBullet2"/>
      </w:pPr>
      <w:r>
        <w:t>AE: 65.0%, TRAEs: 56.1%, TRSAEs: 2.4%</w:t>
      </w:r>
    </w:p>
    <w:p w14:paraId="632C202E" w14:textId="77777777" w:rsidR="00765D5D" w:rsidRDefault="00765D5D" w:rsidP="00937553">
      <w:pPr>
        <w:pStyle w:val="ListBullet"/>
      </w:pPr>
      <w:r>
        <w:t>Decreased appetite</w:t>
      </w:r>
    </w:p>
    <w:p w14:paraId="2EDB8105" w14:textId="504DD9FD" w:rsidR="00765D5D" w:rsidRDefault="00765D5D" w:rsidP="00937553">
      <w:pPr>
        <w:pStyle w:val="ListBullet2"/>
      </w:pPr>
      <w:r>
        <w:t>AEs: 56.9%, TRAEs: 52.8%, TRSAEs: 0.8%</w:t>
      </w:r>
    </w:p>
    <w:p w14:paraId="35F15D68" w14:textId="77777777" w:rsidR="00765D5D" w:rsidRDefault="00765D5D" w:rsidP="00937553">
      <w:pPr>
        <w:pStyle w:val="ListBullet"/>
      </w:pPr>
      <w:r>
        <w:t>Decreased weight</w:t>
      </w:r>
    </w:p>
    <w:p w14:paraId="0799284A" w14:textId="4E26FAD6" w:rsidR="00765D5D" w:rsidRDefault="00765D5D" w:rsidP="00937553">
      <w:pPr>
        <w:pStyle w:val="ListBullet2"/>
      </w:pPr>
      <w:r>
        <w:t>AEs: 50.4%, TRAEs: 47.2%, TRSAE: 0.8%</w:t>
      </w:r>
    </w:p>
    <w:p w14:paraId="19AB59A1" w14:textId="77777777" w:rsidR="00765D5D" w:rsidRDefault="00765D5D" w:rsidP="00937553">
      <w:pPr>
        <w:pStyle w:val="ListBullet"/>
      </w:pPr>
      <w:r>
        <w:t>Nausea and vomiting</w:t>
      </w:r>
    </w:p>
    <w:p w14:paraId="5D9A388C" w14:textId="71C8FFAA" w:rsidR="00765D5D" w:rsidRDefault="00765D5D" w:rsidP="00937553">
      <w:pPr>
        <w:pStyle w:val="ListBullet2"/>
      </w:pPr>
      <w:r>
        <w:t>AEs: 74.8%, TRAEs: 71.5%, SAEs: 1.6%</w:t>
      </w:r>
    </w:p>
    <w:p w14:paraId="00784282" w14:textId="77777777" w:rsidR="00765D5D" w:rsidRDefault="00765D5D" w:rsidP="00937553">
      <w:pPr>
        <w:pStyle w:val="ListBullet"/>
      </w:pPr>
      <w:proofErr w:type="spellStart"/>
      <w:r>
        <w:t>Confusional</w:t>
      </w:r>
      <w:proofErr w:type="spellEnd"/>
      <w:r>
        <w:t xml:space="preserve"> state</w:t>
      </w:r>
    </w:p>
    <w:p w14:paraId="209C1B11" w14:textId="27B997C6" w:rsidR="00765D5D" w:rsidRDefault="00765D5D" w:rsidP="00937553">
      <w:pPr>
        <w:pStyle w:val="ListBullet2"/>
      </w:pPr>
      <w:r>
        <w:t>AEs: 17.1%, TRAEs: 10.6%, TRSAEs: 2.4%</w:t>
      </w:r>
    </w:p>
    <w:p w14:paraId="1FC72A9A" w14:textId="77777777" w:rsidR="00765D5D" w:rsidRDefault="00765D5D" w:rsidP="00937553">
      <w:pPr>
        <w:pStyle w:val="ListBullet"/>
      </w:pPr>
      <w:r>
        <w:t>Ophthalmology AEs</w:t>
      </w:r>
    </w:p>
    <w:p w14:paraId="36BA299B" w14:textId="4871C6CC" w:rsidR="00765D5D" w:rsidRDefault="00765D5D" w:rsidP="00937553">
      <w:pPr>
        <w:pStyle w:val="ListBullet2"/>
      </w:pPr>
      <w:r>
        <w:t>AES: 24.3%, Contributing AEs: vision blurred, cataract, visual impairment, dry eye, photopsia, visual acuity reduced</w:t>
      </w:r>
    </w:p>
    <w:p w14:paraId="795FC19B" w14:textId="3DB2513A" w:rsidR="00E63A3A" w:rsidRDefault="00765D5D" w:rsidP="00937553">
      <w:pPr>
        <w:pStyle w:val="ListBullet2"/>
      </w:pPr>
      <w:r>
        <w:t>TRAEs: 14%, no SAEs</w:t>
      </w:r>
    </w:p>
    <w:p w14:paraId="4FE8D5B6" w14:textId="77777777" w:rsidR="0078796B" w:rsidRDefault="0078796B" w:rsidP="0078796B">
      <w:pPr>
        <w:pStyle w:val="Heading5"/>
      </w:pPr>
      <w:r>
        <w:t>Discussion</w:t>
      </w:r>
    </w:p>
    <w:p w14:paraId="325B8647" w14:textId="176A7D8D" w:rsidR="0078796B" w:rsidRDefault="0078796B" w:rsidP="0078796B">
      <w:r>
        <w:t xml:space="preserve">This aspect of the submission seeks an indication for late line relapsed and refractory multiple myeloma with </w:t>
      </w:r>
      <w:proofErr w:type="spellStart"/>
      <w:r>
        <w:t>selinexor</w:t>
      </w:r>
      <w:proofErr w:type="spellEnd"/>
      <w:r>
        <w:t xml:space="preserve"> in combination with dexamethasone. The evidence is from the second part of a single arm open-label study, around 88% of whom were patients who had relapse despite or were refractory to at least </w:t>
      </w:r>
      <w:r w:rsidR="00BD0AF0">
        <w:t>five</w:t>
      </w:r>
      <w:r>
        <w:t xml:space="preserve"> prior regimens and around 30% of whom had received at least </w:t>
      </w:r>
      <w:r w:rsidR="00BD0AF0">
        <w:t>nine</w:t>
      </w:r>
      <w:r>
        <w:t xml:space="preserve"> prior regimens. The majority (about two thirds) had received two immunomodulators, two proteasome inhibitors and daratumumab.</w:t>
      </w:r>
    </w:p>
    <w:p w14:paraId="7C3B1F7E" w14:textId="59ED6000" w:rsidR="0078796B" w:rsidRDefault="0078796B" w:rsidP="0078796B">
      <w:r>
        <w:t xml:space="preserve">The patients were of median age of around 64 years of age, that appear representative of patients with </w:t>
      </w:r>
      <w:r w:rsidR="00BD0AF0" w:rsidRPr="00773FB9">
        <w:rPr>
          <w:rFonts w:asciiTheme="minorHAnsi" w:hAnsiTheme="minorHAnsi" w:cs="Calibri"/>
          <w:lang w:eastAsia="ja-JP"/>
        </w:rPr>
        <w:t>refractory multiple myeloma</w:t>
      </w:r>
      <w:r>
        <w:t>, although 30% still</w:t>
      </w:r>
      <w:r w:rsidR="00B9231C">
        <w:t xml:space="preserve"> has an</w:t>
      </w:r>
      <w:r>
        <w:t xml:space="preserve"> ECOG</w:t>
      </w:r>
      <w:r w:rsidR="00B9231C">
        <w:t xml:space="preserve"> performance </w:t>
      </w:r>
      <w:r>
        <w:t>status 0.</w:t>
      </w:r>
    </w:p>
    <w:p w14:paraId="03340C7A" w14:textId="0288C95A" w:rsidR="0078796B" w:rsidRDefault="0078796B" w:rsidP="0078796B">
      <w:r>
        <w:t xml:space="preserve">The primary endpoint is </w:t>
      </w:r>
      <w:r w:rsidR="00BD0AF0">
        <w:t>overall response rate</w:t>
      </w:r>
      <w:r>
        <w:t xml:space="preserve"> which of itself is acceptable in a single arm study. The point estimate for </w:t>
      </w:r>
      <w:r w:rsidR="00BD0AF0">
        <w:t>overall response rate</w:t>
      </w:r>
      <w:r>
        <w:t xml:space="preserve"> in </w:t>
      </w:r>
      <w:r w:rsidR="00BD0AF0">
        <w:t xml:space="preserve">STORM trial </w:t>
      </w:r>
      <w:r w:rsidR="004B4871">
        <w:t>p</w:t>
      </w:r>
      <w:r>
        <w:t>art 2 is 26%. While cross study comparisons are limited this is the same order of magnitude of benefit in pomalidomide and dexamethasone.</w:t>
      </w:r>
      <w:r w:rsidR="00BD0AF0">
        <w:rPr>
          <w:rStyle w:val="FootnoteReference"/>
        </w:rPr>
        <w:footnoteReference w:id="20"/>
      </w:r>
      <w:r>
        <w:t xml:space="preserve"> The study was underway before </w:t>
      </w:r>
      <w:r w:rsidR="004B4871">
        <w:t>a</w:t>
      </w:r>
      <w:r>
        <w:t>mendment 4 of the protocol required assessments were aligned with the IMWG criteria</w:t>
      </w:r>
      <w:r w:rsidR="00B9231C">
        <w:t>;</w:t>
      </w:r>
      <w:r w:rsidR="00B9231C">
        <w:rPr>
          <w:rFonts w:asciiTheme="minorHAnsi" w:hAnsiTheme="minorHAnsi" w:cs="Calibri"/>
          <w:lang w:eastAsia="ja-JP"/>
        </w:rPr>
        <w:fldChar w:fldCharType="begin"/>
      </w:r>
      <w:r w:rsidR="00B9231C">
        <w:rPr>
          <w:rFonts w:asciiTheme="minorHAnsi" w:hAnsiTheme="minorHAnsi" w:cs="Calibri"/>
          <w:lang w:eastAsia="ja-JP"/>
        </w:rPr>
        <w:instrText xml:space="preserve"> NOTEREF _Ref111543588 \h  \* MERGEFORMAT </w:instrText>
      </w:r>
      <w:r w:rsidR="00B9231C">
        <w:rPr>
          <w:rFonts w:asciiTheme="minorHAnsi" w:hAnsiTheme="minorHAnsi" w:cs="Calibri"/>
          <w:lang w:eastAsia="ja-JP"/>
        </w:rPr>
      </w:r>
      <w:r w:rsidR="00B9231C">
        <w:rPr>
          <w:rFonts w:asciiTheme="minorHAnsi" w:hAnsiTheme="minorHAnsi" w:cs="Calibri"/>
          <w:lang w:eastAsia="ja-JP"/>
        </w:rPr>
        <w:fldChar w:fldCharType="separate"/>
      </w:r>
      <w:r w:rsidR="00B9231C" w:rsidRPr="000B3827">
        <w:rPr>
          <w:rFonts w:asciiTheme="minorHAnsi" w:hAnsiTheme="minorHAnsi" w:cs="Calibri"/>
          <w:vertAlign w:val="superscript"/>
          <w:lang w:eastAsia="ja-JP"/>
        </w:rPr>
        <w:t>18</w:t>
      </w:r>
      <w:r w:rsidR="00B9231C">
        <w:rPr>
          <w:rFonts w:asciiTheme="minorHAnsi" w:hAnsiTheme="minorHAnsi" w:cs="Calibri"/>
          <w:lang w:eastAsia="ja-JP"/>
        </w:rPr>
        <w:fldChar w:fldCharType="end"/>
      </w:r>
      <w:r>
        <w:t xml:space="preserve"> and documentation of response required two consecutive readings of the applicable disease parameter (serum M-protein, urine M-protein, serum </w:t>
      </w:r>
      <w:r w:rsidR="004B4871">
        <w:t>free light chain</w:t>
      </w:r>
      <w:r>
        <w:t>, or quantitative immunoglobulin level).</w:t>
      </w:r>
    </w:p>
    <w:p w14:paraId="7ECF66C7" w14:textId="562945D6" w:rsidR="0078796B" w:rsidRDefault="0078796B" w:rsidP="0078796B">
      <w:r>
        <w:lastRenderedPageBreak/>
        <w:t xml:space="preserve">The </w:t>
      </w:r>
      <w:r w:rsidR="00B9231C">
        <w:t xml:space="preserve">European Medicines Agency (EMA’s) </w:t>
      </w:r>
      <w:r w:rsidR="004B4871">
        <w:t xml:space="preserve">European Public Assessment Report </w:t>
      </w:r>
      <w:r>
        <w:t xml:space="preserve">for </w:t>
      </w:r>
      <w:proofErr w:type="spellStart"/>
      <w:r>
        <w:t>Nexpovio</w:t>
      </w:r>
      <w:proofErr w:type="spellEnd"/>
      <w:r w:rsidR="00BD0AF0">
        <w:t>;</w:t>
      </w:r>
      <w:r w:rsidR="00BD0AF0">
        <w:rPr>
          <w:rStyle w:val="FootnoteReference"/>
        </w:rPr>
        <w:footnoteReference w:id="21"/>
      </w:r>
      <w:r>
        <w:t xml:space="preserve"> notes concern about the timing of assessments and raises the issue of initial and confirmatory assessment being conducted on the same day. This is a single arm study so the outcome measurement should be stringently measured to reduce uncertainty and reduce the risk of bias. This issue highlights an area of uncertainty in the true estimate of effect from this study.</w:t>
      </w:r>
    </w:p>
    <w:p w14:paraId="75A6E4EA" w14:textId="54A14402" w:rsidR="0078796B" w:rsidRDefault="00093EF4" w:rsidP="0078796B">
      <w:r>
        <w:t xml:space="preserve">Progression free survival </w:t>
      </w:r>
      <w:r w:rsidR="0078796B">
        <w:t xml:space="preserve">and </w:t>
      </w:r>
      <w:r w:rsidR="00B9231C">
        <w:t xml:space="preserve">overall survival </w:t>
      </w:r>
      <w:r w:rsidR="0078796B">
        <w:t>are more difficult to interpret without a direct comparator within the same study population and are weighted less in these considerations.</w:t>
      </w:r>
    </w:p>
    <w:p w14:paraId="1EA8E942" w14:textId="77777777" w:rsidR="0078796B" w:rsidRDefault="0078796B" w:rsidP="0078796B">
      <w:r>
        <w:t>In other settings the results may be considered modest however the patient population is very late line and the incremental benefits expected after each line of therapy diminish sequentially.</w:t>
      </w:r>
    </w:p>
    <w:p w14:paraId="51095361" w14:textId="6E52807B" w:rsidR="0078796B" w:rsidRDefault="0078796B" w:rsidP="0078796B">
      <w:r>
        <w:t xml:space="preserve">The isolation of the contributions of each of </w:t>
      </w:r>
      <w:proofErr w:type="spellStart"/>
      <w:r>
        <w:t>selinexor</w:t>
      </w:r>
      <w:proofErr w:type="spellEnd"/>
      <w:r>
        <w:t xml:space="preserve"> and dexamethasone is not permitted in this study. There is evidence of the activity of </w:t>
      </w:r>
      <w:proofErr w:type="spellStart"/>
      <w:r>
        <w:t>selinexor</w:t>
      </w:r>
      <w:proofErr w:type="spellEnd"/>
      <w:r>
        <w:t xml:space="preserve"> from </w:t>
      </w:r>
      <w:r w:rsidR="00B9231C" w:rsidRPr="00B9231C">
        <w:t>Study KCP-330-023 (BOSTON trial)</w:t>
      </w:r>
      <w:r w:rsidR="00B9231C">
        <w:t xml:space="preserve">, </w:t>
      </w:r>
      <w:r>
        <w:t xml:space="preserve">but in earlier lines of treatment, and this is considered important to support the proposed indication. The incremental benefit derived from dexamethasone has not been demonstrated in this study. There are older literature reports of studies of high dose dexamethasone that report around 20% </w:t>
      </w:r>
      <w:r w:rsidR="004B4871">
        <w:t>overall response rate</w:t>
      </w:r>
      <w:r w:rsidR="00B9231C">
        <w:t xml:space="preserve">, </w:t>
      </w:r>
      <w:r>
        <w:t>but this should be interpreted with caution due to issues with cross-study comparisons.</w:t>
      </w:r>
    </w:p>
    <w:p w14:paraId="6DD0983C" w14:textId="77F6A87B" w:rsidR="0078796B" w:rsidRDefault="0078796B" w:rsidP="0078796B">
      <w:r>
        <w:t xml:space="preserve">The toxicities are </w:t>
      </w:r>
      <w:proofErr w:type="gramStart"/>
      <w:r>
        <w:t>similar to</w:t>
      </w:r>
      <w:proofErr w:type="gramEnd"/>
      <w:r>
        <w:t xml:space="preserve"> those identified in the BOSTON </w:t>
      </w:r>
      <w:r w:rsidR="00093EF4">
        <w:t>trial</w:t>
      </w:r>
      <w:r>
        <w:t>, but in a more heavily treated and potentially more vulnerable population, particularly if treatment broadens beyond the limitations of the STORM</w:t>
      </w:r>
      <w:r w:rsidR="00093EF4">
        <w:t xml:space="preserve"> t</w:t>
      </w:r>
      <w:r>
        <w:t xml:space="preserve">rial population. Again, the discontinuations and interruptions to manage toxicity potentially place patients at risk of reduced efficacy. </w:t>
      </w:r>
    </w:p>
    <w:p w14:paraId="766D3A7E" w14:textId="5936AE0A" w:rsidR="0078796B" w:rsidRDefault="0078796B" w:rsidP="0078796B">
      <w:r>
        <w:t xml:space="preserve">While the sponsor has undertaken early studies to ascertain a suitable dose for further study and potentially patient treatment, further work is underway to refine the dosing. A Phase </w:t>
      </w:r>
      <w:r w:rsidR="00093EF4">
        <w:t>II</w:t>
      </w:r>
      <w:r>
        <w:t>b, randomised, open</w:t>
      </w:r>
      <w:r w:rsidR="00093EF4">
        <w:t xml:space="preserve"> </w:t>
      </w:r>
      <w:r>
        <w:t>label study (</w:t>
      </w:r>
      <w:r w:rsidR="00093EF4">
        <w:t xml:space="preserve">Study </w:t>
      </w:r>
      <w:r>
        <w:t>XPORT-MM-028)</w:t>
      </w:r>
      <w:r w:rsidR="008F0B15">
        <w:t>;</w:t>
      </w:r>
      <w:bookmarkStart w:id="51" w:name="_Ref117320183"/>
      <w:r w:rsidR="008F0B15">
        <w:rPr>
          <w:rStyle w:val="FootnoteReference"/>
        </w:rPr>
        <w:footnoteReference w:id="22"/>
      </w:r>
      <w:bookmarkEnd w:id="51"/>
      <w:r>
        <w:t xml:space="preserve"> is underway to investigate the following in the triple class refractory multiple myeloma setting:</w:t>
      </w:r>
    </w:p>
    <w:p w14:paraId="5769E7FC" w14:textId="2AC5A8A1" w:rsidR="0078796B" w:rsidRDefault="0078796B" w:rsidP="0078796B">
      <w:pPr>
        <w:pStyle w:val="ListBullet"/>
      </w:pPr>
      <w:proofErr w:type="spellStart"/>
      <w:r>
        <w:t>selinexor</w:t>
      </w:r>
      <w:proofErr w:type="spellEnd"/>
      <w:r>
        <w:t xml:space="preserve"> 100mg with bortezomib 1.3 mg/m</w:t>
      </w:r>
      <w:r w:rsidRPr="00093EF4">
        <w:rPr>
          <w:vertAlign w:val="superscript"/>
        </w:rPr>
        <w:t>2</w:t>
      </w:r>
      <w:r>
        <w:t xml:space="preserve"> and 40</w:t>
      </w:r>
      <w:r w:rsidR="00093EF4">
        <w:t xml:space="preserve"> </w:t>
      </w:r>
      <w:r>
        <w:t>mg dexamethasone, all once weekly,</w:t>
      </w:r>
    </w:p>
    <w:p w14:paraId="14F5A443" w14:textId="7BE2FFDA" w:rsidR="0078796B" w:rsidRDefault="0078796B" w:rsidP="0078796B">
      <w:pPr>
        <w:pStyle w:val="ListBullet"/>
      </w:pPr>
      <w:proofErr w:type="spellStart"/>
      <w:r>
        <w:t>selinexor</w:t>
      </w:r>
      <w:proofErr w:type="spellEnd"/>
      <w:r>
        <w:t xml:space="preserve"> 40 mg with 20</w:t>
      </w:r>
      <w:r w:rsidR="00093EF4">
        <w:t xml:space="preserve"> </w:t>
      </w:r>
      <w:r>
        <w:t>mg dexamethasone, both twice weekly,</w:t>
      </w:r>
    </w:p>
    <w:p w14:paraId="2EAB5F87" w14:textId="4E7E4674" w:rsidR="0078796B" w:rsidRDefault="0078796B" w:rsidP="0078796B">
      <w:pPr>
        <w:pStyle w:val="ListBullet"/>
      </w:pPr>
      <w:proofErr w:type="spellStart"/>
      <w:r>
        <w:t>selinexor</w:t>
      </w:r>
      <w:proofErr w:type="spellEnd"/>
      <w:r>
        <w:t xml:space="preserve"> 80 mg with 20</w:t>
      </w:r>
      <w:r w:rsidR="00093EF4">
        <w:t xml:space="preserve"> </w:t>
      </w:r>
      <w:r>
        <w:t>mg dexamethasone, both twice weekly,</w:t>
      </w:r>
    </w:p>
    <w:p w14:paraId="7F7C98ED" w14:textId="09D6706C" w:rsidR="0078796B" w:rsidRDefault="0078796B" w:rsidP="0078796B">
      <w:pPr>
        <w:pStyle w:val="ListBullet"/>
      </w:pPr>
      <w:proofErr w:type="spellStart"/>
      <w:r>
        <w:t>selinexor</w:t>
      </w:r>
      <w:proofErr w:type="spellEnd"/>
      <w:r>
        <w:t xml:space="preserve"> 100</w:t>
      </w:r>
      <w:r w:rsidR="00093EF4">
        <w:t xml:space="preserve"> </w:t>
      </w:r>
      <w:r>
        <w:t>mg with 40</w:t>
      </w:r>
      <w:r w:rsidR="00093EF4">
        <w:t xml:space="preserve"> </w:t>
      </w:r>
      <w:r>
        <w:t>mg dexamethasone, both once weekly.</w:t>
      </w:r>
    </w:p>
    <w:p w14:paraId="6E90CEDF" w14:textId="1E9D245A" w:rsidR="00CB3838" w:rsidRDefault="0078796B" w:rsidP="00CB3838">
      <w:r>
        <w:t xml:space="preserve">It therefore remains uncertain whether the proposed regimen </w:t>
      </w:r>
      <w:r w:rsidR="00B9231C">
        <w:t xml:space="preserve">currently proposed </w:t>
      </w:r>
      <w:r>
        <w:t xml:space="preserve">for registration will be modified after this study </w:t>
      </w:r>
      <w:r w:rsidR="00B9231C">
        <w:t>reports results.</w:t>
      </w:r>
    </w:p>
    <w:p w14:paraId="666891A8" w14:textId="432658D6" w:rsidR="007A4AA7" w:rsidRPr="00CB3838" w:rsidRDefault="007A4AA7" w:rsidP="00CB3838">
      <w:pPr>
        <w:pStyle w:val="Heading4"/>
      </w:pPr>
      <w:r w:rsidRPr="00CB3838">
        <w:t xml:space="preserve">Diffuse </w:t>
      </w:r>
      <w:r w:rsidR="00CB3838" w:rsidRPr="00CB3838">
        <w:t>l</w:t>
      </w:r>
      <w:r w:rsidRPr="00CB3838">
        <w:t xml:space="preserve">arge B-cell </w:t>
      </w:r>
      <w:r w:rsidR="00CB3838" w:rsidRPr="00CB3838">
        <w:t>l</w:t>
      </w:r>
      <w:r w:rsidRPr="00CB3838">
        <w:t>ymphoma</w:t>
      </w:r>
    </w:p>
    <w:p w14:paraId="49357457" w14:textId="63D42C94" w:rsidR="007A4AA7" w:rsidRPr="00CB3838" w:rsidRDefault="007A4AA7" w:rsidP="00CB3838">
      <w:r w:rsidRPr="00CB3838">
        <w:t>Diffuse large B cell lymphoma</w:t>
      </w:r>
      <w:r w:rsidR="000B5B63">
        <w:t xml:space="preserve"> (DLBCL)</w:t>
      </w:r>
      <w:r w:rsidRPr="00CB3838">
        <w:t xml:space="preserve"> is a diffuse proliferation of medium or large lymphoid B cells typically expressing CD19, CD20, CD22, CD79a, PAX5 and surface or cytoplasmic immunoglobulin.</w:t>
      </w:r>
    </w:p>
    <w:p w14:paraId="22BCF7DD" w14:textId="1946D8EE" w:rsidR="007A4AA7" w:rsidRPr="00CB3838" w:rsidRDefault="007A4AA7" w:rsidP="00CB3838">
      <w:r w:rsidRPr="00CB3838">
        <w:t xml:space="preserve">The </w:t>
      </w:r>
      <w:r w:rsidR="0041790C">
        <w:t>activated B cell (ABC)</w:t>
      </w:r>
      <w:r w:rsidRPr="00CB3838">
        <w:t xml:space="preserve"> subtype is characterised by chronic B-cell signalling and activation of nuclear factor </w:t>
      </w:r>
      <w:proofErr w:type="spellStart"/>
      <w:r w:rsidRPr="00CB3838">
        <w:t>κB</w:t>
      </w:r>
      <w:proofErr w:type="spellEnd"/>
      <w:r w:rsidRPr="00CB3838">
        <w:t xml:space="preserve">. The </w:t>
      </w:r>
      <w:r w:rsidR="0041790C" w:rsidRPr="0041790C">
        <w:t xml:space="preserve">germinal </w:t>
      </w:r>
      <w:proofErr w:type="spellStart"/>
      <w:r w:rsidR="0041790C" w:rsidRPr="0041790C">
        <w:t>center</w:t>
      </w:r>
      <w:proofErr w:type="spellEnd"/>
      <w:r w:rsidR="0041790C" w:rsidRPr="0041790C">
        <w:t xml:space="preserve"> B</w:t>
      </w:r>
      <w:r w:rsidR="0041790C">
        <w:t xml:space="preserve"> </w:t>
      </w:r>
      <w:r w:rsidR="0041790C" w:rsidRPr="0041790C">
        <w:t xml:space="preserve">cell </w:t>
      </w:r>
      <w:r w:rsidR="0041790C">
        <w:t>(</w:t>
      </w:r>
      <w:r w:rsidRPr="00CB3838">
        <w:t>GCB</w:t>
      </w:r>
      <w:r w:rsidR="0041790C">
        <w:t>)</w:t>
      </w:r>
      <w:r w:rsidRPr="00CB3838">
        <w:t xml:space="preserve"> subtype expresses genes commonly detected in germinal centre B cells including </w:t>
      </w:r>
      <w:r w:rsidRPr="0041790C">
        <w:rPr>
          <w:i/>
          <w:iCs/>
        </w:rPr>
        <w:t>BCL6</w:t>
      </w:r>
      <w:r w:rsidRPr="00CB3838">
        <w:t xml:space="preserve"> and </w:t>
      </w:r>
      <w:r w:rsidRPr="0041790C">
        <w:rPr>
          <w:i/>
          <w:iCs/>
        </w:rPr>
        <w:t>EZH2</w:t>
      </w:r>
      <w:r w:rsidRPr="00CB3838">
        <w:t xml:space="preserve">. This is relevant </w:t>
      </w:r>
      <w:r w:rsidRPr="00CB3838">
        <w:lastRenderedPageBreak/>
        <w:t>because these represent different targets for therapy, and therefore different responses to treatments.</w:t>
      </w:r>
    </w:p>
    <w:p w14:paraId="467D8CFC" w14:textId="77777777" w:rsidR="007A4AA7" w:rsidRPr="00CB3838" w:rsidRDefault="007A4AA7" w:rsidP="00CB3838">
      <w:r w:rsidRPr="00CB3838">
        <w:t>Most patients have no prior history of lymphoma but some result from the transformation of low-grade B cell lymphomas.</w:t>
      </w:r>
    </w:p>
    <w:p w14:paraId="5996861F" w14:textId="77777777" w:rsidR="007A4AA7" w:rsidRPr="00CB3838" w:rsidRDefault="007A4AA7" w:rsidP="00CB3838">
      <w:r w:rsidRPr="00CB3838">
        <w:t>The median age of disease is over 60 years, and 30% are older than 75 years.</w:t>
      </w:r>
    </w:p>
    <w:p w14:paraId="7EA446A6" w14:textId="77777777" w:rsidR="007A4AA7" w:rsidRPr="00CB3838" w:rsidRDefault="007A4AA7" w:rsidP="00CB3838">
      <w:pPr>
        <w:pStyle w:val="Heading5"/>
      </w:pPr>
      <w:r w:rsidRPr="00CB3838">
        <w:t>Treatment</w:t>
      </w:r>
    </w:p>
    <w:p w14:paraId="7199036F" w14:textId="2930DAB6" w:rsidR="00CB3838" w:rsidRDefault="007A4AA7" w:rsidP="00CB3838">
      <w:r w:rsidRPr="00CB3838">
        <w:t xml:space="preserve">Initial therapy is </w:t>
      </w:r>
      <w:r w:rsidR="0041790C" w:rsidRPr="0041790C">
        <w:t>rituximab, cyclophosphamide, hydroxydaunorubicin hydrochloride</w:t>
      </w:r>
      <w:r w:rsidR="0041790C">
        <w:t xml:space="preserve">, </w:t>
      </w:r>
      <w:proofErr w:type="gramStart"/>
      <w:r w:rsidR="0041790C" w:rsidRPr="0041790C">
        <w:t>vincristine</w:t>
      </w:r>
      <w:proofErr w:type="gramEnd"/>
      <w:r w:rsidR="0041790C" w:rsidRPr="0041790C">
        <w:t xml:space="preserve"> and prednisone </w:t>
      </w:r>
      <w:r w:rsidR="0041790C">
        <w:t>(</w:t>
      </w:r>
      <w:r w:rsidRPr="00CB3838">
        <w:t>R-CHOP</w:t>
      </w:r>
      <w:r w:rsidR="0041790C">
        <w:t>)</w:t>
      </w:r>
      <w:r w:rsidRPr="00CB3838">
        <w:t xml:space="preserve"> based </w:t>
      </w:r>
      <w:r w:rsidR="00CB3838">
        <w:t>with or without</w:t>
      </w:r>
      <w:r w:rsidRPr="00CB3838">
        <w:t xml:space="preserve"> radiotherapy. In relapsed or refractory disease, an option may be autologous stem cell transplantatio</w:t>
      </w:r>
      <w:r w:rsidR="00CB3838">
        <w:t>n</w:t>
      </w:r>
      <w:r w:rsidRPr="00CB3838">
        <w:t xml:space="preserve">, to which about 50% respond. For those who are not candidates for </w:t>
      </w:r>
      <w:r w:rsidR="00CB3838" w:rsidRPr="00CB3838">
        <w:t>autologous stem cell transplantatio</w:t>
      </w:r>
      <w:r w:rsidR="00CB3838">
        <w:t>n</w:t>
      </w:r>
      <w:r w:rsidRPr="00CB3838">
        <w:t xml:space="preserve">, who relapse after </w:t>
      </w:r>
      <w:r w:rsidR="00CB3838" w:rsidRPr="00CB3838">
        <w:t>autologous stem cell transplantatio</w:t>
      </w:r>
      <w:r w:rsidR="00CB3838">
        <w:t>n</w:t>
      </w:r>
      <w:r w:rsidRPr="00CB3838">
        <w:t xml:space="preserve"> or who are refractory to induction therapy available options include immunochemotherapy, CAR-T cell therapy (if eligible), </w:t>
      </w:r>
      <w:proofErr w:type="spellStart"/>
      <w:r w:rsidRPr="00CB3838">
        <w:t>polatuzumab</w:t>
      </w:r>
      <w:proofErr w:type="spellEnd"/>
      <w:r w:rsidRPr="00CB3838">
        <w:t xml:space="preserve"> </w:t>
      </w:r>
      <w:proofErr w:type="spellStart"/>
      <w:r w:rsidRPr="00CB3838">
        <w:t>vedotin</w:t>
      </w:r>
      <w:proofErr w:type="spellEnd"/>
      <w:r w:rsidRPr="00CB3838">
        <w:t xml:space="preserve"> </w:t>
      </w:r>
      <w:r w:rsidR="00CB3838">
        <w:t>plus</w:t>
      </w:r>
      <w:r w:rsidRPr="00CB3838">
        <w:t xml:space="preserve"> </w:t>
      </w:r>
      <w:proofErr w:type="spellStart"/>
      <w:r w:rsidRPr="00CB3838">
        <w:t>bendamustine</w:t>
      </w:r>
      <w:proofErr w:type="spellEnd"/>
      <w:r w:rsidRPr="00CB3838">
        <w:t xml:space="preserve"> and rituximab, allogeneic stem-cell transplantation, investigational </w:t>
      </w:r>
      <w:proofErr w:type="gramStart"/>
      <w:r w:rsidRPr="00CB3838">
        <w:t>agents</w:t>
      </w:r>
      <w:proofErr w:type="gramEnd"/>
      <w:r w:rsidRPr="00CB3838">
        <w:t xml:space="preserve"> or best supportive care.</w:t>
      </w:r>
    </w:p>
    <w:p w14:paraId="06393515" w14:textId="3C714E13" w:rsidR="007A4AA7" w:rsidRPr="00CB3838" w:rsidRDefault="007A4AA7" w:rsidP="00CB3838">
      <w:pPr>
        <w:pStyle w:val="Heading5"/>
      </w:pPr>
      <w:r w:rsidRPr="00CB3838">
        <w:t>Dose finding</w:t>
      </w:r>
    </w:p>
    <w:p w14:paraId="5BB62232" w14:textId="37A9502F" w:rsidR="007A4AA7" w:rsidRPr="00CB3838" w:rsidRDefault="007A4AA7" w:rsidP="00CB3838">
      <w:r w:rsidRPr="00CB3838">
        <w:t xml:space="preserve">The </w:t>
      </w:r>
      <w:proofErr w:type="spellStart"/>
      <w:r w:rsidRPr="00CB3838">
        <w:t>selinexor</w:t>
      </w:r>
      <w:proofErr w:type="spellEnd"/>
      <w:r w:rsidRPr="00CB3838">
        <w:t xml:space="preserve"> dose regimen in the pivotal Phase </w:t>
      </w:r>
      <w:r w:rsidR="00CB3838">
        <w:t>II</w:t>
      </w:r>
      <w:r w:rsidRPr="00CB3838">
        <w:t xml:space="preserve">b </w:t>
      </w:r>
      <w:r w:rsidR="000B5B63">
        <w:t>S</w:t>
      </w:r>
      <w:r w:rsidRPr="00CB3838">
        <w:t>tudy KCP-330-009 (SADAL</w:t>
      </w:r>
      <w:r w:rsidR="00CB3838">
        <w:t xml:space="preserve"> trial</w:t>
      </w:r>
      <w:r w:rsidRPr="00CB3838">
        <w:t xml:space="preserve">) was </w:t>
      </w:r>
      <w:proofErr w:type="spellStart"/>
      <w:r w:rsidRPr="00CB3838">
        <w:t>selinexor</w:t>
      </w:r>
      <w:proofErr w:type="spellEnd"/>
      <w:r w:rsidRPr="00CB3838">
        <w:t xml:space="preserve"> 60</w:t>
      </w:r>
      <w:r w:rsidR="00CB3838">
        <w:t> </w:t>
      </w:r>
      <w:r w:rsidRPr="00CB3838">
        <w:t xml:space="preserve">mg twice a week as monotherapy, based on data for </w:t>
      </w:r>
      <w:proofErr w:type="spellStart"/>
      <w:r w:rsidRPr="00CB3838">
        <w:t>selinexor</w:t>
      </w:r>
      <w:proofErr w:type="spellEnd"/>
      <w:r w:rsidRPr="00CB3838">
        <w:t xml:space="preserve"> monotherapy from 43 </w:t>
      </w:r>
      <w:r w:rsidR="00B9231C">
        <w:t>non-Hodgkin’s lymphoma</w:t>
      </w:r>
      <w:r w:rsidR="00B9231C" w:rsidRPr="00CB3838">
        <w:t xml:space="preserve"> </w:t>
      </w:r>
      <w:r w:rsidRPr="00CB3838">
        <w:t xml:space="preserve">patients in the Phase </w:t>
      </w:r>
      <w:r w:rsidR="00CB3838">
        <w:t>I</w:t>
      </w:r>
      <w:r w:rsidRPr="00CB3838">
        <w:t xml:space="preserve"> dose escalation </w:t>
      </w:r>
      <w:r w:rsidR="00B9231C">
        <w:t>S</w:t>
      </w:r>
      <w:r w:rsidRPr="00CB3838">
        <w:t>tudy</w:t>
      </w:r>
      <w:r w:rsidR="000B5B63">
        <w:t> </w:t>
      </w:r>
      <w:r w:rsidRPr="00CB3838">
        <w:t>KCP</w:t>
      </w:r>
      <w:r w:rsidR="000B5B63">
        <w:noBreakHyphen/>
      </w:r>
      <w:r w:rsidRPr="00CB3838">
        <w:t>330</w:t>
      </w:r>
      <w:r w:rsidR="000B5B63">
        <w:noBreakHyphen/>
      </w:r>
      <w:r w:rsidRPr="00CB3838">
        <w:t xml:space="preserve">001. </w:t>
      </w:r>
      <w:r w:rsidR="00CB3838">
        <w:t>Overall response rate</w:t>
      </w:r>
      <w:r w:rsidRPr="00CB3838">
        <w:t xml:space="preserve"> was 25.6% in that study. Responses were observed in all dose groups and there was no clear dose-response relationship in term of efficacy (based on</w:t>
      </w:r>
      <w:r w:rsidR="00CB3838">
        <w:t xml:space="preserve"> overall response rate</w:t>
      </w:r>
      <w:r w:rsidRPr="00CB3838">
        <w:t>).</w:t>
      </w:r>
    </w:p>
    <w:p w14:paraId="754AC183" w14:textId="3C075BFA" w:rsidR="007A4AA7" w:rsidRDefault="007A4AA7" w:rsidP="00CB3838">
      <w:r w:rsidRPr="00CB3838">
        <w:t xml:space="preserve">Doses of 60 mg and 100 mg twice weekly were further studied in </w:t>
      </w:r>
      <w:r w:rsidR="00CB3838">
        <w:t xml:space="preserve">Study </w:t>
      </w:r>
      <w:r w:rsidRPr="00CB3838">
        <w:t>KCP-330-009 (Protocol version &lt;</w:t>
      </w:r>
      <w:r w:rsidR="00CB3838">
        <w:t> </w:t>
      </w:r>
      <w:r w:rsidRPr="00CB3838">
        <w:t xml:space="preserve">6) to determine the optimal dose for </w:t>
      </w:r>
      <w:proofErr w:type="spellStart"/>
      <w:r w:rsidRPr="00CB3838">
        <w:t>selinexor</w:t>
      </w:r>
      <w:proofErr w:type="spellEnd"/>
      <w:r w:rsidRPr="00CB3838">
        <w:t xml:space="preserve"> in patients with DLBCL. Based on an interim analysis showing similar </w:t>
      </w:r>
      <w:r w:rsidR="00CB3838">
        <w:t>overall response rate</w:t>
      </w:r>
      <w:r w:rsidRPr="00CB3838">
        <w:t xml:space="preserve"> but better tolerability at the 60 mg dose, the 100 mg dose was discontinued as of </w:t>
      </w:r>
      <w:r w:rsidR="00CB3838">
        <w:t>p</w:t>
      </w:r>
      <w:r w:rsidRPr="00CB3838">
        <w:t xml:space="preserve">rotocol </w:t>
      </w:r>
      <w:r w:rsidR="00CB3838">
        <w:t>v</w:t>
      </w:r>
      <w:r w:rsidRPr="00CB3838">
        <w:t>ersion 6.</w:t>
      </w:r>
    </w:p>
    <w:p w14:paraId="01606C54" w14:textId="1394BDA7" w:rsidR="00B9231C" w:rsidRPr="00CB3838" w:rsidRDefault="00B9231C" w:rsidP="000B3827">
      <w:pPr>
        <w:pStyle w:val="Heading4"/>
      </w:pPr>
      <w:r>
        <w:t>Study KCP-330-009 (SADAL trial)</w:t>
      </w:r>
    </w:p>
    <w:p w14:paraId="4FEEA744" w14:textId="473782B8" w:rsidR="007A4AA7" w:rsidRDefault="007A4AA7" w:rsidP="00CB3838">
      <w:pPr>
        <w:pStyle w:val="Heading5"/>
      </w:pPr>
      <w:r w:rsidRPr="00CB3838">
        <w:t>Efficacy</w:t>
      </w:r>
    </w:p>
    <w:p w14:paraId="379EAEC7" w14:textId="0E19F5C8" w:rsidR="000B5B63" w:rsidRPr="000B3827" w:rsidRDefault="000B5B63" w:rsidP="000B3827">
      <w:pPr>
        <w:pStyle w:val="Heading6"/>
      </w:pPr>
      <w:r>
        <w:t>Study design</w:t>
      </w:r>
    </w:p>
    <w:p w14:paraId="1193AC1B" w14:textId="592BAF59" w:rsidR="007A4AA7" w:rsidRPr="00CB3838" w:rsidRDefault="007A4AA7" w:rsidP="00CB3838">
      <w:r w:rsidRPr="00CB3838">
        <w:t>Study KCP-330-009 (SADAL</w:t>
      </w:r>
      <w:r w:rsidR="00CB3838">
        <w:t xml:space="preserve"> trial</w:t>
      </w:r>
      <w:r w:rsidRPr="00CB3838">
        <w:t xml:space="preserve">) was an ongoing, Phase </w:t>
      </w:r>
      <w:r w:rsidR="00CB3838">
        <w:t>II</w:t>
      </w:r>
      <w:r w:rsidRPr="00CB3838">
        <w:t>b, multicentre, multinational, single</w:t>
      </w:r>
      <w:r w:rsidR="00CB3838">
        <w:t xml:space="preserve"> </w:t>
      </w:r>
      <w:r w:rsidRPr="00CB3838">
        <w:t>arm, open</w:t>
      </w:r>
      <w:r w:rsidR="00CB3838">
        <w:t xml:space="preserve"> </w:t>
      </w:r>
      <w:r w:rsidRPr="00CB3838">
        <w:t xml:space="preserve">label study of </w:t>
      </w:r>
      <w:proofErr w:type="spellStart"/>
      <w:r w:rsidRPr="00CB3838">
        <w:t>selinexor</w:t>
      </w:r>
      <w:proofErr w:type="spellEnd"/>
      <w:r w:rsidRPr="00CB3838">
        <w:t xml:space="preserve"> in patients with relapsed/refractory diffuse large B-cell lymphoma. The study commenced on 9 December 2014, and the data cut for the primary analysis was 1 August 2019.</w:t>
      </w:r>
    </w:p>
    <w:p w14:paraId="12E297CA" w14:textId="070688C4" w:rsidR="007A4AA7" w:rsidRDefault="007A4AA7" w:rsidP="00CB3838">
      <w:r w:rsidRPr="00CB3838">
        <w:t xml:space="preserve">The </w:t>
      </w:r>
      <w:r w:rsidR="00CB3838">
        <w:t xml:space="preserve">modified intent to treat </w:t>
      </w:r>
      <w:r w:rsidRPr="00CB3838">
        <w:t xml:space="preserve">population consisted of 127 patients who were randomised to 60 mg arm under protocol version 6 or enrolled under protocol versions 7 or higher and received at least </w:t>
      </w:r>
      <w:r w:rsidR="00CB3838">
        <w:t>one</w:t>
      </w:r>
      <w:r w:rsidRPr="00CB3838">
        <w:t xml:space="preserve"> dose of </w:t>
      </w:r>
      <w:proofErr w:type="spellStart"/>
      <w:r w:rsidRPr="00CB3838">
        <w:t>selinexor</w:t>
      </w:r>
      <w:proofErr w:type="spellEnd"/>
      <w:r w:rsidRPr="00CB3838">
        <w:t>. This population was the primary analysis population used for efficacy and safety.</w:t>
      </w:r>
    </w:p>
    <w:p w14:paraId="20B9713D" w14:textId="57A2B5BE" w:rsidR="000B5B63" w:rsidRPr="00CB3838" w:rsidRDefault="000B5B63" w:rsidP="000B3827">
      <w:pPr>
        <w:pStyle w:val="Heading6"/>
      </w:pPr>
      <w:r>
        <w:t>Inclusion criteria</w:t>
      </w:r>
    </w:p>
    <w:p w14:paraId="2D66A6F9" w14:textId="3B69DC25" w:rsidR="00CB3838" w:rsidRDefault="007A4AA7" w:rsidP="00CB3838">
      <w:r w:rsidRPr="00CB3838">
        <w:t>The key inclusion criteria included</w:t>
      </w:r>
      <w:r w:rsidR="00CB3838">
        <w:t>:</w:t>
      </w:r>
    </w:p>
    <w:p w14:paraId="3412B584" w14:textId="7AADEB11" w:rsidR="00CB3838" w:rsidRPr="00263F0D" w:rsidRDefault="00CB3838" w:rsidP="00CB3838">
      <w:pPr>
        <w:pStyle w:val="ListBullet"/>
      </w:pPr>
      <w:r w:rsidRPr="00263F0D">
        <w:t>Age ≥</w:t>
      </w:r>
      <w:r>
        <w:t> </w:t>
      </w:r>
      <w:r w:rsidRPr="00263F0D">
        <w:t>18 years</w:t>
      </w:r>
    </w:p>
    <w:p w14:paraId="4CCA57DA" w14:textId="49A49BDE" w:rsidR="00CB3838" w:rsidRPr="00263F0D" w:rsidRDefault="00CB3838" w:rsidP="00CB3838">
      <w:pPr>
        <w:pStyle w:val="ListBullet"/>
      </w:pPr>
      <w:r w:rsidRPr="00263F0D">
        <w:t>ECOG performance status of ≤</w:t>
      </w:r>
      <w:r>
        <w:t> </w:t>
      </w:r>
      <w:r w:rsidRPr="00263F0D">
        <w:t>2</w:t>
      </w:r>
    </w:p>
    <w:p w14:paraId="09992A4E" w14:textId="7D1FD7BE" w:rsidR="00CB3838" w:rsidRPr="00263F0D" w:rsidRDefault="00CB3838" w:rsidP="00CB3838">
      <w:pPr>
        <w:pStyle w:val="ListBullet"/>
      </w:pPr>
      <w:r w:rsidRPr="00263F0D">
        <w:t>Estimated life expectancy &gt;</w:t>
      </w:r>
      <w:r>
        <w:t> </w:t>
      </w:r>
      <w:r w:rsidRPr="00263F0D">
        <w:t>3 months at study entry</w:t>
      </w:r>
    </w:p>
    <w:p w14:paraId="53F89939" w14:textId="4FA91B76" w:rsidR="00CB3838" w:rsidRPr="00263F0D" w:rsidRDefault="00CB3838" w:rsidP="00CB3838">
      <w:pPr>
        <w:pStyle w:val="ListBullet"/>
      </w:pPr>
      <w:r w:rsidRPr="00263F0D">
        <w:t xml:space="preserve">Previously treated, pathologically confirmed </w:t>
      </w:r>
      <w:r w:rsidRPr="00CB3838">
        <w:rPr>
          <w:i/>
          <w:iCs/>
        </w:rPr>
        <w:t>de novo</w:t>
      </w:r>
      <w:r w:rsidRPr="00263F0D">
        <w:t xml:space="preserve"> DLBCL, or DLBCL transformed from previously diagnosed indolent lymphoma (</w:t>
      </w:r>
      <w:r>
        <w:t xml:space="preserve">for example, </w:t>
      </w:r>
      <w:r w:rsidRPr="00263F0D">
        <w:t>follicular lymphoma)</w:t>
      </w:r>
    </w:p>
    <w:p w14:paraId="031B03F7" w14:textId="258F5D41" w:rsidR="00CB3838" w:rsidRPr="00263F0D" w:rsidRDefault="00CB3838" w:rsidP="00CB3838">
      <w:pPr>
        <w:pStyle w:val="ListBullet"/>
      </w:pPr>
      <w:r w:rsidRPr="00263F0D">
        <w:lastRenderedPageBreak/>
        <w:t xml:space="preserve">Patients must </w:t>
      </w:r>
      <w:proofErr w:type="gramStart"/>
      <w:r w:rsidRPr="00263F0D">
        <w:t>had</w:t>
      </w:r>
      <w:proofErr w:type="gramEnd"/>
      <w:r w:rsidRPr="00263F0D">
        <w:t xml:space="preserve"> ≥ 2 but ≤ 5 previous systemic regimens for </w:t>
      </w:r>
      <w:r w:rsidRPr="00CB3838">
        <w:rPr>
          <w:i/>
          <w:iCs/>
        </w:rPr>
        <w:t>de novo</w:t>
      </w:r>
      <w:r w:rsidRPr="00263F0D">
        <w:t xml:space="preserve"> or transformed DLBCL including</w:t>
      </w:r>
    </w:p>
    <w:p w14:paraId="3E73CF8E" w14:textId="77777777" w:rsidR="00CB3838" w:rsidRPr="00263F0D" w:rsidRDefault="00CB3838" w:rsidP="00CB3838">
      <w:pPr>
        <w:pStyle w:val="ListBullet2"/>
      </w:pPr>
      <w:r w:rsidRPr="00263F0D">
        <w:t xml:space="preserve">≥ 1 course of anthracycline-based chemotherapy (unless absolutely contraindicated due to cardiac dysfunction, in which case other active agents such as etoposide, </w:t>
      </w:r>
      <w:proofErr w:type="spellStart"/>
      <w:r w:rsidRPr="00263F0D">
        <w:t>bendamustine</w:t>
      </w:r>
      <w:proofErr w:type="spellEnd"/>
      <w:r w:rsidRPr="00263F0D">
        <w:t xml:space="preserve"> or gemcitabine must have been given) and </w:t>
      </w:r>
    </w:p>
    <w:p w14:paraId="7BEE5699" w14:textId="36BA0E26" w:rsidR="00CB3838" w:rsidRPr="00263F0D" w:rsidRDefault="00CB3838" w:rsidP="00CB3838">
      <w:pPr>
        <w:pStyle w:val="ListBullet2"/>
      </w:pPr>
      <w:r w:rsidRPr="00263F0D">
        <w:t>≥ 1 course of anti-CD20 immunotherapy (</w:t>
      </w:r>
      <w:r>
        <w:t>for example</w:t>
      </w:r>
      <w:r w:rsidRPr="00263F0D">
        <w:t>, rituximab), unless contraindicated due to severe toxicity.</w:t>
      </w:r>
    </w:p>
    <w:p w14:paraId="017D1E87" w14:textId="04C1989B" w:rsidR="00CB3838" w:rsidRPr="00263F0D" w:rsidRDefault="00CB3838" w:rsidP="00CB3838">
      <w:pPr>
        <w:pStyle w:val="ListBullet"/>
      </w:pPr>
      <w:proofErr w:type="gramStart"/>
      <w:r w:rsidRPr="00263F0D">
        <w:t>Patients</w:t>
      </w:r>
      <w:proofErr w:type="gramEnd"/>
      <w:r w:rsidRPr="00263F0D">
        <w:t xml:space="preserve"> ineligible for standard multi-agent immunochemotherapy must have received at ≥ 2 and ≤ 5 prior treatment regimens including at ≥ 1 course of anti-CD20 antibodies and must have been approved by the </w:t>
      </w:r>
      <w:r>
        <w:t>m</w:t>
      </w:r>
      <w:r w:rsidRPr="00263F0D">
        <w:t xml:space="preserve">edical </w:t>
      </w:r>
      <w:r>
        <w:t>m</w:t>
      </w:r>
      <w:r w:rsidRPr="00263F0D">
        <w:t xml:space="preserve">onitor. Prior stem cell transplantation was allowed; induction, consolidation, stem cell collection, preparative </w:t>
      </w:r>
      <w:proofErr w:type="gramStart"/>
      <w:r w:rsidRPr="00263F0D">
        <w:t>regimen</w:t>
      </w:r>
      <w:proofErr w:type="gramEnd"/>
      <w:r w:rsidRPr="00263F0D">
        <w:t xml:space="preserve"> and transplantation </w:t>
      </w:r>
      <w:r>
        <w:t>with or without</w:t>
      </w:r>
      <w:r w:rsidRPr="00263F0D">
        <w:t xml:space="preserve"> maintenance were considered a single line of therapy</w:t>
      </w:r>
    </w:p>
    <w:p w14:paraId="3808C6BC" w14:textId="497B0418" w:rsidR="00CB3838" w:rsidRPr="00263F0D" w:rsidRDefault="00CB3838" w:rsidP="00CB3838">
      <w:pPr>
        <w:pStyle w:val="ListBullet"/>
      </w:pPr>
      <w:bookmarkStart w:id="52" w:name="_Hlk86590018"/>
      <w:r w:rsidRPr="00263F0D">
        <w:t xml:space="preserve">If recent systemic anti-DLBCL therapy induced a </w:t>
      </w:r>
      <w:r w:rsidR="000B5B63">
        <w:t>partial response</w:t>
      </w:r>
      <w:r w:rsidR="000B5B63" w:rsidRPr="00263F0D">
        <w:t xml:space="preserve"> </w:t>
      </w:r>
      <w:r w:rsidRPr="00263F0D">
        <w:t xml:space="preserve">or </w:t>
      </w:r>
      <w:r w:rsidR="000B5B63">
        <w:t>complete response</w:t>
      </w:r>
      <w:r w:rsidRPr="00263F0D">
        <w:t xml:space="preserve">, ≥ 60 days must have elapsed since the end of that therapy (until first dose of </w:t>
      </w:r>
      <w:proofErr w:type="spellStart"/>
      <w:r w:rsidRPr="00263F0D">
        <w:t>selinexor</w:t>
      </w:r>
      <w:proofErr w:type="spellEnd"/>
      <w:r w:rsidRPr="00263F0D">
        <w:t xml:space="preserve">). </w:t>
      </w:r>
      <w:bookmarkEnd w:id="52"/>
      <w:r w:rsidRPr="00263F0D">
        <w:t>For all other patients, ≥ 14 weeks (98 days) must have elapsed since the end of their most recent systemic anti DLBCL therapy. Palliative locali</w:t>
      </w:r>
      <w:r>
        <w:t>s</w:t>
      </w:r>
      <w:r w:rsidRPr="00263F0D">
        <w:t>ed radiation within the therapy-free interval was allowed. Non-chemotherapy maintenance was not considered anti-DLBCL therapy, and therefore was allowed during the therapy-free interval</w:t>
      </w:r>
    </w:p>
    <w:p w14:paraId="43BCDBC9" w14:textId="77777777" w:rsidR="00CB3838" w:rsidRPr="00263F0D" w:rsidRDefault="00CB3838" w:rsidP="00CB3838">
      <w:pPr>
        <w:pStyle w:val="ListBullet"/>
      </w:pPr>
      <w:r w:rsidRPr="00263F0D">
        <w:t>Documented clinical or radiographic evidence of progressive DLBCL prior to dosing</w:t>
      </w:r>
    </w:p>
    <w:p w14:paraId="6D67463B" w14:textId="77777777" w:rsidR="000B5B63" w:rsidRDefault="00CB3838" w:rsidP="00CB3838">
      <w:pPr>
        <w:pStyle w:val="ListBullet"/>
      </w:pPr>
      <w:r w:rsidRPr="00263F0D">
        <w:t>Measurable disease per the revised criteria for response assessment of lymphoma.</w:t>
      </w:r>
      <w:bookmarkStart w:id="53" w:name="_Ref117329434"/>
      <w:r w:rsidR="000C1F4E">
        <w:rPr>
          <w:rStyle w:val="FootnoteReference"/>
        </w:rPr>
        <w:footnoteReference w:id="23"/>
      </w:r>
      <w:bookmarkEnd w:id="53"/>
      <w:r w:rsidRPr="00263F0D">
        <w:t xml:space="preserve"> Lymph nodes were considered abnormal if the long axis was &gt;</w:t>
      </w:r>
      <w:r w:rsidR="008606E3">
        <w:t> </w:t>
      </w:r>
      <w:r w:rsidRPr="00263F0D">
        <w:t>1.5 cm, regardless of the short axis. If a lymph node had a long axis of 1.1 to 1.5 cm, it was considered abnormal if its short axis was &gt;</w:t>
      </w:r>
      <w:r w:rsidR="00B16E5C">
        <w:t> </w:t>
      </w:r>
      <w:r w:rsidRPr="00263F0D">
        <w:t>1. Lymph nodes ≤</w:t>
      </w:r>
      <w:r w:rsidR="008606E3">
        <w:t> </w:t>
      </w:r>
      <w:r w:rsidRPr="00263F0D">
        <w:t>1 by ≤</w:t>
      </w:r>
      <w:r w:rsidR="008606E3">
        <w:t> </w:t>
      </w:r>
      <w:r w:rsidRPr="00263F0D">
        <w:t xml:space="preserve">1 were not considered abnormal for relapse or </w:t>
      </w:r>
      <w:r w:rsidR="000B5B63">
        <w:t>progressive disease.</w:t>
      </w:r>
    </w:p>
    <w:p w14:paraId="672F4E48" w14:textId="711C1BBC" w:rsidR="00CB3838" w:rsidRDefault="000B5B63" w:rsidP="000B3827">
      <w:pPr>
        <w:pStyle w:val="Heading6"/>
      </w:pPr>
      <w:r>
        <w:t>Exclusion criteria</w:t>
      </w:r>
    </w:p>
    <w:p w14:paraId="2F1A58BE" w14:textId="775EFE97" w:rsidR="00A25E4D" w:rsidRDefault="00A25E4D" w:rsidP="00CB3838">
      <w:r>
        <w:t>Key exclusion criteria included:</w:t>
      </w:r>
    </w:p>
    <w:p w14:paraId="76716F40" w14:textId="77777777" w:rsidR="00A25E4D" w:rsidRDefault="00A25E4D" w:rsidP="00A25E4D">
      <w:pPr>
        <w:pStyle w:val="ListBullet"/>
      </w:pPr>
      <w:r>
        <w:t>Patients who were pregnant or lactating</w:t>
      </w:r>
    </w:p>
    <w:p w14:paraId="77EDB251" w14:textId="0AD59305" w:rsidR="00A25E4D" w:rsidRDefault="00A25E4D" w:rsidP="00A25E4D">
      <w:pPr>
        <w:pStyle w:val="ListBullet"/>
      </w:pPr>
      <w:r>
        <w:t xml:space="preserve">DLBCL with mucosa-associated lymphoid tissue </w:t>
      </w:r>
      <w:r w:rsidR="0041790C">
        <w:t>(</w:t>
      </w:r>
      <w:r>
        <w:t>MALT</w:t>
      </w:r>
      <w:r w:rsidR="0041790C">
        <w:t>)</w:t>
      </w:r>
      <w:r>
        <w:t xml:space="preserve"> lymphoma, composite lymphoma (Hodgkin’s lymphoma +</w:t>
      </w:r>
      <w:r w:rsidR="00B16E5C">
        <w:t xml:space="preserve"> </w:t>
      </w:r>
      <w:r w:rsidR="000B5B63">
        <w:t>non-Hodgkin’s lymphoma (</w:t>
      </w:r>
      <w:r>
        <w:t>NHL</w:t>
      </w:r>
      <w:r w:rsidR="000B5B63">
        <w:t>)</w:t>
      </w:r>
      <w:r>
        <w:t>), or DLBCL transformed from diseases other than indolent NHL</w:t>
      </w:r>
    </w:p>
    <w:p w14:paraId="1B4DE15E" w14:textId="77777777" w:rsidR="00A25E4D" w:rsidRDefault="00A25E4D" w:rsidP="00A25E4D">
      <w:pPr>
        <w:pStyle w:val="ListBullet"/>
      </w:pPr>
      <w:r>
        <w:t>Patients with primary mediastinal (thymic) large B-cell lymphoma</w:t>
      </w:r>
    </w:p>
    <w:p w14:paraId="7E8006D2" w14:textId="582C6FF7" w:rsidR="00A25E4D" w:rsidRDefault="00A25E4D" w:rsidP="00A25E4D">
      <w:pPr>
        <w:pStyle w:val="ListBullet"/>
      </w:pPr>
      <w:r>
        <w:t>Not eligible for high-dose chemotherapy with autologous stem cell transplantation rescue</w:t>
      </w:r>
    </w:p>
    <w:p w14:paraId="063CCB70" w14:textId="74BFD5F5" w:rsidR="00A25E4D" w:rsidRDefault="00A25E4D" w:rsidP="00A25E4D">
      <w:pPr>
        <w:pStyle w:val="ListBullet"/>
      </w:pPr>
      <w:r>
        <w:t>Known central nervous system lymphoma or meningeal involvement</w:t>
      </w:r>
    </w:p>
    <w:p w14:paraId="655539AA" w14:textId="7735DAF5" w:rsidR="00A25E4D" w:rsidRDefault="00A25E4D" w:rsidP="00A25E4D">
      <w:pPr>
        <w:pStyle w:val="ListBullet"/>
      </w:pPr>
      <w:r>
        <w:t xml:space="preserve">If most recent systemic anti-DLBCL therapy induced a </w:t>
      </w:r>
      <w:r w:rsidR="000B5B63">
        <w:t xml:space="preserve">partial </w:t>
      </w:r>
      <w:r>
        <w:t xml:space="preserve">or </w:t>
      </w:r>
      <w:r w:rsidR="000B5B63">
        <w:t>complete response</w:t>
      </w:r>
      <w:r>
        <w:t>: Radiation, chemotherapy, immunotherapy, radio-immunotherapy, or any other anticancer therapy other than glucocorticoids &lt;</w:t>
      </w:r>
      <w:r w:rsidR="0041790C">
        <w:t xml:space="preserve"> </w:t>
      </w:r>
      <w:r>
        <w:t>60 days prior to Cycle 1 Day 1</w:t>
      </w:r>
    </w:p>
    <w:p w14:paraId="11920E85" w14:textId="681DDB1E" w:rsidR="00A25E4D" w:rsidRDefault="00A25E4D" w:rsidP="00A25E4D">
      <w:pPr>
        <w:pStyle w:val="ListBullet"/>
      </w:pPr>
      <w:r>
        <w:t xml:space="preserve">If most recent systemic anti-DLBCL therapy did not induce a </w:t>
      </w:r>
      <w:r w:rsidR="000B5B63">
        <w:t>partial or complete response</w:t>
      </w:r>
      <w:r>
        <w:t>: Radiation, chemotherapy, immunotherapy, radio-immunotherapy, or any other anticancer therapy other than glucocorticoids &lt;</w:t>
      </w:r>
      <w:r w:rsidR="0041790C">
        <w:t xml:space="preserve"> </w:t>
      </w:r>
      <w:r>
        <w:t>14 weeks prior to Cycle 1 Day 1</w:t>
      </w:r>
    </w:p>
    <w:p w14:paraId="2B43BD0A" w14:textId="5C6C0050" w:rsidR="00A25E4D" w:rsidRDefault="00A25E4D" w:rsidP="00A25E4D">
      <w:pPr>
        <w:pStyle w:val="ListBullet"/>
      </w:pPr>
      <w:r>
        <w:lastRenderedPageBreak/>
        <w:t>Not recovered to Grade ≤</w:t>
      </w:r>
      <w:r w:rsidR="00B73C62">
        <w:t xml:space="preserve"> </w:t>
      </w:r>
      <w:r>
        <w:t xml:space="preserve">1 clinically significant </w:t>
      </w:r>
      <w:r w:rsidR="000B5B63">
        <w:t xml:space="preserve">adverse </w:t>
      </w:r>
      <w:proofErr w:type="gramStart"/>
      <w:r w:rsidR="000B5B63">
        <w:t>events</w:t>
      </w:r>
      <w:proofErr w:type="gramEnd"/>
      <w:r>
        <w:t>, or to their baseline, from most recent systemic anti-DLBCL therapy</w:t>
      </w:r>
    </w:p>
    <w:p w14:paraId="60B7EF5D" w14:textId="77777777" w:rsidR="00A25E4D" w:rsidRDefault="00A25E4D" w:rsidP="00A25E4D">
      <w:pPr>
        <w:pStyle w:val="ListBullet"/>
      </w:pPr>
      <w:r>
        <w:t>Active graft-versus-host disease after allogeneic stem cell transplantation; ≥ 4 months must have elapsed since completion of allogeneic stem cell transplantation</w:t>
      </w:r>
    </w:p>
    <w:p w14:paraId="0B66AE9C" w14:textId="77777777" w:rsidR="00A25E4D" w:rsidRDefault="00A25E4D" w:rsidP="00A25E4D">
      <w:pPr>
        <w:pStyle w:val="ListBullet"/>
      </w:pPr>
      <w:r>
        <w:t>Major surgery within 2 weeks of first dose of study treatment</w:t>
      </w:r>
    </w:p>
    <w:p w14:paraId="7D4558C1" w14:textId="77777777" w:rsidR="00A25E4D" w:rsidRDefault="00A25E4D" w:rsidP="00A25E4D">
      <w:pPr>
        <w:pStyle w:val="ListBullet"/>
      </w:pPr>
      <w:r>
        <w:t xml:space="preserve">Any life-threatening illness, medical </w:t>
      </w:r>
      <w:proofErr w:type="gramStart"/>
      <w:r>
        <w:t>condition</w:t>
      </w:r>
      <w:proofErr w:type="gramEnd"/>
      <w:r>
        <w:t xml:space="preserve"> or organ system dysfunction which, in the Investigator's opinion, could compromise the patient’s safety</w:t>
      </w:r>
    </w:p>
    <w:p w14:paraId="686AEC41" w14:textId="10929902" w:rsidR="00A25E4D" w:rsidRDefault="00A25E4D" w:rsidP="00A25E4D">
      <w:pPr>
        <w:pStyle w:val="ListBullet"/>
      </w:pPr>
      <w:r>
        <w:t>Unstable cardiovascular function (any of):</w:t>
      </w:r>
    </w:p>
    <w:p w14:paraId="68F67B76" w14:textId="7994F173" w:rsidR="00A25E4D" w:rsidRDefault="00A25E4D" w:rsidP="00A25E4D">
      <w:pPr>
        <w:pStyle w:val="ListBullet2"/>
      </w:pPr>
      <w:r>
        <w:t>Symptomatic ischemia</w:t>
      </w:r>
    </w:p>
    <w:p w14:paraId="52EB55C0" w14:textId="0ADD7C08" w:rsidR="00A25E4D" w:rsidRDefault="00A25E4D" w:rsidP="00A25E4D">
      <w:pPr>
        <w:pStyle w:val="ListBullet2"/>
      </w:pPr>
      <w:r>
        <w:t>Uncontrolled clinically significant conduction abnormalities (</w:t>
      </w:r>
      <w:r w:rsidR="000B5B63">
        <w:t xml:space="preserve">ventricular tachycardia </w:t>
      </w:r>
      <w:r>
        <w:t xml:space="preserve">on anti-arrhythmia are excluded; </w:t>
      </w:r>
      <w:r w:rsidR="000B5B63">
        <w:t>first</w:t>
      </w:r>
      <w:r>
        <w:t xml:space="preserve"> degree </w:t>
      </w:r>
      <w:r w:rsidR="000B5B63">
        <w:t>atrioventricular (</w:t>
      </w:r>
      <w:r>
        <w:t>AV</w:t>
      </w:r>
      <w:r w:rsidR="000B5B63">
        <w:t>)</w:t>
      </w:r>
      <w:r>
        <w:t xml:space="preserve"> block or asymptomatic </w:t>
      </w:r>
      <w:r w:rsidR="000B5B63">
        <w:t xml:space="preserve">left anterior fascicular </w:t>
      </w:r>
      <w:proofErr w:type="gramStart"/>
      <w:r w:rsidR="000B5B63">
        <w:t>block  or</w:t>
      </w:r>
      <w:proofErr w:type="gramEnd"/>
      <w:r w:rsidR="000B5B63">
        <w:t xml:space="preserve"> right bundle branch block (</w:t>
      </w:r>
      <w:r>
        <w:t>RBBB</w:t>
      </w:r>
      <w:r w:rsidR="000B5B63">
        <w:t>)</w:t>
      </w:r>
      <w:r>
        <w:t xml:space="preserve"> not excluded)</w:t>
      </w:r>
    </w:p>
    <w:p w14:paraId="29459891" w14:textId="6E18AB65" w:rsidR="00A25E4D" w:rsidRDefault="00A25E4D" w:rsidP="00A25E4D">
      <w:pPr>
        <w:pStyle w:val="ListBullet2"/>
      </w:pPr>
      <w:r>
        <w:t>Congestive heart failure of NYHA Class ≥</w:t>
      </w:r>
      <w:r w:rsidR="00B73C62">
        <w:t xml:space="preserve"> </w:t>
      </w:r>
      <w:r>
        <w:t>3</w:t>
      </w:r>
    </w:p>
    <w:p w14:paraId="6DFAC924" w14:textId="3C973F19" w:rsidR="00A25E4D" w:rsidRDefault="00A25E4D" w:rsidP="00A25E4D">
      <w:pPr>
        <w:pStyle w:val="ListBullet2"/>
      </w:pPr>
      <w:r>
        <w:t>Myocardial infarction within 3 months</w:t>
      </w:r>
    </w:p>
    <w:p w14:paraId="49035B72" w14:textId="115C63A6" w:rsidR="00A25E4D" w:rsidRDefault="00A25E4D" w:rsidP="00A25E4D">
      <w:pPr>
        <w:pStyle w:val="ListBullet"/>
      </w:pPr>
      <w:r>
        <w:t>Uncontrolled (clinically unstable) infection requiring parenteral antibiotics, antivirals, or antifungals &lt; 1 week prior to first dose; however, prophylactic use of these agents was acceptable even if parenteral</w:t>
      </w:r>
    </w:p>
    <w:p w14:paraId="20D7F783" w14:textId="4EB774FB" w:rsidR="00A25E4D" w:rsidRDefault="00A25E4D" w:rsidP="00A25E4D">
      <w:pPr>
        <w:pStyle w:val="ListBullet"/>
      </w:pPr>
      <w:r>
        <w:t>Active hepatitis B virus or hepatitis C virus infection</w:t>
      </w:r>
    </w:p>
    <w:p w14:paraId="183F20ED" w14:textId="51252E72" w:rsidR="00A25E4D" w:rsidRDefault="00A25E4D" w:rsidP="00A25E4D">
      <w:pPr>
        <w:pStyle w:val="ListBullet"/>
      </w:pPr>
      <w:r>
        <w:t>Known human immunodeficiency virus infection (HIV testing was not required as part of this study)</w:t>
      </w:r>
    </w:p>
    <w:p w14:paraId="48DEF0C0" w14:textId="77777777" w:rsidR="00A25E4D" w:rsidRDefault="00A25E4D" w:rsidP="00A25E4D">
      <w:pPr>
        <w:pStyle w:val="ListBullet"/>
      </w:pPr>
      <w:r>
        <w:t>Unable to swallow tablets, patients with malabsorption syndrome, or any other gastrointestinal disease or gastrointestinal dysfunction that could have interfered with absorption of study treatment</w:t>
      </w:r>
    </w:p>
    <w:p w14:paraId="2BC6C89F" w14:textId="77777777" w:rsidR="00A25E4D" w:rsidRDefault="00A25E4D" w:rsidP="00A25E4D">
      <w:pPr>
        <w:pStyle w:val="ListBullet"/>
      </w:pPr>
      <w:r>
        <w:t>Any of the following laboratory abnormalities:</w:t>
      </w:r>
    </w:p>
    <w:p w14:paraId="040B518F" w14:textId="470EFBD8" w:rsidR="00A25E4D" w:rsidRDefault="00A25E4D" w:rsidP="00A25E4D">
      <w:pPr>
        <w:pStyle w:val="ListBullet2"/>
      </w:pPr>
      <w:r>
        <w:t>Absolute neutrophil count &lt;</w:t>
      </w:r>
      <w:r w:rsidR="00B73C62">
        <w:t xml:space="preserve"> </w:t>
      </w:r>
      <w:r>
        <w:t>1000 cells/mm</w:t>
      </w:r>
      <w:r w:rsidRPr="00B73C62">
        <w:rPr>
          <w:vertAlign w:val="superscript"/>
        </w:rPr>
        <w:t>3</w:t>
      </w:r>
      <w:r>
        <w:t xml:space="preserve"> or platelet count &lt;</w:t>
      </w:r>
      <w:r w:rsidR="00B73C62">
        <w:t xml:space="preserve"> </w:t>
      </w:r>
      <w:r>
        <w:t>75,000/mm</w:t>
      </w:r>
      <w:r w:rsidRPr="00B73C62">
        <w:rPr>
          <w:vertAlign w:val="superscript"/>
        </w:rPr>
        <w:t>3</w:t>
      </w:r>
      <w:r>
        <w:t xml:space="preserve"> during screening and on Cycle 1 Day 1. Use of granulocyte</w:t>
      </w:r>
      <w:r w:rsidR="00B73C62">
        <w:t xml:space="preserve"> </w:t>
      </w:r>
      <w:r>
        <w:t>stimulating factors and platelet growth factors prior to and during the study was acceptable</w:t>
      </w:r>
    </w:p>
    <w:p w14:paraId="41448D9A" w14:textId="24E05A0C" w:rsidR="00A25E4D" w:rsidRDefault="00A25E4D" w:rsidP="00A25E4D">
      <w:pPr>
        <w:pStyle w:val="ListBullet2"/>
      </w:pPr>
      <w:r>
        <w:t>Circulating lymphocyte count of &gt;</w:t>
      </w:r>
      <w:r w:rsidR="00B73C62">
        <w:t xml:space="preserve"> </w:t>
      </w:r>
      <w:r>
        <w:t>50,000/</w:t>
      </w:r>
      <w:proofErr w:type="spellStart"/>
      <w:r>
        <w:t>μL</w:t>
      </w:r>
      <w:proofErr w:type="spellEnd"/>
    </w:p>
    <w:p w14:paraId="7DF91EB0" w14:textId="25AA0F86" w:rsidR="00A25E4D" w:rsidRDefault="00A25E4D" w:rsidP="00A25E4D">
      <w:pPr>
        <w:pStyle w:val="ListBullet2"/>
      </w:pPr>
      <w:r>
        <w:t>Hepatic dysfunction: bilirubin &gt;</w:t>
      </w:r>
      <w:r w:rsidR="00B73C62">
        <w:t xml:space="preserve"> </w:t>
      </w:r>
      <w:r>
        <w:t xml:space="preserve">2 times the </w:t>
      </w:r>
      <w:r w:rsidR="00B73C62">
        <w:t>ULN</w:t>
      </w:r>
      <w:r>
        <w:t xml:space="preserve"> (except patients with Gilbert’s syndrome: total bilirubin of &gt;</w:t>
      </w:r>
      <w:r w:rsidR="00B16E5C">
        <w:t xml:space="preserve"> </w:t>
      </w:r>
      <w:r>
        <w:t>3 x ULN) and alanine aminotransferase (ALT) and aspartate aminotransferase (AST) &gt;</w:t>
      </w:r>
      <w:r w:rsidR="00B16E5C">
        <w:t xml:space="preserve"> </w:t>
      </w:r>
      <w:r>
        <w:t>2.5 times ULN. In patients with known liver involvement of their DLBCL, AST and ALT &gt;</w:t>
      </w:r>
      <w:r w:rsidR="00B16E5C">
        <w:t xml:space="preserve"> </w:t>
      </w:r>
      <w:r>
        <w:t>5 x ULN</w:t>
      </w:r>
    </w:p>
    <w:p w14:paraId="591B4CA8" w14:textId="7CC22D87" w:rsidR="00A25E4D" w:rsidRDefault="00A25E4D" w:rsidP="00A25E4D">
      <w:pPr>
        <w:pStyle w:val="ListBullet2"/>
      </w:pPr>
      <w:r>
        <w:t>Severe renal dysfunction: estimated creatinine clearance of &lt;</w:t>
      </w:r>
      <w:r w:rsidR="00B73C62">
        <w:t xml:space="preserve"> </w:t>
      </w:r>
      <w:r>
        <w:t xml:space="preserve">30 mL/min, measured in 24-hour urine or calculated using the formula of </w:t>
      </w:r>
      <w:proofErr w:type="spellStart"/>
      <w:r>
        <w:t>Cockroft</w:t>
      </w:r>
      <w:proofErr w:type="spellEnd"/>
      <w:r>
        <w:t xml:space="preserve"> and Gault [(140-Age) × </w:t>
      </w:r>
      <w:r w:rsidR="00B73C62">
        <w:t>m</w:t>
      </w:r>
      <w:r>
        <w:t>ass (kg)</w:t>
      </w:r>
      <w:proofErr w:type="gramStart"/>
      <w:r>
        <w:t>/(</w:t>
      </w:r>
      <w:proofErr w:type="gramEnd"/>
      <w:r>
        <w:t>72 × creatinine mg/dL); multiply by 0.85 if female]</w:t>
      </w:r>
      <w:r w:rsidR="000B5B63">
        <w:t>.</w:t>
      </w:r>
    </w:p>
    <w:p w14:paraId="0758B9A7" w14:textId="6DEC044A" w:rsidR="00A25E4D" w:rsidRDefault="000B5B63" w:rsidP="00A25E4D">
      <w:pPr>
        <w:pStyle w:val="ListBullet2"/>
      </w:pPr>
      <w:r>
        <w:t>Ha</w:t>
      </w:r>
      <w:r w:rsidR="00A25E4D">
        <w:t xml:space="preserve">ematopoietic dysfunction: </w:t>
      </w:r>
      <w:proofErr w:type="spellStart"/>
      <w:r w:rsidR="00A25E4D">
        <w:t>hemoglobin</w:t>
      </w:r>
      <w:proofErr w:type="spellEnd"/>
      <w:r w:rsidR="00A25E4D">
        <w:t xml:space="preserve"> &lt;</w:t>
      </w:r>
      <w:r w:rsidR="00B16E5C">
        <w:t xml:space="preserve"> </w:t>
      </w:r>
      <w:r w:rsidR="00A25E4D">
        <w:t>10g/dL within 14 days of and including Cycle 1 Day 1 and/or patients receiving red blood cell transfusion within 14 days of and including Cycle 1 Day 1</w:t>
      </w:r>
      <w:r>
        <w:t>.</w:t>
      </w:r>
    </w:p>
    <w:p w14:paraId="1259CDBC" w14:textId="4899CC3E" w:rsidR="00A25E4D" w:rsidRDefault="00A25E4D" w:rsidP="00A25E4D">
      <w:pPr>
        <w:pStyle w:val="ListBullet"/>
      </w:pPr>
      <w:r>
        <w:t>Body surface area &lt;</w:t>
      </w:r>
      <w:r w:rsidR="00D24D87">
        <w:t xml:space="preserve"> </w:t>
      </w:r>
      <w:r>
        <w:t>1.4 m</w:t>
      </w:r>
      <w:r w:rsidRPr="00D24D87">
        <w:rPr>
          <w:vertAlign w:val="superscript"/>
        </w:rPr>
        <w:t>2</w:t>
      </w:r>
      <w:r>
        <w:t xml:space="preserve"> (per DuBois or </w:t>
      </w:r>
      <w:proofErr w:type="spellStart"/>
      <w:r>
        <w:t>Mosteller</w:t>
      </w:r>
      <w:proofErr w:type="spellEnd"/>
      <w:r w:rsidR="000B5B63">
        <w:t xml:space="preserve"> methods</w:t>
      </w:r>
      <w:r>
        <w:t>)</w:t>
      </w:r>
      <w:r w:rsidR="000B5B63">
        <w:t>.</w:t>
      </w:r>
    </w:p>
    <w:p w14:paraId="17CB607A" w14:textId="0AE311C4" w:rsidR="00D46425" w:rsidRDefault="000B5B63" w:rsidP="00D46425">
      <w:pPr>
        <w:pStyle w:val="Heading6"/>
      </w:pPr>
      <w:r>
        <w:t>Study treatment</w:t>
      </w:r>
    </w:p>
    <w:p w14:paraId="7040D50D" w14:textId="222C1893" w:rsidR="00D46425" w:rsidRDefault="000B5B63" w:rsidP="00D46425">
      <w:r>
        <w:t xml:space="preserve">The study </w:t>
      </w:r>
      <w:r w:rsidR="00D46425">
        <w:t xml:space="preserve">drug was </w:t>
      </w:r>
      <w:proofErr w:type="spellStart"/>
      <w:r w:rsidR="00D46425">
        <w:t>selinexor</w:t>
      </w:r>
      <w:proofErr w:type="spellEnd"/>
      <w:r w:rsidR="00D46425">
        <w:t xml:space="preserve"> tablet (20 mg), administered as a fixed oral dose of 60</w:t>
      </w:r>
      <w:r>
        <w:t> </w:t>
      </w:r>
      <w:r w:rsidR="00D46425">
        <w:t xml:space="preserve">mg </w:t>
      </w:r>
      <w:r w:rsidR="00D46425" w:rsidRPr="006F009F">
        <w:t>twice weekly</w:t>
      </w:r>
      <w:r w:rsidR="00D46425">
        <w:t xml:space="preserve"> (on Days 1 and 3 of each week) of each 28-day cycle (total of 8 doses per cycle). There was no maximum treatment duration. Patients either remained on study </w:t>
      </w:r>
      <w:r w:rsidR="00D46425">
        <w:lastRenderedPageBreak/>
        <w:t>treatment until disease progression was confirmed by the central imaging laboratory, or they discontinued study treatment.</w:t>
      </w:r>
    </w:p>
    <w:p w14:paraId="023A3E6D" w14:textId="10B7901A" w:rsidR="00D46425" w:rsidRDefault="00790973" w:rsidP="00D46425">
      <w:pPr>
        <w:pStyle w:val="Heading6"/>
      </w:pPr>
      <w:r>
        <w:t>Study a</w:t>
      </w:r>
      <w:r w:rsidR="00D46425">
        <w:t>ssessments</w:t>
      </w:r>
    </w:p>
    <w:p w14:paraId="0F7981E4" w14:textId="77777777" w:rsidR="00D46425" w:rsidRDefault="00D46425" w:rsidP="00D46425">
      <w:r>
        <w:t>Radiographic evidence of disease progression was required on study entry.</w:t>
      </w:r>
    </w:p>
    <w:p w14:paraId="4378B457" w14:textId="0C56BE5A" w:rsidR="00D46425" w:rsidRDefault="00D46425" w:rsidP="00D46425">
      <w:r>
        <w:t>Bone marrow aspirates and/or biopsies were taken within one month prior to first dose to confirm complete response if known bone marrow involvement prior to treatment.</w:t>
      </w:r>
    </w:p>
    <w:p w14:paraId="08AB340B" w14:textId="77777777" w:rsidR="00D46425" w:rsidRDefault="00D46425" w:rsidP="00D46425">
      <w:r>
        <w:t>Disease assessments by imaging (PET-CT or PET-MRI) on Cycle 3 Day 1 then every 8 weeks until disease progression confirmed by central imaging laboratory. CT or MRI permitted if PET could not be performed for each assessment.</w:t>
      </w:r>
    </w:p>
    <w:p w14:paraId="2AF83395" w14:textId="77777777" w:rsidR="00D46425" w:rsidRDefault="00D46425" w:rsidP="00D46425">
      <w:pPr>
        <w:pStyle w:val="Heading6"/>
      </w:pPr>
      <w:r>
        <w:t>Patient flow</w:t>
      </w:r>
    </w:p>
    <w:p w14:paraId="406E9C33" w14:textId="5B643DC8" w:rsidR="00D46425" w:rsidRDefault="00D46425" w:rsidP="00D46425">
      <w:r>
        <w:t xml:space="preserve">Out of 359 patients were screened, 267 patients were enrolled. 175 patients received </w:t>
      </w:r>
      <w:proofErr w:type="spellStart"/>
      <w:r>
        <w:t>selinexor</w:t>
      </w:r>
      <w:proofErr w:type="spellEnd"/>
      <w:r>
        <w:t xml:space="preserve"> 60 mg and 92 received </w:t>
      </w:r>
      <w:proofErr w:type="spellStart"/>
      <w:r>
        <w:t>selinexor</w:t>
      </w:r>
      <w:proofErr w:type="spellEnd"/>
      <w:r>
        <w:t xml:space="preserve"> 100 mg.</w:t>
      </w:r>
    </w:p>
    <w:p w14:paraId="6E6B20C6" w14:textId="0F8BF371" w:rsidR="00D46425" w:rsidRDefault="00D46425" w:rsidP="00D46425">
      <w:r>
        <w:t>Modified intent to treat population: 127 patients randomised to the 60 mg arm under protocol version 6.0, or enrolled under protocol version ≥ 7</w:t>
      </w:r>
      <w:r w:rsidR="00D24D87">
        <w:t>.0</w:t>
      </w:r>
      <w:r>
        <w:t xml:space="preserve"> or higher and received at least one dose of </w:t>
      </w:r>
      <w:proofErr w:type="spellStart"/>
      <w:r>
        <w:t>selinexor</w:t>
      </w:r>
      <w:proofErr w:type="spellEnd"/>
      <w:r>
        <w:t>)</w:t>
      </w:r>
    </w:p>
    <w:p w14:paraId="45005F60" w14:textId="107E2DAE" w:rsidR="00D46425" w:rsidRDefault="00D46425" w:rsidP="00D46425">
      <w:r>
        <w:t>A</w:t>
      </w:r>
      <w:r w:rsidR="00D24D87">
        <w:t>s of</w:t>
      </w:r>
      <w:r>
        <w:t xml:space="preserve"> 1 August 2019, 92.9% in the modified intent to treat population had discontinued </w:t>
      </w:r>
      <w:proofErr w:type="spellStart"/>
      <w:r>
        <w:t>selinexor</w:t>
      </w:r>
      <w:proofErr w:type="spellEnd"/>
      <w:r>
        <w:t xml:space="preserve"> treatment, and nine remained on treatment. Reasons for discontinuation of </w:t>
      </w:r>
      <w:proofErr w:type="spellStart"/>
      <w:r>
        <w:t>selinexor</w:t>
      </w:r>
      <w:proofErr w:type="spellEnd"/>
      <w:r>
        <w:t xml:space="preserve"> included disease progression (67.8%), withdrawal by patient (11%), and death (7.6%), and 16.5% were in survival follow up.</w:t>
      </w:r>
    </w:p>
    <w:p w14:paraId="27241B35" w14:textId="77777777" w:rsidR="00D46425" w:rsidRPr="00263F0D" w:rsidRDefault="00D46425" w:rsidP="00D46425">
      <w:pPr>
        <w:pStyle w:val="Heading6"/>
        <w:rPr>
          <w:b/>
        </w:rPr>
      </w:pPr>
      <w:r>
        <w:t>Baseline characteristics</w:t>
      </w:r>
    </w:p>
    <w:p w14:paraId="5561E1E6" w14:textId="513C5C44" w:rsidR="00D46425" w:rsidRDefault="00D46425" w:rsidP="00D46425">
      <w:pPr>
        <w:pStyle w:val="TableTitle"/>
      </w:pPr>
      <w:r w:rsidRPr="00D46425">
        <w:t xml:space="preserve">Table </w:t>
      </w:r>
      <w:r w:rsidR="006737A0">
        <w:fldChar w:fldCharType="begin"/>
      </w:r>
      <w:r w:rsidR="006737A0">
        <w:instrText xml:space="preserve"> SEQ Table \* ARABIC </w:instrText>
      </w:r>
      <w:r w:rsidR="006737A0">
        <w:fldChar w:fldCharType="separate"/>
      </w:r>
      <w:r w:rsidR="00BB2836">
        <w:rPr>
          <w:noProof/>
        </w:rPr>
        <w:t>11</w:t>
      </w:r>
      <w:r w:rsidR="006737A0">
        <w:rPr>
          <w:noProof/>
        </w:rPr>
        <w:fldChar w:fldCharType="end"/>
      </w:r>
      <w:r>
        <w:t xml:space="preserve">: </w:t>
      </w:r>
      <w:r w:rsidR="000B5B63">
        <w:t>Study KCP-330-009 (</w:t>
      </w:r>
      <w:r w:rsidRPr="00263F0D">
        <w:t>SADAL</w:t>
      </w:r>
      <w:r>
        <w:t xml:space="preserve"> trial</w:t>
      </w:r>
      <w:r w:rsidR="000B5B63">
        <w:t>)</w:t>
      </w:r>
      <w:r w:rsidRPr="00263F0D">
        <w:t xml:space="preserve"> Baseline </w:t>
      </w:r>
      <w:r>
        <w:t>c</w:t>
      </w:r>
      <w:r w:rsidRPr="00263F0D">
        <w:t xml:space="preserve">haracteristic </w:t>
      </w:r>
    </w:p>
    <w:tbl>
      <w:tblPr>
        <w:tblStyle w:val="TableTGAblue"/>
        <w:tblW w:w="6697" w:type="dxa"/>
        <w:tblLook w:val="0420" w:firstRow="1" w:lastRow="0" w:firstColumn="0" w:lastColumn="0" w:noHBand="0" w:noVBand="1"/>
      </w:tblPr>
      <w:tblGrid>
        <w:gridCol w:w="1717"/>
        <w:gridCol w:w="3386"/>
        <w:gridCol w:w="1594"/>
      </w:tblGrid>
      <w:tr w:rsidR="000B5B63" w:rsidRPr="008F6C08" w14:paraId="075BC82C" w14:textId="77777777" w:rsidTr="001E798E">
        <w:trPr>
          <w:cnfStyle w:val="100000000000" w:firstRow="1" w:lastRow="0" w:firstColumn="0" w:lastColumn="0" w:oddVBand="0" w:evenVBand="0" w:oddHBand="0" w:evenHBand="0" w:firstRowFirstColumn="0" w:firstRowLastColumn="0" w:lastRowFirstColumn="0" w:lastRowLastColumn="0"/>
          <w:trHeight w:val="20"/>
        </w:trPr>
        <w:tc>
          <w:tcPr>
            <w:tcW w:w="6697" w:type="dxa"/>
            <w:gridSpan w:val="3"/>
            <w:hideMark/>
          </w:tcPr>
          <w:p w14:paraId="72176A74" w14:textId="7D2B071A" w:rsidR="000B5B63" w:rsidRPr="000B3827" w:rsidRDefault="000B5B63" w:rsidP="000B3827">
            <w:r>
              <w:t xml:space="preserve">Study KCP-330-009 (SADAL trial) baseline </w:t>
            </w:r>
            <w:proofErr w:type="spellStart"/>
            <w:r>
              <w:t>characteristcs</w:t>
            </w:r>
            <w:proofErr w:type="spellEnd"/>
            <w:r>
              <w:t xml:space="preserve">. </w:t>
            </w:r>
            <w:r w:rsidRPr="000B3827">
              <w:t xml:space="preserve">Selinexor (n = 127) </w:t>
            </w:r>
            <w:proofErr w:type="spellStart"/>
            <w:r w:rsidRPr="000B3827">
              <w:t>mITT</w:t>
            </w:r>
            <w:proofErr w:type="spellEnd"/>
            <w:r w:rsidRPr="000B3827">
              <w:t xml:space="preserve"> </w:t>
            </w:r>
          </w:p>
        </w:tc>
      </w:tr>
      <w:tr w:rsidR="00D46425" w:rsidRPr="008F6C08" w14:paraId="59492000" w14:textId="77777777" w:rsidTr="00D12FC9">
        <w:trPr>
          <w:trHeight w:val="20"/>
        </w:trPr>
        <w:tc>
          <w:tcPr>
            <w:tcW w:w="1717" w:type="dxa"/>
            <w:hideMark/>
          </w:tcPr>
          <w:p w14:paraId="671B0657" w14:textId="77777777" w:rsidR="00D46425" w:rsidRPr="00D46425" w:rsidRDefault="00D46425" w:rsidP="00D46425">
            <w:pPr>
              <w:pStyle w:val="Tabletext"/>
              <w:rPr>
                <w:b/>
                <w:lang w:val="en-US"/>
              </w:rPr>
            </w:pPr>
            <w:r w:rsidRPr="00D46425">
              <w:rPr>
                <w:b/>
                <w:color w:val="auto"/>
                <w:lang w:val="en-US"/>
              </w:rPr>
              <w:t>Age</w:t>
            </w:r>
          </w:p>
        </w:tc>
        <w:tc>
          <w:tcPr>
            <w:tcW w:w="3386" w:type="dxa"/>
          </w:tcPr>
          <w:p w14:paraId="12CF26F4" w14:textId="77777777" w:rsidR="00D46425" w:rsidRPr="00D12FC9" w:rsidRDefault="00D46425" w:rsidP="00D46425">
            <w:pPr>
              <w:pStyle w:val="Tabletext"/>
              <w:rPr>
                <w:iCs/>
                <w:lang w:val="en-US"/>
              </w:rPr>
            </w:pPr>
            <w:r w:rsidRPr="00D12FC9">
              <w:rPr>
                <w:iCs/>
                <w:color w:val="auto"/>
                <w:lang w:val="en-US"/>
              </w:rPr>
              <w:t>Median, years (range)</w:t>
            </w:r>
          </w:p>
        </w:tc>
        <w:tc>
          <w:tcPr>
            <w:tcW w:w="1594" w:type="dxa"/>
            <w:hideMark/>
          </w:tcPr>
          <w:p w14:paraId="30160EF8" w14:textId="77777777" w:rsidR="00D46425" w:rsidRPr="00D12FC9" w:rsidRDefault="00D46425" w:rsidP="00D46425">
            <w:pPr>
              <w:pStyle w:val="Tabletext"/>
              <w:rPr>
                <w:iCs/>
              </w:rPr>
            </w:pPr>
            <w:r w:rsidRPr="00D12FC9">
              <w:rPr>
                <w:iCs/>
                <w:color w:val="auto"/>
              </w:rPr>
              <w:t>67 (35-87)</w:t>
            </w:r>
          </w:p>
        </w:tc>
      </w:tr>
      <w:tr w:rsidR="00D46425" w:rsidRPr="008F6C08" w14:paraId="24B5C8B6" w14:textId="77777777" w:rsidTr="00D12FC9">
        <w:trPr>
          <w:trHeight w:val="20"/>
        </w:trPr>
        <w:tc>
          <w:tcPr>
            <w:tcW w:w="1717" w:type="dxa"/>
            <w:hideMark/>
          </w:tcPr>
          <w:p w14:paraId="655D8D05" w14:textId="77777777" w:rsidR="00D46425" w:rsidRPr="00D46425" w:rsidRDefault="00D46425" w:rsidP="00D46425">
            <w:pPr>
              <w:pStyle w:val="Tabletext"/>
              <w:rPr>
                <w:b/>
                <w:color w:val="auto"/>
                <w:lang w:val="en-US"/>
              </w:rPr>
            </w:pPr>
            <w:r w:rsidRPr="00D46425">
              <w:rPr>
                <w:b/>
                <w:color w:val="auto"/>
                <w:lang w:val="en-US"/>
              </w:rPr>
              <w:t>Age group</w:t>
            </w:r>
          </w:p>
        </w:tc>
        <w:tc>
          <w:tcPr>
            <w:tcW w:w="3386" w:type="dxa"/>
          </w:tcPr>
          <w:p w14:paraId="50F7DDAB" w14:textId="77777777" w:rsidR="00D46425" w:rsidRPr="00D12FC9" w:rsidRDefault="00D46425" w:rsidP="00D46425">
            <w:pPr>
              <w:pStyle w:val="Tabletext"/>
              <w:rPr>
                <w:iCs/>
                <w:color w:val="auto"/>
                <w:lang w:val="en-US"/>
              </w:rPr>
            </w:pPr>
            <w:r w:rsidRPr="00D12FC9">
              <w:rPr>
                <w:iCs/>
                <w:color w:val="auto"/>
                <w:lang w:val="en-US"/>
              </w:rPr>
              <w:t>≥ 70 years</w:t>
            </w:r>
          </w:p>
        </w:tc>
        <w:tc>
          <w:tcPr>
            <w:tcW w:w="1594" w:type="dxa"/>
            <w:hideMark/>
          </w:tcPr>
          <w:p w14:paraId="4FFFD5B1" w14:textId="77777777" w:rsidR="00D46425" w:rsidRPr="00D12FC9" w:rsidRDefault="00D46425" w:rsidP="00D46425">
            <w:pPr>
              <w:pStyle w:val="Tabletext"/>
              <w:rPr>
                <w:iCs/>
                <w:color w:val="auto"/>
              </w:rPr>
            </w:pPr>
            <w:r w:rsidRPr="00D12FC9">
              <w:rPr>
                <w:iCs/>
                <w:color w:val="auto"/>
              </w:rPr>
              <w:t>57 (44.9%)</w:t>
            </w:r>
          </w:p>
        </w:tc>
      </w:tr>
      <w:tr w:rsidR="00D46425" w:rsidRPr="008F6C08" w14:paraId="6D673119" w14:textId="77777777" w:rsidTr="00D12FC9">
        <w:trPr>
          <w:trHeight w:val="20"/>
        </w:trPr>
        <w:tc>
          <w:tcPr>
            <w:tcW w:w="1717" w:type="dxa"/>
            <w:vMerge w:val="restart"/>
            <w:hideMark/>
          </w:tcPr>
          <w:p w14:paraId="6CE1A6B0" w14:textId="77777777" w:rsidR="00D46425" w:rsidRPr="00D46425" w:rsidRDefault="00D46425" w:rsidP="00D46425">
            <w:pPr>
              <w:pStyle w:val="Tabletext"/>
              <w:rPr>
                <w:b/>
                <w:lang w:val="en-US"/>
              </w:rPr>
            </w:pPr>
            <w:r w:rsidRPr="00D46425">
              <w:rPr>
                <w:b/>
                <w:color w:val="auto"/>
                <w:lang w:val="en-US"/>
              </w:rPr>
              <w:t>Sex</w:t>
            </w:r>
          </w:p>
        </w:tc>
        <w:tc>
          <w:tcPr>
            <w:tcW w:w="3386" w:type="dxa"/>
          </w:tcPr>
          <w:p w14:paraId="27C48D19" w14:textId="77777777" w:rsidR="00D46425" w:rsidRPr="00D12FC9" w:rsidRDefault="00D46425" w:rsidP="00D46425">
            <w:pPr>
              <w:pStyle w:val="Tabletext"/>
              <w:rPr>
                <w:iCs/>
                <w:color w:val="auto"/>
                <w:lang w:val="en-US"/>
              </w:rPr>
            </w:pPr>
            <w:r w:rsidRPr="00D12FC9">
              <w:rPr>
                <w:iCs/>
                <w:color w:val="auto"/>
                <w:lang w:val="en-US"/>
              </w:rPr>
              <w:t>Male</w:t>
            </w:r>
          </w:p>
        </w:tc>
        <w:tc>
          <w:tcPr>
            <w:tcW w:w="1594" w:type="dxa"/>
            <w:hideMark/>
          </w:tcPr>
          <w:p w14:paraId="3A65C5EF" w14:textId="77777777" w:rsidR="00D46425" w:rsidRPr="00D12FC9" w:rsidRDefault="00D46425" w:rsidP="00D46425">
            <w:pPr>
              <w:pStyle w:val="Tabletext"/>
              <w:rPr>
                <w:iCs/>
                <w:color w:val="auto"/>
              </w:rPr>
            </w:pPr>
            <w:r w:rsidRPr="00D12FC9">
              <w:rPr>
                <w:iCs/>
                <w:color w:val="auto"/>
              </w:rPr>
              <w:t>75 (59.1%)</w:t>
            </w:r>
          </w:p>
        </w:tc>
      </w:tr>
      <w:tr w:rsidR="00D46425" w:rsidRPr="008F6C08" w14:paraId="7C8D3559" w14:textId="77777777" w:rsidTr="00D12FC9">
        <w:trPr>
          <w:trHeight w:val="20"/>
        </w:trPr>
        <w:tc>
          <w:tcPr>
            <w:tcW w:w="1717" w:type="dxa"/>
            <w:vMerge/>
          </w:tcPr>
          <w:p w14:paraId="2AD36CAB" w14:textId="77777777" w:rsidR="00D46425" w:rsidRPr="00D46425" w:rsidRDefault="00D46425" w:rsidP="00D46425">
            <w:pPr>
              <w:pStyle w:val="Tabletext"/>
              <w:rPr>
                <w:b/>
                <w:lang w:val="en-US"/>
              </w:rPr>
            </w:pPr>
          </w:p>
        </w:tc>
        <w:tc>
          <w:tcPr>
            <w:tcW w:w="3386" w:type="dxa"/>
          </w:tcPr>
          <w:p w14:paraId="0BFC94D8" w14:textId="77777777" w:rsidR="00D46425" w:rsidRPr="00D12FC9" w:rsidRDefault="00D46425" w:rsidP="00D46425">
            <w:pPr>
              <w:pStyle w:val="Tabletext"/>
              <w:rPr>
                <w:iCs/>
                <w:color w:val="auto"/>
                <w:lang w:val="en-US"/>
              </w:rPr>
            </w:pPr>
            <w:r w:rsidRPr="00D12FC9">
              <w:rPr>
                <w:iCs/>
                <w:color w:val="auto"/>
                <w:lang w:val="en-US"/>
              </w:rPr>
              <w:t>Female</w:t>
            </w:r>
          </w:p>
        </w:tc>
        <w:tc>
          <w:tcPr>
            <w:tcW w:w="1594" w:type="dxa"/>
          </w:tcPr>
          <w:p w14:paraId="73E6E933" w14:textId="77777777" w:rsidR="00D46425" w:rsidRPr="00D12FC9" w:rsidRDefault="00D46425" w:rsidP="00D46425">
            <w:pPr>
              <w:pStyle w:val="Tabletext"/>
              <w:rPr>
                <w:iCs/>
                <w:color w:val="auto"/>
              </w:rPr>
            </w:pPr>
            <w:r w:rsidRPr="00D12FC9">
              <w:rPr>
                <w:iCs/>
                <w:color w:val="auto"/>
              </w:rPr>
              <w:t>52 (40.9%)</w:t>
            </w:r>
          </w:p>
        </w:tc>
      </w:tr>
      <w:tr w:rsidR="00D46425" w:rsidRPr="008F6C08" w14:paraId="0533D722" w14:textId="77777777" w:rsidTr="00D12FC9">
        <w:trPr>
          <w:trHeight w:val="20"/>
        </w:trPr>
        <w:tc>
          <w:tcPr>
            <w:tcW w:w="1717" w:type="dxa"/>
            <w:hideMark/>
          </w:tcPr>
          <w:p w14:paraId="50447FDB" w14:textId="77777777" w:rsidR="00D46425" w:rsidRPr="00D46425" w:rsidRDefault="00D46425" w:rsidP="00D46425">
            <w:pPr>
              <w:pStyle w:val="Tabletext"/>
              <w:rPr>
                <w:b/>
                <w:color w:val="auto"/>
                <w:lang w:val="en-US"/>
              </w:rPr>
            </w:pPr>
            <w:r w:rsidRPr="00D46425">
              <w:rPr>
                <w:b/>
                <w:color w:val="auto"/>
                <w:lang w:val="en-US"/>
              </w:rPr>
              <w:t>Race</w:t>
            </w:r>
          </w:p>
          <w:p w14:paraId="6EE9DD61" w14:textId="77777777" w:rsidR="00D46425" w:rsidRPr="00D46425" w:rsidRDefault="00D46425" w:rsidP="00D46425">
            <w:pPr>
              <w:pStyle w:val="Tabletext"/>
              <w:rPr>
                <w:b/>
                <w:lang w:val="en-US"/>
              </w:rPr>
            </w:pPr>
          </w:p>
        </w:tc>
        <w:tc>
          <w:tcPr>
            <w:tcW w:w="3386" w:type="dxa"/>
          </w:tcPr>
          <w:p w14:paraId="1CDED6DD" w14:textId="77777777" w:rsidR="00D46425" w:rsidRPr="00D12FC9" w:rsidRDefault="00D46425" w:rsidP="00D46425">
            <w:pPr>
              <w:pStyle w:val="Tabletext"/>
              <w:rPr>
                <w:iCs/>
                <w:color w:val="auto"/>
                <w:lang w:val="en-US"/>
              </w:rPr>
            </w:pPr>
            <w:r w:rsidRPr="00D12FC9">
              <w:rPr>
                <w:iCs/>
                <w:color w:val="auto"/>
                <w:lang w:val="en-US"/>
              </w:rPr>
              <w:t>White</w:t>
            </w:r>
          </w:p>
          <w:p w14:paraId="2BE5A33E" w14:textId="77777777" w:rsidR="00D46425" w:rsidRPr="00D12FC9" w:rsidRDefault="00D46425" w:rsidP="00D46425">
            <w:pPr>
              <w:pStyle w:val="Tabletext"/>
              <w:rPr>
                <w:iCs/>
                <w:lang w:val="en-US"/>
              </w:rPr>
            </w:pPr>
            <w:r w:rsidRPr="00D12FC9">
              <w:rPr>
                <w:iCs/>
                <w:color w:val="auto"/>
                <w:lang w:val="en-US"/>
              </w:rPr>
              <w:t>Asian</w:t>
            </w:r>
          </w:p>
        </w:tc>
        <w:tc>
          <w:tcPr>
            <w:tcW w:w="1594" w:type="dxa"/>
            <w:hideMark/>
          </w:tcPr>
          <w:p w14:paraId="23B45BE4" w14:textId="77777777" w:rsidR="00D46425" w:rsidRPr="00D12FC9" w:rsidRDefault="00D46425" w:rsidP="00D46425">
            <w:pPr>
              <w:pStyle w:val="Tabletext"/>
              <w:rPr>
                <w:iCs/>
                <w:color w:val="auto"/>
              </w:rPr>
            </w:pPr>
            <w:r w:rsidRPr="00D12FC9">
              <w:rPr>
                <w:iCs/>
                <w:color w:val="auto"/>
              </w:rPr>
              <w:t>100 (78.7%)</w:t>
            </w:r>
          </w:p>
          <w:p w14:paraId="5935EF8D" w14:textId="77777777" w:rsidR="00D46425" w:rsidRPr="00D12FC9" w:rsidRDefault="00D46425" w:rsidP="00D46425">
            <w:pPr>
              <w:pStyle w:val="Tabletext"/>
              <w:rPr>
                <w:iCs/>
              </w:rPr>
            </w:pPr>
            <w:r w:rsidRPr="00D12FC9">
              <w:rPr>
                <w:iCs/>
                <w:color w:val="auto"/>
              </w:rPr>
              <w:t>10 (7.9%)</w:t>
            </w:r>
          </w:p>
        </w:tc>
      </w:tr>
      <w:tr w:rsidR="00D46425" w:rsidRPr="00C733C4" w14:paraId="673B8684" w14:textId="77777777" w:rsidTr="00D12FC9">
        <w:trPr>
          <w:trHeight w:val="708"/>
        </w:trPr>
        <w:tc>
          <w:tcPr>
            <w:tcW w:w="1717" w:type="dxa"/>
          </w:tcPr>
          <w:p w14:paraId="30D0DDD6" w14:textId="77777777" w:rsidR="00D46425" w:rsidRPr="00D46425" w:rsidRDefault="00D46425" w:rsidP="00D46425">
            <w:pPr>
              <w:pStyle w:val="Tabletext"/>
              <w:rPr>
                <w:b/>
                <w:lang w:val="en-US"/>
              </w:rPr>
            </w:pPr>
            <w:r w:rsidRPr="00D46425">
              <w:rPr>
                <w:b/>
                <w:color w:val="auto"/>
                <w:lang w:val="en-US"/>
              </w:rPr>
              <w:t>ECOG status</w:t>
            </w:r>
          </w:p>
          <w:p w14:paraId="57DB3435" w14:textId="77777777" w:rsidR="00D46425" w:rsidRPr="00D46425" w:rsidRDefault="00D46425" w:rsidP="00D46425">
            <w:pPr>
              <w:pStyle w:val="Tabletext"/>
              <w:rPr>
                <w:b/>
                <w:lang w:val="en-US"/>
              </w:rPr>
            </w:pPr>
          </w:p>
        </w:tc>
        <w:tc>
          <w:tcPr>
            <w:tcW w:w="3386" w:type="dxa"/>
          </w:tcPr>
          <w:p w14:paraId="0F6EAA73" w14:textId="77777777" w:rsidR="00D46425" w:rsidRPr="00D12FC9" w:rsidRDefault="00D46425" w:rsidP="00D46425">
            <w:pPr>
              <w:pStyle w:val="Tabletext"/>
              <w:rPr>
                <w:iCs/>
                <w:color w:val="auto"/>
                <w:lang w:val="en-US"/>
              </w:rPr>
            </w:pPr>
            <w:r w:rsidRPr="00D12FC9">
              <w:rPr>
                <w:iCs/>
                <w:color w:val="auto"/>
                <w:lang w:val="en-US"/>
              </w:rPr>
              <w:t>0</w:t>
            </w:r>
          </w:p>
          <w:p w14:paraId="238DC569" w14:textId="77777777" w:rsidR="00D46425" w:rsidRPr="00D12FC9" w:rsidRDefault="00D46425" w:rsidP="00D46425">
            <w:pPr>
              <w:pStyle w:val="Tabletext"/>
              <w:rPr>
                <w:iCs/>
                <w:color w:val="auto"/>
                <w:lang w:val="en-US"/>
              </w:rPr>
            </w:pPr>
            <w:r w:rsidRPr="00D12FC9">
              <w:rPr>
                <w:iCs/>
                <w:color w:val="auto"/>
                <w:lang w:val="en-US"/>
              </w:rPr>
              <w:t>1</w:t>
            </w:r>
          </w:p>
          <w:p w14:paraId="10DB1980" w14:textId="77777777" w:rsidR="00D46425" w:rsidRPr="00D12FC9" w:rsidRDefault="00D46425" w:rsidP="00D46425">
            <w:pPr>
              <w:pStyle w:val="Tabletext"/>
              <w:rPr>
                <w:iCs/>
                <w:color w:val="auto"/>
                <w:lang w:val="en-US"/>
              </w:rPr>
            </w:pPr>
            <w:r w:rsidRPr="00D12FC9">
              <w:rPr>
                <w:iCs/>
                <w:color w:val="auto"/>
                <w:lang w:val="en-US"/>
              </w:rPr>
              <w:t>2</w:t>
            </w:r>
          </w:p>
          <w:p w14:paraId="406DFA7F" w14:textId="77777777" w:rsidR="00D46425" w:rsidRPr="00D12FC9" w:rsidRDefault="00D46425" w:rsidP="00D46425">
            <w:pPr>
              <w:pStyle w:val="Tabletext"/>
              <w:rPr>
                <w:iCs/>
                <w:lang w:val="en-US"/>
              </w:rPr>
            </w:pPr>
            <w:r w:rsidRPr="00D12FC9">
              <w:rPr>
                <w:iCs/>
                <w:color w:val="auto"/>
                <w:lang w:val="en-US"/>
              </w:rPr>
              <w:t>3</w:t>
            </w:r>
          </w:p>
        </w:tc>
        <w:tc>
          <w:tcPr>
            <w:tcW w:w="1594" w:type="dxa"/>
          </w:tcPr>
          <w:p w14:paraId="562FC06A" w14:textId="77777777" w:rsidR="00D46425" w:rsidRPr="00D12FC9" w:rsidRDefault="00D46425" w:rsidP="00D46425">
            <w:pPr>
              <w:pStyle w:val="Tabletext"/>
              <w:rPr>
                <w:iCs/>
                <w:color w:val="auto"/>
              </w:rPr>
            </w:pPr>
            <w:r w:rsidRPr="00D12FC9">
              <w:rPr>
                <w:iCs/>
                <w:color w:val="auto"/>
              </w:rPr>
              <w:t>55 (43.3%)</w:t>
            </w:r>
          </w:p>
          <w:p w14:paraId="00F57A07" w14:textId="77777777" w:rsidR="00D46425" w:rsidRPr="00D12FC9" w:rsidRDefault="00D46425" w:rsidP="00D46425">
            <w:pPr>
              <w:pStyle w:val="Tabletext"/>
              <w:rPr>
                <w:iCs/>
                <w:color w:val="auto"/>
              </w:rPr>
            </w:pPr>
            <w:r w:rsidRPr="00D12FC9">
              <w:rPr>
                <w:iCs/>
                <w:color w:val="auto"/>
              </w:rPr>
              <w:t>58 (45.7%)</w:t>
            </w:r>
          </w:p>
          <w:p w14:paraId="64571803" w14:textId="77777777" w:rsidR="00D46425" w:rsidRPr="00D12FC9" w:rsidRDefault="00D46425" w:rsidP="00D46425">
            <w:pPr>
              <w:pStyle w:val="Tabletext"/>
              <w:rPr>
                <w:iCs/>
                <w:color w:val="auto"/>
              </w:rPr>
            </w:pPr>
            <w:r w:rsidRPr="00D12FC9">
              <w:rPr>
                <w:iCs/>
                <w:color w:val="auto"/>
              </w:rPr>
              <w:t>13 (10.2%)</w:t>
            </w:r>
          </w:p>
          <w:p w14:paraId="7C411124" w14:textId="77777777" w:rsidR="00D46425" w:rsidRPr="00D12FC9" w:rsidRDefault="00D46425" w:rsidP="00D46425">
            <w:pPr>
              <w:pStyle w:val="Tabletext"/>
              <w:rPr>
                <w:iCs/>
              </w:rPr>
            </w:pPr>
            <w:r w:rsidRPr="00D12FC9">
              <w:rPr>
                <w:iCs/>
                <w:color w:val="auto"/>
              </w:rPr>
              <w:t>1 (0.8%)</w:t>
            </w:r>
          </w:p>
        </w:tc>
      </w:tr>
      <w:tr w:rsidR="00D46425" w:rsidRPr="00C733C4" w14:paraId="2CB6FB1B" w14:textId="77777777" w:rsidTr="00D12FC9">
        <w:trPr>
          <w:trHeight w:val="20"/>
        </w:trPr>
        <w:tc>
          <w:tcPr>
            <w:tcW w:w="5103" w:type="dxa"/>
            <w:gridSpan w:val="2"/>
          </w:tcPr>
          <w:p w14:paraId="71A45A48" w14:textId="77777777" w:rsidR="00D46425" w:rsidRPr="00D46425" w:rsidRDefault="00D46425" w:rsidP="00D46425">
            <w:pPr>
              <w:pStyle w:val="Tabletext"/>
              <w:rPr>
                <w:b/>
                <w:i/>
                <w:lang w:val="en-US"/>
              </w:rPr>
            </w:pPr>
            <w:r w:rsidRPr="00D46425">
              <w:rPr>
                <w:b/>
                <w:color w:val="auto"/>
                <w:lang w:val="en-US"/>
              </w:rPr>
              <w:t>Prior systemic treatment regimens for DLBCL, median (range)</w:t>
            </w:r>
          </w:p>
        </w:tc>
        <w:tc>
          <w:tcPr>
            <w:tcW w:w="1594" w:type="dxa"/>
          </w:tcPr>
          <w:p w14:paraId="49285E50" w14:textId="77777777" w:rsidR="00D46425" w:rsidRPr="00D12FC9" w:rsidRDefault="00D46425" w:rsidP="00D46425">
            <w:pPr>
              <w:pStyle w:val="Tabletext"/>
              <w:rPr>
                <w:iCs/>
              </w:rPr>
            </w:pPr>
            <w:r w:rsidRPr="00D12FC9">
              <w:rPr>
                <w:iCs/>
                <w:color w:val="auto"/>
              </w:rPr>
              <w:t>2.0 (2.0, 5.0)</w:t>
            </w:r>
          </w:p>
        </w:tc>
      </w:tr>
      <w:tr w:rsidR="00D46425" w:rsidRPr="00456845" w14:paraId="5877E2C7" w14:textId="77777777" w:rsidTr="00D12FC9">
        <w:trPr>
          <w:trHeight w:val="20"/>
        </w:trPr>
        <w:tc>
          <w:tcPr>
            <w:tcW w:w="5103" w:type="dxa"/>
            <w:gridSpan w:val="2"/>
          </w:tcPr>
          <w:p w14:paraId="1A07AB7D" w14:textId="77777777" w:rsidR="000B5B63" w:rsidRDefault="00D46425" w:rsidP="00D46425">
            <w:pPr>
              <w:pStyle w:val="Tabletext"/>
              <w:rPr>
                <w:b/>
                <w:i/>
                <w:lang w:val="en-US"/>
              </w:rPr>
            </w:pPr>
            <w:r w:rsidRPr="000B3827">
              <w:rPr>
                <w:b/>
                <w:lang w:val="en-US"/>
              </w:rPr>
              <w:t>Number of prior therapies</w:t>
            </w:r>
          </w:p>
          <w:p w14:paraId="02CBFEB3" w14:textId="6D2000F8" w:rsidR="00D46425" w:rsidRPr="00D46425" w:rsidRDefault="00D46425" w:rsidP="00D46425">
            <w:pPr>
              <w:pStyle w:val="Tabletext"/>
              <w:rPr>
                <w:b/>
                <w:i/>
                <w:lang w:val="en-US"/>
              </w:rPr>
            </w:pPr>
            <w:r w:rsidRPr="00D46425">
              <w:rPr>
                <w:b/>
                <w:i/>
                <w:lang w:val="en-US"/>
              </w:rPr>
              <w:t>2</w:t>
            </w:r>
          </w:p>
          <w:p w14:paraId="66F6BBDE" w14:textId="77777777" w:rsidR="00D46425" w:rsidRPr="00D46425" w:rsidRDefault="00D46425" w:rsidP="00D46425">
            <w:pPr>
              <w:pStyle w:val="Tabletext"/>
              <w:rPr>
                <w:b/>
                <w:i/>
                <w:lang w:val="en-US"/>
              </w:rPr>
            </w:pPr>
            <w:r w:rsidRPr="00D46425">
              <w:rPr>
                <w:b/>
                <w:i/>
                <w:lang w:val="en-US"/>
              </w:rPr>
              <w:t>3</w:t>
            </w:r>
          </w:p>
          <w:p w14:paraId="22921F40" w14:textId="77777777" w:rsidR="00D46425" w:rsidRPr="00D46425" w:rsidRDefault="00D46425" w:rsidP="00D46425">
            <w:pPr>
              <w:pStyle w:val="Tabletext"/>
              <w:rPr>
                <w:b/>
                <w:i/>
                <w:lang w:val="en-US"/>
              </w:rPr>
            </w:pPr>
            <w:r w:rsidRPr="00D46425">
              <w:rPr>
                <w:b/>
                <w:i/>
                <w:lang w:val="en-US"/>
              </w:rPr>
              <w:lastRenderedPageBreak/>
              <w:t>4</w:t>
            </w:r>
          </w:p>
          <w:p w14:paraId="5AC59E6F" w14:textId="77777777" w:rsidR="00D46425" w:rsidRPr="00D46425" w:rsidRDefault="00D46425" w:rsidP="00D46425">
            <w:pPr>
              <w:pStyle w:val="Tabletext"/>
              <w:rPr>
                <w:b/>
                <w:i/>
                <w:lang w:val="en-US"/>
              </w:rPr>
            </w:pPr>
            <w:r w:rsidRPr="00D46425">
              <w:rPr>
                <w:b/>
                <w:i/>
                <w:lang w:val="en-US"/>
              </w:rPr>
              <w:t>5</w:t>
            </w:r>
          </w:p>
          <w:p w14:paraId="6A5BED66" w14:textId="77777777" w:rsidR="00D46425" w:rsidRPr="00D46425" w:rsidRDefault="00D46425" w:rsidP="00D46425">
            <w:pPr>
              <w:pStyle w:val="Tabletext"/>
              <w:rPr>
                <w:b/>
                <w:i/>
                <w:u w:val="single"/>
                <w:lang w:val="en-US"/>
              </w:rPr>
            </w:pPr>
            <w:r w:rsidRPr="00D46425">
              <w:rPr>
                <w:b/>
                <w:i/>
                <w:u w:val="single"/>
                <w:lang w:val="en-US"/>
              </w:rPr>
              <w:t>Refractory to most recent regimen for DLBCL</w:t>
            </w:r>
          </w:p>
          <w:p w14:paraId="63AF6387" w14:textId="77777777" w:rsidR="00D46425" w:rsidRPr="00D46425" w:rsidRDefault="00D46425" w:rsidP="00D46425">
            <w:pPr>
              <w:pStyle w:val="Tabletext"/>
              <w:rPr>
                <w:b/>
                <w:i/>
                <w:u w:val="single"/>
                <w:lang w:val="en-US"/>
              </w:rPr>
            </w:pPr>
            <w:r w:rsidRPr="00D46425">
              <w:rPr>
                <w:b/>
                <w:i/>
                <w:u w:val="single"/>
                <w:lang w:val="en-US"/>
              </w:rPr>
              <w:t>Relapsed/refractory &lt; 1 year</w:t>
            </w:r>
          </w:p>
          <w:p w14:paraId="5A8A2D73" w14:textId="77777777" w:rsidR="00D46425" w:rsidRPr="00D46425" w:rsidRDefault="00D46425" w:rsidP="00D46425">
            <w:pPr>
              <w:pStyle w:val="Tabletext"/>
              <w:rPr>
                <w:b/>
                <w:i/>
                <w:u w:val="single"/>
                <w:lang w:val="en-US"/>
              </w:rPr>
            </w:pPr>
            <w:r w:rsidRPr="00D46425">
              <w:rPr>
                <w:b/>
                <w:i/>
                <w:u w:val="single"/>
                <w:lang w:val="en-US"/>
              </w:rPr>
              <w:t>Prior lenalidomide therapy</w:t>
            </w:r>
          </w:p>
          <w:p w14:paraId="01FE74D7" w14:textId="77777777" w:rsidR="00D46425" w:rsidRPr="00D46425" w:rsidRDefault="00D46425" w:rsidP="00D46425">
            <w:pPr>
              <w:pStyle w:val="Tabletext"/>
              <w:rPr>
                <w:b/>
                <w:i/>
                <w:u w:val="single"/>
                <w:lang w:val="en-US"/>
              </w:rPr>
            </w:pPr>
            <w:r w:rsidRPr="00D46425">
              <w:rPr>
                <w:b/>
                <w:i/>
                <w:u w:val="single"/>
                <w:lang w:val="en-US"/>
              </w:rPr>
              <w:t>Prior radiotherapy</w:t>
            </w:r>
          </w:p>
        </w:tc>
        <w:tc>
          <w:tcPr>
            <w:tcW w:w="1594" w:type="dxa"/>
          </w:tcPr>
          <w:p w14:paraId="1F65D4E6" w14:textId="77777777" w:rsidR="000B5B63" w:rsidRDefault="000B5B63" w:rsidP="00D46425">
            <w:pPr>
              <w:pStyle w:val="Tabletext"/>
              <w:rPr>
                <w:iCs/>
              </w:rPr>
            </w:pPr>
          </w:p>
          <w:p w14:paraId="19D50A57" w14:textId="18A57AD4" w:rsidR="00D46425" w:rsidRPr="00D12FC9" w:rsidRDefault="00D46425" w:rsidP="00D46425">
            <w:pPr>
              <w:pStyle w:val="Tabletext"/>
              <w:rPr>
                <w:iCs/>
              </w:rPr>
            </w:pPr>
            <w:r w:rsidRPr="00D12FC9">
              <w:rPr>
                <w:iCs/>
              </w:rPr>
              <w:t>75 (59.1%)</w:t>
            </w:r>
          </w:p>
          <w:p w14:paraId="1CFA61DC" w14:textId="77777777" w:rsidR="00D46425" w:rsidRPr="00D12FC9" w:rsidRDefault="00D46425" w:rsidP="00D46425">
            <w:pPr>
              <w:pStyle w:val="Tabletext"/>
              <w:rPr>
                <w:iCs/>
              </w:rPr>
            </w:pPr>
            <w:r w:rsidRPr="00D12FC9">
              <w:rPr>
                <w:iCs/>
              </w:rPr>
              <w:t>30 (23.6%)</w:t>
            </w:r>
          </w:p>
          <w:p w14:paraId="4C88EC85" w14:textId="77777777" w:rsidR="00D46425" w:rsidRPr="00D12FC9" w:rsidRDefault="00D46425" w:rsidP="00D46425">
            <w:pPr>
              <w:pStyle w:val="Tabletext"/>
              <w:rPr>
                <w:iCs/>
              </w:rPr>
            </w:pPr>
            <w:r w:rsidRPr="00D12FC9">
              <w:rPr>
                <w:iCs/>
              </w:rPr>
              <w:lastRenderedPageBreak/>
              <w:t>16 (2.6%)</w:t>
            </w:r>
          </w:p>
          <w:p w14:paraId="3BE67B9D" w14:textId="77777777" w:rsidR="00D46425" w:rsidRPr="00D12FC9" w:rsidRDefault="00D46425" w:rsidP="00D46425">
            <w:pPr>
              <w:pStyle w:val="Tabletext"/>
              <w:rPr>
                <w:iCs/>
              </w:rPr>
            </w:pPr>
            <w:r w:rsidRPr="00D12FC9">
              <w:rPr>
                <w:iCs/>
              </w:rPr>
              <w:t>6 (4.7%)</w:t>
            </w:r>
          </w:p>
          <w:p w14:paraId="142112F3" w14:textId="77777777" w:rsidR="00D46425" w:rsidRPr="00D12FC9" w:rsidRDefault="00D46425" w:rsidP="00D46425">
            <w:pPr>
              <w:pStyle w:val="Tabletext"/>
              <w:rPr>
                <w:iCs/>
              </w:rPr>
            </w:pPr>
            <w:r w:rsidRPr="00D12FC9">
              <w:rPr>
                <w:iCs/>
              </w:rPr>
              <w:t>91 (71.7%)</w:t>
            </w:r>
          </w:p>
          <w:p w14:paraId="53E0B0BE" w14:textId="77777777" w:rsidR="00D46425" w:rsidRPr="00D12FC9" w:rsidRDefault="00D46425" w:rsidP="00D46425">
            <w:pPr>
              <w:pStyle w:val="Tabletext"/>
              <w:rPr>
                <w:iCs/>
              </w:rPr>
            </w:pPr>
            <w:r w:rsidRPr="00D12FC9">
              <w:rPr>
                <w:iCs/>
              </w:rPr>
              <w:t>66 (52.0%)</w:t>
            </w:r>
          </w:p>
          <w:p w14:paraId="6DE95943" w14:textId="77777777" w:rsidR="00D46425" w:rsidRPr="00D12FC9" w:rsidRDefault="00D46425" w:rsidP="00D46425">
            <w:pPr>
              <w:pStyle w:val="Tabletext"/>
              <w:rPr>
                <w:iCs/>
              </w:rPr>
            </w:pPr>
            <w:r w:rsidRPr="00D12FC9">
              <w:rPr>
                <w:iCs/>
              </w:rPr>
              <w:t>10 (7.9%)</w:t>
            </w:r>
          </w:p>
          <w:p w14:paraId="2C12634A" w14:textId="77777777" w:rsidR="00D46425" w:rsidRPr="00D12FC9" w:rsidRDefault="00D46425" w:rsidP="00D46425">
            <w:pPr>
              <w:pStyle w:val="Tabletext"/>
              <w:rPr>
                <w:iCs/>
              </w:rPr>
            </w:pPr>
            <w:r w:rsidRPr="00D12FC9">
              <w:rPr>
                <w:iCs/>
              </w:rPr>
              <w:t>41 (32.3%)</w:t>
            </w:r>
          </w:p>
        </w:tc>
      </w:tr>
      <w:tr w:rsidR="00D46425" w:rsidRPr="00456845" w14:paraId="0D5B9CD6" w14:textId="77777777" w:rsidTr="00D12FC9">
        <w:trPr>
          <w:trHeight w:val="20"/>
        </w:trPr>
        <w:tc>
          <w:tcPr>
            <w:tcW w:w="5103" w:type="dxa"/>
            <w:gridSpan w:val="2"/>
          </w:tcPr>
          <w:p w14:paraId="0A43BE6B" w14:textId="77777777" w:rsidR="00D46425" w:rsidRPr="00D46425" w:rsidRDefault="00D46425" w:rsidP="00D46425">
            <w:pPr>
              <w:pStyle w:val="Tabletext"/>
              <w:rPr>
                <w:b/>
                <w:iCs/>
                <w:lang w:val="en-US"/>
              </w:rPr>
            </w:pPr>
            <w:r w:rsidRPr="00D46425">
              <w:rPr>
                <w:b/>
                <w:iCs/>
                <w:lang w:val="en-US"/>
              </w:rPr>
              <w:lastRenderedPageBreak/>
              <w:t>Prior ASCT therapy for DLBCL</w:t>
            </w:r>
          </w:p>
        </w:tc>
        <w:tc>
          <w:tcPr>
            <w:tcW w:w="1594" w:type="dxa"/>
          </w:tcPr>
          <w:p w14:paraId="63ECC558" w14:textId="77777777" w:rsidR="00D46425" w:rsidRPr="00D12FC9" w:rsidRDefault="00D46425" w:rsidP="00D46425">
            <w:pPr>
              <w:pStyle w:val="Tabletext"/>
              <w:rPr>
                <w:iCs/>
              </w:rPr>
            </w:pPr>
            <w:r w:rsidRPr="00D12FC9">
              <w:rPr>
                <w:iCs/>
              </w:rPr>
              <w:t>38 (29.9%)</w:t>
            </w:r>
          </w:p>
        </w:tc>
      </w:tr>
      <w:tr w:rsidR="00D46425" w:rsidRPr="00456845" w14:paraId="4F926F1E" w14:textId="77777777" w:rsidTr="00D12FC9">
        <w:trPr>
          <w:trHeight w:val="20"/>
        </w:trPr>
        <w:tc>
          <w:tcPr>
            <w:tcW w:w="5103" w:type="dxa"/>
            <w:gridSpan w:val="2"/>
          </w:tcPr>
          <w:p w14:paraId="0E9C6562" w14:textId="77777777" w:rsidR="00D46425" w:rsidRPr="00D46425" w:rsidRDefault="00D46425" w:rsidP="00D46425">
            <w:pPr>
              <w:pStyle w:val="Tabletext"/>
              <w:rPr>
                <w:b/>
                <w:i/>
                <w:lang w:val="en-US"/>
              </w:rPr>
            </w:pPr>
            <w:r w:rsidRPr="00D46425">
              <w:rPr>
                <w:b/>
                <w:i/>
                <w:lang w:val="en-US"/>
              </w:rPr>
              <w:t>Relapse/refractory &lt; 1 year</w:t>
            </w:r>
          </w:p>
        </w:tc>
        <w:tc>
          <w:tcPr>
            <w:tcW w:w="1594" w:type="dxa"/>
          </w:tcPr>
          <w:p w14:paraId="20EA1774" w14:textId="77777777" w:rsidR="00D46425" w:rsidRPr="00D12FC9" w:rsidRDefault="00D46425" w:rsidP="00D46425">
            <w:pPr>
              <w:pStyle w:val="Tabletext"/>
              <w:rPr>
                <w:iCs/>
              </w:rPr>
            </w:pPr>
            <w:r w:rsidRPr="00D12FC9">
              <w:rPr>
                <w:iCs/>
              </w:rPr>
              <w:t>21 (55.3%)</w:t>
            </w:r>
          </w:p>
        </w:tc>
      </w:tr>
      <w:tr w:rsidR="00D46425" w:rsidRPr="00456845" w14:paraId="126F4BCB" w14:textId="77777777" w:rsidTr="00D12FC9">
        <w:trPr>
          <w:trHeight w:val="20"/>
        </w:trPr>
        <w:tc>
          <w:tcPr>
            <w:tcW w:w="1717" w:type="dxa"/>
            <w:hideMark/>
          </w:tcPr>
          <w:p w14:paraId="14090527" w14:textId="77777777" w:rsidR="00D46425" w:rsidRPr="00D46425" w:rsidRDefault="00D46425" w:rsidP="00D46425">
            <w:pPr>
              <w:pStyle w:val="Tabletext"/>
              <w:rPr>
                <w:b/>
                <w:color w:val="auto"/>
                <w:lang w:val="en-US"/>
              </w:rPr>
            </w:pPr>
            <w:r w:rsidRPr="00D46425">
              <w:rPr>
                <w:b/>
                <w:color w:val="auto"/>
                <w:lang w:val="en-US"/>
              </w:rPr>
              <w:t>Creatinine Clearance</w:t>
            </w:r>
          </w:p>
          <w:p w14:paraId="39176496" w14:textId="77777777" w:rsidR="00D46425" w:rsidRPr="00644A68" w:rsidRDefault="00D46425" w:rsidP="00D46425">
            <w:pPr>
              <w:pStyle w:val="Tabletext"/>
              <w:rPr>
                <w:bCs/>
                <w:lang w:val="en-US"/>
              </w:rPr>
            </w:pPr>
          </w:p>
        </w:tc>
        <w:tc>
          <w:tcPr>
            <w:tcW w:w="3386" w:type="dxa"/>
          </w:tcPr>
          <w:p w14:paraId="517AA9E7" w14:textId="77777777" w:rsidR="00D46425" w:rsidRPr="00D12FC9" w:rsidRDefault="00D46425" w:rsidP="00D46425">
            <w:pPr>
              <w:pStyle w:val="Tabletext"/>
              <w:rPr>
                <w:iCs/>
                <w:color w:val="auto"/>
                <w:lang w:val="en-US"/>
              </w:rPr>
            </w:pPr>
            <w:r w:rsidRPr="00D12FC9">
              <w:rPr>
                <w:iCs/>
                <w:color w:val="auto"/>
                <w:lang w:val="en-US"/>
              </w:rPr>
              <w:t>&lt;30</w:t>
            </w:r>
          </w:p>
          <w:p w14:paraId="69D4F3D5" w14:textId="77777777" w:rsidR="00D46425" w:rsidRPr="00D12FC9" w:rsidRDefault="00D46425" w:rsidP="00D46425">
            <w:pPr>
              <w:pStyle w:val="Tabletext"/>
              <w:rPr>
                <w:iCs/>
                <w:color w:val="auto"/>
                <w:lang w:val="en-US"/>
              </w:rPr>
            </w:pPr>
            <w:r w:rsidRPr="00D12FC9">
              <w:rPr>
                <w:iCs/>
                <w:color w:val="auto"/>
                <w:lang w:val="en-US"/>
              </w:rPr>
              <w:t>30-&lt;60</w:t>
            </w:r>
          </w:p>
          <w:p w14:paraId="299B2851" w14:textId="77777777" w:rsidR="00D46425" w:rsidRPr="00D12FC9" w:rsidRDefault="00D46425" w:rsidP="00D46425">
            <w:pPr>
              <w:pStyle w:val="Tabletext"/>
              <w:rPr>
                <w:iCs/>
                <w:lang w:val="en-US"/>
              </w:rPr>
            </w:pPr>
            <w:r w:rsidRPr="00D12FC9">
              <w:rPr>
                <w:iCs/>
                <w:color w:val="auto"/>
                <w:lang w:val="en-US"/>
              </w:rPr>
              <w:t>≥60</w:t>
            </w:r>
          </w:p>
        </w:tc>
        <w:tc>
          <w:tcPr>
            <w:tcW w:w="1594" w:type="dxa"/>
            <w:hideMark/>
          </w:tcPr>
          <w:p w14:paraId="40668185" w14:textId="77777777" w:rsidR="00D46425" w:rsidRPr="00D12FC9" w:rsidRDefault="00D46425" w:rsidP="00D46425">
            <w:pPr>
              <w:pStyle w:val="Tabletext"/>
              <w:rPr>
                <w:iCs/>
                <w:color w:val="auto"/>
              </w:rPr>
            </w:pPr>
            <w:r w:rsidRPr="00D12FC9">
              <w:rPr>
                <w:iCs/>
                <w:color w:val="auto"/>
              </w:rPr>
              <w:t>2 (1.6%)</w:t>
            </w:r>
          </w:p>
          <w:p w14:paraId="378399D8" w14:textId="77777777" w:rsidR="00D46425" w:rsidRPr="00D12FC9" w:rsidRDefault="00D46425" w:rsidP="00D46425">
            <w:pPr>
              <w:pStyle w:val="Tabletext"/>
              <w:rPr>
                <w:iCs/>
                <w:color w:val="auto"/>
              </w:rPr>
            </w:pPr>
            <w:r w:rsidRPr="00D12FC9">
              <w:rPr>
                <w:iCs/>
                <w:color w:val="auto"/>
              </w:rPr>
              <w:t>32 (25.2%)</w:t>
            </w:r>
          </w:p>
          <w:p w14:paraId="4EB1B4BB" w14:textId="77777777" w:rsidR="00D46425" w:rsidRPr="00D12FC9" w:rsidRDefault="00D46425" w:rsidP="00D46425">
            <w:pPr>
              <w:pStyle w:val="Tabletext"/>
              <w:rPr>
                <w:iCs/>
              </w:rPr>
            </w:pPr>
            <w:r w:rsidRPr="00D12FC9">
              <w:rPr>
                <w:iCs/>
                <w:color w:val="auto"/>
              </w:rPr>
              <w:t>93 (73.2%)</w:t>
            </w:r>
          </w:p>
        </w:tc>
      </w:tr>
      <w:tr w:rsidR="00D46425" w:rsidRPr="008F6C08" w14:paraId="267E57B0" w14:textId="77777777" w:rsidTr="00D12FC9">
        <w:trPr>
          <w:trHeight w:val="20"/>
        </w:trPr>
        <w:tc>
          <w:tcPr>
            <w:tcW w:w="1717" w:type="dxa"/>
          </w:tcPr>
          <w:p w14:paraId="52BB66C3" w14:textId="77777777" w:rsidR="00D46425" w:rsidRPr="00D46425" w:rsidRDefault="00D46425" w:rsidP="00D46425">
            <w:pPr>
              <w:pStyle w:val="Tabletext"/>
              <w:rPr>
                <w:b/>
                <w:lang w:val="en-US"/>
              </w:rPr>
            </w:pPr>
            <w:r w:rsidRPr="00D46425">
              <w:rPr>
                <w:b/>
                <w:color w:val="auto"/>
                <w:lang w:val="en-US"/>
              </w:rPr>
              <w:t xml:space="preserve">Revised international prognostic index </w:t>
            </w:r>
          </w:p>
        </w:tc>
        <w:tc>
          <w:tcPr>
            <w:tcW w:w="3386" w:type="dxa"/>
          </w:tcPr>
          <w:p w14:paraId="7A6233A2" w14:textId="77777777" w:rsidR="00D46425" w:rsidRPr="00D12FC9" w:rsidRDefault="00D46425" w:rsidP="00D46425">
            <w:pPr>
              <w:pStyle w:val="Tabletext"/>
              <w:rPr>
                <w:iCs/>
                <w:color w:val="auto"/>
                <w:lang w:val="en-US"/>
              </w:rPr>
            </w:pPr>
            <w:r w:rsidRPr="00D12FC9">
              <w:rPr>
                <w:iCs/>
                <w:color w:val="auto"/>
                <w:lang w:val="en-US"/>
              </w:rPr>
              <w:t>Very good (0)</w:t>
            </w:r>
          </w:p>
          <w:p w14:paraId="2463C42A" w14:textId="77777777" w:rsidR="00D46425" w:rsidRPr="00D12FC9" w:rsidRDefault="00D46425" w:rsidP="00D46425">
            <w:pPr>
              <w:pStyle w:val="Tabletext"/>
              <w:rPr>
                <w:iCs/>
                <w:color w:val="auto"/>
                <w:lang w:val="en-US"/>
              </w:rPr>
            </w:pPr>
            <w:r w:rsidRPr="00D12FC9">
              <w:rPr>
                <w:iCs/>
                <w:color w:val="auto"/>
                <w:lang w:val="en-US"/>
              </w:rPr>
              <w:t>Good (1,2)</w:t>
            </w:r>
          </w:p>
          <w:p w14:paraId="226951E8" w14:textId="77777777" w:rsidR="00D46425" w:rsidRPr="00D12FC9" w:rsidRDefault="00D46425" w:rsidP="00D46425">
            <w:pPr>
              <w:pStyle w:val="Tabletext"/>
              <w:rPr>
                <w:iCs/>
                <w:color w:val="auto"/>
                <w:lang w:val="en-US"/>
              </w:rPr>
            </w:pPr>
            <w:r w:rsidRPr="00D12FC9">
              <w:rPr>
                <w:iCs/>
                <w:color w:val="auto"/>
                <w:lang w:val="en-US"/>
              </w:rPr>
              <w:t>Poor (3,4,5)</w:t>
            </w:r>
          </w:p>
        </w:tc>
        <w:tc>
          <w:tcPr>
            <w:tcW w:w="1594" w:type="dxa"/>
          </w:tcPr>
          <w:p w14:paraId="3D77F22B" w14:textId="77777777" w:rsidR="00D46425" w:rsidRPr="00D12FC9" w:rsidRDefault="00D46425" w:rsidP="00D46425">
            <w:pPr>
              <w:pStyle w:val="Tabletext"/>
              <w:rPr>
                <w:iCs/>
                <w:color w:val="auto"/>
              </w:rPr>
            </w:pPr>
            <w:r w:rsidRPr="00D12FC9">
              <w:rPr>
                <w:iCs/>
                <w:color w:val="auto"/>
                <w:lang w:val="en-US"/>
              </w:rPr>
              <w:t>3 (2.4%)</w:t>
            </w:r>
          </w:p>
          <w:p w14:paraId="3D924100" w14:textId="77777777" w:rsidR="00D46425" w:rsidRPr="00D12FC9" w:rsidRDefault="00D46425" w:rsidP="00D46425">
            <w:pPr>
              <w:pStyle w:val="Tabletext"/>
              <w:rPr>
                <w:iCs/>
                <w:color w:val="auto"/>
                <w:lang w:val="en-US"/>
              </w:rPr>
            </w:pPr>
            <w:r w:rsidRPr="00D12FC9">
              <w:rPr>
                <w:iCs/>
                <w:color w:val="auto"/>
                <w:lang w:val="en-US"/>
              </w:rPr>
              <w:t>62 (48.8%)</w:t>
            </w:r>
          </w:p>
          <w:p w14:paraId="2ED46DA0" w14:textId="77777777" w:rsidR="00D46425" w:rsidRPr="00D12FC9" w:rsidRDefault="00D46425" w:rsidP="00D46425">
            <w:pPr>
              <w:pStyle w:val="Tabletext"/>
              <w:rPr>
                <w:iCs/>
                <w:color w:val="auto"/>
              </w:rPr>
            </w:pPr>
            <w:r w:rsidRPr="00D12FC9">
              <w:rPr>
                <w:iCs/>
                <w:color w:val="auto"/>
              </w:rPr>
              <w:t>55 (4.3%)</w:t>
            </w:r>
          </w:p>
        </w:tc>
      </w:tr>
      <w:tr w:rsidR="00D46425" w:rsidRPr="00E11235" w14:paraId="0C023081" w14:textId="77777777" w:rsidTr="00D12FC9">
        <w:trPr>
          <w:trHeight w:val="20"/>
        </w:trPr>
        <w:tc>
          <w:tcPr>
            <w:tcW w:w="1717" w:type="dxa"/>
            <w:vMerge w:val="restart"/>
          </w:tcPr>
          <w:p w14:paraId="57F6B621" w14:textId="77777777" w:rsidR="00D46425" w:rsidRPr="00D46425" w:rsidRDefault="00D46425" w:rsidP="00D46425">
            <w:pPr>
              <w:pStyle w:val="Tabletext"/>
              <w:rPr>
                <w:b/>
                <w:lang w:val="en-US"/>
              </w:rPr>
            </w:pPr>
            <w:r w:rsidRPr="00D46425">
              <w:rPr>
                <w:b/>
                <w:color w:val="auto"/>
                <w:lang w:val="en-US"/>
              </w:rPr>
              <w:t>DLBCL type</w:t>
            </w:r>
          </w:p>
        </w:tc>
        <w:tc>
          <w:tcPr>
            <w:tcW w:w="3386" w:type="dxa"/>
          </w:tcPr>
          <w:p w14:paraId="2EB5FCDC" w14:textId="77777777" w:rsidR="00D46425" w:rsidRPr="00D12FC9" w:rsidRDefault="00D46425" w:rsidP="00D46425">
            <w:pPr>
              <w:pStyle w:val="Tabletext"/>
              <w:rPr>
                <w:iCs/>
                <w:color w:val="auto"/>
                <w:lang w:val="en-US"/>
              </w:rPr>
            </w:pPr>
            <w:r w:rsidRPr="00D12FC9">
              <w:rPr>
                <w:iCs/>
                <w:color w:val="auto"/>
                <w:lang w:val="en-US"/>
              </w:rPr>
              <w:t>de novo</w:t>
            </w:r>
          </w:p>
          <w:p w14:paraId="16B25AD7" w14:textId="77777777" w:rsidR="00D46425" w:rsidRPr="00D12FC9" w:rsidRDefault="00D46425" w:rsidP="00D46425">
            <w:pPr>
              <w:pStyle w:val="Tabletext"/>
              <w:rPr>
                <w:iCs/>
                <w:color w:val="auto"/>
                <w:lang w:val="en-US"/>
              </w:rPr>
            </w:pPr>
            <w:r w:rsidRPr="00D12FC9">
              <w:rPr>
                <w:iCs/>
                <w:color w:val="auto"/>
                <w:lang w:val="en-US"/>
              </w:rPr>
              <w:t>transformed</w:t>
            </w:r>
          </w:p>
        </w:tc>
        <w:tc>
          <w:tcPr>
            <w:tcW w:w="1594" w:type="dxa"/>
          </w:tcPr>
          <w:p w14:paraId="5353B88E" w14:textId="77777777" w:rsidR="00D46425" w:rsidRPr="00D12FC9" w:rsidRDefault="00D46425" w:rsidP="00D46425">
            <w:pPr>
              <w:pStyle w:val="Tabletext"/>
              <w:rPr>
                <w:iCs/>
                <w:color w:val="auto"/>
                <w:lang w:val="en-US"/>
              </w:rPr>
            </w:pPr>
            <w:r w:rsidRPr="00D12FC9">
              <w:rPr>
                <w:iCs/>
                <w:color w:val="auto"/>
                <w:lang w:val="en-US"/>
              </w:rPr>
              <w:t>94 (74%)</w:t>
            </w:r>
          </w:p>
          <w:p w14:paraId="4DDC003E" w14:textId="77777777" w:rsidR="00D46425" w:rsidRPr="00D12FC9" w:rsidRDefault="00D46425" w:rsidP="00D46425">
            <w:pPr>
              <w:pStyle w:val="Tabletext"/>
              <w:rPr>
                <w:iCs/>
                <w:lang w:val="en-US"/>
              </w:rPr>
            </w:pPr>
            <w:r w:rsidRPr="00D12FC9">
              <w:rPr>
                <w:iCs/>
                <w:color w:val="auto"/>
                <w:lang w:val="en-US"/>
              </w:rPr>
              <w:t>31 (24.4%)</w:t>
            </w:r>
          </w:p>
        </w:tc>
      </w:tr>
      <w:tr w:rsidR="00D46425" w:rsidRPr="00E11235" w14:paraId="68A2CB3E" w14:textId="77777777" w:rsidTr="00D12FC9">
        <w:trPr>
          <w:trHeight w:val="20"/>
        </w:trPr>
        <w:tc>
          <w:tcPr>
            <w:tcW w:w="1717" w:type="dxa"/>
            <w:vMerge/>
          </w:tcPr>
          <w:p w14:paraId="4B0B8081" w14:textId="77777777" w:rsidR="00D46425" w:rsidRPr="00644A68" w:rsidRDefault="00D46425" w:rsidP="00D46425">
            <w:pPr>
              <w:pStyle w:val="Tabletext"/>
              <w:rPr>
                <w:bCs/>
                <w:lang w:val="en-US"/>
              </w:rPr>
            </w:pPr>
          </w:p>
        </w:tc>
        <w:tc>
          <w:tcPr>
            <w:tcW w:w="3386" w:type="dxa"/>
          </w:tcPr>
          <w:p w14:paraId="134DC52F" w14:textId="77777777" w:rsidR="00D46425" w:rsidRPr="00D12FC9" w:rsidRDefault="00D46425" w:rsidP="00D46425">
            <w:pPr>
              <w:pStyle w:val="Tabletext"/>
              <w:rPr>
                <w:iCs/>
                <w:color w:val="auto"/>
                <w:lang w:val="en-US"/>
              </w:rPr>
            </w:pPr>
            <w:r w:rsidRPr="00D12FC9">
              <w:rPr>
                <w:iCs/>
                <w:color w:val="auto"/>
                <w:lang w:val="en-US"/>
              </w:rPr>
              <w:t>GCB</w:t>
            </w:r>
          </w:p>
          <w:p w14:paraId="29925A44" w14:textId="77777777" w:rsidR="00D46425" w:rsidRPr="00D12FC9" w:rsidRDefault="00D46425" w:rsidP="00D46425">
            <w:pPr>
              <w:pStyle w:val="Tabletext"/>
              <w:rPr>
                <w:iCs/>
                <w:color w:val="auto"/>
                <w:lang w:val="en-US"/>
              </w:rPr>
            </w:pPr>
            <w:r w:rsidRPr="00D12FC9">
              <w:rPr>
                <w:iCs/>
                <w:color w:val="auto"/>
                <w:lang w:val="en-US"/>
              </w:rPr>
              <w:t>Non-GCB</w:t>
            </w:r>
          </w:p>
          <w:p w14:paraId="6E9DB366" w14:textId="77777777" w:rsidR="00D46425" w:rsidRPr="00D12FC9" w:rsidRDefault="00D46425" w:rsidP="00D46425">
            <w:pPr>
              <w:pStyle w:val="Tabletext"/>
              <w:rPr>
                <w:iCs/>
                <w:color w:val="auto"/>
                <w:lang w:val="en-US"/>
              </w:rPr>
            </w:pPr>
            <w:r w:rsidRPr="00D12FC9">
              <w:rPr>
                <w:iCs/>
                <w:color w:val="auto"/>
                <w:lang w:val="en-US"/>
              </w:rPr>
              <w:t>Non-classified</w:t>
            </w:r>
          </w:p>
          <w:p w14:paraId="32F841F2" w14:textId="77777777" w:rsidR="00D46425" w:rsidRPr="00D12FC9" w:rsidRDefault="00D46425" w:rsidP="00D46425">
            <w:pPr>
              <w:pStyle w:val="Tabletext"/>
              <w:rPr>
                <w:iCs/>
                <w:color w:val="auto"/>
                <w:lang w:val="en-US"/>
              </w:rPr>
            </w:pPr>
            <w:r w:rsidRPr="00D12FC9">
              <w:rPr>
                <w:iCs/>
                <w:color w:val="auto"/>
                <w:lang w:val="en-US"/>
              </w:rPr>
              <w:t>Double Hit/Triple Hit</w:t>
            </w:r>
          </w:p>
          <w:p w14:paraId="7906BE59" w14:textId="77777777" w:rsidR="00D46425" w:rsidRPr="00D12FC9" w:rsidRDefault="00D46425" w:rsidP="00D46425">
            <w:pPr>
              <w:pStyle w:val="Tabletext"/>
              <w:rPr>
                <w:iCs/>
                <w:color w:val="auto"/>
                <w:lang w:val="en-US"/>
              </w:rPr>
            </w:pPr>
            <w:r w:rsidRPr="00D12FC9">
              <w:rPr>
                <w:iCs/>
                <w:color w:val="auto"/>
                <w:lang w:val="en-US"/>
              </w:rPr>
              <w:t>Double expressor/Triple Expressor</w:t>
            </w:r>
          </w:p>
        </w:tc>
        <w:tc>
          <w:tcPr>
            <w:tcW w:w="1594" w:type="dxa"/>
          </w:tcPr>
          <w:p w14:paraId="12C14995" w14:textId="77777777" w:rsidR="00D46425" w:rsidRPr="00D12FC9" w:rsidRDefault="00D46425" w:rsidP="00D46425">
            <w:pPr>
              <w:pStyle w:val="Tabletext"/>
              <w:rPr>
                <w:iCs/>
                <w:color w:val="auto"/>
                <w:lang w:val="en-US"/>
              </w:rPr>
            </w:pPr>
            <w:r w:rsidRPr="00D12FC9">
              <w:rPr>
                <w:iCs/>
                <w:color w:val="auto"/>
                <w:lang w:val="en-US"/>
              </w:rPr>
              <w:t>59 (46.5%)</w:t>
            </w:r>
          </w:p>
          <w:p w14:paraId="1C308650" w14:textId="77777777" w:rsidR="00D46425" w:rsidRPr="00D12FC9" w:rsidRDefault="00D46425" w:rsidP="00D46425">
            <w:pPr>
              <w:pStyle w:val="Tabletext"/>
              <w:rPr>
                <w:iCs/>
                <w:color w:val="auto"/>
                <w:lang w:val="en-US"/>
              </w:rPr>
            </w:pPr>
            <w:r w:rsidRPr="00D12FC9">
              <w:rPr>
                <w:iCs/>
                <w:color w:val="auto"/>
                <w:lang w:val="en-US"/>
              </w:rPr>
              <w:t>63 (49.6%)</w:t>
            </w:r>
          </w:p>
          <w:p w14:paraId="0C9D72D9" w14:textId="77777777" w:rsidR="00D46425" w:rsidRPr="00D12FC9" w:rsidRDefault="00D46425" w:rsidP="00D46425">
            <w:pPr>
              <w:pStyle w:val="Tabletext"/>
              <w:rPr>
                <w:iCs/>
                <w:color w:val="auto"/>
                <w:lang w:val="en-US"/>
              </w:rPr>
            </w:pPr>
            <w:r w:rsidRPr="00D12FC9">
              <w:rPr>
                <w:iCs/>
                <w:color w:val="auto"/>
                <w:lang w:val="en-US"/>
              </w:rPr>
              <w:t>5 (3.9%)</w:t>
            </w:r>
          </w:p>
          <w:p w14:paraId="0F4BA2C3" w14:textId="77777777" w:rsidR="00D46425" w:rsidRPr="00D12FC9" w:rsidRDefault="00D46425" w:rsidP="00D46425">
            <w:pPr>
              <w:pStyle w:val="Tabletext"/>
              <w:rPr>
                <w:iCs/>
                <w:color w:val="auto"/>
                <w:lang w:val="en-US"/>
              </w:rPr>
            </w:pPr>
            <w:r w:rsidRPr="00D12FC9">
              <w:rPr>
                <w:iCs/>
                <w:color w:val="auto"/>
                <w:lang w:val="en-US"/>
              </w:rPr>
              <w:t>2(1.6%)</w:t>
            </w:r>
          </w:p>
          <w:p w14:paraId="63AFC198" w14:textId="77777777" w:rsidR="00D46425" w:rsidRPr="00D12FC9" w:rsidRDefault="00D46425" w:rsidP="00D46425">
            <w:pPr>
              <w:pStyle w:val="Tabletext"/>
              <w:rPr>
                <w:iCs/>
                <w:lang w:val="en-US"/>
              </w:rPr>
            </w:pPr>
            <w:r w:rsidRPr="00D12FC9">
              <w:rPr>
                <w:iCs/>
                <w:color w:val="auto"/>
                <w:lang w:val="en-US"/>
              </w:rPr>
              <w:t>26 (20.5%)</w:t>
            </w:r>
          </w:p>
        </w:tc>
      </w:tr>
    </w:tbl>
    <w:p w14:paraId="6386D79E" w14:textId="77777777" w:rsidR="00D12FC9" w:rsidRDefault="00D12FC9" w:rsidP="00D12FC9">
      <w:pPr>
        <w:pStyle w:val="Heading6"/>
      </w:pPr>
      <w:r>
        <w:t>Protocol amendments</w:t>
      </w:r>
    </w:p>
    <w:p w14:paraId="470AA456" w14:textId="5162AA08" w:rsidR="00D12FC9" w:rsidRDefault="00D12FC9" w:rsidP="00D12FC9">
      <w:pPr>
        <w:rPr>
          <w:rFonts w:asciiTheme="minorHAnsi" w:hAnsiTheme="minorHAnsi"/>
          <w:lang w:eastAsia="ja-JP"/>
        </w:rPr>
      </w:pPr>
      <w:r w:rsidRPr="008170AB">
        <w:rPr>
          <w:rFonts w:asciiTheme="minorHAnsi" w:hAnsiTheme="minorHAnsi"/>
          <w:lang w:eastAsia="ja-JP"/>
        </w:rPr>
        <w:t xml:space="preserve">There were </w:t>
      </w:r>
      <w:r>
        <w:rPr>
          <w:rFonts w:asciiTheme="minorHAnsi" w:hAnsiTheme="minorHAnsi"/>
          <w:lang w:eastAsia="ja-JP"/>
        </w:rPr>
        <w:t>nine</w:t>
      </w:r>
      <w:r w:rsidRPr="008170AB">
        <w:rPr>
          <w:rFonts w:asciiTheme="minorHAnsi" w:hAnsiTheme="minorHAnsi"/>
          <w:lang w:eastAsia="ja-JP"/>
        </w:rPr>
        <w:t xml:space="preserve"> version of the protocol</w:t>
      </w:r>
      <w:r>
        <w:rPr>
          <w:rFonts w:asciiTheme="minorHAnsi" w:hAnsiTheme="minorHAnsi"/>
          <w:lang w:eastAsia="ja-JP"/>
        </w:rPr>
        <w:t>, and are summarised in the submission as follows:</w:t>
      </w:r>
    </w:p>
    <w:p w14:paraId="41345072" w14:textId="36FDDD04" w:rsidR="00D46425" w:rsidRDefault="00D12FC9" w:rsidP="00D12FC9">
      <w:pPr>
        <w:pStyle w:val="TableTitle"/>
      </w:pPr>
      <w:r w:rsidRPr="00D12FC9">
        <w:lastRenderedPageBreak/>
        <w:t xml:space="preserve">Table </w:t>
      </w:r>
      <w:r w:rsidR="006737A0">
        <w:fldChar w:fldCharType="begin"/>
      </w:r>
      <w:r w:rsidR="006737A0">
        <w:instrText xml:space="preserve"> SEQ Table \* ARABIC </w:instrText>
      </w:r>
      <w:r w:rsidR="006737A0">
        <w:fldChar w:fldCharType="separate"/>
      </w:r>
      <w:r w:rsidR="00BB2836">
        <w:rPr>
          <w:noProof/>
        </w:rPr>
        <w:t>12</w:t>
      </w:r>
      <w:r w:rsidR="006737A0">
        <w:rPr>
          <w:noProof/>
        </w:rPr>
        <w:fldChar w:fldCharType="end"/>
      </w:r>
      <w:r>
        <w:t xml:space="preserve">: </w:t>
      </w:r>
      <w:r w:rsidR="000B5B63">
        <w:t>Study KCP-330-009 (</w:t>
      </w:r>
      <w:r>
        <w:t>SADAL trial</w:t>
      </w:r>
      <w:r w:rsidR="000B5B63">
        <w:t>)</w:t>
      </w:r>
      <w:r>
        <w:t xml:space="preserve"> Protocol amendments</w:t>
      </w:r>
    </w:p>
    <w:p w14:paraId="1482DE91" w14:textId="7BA12109" w:rsidR="00D12FC9" w:rsidRDefault="00D12FC9" w:rsidP="00D12FC9">
      <w:r w:rsidRPr="00D12FC9">
        <w:rPr>
          <w:noProof/>
          <w:lang w:val="en-GB" w:eastAsia="en-GB"/>
        </w:rPr>
        <w:drawing>
          <wp:inline distT="0" distB="0" distL="0" distR="0" wp14:anchorId="17A8335A" wp14:editId="2FD3C766">
            <wp:extent cx="5119828" cy="7615123"/>
            <wp:effectExtent l="0" t="0" r="5080" b="5080"/>
            <wp:docPr id="10" name="Picture 10" descr="SADAL trial Protocol amend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ADAL trial Protocol amendments"/>
                    <pic:cNvPicPr/>
                  </pic:nvPicPr>
                  <pic:blipFill>
                    <a:blip r:embed="rId22"/>
                    <a:stretch>
                      <a:fillRect/>
                    </a:stretch>
                  </pic:blipFill>
                  <pic:spPr>
                    <a:xfrm>
                      <a:off x="0" y="0"/>
                      <a:ext cx="5131137" cy="7631944"/>
                    </a:xfrm>
                    <a:prstGeom prst="rect">
                      <a:avLst/>
                    </a:prstGeom>
                  </pic:spPr>
                </pic:pic>
              </a:graphicData>
            </a:graphic>
          </wp:inline>
        </w:drawing>
      </w:r>
    </w:p>
    <w:p w14:paraId="08AEB4F3" w14:textId="3BF9E8D9" w:rsidR="00D12FC9" w:rsidRDefault="00D12FC9" w:rsidP="00D12FC9">
      <w:pPr>
        <w:pStyle w:val="TableTitle"/>
      </w:pPr>
      <w:r>
        <w:lastRenderedPageBreak/>
        <w:t xml:space="preserve">Table </w:t>
      </w:r>
      <w:r w:rsidRPr="00D12FC9">
        <w:t>1</w:t>
      </w:r>
      <w:r>
        <w:t xml:space="preserve">2 </w:t>
      </w:r>
      <w:r w:rsidR="00790973">
        <w:t>(</w:t>
      </w:r>
      <w:r>
        <w:t>continued</w:t>
      </w:r>
      <w:r w:rsidR="00790973">
        <w:t>)</w:t>
      </w:r>
      <w:r w:rsidRPr="00D12FC9">
        <w:t xml:space="preserve">: </w:t>
      </w:r>
      <w:r w:rsidR="00790973">
        <w:t>Study KCP-330-009 (</w:t>
      </w:r>
      <w:r w:rsidRPr="00D12FC9">
        <w:t>SADAL trial</w:t>
      </w:r>
      <w:r w:rsidR="00790973">
        <w:t>)</w:t>
      </w:r>
      <w:r w:rsidRPr="00D12FC9">
        <w:t xml:space="preserve"> Protocol amendments</w:t>
      </w:r>
    </w:p>
    <w:p w14:paraId="45FC9188" w14:textId="77777777" w:rsidR="00D12FC9" w:rsidRDefault="00D12FC9" w:rsidP="00D12FC9">
      <w:pPr>
        <w:pStyle w:val="TableTitle"/>
      </w:pPr>
      <w:r w:rsidRPr="00D12FC9">
        <w:rPr>
          <w:noProof/>
          <w:lang w:val="en-GB" w:eastAsia="en-GB"/>
        </w:rPr>
        <w:drawing>
          <wp:inline distT="0" distB="0" distL="0" distR="0" wp14:anchorId="68CF874B" wp14:editId="7543F6E5">
            <wp:extent cx="5164531" cy="84480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3631" cy="8479259"/>
                    </a:xfrm>
                    <a:prstGeom prst="rect">
                      <a:avLst/>
                    </a:prstGeom>
                  </pic:spPr>
                </pic:pic>
              </a:graphicData>
            </a:graphic>
          </wp:inline>
        </w:drawing>
      </w:r>
    </w:p>
    <w:p w14:paraId="6146F9B9" w14:textId="77777777" w:rsidR="00D12FC9" w:rsidRDefault="00D12FC9" w:rsidP="00D12FC9">
      <w:pPr>
        <w:pStyle w:val="TableTitle"/>
      </w:pPr>
    </w:p>
    <w:p w14:paraId="17D46912" w14:textId="15C154AA" w:rsidR="00D12FC9" w:rsidRDefault="00D12FC9" w:rsidP="00D12FC9">
      <w:pPr>
        <w:pStyle w:val="TableTitle"/>
      </w:pPr>
      <w:r>
        <w:lastRenderedPageBreak/>
        <w:t xml:space="preserve">Table </w:t>
      </w:r>
      <w:r w:rsidRPr="00D12FC9">
        <w:t>1</w:t>
      </w:r>
      <w:r>
        <w:t xml:space="preserve">2 </w:t>
      </w:r>
      <w:r w:rsidR="000B5B63">
        <w:t>(</w:t>
      </w:r>
      <w:r>
        <w:t>continued</w:t>
      </w:r>
      <w:r w:rsidR="000B5B63">
        <w:t>)</w:t>
      </w:r>
      <w:r w:rsidRPr="00D12FC9">
        <w:t xml:space="preserve">: </w:t>
      </w:r>
      <w:r w:rsidR="000B5B63">
        <w:t>Study KCP-330-009 (</w:t>
      </w:r>
      <w:r w:rsidRPr="00D12FC9">
        <w:t>SADAL trial</w:t>
      </w:r>
      <w:r w:rsidR="000B5B63">
        <w:t>)</w:t>
      </w:r>
      <w:r w:rsidRPr="00D12FC9">
        <w:t xml:space="preserve"> Protocol amendments</w:t>
      </w:r>
    </w:p>
    <w:p w14:paraId="0635B17B" w14:textId="7AE718AD" w:rsidR="00D12FC9" w:rsidRDefault="00D12FC9" w:rsidP="00D12FC9">
      <w:pPr>
        <w:pStyle w:val="TableDescription"/>
      </w:pPr>
      <w:r w:rsidRPr="00E86254">
        <w:rPr>
          <w:noProof/>
          <w:lang w:val="en-GB" w:eastAsia="en-GB"/>
        </w:rPr>
        <w:drawing>
          <wp:inline distT="0" distB="0" distL="0" distR="0" wp14:anchorId="73F22B5C" wp14:editId="67A8FB98">
            <wp:extent cx="5200108" cy="1616659"/>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49454" b="14630"/>
                    <a:stretch/>
                  </pic:blipFill>
                  <pic:spPr bwMode="auto">
                    <a:xfrm>
                      <a:off x="0" y="0"/>
                      <a:ext cx="5257498" cy="1634501"/>
                    </a:xfrm>
                    <a:prstGeom prst="rect">
                      <a:avLst/>
                    </a:prstGeom>
                    <a:noFill/>
                    <a:ln>
                      <a:noFill/>
                    </a:ln>
                    <a:extLst>
                      <a:ext uri="{53640926-AAD7-44D8-BBD7-CCE9431645EC}">
                        <a14:shadowObscured xmlns:a14="http://schemas.microsoft.com/office/drawing/2010/main"/>
                      </a:ext>
                    </a:extLst>
                  </pic:spPr>
                </pic:pic>
              </a:graphicData>
            </a:graphic>
          </wp:inline>
        </w:drawing>
      </w:r>
    </w:p>
    <w:p w14:paraId="0EAAA953" w14:textId="23F302A0" w:rsidR="00D12FC9" w:rsidRDefault="00D12FC9" w:rsidP="00D12FC9">
      <w:pPr>
        <w:pStyle w:val="TableDescription"/>
      </w:pPr>
      <w:r>
        <w:t xml:space="preserve">ALT = alanine aminotransferase; ANC = absolute neutrophil count; AST = </w:t>
      </w:r>
      <w:proofErr w:type="spellStart"/>
      <w:r>
        <w:t>asparate</w:t>
      </w:r>
      <w:proofErr w:type="spellEnd"/>
      <w:r>
        <w:t xml:space="preserve"> aminotransferase; CT = computed tomography; DCR = disease control rate; DOR = duration of response; FDG = fluorodeoxyglucose; </w:t>
      </w:r>
      <w:proofErr w:type="spellStart"/>
      <w:r>
        <w:t>mITT</w:t>
      </w:r>
      <w:proofErr w:type="spellEnd"/>
      <w:r>
        <w:t xml:space="preserve"> = modified intention to treat; OS = overall survival; PD = progressive disease; PET = positron emission tomography; PFS = progression free survival; PV = protocol version; QoL = quality of life; QW = once per week. TLS = </w:t>
      </w:r>
      <w:proofErr w:type="spellStart"/>
      <w:r>
        <w:t>tumor</w:t>
      </w:r>
      <w:proofErr w:type="spellEnd"/>
      <w:r>
        <w:t xml:space="preserve"> lysis syndrome.</w:t>
      </w:r>
    </w:p>
    <w:p w14:paraId="57639959" w14:textId="77777777" w:rsidR="00D12FC9" w:rsidRPr="000B3827" w:rsidRDefault="00D12FC9" w:rsidP="00D12FC9">
      <w:pPr>
        <w:pStyle w:val="Heading7"/>
        <w:rPr>
          <w:i/>
          <w:sz w:val="22"/>
        </w:rPr>
      </w:pPr>
      <w:r w:rsidRPr="000B3827">
        <w:rPr>
          <w:i/>
          <w:sz w:val="22"/>
        </w:rPr>
        <w:t>Major protocol violations</w:t>
      </w:r>
    </w:p>
    <w:p w14:paraId="22FEDB0D" w14:textId="516DB278" w:rsidR="00D12FC9" w:rsidRPr="001E2968" w:rsidRDefault="00D12FC9" w:rsidP="00D12FC9">
      <w:pPr>
        <w:rPr>
          <w:rFonts w:asciiTheme="minorHAnsi" w:hAnsiTheme="minorHAnsi"/>
          <w:lang w:eastAsia="ja-JP"/>
        </w:rPr>
      </w:pPr>
      <w:r w:rsidRPr="001E2968">
        <w:rPr>
          <w:rFonts w:asciiTheme="minorHAnsi" w:hAnsiTheme="minorHAnsi"/>
          <w:lang w:eastAsia="ja-JP"/>
        </w:rPr>
        <w:t xml:space="preserve">There were </w:t>
      </w:r>
      <w:r w:rsidR="00D24D87">
        <w:rPr>
          <w:rFonts w:asciiTheme="minorHAnsi" w:hAnsiTheme="minorHAnsi"/>
          <w:lang w:eastAsia="ja-JP"/>
        </w:rPr>
        <w:t>eight</w:t>
      </w:r>
      <w:r w:rsidRPr="001E2968">
        <w:rPr>
          <w:rFonts w:asciiTheme="minorHAnsi" w:hAnsiTheme="minorHAnsi"/>
          <w:lang w:eastAsia="ja-JP"/>
        </w:rPr>
        <w:t xml:space="preserve"> major protocol violations in the </w:t>
      </w:r>
      <w:proofErr w:type="spellStart"/>
      <w:r w:rsidRPr="001E2968">
        <w:rPr>
          <w:rFonts w:asciiTheme="minorHAnsi" w:hAnsiTheme="minorHAnsi"/>
          <w:lang w:eastAsia="ja-JP"/>
        </w:rPr>
        <w:t>mITT</w:t>
      </w:r>
      <w:proofErr w:type="spellEnd"/>
      <w:r w:rsidRPr="001E2968">
        <w:rPr>
          <w:rFonts w:asciiTheme="minorHAnsi" w:hAnsiTheme="minorHAnsi"/>
          <w:lang w:eastAsia="ja-JP"/>
        </w:rPr>
        <w:t xml:space="preserve"> population, </w:t>
      </w:r>
      <w:r>
        <w:rPr>
          <w:rFonts w:asciiTheme="minorHAnsi" w:hAnsiTheme="minorHAnsi"/>
          <w:lang w:eastAsia="ja-JP"/>
        </w:rPr>
        <w:t>including</w:t>
      </w:r>
      <w:r w:rsidRPr="001E2968">
        <w:rPr>
          <w:rFonts w:asciiTheme="minorHAnsi" w:hAnsiTheme="minorHAnsi"/>
          <w:lang w:eastAsia="ja-JP"/>
        </w:rPr>
        <w:t xml:space="preserve"> </w:t>
      </w:r>
      <w:r w:rsidR="00D24D87">
        <w:rPr>
          <w:rFonts w:asciiTheme="minorHAnsi" w:hAnsiTheme="minorHAnsi"/>
          <w:lang w:eastAsia="ja-JP"/>
        </w:rPr>
        <w:t>one</w:t>
      </w:r>
      <w:r w:rsidRPr="001E2968">
        <w:rPr>
          <w:rFonts w:asciiTheme="minorHAnsi" w:hAnsiTheme="minorHAnsi"/>
          <w:lang w:eastAsia="ja-JP"/>
        </w:rPr>
        <w:t xml:space="preserve"> patient </w:t>
      </w:r>
      <w:r>
        <w:rPr>
          <w:rFonts w:asciiTheme="minorHAnsi" w:hAnsiTheme="minorHAnsi"/>
          <w:lang w:eastAsia="ja-JP"/>
        </w:rPr>
        <w:t xml:space="preserve">who </w:t>
      </w:r>
      <w:r w:rsidRPr="001E2968">
        <w:rPr>
          <w:rFonts w:asciiTheme="minorHAnsi" w:hAnsiTheme="minorHAnsi"/>
          <w:lang w:eastAsia="ja-JP"/>
        </w:rPr>
        <w:t>was not administered prior anti-CD20 therapy. Protocol violations are unlikely to impact the results of the study.</w:t>
      </w:r>
    </w:p>
    <w:p w14:paraId="262654E5" w14:textId="7FD22DE4" w:rsidR="00D12FC9" w:rsidRDefault="00D12FC9" w:rsidP="00D12FC9">
      <w:pPr>
        <w:pStyle w:val="Heading6"/>
      </w:pPr>
      <w:r>
        <w:t>Statistic</w:t>
      </w:r>
      <w:r w:rsidR="00790973">
        <w:t>al analysis</w:t>
      </w:r>
    </w:p>
    <w:p w14:paraId="2793A07F" w14:textId="75F9F813" w:rsidR="00D12FC9" w:rsidRPr="00647093" w:rsidRDefault="00D12FC9" w:rsidP="00D12FC9">
      <w:pPr>
        <w:rPr>
          <w:rFonts w:asciiTheme="minorHAnsi" w:hAnsiTheme="minorHAnsi"/>
          <w:lang w:eastAsia="ja-JP"/>
        </w:rPr>
      </w:pPr>
      <w:r>
        <w:rPr>
          <w:rFonts w:asciiTheme="minorHAnsi" w:hAnsiTheme="minorHAnsi"/>
          <w:lang w:eastAsia="ja-JP"/>
        </w:rPr>
        <w:t xml:space="preserve">Statistical analysis plan version 1 dated 2018 and version 2.0 dated 2019 were included in the submission. </w:t>
      </w:r>
      <w:r w:rsidRPr="00647093">
        <w:rPr>
          <w:rFonts w:asciiTheme="minorHAnsi" w:hAnsiTheme="minorHAnsi"/>
          <w:lang w:eastAsia="ja-JP"/>
        </w:rPr>
        <w:t xml:space="preserve">A sample size of 127 patients allowed a </w:t>
      </w:r>
      <w:proofErr w:type="gramStart"/>
      <w:r w:rsidR="00A61EC1">
        <w:rPr>
          <w:rFonts w:asciiTheme="minorHAnsi" w:hAnsiTheme="minorHAnsi"/>
          <w:lang w:eastAsia="ja-JP"/>
        </w:rPr>
        <w:t xml:space="preserve">one </w:t>
      </w:r>
      <w:r w:rsidRPr="00647093">
        <w:rPr>
          <w:rFonts w:asciiTheme="minorHAnsi" w:hAnsiTheme="minorHAnsi"/>
          <w:lang w:eastAsia="ja-JP"/>
        </w:rPr>
        <w:t>sided</w:t>
      </w:r>
      <w:proofErr w:type="gramEnd"/>
      <w:r w:rsidRPr="00647093">
        <w:rPr>
          <w:rFonts w:asciiTheme="minorHAnsi" w:hAnsiTheme="minorHAnsi"/>
          <w:lang w:eastAsia="ja-JP"/>
        </w:rPr>
        <w:t xml:space="preserve"> binomial exact test at α</w:t>
      </w:r>
      <w:r w:rsidR="00A61EC1">
        <w:rPr>
          <w:rFonts w:asciiTheme="minorHAnsi" w:hAnsiTheme="minorHAnsi"/>
          <w:lang w:eastAsia="ja-JP"/>
        </w:rPr>
        <w:t> </w:t>
      </w:r>
      <w:r w:rsidRPr="00647093">
        <w:rPr>
          <w:rFonts w:asciiTheme="minorHAnsi" w:hAnsiTheme="minorHAnsi"/>
          <w:lang w:eastAsia="ja-JP"/>
        </w:rPr>
        <w:t>=</w:t>
      </w:r>
      <w:r w:rsidR="00A61EC1">
        <w:rPr>
          <w:rFonts w:asciiTheme="minorHAnsi" w:hAnsiTheme="minorHAnsi"/>
          <w:lang w:eastAsia="ja-JP"/>
        </w:rPr>
        <w:t> </w:t>
      </w:r>
      <w:r w:rsidRPr="00647093">
        <w:rPr>
          <w:rFonts w:asciiTheme="minorHAnsi" w:hAnsiTheme="minorHAnsi"/>
          <w:lang w:eastAsia="ja-JP"/>
        </w:rPr>
        <w:t xml:space="preserve">0.025 to detect an </w:t>
      </w:r>
      <w:r w:rsidR="00A61EC1">
        <w:rPr>
          <w:rFonts w:asciiTheme="minorHAnsi" w:hAnsiTheme="minorHAnsi"/>
          <w:lang w:eastAsia="ja-JP"/>
        </w:rPr>
        <w:t>overall response rate</w:t>
      </w:r>
      <w:r w:rsidRPr="00647093">
        <w:rPr>
          <w:rFonts w:asciiTheme="minorHAnsi" w:hAnsiTheme="minorHAnsi"/>
          <w:lang w:eastAsia="ja-JP"/>
        </w:rPr>
        <w:t xml:space="preserve"> of ≥</w:t>
      </w:r>
      <w:r w:rsidR="00A61EC1">
        <w:rPr>
          <w:rFonts w:asciiTheme="minorHAnsi" w:hAnsiTheme="minorHAnsi"/>
          <w:lang w:eastAsia="ja-JP"/>
        </w:rPr>
        <w:t xml:space="preserve"> </w:t>
      </w:r>
      <w:r w:rsidRPr="00647093">
        <w:rPr>
          <w:rFonts w:asciiTheme="minorHAnsi" w:hAnsiTheme="minorHAnsi"/>
          <w:lang w:eastAsia="ja-JP"/>
        </w:rPr>
        <w:t xml:space="preserve">0.25 against the threshold </w:t>
      </w:r>
      <w:r w:rsidR="00A61EC1">
        <w:rPr>
          <w:rFonts w:asciiTheme="minorHAnsi" w:hAnsiTheme="minorHAnsi"/>
          <w:lang w:eastAsia="ja-JP"/>
        </w:rPr>
        <w:t xml:space="preserve">overall response rate </w:t>
      </w:r>
      <w:r w:rsidRPr="00647093">
        <w:rPr>
          <w:rFonts w:asciiTheme="minorHAnsi" w:hAnsiTheme="minorHAnsi"/>
          <w:lang w:eastAsia="ja-JP"/>
        </w:rPr>
        <w:t>of 0.15, with &gt;</w:t>
      </w:r>
      <w:r w:rsidR="00A61EC1">
        <w:rPr>
          <w:rFonts w:asciiTheme="minorHAnsi" w:hAnsiTheme="minorHAnsi"/>
          <w:lang w:eastAsia="ja-JP"/>
        </w:rPr>
        <w:t> </w:t>
      </w:r>
      <w:r w:rsidRPr="00647093">
        <w:rPr>
          <w:rFonts w:asciiTheme="minorHAnsi" w:hAnsiTheme="minorHAnsi"/>
          <w:lang w:eastAsia="ja-JP"/>
        </w:rPr>
        <w:t>80% power</w:t>
      </w:r>
      <w:r w:rsidR="00A61EC1">
        <w:rPr>
          <w:rFonts w:asciiTheme="minorHAnsi" w:hAnsiTheme="minorHAnsi"/>
          <w:lang w:eastAsia="ja-JP"/>
        </w:rPr>
        <w:t>.</w:t>
      </w:r>
      <w:r w:rsidRPr="00647093">
        <w:rPr>
          <w:rStyle w:val="FootnoteReference"/>
          <w:rFonts w:asciiTheme="minorHAnsi" w:hAnsiTheme="minorHAnsi" w:cs="Calibri"/>
          <w:lang w:eastAsia="ja-JP"/>
        </w:rPr>
        <w:footnoteReference w:id="24"/>
      </w:r>
      <w:r w:rsidRPr="00647093">
        <w:rPr>
          <w:rFonts w:asciiTheme="minorHAnsi" w:hAnsiTheme="minorHAnsi"/>
          <w:lang w:eastAsia="ja-JP"/>
        </w:rPr>
        <w:t xml:space="preserve"> The primary analysis population was planned to include </w:t>
      </w:r>
      <w:r w:rsidR="00A61EC1">
        <w:rPr>
          <w:rFonts w:asciiTheme="minorHAnsi" w:hAnsiTheme="minorHAnsi"/>
          <w:lang w:eastAsia="ja-JP"/>
        </w:rPr>
        <w:t xml:space="preserve">about </w:t>
      </w:r>
      <w:r w:rsidRPr="00647093">
        <w:rPr>
          <w:rFonts w:asciiTheme="minorHAnsi" w:hAnsiTheme="minorHAnsi"/>
          <w:lang w:eastAsia="ja-JP"/>
        </w:rPr>
        <w:t>130 patients, to allowed for a 2% correction for non-evaluable patients.</w:t>
      </w:r>
    </w:p>
    <w:p w14:paraId="6580F0AA" w14:textId="03061819" w:rsidR="00D12FC9" w:rsidRPr="00647093" w:rsidRDefault="00D12FC9" w:rsidP="00D12FC9">
      <w:pPr>
        <w:rPr>
          <w:rFonts w:asciiTheme="minorHAnsi" w:hAnsiTheme="minorHAnsi"/>
          <w:lang w:eastAsia="ja-JP"/>
        </w:rPr>
      </w:pPr>
      <w:r w:rsidRPr="00647093">
        <w:rPr>
          <w:rFonts w:asciiTheme="minorHAnsi" w:hAnsiTheme="minorHAnsi"/>
          <w:lang w:eastAsia="ja-JP"/>
        </w:rPr>
        <w:t xml:space="preserve">The primary endpoint of </w:t>
      </w:r>
      <w:r w:rsidR="00A61EC1">
        <w:rPr>
          <w:rFonts w:asciiTheme="minorHAnsi" w:hAnsiTheme="minorHAnsi"/>
          <w:lang w:eastAsia="ja-JP"/>
        </w:rPr>
        <w:t>overall response rate</w:t>
      </w:r>
      <w:r w:rsidRPr="00647093">
        <w:rPr>
          <w:rFonts w:asciiTheme="minorHAnsi" w:hAnsiTheme="minorHAnsi"/>
          <w:lang w:eastAsia="ja-JP"/>
        </w:rPr>
        <w:t xml:space="preserve"> was assessed by constructing a 97.5% lower </w:t>
      </w:r>
      <w:r w:rsidR="00A61EC1">
        <w:rPr>
          <w:rFonts w:asciiTheme="minorHAnsi" w:hAnsiTheme="minorHAnsi"/>
          <w:lang w:eastAsia="ja-JP"/>
        </w:rPr>
        <w:t xml:space="preserve">one </w:t>
      </w:r>
      <w:r w:rsidRPr="00647093">
        <w:rPr>
          <w:rFonts w:asciiTheme="minorHAnsi" w:hAnsiTheme="minorHAnsi"/>
          <w:lang w:eastAsia="ja-JP"/>
        </w:rPr>
        <w:t xml:space="preserve">sided binomial CI for </w:t>
      </w:r>
      <w:r w:rsidR="00A61EC1">
        <w:rPr>
          <w:rFonts w:asciiTheme="minorHAnsi" w:hAnsiTheme="minorHAnsi"/>
          <w:lang w:eastAsia="ja-JP"/>
        </w:rPr>
        <w:t>overall response rate</w:t>
      </w:r>
      <w:r w:rsidRPr="00647093">
        <w:rPr>
          <w:rFonts w:asciiTheme="minorHAnsi" w:hAnsiTheme="minorHAnsi"/>
          <w:lang w:eastAsia="ja-JP"/>
        </w:rPr>
        <w:t xml:space="preserve"> using exact methods. Selinexor was deemed superior to the pre-established minimum threshold level of 15% if the lower bound of this CI was ≥</w:t>
      </w:r>
      <w:r w:rsidR="00A61EC1">
        <w:rPr>
          <w:rFonts w:asciiTheme="minorHAnsi" w:hAnsiTheme="minorHAnsi"/>
          <w:lang w:eastAsia="ja-JP"/>
        </w:rPr>
        <w:t> </w:t>
      </w:r>
      <w:r w:rsidRPr="00647093">
        <w:rPr>
          <w:rFonts w:asciiTheme="minorHAnsi" w:hAnsiTheme="minorHAnsi"/>
          <w:lang w:eastAsia="ja-JP"/>
        </w:rPr>
        <w:t>15%.</w:t>
      </w:r>
    </w:p>
    <w:p w14:paraId="1E9DA35E" w14:textId="2DD9194D" w:rsidR="00D12FC9" w:rsidRPr="00647093" w:rsidRDefault="00A61EC1" w:rsidP="00D12FC9">
      <w:pPr>
        <w:rPr>
          <w:rFonts w:asciiTheme="minorHAnsi" w:hAnsiTheme="minorHAnsi"/>
          <w:lang w:eastAsia="ja-JP"/>
        </w:rPr>
      </w:pPr>
      <w:r>
        <w:rPr>
          <w:rFonts w:asciiTheme="minorHAnsi" w:hAnsiTheme="minorHAnsi"/>
          <w:lang w:eastAsia="ja-JP"/>
        </w:rPr>
        <w:t>Duration of response</w:t>
      </w:r>
      <w:r w:rsidR="00D12FC9" w:rsidRPr="00647093">
        <w:rPr>
          <w:rFonts w:asciiTheme="minorHAnsi" w:hAnsiTheme="minorHAnsi"/>
          <w:lang w:eastAsia="ja-JP"/>
        </w:rPr>
        <w:t xml:space="preserve">, the duration from first occurrence of </w:t>
      </w:r>
      <w:r>
        <w:rPr>
          <w:rFonts w:asciiTheme="minorHAnsi" w:hAnsiTheme="minorHAnsi"/>
          <w:lang w:eastAsia="ja-JP"/>
        </w:rPr>
        <w:t xml:space="preserve">complete response </w:t>
      </w:r>
      <w:r w:rsidR="00D12FC9" w:rsidRPr="00647093">
        <w:rPr>
          <w:rFonts w:asciiTheme="minorHAnsi" w:hAnsiTheme="minorHAnsi"/>
          <w:lang w:eastAsia="ja-JP"/>
        </w:rPr>
        <w:t>or</w:t>
      </w:r>
      <w:r>
        <w:rPr>
          <w:rFonts w:asciiTheme="minorHAnsi" w:hAnsiTheme="minorHAnsi"/>
          <w:lang w:eastAsia="ja-JP"/>
        </w:rPr>
        <w:t xml:space="preserve"> partial response</w:t>
      </w:r>
      <w:r w:rsidR="00D12FC9" w:rsidRPr="00647093">
        <w:rPr>
          <w:rFonts w:asciiTheme="minorHAnsi" w:hAnsiTheme="minorHAnsi"/>
          <w:lang w:eastAsia="ja-JP"/>
        </w:rPr>
        <w:t xml:space="preserve"> until the first date of documented progression, was described using the</w:t>
      </w:r>
      <w:r w:rsidR="00D12FC9" w:rsidRPr="00647093">
        <w:rPr>
          <w:rFonts w:asciiTheme="minorHAnsi" w:hAnsiTheme="minorHAnsi"/>
        </w:rPr>
        <w:t xml:space="preserve"> </w:t>
      </w:r>
      <w:r w:rsidR="00D12FC9" w:rsidRPr="00647093">
        <w:rPr>
          <w:rFonts w:asciiTheme="minorHAnsi" w:hAnsiTheme="minorHAnsi"/>
          <w:lang w:eastAsia="ja-JP"/>
        </w:rPr>
        <w:t>Kaplan-Meier method, including an estimate of the median, as well as the 25</w:t>
      </w:r>
      <w:r w:rsidR="00D12FC9" w:rsidRPr="00A61EC1">
        <w:rPr>
          <w:rFonts w:asciiTheme="minorHAnsi" w:hAnsiTheme="minorHAnsi"/>
          <w:vertAlign w:val="superscript"/>
          <w:lang w:eastAsia="ja-JP"/>
        </w:rPr>
        <w:t>th</w:t>
      </w:r>
      <w:r w:rsidR="00D12FC9" w:rsidRPr="00647093">
        <w:rPr>
          <w:rFonts w:asciiTheme="minorHAnsi" w:hAnsiTheme="minorHAnsi"/>
          <w:lang w:eastAsia="ja-JP"/>
        </w:rPr>
        <w:t xml:space="preserve"> and 75</w:t>
      </w:r>
      <w:r w:rsidR="00D12FC9" w:rsidRPr="00A61EC1">
        <w:rPr>
          <w:rFonts w:asciiTheme="minorHAnsi" w:hAnsiTheme="minorHAnsi"/>
          <w:vertAlign w:val="superscript"/>
          <w:lang w:eastAsia="ja-JP"/>
        </w:rPr>
        <w:t>th</w:t>
      </w:r>
      <w:r w:rsidR="00D12FC9" w:rsidRPr="00647093">
        <w:rPr>
          <w:rFonts w:asciiTheme="minorHAnsi" w:hAnsiTheme="minorHAnsi"/>
          <w:lang w:eastAsia="ja-JP"/>
        </w:rPr>
        <w:t xml:space="preserve"> percentiles, along with </w:t>
      </w:r>
      <w:r>
        <w:rPr>
          <w:rFonts w:asciiTheme="minorHAnsi" w:hAnsiTheme="minorHAnsi"/>
          <w:lang w:eastAsia="ja-JP"/>
        </w:rPr>
        <w:t xml:space="preserve">two </w:t>
      </w:r>
      <w:r w:rsidR="00D12FC9" w:rsidRPr="00647093">
        <w:rPr>
          <w:rFonts w:asciiTheme="minorHAnsi" w:hAnsiTheme="minorHAnsi"/>
          <w:lang w:eastAsia="ja-JP"/>
        </w:rPr>
        <w:t>sided 95% CIs.</w:t>
      </w:r>
    </w:p>
    <w:p w14:paraId="20911F6C" w14:textId="7CBA0615" w:rsidR="00D12FC9" w:rsidRPr="00647093" w:rsidRDefault="00D12FC9" w:rsidP="00D12FC9">
      <w:pPr>
        <w:rPr>
          <w:rFonts w:asciiTheme="minorHAnsi" w:hAnsiTheme="minorHAnsi"/>
          <w:lang w:eastAsia="ja-JP"/>
        </w:rPr>
      </w:pPr>
      <w:r w:rsidRPr="00647093">
        <w:rPr>
          <w:rFonts w:asciiTheme="minorHAnsi" w:hAnsiTheme="minorHAnsi"/>
          <w:lang w:eastAsia="ja-JP"/>
        </w:rPr>
        <w:t>Time-to-event analyses (</w:t>
      </w:r>
      <w:r w:rsidR="00A61EC1">
        <w:rPr>
          <w:rFonts w:asciiTheme="minorHAnsi" w:hAnsiTheme="minorHAnsi"/>
          <w:lang w:eastAsia="ja-JP"/>
        </w:rPr>
        <w:t>progression free survival</w:t>
      </w:r>
      <w:r w:rsidRPr="00647093">
        <w:rPr>
          <w:rFonts w:asciiTheme="minorHAnsi" w:hAnsiTheme="minorHAnsi"/>
          <w:lang w:eastAsia="ja-JP"/>
        </w:rPr>
        <w:t xml:space="preserve"> and </w:t>
      </w:r>
      <w:r w:rsidR="00A61EC1">
        <w:rPr>
          <w:rFonts w:asciiTheme="minorHAnsi" w:hAnsiTheme="minorHAnsi"/>
          <w:lang w:eastAsia="ja-JP"/>
        </w:rPr>
        <w:t>overall survival</w:t>
      </w:r>
      <w:r w:rsidRPr="00647093">
        <w:rPr>
          <w:rFonts w:asciiTheme="minorHAnsi" w:hAnsiTheme="minorHAnsi"/>
          <w:lang w:eastAsia="ja-JP"/>
        </w:rPr>
        <w:t xml:space="preserve">) were assessed using </w:t>
      </w:r>
      <w:r w:rsidR="00A61EC1" w:rsidRPr="00647093">
        <w:rPr>
          <w:rFonts w:asciiTheme="minorHAnsi" w:hAnsiTheme="minorHAnsi"/>
          <w:lang w:eastAsia="ja-JP"/>
        </w:rPr>
        <w:t>Kaplan-Meier</w:t>
      </w:r>
      <w:r w:rsidRPr="00647093">
        <w:rPr>
          <w:rFonts w:asciiTheme="minorHAnsi" w:hAnsiTheme="minorHAnsi"/>
          <w:lang w:eastAsia="ja-JP"/>
        </w:rPr>
        <w:t xml:space="preserve"> methods, </w:t>
      </w:r>
      <w:proofErr w:type="gramStart"/>
      <w:r w:rsidRPr="00647093">
        <w:rPr>
          <w:rFonts w:asciiTheme="minorHAnsi" w:hAnsiTheme="minorHAnsi"/>
          <w:lang w:eastAsia="ja-JP"/>
        </w:rPr>
        <w:t>similar to</w:t>
      </w:r>
      <w:proofErr w:type="gramEnd"/>
      <w:r w:rsidRPr="00647093">
        <w:rPr>
          <w:rFonts w:asciiTheme="minorHAnsi" w:hAnsiTheme="minorHAnsi"/>
          <w:lang w:eastAsia="ja-JP"/>
        </w:rPr>
        <w:t xml:space="preserve"> the analysis for </w:t>
      </w:r>
      <w:r w:rsidR="00A61EC1">
        <w:rPr>
          <w:rFonts w:asciiTheme="minorHAnsi" w:hAnsiTheme="minorHAnsi"/>
          <w:lang w:eastAsia="ja-JP"/>
        </w:rPr>
        <w:t>duration of response</w:t>
      </w:r>
      <w:r w:rsidRPr="00647093">
        <w:rPr>
          <w:rFonts w:asciiTheme="minorHAnsi" w:hAnsiTheme="minorHAnsi"/>
          <w:lang w:eastAsia="ja-JP"/>
        </w:rPr>
        <w:t>.</w:t>
      </w:r>
    </w:p>
    <w:p w14:paraId="7A6F36A4" w14:textId="3D377126" w:rsidR="00D12FC9" w:rsidRPr="00B73C62" w:rsidRDefault="00D12FC9" w:rsidP="00A61EC1">
      <w:pPr>
        <w:pStyle w:val="Heading6"/>
      </w:pPr>
      <w:r w:rsidRPr="00B73C62">
        <w:t xml:space="preserve">Efficacy </w:t>
      </w:r>
      <w:r w:rsidR="00790973">
        <w:t>endpoints</w:t>
      </w:r>
    </w:p>
    <w:p w14:paraId="17902B90" w14:textId="4B5156CE" w:rsidR="00D12FC9" w:rsidRPr="00B17939" w:rsidRDefault="00D12FC9" w:rsidP="00D12FC9">
      <w:pPr>
        <w:rPr>
          <w:rFonts w:asciiTheme="minorHAnsi" w:hAnsiTheme="minorHAnsi"/>
          <w:lang w:eastAsia="ja-JP"/>
        </w:rPr>
      </w:pPr>
      <w:r w:rsidRPr="00B73C62">
        <w:rPr>
          <w:rFonts w:asciiTheme="minorHAnsi" w:hAnsiTheme="minorHAnsi"/>
          <w:lang w:eastAsia="ja-JP"/>
        </w:rPr>
        <w:t xml:space="preserve">The primary endpoint was </w:t>
      </w:r>
      <w:r w:rsidR="00A61EC1" w:rsidRPr="00B73C62">
        <w:rPr>
          <w:rFonts w:asciiTheme="minorHAnsi" w:hAnsiTheme="minorHAnsi"/>
          <w:lang w:eastAsia="ja-JP"/>
        </w:rPr>
        <w:t xml:space="preserve">overall response </w:t>
      </w:r>
      <w:proofErr w:type="gramStart"/>
      <w:r w:rsidR="00A61EC1" w:rsidRPr="00B73C62">
        <w:rPr>
          <w:rFonts w:asciiTheme="minorHAnsi" w:hAnsiTheme="minorHAnsi"/>
          <w:lang w:eastAsia="ja-JP"/>
        </w:rPr>
        <w:t>rate</w:t>
      </w:r>
      <w:r w:rsidRPr="00B73C62">
        <w:rPr>
          <w:rFonts w:asciiTheme="minorHAnsi" w:hAnsiTheme="minorHAnsi"/>
          <w:lang w:eastAsia="ja-JP"/>
        </w:rPr>
        <w:t>;</w:t>
      </w:r>
      <w:proofErr w:type="gramEnd"/>
      <w:r w:rsidRPr="00B73C62">
        <w:rPr>
          <w:rFonts w:asciiTheme="minorHAnsi" w:hAnsiTheme="minorHAnsi"/>
          <w:lang w:eastAsia="ja-JP"/>
        </w:rPr>
        <w:t xml:space="preserve"> complete response </w:t>
      </w:r>
      <w:r w:rsidR="00A61EC1" w:rsidRPr="00B73C62">
        <w:rPr>
          <w:rFonts w:asciiTheme="minorHAnsi" w:hAnsiTheme="minorHAnsi"/>
          <w:lang w:eastAsia="ja-JP"/>
        </w:rPr>
        <w:t>plus</w:t>
      </w:r>
      <w:r w:rsidRPr="00B73C62">
        <w:rPr>
          <w:rFonts w:asciiTheme="minorHAnsi" w:hAnsiTheme="minorHAnsi"/>
          <w:lang w:eastAsia="ja-JP"/>
        </w:rPr>
        <w:t xml:space="preserve"> partial response.</w:t>
      </w:r>
    </w:p>
    <w:p w14:paraId="10E40211" w14:textId="2674F005" w:rsidR="00D12FC9" w:rsidRDefault="00D12FC9" w:rsidP="00D12FC9">
      <w:pPr>
        <w:rPr>
          <w:rFonts w:asciiTheme="minorHAnsi" w:hAnsiTheme="minorHAnsi"/>
          <w:lang w:eastAsia="ja-JP"/>
        </w:rPr>
      </w:pPr>
      <w:r>
        <w:rPr>
          <w:rFonts w:asciiTheme="minorHAnsi" w:hAnsiTheme="minorHAnsi"/>
          <w:lang w:eastAsia="ja-JP"/>
        </w:rPr>
        <w:t xml:space="preserve">Secondary </w:t>
      </w:r>
      <w:r w:rsidRPr="00EF0B22">
        <w:rPr>
          <w:rFonts w:asciiTheme="minorHAnsi" w:hAnsiTheme="minorHAnsi"/>
          <w:lang w:eastAsia="ja-JP"/>
        </w:rPr>
        <w:t xml:space="preserve">endpoint was </w:t>
      </w:r>
      <w:r w:rsidR="00A61EC1">
        <w:rPr>
          <w:rFonts w:asciiTheme="minorHAnsi" w:hAnsiTheme="minorHAnsi"/>
          <w:lang w:eastAsia="ja-JP"/>
        </w:rPr>
        <w:t>duration of response</w:t>
      </w:r>
      <w:r>
        <w:rPr>
          <w:rFonts w:asciiTheme="minorHAnsi" w:hAnsiTheme="minorHAnsi"/>
          <w:lang w:eastAsia="ja-JP"/>
        </w:rPr>
        <w:t>.</w:t>
      </w:r>
    </w:p>
    <w:p w14:paraId="162FF5FC" w14:textId="205F6D14" w:rsidR="00D12FC9" w:rsidRDefault="00D12FC9" w:rsidP="00D12FC9">
      <w:pPr>
        <w:rPr>
          <w:rFonts w:asciiTheme="minorHAnsi" w:hAnsiTheme="minorHAnsi"/>
          <w:lang w:eastAsia="ja-JP"/>
        </w:rPr>
      </w:pPr>
      <w:r w:rsidRPr="00EF0B22">
        <w:rPr>
          <w:rFonts w:asciiTheme="minorHAnsi" w:hAnsiTheme="minorHAnsi"/>
          <w:lang w:eastAsia="ja-JP"/>
        </w:rPr>
        <w:t>Exploratory endpoints included time to progression, progression</w:t>
      </w:r>
      <w:r w:rsidR="00A61EC1">
        <w:rPr>
          <w:rFonts w:asciiTheme="minorHAnsi" w:hAnsiTheme="minorHAnsi"/>
          <w:lang w:eastAsia="ja-JP"/>
        </w:rPr>
        <w:t xml:space="preserve"> </w:t>
      </w:r>
      <w:r w:rsidRPr="00EF0B22">
        <w:rPr>
          <w:rFonts w:asciiTheme="minorHAnsi" w:hAnsiTheme="minorHAnsi"/>
          <w:lang w:eastAsia="ja-JP"/>
        </w:rPr>
        <w:t xml:space="preserve">free survival and </w:t>
      </w:r>
      <w:r w:rsidRPr="00263F0D">
        <w:rPr>
          <w:rFonts w:asciiTheme="minorHAnsi" w:hAnsiTheme="minorHAnsi"/>
          <w:lang w:eastAsia="ja-JP"/>
        </w:rPr>
        <w:t>overall survival.</w:t>
      </w:r>
    </w:p>
    <w:p w14:paraId="07E8557C" w14:textId="30E1A2D0" w:rsidR="00790973" w:rsidRPr="00263F0D" w:rsidRDefault="00790973" w:rsidP="000B3827">
      <w:pPr>
        <w:pStyle w:val="Heading6"/>
        <w:rPr>
          <w:lang w:eastAsia="ja-JP"/>
        </w:rPr>
      </w:pPr>
      <w:r>
        <w:rPr>
          <w:lang w:eastAsia="ja-JP"/>
        </w:rPr>
        <w:lastRenderedPageBreak/>
        <w:t>Study results</w:t>
      </w:r>
    </w:p>
    <w:p w14:paraId="3CB86D39" w14:textId="29F67A94" w:rsidR="00D12FC9" w:rsidRDefault="00A61EC1" w:rsidP="00A61EC1">
      <w:pPr>
        <w:pStyle w:val="TableTitle"/>
      </w:pPr>
      <w:r w:rsidRPr="00A61EC1">
        <w:t xml:space="preserve">Table </w:t>
      </w:r>
      <w:r w:rsidR="006737A0">
        <w:fldChar w:fldCharType="begin"/>
      </w:r>
      <w:r w:rsidR="006737A0">
        <w:instrText xml:space="preserve"> SEQ Table \* ARABIC </w:instrText>
      </w:r>
      <w:r w:rsidR="006737A0">
        <w:fldChar w:fldCharType="separate"/>
      </w:r>
      <w:r w:rsidR="00BB2836">
        <w:rPr>
          <w:noProof/>
        </w:rPr>
        <w:t>13</w:t>
      </w:r>
      <w:r w:rsidR="006737A0">
        <w:rPr>
          <w:noProof/>
        </w:rPr>
        <w:fldChar w:fldCharType="end"/>
      </w:r>
      <w:r>
        <w:t xml:space="preserve">: </w:t>
      </w:r>
      <w:r w:rsidR="00790973">
        <w:t>KCP-330-009 (</w:t>
      </w:r>
      <w:r>
        <w:t>SADAL trial</w:t>
      </w:r>
      <w:r w:rsidR="00790973">
        <w:t>)</w:t>
      </w:r>
      <w:r>
        <w:t xml:space="preserve"> </w:t>
      </w:r>
      <w:r w:rsidRPr="00A61EC1">
        <w:t xml:space="preserve">Key </w:t>
      </w:r>
      <w:r>
        <w:t>s</w:t>
      </w:r>
      <w:r w:rsidRPr="00A61EC1">
        <w:t xml:space="preserve">tudy </w:t>
      </w:r>
      <w:r>
        <w:t>e</w:t>
      </w:r>
      <w:r w:rsidRPr="00A61EC1">
        <w:t xml:space="preserve">fficacy </w:t>
      </w:r>
      <w:r>
        <w:t>o</w:t>
      </w:r>
      <w:r w:rsidRPr="00A61EC1">
        <w:t>utcomes</w:t>
      </w:r>
    </w:p>
    <w:tbl>
      <w:tblPr>
        <w:tblStyle w:val="TableTGAblue"/>
        <w:tblW w:w="0" w:type="auto"/>
        <w:tblLook w:val="04A0" w:firstRow="1" w:lastRow="0" w:firstColumn="1" w:lastColumn="0" w:noHBand="0" w:noVBand="1"/>
      </w:tblPr>
      <w:tblGrid>
        <w:gridCol w:w="5274"/>
        <w:gridCol w:w="3210"/>
      </w:tblGrid>
      <w:tr w:rsidR="00A61EC1" w:rsidRPr="00483566" w14:paraId="7DFB90B4" w14:textId="77777777" w:rsidTr="00A61EC1">
        <w:trPr>
          <w:cnfStyle w:val="100000000000" w:firstRow="1" w:lastRow="0" w:firstColumn="0" w:lastColumn="0" w:oddVBand="0" w:evenVBand="0" w:oddHBand="0" w:evenHBand="0" w:firstRowFirstColumn="0" w:firstRowLastColumn="0" w:lastRowFirstColumn="0" w:lastRowLastColumn="0"/>
        </w:trPr>
        <w:tc>
          <w:tcPr>
            <w:tcW w:w="8484" w:type="dxa"/>
            <w:gridSpan w:val="2"/>
          </w:tcPr>
          <w:p w14:paraId="63A86415" w14:textId="12FC993F" w:rsidR="00790973" w:rsidRDefault="00D24D87" w:rsidP="00A61EC1">
            <w:pPr>
              <w:pStyle w:val="Tabletext"/>
              <w:rPr>
                <w:lang w:eastAsia="ja-JP"/>
              </w:rPr>
            </w:pPr>
            <w:r>
              <w:rPr>
                <w:lang w:eastAsia="ja-JP"/>
              </w:rPr>
              <w:t>S</w:t>
            </w:r>
            <w:r w:rsidR="00A61EC1" w:rsidRPr="00A61EC1">
              <w:rPr>
                <w:lang w:eastAsia="ja-JP"/>
              </w:rPr>
              <w:t>tudy KCP-330-009</w:t>
            </w:r>
            <w:r w:rsidR="00790973">
              <w:rPr>
                <w:lang w:eastAsia="ja-JP"/>
              </w:rPr>
              <w:t xml:space="preserve"> Efficacy analyses</w:t>
            </w:r>
          </w:p>
          <w:p w14:paraId="62E81F09" w14:textId="7F8FC293" w:rsidR="00A61EC1" w:rsidRPr="00A61EC1" w:rsidRDefault="00790973">
            <w:pPr>
              <w:pStyle w:val="Tabletext"/>
              <w:rPr>
                <w:lang w:eastAsia="ja-JP"/>
              </w:rPr>
            </w:pPr>
            <w:proofErr w:type="spellStart"/>
            <w:r w:rsidRPr="00A61EC1">
              <w:rPr>
                <w:lang w:eastAsia="ja-JP"/>
              </w:rPr>
              <w:t>mITT</w:t>
            </w:r>
            <w:proofErr w:type="spellEnd"/>
            <w:r w:rsidRPr="00A61EC1">
              <w:rPr>
                <w:lang w:eastAsia="ja-JP"/>
              </w:rPr>
              <w:t xml:space="preserve"> population</w:t>
            </w:r>
            <w:r>
              <w:rPr>
                <w:lang w:eastAsia="ja-JP"/>
              </w:rPr>
              <w:t xml:space="preserve"> </w:t>
            </w:r>
            <w:r w:rsidR="00A61EC1" w:rsidRPr="00A61EC1">
              <w:rPr>
                <w:lang w:eastAsia="ja-JP"/>
              </w:rPr>
              <w:t>(</w:t>
            </w:r>
            <w:r w:rsidR="00D24D87">
              <w:rPr>
                <w:lang w:eastAsia="ja-JP"/>
              </w:rPr>
              <w:t>n</w:t>
            </w:r>
            <w:r w:rsidR="00A61EC1">
              <w:rPr>
                <w:lang w:eastAsia="ja-JP"/>
              </w:rPr>
              <w:t xml:space="preserve"> </w:t>
            </w:r>
            <w:r w:rsidR="00A61EC1" w:rsidRPr="00A61EC1">
              <w:rPr>
                <w:lang w:eastAsia="ja-JP"/>
              </w:rPr>
              <w:t>=</w:t>
            </w:r>
            <w:r w:rsidR="00A61EC1">
              <w:rPr>
                <w:lang w:eastAsia="ja-JP"/>
              </w:rPr>
              <w:t xml:space="preserve"> </w:t>
            </w:r>
            <w:r w:rsidR="00A61EC1" w:rsidRPr="00A61EC1">
              <w:rPr>
                <w:lang w:eastAsia="ja-JP"/>
              </w:rPr>
              <w:t>127)</w:t>
            </w:r>
          </w:p>
        </w:tc>
      </w:tr>
      <w:tr w:rsidR="00A61EC1" w:rsidRPr="00483566" w14:paraId="37F61171" w14:textId="77777777" w:rsidTr="00A61EC1">
        <w:tc>
          <w:tcPr>
            <w:tcW w:w="5274" w:type="dxa"/>
          </w:tcPr>
          <w:p w14:paraId="36EB53EF" w14:textId="3DDE2120" w:rsidR="00A61EC1" w:rsidRPr="00A61EC1" w:rsidRDefault="00A61EC1" w:rsidP="00A61EC1">
            <w:pPr>
              <w:pStyle w:val="Tabletext"/>
              <w:rPr>
                <w:b/>
                <w:bCs/>
                <w:color w:val="auto"/>
                <w:vertAlign w:val="superscript"/>
                <w:lang w:eastAsia="ja-JP"/>
              </w:rPr>
            </w:pPr>
            <w:r w:rsidRPr="00A61EC1">
              <w:rPr>
                <w:b/>
                <w:bCs/>
                <w:color w:val="auto"/>
                <w:lang w:eastAsia="ja-JP"/>
              </w:rPr>
              <w:t xml:space="preserve">Response per IRC </w:t>
            </w:r>
          </w:p>
        </w:tc>
        <w:tc>
          <w:tcPr>
            <w:tcW w:w="3210" w:type="dxa"/>
          </w:tcPr>
          <w:p w14:paraId="7C4681FF" w14:textId="3A7E4277" w:rsidR="00A61EC1" w:rsidRPr="00A61EC1" w:rsidRDefault="00A61EC1" w:rsidP="00A61EC1">
            <w:pPr>
              <w:pStyle w:val="Tabletext"/>
              <w:rPr>
                <w:b/>
                <w:bCs/>
                <w:color w:val="auto"/>
                <w:lang w:eastAsia="ja-JP"/>
              </w:rPr>
            </w:pPr>
            <w:r w:rsidRPr="00A61EC1">
              <w:rPr>
                <w:b/>
                <w:bCs/>
                <w:color w:val="auto"/>
                <w:lang w:eastAsia="ja-JP"/>
              </w:rPr>
              <w:t>Selinexor, n</w:t>
            </w:r>
            <w:r w:rsidR="00790973">
              <w:rPr>
                <w:b/>
                <w:bCs/>
                <w:color w:val="auto"/>
                <w:lang w:eastAsia="ja-JP"/>
              </w:rPr>
              <w:t xml:space="preserve"> </w:t>
            </w:r>
            <w:r w:rsidRPr="00A61EC1">
              <w:rPr>
                <w:b/>
                <w:bCs/>
                <w:color w:val="auto"/>
                <w:lang w:eastAsia="ja-JP"/>
              </w:rPr>
              <w:t>(%)</w:t>
            </w:r>
          </w:p>
        </w:tc>
      </w:tr>
      <w:tr w:rsidR="00A61EC1" w:rsidRPr="00483566" w14:paraId="4C458531" w14:textId="77777777" w:rsidTr="00A61EC1">
        <w:trPr>
          <w:trHeight w:val="334"/>
        </w:trPr>
        <w:tc>
          <w:tcPr>
            <w:tcW w:w="5274" w:type="dxa"/>
          </w:tcPr>
          <w:p w14:paraId="7607F4FD" w14:textId="32BEA085" w:rsidR="00A61EC1" w:rsidRPr="00A61EC1" w:rsidRDefault="00A61EC1" w:rsidP="00A61EC1">
            <w:pPr>
              <w:pStyle w:val="Tabletext"/>
              <w:rPr>
                <w:color w:val="auto"/>
                <w:lang w:eastAsia="ja-JP"/>
              </w:rPr>
            </w:pPr>
            <w:r w:rsidRPr="00A61EC1">
              <w:rPr>
                <w:color w:val="auto"/>
                <w:lang w:eastAsia="ja-JP"/>
              </w:rPr>
              <w:t xml:space="preserve">Overall </w:t>
            </w:r>
            <w:r w:rsidR="00790973">
              <w:rPr>
                <w:color w:val="auto"/>
                <w:lang w:eastAsia="ja-JP"/>
              </w:rPr>
              <w:t>r</w:t>
            </w:r>
            <w:r w:rsidRPr="00A61EC1">
              <w:rPr>
                <w:color w:val="auto"/>
                <w:lang w:eastAsia="ja-JP"/>
              </w:rPr>
              <w:t xml:space="preserve">esponse </w:t>
            </w:r>
            <w:r w:rsidR="00790973">
              <w:rPr>
                <w:color w:val="auto"/>
                <w:lang w:eastAsia="ja-JP"/>
              </w:rPr>
              <w:t>r</w:t>
            </w:r>
            <w:r w:rsidRPr="00A61EC1">
              <w:rPr>
                <w:color w:val="auto"/>
                <w:lang w:eastAsia="ja-JP"/>
              </w:rPr>
              <w:t>ate (CR + PR)</w:t>
            </w:r>
          </w:p>
          <w:p w14:paraId="2A4E7F0E" w14:textId="77777777" w:rsidR="00A61EC1" w:rsidRPr="00A61EC1" w:rsidRDefault="00A61EC1" w:rsidP="00A61EC1">
            <w:pPr>
              <w:pStyle w:val="Tabletext"/>
              <w:rPr>
                <w:color w:val="auto"/>
                <w:lang w:eastAsia="ja-JP"/>
              </w:rPr>
            </w:pPr>
          </w:p>
        </w:tc>
        <w:tc>
          <w:tcPr>
            <w:tcW w:w="3210" w:type="dxa"/>
          </w:tcPr>
          <w:p w14:paraId="206CFA5B" w14:textId="77777777" w:rsidR="00A61EC1" w:rsidRPr="00A61EC1" w:rsidRDefault="00A61EC1" w:rsidP="00A61EC1">
            <w:pPr>
              <w:pStyle w:val="Tabletext"/>
              <w:rPr>
                <w:color w:val="auto"/>
                <w:lang w:eastAsia="ja-JP"/>
              </w:rPr>
            </w:pPr>
            <w:r w:rsidRPr="00A61EC1">
              <w:rPr>
                <w:color w:val="auto"/>
                <w:lang w:eastAsia="ja-JP"/>
              </w:rPr>
              <w:t xml:space="preserve">36 (28.3%) </w:t>
            </w:r>
          </w:p>
          <w:p w14:paraId="0FCD265D" w14:textId="77777777" w:rsidR="00A61EC1" w:rsidRPr="00A61EC1" w:rsidRDefault="00A61EC1" w:rsidP="00A61EC1">
            <w:pPr>
              <w:pStyle w:val="Tabletext"/>
              <w:rPr>
                <w:color w:val="auto"/>
                <w:lang w:eastAsia="ja-JP"/>
              </w:rPr>
            </w:pPr>
            <w:r w:rsidRPr="00A61EC1">
              <w:rPr>
                <w:color w:val="auto"/>
                <w:lang w:eastAsia="ja-JP"/>
              </w:rPr>
              <w:t>(95% CI: 20.7%, 37.0%)</w:t>
            </w:r>
          </w:p>
        </w:tc>
      </w:tr>
      <w:tr w:rsidR="00A61EC1" w:rsidRPr="008F6C08" w14:paraId="2B6AB838" w14:textId="77777777" w:rsidTr="00A61EC1">
        <w:tc>
          <w:tcPr>
            <w:tcW w:w="5274" w:type="dxa"/>
          </w:tcPr>
          <w:p w14:paraId="2213869D" w14:textId="5620EB3A" w:rsidR="00A61EC1" w:rsidRPr="00A61EC1" w:rsidRDefault="00A61EC1" w:rsidP="00A61EC1">
            <w:pPr>
              <w:pStyle w:val="Tabletext"/>
              <w:rPr>
                <w:color w:val="auto"/>
                <w:lang w:eastAsia="ja-JP"/>
              </w:rPr>
            </w:pPr>
            <w:r w:rsidRPr="00A61EC1">
              <w:rPr>
                <w:color w:val="auto"/>
                <w:lang w:eastAsia="ja-JP"/>
              </w:rPr>
              <w:t xml:space="preserve">Complete </w:t>
            </w:r>
            <w:r w:rsidR="00790973">
              <w:rPr>
                <w:color w:val="auto"/>
                <w:lang w:eastAsia="ja-JP"/>
              </w:rPr>
              <w:t>r</w:t>
            </w:r>
            <w:r w:rsidRPr="00A61EC1">
              <w:rPr>
                <w:color w:val="auto"/>
                <w:lang w:eastAsia="ja-JP"/>
              </w:rPr>
              <w:t>esponse (CR)</w:t>
            </w:r>
          </w:p>
          <w:p w14:paraId="621FF865" w14:textId="47ECF2E7" w:rsidR="00A61EC1" w:rsidRPr="00A61EC1" w:rsidRDefault="00A61EC1" w:rsidP="00A61EC1">
            <w:pPr>
              <w:pStyle w:val="Tabletext"/>
              <w:rPr>
                <w:color w:val="auto"/>
                <w:lang w:eastAsia="ja-JP"/>
              </w:rPr>
            </w:pPr>
            <w:r w:rsidRPr="00A61EC1">
              <w:rPr>
                <w:color w:val="auto"/>
                <w:lang w:eastAsia="ja-JP"/>
              </w:rPr>
              <w:t xml:space="preserve">Partial </w:t>
            </w:r>
            <w:r w:rsidR="00790973">
              <w:rPr>
                <w:color w:val="auto"/>
                <w:lang w:eastAsia="ja-JP"/>
              </w:rPr>
              <w:t>r</w:t>
            </w:r>
            <w:r w:rsidRPr="00A61EC1">
              <w:rPr>
                <w:color w:val="auto"/>
                <w:lang w:eastAsia="ja-JP"/>
              </w:rPr>
              <w:t>esponse (PR)</w:t>
            </w:r>
          </w:p>
          <w:p w14:paraId="7F891FD7" w14:textId="682F51CC" w:rsidR="00A61EC1" w:rsidRPr="00A61EC1" w:rsidRDefault="00A61EC1" w:rsidP="00A61EC1">
            <w:pPr>
              <w:pStyle w:val="Tabletext"/>
              <w:rPr>
                <w:color w:val="auto"/>
                <w:lang w:eastAsia="ja-JP"/>
              </w:rPr>
            </w:pPr>
            <w:r w:rsidRPr="00A61EC1">
              <w:rPr>
                <w:color w:val="auto"/>
                <w:lang w:eastAsia="ja-JP"/>
              </w:rPr>
              <w:t xml:space="preserve">Stable </w:t>
            </w:r>
            <w:r w:rsidR="00790973">
              <w:rPr>
                <w:color w:val="auto"/>
                <w:lang w:eastAsia="ja-JP"/>
              </w:rPr>
              <w:t>d</w:t>
            </w:r>
            <w:r w:rsidRPr="00A61EC1">
              <w:rPr>
                <w:color w:val="auto"/>
                <w:lang w:eastAsia="ja-JP"/>
              </w:rPr>
              <w:t>isease (SD)</w:t>
            </w:r>
          </w:p>
          <w:p w14:paraId="4A97838D" w14:textId="77777777" w:rsidR="00A61EC1" w:rsidRPr="00A61EC1" w:rsidRDefault="00A61EC1" w:rsidP="00A61EC1">
            <w:pPr>
              <w:pStyle w:val="Tabletext"/>
              <w:rPr>
                <w:color w:val="auto"/>
                <w:lang w:eastAsia="ja-JP"/>
              </w:rPr>
            </w:pPr>
            <w:r w:rsidRPr="00A61EC1">
              <w:rPr>
                <w:color w:val="auto"/>
                <w:lang w:eastAsia="ja-JP"/>
              </w:rPr>
              <w:t>Progressive disease (PD)/Not evaluable (NE)</w:t>
            </w:r>
          </w:p>
        </w:tc>
        <w:tc>
          <w:tcPr>
            <w:tcW w:w="3210" w:type="dxa"/>
          </w:tcPr>
          <w:p w14:paraId="319E8939" w14:textId="77777777" w:rsidR="00A61EC1" w:rsidRPr="00A61EC1" w:rsidRDefault="00A61EC1" w:rsidP="00A61EC1">
            <w:pPr>
              <w:pStyle w:val="Tabletext"/>
              <w:rPr>
                <w:color w:val="auto"/>
                <w:lang w:eastAsia="ja-JP"/>
              </w:rPr>
            </w:pPr>
            <w:r w:rsidRPr="00A61EC1">
              <w:rPr>
                <w:color w:val="auto"/>
                <w:lang w:eastAsia="ja-JP"/>
              </w:rPr>
              <w:t>15 (11.8)</w:t>
            </w:r>
          </w:p>
          <w:p w14:paraId="2A0310BF" w14:textId="77777777" w:rsidR="00A61EC1" w:rsidRPr="00A61EC1" w:rsidRDefault="00A61EC1" w:rsidP="00A61EC1">
            <w:pPr>
              <w:pStyle w:val="Tabletext"/>
              <w:rPr>
                <w:color w:val="auto"/>
                <w:lang w:eastAsia="ja-JP"/>
              </w:rPr>
            </w:pPr>
            <w:r w:rsidRPr="00A61EC1">
              <w:rPr>
                <w:color w:val="auto"/>
                <w:lang w:eastAsia="ja-JP"/>
              </w:rPr>
              <w:t>21 (16.5)</w:t>
            </w:r>
          </w:p>
          <w:p w14:paraId="52A63C56" w14:textId="77777777" w:rsidR="00A61EC1" w:rsidRPr="00A61EC1" w:rsidRDefault="00A61EC1" w:rsidP="00A61EC1">
            <w:pPr>
              <w:pStyle w:val="Tabletext"/>
              <w:rPr>
                <w:color w:val="auto"/>
                <w:lang w:eastAsia="ja-JP"/>
              </w:rPr>
            </w:pPr>
            <w:r w:rsidRPr="00A61EC1">
              <w:rPr>
                <w:color w:val="auto"/>
                <w:lang w:eastAsia="ja-JP"/>
              </w:rPr>
              <w:t>11 (8.7)</w:t>
            </w:r>
          </w:p>
          <w:p w14:paraId="4E659DFC" w14:textId="77777777" w:rsidR="00A61EC1" w:rsidRPr="00A61EC1" w:rsidRDefault="00A61EC1" w:rsidP="00A61EC1">
            <w:pPr>
              <w:pStyle w:val="Tabletext"/>
              <w:rPr>
                <w:color w:val="auto"/>
                <w:lang w:eastAsia="ja-JP"/>
              </w:rPr>
            </w:pPr>
            <w:r w:rsidRPr="00A61EC1">
              <w:rPr>
                <w:color w:val="auto"/>
                <w:lang w:eastAsia="ja-JP"/>
              </w:rPr>
              <w:t>80 (63.0)</w:t>
            </w:r>
          </w:p>
        </w:tc>
      </w:tr>
      <w:tr w:rsidR="00A61EC1" w:rsidRPr="008F6C08" w14:paraId="41BBB995" w14:textId="77777777" w:rsidTr="00A61EC1">
        <w:tc>
          <w:tcPr>
            <w:tcW w:w="8484" w:type="dxa"/>
            <w:gridSpan w:val="2"/>
          </w:tcPr>
          <w:p w14:paraId="382A16DC" w14:textId="77777777" w:rsidR="00A61EC1" w:rsidRPr="00A61EC1" w:rsidRDefault="00A61EC1" w:rsidP="00A61EC1">
            <w:pPr>
              <w:pStyle w:val="Tabletext"/>
            </w:pPr>
            <w:r w:rsidRPr="00A61EC1">
              <w:t>*Responses adjudicated according to the Lugano 2014 Criteria by an Independent Radiologic Committee (IRC) and confirmed by an Independent Oncologist Reviewer. The Deauville criteria (</w:t>
            </w:r>
            <w:proofErr w:type="gramStart"/>
            <w:r w:rsidRPr="00A61EC1">
              <w:t>5 point</w:t>
            </w:r>
            <w:proofErr w:type="gramEnd"/>
            <w:r w:rsidRPr="00A61EC1">
              <w:t xml:space="preserve"> scale) was used to grade response using PET-CT. PET-CT results were prioritised over CT results</w:t>
            </w:r>
          </w:p>
        </w:tc>
      </w:tr>
      <w:tr w:rsidR="00A61EC1" w:rsidRPr="008F6C08" w14:paraId="6AA4E663" w14:textId="77777777" w:rsidTr="00A61EC1">
        <w:tc>
          <w:tcPr>
            <w:tcW w:w="5274" w:type="dxa"/>
          </w:tcPr>
          <w:p w14:paraId="59CB63CA" w14:textId="7A61DCB1" w:rsidR="00A61EC1" w:rsidRPr="00A61EC1" w:rsidRDefault="00790973" w:rsidP="00A61EC1">
            <w:pPr>
              <w:pStyle w:val="Tabletext"/>
              <w:rPr>
                <w:lang w:eastAsia="ja-JP"/>
              </w:rPr>
            </w:pPr>
            <w:r>
              <w:rPr>
                <w:lang w:eastAsia="ja-JP"/>
              </w:rPr>
              <w:t>Duration of response</w:t>
            </w:r>
            <w:r w:rsidRPr="00A61EC1">
              <w:rPr>
                <w:lang w:eastAsia="ja-JP"/>
              </w:rPr>
              <w:t xml:space="preserve"> </w:t>
            </w:r>
            <w:r w:rsidR="00A61EC1" w:rsidRPr="00A61EC1">
              <w:rPr>
                <w:lang w:eastAsia="ja-JP"/>
              </w:rPr>
              <w:t xml:space="preserve">(n=36) months, median </w:t>
            </w:r>
          </w:p>
        </w:tc>
        <w:tc>
          <w:tcPr>
            <w:tcW w:w="3210" w:type="dxa"/>
          </w:tcPr>
          <w:p w14:paraId="6AC03457" w14:textId="77777777" w:rsidR="00A61EC1" w:rsidRPr="00A61EC1" w:rsidRDefault="00A61EC1" w:rsidP="00A61EC1">
            <w:pPr>
              <w:pStyle w:val="Tabletext"/>
              <w:rPr>
                <w:lang w:eastAsia="ja-JP"/>
              </w:rPr>
            </w:pPr>
            <w:r w:rsidRPr="00A61EC1">
              <w:rPr>
                <w:lang w:eastAsia="ja-JP"/>
              </w:rPr>
              <w:t>9.3 (95% CI: 4.8, 23.0)</w:t>
            </w:r>
          </w:p>
        </w:tc>
      </w:tr>
      <w:tr w:rsidR="00A61EC1" w:rsidRPr="008F6C08" w14:paraId="34499492" w14:textId="77777777" w:rsidTr="00A61EC1">
        <w:tc>
          <w:tcPr>
            <w:tcW w:w="5274" w:type="dxa"/>
          </w:tcPr>
          <w:p w14:paraId="53275CAC" w14:textId="175C6D7C" w:rsidR="00A61EC1" w:rsidRPr="00A61EC1" w:rsidRDefault="00790973" w:rsidP="00A61EC1">
            <w:pPr>
              <w:pStyle w:val="Tabletext"/>
              <w:rPr>
                <w:lang w:eastAsia="ja-JP"/>
              </w:rPr>
            </w:pPr>
            <w:r>
              <w:rPr>
                <w:lang w:eastAsia="ja-JP"/>
              </w:rPr>
              <w:t>Disease control rate</w:t>
            </w:r>
            <w:r w:rsidR="00A61EC1" w:rsidRPr="00A61EC1">
              <w:rPr>
                <w:lang w:eastAsia="ja-JP"/>
              </w:rPr>
              <w:t xml:space="preserve"> (CR + PR + SD)</w:t>
            </w:r>
          </w:p>
        </w:tc>
        <w:tc>
          <w:tcPr>
            <w:tcW w:w="3210" w:type="dxa"/>
          </w:tcPr>
          <w:p w14:paraId="281B243A" w14:textId="77777777" w:rsidR="00A61EC1" w:rsidRPr="00A61EC1" w:rsidRDefault="00A61EC1" w:rsidP="00A61EC1">
            <w:pPr>
              <w:pStyle w:val="Tabletext"/>
              <w:rPr>
                <w:lang w:eastAsia="ja-JP"/>
              </w:rPr>
            </w:pPr>
            <w:r w:rsidRPr="00A61EC1">
              <w:rPr>
                <w:lang w:eastAsia="ja-JP"/>
              </w:rPr>
              <w:t>37.0% (95% CI: 28.6%, 46.0%)</w:t>
            </w:r>
          </w:p>
        </w:tc>
      </w:tr>
      <w:tr w:rsidR="00A61EC1" w:rsidRPr="008F6C08" w14:paraId="7EAB222A" w14:textId="77777777" w:rsidTr="00A61EC1">
        <w:tc>
          <w:tcPr>
            <w:tcW w:w="5274" w:type="dxa"/>
          </w:tcPr>
          <w:p w14:paraId="05D5742B" w14:textId="04C4FA7D" w:rsidR="00A61EC1" w:rsidRPr="00A61EC1" w:rsidRDefault="00A61EC1" w:rsidP="00A61EC1">
            <w:pPr>
              <w:pStyle w:val="Tabletext"/>
              <w:rPr>
                <w:lang w:eastAsia="ja-JP"/>
              </w:rPr>
            </w:pPr>
            <w:r w:rsidRPr="00A61EC1">
              <w:rPr>
                <w:lang w:eastAsia="ja-JP"/>
              </w:rPr>
              <w:t xml:space="preserve">Time </w:t>
            </w:r>
            <w:r w:rsidR="00790973">
              <w:rPr>
                <w:lang w:eastAsia="ja-JP"/>
              </w:rPr>
              <w:t>t</w:t>
            </w:r>
            <w:r w:rsidRPr="00A61EC1">
              <w:rPr>
                <w:lang w:eastAsia="ja-JP"/>
              </w:rPr>
              <w:t xml:space="preserve">o </w:t>
            </w:r>
            <w:r w:rsidR="00790973">
              <w:rPr>
                <w:lang w:eastAsia="ja-JP"/>
              </w:rPr>
              <w:t>p</w:t>
            </w:r>
            <w:r w:rsidRPr="00A61EC1">
              <w:rPr>
                <w:lang w:eastAsia="ja-JP"/>
              </w:rPr>
              <w:t>rogression, months</w:t>
            </w:r>
          </w:p>
        </w:tc>
        <w:tc>
          <w:tcPr>
            <w:tcW w:w="3210" w:type="dxa"/>
          </w:tcPr>
          <w:p w14:paraId="68D641E7" w14:textId="77777777" w:rsidR="00A61EC1" w:rsidRPr="00A61EC1" w:rsidRDefault="00A61EC1" w:rsidP="00A61EC1">
            <w:pPr>
              <w:pStyle w:val="Tabletext"/>
              <w:rPr>
                <w:lang w:eastAsia="ja-JP"/>
              </w:rPr>
            </w:pPr>
            <w:r w:rsidRPr="00A61EC1">
              <w:rPr>
                <w:lang w:eastAsia="ja-JP"/>
              </w:rPr>
              <w:t>3.5 (95% CI: 2.0, 4.0)</w:t>
            </w:r>
          </w:p>
        </w:tc>
      </w:tr>
      <w:tr w:rsidR="00A61EC1" w:rsidRPr="008F6C08" w14:paraId="45A5BD23" w14:textId="77777777" w:rsidTr="00A61EC1">
        <w:tc>
          <w:tcPr>
            <w:tcW w:w="5274" w:type="dxa"/>
          </w:tcPr>
          <w:p w14:paraId="064AB101" w14:textId="13CA428A" w:rsidR="00A61EC1" w:rsidRPr="00A61EC1" w:rsidRDefault="00790973" w:rsidP="00A61EC1">
            <w:pPr>
              <w:pStyle w:val="Tabletext"/>
              <w:rPr>
                <w:sz w:val="20"/>
                <w:szCs w:val="20"/>
                <w:lang w:eastAsia="ja-JP"/>
              </w:rPr>
            </w:pPr>
            <w:r>
              <w:rPr>
                <w:sz w:val="20"/>
                <w:szCs w:val="20"/>
                <w:lang w:eastAsia="ja-JP"/>
              </w:rPr>
              <w:t>Progression-free survival</w:t>
            </w:r>
            <w:r w:rsidR="00A61EC1" w:rsidRPr="00A61EC1">
              <w:rPr>
                <w:sz w:val="20"/>
                <w:szCs w:val="20"/>
                <w:lang w:eastAsia="ja-JP"/>
              </w:rPr>
              <w:t>, median, months</w:t>
            </w:r>
          </w:p>
          <w:p w14:paraId="7A751DB2" w14:textId="77777777" w:rsidR="00A61EC1" w:rsidRPr="00A61EC1" w:rsidRDefault="00A61EC1" w:rsidP="00A61EC1">
            <w:pPr>
              <w:pStyle w:val="Tabletext"/>
              <w:rPr>
                <w:lang w:eastAsia="ja-JP"/>
              </w:rPr>
            </w:pPr>
            <w:r w:rsidRPr="00A61EC1">
              <w:rPr>
                <w:lang w:eastAsia="ja-JP"/>
              </w:rPr>
              <w:t>Overall Survival, median, months</w:t>
            </w:r>
          </w:p>
        </w:tc>
        <w:tc>
          <w:tcPr>
            <w:tcW w:w="3210" w:type="dxa"/>
          </w:tcPr>
          <w:p w14:paraId="7A01278D" w14:textId="77777777" w:rsidR="00A61EC1" w:rsidRPr="00A61EC1" w:rsidRDefault="00A61EC1" w:rsidP="00A61EC1">
            <w:pPr>
              <w:pStyle w:val="Tabletext"/>
              <w:rPr>
                <w:lang w:eastAsia="ja-JP"/>
              </w:rPr>
            </w:pPr>
            <w:r w:rsidRPr="00A61EC1">
              <w:rPr>
                <w:lang w:eastAsia="ja-JP"/>
              </w:rPr>
              <w:t>2.6 (95% CI: 1.9, 4.0)</w:t>
            </w:r>
          </w:p>
          <w:p w14:paraId="19575006" w14:textId="77777777" w:rsidR="00A61EC1" w:rsidRPr="00A61EC1" w:rsidRDefault="00A61EC1" w:rsidP="00A61EC1">
            <w:pPr>
              <w:pStyle w:val="Tabletext"/>
              <w:rPr>
                <w:lang w:eastAsia="ja-JP"/>
              </w:rPr>
            </w:pPr>
            <w:r w:rsidRPr="00A61EC1">
              <w:rPr>
                <w:lang w:eastAsia="ja-JP"/>
              </w:rPr>
              <w:t>9.1 (95% CI: 6.6, 15.1)</w:t>
            </w:r>
          </w:p>
        </w:tc>
      </w:tr>
    </w:tbl>
    <w:p w14:paraId="4B756B71" w14:textId="5167534A" w:rsidR="00A61EC1" w:rsidRDefault="00A61EC1" w:rsidP="00A61EC1">
      <w:r>
        <w:t xml:space="preserve">The </w:t>
      </w:r>
      <w:r w:rsidR="00790973">
        <w:t>TGA clinical evaluation found</w:t>
      </w:r>
      <w:r>
        <w:t xml:space="preserve"> the subgroup analyses showed results generally consistent with those in the overall population</w:t>
      </w:r>
      <w:r w:rsidR="00B73C62">
        <w:t>.</w:t>
      </w:r>
    </w:p>
    <w:p w14:paraId="72A7AA82" w14:textId="20610714" w:rsidR="00A61EC1" w:rsidRDefault="00A61EC1" w:rsidP="00A61EC1">
      <w:r>
        <w:t xml:space="preserve">Overall survival is an exploratory endpoint. Estimated survival probabilities were 60.9% at 6 months, 47.6% at 12 months, 32.3% at 18 months, and 28.1% at 24 months. For patients whose best response was a </w:t>
      </w:r>
      <w:r w:rsidR="00790973">
        <w:t xml:space="preserve">complete response </w:t>
      </w:r>
      <w:r>
        <w:t>(n</w:t>
      </w:r>
      <w:r w:rsidR="00B73C62">
        <w:t xml:space="preserve"> </w:t>
      </w:r>
      <w:r>
        <w:t>=</w:t>
      </w:r>
      <w:r w:rsidR="00B73C62">
        <w:t xml:space="preserve"> </w:t>
      </w:r>
      <w:r>
        <w:t xml:space="preserve">15), the median </w:t>
      </w:r>
      <w:r w:rsidR="00790973">
        <w:t xml:space="preserve">overall survival </w:t>
      </w:r>
      <w:r>
        <w:t>was not reached; the 6</w:t>
      </w:r>
      <w:r w:rsidR="00553688">
        <w:noBreakHyphen/>
      </w:r>
      <w:r>
        <w:t xml:space="preserve">month survival probability was 100% and the 12-, 18-, and 24-month survival probabilities were all 93.3%. For patients whose best response was a </w:t>
      </w:r>
      <w:r w:rsidR="00790973">
        <w:t xml:space="preserve">partial response </w:t>
      </w:r>
      <w:r>
        <w:t>(n</w:t>
      </w:r>
      <w:r w:rsidR="00B73C62">
        <w:t xml:space="preserve"> </w:t>
      </w:r>
      <w:r>
        <w:t>=</w:t>
      </w:r>
      <w:r w:rsidR="00B73C62">
        <w:t xml:space="preserve"> </w:t>
      </w:r>
      <w:r>
        <w:t xml:space="preserve">21), the median </w:t>
      </w:r>
      <w:r w:rsidR="00790973">
        <w:t xml:space="preserve">overall survival </w:t>
      </w:r>
      <w:r>
        <w:t xml:space="preserve">was also not reached, and the 6-, 12-, 18-, and 24-month survival probabilities were 100%, 81.6%, 62.9%, and 62.9%, respectively. For patients whose best response was </w:t>
      </w:r>
      <w:r w:rsidR="00790973">
        <w:t xml:space="preserve">stable disease </w:t>
      </w:r>
      <w:r>
        <w:t>(n</w:t>
      </w:r>
      <w:r w:rsidR="00B73C62">
        <w:t xml:space="preserve"> </w:t>
      </w:r>
      <w:r>
        <w:t>=</w:t>
      </w:r>
      <w:r w:rsidR="00B73C62">
        <w:t xml:space="preserve"> </w:t>
      </w:r>
      <w:r>
        <w:t xml:space="preserve">11), the median </w:t>
      </w:r>
      <w:r w:rsidR="00790973">
        <w:t xml:space="preserve">overall survival </w:t>
      </w:r>
      <w:r>
        <w:t xml:space="preserve">was 18.3 months. For patients whose best response was </w:t>
      </w:r>
      <w:r w:rsidR="00790973">
        <w:t xml:space="preserve">disease progression </w:t>
      </w:r>
      <w:r>
        <w:t xml:space="preserve">or </w:t>
      </w:r>
      <w:r w:rsidR="00790973">
        <w:t>non-evaluable</w:t>
      </w:r>
      <w:r>
        <w:t xml:space="preserve"> (n</w:t>
      </w:r>
      <w:r w:rsidR="00B73C62">
        <w:t xml:space="preserve"> </w:t>
      </w:r>
      <w:r>
        <w:t>=</w:t>
      </w:r>
      <w:r w:rsidR="00B73C62">
        <w:t xml:space="preserve"> </w:t>
      </w:r>
      <w:r>
        <w:t xml:space="preserve">80), the median </w:t>
      </w:r>
      <w:r w:rsidR="00790973">
        <w:t>overall survival</w:t>
      </w:r>
      <w:r>
        <w:t xml:space="preserve"> was 4.3 months.</w:t>
      </w:r>
    </w:p>
    <w:p w14:paraId="254542FA" w14:textId="77777777" w:rsidR="00A61EC1" w:rsidRDefault="00A61EC1" w:rsidP="000B3827">
      <w:pPr>
        <w:pStyle w:val="Heading6"/>
      </w:pPr>
      <w:r>
        <w:t>Additional analyses</w:t>
      </w:r>
    </w:p>
    <w:p w14:paraId="2C69C2C7" w14:textId="52A7ACB2" w:rsidR="00A61EC1" w:rsidRDefault="00A61EC1" w:rsidP="00A61EC1">
      <w:r>
        <w:t xml:space="preserve">In response to questions the sponsor provided the following comparison between the SADAL study and </w:t>
      </w:r>
      <w:r w:rsidR="009F6A2A">
        <w:t xml:space="preserve">the </w:t>
      </w:r>
      <w:r>
        <w:t>SCHOLAR-1</w:t>
      </w:r>
      <w:r w:rsidR="009F6A2A">
        <w:t xml:space="preserve"> study</w:t>
      </w:r>
      <w:r>
        <w:t>.</w:t>
      </w:r>
      <w:bookmarkStart w:id="54" w:name="_Ref115080809"/>
      <w:r w:rsidR="00D24D87">
        <w:rPr>
          <w:rStyle w:val="FootnoteReference"/>
        </w:rPr>
        <w:footnoteReference w:id="25"/>
      </w:r>
      <w:bookmarkEnd w:id="54"/>
    </w:p>
    <w:p w14:paraId="7135EC8A" w14:textId="45595A24" w:rsidR="00316F2C" w:rsidRDefault="00316F2C" w:rsidP="008E0B2D">
      <w:pPr>
        <w:pStyle w:val="TableTitle"/>
      </w:pPr>
      <w:r w:rsidRPr="008E0B2D">
        <w:lastRenderedPageBreak/>
        <w:t xml:space="preserve">Table </w:t>
      </w:r>
      <w:r w:rsidR="006737A0">
        <w:fldChar w:fldCharType="begin"/>
      </w:r>
      <w:r w:rsidR="006737A0">
        <w:instrText xml:space="preserve"> SEQ Table \* ARABIC </w:instrText>
      </w:r>
      <w:r w:rsidR="006737A0">
        <w:fldChar w:fldCharType="separate"/>
      </w:r>
      <w:r w:rsidR="00BB2836">
        <w:rPr>
          <w:noProof/>
        </w:rPr>
        <w:t>14</w:t>
      </w:r>
      <w:r w:rsidR="006737A0">
        <w:rPr>
          <w:noProof/>
        </w:rPr>
        <w:fldChar w:fldCharType="end"/>
      </w:r>
      <w:r>
        <w:t xml:space="preserve">: </w:t>
      </w:r>
      <w:r w:rsidR="009F6A2A">
        <w:t xml:space="preserve">Study KCP-330-009 (SADAL trial) </w:t>
      </w:r>
      <w:r>
        <w:t>and SCHOLAR-1 trial Comparison of baseline characteristics and outcomes studies</w:t>
      </w:r>
      <w:r w:rsidR="009F6A2A">
        <w:t xml:space="preserve"> (sponsor supplied additional analysis)</w:t>
      </w:r>
    </w:p>
    <w:p w14:paraId="4FE6ABA1" w14:textId="25442161" w:rsidR="00316F2C" w:rsidRDefault="008E0B2D" w:rsidP="00316F2C">
      <w:r w:rsidRPr="008E0B2D">
        <w:rPr>
          <w:noProof/>
          <w:lang w:val="en-GB" w:eastAsia="en-GB"/>
        </w:rPr>
        <w:drawing>
          <wp:inline distT="0" distB="0" distL="0" distR="0" wp14:anchorId="5E8D65A9" wp14:editId="7181ECEB">
            <wp:extent cx="5153744" cy="7249537"/>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3744" cy="7249537"/>
                    </a:xfrm>
                    <a:prstGeom prst="rect">
                      <a:avLst/>
                    </a:prstGeom>
                  </pic:spPr>
                </pic:pic>
              </a:graphicData>
            </a:graphic>
          </wp:inline>
        </w:drawing>
      </w:r>
    </w:p>
    <w:p w14:paraId="41C139F0" w14:textId="4FDB30EE" w:rsidR="009F6A2A" w:rsidRDefault="009F6A2A" w:rsidP="000B3827">
      <w:pPr>
        <w:pStyle w:val="TableDescription"/>
      </w:pPr>
      <w:r w:rsidRPr="009F6A2A">
        <w:t>Crump M, et al. Outcomes in refractory diffuse large B-cell lymphoma: results from the international SCHOLAR-1 study. Blood. 2017;130, 1800-1808.</w:t>
      </w:r>
    </w:p>
    <w:p w14:paraId="3DC800E7" w14:textId="77777777" w:rsidR="008E0B2D" w:rsidRDefault="008E0B2D" w:rsidP="008E0B2D">
      <w:pPr>
        <w:pStyle w:val="Heading5"/>
      </w:pPr>
      <w:r>
        <w:t>Safety</w:t>
      </w:r>
    </w:p>
    <w:p w14:paraId="33A444EC" w14:textId="79A55612" w:rsidR="008E0B2D" w:rsidRDefault="008E0B2D" w:rsidP="008E0B2D">
      <w:r>
        <w:t xml:space="preserve">In </w:t>
      </w:r>
      <w:r w:rsidR="009F6A2A">
        <w:t xml:space="preserve">the </w:t>
      </w:r>
      <w:r>
        <w:t>SADAL trial</w:t>
      </w:r>
      <w:r w:rsidR="009F6A2A">
        <w:t xml:space="preserve"> (Study KCP-330-009)</w:t>
      </w:r>
      <w:r>
        <w:t xml:space="preserve">, the median duration of </w:t>
      </w:r>
      <w:proofErr w:type="spellStart"/>
      <w:r>
        <w:t>selinexor</w:t>
      </w:r>
      <w:proofErr w:type="spellEnd"/>
      <w:r>
        <w:t xml:space="preserve"> exposure was eight</w:t>
      </w:r>
      <w:r w:rsidR="00553688">
        <w:t xml:space="preserve"> </w:t>
      </w:r>
      <w:r>
        <w:t xml:space="preserve">weeks among patients receiving 60 mg twice a week dose, with 56.6% of patients </w:t>
      </w:r>
      <w:r>
        <w:lastRenderedPageBreak/>
        <w:t xml:space="preserve">receiving </w:t>
      </w:r>
      <w:proofErr w:type="spellStart"/>
      <w:r>
        <w:t>selinexor</w:t>
      </w:r>
      <w:proofErr w:type="spellEnd"/>
      <w:r>
        <w:t xml:space="preserve"> ≥ 8 weeks, and 33.1% of patients receiving </w:t>
      </w:r>
      <w:proofErr w:type="spellStart"/>
      <w:r>
        <w:t>selinexor</w:t>
      </w:r>
      <w:proofErr w:type="spellEnd"/>
      <w:r>
        <w:t xml:space="preserve"> ≥ 12 weeks. The median duration of study treatment (</w:t>
      </w:r>
      <w:proofErr w:type="spellStart"/>
      <w:r>
        <w:t>selinexor</w:t>
      </w:r>
      <w:proofErr w:type="spellEnd"/>
      <w:r>
        <w:t xml:space="preserve"> plus dexamethasone) was 9 weeks, with 57.7% of patients receiving </w:t>
      </w:r>
      <w:proofErr w:type="spellStart"/>
      <w:r>
        <w:t>selinexor</w:t>
      </w:r>
      <w:proofErr w:type="spellEnd"/>
      <w:r>
        <w:t xml:space="preserve"> ≥ 8 weeks, and 37.4% of patients receiving </w:t>
      </w:r>
      <w:proofErr w:type="spellStart"/>
      <w:r>
        <w:t>selinexor</w:t>
      </w:r>
      <w:proofErr w:type="spellEnd"/>
      <w:r>
        <w:t xml:space="preserve"> ≥ 12 weeks.</w:t>
      </w:r>
    </w:p>
    <w:p w14:paraId="56E3DDDC" w14:textId="79661FE2" w:rsidR="009F6A2A" w:rsidRDefault="009F6A2A" w:rsidP="000B3827">
      <w:pPr>
        <w:pStyle w:val="Heading6"/>
      </w:pPr>
      <w:r>
        <w:t>Adverse events</w:t>
      </w:r>
    </w:p>
    <w:p w14:paraId="51BE83F6" w14:textId="57EF46DA" w:rsidR="008E0B2D" w:rsidRDefault="008E0B2D" w:rsidP="008E0B2D">
      <w:pPr>
        <w:pStyle w:val="TableTitle"/>
      </w:pPr>
      <w:r w:rsidRPr="008E0B2D">
        <w:t xml:space="preserve">Table </w:t>
      </w:r>
      <w:r w:rsidR="006737A0">
        <w:fldChar w:fldCharType="begin"/>
      </w:r>
      <w:r w:rsidR="006737A0">
        <w:instrText xml:space="preserve"> SEQ Table \* ARABIC </w:instrText>
      </w:r>
      <w:r w:rsidR="006737A0">
        <w:fldChar w:fldCharType="separate"/>
      </w:r>
      <w:r w:rsidR="00BB2836">
        <w:rPr>
          <w:noProof/>
        </w:rPr>
        <w:t>15</w:t>
      </w:r>
      <w:r w:rsidR="006737A0">
        <w:rPr>
          <w:noProof/>
        </w:rPr>
        <w:fldChar w:fldCharType="end"/>
      </w:r>
      <w:r>
        <w:t xml:space="preserve">: </w:t>
      </w:r>
      <w:r w:rsidR="009F6A2A">
        <w:t>Study KCP-330-009 (</w:t>
      </w:r>
      <w:r>
        <w:t>SADAL trial</w:t>
      </w:r>
      <w:r w:rsidR="009F6A2A">
        <w:t>)</w:t>
      </w:r>
      <w:r>
        <w:t xml:space="preserve"> </w:t>
      </w:r>
      <w:r w:rsidRPr="008E0B2D">
        <w:t xml:space="preserve">Summary of </w:t>
      </w:r>
      <w:r>
        <w:t>s</w:t>
      </w:r>
      <w:r w:rsidRPr="008E0B2D">
        <w:t xml:space="preserve">afety </w:t>
      </w:r>
      <w:r>
        <w:t>f</w:t>
      </w:r>
      <w:r w:rsidRPr="008E0B2D">
        <w:t>indings</w:t>
      </w:r>
    </w:p>
    <w:tbl>
      <w:tblPr>
        <w:tblStyle w:val="TableTGAblue"/>
        <w:tblW w:w="6653" w:type="dxa"/>
        <w:tblLook w:val="04A0" w:firstRow="1" w:lastRow="0" w:firstColumn="1" w:lastColumn="0" w:noHBand="0" w:noVBand="1"/>
      </w:tblPr>
      <w:tblGrid>
        <w:gridCol w:w="3804"/>
        <w:gridCol w:w="2849"/>
      </w:tblGrid>
      <w:tr w:rsidR="009F6A2A" w:rsidRPr="001A5860" w14:paraId="43F709F3" w14:textId="77777777" w:rsidTr="001E798E">
        <w:trPr>
          <w:cnfStyle w:val="100000000000" w:firstRow="1" w:lastRow="0" w:firstColumn="0" w:lastColumn="0" w:oddVBand="0" w:evenVBand="0" w:oddHBand="0" w:evenHBand="0" w:firstRowFirstColumn="0" w:firstRowLastColumn="0" w:lastRowFirstColumn="0" w:lastRowLastColumn="0"/>
          <w:trHeight w:val="54"/>
        </w:trPr>
        <w:tc>
          <w:tcPr>
            <w:tcW w:w="6653" w:type="dxa"/>
            <w:gridSpan w:val="2"/>
          </w:tcPr>
          <w:p w14:paraId="567178F4" w14:textId="37EE89EA" w:rsidR="009F6A2A" w:rsidRPr="000B3827" w:rsidRDefault="009F6A2A" w:rsidP="000B3827">
            <w:pPr>
              <w:rPr>
                <w:szCs w:val="19"/>
              </w:rPr>
            </w:pPr>
            <w:r w:rsidRPr="000B3827">
              <w:rPr>
                <w:sz w:val="19"/>
                <w:szCs w:val="19"/>
              </w:rPr>
              <w:t>Study KCP-330-009 (SADAL trial) Summary of safety findings</w:t>
            </w:r>
            <w:r w:rsidRPr="000B3827" w:rsidDel="009F6A2A">
              <w:rPr>
                <w:sz w:val="19"/>
                <w:szCs w:val="19"/>
                <w:lang w:eastAsia="en-US"/>
              </w:rPr>
              <w:t xml:space="preserve"> </w:t>
            </w:r>
          </w:p>
          <w:p w14:paraId="6B33F97C" w14:textId="23F7046C" w:rsidR="009F6A2A" w:rsidRPr="000B3827" w:rsidRDefault="009F6A2A" w:rsidP="000B3827">
            <w:pPr>
              <w:rPr>
                <w:szCs w:val="19"/>
              </w:rPr>
            </w:pPr>
            <w:proofErr w:type="spellStart"/>
            <w:r w:rsidRPr="000B3827">
              <w:rPr>
                <w:sz w:val="19"/>
                <w:szCs w:val="19"/>
                <w:lang w:eastAsia="en-US"/>
              </w:rPr>
              <w:t>mITT</w:t>
            </w:r>
            <w:proofErr w:type="spellEnd"/>
            <w:r w:rsidRPr="000B3827">
              <w:rPr>
                <w:sz w:val="19"/>
                <w:szCs w:val="19"/>
                <w:lang w:eastAsia="en-US"/>
              </w:rPr>
              <w:t xml:space="preserve"> (n=127)</w:t>
            </w:r>
          </w:p>
        </w:tc>
      </w:tr>
      <w:tr w:rsidR="008E0B2D" w:rsidRPr="001A5860" w14:paraId="7DD79813" w14:textId="77777777" w:rsidTr="008E0B2D">
        <w:trPr>
          <w:trHeight w:val="107"/>
        </w:trPr>
        <w:tc>
          <w:tcPr>
            <w:tcW w:w="3804" w:type="dxa"/>
          </w:tcPr>
          <w:p w14:paraId="77458B83" w14:textId="552D9998" w:rsidR="008E0B2D" w:rsidRPr="000B3827" w:rsidRDefault="008E0B2D" w:rsidP="000B3827">
            <w:pPr>
              <w:rPr>
                <w:b/>
                <w:szCs w:val="19"/>
              </w:rPr>
            </w:pPr>
            <w:r w:rsidRPr="000B3827">
              <w:rPr>
                <w:b/>
                <w:sz w:val="19"/>
                <w:szCs w:val="19"/>
              </w:rPr>
              <w:t xml:space="preserve">Any </w:t>
            </w:r>
            <w:r w:rsidR="009F6A2A" w:rsidRPr="000B3827">
              <w:rPr>
                <w:b/>
                <w:sz w:val="19"/>
                <w:szCs w:val="19"/>
              </w:rPr>
              <w:t>adverse event</w:t>
            </w:r>
          </w:p>
        </w:tc>
        <w:tc>
          <w:tcPr>
            <w:tcW w:w="2849" w:type="dxa"/>
          </w:tcPr>
          <w:p w14:paraId="4206116F" w14:textId="77777777" w:rsidR="008E0B2D" w:rsidRPr="000B3827" w:rsidRDefault="008E0B2D" w:rsidP="000B3827">
            <w:pPr>
              <w:rPr>
                <w:szCs w:val="19"/>
              </w:rPr>
            </w:pPr>
            <w:r w:rsidRPr="000B3827">
              <w:rPr>
                <w:sz w:val="19"/>
                <w:szCs w:val="19"/>
              </w:rPr>
              <w:t>98.4%</w:t>
            </w:r>
          </w:p>
        </w:tc>
      </w:tr>
      <w:tr w:rsidR="008E0B2D" w:rsidRPr="001A5860" w14:paraId="2DAC11EE" w14:textId="77777777" w:rsidTr="008E0B2D">
        <w:trPr>
          <w:trHeight w:val="107"/>
        </w:trPr>
        <w:tc>
          <w:tcPr>
            <w:tcW w:w="6653" w:type="dxa"/>
            <w:gridSpan w:val="2"/>
          </w:tcPr>
          <w:p w14:paraId="52F21F6A" w14:textId="516A2FEA" w:rsidR="008E0B2D" w:rsidRPr="000B3827" w:rsidRDefault="008E0B2D" w:rsidP="000B3827">
            <w:pPr>
              <w:rPr>
                <w:b/>
                <w:szCs w:val="19"/>
              </w:rPr>
            </w:pPr>
            <w:r w:rsidRPr="000B3827">
              <w:rPr>
                <w:b/>
                <w:sz w:val="19"/>
                <w:szCs w:val="19"/>
              </w:rPr>
              <w:t>Common</w:t>
            </w:r>
            <w:r w:rsidR="009F6A2A" w:rsidRPr="000B3827">
              <w:rPr>
                <w:b/>
                <w:sz w:val="19"/>
                <w:szCs w:val="19"/>
              </w:rPr>
              <w:t xml:space="preserve"> adverse events</w:t>
            </w:r>
            <w:r w:rsidRPr="000B3827">
              <w:rPr>
                <w:b/>
                <w:sz w:val="19"/>
                <w:szCs w:val="19"/>
              </w:rPr>
              <w:t xml:space="preserve"> (&gt;</w:t>
            </w:r>
            <w:r w:rsidR="00553688" w:rsidRPr="000B3827">
              <w:rPr>
                <w:b/>
                <w:sz w:val="19"/>
                <w:szCs w:val="19"/>
              </w:rPr>
              <w:t xml:space="preserve"> </w:t>
            </w:r>
            <w:r w:rsidRPr="000B3827">
              <w:rPr>
                <w:b/>
                <w:sz w:val="19"/>
                <w:szCs w:val="19"/>
              </w:rPr>
              <w:t>15%)</w:t>
            </w:r>
          </w:p>
        </w:tc>
      </w:tr>
      <w:tr w:rsidR="008E0B2D" w:rsidRPr="001A5860" w14:paraId="6E4F729F" w14:textId="77777777" w:rsidTr="008E0B2D">
        <w:trPr>
          <w:trHeight w:val="269"/>
        </w:trPr>
        <w:tc>
          <w:tcPr>
            <w:tcW w:w="3804" w:type="dxa"/>
          </w:tcPr>
          <w:p w14:paraId="3D38AAEE" w14:textId="33686F77" w:rsidR="008E0B2D" w:rsidRPr="000B3827" w:rsidRDefault="009F6A2A" w:rsidP="000B3827">
            <w:pPr>
              <w:rPr>
                <w:szCs w:val="19"/>
              </w:rPr>
            </w:pPr>
            <w:r w:rsidRPr="009F6A2A">
              <w:rPr>
                <w:sz w:val="19"/>
                <w:szCs w:val="19"/>
              </w:rPr>
              <w:t>T</w:t>
            </w:r>
            <w:r w:rsidR="008E0B2D" w:rsidRPr="000B3827">
              <w:rPr>
                <w:sz w:val="19"/>
                <w:szCs w:val="19"/>
              </w:rPr>
              <w:t>hrombocytopenia</w:t>
            </w:r>
          </w:p>
        </w:tc>
        <w:tc>
          <w:tcPr>
            <w:tcW w:w="2849" w:type="dxa"/>
          </w:tcPr>
          <w:p w14:paraId="420253A3" w14:textId="77777777" w:rsidR="008E0B2D" w:rsidRPr="000B3827" w:rsidRDefault="008E0B2D" w:rsidP="000B3827">
            <w:pPr>
              <w:rPr>
                <w:szCs w:val="19"/>
              </w:rPr>
            </w:pPr>
            <w:r w:rsidRPr="000B3827">
              <w:rPr>
                <w:sz w:val="19"/>
                <w:szCs w:val="19"/>
              </w:rPr>
              <w:t>61.4%</w:t>
            </w:r>
          </w:p>
        </w:tc>
      </w:tr>
      <w:tr w:rsidR="008E0B2D" w:rsidRPr="001A5860" w14:paraId="32714E30" w14:textId="77777777" w:rsidTr="008E0B2D">
        <w:trPr>
          <w:trHeight w:val="269"/>
        </w:trPr>
        <w:tc>
          <w:tcPr>
            <w:tcW w:w="3804" w:type="dxa"/>
          </w:tcPr>
          <w:p w14:paraId="78ED38DE" w14:textId="053BB94E" w:rsidR="008E0B2D" w:rsidRPr="000B3827" w:rsidRDefault="009F6A2A" w:rsidP="000B3827">
            <w:pPr>
              <w:rPr>
                <w:szCs w:val="19"/>
              </w:rPr>
            </w:pPr>
            <w:r w:rsidRPr="000B3827">
              <w:rPr>
                <w:sz w:val="19"/>
                <w:szCs w:val="19"/>
              </w:rPr>
              <w:t>N</w:t>
            </w:r>
            <w:r w:rsidR="008E0B2D" w:rsidRPr="000B3827">
              <w:rPr>
                <w:sz w:val="19"/>
                <w:szCs w:val="19"/>
              </w:rPr>
              <w:t>ausea</w:t>
            </w:r>
          </w:p>
        </w:tc>
        <w:tc>
          <w:tcPr>
            <w:tcW w:w="2849" w:type="dxa"/>
          </w:tcPr>
          <w:p w14:paraId="3FAB8746" w14:textId="77777777" w:rsidR="008E0B2D" w:rsidRPr="000B3827" w:rsidRDefault="008E0B2D" w:rsidP="000B3827">
            <w:pPr>
              <w:rPr>
                <w:szCs w:val="19"/>
              </w:rPr>
            </w:pPr>
            <w:r w:rsidRPr="000B3827">
              <w:rPr>
                <w:sz w:val="19"/>
                <w:szCs w:val="19"/>
              </w:rPr>
              <w:t>58.3%</w:t>
            </w:r>
          </w:p>
        </w:tc>
      </w:tr>
      <w:tr w:rsidR="008E0B2D" w:rsidRPr="001A5860" w14:paraId="2E25189C" w14:textId="77777777" w:rsidTr="008E0B2D">
        <w:trPr>
          <w:trHeight w:val="269"/>
        </w:trPr>
        <w:tc>
          <w:tcPr>
            <w:tcW w:w="3804" w:type="dxa"/>
          </w:tcPr>
          <w:p w14:paraId="3FD16566" w14:textId="00E4A657" w:rsidR="008E0B2D" w:rsidRPr="000B3827" w:rsidRDefault="009F6A2A" w:rsidP="000B3827">
            <w:pPr>
              <w:rPr>
                <w:szCs w:val="19"/>
              </w:rPr>
            </w:pPr>
            <w:r w:rsidRPr="000B3827">
              <w:rPr>
                <w:sz w:val="19"/>
                <w:szCs w:val="19"/>
              </w:rPr>
              <w:t>F</w:t>
            </w:r>
            <w:r w:rsidR="008E0B2D" w:rsidRPr="000B3827">
              <w:rPr>
                <w:sz w:val="19"/>
                <w:szCs w:val="19"/>
              </w:rPr>
              <w:t>atigue</w:t>
            </w:r>
          </w:p>
        </w:tc>
        <w:tc>
          <w:tcPr>
            <w:tcW w:w="2849" w:type="dxa"/>
          </w:tcPr>
          <w:p w14:paraId="5F2BCB5A" w14:textId="77777777" w:rsidR="008E0B2D" w:rsidRPr="000B3827" w:rsidRDefault="008E0B2D" w:rsidP="000B3827">
            <w:pPr>
              <w:rPr>
                <w:szCs w:val="19"/>
              </w:rPr>
            </w:pPr>
            <w:r w:rsidRPr="000B3827">
              <w:rPr>
                <w:sz w:val="19"/>
                <w:szCs w:val="19"/>
              </w:rPr>
              <w:t>47.2%</w:t>
            </w:r>
          </w:p>
        </w:tc>
      </w:tr>
      <w:tr w:rsidR="008E0B2D" w:rsidRPr="001A5860" w14:paraId="68DD8796" w14:textId="77777777" w:rsidTr="008E0B2D">
        <w:trPr>
          <w:trHeight w:val="269"/>
        </w:trPr>
        <w:tc>
          <w:tcPr>
            <w:tcW w:w="3804" w:type="dxa"/>
          </w:tcPr>
          <w:p w14:paraId="602DD523" w14:textId="36BAA0EB" w:rsidR="008E0B2D" w:rsidRPr="000B3827" w:rsidRDefault="009F6A2A" w:rsidP="000B3827">
            <w:pPr>
              <w:rPr>
                <w:szCs w:val="19"/>
              </w:rPr>
            </w:pPr>
            <w:r w:rsidRPr="000B3827">
              <w:rPr>
                <w:sz w:val="19"/>
                <w:szCs w:val="19"/>
              </w:rPr>
              <w:t>A</w:t>
            </w:r>
            <w:r w:rsidR="008E0B2D" w:rsidRPr="000B3827">
              <w:rPr>
                <w:sz w:val="19"/>
                <w:szCs w:val="19"/>
              </w:rPr>
              <w:t>naemia</w:t>
            </w:r>
          </w:p>
        </w:tc>
        <w:tc>
          <w:tcPr>
            <w:tcW w:w="2849" w:type="dxa"/>
          </w:tcPr>
          <w:p w14:paraId="59568FF5" w14:textId="77777777" w:rsidR="008E0B2D" w:rsidRPr="000B3827" w:rsidRDefault="008E0B2D" w:rsidP="000B3827">
            <w:pPr>
              <w:rPr>
                <w:szCs w:val="19"/>
              </w:rPr>
            </w:pPr>
            <w:r w:rsidRPr="000B3827">
              <w:rPr>
                <w:sz w:val="19"/>
                <w:szCs w:val="19"/>
              </w:rPr>
              <w:t>42.5%</w:t>
            </w:r>
          </w:p>
        </w:tc>
      </w:tr>
      <w:tr w:rsidR="008E0B2D" w:rsidRPr="001A5860" w14:paraId="617138F5" w14:textId="77777777" w:rsidTr="008E0B2D">
        <w:trPr>
          <w:trHeight w:val="269"/>
        </w:trPr>
        <w:tc>
          <w:tcPr>
            <w:tcW w:w="3804" w:type="dxa"/>
          </w:tcPr>
          <w:p w14:paraId="15A780AD" w14:textId="77777777" w:rsidR="008E0B2D" w:rsidRPr="000B3827" w:rsidRDefault="008E0B2D" w:rsidP="000B3827">
            <w:pPr>
              <w:rPr>
                <w:szCs w:val="19"/>
              </w:rPr>
            </w:pPr>
            <w:r w:rsidRPr="000B3827">
              <w:rPr>
                <w:sz w:val="19"/>
                <w:szCs w:val="19"/>
              </w:rPr>
              <w:t>Decreased appetite</w:t>
            </w:r>
          </w:p>
        </w:tc>
        <w:tc>
          <w:tcPr>
            <w:tcW w:w="2849" w:type="dxa"/>
          </w:tcPr>
          <w:p w14:paraId="56003800" w14:textId="77777777" w:rsidR="008E0B2D" w:rsidRPr="000B3827" w:rsidRDefault="008E0B2D" w:rsidP="000B3827">
            <w:pPr>
              <w:rPr>
                <w:szCs w:val="19"/>
              </w:rPr>
            </w:pPr>
            <w:r w:rsidRPr="000B3827">
              <w:rPr>
                <w:sz w:val="19"/>
                <w:szCs w:val="19"/>
              </w:rPr>
              <w:t>37.0%</w:t>
            </w:r>
          </w:p>
        </w:tc>
      </w:tr>
      <w:tr w:rsidR="008E0B2D" w:rsidRPr="001A5860" w14:paraId="0DD9F011" w14:textId="77777777" w:rsidTr="008E0B2D">
        <w:trPr>
          <w:trHeight w:val="269"/>
        </w:trPr>
        <w:tc>
          <w:tcPr>
            <w:tcW w:w="3804" w:type="dxa"/>
          </w:tcPr>
          <w:p w14:paraId="4FA2EA7E" w14:textId="0AA50007" w:rsidR="008E0B2D" w:rsidRPr="000B3827" w:rsidRDefault="009F6A2A" w:rsidP="000B3827">
            <w:pPr>
              <w:rPr>
                <w:szCs w:val="19"/>
              </w:rPr>
            </w:pPr>
            <w:r w:rsidRPr="009F6A2A">
              <w:rPr>
                <w:sz w:val="19"/>
                <w:szCs w:val="19"/>
              </w:rPr>
              <w:t>D</w:t>
            </w:r>
            <w:r w:rsidR="008E0B2D" w:rsidRPr="000B3827">
              <w:rPr>
                <w:sz w:val="19"/>
                <w:szCs w:val="19"/>
              </w:rPr>
              <w:t>iarrhoea</w:t>
            </w:r>
          </w:p>
        </w:tc>
        <w:tc>
          <w:tcPr>
            <w:tcW w:w="2849" w:type="dxa"/>
          </w:tcPr>
          <w:p w14:paraId="380AB54C" w14:textId="77777777" w:rsidR="008E0B2D" w:rsidRPr="000B3827" w:rsidRDefault="008E0B2D" w:rsidP="000B3827">
            <w:pPr>
              <w:rPr>
                <w:szCs w:val="19"/>
              </w:rPr>
            </w:pPr>
            <w:r w:rsidRPr="000B3827">
              <w:rPr>
                <w:sz w:val="19"/>
                <w:szCs w:val="19"/>
              </w:rPr>
              <w:t>35.4%</w:t>
            </w:r>
          </w:p>
        </w:tc>
      </w:tr>
      <w:tr w:rsidR="008E0B2D" w:rsidRPr="001A5860" w14:paraId="0DC5E4FE" w14:textId="77777777" w:rsidTr="008E0B2D">
        <w:trPr>
          <w:trHeight w:val="269"/>
        </w:trPr>
        <w:tc>
          <w:tcPr>
            <w:tcW w:w="3804" w:type="dxa"/>
          </w:tcPr>
          <w:p w14:paraId="7CDB6C47" w14:textId="32685846" w:rsidR="008E0B2D" w:rsidRPr="000B3827" w:rsidRDefault="009F6A2A" w:rsidP="000B3827">
            <w:pPr>
              <w:rPr>
                <w:szCs w:val="19"/>
              </w:rPr>
            </w:pPr>
            <w:r w:rsidRPr="009F6A2A">
              <w:rPr>
                <w:sz w:val="19"/>
                <w:szCs w:val="19"/>
              </w:rPr>
              <w:t>C</w:t>
            </w:r>
            <w:r w:rsidR="008E0B2D" w:rsidRPr="000B3827">
              <w:rPr>
                <w:sz w:val="19"/>
                <w:szCs w:val="19"/>
              </w:rPr>
              <w:t>onstipation</w:t>
            </w:r>
          </w:p>
        </w:tc>
        <w:tc>
          <w:tcPr>
            <w:tcW w:w="2849" w:type="dxa"/>
          </w:tcPr>
          <w:p w14:paraId="08D5D12A" w14:textId="77777777" w:rsidR="008E0B2D" w:rsidRPr="000B3827" w:rsidRDefault="008E0B2D" w:rsidP="000B3827">
            <w:pPr>
              <w:rPr>
                <w:szCs w:val="19"/>
              </w:rPr>
            </w:pPr>
            <w:r w:rsidRPr="000B3827">
              <w:rPr>
                <w:sz w:val="19"/>
                <w:szCs w:val="19"/>
              </w:rPr>
              <w:t>30.7%</w:t>
            </w:r>
          </w:p>
        </w:tc>
      </w:tr>
      <w:tr w:rsidR="008E0B2D" w:rsidRPr="001A5860" w14:paraId="2E558419" w14:textId="77777777" w:rsidTr="008E0B2D">
        <w:trPr>
          <w:trHeight w:val="269"/>
        </w:trPr>
        <w:tc>
          <w:tcPr>
            <w:tcW w:w="3804" w:type="dxa"/>
          </w:tcPr>
          <w:p w14:paraId="7BEEA89B" w14:textId="7502445D" w:rsidR="008E0B2D" w:rsidRPr="000B3827" w:rsidRDefault="009F6A2A" w:rsidP="000B3827">
            <w:pPr>
              <w:rPr>
                <w:szCs w:val="19"/>
              </w:rPr>
            </w:pPr>
            <w:r w:rsidRPr="009F6A2A">
              <w:rPr>
                <w:sz w:val="19"/>
                <w:szCs w:val="19"/>
              </w:rPr>
              <w:t>N</w:t>
            </w:r>
            <w:r w:rsidR="008E0B2D" w:rsidRPr="000B3827">
              <w:rPr>
                <w:sz w:val="19"/>
                <w:szCs w:val="19"/>
              </w:rPr>
              <w:t>eutropenia</w:t>
            </w:r>
          </w:p>
        </w:tc>
        <w:tc>
          <w:tcPr>
            <w:tcW w:w="2849" w:type="dxa"/>
          </w:tcPr>
          <w:p w14:paraId="0DC73554" w14:textId="77777777" w:rsidR="008E0B2D" w:rsidRPr="000B3827" w:rsidRDefault="008E0B2D" w:rsidP="000B3827">
            <w:pPr>
              <w:rPr>
                <w:szCs w:val="19"/>
              </w:rPr>
            </w:pPr>
            <w:r w:rsidRPr="000B3827">
              <w:rPr>
                <w:sz w:val="19"/>
                <w:szCs w:val="19"/>
              </w:rPr>
              <w:t>29.9%</w:t>
            </w:r>
          </w:p>
        </w:tc>
      </w:tr>
      <w:tr w:rsidR="008E0B2D" w:rsidRPr="001A5860" w14:paraId="5A5C8FE8" w14:textId="77777777" w:rsidTr="008E0B2D">
        <w:trPr>
          <w:trHeight w:val="269"/>
        </w:trPr>
        <w:tc>
          <w:tcPr>
            <w:tcW w:w="3804" w:type="dxa"/>
          </w:tcPr>
          <w:p w14:paraId="21B98FD8" w14:textId="77777777" w:rsidR="008E0B2D" w:rsidRPr="000B3827" w:rsidRDefault="008E0B2D" w:rsidP="000B3827">
            <w:pPr>
              <w:rPr>
                <w:szCs w:val="19"/>
              </w:rPr>
            </w:pPr>
            <w:r w:rsidRPr="000B3827">
              <w:rPr>
                <w:sz w:val="19"/>
                <w:szCs w:val="19"/>
              </w:rPr>
              <w:t>Weight decreased</w:t>
            </w:r>
          </w:p>
        </w:tc>
        <w:tc>
          <w:tcPr>
            <w:tcW w:w="2849" w:type="dxa"/>
          </w:tcPr>
          <w:p w14:paraId="66D0265C" w14:textId="77777777" w:rsidR="008E0B2D" w:rsidRPr="000B3827" w:rsidRDefault="008E0B2D" w:rsidP="000B3827">
            <w:pPr>
              <w:rPr>
                <w:szCs w:val="19"/>
              </w:rPr>
            </w:pPr>
            <w:r w:rsidRPr="000B3827">
              <w:rPr>
                <w:sz w:val="19"/>
                <w:szCs w:val="19"/>
              </w:rPr>
              <w:t>29.9%</w:t>
            </w:r>
          </w:p>
        </w:tc>
      </w:tr>
      <w:tr w:rsidR="008E0B2D" w:rsidRPr="001A5860" w14:paraId="159CECD8" w14:textId="77777777" w:rsidTr="008E0B2D">
        <w:trPr>
          <w:trHeight w:val="269"/>
        </w:trPr>
        <w:tc>
          <w:tcPr>
            <w:tcW w:w="3804" w:type="dxa"/>
          </w:tcPr>
          <w:p w14:paraId="2C09941E" w14:textId="7946E0C4" w:rsidR="008E0B2D" w:rsidRPr="000B3827" w:rsidRDefault="009F6A2A" w:rsidP="000B3827">
            <w:pPr>
              <w:rPr>
                <w:szCs w:val="19"/>
              </w:rPr>
            </w:pPr>
            <w:r w:rsidRPr="009F6A2A">
              <w:rPr>
                <w:sz w:val="19"/>
                <w:szCs w:val="19"/>
              </w:rPr>
              <w:t>V</w:t>
            </w:r>
            <w:r w:rsidR="008E0B2D" w:rsidRPr="000B3827">
              <w:rPr>
                <w:sz w:val="19"/>
                <w:szCs w:val="19"/>
              </w:rPr>
              <w:t>omiting</w:t>
            </w:r>
          </w:p>
        </w:tc>
        <w:tc>
          <w:tcPr>
            <w:tcW w:w="2849" w:type="dxa"/>
          </w:tcPr>
          <w:p w14:paraId="06841EC4" w14:textId="77777777" w:rsidR="008E0B2D" w:rsidRPr="000B3827" w:rsidRDefault="008E0B2D" w:rsidP="000B3827">
            <w:pPr>
              <w:rPr>
                <w:szCs w:val="19"/>
              </w:rPr>
            </w:pPr>
            <w:r w:rsidRPr="000B3827">
              <w:rPr>
                <w:sz w:val="19"/>
                <w:szCs w:val="19"/>
              </w:rPr>
              <w:t>29.1%</w:t>
            </w:r>
          </w:p>
        </w:tc>
      </w:tr>
      <w:tr w:rsidR="008E0B2D" w:rsidRPr="001A5860" w14:paraId="7AD686F5" w14:textId="77777777" w:rsidTr="008E0B2D">
        <w:trPr>
          <w:trHeight w:val="269"/>
        </w:trPr>
        <w:tc>
          <w:tcPr>
            <w:tcW w:w="3804" w:type="dxa"/>
          </w:tcPr>
          <w:p w14:paraId="4036D151" w14:textId="6D666092" w:rsidR="008E0B2D" w:rsidRPr="000B3827" w:rsidRDefault="009F6A2A" w:rsidP="000B3827">
            <w:pPr>
              <w:rPr>
                <w:szCs w:val="19"/>
              </w:rPr>
            </w:pPr>
            <w:r w:rsidRPr="009F6A2A">
              <w:rPr>
                <w:sz w:val="19"/>
                <w:szCs w:val="19"/>
              </w:rPr>
              <w:t>P</w:t>
            </w:r>
            <w:r w:rsidR="008E0B2D" w:rsidRPr="000B3827">
              <w:rPr>
                <w:sz w:val="19"/>
                <w:szCs w:val="19"/>
              </w:rPr>
              <w:t>yrexia</w:t>
            </w:r>
          </w:p>
        </w:tc>
        <w:tc>
          <w:tcPr>
            <w:tcW w:w="2849" w:type="dxa"/>
          </w:tcPr>
          <w:p w14:paraId="1208E8C5" w14:textId="77777777" w:rsidR="008E0B2D" w:rsidRPr="000B3827" w:rsidRDefault="008E0B2D" w:rsidP="000B3827">
            <w:pPr>
              <w:rPr>
                <w:szCs w:val="19"/>
              </w:rPr>
            </w:pPr>
            <w:r w:rsidRPr="000B3827">
              <w:rPr>
                <w:sz w:val="19"/>
                <w:szCs w:val="19"/>
              </w:rPr>
              <w:t>22.0%</w:t>
            </w:r>
          </w:p>
        </w:tc>
      </w:tr>
      <w:tr w:rsidR="008E0B2D" w:rsidRPr="001A5860" w14:paraId="35CEF8B5" w14:textId="77777777" w:rsidTr="008E0B2D">
        <w:trPr>
          <w:trHeight w:val="269"/>
        </w:trPr>
        <w:tc>
          <w:tcPr>
            <w:tcW w:w="3804" w:type="dxa"/>
          </w:tcPr>
          <w:p w14:paraId="13046A74" w14:textId="6A419989" w:rsidR="008E0B2D" w:rsidRPr="000B3827" w:rsidRDefault="009F6A2A" w:rsidP="000B3827">
            <w:pPr>
              <w:rPr>
                <w:szCs w:val="19"/>
              </w:rPr>
            </w:pPr>
            <w:r w:rsidRPr="009F6A2A">
              <w:rPr>
                <w:sz w:val="19"/>
                <w:szCs w:val="19"/>
              </w:rPr>
              <w:t>A</w:t>
            </w:r>
            <w:r w:rsidR="008E0B2D" w:rsidRPr="000B3827">
              <w:rPr>
                <w:sz w:val="19"/>
                <w:szCs w:val="19"/>
              </w:rPr>
              <w:t>sthenia</w:t>
            </w:r>
          </w:p>
        </w:tc>
        <w:tc>
          <w:tcPr>
            <w:tcW w:w="2849" w:type="dxa"/>
          </w:tcPr>
          <w:p w14:paraId="2B74AAF3" w14:textId="77777777" w:rsidR="008E0B2D" w:rsidRPr="000B3827" w:rsidRDefault="008E0B2D" w:rsidP="000B3827">
            <w:pPr>
              <w:rPr>
                <w:szCs w:val="19"/>
              </w:rPr>
            </w:pPr>
            <w:r w:rsidRPr="000B3827">
              <w:rPr>
                <w:sz w:val="19"/>
                <w:szCs w:val="19"/>
              </w:rPr>
              <w:t>21.3%</w:t>
            </w:r>
          </w:p>
        </w:tc>
      </w:tr>
      <w:tr w:rsidR="008E0B2D" w:rsidRPr="001A5860" w14:paraId="445DB5E4" w14:textId="77777777" w:rsidTr="008E0B2D">
        <w:trPr>
          <w:trHeight w:val="269"/>
        </w:trPr>
        <w:tc>
          <w:tcPr>
            <w:tcW w:w="3804" w:type="dxa"/>
          </w:tcPr>
          <w:p w14:paraId="6027F5B8" w14:textId="77777777" w:rsidR="008E0B2D" w:rsidRPr="000B3827" w:rsidRDefault="008E0B2D" w:rsidP="000B3827">
            <w:pPr>
              <w:rPr>
                <w:szCs w:val="19"/>
              </w:rPr>
            </w:pPr>
            <w:r w:rsidRPr="000B3827">
              <w:rPr>
                <w:sz w:val="19"/>
                <w:szCs w:val="19"/>
              </w:rPr>
              <w:t xml:space="preserve">neurological </w:t>
            </w:r>
            <w:proofErr w:type="spellStart"/>
            <w:r w:rsidRPr="000B3827">
              <w:rPr>
                <w:sz w:val="19"/>
                <w:szCs w:val="19"/>
              </w:rPr>
              <w:t>toxicity</w:t>
            </w:r>
            <w:r w:rsidRPr="000B3827">
              <w:rPr>
                <w:sz w:val="19"/>
                <w:szCs w:val="19"/>
                <w:vertAlign w:val="superscript"/>
              </w:rPr>
              <w:t>a</w:t>
            </w:r>
            <w:proofErr w:type="spellEnd"/>
          </w:p>
        </w:tc>
        <w:tc>
          <w:tcPr>
            <w:tcW w:w="2849" w:type="dxa"/>
          </w:tcPr>
          <w:p w14:paraId="780A75FF" w14:textId="77777777" w:rsidR="008E0B2D" w:rsidRPr="000B3827" w:rsidRDefault="008E0B2D" w:rsidP="000B3827">
            <w:pPr>
              <w:rPr>
                <w:szCs w:val="19"/>
              </w:rPr>
            </w:pPr>
            <w:r w:rsidRPr="000B3827">
              <w:rPr>
                <w:sz w:val="19"/>
                <w:szCs w:val="19"/>
              </w:rPr>
              <w:t>19.7%</w:t>
            </w:r>
          </w:p>
        </w:tc>
      </w:tr>
      <w:tr w:rsidR="008E0B2D" w:rsidRPr="001A5860" w14:paraId="165D0F6C" w14:textId="77777777" w:rsidTr="008E0B2D">
        <w:trPr>
          <w:trHeight w:val="269"/>
        </w:trPr>
        <w:tc>
          <w:tcPr>
            <w:tcW w:w="3804" w:type="dxa"/>
          </w:tcPr>
          <w:p w14:paraId="5A17C837" w14:textId="575A6A06" w:rsidR="008E0B2D" w:rsidRPr="000B3827" w:rsidRDefault="009F6A2A" w:rsidP="000B3827">
            <w:pPr>
              <w:rPr>
                <w:szCs w:val="19"/>
              </w:rPr>
            </w:pPr>
            <w:r w:rsidRPr="009F6A2A">
              <w:rPr>
                <w:sz w:val="19"/>
                <w:szCs w:val="19"/>
              </w:rPr>
              <w:t>C</w:t>
            </w:r>
            <w:r w:rsidR="008E0B2D" w:rsidRPr="000B3827">
              <w:rPr>
                <w:sz w:val="19"/>
                <w:szCs w:val="19"/>
              </w:rPr>
              <w:t>ough</w:t>
            </w:r>
          </w:p>
        </w:tc>
        <w:tc>
          <w:tcPr>
            <w:tcW w:w="2849" w:type="dxa"/>
          </w:tcPr>
          <w:p w14:paraId="5D68BE65" w14:textId="77777777" w:rsidR="008E0B2D" w:rsidRPr="000B3827" w:rsidRDefault="008E0B2D" w:rsidP="000B3827">
            <w:pPr>
              <w:rPr>
                <w:szCs w:val="19"/>
              </w:rPr>
            </w:pPr>
            <w:r w:rsidRPr="000B3827">
              <w:rPr>
                <w:sz w:val="19"/>
                <w:szCs w:val="19"/>
              </w:rPr>
              <w:t>18.1%</w:t>
            </w:r>
          </w:p>
        </w:tc>
      </w:tr>
      <w:tr w:rsidR="008E0B2D" w:rsidRPr="001A5860" w14:paraId="1D566B22" w14:textId="77777777" w:rsidTr="008E0B2D">
        <w:trPr>
          <w:trHeight w:val="269"/>
        </w:trPr>
        <w:tc>
          <w:tcPr>
            <w:tcW w:w="3804" w:type="dxa"/>
          </w:tcPr>
          <w:p w14:paraId="0B2556D6" w14:textId="77777777" w:rsidR="008E0B2D" w:rsidRPr="000B3827" w:rsidRDefault="008E0B2D" w:rsidP="000B3827">
            <w:pPr>
              <w:rPr>
                <w:b/>
                <w:szCs w:val="19"/>
              </w:rPr>
            </w:pPr>
            <w:r w:rsidRPr="000B3827">
              <w:rPr>
                <w:b/>
                <w:sz w:val="19"/>
                <w:szCs w:val="19"/>
              </w:rPr>
              <w:t xml:space="preserve">Any CTCAE Grade 3 - 4 </w:t>
            </w:r>
          </w:p>
        </w:tc>
        <w:tc>
          <w:tcPr>
            <w:tcW w:w="2849" w:type="dxa"/>
          </w:tcPr>
          <w:p w14:paraId="328116DA" w14:textId="77777777" w:rsidR="008E0B2D" w:rsidRPr="000B3827" w:rsidRDefault="008E0B2D" w:rsidP="000B3827">
            <w:pPr>
              <w:rPr>
                <w:szCs w:val="19"/>
              </w:rPr>
            </w:pPr>
            <w:r w:rsidRPr="000B3827">
              <w:rPr>
                <w:sz w:val="19"/>
                <w:szCs w:val="19"/>
              </w:rPr>
              <w:t>80.3%</w:t>
            </w:r>
          </w:p>
        </w:tc>
      </w:tr>
      <w:tr w:rsidR="008E0B2D" w:rsidRPr="001A5860" w14:paraId="4F8FE218" w14:textId="77777777" w:rsidTr="008E0B2D">
        <w:trPr>
          <w:trHeight w:val="269"/>
        </w:trPr>
        <w:tc>
          <w:tcPr>
            <w:tcW w:w="3804" w:type="dxa"/>
          </w:tcPr>
          <w:p w14:paraId="1758CB33" w14:textId="71BCF9B9" w:rsidR="008E0B2D" w:rsidRPr="000B3827" w:rsidRDefault="008E0B2D" w:rsidP="000B3827">
            <w:pPr>
              <w:rPr>
                <w:b/>
                <w:szCs w:val="19"/>
              </w:rPr>
            </w:pPr>
            <w:r w:rsidRPr="000B3827">
              <w:rPr>
                <w:b/>
                <w:sz w:val="19"/>
                <w:szCs w:val="19"/>
              </w:rPr>
              <w:t xml:space="preserve">Any </w:t>
            </w:r>
            <w:r w:rsidR="009F6A2A">
              <w:rPr>
                <w:b/>
                <w:sz w:val="19"/>
                <w:szCs w:val="19"/>
              </w:rPr>
              <w:t>treatment-emergent adverse event (TEAE)</w:t>
            </w:r>
            <w:r w:rsidR="009F6A2A" w:rsidRPr="000B3827">
              <w:rPr>
                <w:b/>
                <w:sz w:val="19"/>
                <w:szCs w:val="19"/>
              </w:rPr>
              <w:t xml:space="preserve"> </w:t>
            </w:r>
            <w:r w:rsidRPr="000B3827">
              <w:rPr>
                <w:b/>
                <w:sz w:val="19"/>
                <w:szCs w:val="19"/>
              </w:rPr>
              <w:t>leading to dose modification</w:t>
            </w:r>
          </w:p>
        </w:tc>
        <w:tc>
          <w:tcPr>
            <w:tcW w:w="2849" w:type="dxa"/>
          </w:tcPr>
          <w:p w14:paraId="447820D2" w14:textId="77777777" w:rsidR="008E0B2D" w:rsidRPr="000B3827" w:rsidRDefault="008E0B2D" w:rsidP="000B3827">
            <w:pPr>
              <w:rPr>
                <w:szCs w:val="19"/>
              </w:rPr>
            </w:pPr>
            <w:r w:rsidRPr="000B3827">
              <w:rPr>
                <w:sz w:val="19"/>
                <w:szCs w:val="19"/>
              </w:rPr>
              <w:t>70.1%</w:t>
            </w:r>
          </w:p>
        </w:tc>
      </w:tr>
      <w:tr w:rsidR="008E0B2D" w:rsidRPr="001A5860" w14:paraId="348EB2DB" w14:textId="77777777" w:rsidTr="008E0B2D">
        <w:trPr>
          <w:trHeight w:val="269"/>
        </w:trPr>
        <w:tc>
          <w:tcPr>
            <w:tcW w:w="3804" w:type="dxa"/>
          </w:tcPr>
          <w:p w14:paraId="5DE18956" w14:textId="77777777" w:rsidR="008E0B2D" w:rsidRPr="000B3827" w:rsidRDefault="008E0B2D" w:rsidP="000B3827">
            <w:pPr>
              <w:rPr>
                <w:b/>
                <w:szCs w:val="19"/>
              </w:rPr>
            </w:pPr>
            <w:r w:rsidRPr="000B3827">
              <w:rPr>
                <w:b/>
                <w:sz w:val="19"/>
                <w:szCs w:val="19"/>
              </w:rPr>
              <w:t>Any TEAE leading to dose hold</w:t>
            </w:r>
          </w:p>
        </w:tc>
        <w:tc>
          <w:tcPr>
            <w:tcW w:w="2849" w:type="dxa"/>
          </w:tcPr>
          <w:p w14:paraId="305E812F" w14:textId="77777777" w:rsidR="008E0B2D" w:rsidRPr="000B3827" w:rsidRDefault="008E0B2D" w:rsidP="000B3827">
            <w:pPr>
              <w:rPr>
                <w:szCs w:val="19"/>
              </w:rPr>
            </w:pPr>
            <w:r w:rsidRPr="000B3827">
              <w:rPr>
                <w:sz w:val="19"/>
                <w:szCs w:val="19"/>
              </w:rPr>
              <w:t>60.6%</w:t>
            </w:r>
          </w:p>
        </w:tc>
      </w:tr>
      <w:tr w:rsidR="008E0B2D" w:rsidRPr="001A5860" w14:paraId="1968DC6B" w14:textId="77777777" w:rsidTr="008E0B2D">
        <w:trPr>
          <w:trHeight w:val="269"/>
        </w:trPr>
        <w:tc>
          <w:tcPr>
            <w:tcW w:w="3804" w:type="dxa"/>
          </w:tcPr>
          <w:p w14:paraId="617039AC" w14:textId="77777777" w:rsidR="008E0B2D" w:rsidRPr="000B3827" w:rsidRDefault="008E0B2D" w:rsidP="000B3827">
            <w:pPr>
              <w:rPr>
                <w:b/>
                <w:szCs w:val="19"/>
              </w:rPr>
            </w:pPr>
            <w:r w:rsidRPr="000B3827">
              <w:rPr>
                <w:b/>
                <w:sz w:val="19"/>
                <w:szCs w:val="19"/>
              </w:rPr>
              <w:t>Any TEAE leading to dose reduction</w:t>
            </w:r>
          </w:p>
        </w:tc>
        <w:tc>
          <w:tcPr>
            <w:tcW w:w="2849" w:type="dxa"/>
          </w:tcPr>
          <w:p w14:paraId="29616B94" w14:textId="77777777" w:rsidR="008E0B2D" w:rsidRPr="000B3827" w:rsidRDefault="008E0B2D" w:rsidP="000B3827">
            <w:pPr>
              <w:rPr>
                <w:szCs w:val="19"/>
              </w:rPr>
            </w:pPr>
            <w:r w:rsidRPr="000B3827">
              <w:rPr>
                <w:sz w:val="19"/>
                <w:szCs w:val="19"/>
              </w:rPr>
              <w:t>33.9%</w:t>
            </w:r>
          </w:p>
        </w:tc>
      </w:tr>
      <w:tr w:rsidR="008E0B2D" w:rsidRPr="001A5860" w14:paraId="5E99390D" w14:textId="77777777" w:rsidTr="008E0B2D">
        <w:trPr>
          <w:trHeight w:val="269"/>
        </w:trPr>
        <w:tc>
          <w:tcPr>
            <w:tcW w:w="3804" w:type="dxa"/>
          </w:tcPr>
          <w:p w14:paraId="66DCAB91" w14:textId="77777777" w:rsidR="008E0B2D" w:rsidRPr="000B3827" w:rsidRDefault="008E0B2D" w:rsidP="000B3827">
            <w:pPr>
              <w:rPr>
                <w:b/>
                <w:szCs w:val="19"/>
              </w:rPr>
            </w:pPr>
            <w:r w:rsidRPr="000B3827">
              <w:rPr>
                <w:b/>
                <w:sz w:val="19"/>
                <w:szCs w:val="19"/>
              </w:rPr>
              <w:t>Any TEAE leading to treatment discontinuation</w:t>
            </w:r>
          </w:p>
        </w:tc>
        <w:tc>
          <w:tcPr>
            <w:tcW w:w="2849" w:type="dxa"/>
          </w:tcPr>
          <w:p w14:paraId="3AAECA72" w14:textId="77777777" w:rsidR="008E0B2D" w:rsidRPr="000B3827" w:rsidRDefault="008E0B2D" w:rsidP="000B3827">
            <w:pPr>
              <w:rPr>
                <w:szCs w:val="19"/>
              </w:rPr>
            </w:pPr>
            <w:r w:rsidRPr="000B3827">
              <w:rPr>
                <w:sz w:val="19"/>
                <w:szCs w:val="19"/>
              </w:rPr>
              <w:t>17.3%</w:t>
            </w:r>
          </w:p>
        </w:tc>
      </w:tr>
      <w:tr w:rsidR="008E0B2D" w:rsidRPr="001A5860" w14:paraId="51F06860" w14:textId="77777777" w:rsidTr="008E0B2D">
        <w:trPr>
          <w:trHeight w:val="269"/>
        </w:trPr>
        <w:tc>
          <w:tcPr>
            <w:tcW w:w="3804" w:type="dxa"/>
          </w:tcPr>
          <w:p w14:paraId="372E860F" w14:textId="79C5269D" w:rsidR="008E0B2D" w:rsidRPr="000B3827" w:rsidRDefault="008E0B2D" w:rsidP="000B3827">
            <w:pPr>
              <w:rPr>
                <w:b/>
                <w:szCs w:val="19"/>
              </w:rPr>
            </w:pPr>
            <w:r w:rsidRPr="000B3827">
              <w:rPr>
                <w:b/>
                <w:sz w:val="19"/>
                <w:szCs w:val="19"/>
              </w:rPr>
              <w:lastRenderedPageBreak/>
              <w:t xml:space="preserve">Any </w:t>
            </w:r>
            <w:r w:rsidR="009F6A2A">
              <w:rPr>
                <w:b/>
                <w:sz w:val="19"/>
                <w:szCs w:val="19"/>
              </w:rPr>
              <w:t>treatment-related adverse event (TRAE)</w:t>
            </w:r>
          </w:p>
        </w:tc>
        <w:tc>
          <w:tcPr>
            <w:tcW w:w="2849" w:type="dxa"/>
          </w:tcPr>
          <w:p w14:paraId="0ED9BB3A" w14:textId="77777777" w:rsidR="008E0B2D" w:rsidRPr="000B3827" w:rsidRDefault="008E0B2D" w:rsidP="000B3827">
            <w:pPr>
              <w:rPr>
                <w:szCs w:val="19"/>
              </w:rPr>
            </w:pPr>
            <w:r w:rsidRPr="000B3827">
              <w:rPr>
                <w:sz w:val="19"/>
                <w:szCs w:val="19"/>
              </w:rPr>
              <w:t>90%</w:t>
            </w:r>
          </w:p>
        </w:tc>
      </w:tr>
      <w:tr w:rsidR="008E0B2D" w:rsidRPr="001A5860" w14:paraId="6B1F7F66" w14:textId="77777777" w:rsidTr="008E0B2D">
        <w:trPr>
          <w:trHeight w:val="269"/>
        </w:trPr>
        <w:tc>
          <w:tcPr>
            <w:tcW w:w="6653" w:type="dxa"/>
            <w:gridSpan w:val="2"/>
          </w:tcPr>
          <w:p w14:paraId="0EE10F95" w14:textId="2AD00040" w:rsidR="008E0B2D" w:rsidRPr="000B3827" w:rsidRDefault="008E0B2D" w:rsidP="000B3827">
            <w:pPr>
              <w:rPr>
                <w:b/>
                <w:szCs w:val="19"/>
              </w:rPr>
            </w:pPr>
            <w:r w:rsidRPr="000B3827">
              <w:rPr>
                <w:b/>
                <w:sz w:val="19"/>
                <w:szCs w:val="19"/>
              </w:rPr>
              <w:t>Most common TRAEs &gt;</w:t>
            </w:r>
            <w:r w:rsidR="00553688" w:rsidRPr="000B3827">
              <w:rPr>
                <w:b/>
                <w:sz w:val="19"/>
                <w:szCs w:val="19"/>
              </w:rPr>
              <w:t xml:space="preserve"> </w:t>
            </w:r>
            <w:r w:rsidRPr="000B3827">
              <w:rPr>
                <w:b/>
                <w:sz w:val="19"/>
                <w:szCs w:val="19"/>
              </w:rPr>
              <w:t>20%</w:t>
            </w:r>
          </w:p>
        </w:tc>
      </w:tr>
      <w:tr w:rsidR="008E0B2D" w:rsidRPr="001A5860" w14:paraId="2A6E8559" w14:textId="77777777" w:rsidTr="008E0B2D">
        <w:trPr>
          <w:trHeight w:val="269"/>
        </w:trPr>
        <w:tc>
          <w:tcPr>
            <w:tcW w:w="3804" w:type="dxa"/>
          </w:tcPr>
          <w:p w14:paraId="326755B4" w14:textId="1620134A" w:rsidR="008E0B2D" w:rsidRPr="000B3827" w:rsidRDefault="009F6A2A" w:rsidP="000B3827">
            <w:pPr>
              <w:rPr>
                <w:szCs w:val="19"/>
              </w:rPr>
            </w:pPr>
            <w:r w:rsidRPr="009F6A2A">
              <w:rPr>
                <w:sz w:val="19"/>
                <w:szCs w:val="19"/>
              </w:rPr>
              <w:t>T</w:t>
            </w:r>
            <w:r w:rsidR="008E0B2D" w:rsidRPr="000B3827">
              <w:rPr>
                <w:sz w:val="19"/>
                <w:szCs w:val="19"/>
              </w:rPr>
              <w:t>hrombocytopenia</w:t>
            </w:r>
          </w:p>
        </w:tc>
        <w:tc>
          <w:tcPr>
            <w:tcW w:w="2849" w:type="dxa"/>
          </w:tcPr>
          <w:p w14:paraId="414FB8BA" w14:textId="77777777" w:rsidR="008E0B2D" w:rsidRPr="000B3827" w:rsidRDefault="008E0B2D" w:rsidP="000B3827">
            <w:pPr>
              <w:rPr>
                <w:szCs w:val="19"/>
              </w:rPr>
            </w:pPr>
            <w:r w:rsidRPr="000B3827">
              <w:rPr>
                <w:sz w:val="19"/>
                <w:szCs w:val="19"/>
              </w:rPr>
              <w:t>54%</w:t>
            </w:r>
          </w:p>
        </w:tc>
      </w:tr>
      <w:tr w:rsidR="008E0B2D" w:rsidRPr="001A5860" w14:paraId="3E7CAA02" w14:textId="77777777" w:rsidTr="008E0B2D">
        <w:trPr>
          <w:trHeight w:val="269"/>
        </w:trPr>
        <w:tc>
          <w:tcPr>
            <w:tcW w:w="3804" w:type="dxa"/>
          </w:tcPr>
          <w:p w14:paraId="6CFE6FA3" w14:textId="78158A39" w:rsidR="008E0B2D" w:rsidRPr="000B3827" w:rsidRDefault="009F6A2A" w:rsidP="000B3827">
            <w:pPr>
              <w:rPr>
                <w:szCs w:val="19"/>
              </w:rPr>
            </w:pPr>
            <w:r w:rsidRPr="009F6A2A">
              <w:rPr>
                <w:sz w:val="19"/>
                <w:szCs w:val="19"/>
              </w:rPr>
              <w:t>N</w:t>
            </w:r>
            <w:r w:rsidR="008E0B2D" w:rsidRPr="000B3827">
              <w:rPr>
                <w:sz w:val="19"/>
                <w:szCs w:val="19"/>
              </w:rPr>
              <w:t>ausea</w:t>
            </w:r>
          </w:p>
        </w:tc>
        <w:tc>
          <w:tcPr>
            <w:tcW w:w="2849" w:type="dxa"/>
          </w:tcPr>
          <w:p w14:paraId="780DA4EA" w14:textId="77777777" w:rsidR="008E0B2D" w:rsidRPr="000B3827" w:rsidRDefault="008E0B2D" w:rsidP="000B3827">
            <w:pPr>
              <w:rPr>
                <w:szCs w:val="19"/>
              </w:rPr>
            </w:pPr>
            <w:r w:rsidRPr="000B3827">
              <w:rPr>
                <w:sz w:val="19"/>
                <w:szCs w:val="19"/>
              </w:rPr>
              <w:t>53%</w:t>
            </w:r>
          </w:p>
        </w:tc>
      </w:tr>
      <w:tr w:rsidR="008E0B2D" w:rsidRPr="001A5860" w14:paraId="648B1C85" w14:textId="77777777" w:rsidTr="008E0B2D">
        <w:trPr>
          <w:trHeight w:val="269"/>
        </w:trPr>
        <w:tc>
          <w:tcPr>
            <w:tcW w:w="3804" w:type="dxa"/>
          </w:tcPr>
          <w:p w14:paraId="4F92D216" w14:textId="20752A34" w:rsidR="008E0B2D" w:rsidRPr="000B3827" w:rsidRDefault="009F6A2A" w:rsidP="000B3827">
            <w:pPr>
              <w:rPr>
                <w:szCs w:val="19"/>
              </w:rPr>
            </w:pPr>
            <w:r w:rsidRPr="009F6A2A">
              <w:rPr>
                <w:sz w:val="19"/>
                <w:szCs w:val="19"/>
              </w:rPr>
              <w:t>F</w:t>
            </w:r>
            <w:r w:rsidR="008E0B2D" w:rsidRPr="000B3827">
              <w:rPr>
                <w:sz w:val="19"/>
                <w:szCs w:val="19"/>
              </w:rPr>
              <w:t>atigue</w:t>
            </w:r>
          </w:p>
        </w:tc>
        <w:tc>
          <w:tcPr>
            <w:tcW w:w="2849" w:type="dxa"/>
          </w:tcPr>
          <w:p w14:paraId="4E927B25" w14:textId="77777777" w:rsidR="008E0B2D" w:rsidRPr="000B3827" w:rsidRDefault="008E0B2D" w:rsidP="000B3827">
            <w:pPr>
              <w:rPr>
                <w:szCs w:val="19"/>
              </w:rPr>
            </w:pPr>
            <w:r w:rsidRPr="000B3827">
              <w:rPr>
                <w:sz w:val="19"/>
                <w:szCs w:val="19"/>
              </w:rPr>
              <w:t>39%</w:t>
            </w:r>
          </w:p>
        </w:tc>
      </w:tr>
      <w:tr w:rsidR="008E0B2D" w:rsidRPr="001A5860" w14:paraId="76DF574F" w14:textId="77777777" w:rsidTr="008E0B2D">
        <w:trPr>
          <w:trHeight w:val="269"/>
        </w:trPr>
        <w:tc>
          <w:tcPr>
            <w:tcW w:w="3804" w:type="dxa"/>
          </w:tcPr>
          <w:p w14:paraId="47D2119A" w14:textId="77777777" w:rsidR="008E0B2D" w:rsidRPr="000B3827" w:rsidRDefault="008E0B2D" w:rsidP="000B3827">
            <w:pPr>
              <w:rPr>
                <w:szCs w:val="19"/>
              </w:rPr>
            </w:pPr>
            <w:r w:rsidRPr="000B3827">
              <w:rPr>
                <w:sz w:val="19"/>
                <w:szCs w:val="19"/>
              </w:rPr>
              <w:t>decreased appetite</w:t>
            </w:r>
          </w:p>
        </w:tc>
        <w:tc>
          <w:tcPr>
            <w:tcW w:w="2849" w:type="dxa"/>
          </w:tcPr>
          <w:p w14:paraId="60FA2160" w14:textId="77777777" w:rsidR="008E0B2D" w:rsidRPr="000B3827" w:rsidRDefault="008E0B2D" w:rsidP="000B3827">
            <w:pPr>
              <w:rPr>
                <w:szCs w:val="19"/>
              </w:rPr>
            </w:pPr>
            <w:r w:rsidRPr="000B3827">
              <w:rPr>
                <w:sz w:val="19"/>
                <w:szCs w:val="19"/>
              </w:rPr>
              <w:t>35%</w:t>
            </w:r>
          </w:p>
        </w:tc>
      </w:tr>
      <w:tr w:rsidR="008E0B2D" w:rsidRPr="001A5860" w14:paraId="4A37F436" w14:textId="77777777" w:rsidTr="008E0B2D">
        <w:trPr>
          <w:trHeight w:val="269"/>
        </w:trPr>
        <w:tc>
          <w:tcPr>
            <w:tcW w:w="3804" w:type="dxa"/>
          </w:tcPr>
          <w:p w14:paraId="71256011" w14:textId="28E73D39" w:rsidR="008E0B2D" w:rsidRPr="000B3827" w:rsidRDefault="009F6A2A" w:rsidP="000B3827">
            <w:pPr>
              <w:rPr>
                <w:szCs w:val="19"/>
              </w:rPr>
            </w:pPr>
            <w:r w:rsidRPr="009F6A2A">
              <w:rPr>
                <w:sz w:val="19"/>
                <w:szCs w:val="19"/>
              </w:rPr>
              <w:t>A</w:t>
            </w:r>
            <w:r w:rsidR="008E0B2D" w:rsidRPr="000B3827">
              <w:rPr>
                <w:sz w:val="19"/>
                <w:szCs w:val="19"/>
              </w:rPr>
              <w:t>naemia</w:t>
            </w:r>
          </w:p>
        </w:tc>
        <w:tc>
          <w:tcPr>
            <w:tcW w:w="2849" w:type="dxa"/>
          </w:tcPr>
          <w:p w14:paraId="41E35B72" w14:textId="77777777" w:rsidR="008E0B2D" w:rsidRPr="000B3827" w:rsidRDefault="008E0B2D" w:rsidP="000B3827">
            <w:pPr>
              <w:rPr>
                <w:szCs w:val="19"/>
              </w:rPr>
            </w:pPr>
            <w:r w:rsidRPr="000B3827">
              <w:rPr>
                <w:sz w:val="19"/>
                <w:szCs w:val="19"/>
              </w:rPr>
              <w:t>32%</w:t>
            </w:r>
          </w:p>
        </w:tc>
      </w:tr>
      <w:tr w:rsidR="008E0B2D" w:rsidRPr="001A5860" w14:paraId="6988FFB2" w14:textId="77777777" w:rsidTr="008E0B2D">
        <w:trPr>
          <w:trHeight w:val="52"/>
        </w:trPr>
        <w:tc>
          <w:tcPr>
            <w:tcW w:w="3804" w:type="dxa"/>
          </w:tcPr>
          <w:p w14:paraId="5FA0A69D" w14:textId="190FB398" w:rsidR="008E0B2D" w:rsidRPr="000B3827" w:rsidRDefault="009F6A2A" w:rsidP="000B3827">
            <w:pPr>
              <w:rPr>
                <w:szCs w:val="19"/>
              </w:rPr>
            </w:pPr>
            <w:r w:rsidRPr="009F6A2A">
              <w:rPr>
                <w:sz w:val="19"/>
                <w:szCs w:val="19"/>
              </w:rPr>
              <w:t>D</w:t>
            </w:r>
            <w:r w:rsidR="008E0B2D" w:rsidRPr="000B3827">
              <w:rPr>
                <w:sz w:val="19"/>
                <w:szCs w:val="19"/>
              </w:rPr>
              <w:t>iarrhoea</w:t>
            </w:r>
          </w:p>
        </w:tc>
        <w:tc>
          <w:tcPr>
            <w:tcW w:w="2849" w:type="dxa"/>
          </w:tcPr>
          <w:p w14:paraId="3124BD90" w14:textId="77777777" w:rsidR="008E0B2D" w:rsidRPr="000B3827" w:rsidRDefault="008E0B2D" w:rsidP="000B3827">
            <w:pPr>
              <w:rPr>
                <w:szCs w:val="19"/>
              </w:rPr>
            </w:pPr>
            <w:r w:rsidRPr="000B3827">
              <w:rPr>
                <w:sz w:val="19"/>
                <w:szCs w:val="19"/>
              </w:rPr>
              <w:t>21%</w:t>
            </w:r>
          </w:p>
        </w:tc>
      </w:tr>
      <w:tr w:rsidR="008E0B2D" w:rsidRPr="001A5860" w14:paraId="60C817E5" w14:textId="77777777" w:rsidTr="008E0B2D">
        <w:trPr>
          <w:trHeight w:val="269"/>
        </w:trPr>
        <w:tc>
          <w:tcPr>
            <w:tcW w:w="3804" w:type="dxa"/>
          </w:tcPr>
          <w:p w14:paraId="47C64D52" w14:textId="1B675158" w:rsidR="008E0B2D" w:rsidRPr="000B3827" w:rsidRDefault="008E0B2D" w:rsidP="000B3827">
            <w:pPr>
              <w:rPr>
                <w:b/>
                <w:szCs w:val="19"/>
              </w:rPr>
            </w:pPr>
            <w:r w:rsidRPr="000B3827">
              <w:rPr>
                <w:b/>
                <w:sz w:val="19"/>
                <w:szCs w:val="19"/>
              </w:rPr>
              <w:t xml:space="preserve">Any </w:t>
            </w:r>
            <w:r w:rsidR="009F6A2A">
              <w:rPr>
                <w:b/>
                <w:sz w:val="19"/>
                <w:szCs w:val="19"/>
              </w:rPr>
              <w:t>serious adverse events (SAEs)</w:t>
            </w:r>
          </w:p>
        </w:tc>
        <w:tc>
          <w:tcPr>
            <w:tcW w:w="2849" w:type="dxa"/>
          </w:tcPr>
          <w:p w14:paraId="1D910DB8" w14:textId="6E0F4931" w:rsidR="008E0B2D" w:rsidRPr="000B3827" w:rsidRDefault="008E0B2D" w:rsidP="000B3827">
            <w:pPr>
              <w:rPr>
                <w:szCs w:val="19"/>
              </w:rPr>
            </w:pPr>
            <w:r w:rsidRPr="000B3827">
              <w:rPr>
                <w:sz w:val="19"/>
                <w:szCs w:val="19"/>
              </w:rPr>
              <w:t>48%</w:t>
            </w:r>
          </w:p>
        </w:tc>
      </w:tr>
      <w:tr w:rsidR="008E0B2D" w:rsidRPr="001A5860" w14:paraId="5CC13A65" w14:textId="77777777" w:rsidTr="008E0B2D">
        <w:trPr>
          <w:trHeight w:val="269"/>
        </w:trPr>
        <w:tc>
          <w:tcPr>
            <w:tcW w:w="6653" w:type="dxa"/>
            <w:gridSpan w:val="2"/>
          </w:tcPr>
          <w:p w14:paraId="7749940A" w14:textId="77777777" w:rsidR="008E0B2D" w:rsidRPr="000B3827" w:rsidRDefault="008E0B2D" w:rsidP="000B3827">
            <w:pPr>
              <w:rPr>
                <w:b/>
                <w:szCs w:val="19"/>
              </w:rPr>
            </w:pPr>
            <w:r w:rsidRPr="000B3827">
              <w:rPr>
                <w:b/>
                <w:sz w:val="19"/>
                <w:szCs w:val="19"/>
              </w:rPr>
              <w:t xml:space="preserve">Most common SAEs </w:t>
            </w:r>
          </w:p>
        </w:tc>
      </w:tr>
      <w:tr w:rsidR="008E0B2D" w:rsidRPr="001A5860" w14:paraId="630BAF1F" w14:textId="77777777" w:rsidTr="008E0B2D">
        <w:trPr>
          <w:trHeight w:val="269"/>
        </w:trPr>
        <w:tc>
          <w:tcPr>
            <w:tcW w:w="3804" w:type="dxa"/>
          </w:tcPr>
          <w:p w14:paraId="7BEA0AC8" w14:textId="606910BA" w:rsidR="008E0B2D" w:rsidRPr="000B3827" w:rsidRDefault="009F6A2A" w:rsidP="000B3827">
            <w:pPr>
              <w:rPr>
                <w:szCs w:val="19"/>
              </w:rPr>
            </w:pPr>
            <w:r w:rsidRPr="009F6A2A">
              <w:rPr>
                <w:sz w:val="19"/>
                <w:szCs w:val="19"/>
              </w:rPr>
              <w:t>P</w:t>
            </w:r>
            <w:r w:rsidR="008E0B2D" w:rsidRPr="000B3827">
              <w:rPr>
                <w:sz w:val="19"/>
                <w:szCs w:val="19"/>
              </w:rPr>
              <w:t>yrexia</w:t>
            </w:r>
          </w:p>
        </w:tc>
        <w:tc>
          <w:tcPr>
            <w:tcW w:w="2849" w:type="dxa"/>
          </w:tcPr>
          <w:p w14:paraId="5CAC8F8B" w14:textId="77777777" w:rsidR="008E0B2D" w:rsidRPr="000B3827" w:rsidRDefault="008E0B2D" w:rsidP="000B3827">
            <w:pPr>
              <w:rPr>
                <w:szCs w:val="19"/>
              </w:rPr>
            </w:pPr>
            <w:r w:rsidRPr="000B3827">
              <w:rPr>
                <w:sz w:val="19"/>
                <w:szCs w:val="19"/>
              </w:rPr>
              <w:t>7.1%</w:t>
            </w:r>
          </w:p>
        </w:tc>
      </w:tr>
      <w:tr w:rsidR="008E0B2D" w:rsidRPr="001A5860" w14:paraId="3C2E3797" w14:textId="77777777" w:rsidTr="008E0B2D">
        <w:trPr>
          <w:trHeight w:val="269"/>
        </w:trPr>
        <w:tc>
          <w:tcPr>
            <w:tcW w:w="3804" w:type="dxa"/>
          </w:tcPr>
          <w:p w14:paraId="524A1A1E" w14:textId="37A2E8FE" w:rsidR="008E0B2D" w:rsidRPr="000B3827" w:rsidRDefault="009F6A2A" w:rsidP="000B3827">
            <w:pPr>
              <w:rPr>
                <w:szCs w:val="19"/>
              </w:rPr>
            </w:pPr>
            <w:r w:rsidRPr="009F6A2A">
              <w:rPr>
                <w:sz w:val="19"/>
                <w:szCs w:val="19"/>
              </w:rPr>
              <w:t>P</w:t>
            </w:r>
            <w:r w:rsidR="008E0B2D" w:rsidRPr="000B3827">
              <w:rPr>
                <w:sz w:val="19"/>
                <w:szCs w:val="19"/>
              </w:rPr>
              <w:t>neumonia</w:t>
            </w:r>
          </w:p>
        </w:tc>
        <w:tc>
          <w:tcPr>
            <w:tcW w:w="2849" w:type="dxa"/>
          </w:tcPr>
          <w:p w14:paraId="7FD8D347" w14:textId="77777777" w:rsidR="008E0B2D" w:rsidRPr="000B3827" w:rsidRDefault="008E0B2D" w:rsidP="000B3827">
            <w:pPr>
              <w:rPr>
                <w:szCs w:val="19"/>
              </w:rPr>
            </w:pPr>
            <w:r w:rsidRPr="000B3827">
              <w:rPr>
                <w:sz w:val="19"/>
                <w:szCs w:val="19"/>
              </w:rPr>
              <w:t>4.7%</w:t>
            </w:r>
          </w:p>
        </w:tc>
      </w:tr>
      <w:tr w:rsidR="008E0B2D" w:rsidRPr="001A5860" w14:paraId="1BA3C611" w14:textId="77777777" w:rsidTr="008E0B2D">
        <w:trPr>
          <w:trHeight w:val="269"/>
        </w:trPr>
        <w:tc>
          <w:tcPr>
            <w:tcW w:w="3804" w:type="dxa"/>
          </w:tcPr>
          <w:p w14:paraId="54176BCE" w14:textId="70AC7CB9" w:rsidR="008E0B2D" w:rsidRPr="000B3827" w:rsidRDefault="009F6A2A" w:rsidP="000B3827">
            <w:pPr>
              <w:rPr>
                <w:szCs w:val="19"/>
              </w:rPr>
            </w:pPr>
            <w:r w:rsidRPr="009F6A2A">
              <w:rPr>
                <w:sz w:val="19"/>
                <w:szCs w:val="19"/>
              </w:rPr>
              <w:t>S</w:t>
            </w:r>
            <w:r w:rsidR="008E0B2D" w:rsidRPr="000B3827">
              <w:rPr>
                <w:sz w:val="19"/>
                <w:szCs w:val="19"/>
              </w:rPr>
              <w:t>epsis</w:t>
            </w:r>
          </w:p>
        </w:tc>
        <w:tc>
          <w:tcPr>
            <w:tcW w:w="2849" w:type="dxa"/>
          </w:tcPr>
          <w:p w14:paraId="218F9069" w14:textId="77777777" w:rsidR="008E0B2D" w:rsidRPr="000B3827" w:rsidRDefault="008E0B2D" w:rsidP="000B3827">
            <w:pPr>
              <w:rPr>
                <w:szCs w:val="19"/>
              </w:rPr>
            </w:pPr>
            <w:r w:rsidRPr="000B3827">
              <w:rPr>
                <w:sz w:val="19"/>
                <w:szCs w:val="19"/>
              </w:rPr>
              <w:t>4.7%</w:t>
            </w:r>
          </w:p>
        </w:tc>
      </w:tr>
      <w:tr w:rsidR="008E0B2D" w:rsidRPr="001A5860" w14:paraId="4DC42338" w14:textId="77777777" w:rsidTr="008E0B2D">
        <w:trPr>
          <w:trHeight w:val="269"/>
        </w:trPr>
        <w:tc>
          <w:tcPr>
            <w:tcW w:w="3804" w:type="dxa"/>
          </w:tcPr>
          <w:p w14:paraId="74F23D4F" w14:textId="77777777" w:rsidR="008E0B2D" w:rsidRPr="000B3827" w:rsidRDefault="008E0B2D" w:rsidP="000B3827">
            <w:pPr>
              <w:rPr>
                <w:b/>
                <w:szCs w:val="19"/>
              </w:rPr>
            </w:pPr>
            <w:r w:rsidRPr="000B3827">
              <w:rPr>
                <w:b/>
                <w:sz w:val="19"/>
                <w:szCs w:val="19"/>
              </w:rPr>
              <w:t xml:space="preserve">Any treatment-related SAE </w:t>
            </w:r>
          </w:p>
        </w:tc>
        <w:tc>
          <w:tcPr>
            <w:tcW w:w="2849" w:type="dxa"/>
          </w:tcPr>
          <w:p w14:paraId="0C26F650" w14:textId="77777777" w:rsidR="008E0B2D" w:rsidRPr="000B3827" w:rsidRDefault="008E0B2D" w:rsidP="000B3827">
            <w:pPr>
              <w:rPr>
                <w:szCs w:val="19"/>
              </w:rPr>
            </w:pPr>
            <w:r w:rsidRPr="000B3827">
              <w:rPr>
                <w:sz w:val="19"/>
                <w:szCs w:val="19"/>
              </w:rPr>
              <w:t>20.5%</w:t>
            </w:r>
          </w:p>
        </w:tc>
      </w:tr>
      <w:tr w:rsidR="008E0B2D" w:rsidRPr="001A5860" w14:paraId="0861CC56" w14:textId="77777777" w:rsidTr="008E0B2D">
        <w:trPr>
          <w:trHeight w:val="269"/>
        </w:trPr>
        <w:tc>
          <w:tcPr>
            <w:tcW w:w="3804" w:type="dxa"/>
          </w:tcPr>
          <w:p w14:paraId="7887F21C" w14:textId="77777777" w:rsidR="008E0B2D" w:rsidRPr="000B3827" w:rsidRDefault="008E0B2D" w:rsidP="000B3827">
            <w:pPr>
              <w:rPr>
                <w:b/>
                <w:szCs w:val="19"/>
              </w:rPr>
            </w:pPr>
            <w:r w:rsidRPr="000B3827">
              <w:rPr>
                <w:b/>
                <w:sz w:val="19"/>
                <w:szCs w:val="19"/>
              </w:rPr>
              <w:t>Fatal AEs</w:t>
            </w:r>
          </w:p>
        </w:tc>
        <w:tc>
          <w:tcPr>
            <w:tcW w:w="2849" w:type="dxa"/>
          </w:tcPr>
          <w:p w14:paraId="1260030D" w14:textId="77777777" w:rsidR="008E0B2D" w:rsidRPr="000B3827" w:rsidRDefault="008E0B2D" w:rsidP="000B3827">
            <w:pPr>
              <w:rPr>
                <w:szCs w:val="19"/>
              </w:rPr>
            </w:pPr>
            <w:r w:rsidRPr="000B3827">
              <w:rPr>
                <w:sz w:val="19"/>
                <w:szCs w:val="19"/>
              </w:rPr>
              <w:t>3.9%</w:t>
            </w:r>
          </w:p>
        </w:tc>
      </w:tr>
    </w:tbl>
    <w:p w14:paraId="3235E20F" w14:textId="77777777" w:rsidR="008E0B2D" w:rsidRDefault="008E0B2D" w:rsidP="008E0B2D">
      <w:pPr>
        <w:pStyle w:val="TableDescription"/>
      </w:pPr>
      <w:r w:rsidRPr="004621A1">
        <w:rPr>
          <w:vertAlign w:val="superscript"/>
        </w:rPr>
        <w:t>a</w:t>
      </w:r>
      <w:r w:rsidRPr="004621A1">
        <w:t xml:space="preserve"> </w:t>
      </w:r>
      <w:proofErr w:type="gramStart"/>
      <w:r w:rsidRPr="004621A1">
        <w:t>preferred terms of dizziness</w:t>
      </w:r>
      <w:proofErr w:type="gramEnd"/>
      <w:r w:rsidRPr="004621A1">
        <w:t xml:space="preserve">, </w:t>
      </w:r>
      <w:proofErr w:type="spellStart"/>
      <w:r w:rsidRPr="004621A1">
        <w:t>confusional</w:t>
      </w:r>
      <w:proofErr w:type="spellEnd"/>
      <w:r w:rsidRPr="004621A1">
        <w:t xml:space="preserve"> state, delirium, syncope, and depressed level of consciousness</w:t>
      </w:r>
    </w:p>
    <w:p w14:paraId="582E1CCF" w14:textId="76E6ABA2" w:rsidR="008E0B2D" w:rsidRDefault="008E0B2D" w:rsidP="008E0B2D">
      <w:r>
        <w:t>The incidence of treatment</w:t>
      </w:r>
      <w:r w:rsidR="00576080">
        <w:t xml:space="preserve"> </w:t>
      </w:r>
      <w:r>
        <w:t>related AEs leading to treatment discontinuation was 7.9%, most commonly thrombocytopenia (1.6%) and nausea (1.6%).</w:t>
      </w:r>
    </w:p>
    <w:p w14:paraId="29AA5CC7" w14:textId="39A8F241" w:rsidR="008E0B2D" w:rsidRPr="008E0B2D" w:rsidRDefault="008E0B2D" w:rsidP="008E0B2D">
      <w:pPr>
        <w:rPr>
          <w:rFonts w:asciiTheme="minorHAnsi" w:eastAsiaTheme="minorHAnsi" w:hAnsiTheme="minorHAnsi" w:cs="Calibri"/>
          <w:color w:val="000000"/>
        </w:rPr>
      </w:pPr>
      <w:r w:rsidRPr="001D2D66">
        <w:rPr>
          <w:rFonts w:asciiTheme="minorHAnsi" w:eastAsiaTheme="minorHAnsi" w:hAnsiTheme="minorHAnsi" w:cs="Calibri"/>
          <w:color w:val="000000"/>
        </w:rPr>
        <w:t xml:space="preserve">None of the </w:t>
      </w:r>
      <w:r>
        <w:rPr>
          <w:rFonts w:asciiTheme="minorHAnsi" w:eastAsiaTheme="minorHAnsi" w:hAnsiTheme="minorHAnsi" w:cs="Calibri"/>
          <w:color w:val="000000"/>
        </w:rPr>
        <w:t>five</w:t>
      </w:r>
      <w:r w:rsidRPr="001D2D66">
        <w:rPr>
          <w:rFonts w:asciiTheme="minorHAnsi" w:eastAsiaTheme="minorHAnsi" w:hAnsiTheme="minorHAnsi" w:cs="Calibri"/>
          <w:color w:val="000000"/>
        </w:rPr>
        <w:t xml:space="preserve"> </w:t>
      </w:r>
      <w:r>
        <w:rPr>
          <w:rFonts w:asciiTheme="minorHAnsi" w:eastAsiaTheme="minorHAnsi" w:hAnsiTheme="minorHAnsi" w:cs="Calibri"/>
          <w:color w:val="000000"/>
        </w:rPr>
        <w:t>deaths</w:t>
      </w:r>
      <w:r w:rsidRPr="001D2D66">
        <w:rPr>
          <w:rFonts w:asciiTheme="minorHAnsi" w:eastAsiaTheme="minorHAnsi" w:hAnsiTheme="minorHAnsi" w:cs="Calibri"/>
          <w:color w:val="000000"/>
        </w:rPr>
        <w:t xml:space="preserve"> (</w:t>
      </w:r>
      <w:r>
        <w:rPr>
          <w:rFonts w:asciiTheme="minorHAnsi" w:eastAsiaTheme="minorHAnsi" w:hAnsiTheme="minorHAnsi" w:cs="Calibri"/>
          <w:color w:val="000000"/>
        </w:rPr>
        <w:t>one</w:t>
      </w:r>
      <w:r w:rsidRPr="001D2D66">
        <w:rPr>
          <w:rFonts w:asciiTheme="minorHAnsi" w:eastAsiaTheme="minorHAnsi" w:hAnsiTheme="minorHAnsi" w:cs="Calibri"/>
          <w:color w:val="000000"/>
        </w:rPr>
        <w:t xml:space="preserve"> each of sepsis, pulmonary sepsis, septic shock, cerebrovascular accident, and acute respiratory distress syndrome) </w:t>
      </w:r>
      <w:proofErr w:type="gramStart"/>
      <w:r w:rsidRPr="001D2D66">
        <w:rPr>
          <w:rFonts w:asciiTheme="minorHAnsi" w:eastAsiaTheme="minorHAnsi" w:hAnsiTheme="minorHAnsi" w:cs="Calibri"/>
          <w:color w:val="000000"/>
        </w:rPr>
        <w:t>was considered to be</w:t>
      </w:r>
      <w:proofErr w:type="gramEnd"/>
      <w:r w:rsidRPr="001D2D66">
        <w:rPr>
          <w:rFonts w:asciiTheme="minorHAnsi" w:eastAsiaTheme="minorHAnsi" w:hAnsiTheme="minorHAnsi" w:cs="Calibri"/>
          <w:color w:val="000000"/>
        </w:rPr>
        <w:t xml:space="preserve"> related to study treatment.</w:t>
      </w:r>
    </w:p>
    <w:p w14:paraId="01D358A2" w14:textId="77777777" w:rsidR="008E0B2D" w:rsidRDefault="008E0B2D" w:rsidP="008E0B2D">
      <w:r>
        <w:t>Other adverse events</w:t>
      </w:r>
    </w:p>
    <w:p w14:paraId="23FBFF5E" w14:textId="77777777" w:rsidR="008E0B2D" w:rsidRDefault="008E0B2D" w:rsidP="008E0B2D">
      <w:r>
        <w:t>Fatigue</w:t>
      </w:r>
    </w:p>
    <w:p w14:paraId="15807BB1" w14:textId="0A535EA4" w:rsidR="008E0B2D" w:rsidRDefault="008E0B2D" w:rsidP="008E0B2D">
      <w:pPr>
        <w:pStyle w:val="ListBullet"/>
      </w:pPr>
      <w:r>
        <w:t>AE: 24.7%, TRAEs: 36.2%, no SAEs</w:t>
      </w:r>
    </w:p>
    <w:p w14:paraId="7D15E4CD" w14:textId="77777777" w:rsidR="008E0B2D" w:rsidRDefault="008E0B2D" w:rsidP="008E0B2D">
      <w:r>
        <w:t>Decreased appetite</w:t>
      </w:r>
    </w:p>
    <w:p w14:paraId="4BF792D2" w14:textId="3B626590" w:rsidR="008E0B2D" w:rsidRDefault="008E0B2D" w:rsidP="004549BC">
      <w:pPr>
        <w:pStyle w:val="ListBullet"/>
      </w:pPr>
      <w:r>
        <w:t>AEs: 37.8%, TRAEs: 36.2%, no SAEs</w:t>
      </w:r>
    </w:p>
    <w:p w14:paraId="73C84FFD" w14:textId="77777777" w:rsidR="008E0B2D" w:rsidRDefault="008E0B2D" w:rsidP="008E0B2D">
      <w:r>
        <w:t>Nausea</w:t>
      </w:r>
    </w:p>
    <w:p w14:paraId="66B1849C" w14:textId="1EF765E2" w:rsidR="008E0B2D" w:rsidRDefault="008E0B2D" w:rsidP="004549BC">
      <w:pPr>
        <w:pStyle w:val="ListBullet"/>
      </w:pPr>
      <w:r>
        <w:t xml:space="preserve">AEs: 58.3%, TRAEs: 52.8%, TRSAEs: 1.6%, none </w:t>
      </w:r>
      <w:r w:rsidR="00553688">
        <w:t xml:space="preserve">was </w:t>
      </w:r>
      <w:r>
        <w:t>fatal</w:t>
      </w:r>
    </w:p>
    <w:p w14:paraId="43393D7F" w14:textId="77777777" w:rsidR="008E0B2D" w:rsidRDefault="008E0B2D" w:rsidP="008E0B2D">
      <w:r>
        <w:t>Vomiting</w:t>
      </w:r>
    </w:p>
    <w:p w14:paraId="05F90F66" w14:textId="7FEFE617" w:rsidR="008E0B2D" w:rsidRDefault="008E0B2D" w:rsidP="004549BC">
      <w:pPr>
        <w:pStyle w:val="ListBullet"/>
      </w:pPr>
      <w:r>
        <w:t xml:space="preserve">AEs: 29.1%, TRAEs: 26.8%, TRSAEs: 1.6%, non </w:t>
      </w:r>
      <w:r w:rsidR="00553688">
        <w:t xml:space="preserve">was </w:t>
      </w:r>
      <w:r>
        <w:t>fatal</w:t>
      </w:r>
    </w:p>
    <w:p w14:paraId="3ED082DD" w14:textId="177BD83B" w:rsidR="008E0B2D" w:rsidRDefault="008E0B2D" w:rsidP="008E0B2D">
      <w:r>
        <w:lastRenderedPageBreak/>
        <w:t>Neurological</w:t>
      </w:r>
    </w:p>
    <w:p w14:paraId="603924B6" w14:textId="02B45837" w:rsidR="008E0B2D" w:rsidRDefault="008E0B2D" w:rsidP="004549BC">
      <w:pPr>
        <w:pStyle w:val="ListBullet"/>
      </w:pPr>
      <w:r>
        <w:t xml:space="preserve">TRAEs: 10.2%, TRSAEs: 1.6%, none </w:t>
      </w:r>
      <w:r w:rsidR="00553688">
        <w:t xml:space="preserve">was </w:t>
      </w:r>
      <w:r>
        <w:t>fatal</w:t>
      </w:r>
    </w:p>
    <w:p w14:paraId="0B423E73" w14:textId="2D35FF2B" w:rsidR="008E0B2D" w:rsidRDefault="008E0B2D" w:rsidP="008E0B2D">
      <w:r>
        <w:t xml:space="preserve">Ophthalmology (total </w:t>
      </w:r>
      <w:proofErr w:type="spellStart"/>
      <w:r>
        <w:t>selinexor</w:t>
      </w:r>
      <w:proofErr w:type="spellEnd"/>
      <w:r>
        <w:t xml:space="preserve"> 60 mg DLBCL data set, n</w:t>
      </w:r>
      <w:r w:rsidR="00576080">
        <w:t xml:space="preserve"> </w:t>
      </w:r>
      <w:r>
        <w:t>=</w:t>
      </w:r>
      <w:r w:rsidR="00576080">
        <w:t xml:space="preserve"> </w:t>
      </w:r>
      <w:r>
        <w:t>181)</w:t>
      </w:r>
    </w:p>
    <w:p w14:paraId="07627D93" w14:textId="05449805" w:rsidR="008E0B2D" w:rsidRDefault="008E0B2D" w:rsidP="004549BC">
      <w:pPr>
        <w:pStyle w:val="ListBullet"/>
      </w:pPr>
      <w:r>
        <w:t>Blurred vision AEs: 11.6%</w:t>
      </w:r>
    </w:p>
    <w:p w14:paraId="687821EE" w14:textId="552B3AC1" w:rsidR="008E0B2D" w:rsidRDefault="008E0B2D" w:rsidP="004549BC">
      <w:pPr>
        <w:pStyle w:val="ListBullet"/>
      </w:pPr>
      <w:r>
        <w:t>Blurred vision TRAEs: 7.7%</w:t>
      </w:r>
    </w:p>
    <w:p w14:paraId="63BA83C5" w14:textId="17C78AF8" w:rsidR="008E0B2D" w:rsidRDefault="008E0B2D" w:rsidP="004549BC">
      <w:pPr>
        <w:pStyle w:val="ListBullet"/>
      </w:pPr>
      <w:r>
        <w:t>Cataract AEs: 3.3%</w:t>
      </w:r>
    </w:p>
    <w:p w14:paraId="055E1461" w14:textId="7794D605" w:rsidR="008E0B2D" w:rsidRDefault="008E0B2D" w:rsidP="004549BC">
      <w:pPr>
        <w:pStyle w:val="ListBullet"/>
      </w:pPr>
      <w:r>
        <w:t>Cataract TRAEs: 2.2%</w:t>
      </w:r>
    </w:p>
    <w:p w14:paraId="054091BA" w14:textId="67625EBD" w:rsidR="008E0B2D" w:rsidRDefault="008E0B2D" w:rsidP="004549BC">
      <w:pPr>
        <w:pStyle w:val="ListBullet"/>
      </w:pPr>
      <w:r>
        <w:t>Cataract TRSAEs: 0.6%</w:t>
      </w:r>
    </w:p>
    <w:p w14:paraId="192340CC" w14:textId="77777777" w:rsidR="008E0B2D" w:rsidRDefault="008E0B2D" w:rsidP="008E0B2D">
      <w:r>
        <w:t>Laboratory AEs</w:t>
      </w:r>
    </w:p>
    <w:p w14:paraId="78799CBC" w14:textId="7679DEC5" w:rsidR="008E0B2D" w:rsidRDefault="008E0B2D" w:rsidP="008E0B2D">
      <w:r>
        <w:t>Hyponatraemia</w:t>
      </w:r>
    </w:p>
    <w:p w14:paraId="6C7ED533" w14:textId="05529240" w:rsidR="008E0B2D" w:rsidRDefault="008E0B2D" w:rsidP="004549BC">
      <w:pPr>
        <w:pStyle w:val="ListBullet"/>
      </w:pPr>
      <w:r>
        <w:t>Baseline to new maximum Grade 3 or 4: 0.8%</w:t>
      </w:r>
    </w:p>
    <w:p w14:paraId="58C5FDF0" w14:textId="3C64118B" w:rsidR="008E0B2D" w:rsidRDefault="008E0B2D" w:rsidP="004549BC">
      <w:pPr>
        <w:pStyle w:val="ListBullet"/>
      </w:pPr>
      <w:r>
        <w:t>Considered AE: 11.0%, TRAE: 7.9%</w:t>
      </w:r>
    </w:p>
    <w:p w14:paraId="3EABB621" w14:textId="41D44797" w:rsidR="008E0B2D" w:rsidRDefault="008E0B2D" w:rsidP="004549BC">
      <w:pPr>
        <w:pStyle w:val="ListBullet"/>
      </w:pPr>
      <w:r>
        <w:t xml:space="preserve">SAE of hyponatraemia: 0.8%, none </w:t>
      </w:r>
      <w:r w:rsidR="00553688">
        <w:t xml:space="preserve">was </w:t>
      </w:r>
      <w:r>
        <w:t>fatal</w:t>
      </w:r>
    </w:p>
    <w:p w14:paraId="5C76F6F0" w14:textId="77777777" w:rsidR="008E0B2D" w:rsidRDefault="008E0B2D" w:rsidP="008E0B2D">
      <w:r>
        <w:t>Haematology</w:t>
      </w:r>
    </w:p>
    <w:p w14:paraId="5AEC450E" w14:textId="77777777" w:rsidR="008E0B2D" w:rsidRDefault="008E0B2D" w:rsidP="008E0B2D">
      <w:r>
        <w:t>Anaemia</w:t>
      </w:r>
    </w:p>
    <w:p w14:paraId="35220B32" w14:textId="13F9FC3D" w:rsidR="008E0B2D" w:rsidRDefault="008E0B2D" w:rsidP="004549BC">
      <w:pPr>
        <w:pStyle w:val="ListBullet"/>
      </w:pPr>
      <w:r>
        <w:t>AEs: 42.5%, TRAEs: 32%, TRSAEs: 1.6%, none</w:t>
      </w:r>
      <w:r w:rsidR="00553688">
        <w:t xml:space="preserve"> was</w:t>
      </w:r>
      <w:r>
        <w:t xml:space="preserve"> fatal</w:t>
      </w:r>
    </w:p>
    <w:p w14:paraId="76144039" w14:textId="77777777" w:rsidR="008E0B2D" w:rsidRDefault="008E0B2D" w:rsidP="008E0B2D">
      <w:r>
        <w:t>Thrombocytopenia</w:t>
      </w:r>
    </w:p>
    <w:p w14:paraId="01F0BA5B" w14:textId="24575CD4" w:rsidR="008E0B2D" w:rsidRDefault="008E0B2D" w:rsidP="004549BC">
      <w:pPr>
        <w:pStyle w:val="ListBullet"/>
      </w:pPr>
      <w:r>
        <w:t xml:space="preserve">AE: </w:t>
      </w:r>
      <w:proofErr w:type="spellStart"/>
      <w:r>
        <w:t>SVd</w:t>
      </w:r>
      <w:proofErr w:type="spellEnd"/>
      <w:r>
        <w:t xml:space="preserve"> 61.4%, TRAE: 53.5%, TRSAEs: 0.8%, none</w:t>
      </w:r>
      <w:r w:rsidR="00553688">
        <w:t xml:space="preserve"> was</w:t>
      </w:r>
      <w:r>
        <w:t xml:space="preserve"> fatal</w:t>
      </w:r>
    </w:p>
    <w:p w14:paraId="0B29DB0D" w14:textId="77777777" w:rsidR="008E0B2D" w:rsidRDefault="008E0B2D" w:rsidP="008E0B2D">
      <w:r>
        <w:t>Neutropenia</w:t>
      </w:r>
    </w:p>
    <w:p w14:paraId="5FC538B9" w14:textId="52F9438B" w:rsidR="008E0B2D" w:rsidRDefault="008E0B2D" w:rsidP="004549BC">
      <w:pPr>
        <w:pStyle w:val="ListBullet"/>
      </w:pPr>
      <w:r>
        <w:t>Neutropenia or febrile neutropenia AE: 30.7%</w:t>
      </w:r>
    </w:p>
    <w:p w14:paraId="2C1DE81E" w14:textId="22CEBDF4" w:rsidR="008E0B2D" w:rsidRDefault="008E0B2D" w:rsidP="004549BC">
      <w:pPr>
        <w:pStyle w:val="ListBullet"/>
      </w:pPr>
      <w:r>
        <w:t>Neutropenia or febrile neutropenia TRAE: 29.9%</w:t>
      </w:r>
    </w:p>
    <w:p w14:paraId="125E8611" w14:textId="720024FB" w:rsidR="008E0B2D" w:rsidRDefault="008E0B2D" w:rsidP="004549BC">
      <w:pPr>
        <w:pStyle w:val="ListBullet"/>
      </w:pPr>
      <w:r>
        <w:t xml:space="preserve">Neutropenia or febrile neutropenia SAE: 4.7%, none </w:t>
      </w:r>
      <w:r w:rsidR="00553688">
        <w:t xml:space="preserve">was </w:t>
      </w:r>
      <w:r>
        <w:t>fatal</w:t>
      </w:r>
    </w:p>
    <w:p w14:paraId="4462D8AB" w14:textId="18BD977F" w:rsidR="008E0B2D" w:rsidRDefault="008E0B2D" w:rsidP="004549BC">
      <w:r>
        <w:t>Sepsis AEs: 5.5%, TRAEs of sepsis 0.8% (1</w:t>
      </w:r>
      <w:r w:rsidR="00576080">
        <w:t xml:space="preserve"> out of </w:t>
      </w:r>
      <w:r>
        <w:t xml:space="preserve">127), </w:t>
      </w:r>
      <w:r w:rsidR="001A2742">
        <w:t>treatment-related serious adverse events (</w:t>
      </w:r>
      <w:r>
        <w:t>TRSAEs</w:t>
      </w:r>
      <w:r w:rsidR="001A2742">
        <w:t>)</w:t>
      </w:r>
      <w:r>
        <w:t xml:space="preserve"> 0.8%. Three patients (2.4%) died from sepsis considered unrelated to study treatment.</w:t>
      </w:r>
    </w:p>
    <w:p w14:paraId="718A33B6" w14:textId="77777777" w:rsidR="008E7846" w:rsidRDefault="00386150" w:rsidP="007B6132">
      <w:pPr>
        <w:pStyle w:val="Heading3"/>
        <w:rPr>
          <w:lang w:eastAsia="en-AU"/>
        </w:rPr>
      </w:pPr>
      <w:bookmarkStart w:id="55" w:name="_Toc314842514"/>
      <w:bookmarkStart w:id="56" w:name="_Toc119396515"/>
      <w:r>
        <w:rPr>
          <w:lang w:eastAsia="en-AU"/>
        </w:rPr>
        <w:t>Risk m</w:t>
      </w:r>
      <w:r w:rsidR="008E7846">
        <w:rPr>
          <w:lang w:eastAsia="en-AU"/>
        </w:rPr>
        <w:t xml:space="preserve">anagement </w:t>
      </w:r>
      <w:r>
        <w:rPr>
          <w:lang w:eastAsia="en-AU"/>
        </w:rPr>
        <w:t>p</w:t>
      </w:r>
      <w:r w:rsidR="008E7846">
        <w:rPr>
          <w:lang w:eastAsia="en-AU"/>
        </w:rPr>
        <w:t>lan</w:t>
      </w:r>
      <w:bookmarkEnd w:id="55"/>
      <w:bookmarkEnd w:id="56"/>
    </w:p>
    <w:p w14:paraId="572D310B" w14:textId="569BE18C" w:rsidR="00125521" w:rsidRDefault="00125521" w:rsidP="0074163C">
      <w:bookmarkStart w:id="57" w:name="_Toc247691531"/>
      <w:bookmarkStart w:id="58" w:name="_Toc314842515"/>
      <w:bookmarkStart w:id="59" w:name="_Toc196046505"/>
      <w:bookmarkStart w:id="60" w:name="_Toc196046949"/>
      <w:r>
        <w:t>The sponsor</w:t>
      </w:r>
      <w:r w:rsidRPr="00125521">
        <w:t xml:space="preserve"> has submitted EU-</w:t>
      </w:r>
      <w:r w:rsidR="00576080">
        <w:t>risk management plan (</w:t>
      </w:r>
      <w:r w:rsidRPr="00125521">
        <w:t>RMP</w:t>
      </w:r>
      <w:r w:rsidR="00576080">
        <w:t>)</w:t>
      </w:r>
      <w:r w:rsidRPr="00125521">
        <w:t xml:space="preserve"> version 0.3 (date 4</w:t>
      </w:r>
      <w:r w:rsidR="00135255">
        <w:t> </w:t>
      </w:r>
      <w:r w:rsidRPr="00125521">
        <w:t xml:space="preserve">September 2020; </w:t>
      </w:r>
      <w:r w:rsidR="00576080">
        <w:t>data lock point (</w:t>
      </w:r>
      <w:r w:rsidRPr="00125521">
        <w:t>DLP</w:t>
      </w:r>
      <w:r w:rsidR="00576080">
        <w:t>)</w:t>
      </w:r>
      <w:r w:rsidRPr="00125521">
        <w:t xml:space="preserve"> 7 September 2019) and </w:t>
      </w:r>
      <w:r w:rsidR="00576080">
        <w:t>Australia specific annex (</w:t>
      </w:r>
      <w:r w:rsidRPr="00125521">
        <w:t>ASA</w:t>
      </w:r>
      <w:r w:rsidR="00576080">
        <w:t>)</w:t>
      </w:r>
      <w:r w:rsidRPr="00125521">
        <w:t xml:space="preserve"> version 1.0 (date 30 October 2020) in support of this application. At </w:t>
      </w:r>
      <w:r w:rsidR="00135255">
        <w:t xml:space="preserve">the </w:t>
      </w:r>
      <w:r w:rsidR="00576080">
        <w:t>second round of RMP evaluation,</w:t>
      </w:r>
      <w:r w:rsidRPr="00125521">
        <w:t xml:space="preserve"> the sponsor submitted ASA version 1.0 (date 31 May 2021). At </w:t>
      </w:r>
      <w:r w:rsidR="00135255">
        <w:t xml:space="preserve">the </w:t>
      </w:r>
      <w:r w:rsidR="00576080">
        <w:t>third round of RMP evaluation,</w:t>
      </w:r>
      <w:r w:rsidRPr="00125521">
        <w:t xml:space="preserve"> the sponsor submitted EU-RMP version 1.1 (date 29</w:t>
      </w:r>
      <w:r w:rsidR="00135255">
        <w:t> </w:t>
      </w:r>
      <w:r w:rsidRPr="00125521">
        <w:t xml:space="preserve">March </w:t>
      </w:r>
      <w:proofErr w:type="gramStart"/>
      <w:r w:rsidRPr="00125521">
        <w:t>2021;</w:t>
      </w:r>
      <w:proofErr w:type="gramEnd"/>
      <w:r w:rsidRPr="00125521">
        <w:t xml:space="preserve"> DLP 18 February 2020) and ASA version 1.0 (date 25 August 2021). At </w:t>
      </w:r>
      <w:r w:rsidR="00135255">
        <w:t xml:space="preserve">the </w:t>
      </w:r>
      <w:r w:rsidR="00576080">
        <w:t>fourth round of RMP evaluation,</w:t>
      </w:r>
      <w:r w:rsidRPr="00125521">
        <w:t xml:space="preserve"> the sponsor submitted EU-RMP version 2.0 (date 7</w:t>
      </w:r>
      <w:r w:rsidR="00135255">
        <w:t> </w:t>
      </w:r>
      <w:r w:rsidRPr="00125521">
        <w:t>July</w:t>
      </w:r>
      <w:r w:rsidR="00135255">
        <w:t> </w:t>
      </w:r>
      <w:r w:rsidRPr="00125521">
        <w:t>2021; DLP 18</w:t>
      </w:r>
      <w:r w:rsidR="00135255">
        <w:t> </w:t>
      </w:r>
      <w:r w:rsidRPr="00125521">
        <w:t xml:space="preserve">February 2020) and ASA version 1.1 (date 1 October 2021). At </w:t>
      </w:r>
      <w:r w:rsidR="00135255">
        <w:t xml:space="preserve">the </w:t>
      </w:r>
      <w:r w:rsidR="00576080">
        <w:t>fifth round of RMP evaluation,</w:t>
      </w:r>
      <w:r w:rsidRPr="00125521">
        <w:t xml:space="preserve"> the sponsor submitted ASA version 1.2 (date 1 February 2022).</w:t>
      </w:r>
    </w:p>
    <w:p w14:paraId="2A173944" w14:textId="088BD235" w:rsidR="0074163C" w:rsidRDefault="0074163C" w:rsidP="0074163C">
      <w:r>
        <w:t xml:space="preserve">The summary of safety concerns and their associated risk monitoring and mitigation strategies are summarised in </w:t>
      </w:r>
      <w:r w:rsidR="00576080">
        <w:fldChar w:fldCharType="begin"/>
      </w:r>
      <w:r w:rsidR="00576080">
        <w:instrText xml:space="preserve"> REF _Ref97629131 \h </w:instrText>
      </w:r>
      <w:r w:rsidR="00576080">
        <w:fldChar w:fldCharType="separate"/>
      </w:r>
      <w:r w:rsidR="003F6139">
        <w:t xml:space="preserve">Table </w:t>
      </w:r>
      <w:r w:rsidR="003F6139">
        <w:rPr>
          <w:noProof/>
        </w:rPr>
        <w:t>16</w:t>
      </w:r>
      <w:r w:rsidR="00576080">
        <w:fldChar w:fldCharType="end"/>
      </w:r>
      <w:r>
        <w:t xml:space="preserve">. Further information regarding </w:t>
      </w:r>
      <w:r w:rsidR="00CC5044">
        <w:t>the TGA</w:t>
      </w:r>
      <w:r w:rsidR="00BF7063">
        <w:t>’</w:t>
      </w:r>
      <w:r w:rsidR="00CC5044">
        <w:t>s r</w:t>
      </w:r>
      <w:r>
        <w:t xml:space="preserve">isk management approach can be found in </w:t>
      </w:r>
      <w:hyperlink r:id="rId26" w:history="1">
        <w:r w:rsidRPr="0023444E">
          <w:rPr>
            <w:rStyle w:val="Hyperlink"/>
          </w:rPr>
          <w:t>risk management plans for medicines and biologicals</w:t>
        </w:r>
      </w:hyperlink>
      <w:r>
        <w:t xml:space="preserve"> and </w:t>
      </w:r>
      <w:hyperlink r:id="rId27" w:history="1">
        <w:r w:rsidRPr="0023444E">
          <w:rPr>
            <w:rStyle w:val="Hyperlink"/>
          </w:rPr>
          <w:t>the TGA's risk management approach</w:t>
        </w:r>
      </w:hyperlink>
      <w:r>
        <w:t>.</w:t>
      </w:r>
    </w:p>
    <w:p w14:paraId="57FCB32E" w14:textId="0CB64EE9" w:rsidR="0074163C" w:rsidRDefault="0074163C" w:rsidP="0074163C">
      <w:pPr>
        <w:pStyle w:val="TableTitle"/>
      </w:pPr>
      <w:bookmarkStart w:id="61" w:name="_Ref97629131"/>
      <w:r>
        <w:lastRenderedPageBreak/>
        <w:t xml:space="preserve">Table </w:t>
      </w:r>
      <w:r w:rsidR="006737A0">
        <w:fldChar w:fldCharType="begin"/>
      </w:r>
      <w:r w:rsidR="006737A0">
        <w:instrText xml:space="preserve"> SEQ Table \* ARABIC </w:instrText>
      </w:r>
      <w:r w:rsidR="006737A0">
        <w:fldChar w:fldCharType="separate"/>
      </w:r>
      <w:r w:rsidR="00BB2836">
        <w:rPr>
          <w:noProof/>
        </w:rPr>
        <w:t>16</w:t>
      </w:r>
      <w:r w:rsidR="006737A0">
        <w:rPr>
          <w:noProof/>
        </w:rPr>
        <w:fldChar w:fldCharType="end"/>
      </w:r>
      <w:bookmarkEnd w:id="61"/>
      <w:r>
        <w:t>: Summary of safety concerns</w:t>
      </w:r>
    </w:p>
    <w:tbl>
      <w:tblPr>
        <w:tblStyle w:val="TableTGAblue"/>
        <w:tblW w:w="5000" w:type="pct"/>
        <w:tblLook w:val="04A0" w:firstRow="1" w:lastRow="0" w:firstColumn="1" w:lastColumn="0" w:noHBand="0" w:noVBand="1"/>
      </w:tblPr>
      <w:tblGrid>
        <w:gridCol w:w="1497"/>
        <w:gridCol w:w="2313"/>
        <w:gridCol w:w="1060"/>
        <w:gridCol w:w="1282"/>
        <w:gridCol w:w="1060"/>
        <w:gridCol w:w="1282"/>
      </w:tblGrid>
      <w:tr w:rsidR="006718C9" w:rsidRPr="00135255" w14:paraId="55408D36" w14:textId="77777777" w:rsidTr="000B3827">
        <w:trPr>
          <w:cnfStyle w:val="100000000000" w:firstRow="1" w:lastRow="0" w:firstColumn="0" w:lastColumn="0" w:oddVBand="0" w:evenVBand="0" w:oddHBand="0" w:evenHBand="0" w:firstRowFirstColumn="0" w:firstRowLastColumn="0" w:lastRowFirstColumn="0" w:lastRowLastColumn="0"/>
          <w:trHeight w:val="131"/>
        </w:trPr>
        <w:tc>
          <w:tcPr>
            <w:tcW w:w="2460" w:type="pct"/>
            <w:gridSpan w:val="2"/>
            <w:vMerge w:val="restart"/>
            <w:tcBorders>
              <w:top w:val="single" w:sz="4" w:space="0" w:color="auto"/>
              <w:left w:val="single" w:sz="4" w:space="0" w:color="auto"/>
              <w:bottom w:val="single" w:sz="4" w:space="0" w:color="auto"/>
              <w:right w:val="single" w:sz="4" w:space="0" w:color="auto"/>
            </w:tcBorders>
          </w:tcPr>
          <w:p w14:paraId="788A7079" w14:textId="77777777" w:rsidR="00125521" w:rsidRPr="000B3827" w:rsidRDefault="00125521" w:rsidP="000B3827">
            <w:pPr>
              <w:rPr>
                <w:sz w:val="20"/>
                <w:szCs w:val="20"/>
              </w:rPr>
            </w:pPr>
            <w:r w:rsidRPr="000B3827">
              <w:rPr>
                <w:sz w:val="20"/>
                <w:szCs w:val="20"/>
              </w:rPr>
              <w:t>Summary of safety concerns</w:t>
            </w:r>
          </w:p>
        </w:tc>
        <w:tc>
          <w:tcPr>
            <w:tcW w:w="1300" w:type="pct"/>
            <w:gridSpan w:val="2"/>
            <w:tcBorders>
              <w:top w:val="single" w:sz="4" w:space="0" w:color="auto"/>
              <w:left w:val="single" w:sz="4" w:space="0" w:color="auto"/>
              <w:bottom w:val="single" w:sz="4" w:space="0" w:color="auto"/>
              <w:right w:val="single" w:sz="4" w:space="0" w:color="auto"/>
            </w:tcBorders>
          </w:tcPr>
          <w:p w14:paraId="7209C259" w14:textId="77777777" w:rsidR="00125521" w:rsidRPr="000B3827" w:rsidRDefault="00125521" w:rsidP="000B3827">
            <w:pPr>
              <w:ind w:left="0"/>
              <w:rPr>
                <w:sz w:val="20"/>
                <w:szCs w:val="20"/>
              </w:rPr>
            </w:pPr>
            <w:r w:rsidRPr="000B3827">
              <w:rPr>
                <w:sz w:val="20"/>
                <w:szCs w:val="20"/>
              </w:rPr>
              <w:t>Pharmacovigilance</w:t>
            </w:r>
          </w:p>
        </w:tc>
        <w:tc>
          <w:tcPr>
            <w:tcW w:w="1240" w:type="pct"/>
            <w:gridSpan w:val="2"/>
            <w:tcBorders>
              <w:top w:val="single" w:sz="4" w:space="0" w:color="auto"/>
              <w:left w:val="single" w:sz="4" w:space="0" w:color="auto"/>
              <w:bottom w:val="single" w:sz="4" w:space="0" w:color="auto"/>
              <w:right w:val="single" w:sz="4" w:space="0" w:color="auto"/>
            </w:tcBorders>
          </w:tcPr>
          <w:p w14:paraId="7B71BBDA" w14:textId="77777777" w:rsidR="00125521" w:rsidRPr="000B3827" w:rsidRDefault="00125521" w:rsidP="000B3827">
            <w:pPr>
              <w:ind w:left="0"/>
              <w:rPr>
                <w:sz w:val="20"/>
                <w:szCs w:val="20"/>
              </w:rPr>
            </w:pPr>
            <w:r w:rsidRPr="000B3827">
              <w:rPr>
                <w:sz w:val="20"/>
                <w:szCs w:val="20"/>
              </w:rPr>
              <w:t>Risk Minimisation</w:t>
            </w:r>
          </w:p>
        </w:tc>
      </w:tr>
      <w:tr w:rsidR="000B3827" w:rsidRPr="00135255" w14:paraId="25B523EE" w14:textId="77777777" w:rsidTr="000B3827">
        <w:trPr>
          <w:trHeight w:val="150"/>
        </w:trPr>
        <w:tc>
          <w:tcPr>
            <w:tcW w:w="2460" w:type="pct"/>
            <w:gridSpan w:val="2"/>
            <w:vMerge/>
            <w:tcBorders>
              <w:top w:val="single" w:sz="4" w:space="0" w:color="auto"/>
              <w:left w:val="single" w:sz="4" w:space="0" w:color="auto"/>
              <w:bottom w:val="single" w:sz="4" w:space="0" w:color="auto"/>
              <w:right w:val="single" w:sz="4" w:space="0" w:color="auto"/>
            </w:tcBorders>
            <w:shd w:val="clear" w:color="auto" w:fill="006DA7"/>
          </w:tcPr>
          <w:p w14:paraId="28762391" w14:textId="77777777" w:rsidR="00125521" w:rsidRPr="000B3827" w:rsidRDefault="00125521" w:rsidP="000B3827">
            <w:pPr>
              <w:rPr>
                <w:sz w:val="20"/>
                <w:szCs w:val="20"/>
              </w:rPr>
            </w:pPr>
          </w:p>
        </w:tc>
        <w:tc>
          <w:tcPr>
            <w:tcW w:w="612" w:type="pct"/>
            <w:tcBorders>
              <w:top w:val="single" w:sz="4" w:space="0" w:color="auto"/>
              <w:left w:val="single" w:sz="4" w:space="0" w:color="auto"/>
              <w:bottom w:val="single" w:sz="4" w:space="0" w:color="auto"/>
              <w:right w:val="single" w:sz="4" w:space="0" w:color="auto"/>
            </w:tcBorders>
            <w:shd w:val="clear" w:color="auto" w:fill="006DA7"/>
          </w:tcPr>
          <w:p w14:paraId="573F2813" w14:textId="77777777" w:rsidR="00125521" w:rsidRPr="000B3827" w:rsidRDefault="00125521" w:rsidP="000B3827">
            <w:pPr>
              <w:ind w:left="0"/>
              <w:rPr>
                <w:color w:val="FFFFFF" w:themeColor="background1"/>
                <w:sz w:val="20"/>
                <w:szCs w:val="20"/>
              </w:rPr>
            </w:pPr>
            <w:r w:rsidRPr="000B3827">
              <w:rPr>
                <w:color w:val="FFFFFF" w:themeColor="background1"/>
                <w:sz w:val="20"/>
                <w:szCs w:val="20"/>
              </w:rPr>
              <w:t>Routine</w:t>
            </w:r>
          </w:p>
        </w:tc>
        <w:tc>
          <w:tcPr>
            <w:tcW w:w="688" w:type="pct"/>
            <w:tcBorders>
              <w:top w:val="single" w:sz="4" w:space="0" w:color="auto"/>
              <w:left w:val="single" w:sz="4" w:space="0" w:color="auto"/>
              <w:bottom w:val="single" w:sz="4" w:space="0" w:color="auto"/>
              <w:right w:val="single" w:sz="4" w:space="0" w:color="auto"/>
            </w:tcBorders>
            <w:shd w:val="clear" w:color="auto" w:fill="006DA7"/>
          </w:tcPr>
          <w:p w14:paraId="2CF135CC" w14:textId="77777777" w:rsidR="00125521" w:rsidRPr="000B3827" w:rsidRDefault="00125521" w:rsidP="000B3827">
            <w:pPr>
              <w:ind w:left="0"/>
              <w:rPr>
                <w:color w:val="FFFFFF" w:themeColor="background1"/>
                <w:sz w:val="20"/>
                <w:szCs w:val="20"/>
              </w:rPr>
            </w:pPr>
            <w:r w:rsidRPr="000B3827">
              <w:rPr>
                <w:color w:val="FFFFFF" w:themeColor="background1"/>
                <w:sz w:val="20"/>
                <w:szCs w:val="20"/>
              </w:rPr>
              <w:t>Additional</w:t>
            </w:r>
          </w:p>
        </w:tc>
        <w:tc>
          <w:tcPr>
            <w:tcW w:w="528" w:type="pct"/>
            <w:tcBorders>
              <w:top w:val="single" w:sz="4" w:space="0" w:color="auto"/>
              <w:left w:val="single" w:sz="4" w:space="0" w:color="auto"/>
              <w:bottom w:val="single" w:sz="4" w:space="0" w:color="auto"/>
              <w:right w:val="single" w:sz="4" w:space="0" w:color="auto"/>
            </w:tcBorders>
            <w:shd w:val="clear" w:color="auto" w:fill="006DA7"/>
          </w:tcPr>
          <w:p w14:paraId="3CA9A53B" w14:textId="77777777" w:rsidR="00125521" w:rsidRPr="000B3827" w:rsidRDefault="00125521" w:rsidP="000B3827">
            <w:pPr>
              <w:ind w:left="0"/>
              <w:rPr>
                <w:color w:val="FFFFFF" w:themeColor="background1"/>
                <w:sz w:val="20"/>
                <w:szCs w:val="20"/>
              </w:rPr>
            </w:pPr>
            <w:r w:rsidRPr="000B3827">
              <w:rPr>
                <w:color w:val="FFFFFF" w:themeColor="background1"/>
                <w:sz w:val="20"/>
                <w:szCs w:val="20"/>
              </w:rPr>
              <w:t>Routine</w:t>
            </w:r>
          </w:p>
        </w:tc>
        <w:tc>
          <w:tcPr>
            <w:tcW w:w="713" w:type="pct"/>
            <w:tcBorders>
              <w:top w:val="single" w:sz="4" w:space="0" w:color="auto"/>
              <w:left w:val="single" w:sz="4" w:space="0" w:color="auto"/>
              <w:bottom w:val="single" w:sz="4" w:space="0" w:color="auto"/>
              <w:right w:val="single" w:sz="4" w:space="0" w:color="auto"/>
            </w:tcBorders>
            <w:shd w:val="clear" w:color="auto" w:fill="006DA7"/>
          </w:tcPr>
          <w:p w14:paraId="5334A545" w14:textId="77777777" w:rsidR="00125521" w:rsidRPr="000B3827" w:rsidRDefault="00125521" w:rsidP="000B3827">
            <w:pPr>
              <w:ind w:left="0"/>
              <w:rPr>
                <w:color w:val="FFFFFF" w:themeColor="background1"/>
                <w:sz w:val="20"/>
                <w:szCs w:val="20"/>
              </w:rPr>
            </w:pPr>
            <w:r w:rsidRPr="000B3827">
              <w:rPr>
                <w:color w:val="FFFFFF" w:themeColor="background1"/>
                <w:sz w:val="20"/>
                <w:szCs w:val="20"/>
              </w:rPr>
              <w:t>Additional</w:t>
            </w:r>
          </w:p>
        </w:tc>
      </w:tr>
      <w:tr w:rsidR="00135255" w:rsidRPr="00135255" w14:paraId="5DECAA3B" w14:textId="77777777" w:rsidTr="000B3827">
        <w:trPr>
          <w:trHeight w:val="137"/>
        </w:trPr>
        <w:tc>
          <w:tcPr>
            <w:tcW w:w="849" w:type="pct"/>
            <w:vMerge w:val="restart"/>
            <w:tcBorders>
              <w:top w:val="single" w:sz="4" w:space="0" w:color="auto"/>
            </w:tcBorders>
          </w:tcPr>
          <w:p w14:paraId="31302F76" w14:textId="77777777" w:rsidR="00125521" w:rsidRPr="000B3827" w:rsidRDefault="00125521" w:rsidP="000B3827">
            <w:pPr>
              <w:ind w:left="0"/>
              <w:rPr>
                <w:b/>
                <w:sz w:val="20"/>
                <w:szCs w:val="20"/>
              </w:rPr>
            </w:pPr>
            <w:r w:rsidRPr="000B3827">
              <w:rPr>
                <w:b/>
                <w:sz w:val="20"/>
                <w:szCs w:val="20"/>
              </w:rPr>
              <w:t>Important identified risks</w:t>
            </w:r>
          </w:p>
        </w:tc>
        <w:tc>
          <w:tcPr>
            <w:tcW w:w="1611" w:type="pct"/>
            <w:tcBorders>
              <w:top w:val="single" w:sz="4" w:space="0" w:color="auto"/>
            </w:tcBorders>
          </w:tcPr>
          <w:p w14:paraId="20999F15" w14:textId="77777777" w:rsidR="00125521" w:rsidRPr="000B3827" w:rsidRDefault="00125521" w:rsidP="000B3827">
            <w:pPr>
              <w:rPr>
                <w:sz w:val="20"/>
                <w:szCs w:val="20"/>
              </w:rPr>
            </w:pPr>
            <w:r w:rsidRPr="000B3827">
              <w:rPr>
                <w:sz w:val="20"/>
                <w:szCs w:val="20"/>
              </w:rPr>
              <w:t>Thrombocytopenia and Bleeding</w:t>
            </w:r>
          </w:p>
        </w:tc>
        <w:tc>
          <w:tcPr>
            <w:tcW w:w="612" w:type="pct"/>
            <w:tcBorders>
              <w:top w:val="single" w:sz="4" w:space="0" w:color="auto"/>
            </w:tcBorders>
          </w:tcPr>
          <w:p w14:paraId="40789A9B" w14:textId="77777777" w:rsidR="00125521" w:rsidRPr="000B3827" w:rsidRDefault="00125521" w:rsidP="000B3827">
            <w:pPr>
              <w:jc w:val="center"/>
              <w:rPr>
                <w:sz w:val="20"/>
                <w:szCs w:val="20"/>
              </w:rPr>
            </w:pPr>
            <w:r w:rsidRPr="000B3827">
              <w:rPr>
                <w:sz w:val="20"/>
                <w:szCs w:val="20"/>
              </w:rPr>
              <w:sym w:font="Wingdings" w:char="F0FC"/>
            </w:r>
          </w:p>
        </w:tc>
        <w:tc>
          <w:tcPr>
            <w:tcW w:w="688" w:type="pct"/>
            <w:tcBorders>
              <w:top w:val="single" w:sz="4" w:space="0" w:color="auto"/>
            </w:tcBorders>
          </w:tcPr>
          <w:p w14:paraId="6DD00C11" w14:textId="777F27AC" w:rsidR="00125521" w:rsidRPr="000B3827" w:rsidRDefault="00125521" w:rsidP="000B3827">
            <w:pPr>
              <w:jc w:val="center"/>
              <w:rPr>
                <w:sz w:val="20"/>
                <w:szCs w:val="20"/>
              </w:rPr>
            </w:pPr>
            <w:r w:rsidRPr="000B3827">
              <w:rPr>
                <w:sz w:val="20"/>
                <w:szCs w:val="20"/>
              </w:rPr>
              <w:sym w:font="Wingdings" w:char="F0FC"/>
            </w:r>
          </w:p>
        </w:tc>
        <w:tc>
          <w:tcPr>
            <w:tcW w:w="528" w:type="pct"/>
            <w:tcBorders>
              <w:top w:val="single" w:sz="4" w:space="0" w:color="auto"/>
            </w:tcBorders>
          </w:tcPr>
          <w:p w14:paraId="616BC742" w14:textId="77777777" w:rsidR="00125521" w:rsidRPr="000B3827" w:rsidRDefault="00125521" w:rsidP="000B3827">
            <w:pPr>
              <w:jc w:val="center"/>
              <w:rPr>
                <w:sz w:val="20"/>
                <w:szCs w:val="20"/>
              </w:rPr>
            </w:pPr>
            <w:r w:rsidRPr="000B3827">
              <w:rPr>
                <w:sz w:val="20"/>
                <w:szCs w:val="20"/>
              </w:rPr>
              <w:sym w:font="Wingdings" w:char="F0FC"/>
            </w:r>
          </w:p>
        </w:tc>
        <w:tc>
          <w:tcPr>
            <w:tcW w:w="713" w:type="pct"/>
            <w:tcBorders>
              <w:top w:val="single" w:sz="4" w:space="0" w:color="auto"/>
            </w:tcBorders>
          </w:tcPr>
          <w:p w14:paraId="7EC81C25" w14:textId="77777777" w:rsidR="00125521" w:rsidRPr="000B3827" w:rsidRDefault="00125521" w:rsidP="000B3827">
            <w:pPr>
              <w:jc w:val="center"/>
              <w:rPr>
                <w:sz w:val="20"/>
                <w:szCs w:val="20"/>
              </w:rPr>
            </w:pPr>
            <w:r w:rsidRPr="000B3827">
              <w:rPr>
                <w:sz w:val="20"/>
                <w:szCs w:val="20"/>
              </w:rPr>
              <w:t>–</w:t>
            </w:r>
          </w:p>
        </w:tc>
      </w:tr>
      <w:tr w:rsidR="00135255" w:rsidRPr="00135255" w14:paraId="61DD8FE8" w14:textId="77777777" w:rsidTr="000B3827">
        <w:trPr>
          <w:trHeight w:val="94"/>
        </w:trPr>
        <w:tc>
          <w:tcPr>
            <w:tcW w:w="849" w:type="pct"/>
            <w:vMerge/>
          </w:tcPr>
          <w:p w14:paraId="5B4B7DC3" w14:textId="77777777" w:rsidR="00125521" w:rsidRPr="000B3827" w:rsidRDefault="00125521" w:rsidP="000B3827">
            <w:pPr>
              <w:rPr>
                <w:b/>
                <w:sz w:val="20"/>
                <w:szCs w:val="20"/>
              </w:rPr>
            </w:pPr>
          </w:p>
        </w:tc>
        <w:tc>
          <w:tcPr>
            <w:tcW w:w="1611" w:type="pct"/>
          </w:tcPr>
          <w:p w14:paraId="7A2483FE" w14:textId="5E9DE22A" w:rsidR="00125521" w:rsidRPr="000B3827" w:rsidRDefault="00125521" w:rsidP="000B3827">
            <w:pPr>
              <w:rPr>
                <w:sz w:val="20"/>
                <w:szCs w:val="20"/>
              </w:rPr>
            </w:pPr>
            <w:r w:rsidRPr="000B3827">
              <w:rPr>
                <w:sz w:val="20"/>
                <w:szCs w:val="20"/>
              </w:rPr>
              <w:t xml:space="preserve">Severe </w:t>
            </w:r>
            <w:r w:rsidR="00135255">
              <w:rPr>
                <w:sz w:val="20"/>
                <w:szCs w:val="20"/>
              </w:rPr>
              <w:t>i</w:t>
            </w:r>
            <w:r w:rsidRPr="000B3827">
              <w:rPr>
                <w:sz w:val="20"/>
                <w:szCs w:val="20"/>
              </w:rPr>
              <w:t xml:space="preserve">nfections due to </w:t>
            </w:r>
            <w:r w:rsidR="00135255">
              <w:rPr>
                <w:sz w:val="20"/>
                <w:szCs w:val="20"/>
              </w:rPr>
              <w:t>n</w:t>
            </w:r>
            <w:r w:rsidRPr="000B3827">
              <w:rPr>
                <w:sz w:val="20"/>
                <w:szCs w:val="20"/>
              </w:rPr>
              <w:t>eutropenia</w:t>
            </w:r>
          </w:p>
        </w:tc>
        <w:tc>
          <w:tcPr>
            <w:tcW w:w="612" w:type="pct"/>
          </w:tcPr>
          <w:p w14:paraId="65E8A587" w14:textId="77777777" w:rsidR="00125521" w:rsidRPr="000B3827" w:rsidRDefault="00125521" w:rsidP="000B3827">
            <w:pPr>
              <w:jc w:val="center"/>
              <w:rPr>
                <w:sz w:val="20"/>
                <w:szCs w:val="20"/>
              </w:rPr>
            </w:pPr>
            <w:r w:rsidRPr="000B3827">
              <w:rPr>
                <w:sz w:val="20"/>
                <w:szCs w:val="20"/>
              </w:rPr>
              <w:sym w:font="Wingdings" w:char="F0FC"/>
            </w:r>
          </w:p>
        </w:tc>
        <w:tc>
          <w:tcPr>
            <w:tcW w:w="688" w:type="pct"/>
          </w:tcPr>
          <w:p w14:paraId="2923086E" w14:textId="478C96BA" w:rsidR="00125521" w:rsidRPr="000B3827" w:rsidRDefault="00125521" w:rsidP="000B3827">
            <w:pPr>
              <w:jc w:val="center"/>
              <w:rPr>
                <w:sz w:val="20"/>
                <w:szCs w:val="20"/>
              </w:rPr>
            </w:pPr>
            <w:r w:rsidRPr="000B3827">
              <w:rPr>
                <w:sz w:val="20"/>
                <w:szCs w:val="20"/>
              </w:rPr>
              <w:sym w:font="Wingdings" w:char="F0FC"/>
            </w:r>
          </w:p>
        </w:tc>
        <w:tc>
          <w:tcPr>
            <w:tcW w:w="528" w:type="pct"/>
          </w:tcPr>
          <w:p w14:paraId="40073C60" w14:textId="77777777" w:rsidR="00125521" w:rsidRPr="000B3827" w:rsidRDefault="00125521" w:rsidP="000B3827">
            <w:pPr>
              <w:jc w:val="center"/>
              <w:rPr>
                <w:sz w:val="20"/>
                <w:szCs w:val="20"/>
              </w:rPr>
            </w:pPr>
            <w:r w:rsidRPr="000B3827">
              <w:rPr>
                <w:sz w:val="20"/>
                <w:szCs w:val="20"/>
              </w:rPr>
              <w:sym w:font="Wingdings" w:char="F0FC"/>
            </w:r>
          </w:p>
        </w:tc>
        <w:tc>
          <w:tcPr>
            <w:tcW w:w="713" w:type="pct"/>
          </w:tcPr>
          <w:p w14:paraId="70A41599" w14:textId="77777777" w:rsidR="00125521" w:rsidRPr="000B3827" w:rsidRDefault="00125521" w:rsidP="000B3827">
            <w:pPr>
              <w:jc w:val="center"/>
              <w:rPr>
                <w:sz w:val="20"/>
                <w:szCs w:val="20"/>
              </w:rPr>
            </w:pPr>
            <w:r w:rsidRPr="000B3827">
              <w:rPr>
                <w:sz w:val="20"/>
                <w:szCs w:val="20"/>
              </w:rPr>
              <w:t>–</w:t>
            </w:r>
          </w:p>
        </w:tc>
      </w:tr>
      <w:tr w:rsidR="00135255" w:rsidRPr="00135255" w14:paraId="337AC933" w14:textId="77777777" w:rsidTr="000B3827">
        <w:trPr>
          <w:trHeight w:val="94"/>
        </w:trPr>
        <w:tc>
          <w:tcPr>
            <w:tcW w:w="849" w:type="pct"/>
            <w:vMerge/>
          </w:tcPr>
          <w:p w14:paraId="0BE6A4E8" w14:textId="77777777" w:rsidR="00125521" w:rsidRPr="000B3827" w:rsidRDefault="00125521" w:rsidP="000B3827">
            <w:pPr>
              <w:rPr>
                <w:b/>
                <w:sz w:val="20"/>
                <w:szCs w:val="20"/>
              </w:rPr>
            </w:pPr>
          </w:p>
        </w:tc>
        <w:tc>
          <w:tcPr>
            <w:tcW w:w="1611" w:type="pct"/>
          </w:tcPr>
          <w:p w14:paraId="2A5101CB" w14:textId="77777777" w:rsidR="00125521" w:rsidRPr="000B3827" w:rsidRDefault="00125521" w:rsidP="000B3827">
            <w:pPr>
              <w:rPr>
                <w:sz w:val="20"/>
                <w:szCs w:val="20"/>
              </w:rPr>
            </w:pPr>
            <w:r w:rsidRPr="000B3827">
              <w:rPr>
                <w:sz w:val="20"/>
                <w:szCs w:val="20"/>
              </w:rPr>
              <w:t>Fatigue</w:t>
            </w:r>
          </w:p>
        </w:tc>
        <w:tc>
          <w:tcPr>
            <w:tcW w:w="612" w:type="pct"/>
          </w:tcPr>
          <w:p w14:paraId="00BE945A" w14:textId="77777777" w:rsidR="00125521" w:rsidRPr="000B3827" w:rsidRDefault="00125521" w:rsidP="000B3827">
            <w:pPr>
              <w:jc w:val="center"/>
              <w:rPr>
                <w:sz w:val="20"/>
                <w:szCs w:val="20"/>
              </w:rPr>
            </w:pPr>
            <w:r w:rsidRPr="000B3827">
              <w:rPr>
                <w:sz w:val="20"/>
                <w:szCs w:val="20"/>
              </w:rPr>
              <w:sym w:font="Wingdings" w:char="F0FC"/>
            </w:r>
          </w:p>
        </w:tc>
        <w:tc>
          <w:tcPr>
            <w:tcW w:w="688" w:type="pct"/>
          </w:tcPr>
          <w:p w14:paraId="2A4DFEBD" w14:textId="761CBD06" w:rsidR="00125521" w:rsidRPr="000B3827" w:rsidRDefault="00125521" w:rsidP="000B3827">
            <w:pPr>
              <w:jc w:val="center"/>
              <w:rPr>
                <w:sz w:val="20"/>
                <w:szCs w:val="20"/>
              </w:rPr>
            </w:pPr>
            <w:r w:rsidRPr="000B3827">
              <w:rPr>
                <w:sz w:val="20"/>
                <w:szCs w:val="20"/>
              </w:rPr>
              <w:sym w:font="Wingdings" w:char="F0FC"/>
            </w:r>
          </w:p>
        </w:tc>
        <w:tc>
          <w:tcPr>
            <w:tcW w:w="528" w:type="pct"/>
          </w:tcPr>
          <w:p w14:paraId="0D325B6D" w14:textId="77777777" w:rsidR="00125521" w:rsidRPr="000B3827" w:rsidRDefault="00125521" w:rsidP="000B3827">
            <w:pPr>
              <w:jc w:val="center"/>
              <w:rPr>
                <w:sz w:val="20"/>
                <w:szCs w:val="20"/>
              </w:rPr>
            </w:pPr>
            <w:r w:rsidRPr="000B3827">
              <w:rPr>
                <w:sz w:val="20"/>
                <w:szCs w:val="20"/>
              </w:rPr>
              <w:sym w:font="Wingdings" w:char="F0FC"/>
            </w:r>
          </w:p>
        </w:tc>
        <w:tc>
          <w:tcPr>
            <w:tcW w:w="713" w:type="pct"/>
          </w:tcPr>
          <w:p w14:paraId="5FEA1D81" w14:textId="77777777" w:rsidR="00125521" w:rsidRPr="000B3827" w:rsidRDefault="00125521" w:rsidP="000B3827">
            <w:pPr>
              <w:jc w:val="center"/>
              <w:rPr>
                <w:sz w:val="20"/>
                <w:szCs w:val="20"/>
              </w:rPr>
            </w:pPr>
            <w:r w:rsidRPr="000B3827">
              <w:rPr>
                <w:sz w:val="20"/>
                <w:szCs w:val="20"/>
              </w:rPr>
              <w:t>–</w:t>
            </w:r>
          </w:p>
        </w:tc>
      </w:tr>
      <w:tr w:rsidR="00135255" w:rsidRPr="00135255" w14:paraId="140864CC" w14:textId="77777777" w:rsidTr="000B3827">
        <w:trPr>
          <w:trHeight w:val="94"/>
        </w:trPr>
        <w:tc>
          <w:tcPr>
            <w:tcW w:w="849" w:type="pct"/>
            <w:vMerge/>
          </w:tcPr>
          <w:p w14:paraId="088577E8" w14:textId="77777777" w:rsidR="00125521" w:rsidRPr="000B3827" w:rsidRDefault="00125521" w:rsidP="000B3827">
            <w:pPr>
              <w:rPr>
                <w:b/>
                <w:sz w:val="20"/>
                <w:szCs w:val="20"/>
              </w:rPr>
            </w:pPr>
          </w:p>
        </w:tc>
        <w:tc>
          <w:tcPr>
            <w:tcW w:w="1611" w:type="pct"/>
          </w:tcPr>
          <w:p w14:paraId="0355B29C" w14:textId="77777777" w:rsidR="00125521" w:rsidRPr="000B3827" w:rsidRDefault="00125521" w:rsidP="000B3827">
            <w:pPr>
              <w:rPr>
                <w:sz w:val="20"/>
                <w:szCs w:val="20"/>
              </w:rPr>
            </w:pPr>
            <w:r w:rsidRPr="000B3827">
              <w:rPr>
                <w:sz w:val="20"/>
                <w:szCs w:val="20"/>
              </w:rPr>
              <w:t>Decreased appetite and Weight decreased</w:t>
            </w:r>
          </w:p>
        </w:tc>
        <w:tc>
          <w:tcPr>
            <w:tcW w:w="612" w:type="pct"/>
          </w:tcPr>
          <w:p w14:paraId="09B1CE69" w14:textId="77777777" w:rsidR="00125521" w:rsidRPr="000B3827" w:rsidRDefault="00125521" w:rsidP="000B3827">
            <w:pPr>
              <w:jc w:val="center"/>
              <w:rPr>
                <w:sz w:val="20"/>
                <w:szCs w:val="20"/>
              </w:rPr>
            </w:pPr>
            <w:r w:rsidRPr="000B3827">
              <w:rPr>
                <w:sz w:val="20"/>
                <w:szCs w:val="20"/>
              </w:rPr>
              <w:sym w:font="Wingdings" w:char="F0FC"/>
            </w:r>
          </w:p>
        </w:tc>
        <w:tc>
          <w:tcPr>
            <w:tcW w:w="688" w:type="pct"/>
          </w:tcPr>
          <w:p w14:paraId="05484D6B" w14:textId="6421E3F9" w:rsidR="00125521" w:rsidRPr="000B3827" w:rsidRDefault="00125521" w:rsidP="000B3827">
            <w:pPr>
              <w:pStyle w:val="Tabletext"/>
              <w:jc w:val="center"/>
              <w:rPr>
                <w:sz w:val="20"/>
                <w:szCs w:val="20"/>
              </w:rPr>
            </w:pPr>
            <w:r w:rsidRPr="000B3827">
              <w:sym w:font="Wingdings" w:char="F0FC"/>
            </w:r>
          </w:p>
        </w:tc>
        <w:tc>
          <w:tcPr>
            <w:tcW w:w="528" w:type="pct"/>
          </w:tcPr>
          <w:p w14:paraId="41CEA8FC" w14:textId="77777777" w:rsidR="00125521" w:rsidRPr="000B3827" w:rsidRDefault="00125521" w:rsidP="000B3827">
            <w:pPr>
              <w:jc w:val="center"/>
              <w:rPr>
                <w:sz w:val="20"/>
                <w:szCs w:val="20"/>
              </w:rPr>
            </w:pPr>
            <w:r w:rsidRPr="000B3827">
              <w:rPr>
                <w:sz w:val="20"/>
                <w:szCs w:val="20"/>
              </w:rPr>
              <w:sym w:font="Wingdings" w:char="F0FC"/>
            </w:r>
          </w:p>
        </w:tc>
        <w:tc>
          <w:tcPr>
            <w:tcW w:w="713" w:type="pct"/>
          </w:tcPr>
          <w:p w14:paraId="30359E58" w14:textId="77777777" w:rsidR="00125521" w:rsidRPr="000B3827" w:rsidRDefault="00125521" w:rsidP="000B3827">
            <w:pPr>
              <w:jc w:val="center"/>
              <w:rPr>
                <w:sz w:val="20"/>
                <w:szCs w:val="20"/>
              </w:rPr>
            </w:pPr>
            <w:r w:rsidRPr="000B3827">
              <w:rPr>
                <w:sz w:val="20"/>
                <w:szCs w:val="20"/>
              </w:rPr>
              <w:t>–</w:t>
            </w:r>
          </w:p>
        </w:tc>
      </w:tr>
      <w:tr w:rsidR="00135255" w:rsidRPr="00135255" w14:paraId="10EE3EE5" w14:textId="77777777" w:rsidTr="000B3827">
        <w:trPr>
          <w:trHeight w:val="94"/>
        </w:trPr>
        <w:tc>
          <w:tcPr>
            <w:tcW w:w="849" w:type="pct"/>
            <w:vMerge/>
          </w:tcPr>
          <w:p w14:paraId="210F9CE2" w14:textId="77777777" w:rsidR="00125521" w:rsidRPr="000B3827" w:rsidRDefault="00125521" w:rsidP="000B3827">
            <w:pPr>
              <w:rPr>
                <w:b/>
                <w:sz w:val="20"/>
                <w:szCs w:val="20"/>
              </w:rPr>
            </w:pPr>
          </w:p>
        </w:tc>
        <w:tc>
          <w:tcPr>
            <w:tcW w:w="1611" w:type="pct"/>
          </w:tcPr>
          <w:p w14:paraId="6F025B79" w14:textId="77777777" w:rsidR="00125521" w:rsidRPr="000B3827" w:rsidRDefault="00125521" w:rsidP="000B3827">
            <w:pPr>
              <w:rPr>
                <w:sz w:val="20"/>
                <w:szCs w:val="20"/>
              </w:rPr>
            </w:pPr>
            <w:r w:rsidRPr="000B3827">
              <w:rPr>
                <w:sz w:val="20"/>
                <w:szCs w:val="20"/>
              </w:rPr>
              <w:t>Hyponatraemia</w:t>
            </w:r>
          </w:p>
        </w:tc>
        <w:tc>
          <w:tcPr>
            <w:tcW w:w="612" w:type="pct"/>
          </w:tcPr>
          <w:p w14:paraId="487C14D6" w14:textId="77777777" w:rsidR="00125521" w:rsidRPr="000B3827" w:rsidRDefault="00125521" w:rsidP="000B3827">
            <w:pPr>
              <w:jc w:val="center"/>
              <w:rPr>
                <w:sz w:val="20"/>
                <w:szCs w:val="20"/>
              </w:rPr>
            </w:pPr>
            <w:r w:rsidRPr="000B3827">
              <w:rPr>
                <w:sz w:val="20"/>
                <w:szCs w:val="20"/>
              </w:rPr>
              <w:sym w:font="Wingdings" w:char="F0FC"/>
            </w:r>
          </w:p>
        </w:tc>
        <w:tc>
          <w:tcPr>
            <w:tcW w:w="688" w:type="pct"/>
          </w:tcPr>
          <w:p w14:paraId="5B383486" w14:textId="594E91DC" w:rsidR="00125521" w:rsidRPr="000B3827" w:rsidRDefault="00125521" w:rsidP="000B3827">
            <w:pPr>
              <w:pStyle w:val="Tabletext"/>
              <w:jc w:val="center"/>
              <w:rPr>
                <w:sz w:val="20"/>
                <w:szCs w:val="20"/>
              </w:rPr>
            </w:pPr>
            <w:r w:rsidRPr="000B3827">
              <w:sym w:font="Wingdings" w:char="F0FC"/>
            </w:r>
          </w:p>
        </w:tc>
        <w:tc>
          <w:tcPr>
            <w:tcW w:w="528" w:type="pct"/>
          </w:tcPr>
          <w:p w14:paraId="1643F045" w14:textId="77777777" w:rsidR="00125521" w:rsidRPr="000B3827" w:rsidRDefault="00125521" w:rsidP="000B3827">
            <w:pPr>
              <w:jc w:val="center"/>
              <w:rPr>
                <w:sz w:val="20"/>
                <w:szCs w:val="20"/>
              </w:rPr>
            </w:pPr>
            <w:r w:rsidRPr="000B3827">
              <w:rPr>
                <w:sz w:val="20"/>
                <w:szCs w:val="20"/>
              </w:rPr>
              <w:sym w:font="Wingdings" w:char="F0FC"/>
            </w:r>
          </w:p>
        </w:tc>
        <w:tc>
          <w:tcPr>
            <w:tcW w:w="713" w:type="pct"/>
          </w:tcPr>
          <w:p w14:paraId="476536A5" w14:textId="77777777" w:rsidR="00125521" w:rsidRPr="000B3827" w:rsidRDefault="00125521" w:rsidP="000B3827">
            <w:pPr>
              <w:jc w:val="center"/>
              <w:rPr>
                <w:sz w:val="20"/>
                <w:szCs w:val="20"/>
              </w:rPr>
            </w:pPr>
            <w:r w:rsidRPr="000B3827">
              <w:rPr>
                <w:sz w:val="20"/>
                <w:szCs w:val="20"/>
              </w:rPr>
              <w:t>–</w:t>
            </w:r>
          </w:p>
        </w:tc>
      </w:tr>
      <w:tr w:rsidR="00135255" w:rsidRPr="00135255" w14:paraId="7A8E305A" w14:textId="77777777" w:rsidTr="000B3827">
        <w:trPr>
          <w:trHeight w:val="187"/>
        </w:trPr>
        <w:tc>
          <w:tcPr>
            <w:tcW w:w="849" w:type="pct"/>
            <w:vMerge/>
          </w:tcPr>
          <w:p w14:paraId="1EEFA0B3" w14:textId="77777777" w:rsidR="00125521" w:rsidRPr="000B3827" w:rsidRDefault="00125521" w:rsidP="000B3827">
            <w:pPr>
              <w:rPr>
                <w:b/>
                <w:sz w:val="20"/>
                <w:szCs w:val="20"/>
              </w:rPr>
            </w:pPr>
          </w:p>
        </w:tc>
        <w:tc>
          <w:tcPr>
            <w:tcW w:w="1611" w:type="pct"/>
          </w:tcPr>
          <w:p w14:paraId="69F4ADC5" w14:textId="77777777" w:rsidR="00125521" w:rsidRPr="000B3827" w:rsidRDefault="00125521" w:rsidP="000B3827">
            <w:pPr>
              <w:rPr>
                <w:sz w:val="20"/>
                <w:szCs w:val="20"/>
              </w:rPr>
            </w:pPr>
            <w:proofErr w:type="spellStart"/>
            <w:r w:rsidRPr="000B3827">
              <w:rPr>
                <w:sz w:val="20"/>
                <w:szCs w:val="20"/>
              </w:rPr>
              <w:t>Confusional</w:t>
            </w:r>
            <w:proofErr w:type="spellEnd"/>
            <w:r w:rsidRPr="000B3827">
              <w:rPr>
                <w:sz w:val="20"/>
                <w:szCs w:val="20"/>
              </w:rPr>
              <w:t xml:space="preserve"> state</w:t>
            </w:r>
          </w:p>
        </w:tc>
        <w:tc>
          <w:tcPr>
            <w:tcW w:w="612" w:type="pct"/>
          </w:tcPr>
          <w:p w14:paraId="6ABB47FD" w14:textId="77777777" w:rsidR="00125521" w:rsidRPr="000B3827" w:rsidRDefault="00125521" w:rsidP="000B3827">
            <w:pPr>
              <w:jc w:val="center"/>
              <w:rPr>
                <w:sz w:val="20"/>
                <w:szCs w:val="20"/>
              </w:rPr>
            </w:pPr>
            <w:r w:rsidRPr="000B3827">
              <w:rPr>
                <w:sz w:val="20"/>
                <w:szCs w:val="20"/>
              </w:rPr>
              <w:sym w:font="Wingdings" w:char="F0FC"/>
            </w:r>
          </w:p>
        </w:tc>
        <w:tc>
          <w:tcPr>
            <w:tcW w:w="688" w:type="pct"/>
          </w:tcPr>
          <w:p w14:paraId="2DC5A48E" w14:textId="363E995D" w:rsidR="00125521" w:rsidRPr="000B3827" w:rsidRDefault="00125521" w:rsidP="000B3827">
            <w:pPr>
              <w:pStyle w:val="Tabletext"/>
              <w:jc w:val="center"/>
              <w:rPr>
                <w:sz w:val="20"/>
                <w:szCs w:val="20"/>
              </w:rPr>
            </w:pPr>
            <w:r w:rsidRPr="000B3827">
              <w:sym w:font="Wingdings" w:char="F0FC"/>
            </w:r>
          </w:p>
        </w:tc>
        <w:tc>
          <w:tcPr>
            <w:tcW w:w="528" w:type="pct"/>
          </w:tcPr>
          <w:p w14:paraId="1246A7CB" w14:textId="77777777" w:rsidR="00125521" w:rsidRPr="000B3827" w:rsidRDefault="00125521" w:rsidP="000B3827">
            <w:pPr>
              <w:jc w:val="center"/>
              <w:rPr>
                <w:sz w:val="20"/>
                <w:szCs w:val="20"/>
              </w:rPr>
            </w:pPr>
            <w:r w:rsidRPr="000B3827">
              <w:rPr>
                <w:sz w:val="20"/>
                <w:szCs w:val="20"/>
              </w:rPr>
              <w:sym w:font="Wingdings" w:char="F0FC"/>
            </w:r>
          </w:p>
        </w:tc>
        <w:tc>
          <w:tcPr>
            <w:tcW w:w="713" w:type="pct"/>
          </w:tcPr>
          <w:p w14:paraId="3B9FBFCF" w14:textId="77777777" w:rsidR="00125521" w:rsidRPr="000B3827" w:rsidRDefault="00125521" w:rsidP="000B3827">
            <w:pPr>
              <w:jc w:val="center"/>
              <w:rPr>
                <w:sz w:val="20"/>
                <w:szCs w:val="20"/>
              </w:rPr>
            </w:pPr>
            <w:r w:rsidRPr="000B3827">
              <w:rPr>
                <w:sz w:val="20"/>
                <w:szCs w:val="20"/>
              </w:rPr>
              <w:t>–</w:t>
            </w:r>
          </w:p>
        </w:tc>
      </w:tr>
      <w:tr w:rsidR="00135255" w:rsidRPr="00135255" w14:paraId="4B55CA30" w14:textId="77777777" w:rsidTr="000B3827">
        <w:trPr>
          <w:trHeight w:val="159"/>
        </w:trPr>
        <w:tc>
          <w:tcPr>
            <w:tcW w:w="849" w:type="pct"/>
            <w:vMerge w:val="restart"/>
          </w:tcPr>
          <w:p w14:paraId="3BE1E9D3" w14:textId="77777777" w:rsidR="00125521" w:rsidRPr="000B3827" w:rsidRDefault="00125521" w:rsidP="000B3827">
            <w:pPr>
              <w:ind w:left="0"/>
              <w:rPr>
                <w:b/>
                <w:sz w:val="20"/>
                <w:szCs w:val="20"/>
              </w:rPr>
            </w:pPr>
            <w:r w:rsidRPr="000B3827">
              <w:rPr>
                <w:b/>
                <w:sz w:val="20"/>
                <w:szCs w:val="20"/>
              </w:rPr>
              <w:t>Important potential risks</w:t>
            </w:r>
          </w:p>
        </w:tc>
        <w:tc>
          <w:tcPr>
            <w:tcW w:w="1611" w:type="pct"/>
          </w:tcPr>
          <w:p w14:paraId="64D42AAD" w14:textId="6F3BA35F" w:rsidR="00125521" w:rsidRPr="000B3827" w:rsidRDefault="00125521" w:rsidP="000B3827">
            <w:pPr>
              <w:rPr>
                <w:sz w:val="20"/>
                <w:szCs w:val="20"/>
              </w:rPr>
            </w:pPr>
            <w:r w:rsidRPr="000B3827">
              <w:rPr>
                <w:sz w:val="20"/>
                <w:szCs w:val="20"/>
              </w:rPr>
              <w:t>Tumo</w:t>
            </w:r>
            <w:r w:rsidR="00135255">
              <w:rPr>
                <w:sz w:val="20"/>
                <w:szCs w:val="20"/>
              </w:rPr>
              <w:t>u</w:t>
            </w:r>
            <w:r w:rsidRPr="000B3827">
              <w:rPr>
                <w:sz w:val="20"/>
                <w:szCs w:val="20"/>
              </w:rPr>
              <w:t>r lysis syndrome</w:t>
            </w:r>
          </w:p>
        </w:tc>
        <w:tc>
          <w:tcPr>
            <w:tcW w:w="612" w:type="pct"/>
          </w:tcPr>
          <w:p w14:paraId="3A7625AF" w14:textId="77777777" w:rsidR="00125521" w:rsidRPr="000B3827" w:rsidRDefault="00125521" w:rsidP="000B3827">
            <w:pPr>
              <w:jc w:val="center"/>
              <w:rPr>
                <w:sz w:val="20"/>
                <w:szCs w:val="20"/>
              </w:rPr>
            </w:pPr>
            <w:r w:rsidRPr="000B3827">
              <w:rPr>
                <w:sz w:val="20"/>
                <w:szCs w:val="20"/>
              </w:rPr>
              <w:sym w:font="Wingdings" w:char="F0FC"/>
            </w:r>
          </w:p>
        </w:tc>
        <w:tc>
          <w:tcPr>
            <w:tcW w:w="688" w:type="pct"/>
          </w:tcPr>
          <w:p w14:paraId="6190878F" w14:textId="77777777" w:rsidR="00125521" w:rsidRPr="000B3827" w:rsidRDefault="00125521" w:rsidP="000B3827">
            <w:pPr>
              <w:jc w:val="center"/>
              <w:rPr>
                <w:sz w:val="20"/>
                <w:szCs w:val="20"/>
              </w:rPr>
            </w:pPr>
            <w:r w:rsidRPr="000B3827">
              <w:rPr>
                <w:sz w:val="20"/>
                <w:szCs w:val="20"/>
              </w:rPr>
              <w:t>–</w:t>
            </w:r>
          </w:p>
        </w:tc>
        <w:tc>
          <w:tcPr>
            <w:tcW w:w="528" w:type="pct"/>
          </w:tcPr>
          <w:p w14:paraId="00AD62C1" w14:textId="77777777" w:rsidR="00125521" w:rsidRPr="000B3827" w:rsidRDefault="00125521" w:rsidP="000B3827">
            <w:pPr>
              <w:jc w:val="center"/>
              <w:rPr>
                <w:sz w:val="20"/>
                <w:szCs w:val="20"/>
              </w:rPr>
            </w:pPr>
            <w:r w:rsidRPr="000B3827">
              <w:rPr>
                <w:sz w:val="20"/>
                <w:szCs w:val="20"/>
              </w:rPr>
              <w:sym w:font="Wingdings" w:char="F0FC"/>
            </w:r>
          </w:p>
        </w:tc>
        <w:tc>
          <w:tcPr>
            <w:tcW w:w="713" w:type="pct"/>
          </w:tcPr>
          <w:p w14:paraId="16B22583" w14:textId="77777777" w:rsidR="00125521" w:rsidRPr="000B3827" w:rsidRDefault="00125521" w:rsidP="000B3827">
            <w:pPr>
              <w:jc w:val="center"/>
              <w:rPr>
                <w:sz w:val="20"/>
                <w:szCs w:val="20"/>
              </w:rPr>
            </w:pPr>
            <w:r w:rsidRPr="000B3827">
              <w:rPr>
                <w:sz w:val="20"/>
                <w:szCs w:val="20"/>
              </w:rPr>
              <w:t>–</w:t>
            </w:r>
          </w:p>
        </w:tc>
      </w:tr>
      <w:tr w:rsidR="00135255" w:rsidRPr="00135255" w14:paraId="531B2BBC" w14:textId="77777777" w:rsidTr="000B3827">
        <w:trPr>
          <w:trHeight w:val="122"/>
        </w:trPr>
        <w:tc>
          <w:tcPr>
            <w:tcW w:w="849" w:type="pct"/>
            <w:vMerge/>
          </w:tcPr>
          <w:p w14:paraId="353A703D" w14:textId="77777777" w:rsidR="00125521" w:rsidRPr="000B3827" w:rsidRDefault="00125521" w:rsidP="000B3827">
            <w:pPr>
              <w:rPr>
                <w:b/>
                <w:sz w:val="20"/>
                <w:szCs w:val="20"/>
              </w:rPr>
            </w:pPr>
          </w:p>
        </w:tc>
        <w:tc>
          <w:tcPr>
            <w:tcW w:w="1611" w:type="pct"/>
          </w:tcPr>
          <w:p w14:paraId="1DF09965" w14:textId="77777777" w:rsidR="00125521" w:rsidRPr="000B3827" w:rsidRDefault="00125521" w:rsidP="000B3827">
            <w:pPr>
              <w:rPr>
                <w:sz w:val="20"/>
                <w:szCs w:val="20"/>
              </w:rPr>
            </w:pPr>
            <w:r w:rsidRPr="000B3827">
              <w:rPr>
                <w:sz w:val="20"/>
                <w:szCs w:val="20"/>
              </w:rPr>
              <w:t>Acute cerebellar syndrome</w:t>
            </w:r>
          </w:p>
        </w:tc>
        <w:tc>
          <w:tcPr>
            <w:tcW w:w="612" w:type="pct"/>
          </w:tcPr>
          <w:p w14:paraId="32398B3D" w14:textId="77777777" w:rsidR="00125521" w:rsidRPr="000B3827" w:rsidRDefault="00125521" w:rsidP="000B3827">
            <w:pPr>
              <w:jc w:val="center"/>
              <w:rPr>
                <w:sz w:val="20"/>
                <w:szCs w:val="20"/>
              </w:rPr>
            </w:pPr>
            <w:r w:rsidRPr="000B3827">
              <w:rPr>
                <w:sz w:val="20"/>
                <w:szCs w:val="20"/>
              </w:rPr>
              <w:sym w:font="Wingdings" w:char="F0FC"/>
            </w:r>
          </w:p>
        </w:tc>
        <w:tc>
          <w:tcPr>
            <w:tcW w:w="688" w:type="pct"/>
          </w:tcPr>
          <w:p w14:paraId="649F6AF1" w14:textId="77777777" w:rsidR="00125521" w:rsidRPr="000B3827" w:rsidRDefault="00125521" w:rsidP="000B3827">
            <w:pPr>
              <w:jc w:val="center"/>
              <w:rPr>
                <w:sz w:val="20"/>
                <w:szCs w:val="20"/>
              </w:rPr>
            </w:pPr>
            <w:r w:rsidRPr="000B3827">
              <w:rPr>
                <w:sz w:val="20"/>
                <w:szCs w:val="20"/>
              </w:rPr>
              <w:t>–</w:t>
            </w:r>
          </w:p>
        </w:tc>
        <w:tc>
          <w:tcPr>
            <w:tcW w:w="528" w:type="pct"/>
          </w:tcPr>
          <w:p w14:paraId="52D679D7" w14:textId="77777777" w:rsidR="00125521" w:rsidRPr="000B3827" w:rsidRDefault="00125521" w:rsidP="000B3827">
            <w:pPr>
              <w:jc w:val="center"/>
              <w:rPr>
                <w:sz w:val="20"/>
                <w:szCs w:val="20"/>
              </w:rPr>
            </w:pPr>
            <w:r w:rsidRPr="000B3827">
              <w:rPr>
                <w:sz w:val="20"/>
                <w:szCs w:val="20"/>
              </w:rPr>
              <w:t>–</w:t>
            </w:r>
          </w:p>
        </w:tc>
        <w:tc>
          <w:tcPr>
            <w:tcW w:w="713" w:type="pct"/>
          </w:tcPr>
          <w:p w14:paraId="090D023A" w14:textId="77777777" w:rsidR="00125521" w:rsidRPr="000B3827" w:rsidRDefault="00125521" w:rsidP="000B3827">
            <w:pPr>
              <w:jc w:val="center"/>
              <w:rPr>
                <w:sz w:val="20"/>
                <w:szCs w:val="20"/>
              </w:rPr>
            </w:pPr>
            <w:r w:rsidRPr="000B3827">
              <w:rPr>
                <w:sz w:val="20"/>
                <w:szCs w:val="20"/>
              </w:rPr>
              <w:t>–</w:t>
            </w:r>
          </w:p>
        </w:tc>
      </w:tr>
      <w:tr w:rsidR="00135255" w:rsidRPr="00135255" w14:paraId="565DC55B" w14:textId="77777777" w:rsidTr="000B3827">
        <w:trPr>
          <w:trHeight w:val="112"/>
        </w:trPr>
        <w:tc>
          <w:tcPr>
            <w:tcW w:w="849" w:type="pct"/>
            <w:vMerge/>
          </w:tcPr>
          <w:p w14:paraId="54699BC5" w14:textId="77777777" w:rsidR="00125521" w:rsidRPr="000B3827" w:rsidRDefault="00125521" w:rsidP="000B3827">
            <w:pPr>
              <w:rPr>
                <w:b/>
                <w:sz w:val="20"/>
                <w:szCs w:val="20"/>
              </w:rPr>
            </w:pPr>
          </w:p>
        </w:tc>
        <w:tc>
          <w:tcPr>
            <w:tcW w:w="1611" w:type="pct"/>
          </w:tcPr>
          <w:p w14:paraId="7289B18D" w14:textId="77777777" w:rsidR="00125521" w:rsidRPr="000B3827" w:rsidRDefault="00125521" w:rsidP="000B3827">
            <w:pPr>
              <w:rPr>
                <w:sz w:val="20"/>
                <w:szCs w:val="20"/>
              </w:rPr>
            </w:pPr>
            <w:r w:rsidRPr="000B3827">
              <w:rPr>
                <w:sz w:val="20"/>
                <w:szCs w:val="20"/>
              </w:rPr>
              <w:t>Medication error</w:t>
            </w:r>
          </w:p>
        </w:tc>
        <w:tc>
          <w:tcPr>
            <w:tcW w:w="612" w:type="pct"/>
          </w:tcPr>
          <w:p w14:paraId="276D5806" w14:textId="77777777" w:rsidR="00125521" w:rsidRPr="000B3827" w:rsidRDefault="00125521" w:rsidP="000B3827">
            <w:pPr>
              <w:jc w:val="center"/>
              <w:rPr>
                <w:sz w:val="20"/>
                <w:szCs w:val="20"/>
              </w:rPr>
            </w:pPr>
            <w:r w:rsidRPr="000B3827">
              <w:rPr>
                <w:sz w:val="20"/>
                <w:szCs w:val="20"/>
              </w:rPr>
              <w:sym w:font="Wingdings" w:char="F0FC"/>
            </w:r>
          </w:p>
        </w:tc>
        <w:tc>
          <w:tcPr>
            <w:tcW w:w="688" w:type="pct"/>
          </w:tcPr>
          <w:p w14:paraId="28D6A3F1" w14:textId="77777777" w:rsidR="00125521" w:rsidRPr="000B3827" w:rsidRDefault="00125521" w:rsidP="000B3827">
            <w:pPr>
              <w:jc w:val="center"/>
              <w:rPr>
                <w:sz w:val="20"/>
                <w:szCs w:val="20"/>
              </w:rPr>
            </w:pPr>
            <w:r w:rsidRPr="000B3827">
              <w:rPr>
                <w:sz w:val="20"/>
                <w:szCs w:val="20"/>
              </w:rPr>
              <w:t>–</w:t>
            </w:r>
          </w:p>
        </w:tc>
        <w:tc>
          <w:tcPr>
            <w:tcW w:w="528" w:type="pct"/>
          </w:tcPr>
          <w:p w14:paraId="4D5C0C26" w14:textId="77777777" w:rsidR="00125521" w:rsidRPr="000B3827" w:rsidRDefault="00125521" w:rsidP="000B3827">
            <w:pPr>
              <w:jc w:val="center"/>
              <w:rPr>
                <w:sz w:val="20"/>
                <w:szCs w:val="20"/>
              </w:rPr>
            </w:pPr>
            <w:r w:rsidRPr="000B3827">
              <w:rPr>
                <w:sz w:val="20"/>
                <w:szCs w:val="20"/>
              </w:rPr>
              <w:sym w:font="Wingdings" w:char="F0FC"/>
            </w:r>
          </w:p>
        </w:tc>
        <w:tc>
          <w:tcPr>
            <w:tcW w:w="713" w:type="pct"/>
          </w:tcPr>
          <w:p w14:paraId="5F4ADF1A" w14:textId="77777777" w:rsidR="00125521" w:rsidRPr="000B3827" w:rsidRDefault="00125521" w:rsidP="000B3827">
            <w:pPr>
              <w:jc w:val="center"/>
              <w:rPr>
                <w:sz w:val="20"/>
                <w:szCs w:val="20"/>
              </w:rPr>
            </w:pPr>
            <w:r w:rsidRPr="000B3827">
              <w:rPr>
                <w:sz w:val="20"/>
                <w:szCs w:val="20"/>
              </w:rPr>
              <w:t>–</w:t>
            </w:r>
          </w:p>
        </w:tc>
      </w:tr>
      <w:tr w:rsidR="00135255" w:rsidRPr="00135255" w14:paraId="3998563E" w14:textId="77777777" w:rsidTr="000B3827">
        <w:trPr>
          <w:trHeight w:val="178"/>
        </w:trPr>
        <w:tc>
          <w:tcPr>
            <w:tcW w:w="849" w:type="pct"/>
            <w:vMerge w:val="restart"/>
          </w:tcPr>
          <w:p w14:paraId="666916E3" w14:textId="77777777" w:rsidR="00125521" w:rsidRPr="000B3827" w:rsidRDefault="00125521" w:rsidP="000B3827">
            <w:pPr>
              <w:ind w:left="0"/>
              <w:rPr>
                <w:b/>
                <w:sz w:val="20"/>
                <w:szCs w:val="20"/>
              </w:rPr>
            </w:pPr>
            <w:r w:rsidRPr="000B3827">
              <w:rPr>
                <w:b/>
                <w:sz w:val="20"/>
                <w:szCs w:val="20"/>
              </w:rPr>
              <w:t>Missing information</w:t>
            </w:r>
          </w:p>
        </w:tc>
        <w:tc>
          <w:tcPr>
            <w:tcW w:w="1611" w:type="pct"/>
          </w:tcPr>
          <w:p w14:paraId="689FF2B5" w14:textId="77777777" w:rsidR="00125521" w:rsidRPr="000B3827" w:rsidRDefault="00125521" w:rsidP="000B3827">
            <w:pPr>
              <w:rPr>
                <w:sz w:val="20"/>
                <w:szCs w:val="20"/>
              </w:rPr>
            </w:pPr>
            <w:r w:rsidRPr="000B3827">
              <w:rPr>
                <w:sz w:val="20"/>
                <w:szCs w:val="20"/>
              </w:rPr>
              <w:t>Use in patients with severe renal impairment</w:t>
            </w:r>
          </w:p>
        </w:tc>
        <w:tc>
          <w:tcPr>
            <w:tcW w:w="612" w:type="pct"/>
          </w:tcPr>
          <w:p w14:paraId="5B2EE757" w14:textId="77777777" w:rsidR="00125521" w:rsidRPr="000B3827" w:rsidRDefault="00125521" w:rsidP="000B3827">
            <w:pPr>
              <w:jc w:val="center"/>
              <w:rPr>
                <w:sz w:val="20"/>
                <w:szCs w:val="20"/>
              </w:rPr>
            </w:pPr>
            <w:r w:rsidRPr="000B3827">
              <w:rPr>
                <w:sz w:val="20"/>
                <w:szCs w:val="20"/>
              </w:rPr>
              <w:sym w:font="Wingdings" w:char="F0FC"/>
            </w:r>
          </w:p>
        </w:tc>
        <w:tc>
          <w:tcPr>
            <w:tcW w:w="688" w:type="pct"/>
          </w:tcPr>
          <w:p w14:paraId="316DC96D" w14:textId="77777777" w:rsidR="00125521" w:rsidRPr="000B3827" w:rsidRDefault="00125521" w:rsidP="000B3827">
            <w:pPr>
              <w:jc w:val="center"/>
              <w:rPr>
                <w:sz w:val="20"/>
                <w:szCs w:val="20"/>
              </w:rPr>
            </w:pPr>
            <w:r w:rsidRPr="000B3827">
              <w:rPr>
                <w:sz w:val="20"/>
                <w:szCs w:val="20"/>
              </w:rPr>
              <w:t>–</w:t>
            </w:r>
          </w:p>
        </w:tc>
        <w:tc>
          <w:tcPr>
            <w:tcW w:w="528" w:type="pct"/>
          </w:tcPr>
          <w:p w14:paraId="5BD525C0" w14:textId="77777777" w:rsidR="00125521" w:rsidRPr="000B3827" w:rsidRDefault="00125521" w:rsidP="000B3827">
            <w:pPr>
              <w:jc w:val="center"/>
              <w:rPr>
                <w:sz w:val="20"/>
                <w:szCs w:val="20"/>
              </w:rPr>
            </w:pPr>
            <w:r w:rsidRPr="000B3827">
              <w:rPr>
                <w:sz w:val="20"/>
                <w:szCs w:val="20"/>
              </w:rPr>
              <w:sym w:font="Wingdings" w:char="F0FC"/>
            </w:r>
          </w:p>
        </w:tc>
        <w:tc>
          <w:tcPr>
            <w:tcW w:w="713" w:type="pct"/>
          </w:tcPr>
          <w:p w14:paraId="1B1617B6" w14:textId="77777777" w:rsidR="00125521" w:rsidRPr="000B3827" w:rsidRDefault="00125521" w:rsidP="000B3827">
            <w:pPr>
              <w:jc w:val="center"/>
              <w:rPr>
                <w:sz w:val="20"/>
                <w:szCs w:val="20"/>
              </w:rPr>
            </w:pPr>
            <w:r w:rsidRPr="000B3827">
              <w:rPr>
                <w:sz w:val="20"/>
                <w:szCs w:val="20"/>
              </w:rPr>
              <w:t>–</w:t>
            </w:r>
          </w:p>
        </w:tc>
      </w:tr>
      <w:tr w:rsidR="00135255" w:rsidRPr="00135255" w14:paraId="2CE2E22F" w14:textId="77777777" w:rsidTr="000B3827">
        <w:trPr>
          <w:trHeight w:val="140"/>
        </w:trPr>
        <w:tc>
          <w:tcPr>
            <w:tcW w:w="849" w:type="pct"/>
            <w:vMerge/>
          </w:tcPr>
          <w:p w14:paraId="24315A0C" w14:textId="77777777" w:rsidR="00125521" w:rsidRPr="000B3827" w:rsidRDefault="00125521" w:rsidP="000B3827">
            <w:pPr>
              <w:rPr>
                <w:sz w:val="20"/>
                <w:szCs w:val="20"/>
              </w:rPr>
            </w:pPr>
          </w:p>
        </w:tc>
        <w:tc>
          <w:tcPr>
            <w:tcW w:w="1611" w:type="pct"/>
          </w:tcPr>
          <w:p w14:paraId="145849D1" w14:textId="77777777" w:rsidR="00125521" w:rsidRPr="000B3827" w:rsidRDefault="00125521" w:rsidP="000B3827">
            <w:pPr>
              <w:rPr>
                <w:sz w:val="20"/>
                <w:szCs w:val="20"/>
              </w:rPr>
            </w:pPr>
            <w:r w:rsidRPr="000B3827">
              <w:rPr>
                <w:sz w:val="20"/>
                <w:szCs w:val="20"/>
              </w:rPr>
              <w:t>Use in patients with severe hepatic impairment</w:t>
            </w:r>
          </w:p>
        </w:tc>
        <w:tc>
          <w:tcPr>
            <w:tcW w:w="612" w:type="pct"/>
          </w:tcPr>
          <w:p w14:paraId="1A148708" w14:textId="77777777" w:rsidR="00125521" w:rsidRPr="000B3827" w:rsidRDefault="00125521" w:rsidP="000B3827">
            <w:pPr>
              <w:jc w:val="center"/>
              <w:rPr>
                <w:sz w:val="20"/>
                <w:szCs w:val="20"/>
              </w:rPr>
            </w:pPr>
            <w:r w:rsidRPr="000B3827">
              <w:rPr>
                <w:sz w:val="20"/>
                <w:szCs w:val="20"/>
              </w:rPr>
              <w:sym w:font="Wingdings" w:char="F0FC"/>
            </w:r>
          </w:p>
        </w:tc>
        <w:tc>
          <w:tcPr>
            <w:tcW w:w="688" w:type="pct"/>
          </w:tcPr>
          <w:p w14:paraId="208D08E9" w14:textId="77777777" w:rsidR="00125521" w:rsidRPr="000B3827" w:rsidRDefault="00125521" w:rsidP="000B3827">
            <w:pPr>
              <w:jc w:val="center"/>
              <w:rPr>
                <w:sz w:val="20"/>
                <w:szCs w:val="20"/>
              </w:rPr>
            </w:pPr>
            <w:r w:rsidRPr="000B3827">
              <w:rPr>
                <w:sz w:val="20"/>
                <w:szCs w:val="20"/>
              </w:rPr>
              <w:t>–</w:t>
            </w:r>
          </w:p>
        </w:tc>
        <w:tc>
          <w:tcPr>
            <w:tcW w:w="528" w:type="pct"/>
          </w:tcPr>
          <w:p w14:paraId="5D9BA5AA" w14:textId="77777777" w:rsidR="00125521" w:rsidRPr="000B3827" w:rsidRDefault="00125521" w:rsidP="000B3827">
            <w:pPr>
              <w:jc w:val="center"/>
              <w:rPr>
                <w:sz w:val="20"/>
                <w:szCs w:val="20"/>
              </w:rPr>
            </w:pPr>
            <w:r w:rsidRPr="000B3827">
              <w:rPr>
                <w:sz w:val="20"/>
                <w:szCs w:val="20"/>
              </w:rPr>
              <w:sym w:font="Wingdings" w:char="F0FC"/>
            </w:r>
          </w:p>
        </w:tc>
        <w:tc>
          <w:tcPr>
            <w:tcW w:w="713" w:type="pct"/>
          </w:tcPr>
          <w:p w14:paraId="372F4E7D" w14:textId="77777777" w:rsidR="00125521" w:rsidRPr="000B3827" w:rsidRDefault="00125521" w:rsidP="000B3827">
            <w:pPr>
              <w:jc w:val="center"/>
              <w:rPr>
                <w:sz w:val="20"/>
                <w:szCs w:val="20"/>
              </w:rPr>
            </w:pPr>
            <w:r w:rsidRPr="000B3827">
              <w:rPr>
                <w:sz w:val="20"/>
                <w:szCs w:val="20"/>
              </w:rPr>
              <w:t>–</w:t>
            </w:r>
          </w:p>
        </w:tc>
      </w:tr>
    </w:tbl>
    <w:p w14:paraId="73A242CB" w14:textId="75D3B36F" w:rsidR="006718C9" w:rsidRDefault="006718C9" w:rsidP="006718C9">
      <w:r>
        <w:t xml:space="preserve">The summary of safety concerns aligned with the EU-RMP and was acceptable at </w:t>
      </w:r>
      <w:r w:rsidR="00576080">
        <w:t>first and second r</w:t>
      </w:r>
      <w:r>
        <w:t xml:space="preserve">ounds </w:t>
      </w:r>
      <w:r w:rsidR="00576080">
        <w:t>of evaluation</w:t>
      </w:r>
      <w:r>
        <w:t xml:space="preserve">, however at </w:t>
      </w:r>
      <w:r w:rsidR="00576080">
        <w:t>third round of evaluation</w:t>
      </w:r>
      <w:r>
        <w:t xml:space="preserve"> the sponsor provided an approved EU-RMP which included an additional safety concern, ‘cataract’, which was not included in the ASA. The sponsor was requested to include the risk of ‘cataract’ in the ASA at </w:t>
      </w:r>
      <w:r w:rsidR="00576080">
        <w:t>third round of evaluation</w:t>
      </w:r>
      <w:r>
        <w:t xml:space="preserve"> </w:t>
      </w:r>
      <w:proofErr w:type="gramStart"/>
      <w:r>
        <w:t>in order to</w:t>
      </w:r>
      <w:proofErr w:type="gramEnd"/>
      <w:r>
        <w:t xml:space="preserve"> align with the EU-RMP, however the updated EU-RMP submitted at </w:t>
      </w:r>
      <w:r w:rsidR="00576080">
        <w:t>fourth round of evaluation</w:t>
      </w:r>
      <w:r>
        <w:t xml:space="preserve"> no longer included this safety concern. At </w:t>
      </w:r>
      <w:r w:rsidR="00576080">
        <w:t>fourth round of evaluation,</w:t>
      </w:r>
      <w:r>
        <w:t xml:space="preserve"> the summary of safety concerns in the ASA aligns with the EU</w:t>
      </w:r>
      <w:r w:rsidR="00553688">
        <w:noBreakHyphen/>
      </w:r>
      <w:r>
        <w:t>RMP. This is acceptable.</w:t>
      </w:r>
    </w:p>
    <w:p w14:paraId="019070B8" w14:textId="470EBA9B" w:rsidR="00135255" w:rsidRDefault="006718C9" w:rsidP="006718C9">
      <w:r>
        <w:t>Routine pharmacovigilance is proposed for all safety concerns. Additional pharmacovigilance was proposed for potential and identified risks at</w:t>
      </w:r>
      <w:r w:rsidR="00135255">
        <w:t xml:space="preserve"> the</w:t>
      </w:r>
      <w:r>
        <w:t xml:space="preserve"> </w:t>
      </w:r>
      <w:r w:rsidR="00576080">
        <w:t>first round of evaluation</w:t>
      </w:r>
      <w:r>
        <w:t xml:space="preserve">, however the sponsor confirmed at </w:t>
      </w:r>
      <w:r w:rsidR="00135255">
        <w:t xml:space="preserve">the </w:t>
      </w:r>
      <w:r w:rsidR="00576080">
        <w:t>second round of evaluation</w:t>
      </w:r>
      <w:r>
        <w:t xml:space="preserve"> that the trial had been completed and removed from the ASA. Further clarification on the status of safety updates from this trial have been requested. At </w:t>
      </w:r>
      <w:r w:rsidR="00135255">
        <w:t xml:space="preserve">the </w:t>
      </w:r>
      <w:r w:rsidR="00576080">
        <w:t>third round of evaluation,</w:t>
      </w:r>
      <w:r>
        <w:t xml:space="preserve"> the sponsor confirmed that no further additional pharmacovigilance activities are being carried out, and the sponsor has been requested to explain how risks will be characterised.</w:t>
      </w:r>
    </w:p>
    <w:p w14:paraId="32E94FC5" w14:textId="284D04AF" w:rsidR="006718C9" w:rsidRDefault="006718C9" w:rsidP="006718C9">
      <w:r>
        <w:lastRenderedPageBreak/>
        <w:t>At</w:t>
      </w:r>
      <w:r w:rsidR="00135255">
        <w:t xml:space="preserve"> the</w:t>
      </w:r>
      <w:r>
        <w:t xml:space="preserve"> </w:t>
      </w:r>
      <w:r w:rsidR="00576080">
        <w:t xml:space="preserve">fourth round of </w:t>
      </w:r>
      <w:r w:rsidR="00A93DA6" w:rsidRPr="00D45B08">
        <w:t>evaluation</w:t>
      </w:r>
      <w:r w:rsidR="00576080">
        <w:t>,</w:t>
      </w:r>
      <w:r>
        <w:t xml:space="preserve"> the sponsor included </w:t>
      </w:r>
      <w:r w:rsidR="00576080">
        <w:t>S</w:t>
      </w:r>
      <w:r>
        <w:t>tudy XPORT-DLBCL-030</w:t>
      </w:r>
      <w:r w:rsidR="00FF5BD2">
        <w:t>;</w:t>
      </w:r>
      <w:bookmarkStart w:id="62" w:name="_Ref117326956"/>
      <w:r w:rsidR="00FF5BD2">
        <w:rPr>
          <w:rStyle w:val="FootnoteReference"/>
        </w:rPr>
        <w:footnoteReference w:id="26"/>
      </w:r>
      <w:bookmarkEnd w:id="62"/>
      <w:r>
        <w:t xml:space="preserve"> in the pharmacovigilance plan of the ASA for all important identified risks. At</w:t>
      </w:r>
      <w:r w:rsidR="00135255">
        <w:t xml:space="preserve"> the</w:t>
      </w:r>
      <w:r w:rsidR="00576080">
        <w:t xml:space="preserve"> fifth round of evaluation, S</w:t>
      </w:r>
      <w:r>
        <w:t xml:space="preserve">tudy XPORT-DLBCL-030 has been removed from the pharmacovigilance plan in the ASA as the sponsor is no longer seeking the </w:t>
      </w:r>
      <w:r w:rsidR="00135255" w:rsidRPr="000B3827">
        <w:rPr>
          <w:i/>
          <w:color w:val="000000"/>
        </w:rPr>
        <w:t>relapsed or refractory diffuse large B</w:t>
      </w:r>
      <w:r w:rsidR="00135255" w:rsidRPr="000B3827">
        <w:rPr>
          <w:i/>
          <w:color w:val="000000"/>
        </w:rPr>
        <w:noBreakHyphen/>
        <w:t>cell lymphoma</w:t>
      </w:r>
      <w:r w:rsidR="00135255" w:rsidDel="00135255">
        <w:t xml:space="preserve"> </w:t>
      </w:r>
      <w:r>
        <w:t>indication. The pharmacovigilance plan is acceptable.</w:t>
      </w:r>
    </w:p>
    <w:p w14:paraId="2C662215" w14:textId="43A1C8F7" w:rsidR="00125521" w:rsidRDefault="006718C9" w:rsidP="006718C9">
      <w:r>
        <w:t xml:space="preserve">Routine risk minimisation is proposed for all safety concerns </w:t>
      </w:r>
      <w:proofErr w:type="gramStart"/>
      <w:r>
        <w:t>with the exception of</w:t>
      </w:r>
      <w:proofErr w:type="gramEnd"/>
      <w:r>
        <w:t xml:space="preserve"> the important </w:t>
      </w:r>
      <w:r w:rsidR="00A93DA6">
        <w:t xml:space="preserve">potential </w:t>
      </w:r>
      <w:r>
        <w:t>risk ‘</w:t>
      </w:r>
      <w:r w:rsidR="00135255">
        <w:t>a</w:t>
      </w:r>
      <w:r>
        <w:t xml:space="preserve">cute cerebellar syndrome’. Additional risk minimisation is not proposed. The CMI has been amended as requested and is acceptable at </w:t>
      </w:r>
      <w:r w:rsidR="00135255">
        <w:t xml:space="preserve">the </w:t>
      </w:r>
      <w:r w:rsidR="00576080">
        <w:t>third round of evaluation</w:t>
      </w:r>
      <w:r>
        <w:t xml:space="preserve">. At </w:t>
      </w:r>
      <w:r w:rsidR="00576080">
        <w:t>fourth round of evaluation,</w:t>
      </w:r>
      <w:r>
        <w:t xml:space="preserve"> the sponsor has updated the product packaging to include a QR code and appropriate wording informing consumers how the </w:t>
      </w:r>
      <w:r w:rsidR="00576080">
        <w:t>Consumer Medicines Information (</w:t>
      </w:r>
      <w:r>
        <w:t>CMI</w:t>
      </w:r>
      <w:r w:rsidR="00576080">
        <w:t>)</w:t>
      </w:r>
      <w:r>
        <w:t xml:space="preserve"> can be accessed. At </w:t>
      </w:r>
      <w:r w:rsidR="00135255">
        <w:t xml:space="preserve">the </w:t>
      </w:r>
      <w:r w:rsidR="00576080">
        <w:t xml:space="preserve">fifth round of </w:t>
      </w:r>
      <w:r w:rsidR="00A93DA6" w:rsidRPr="00D45B08">
        <w:t>evaluation</w:t>
      </w:r>
      <w:r w:rsidR="00576080" w:rsidRPr="00D45B08">
        <w:t>,</w:t>
      </w:r>
      <w:r w:rsidRPr="00D45B08">
        <w:t xml:space="preserve"> the</w:t>
      </w:r>
      <w:r>
        <w:t xml:space="preserve"> patient support program, which is not considered an additional risk minimisation activity, was removed from the ASA as requested.  The risk minimisation plan is acceptable.</w:t>
      </w:r>
    </w:p>
    <w:p w14:paraId="1FF2CC4C" w14:textId="77777777" w:rsidR="008E7846" w:rsidRDefault="00AA0ED0" w:rsidP="008E7846">
      <w:pPr>
        <w:pStyle w:val="Heading3"/>
      </w:pPr>
      <w:bookmarkStart w:id="63" w:name="_Toc119396516"/>
      <w:r>
        <w:t>Risk-benefit a</w:t>
      </w:r>
      <w:r w:rsidR="008E7846">
        <w:t>nalysis</w:t>
      </w:r>
      <w:bookmarkEnd w:id="57"/>
      <w:bookmarkEnd w:id="58"/>
      <w:bookmarkEnd w:id="63"/>
    </w:p>
    <w:p w14:paraId="40943D20" w14:textId="77777777" w:rsidR="0074163C" w:rsidRDefault="0074163C" w:rsidP="0074163C">
      <w:pPr>
        <w:pStyle w:val="Heading4"/>
      </w:pPr>
      <w:bookmarkStart w:id="64" w:name="_Toc98931932"/>
      <w:r>
        <w:t>Delegate’s considerations</w:t>
      </w:r>
      <w:bookmarkEnd w:id="64"/>
    </w:p>
    <w:p w14:paraId="4C32E018" w14:textId="30A78A5E" w:rsidR="00125521" w:rsidRDefault="00125521" w:rsidP="00125521">
      <w:r>
        <w:t xml:space="preserve">The SADAL trial </w:t>
      </w:r>
      <w:r w:rsidR="00135255">
        <w:t xml:space="preserve">(Study KCP-330-009) </w:t>
      </w:r>
      <w:r>
        <w:t xml:space="preserve">is the main evidence presented to support </w:t>
      </w:r>
      <w:proofErr w:type="spellStart"/>
      <w:r>
        <w:t>selinexor</w:t>
      </w:r>
      <w:proofErr w:type="spellEnd"/>
      <w:r>
        <w:t xml:space="preserve"> in </w:t>
      </w:r>
      <w:r w:rsidR="00135255" w:rsidRPr="000823B9">
        <w:rPr>
          <w:color w:val="000000"/>
        </w:rPr>
        <w:t>diffuse large B-cell lymphoma</w:t>
      </w:r>
      <w:r w:rsidR="00135255" w:rsidDel="00135255">
        <w:t xml:space="preserve"> </w:t>
      </w:r>
      <w:r w:rsidR="00135255">
        <w:t>(DLBCL)</w:t>
      </w:r>
      <w:r>
        <w:t>.</w:t>
      </w:r>
    </w:p>
    <w:p w14:paraId="56CBD913" w14:textId="77777777" w:rsidR="00125521" w:rsidRDefault="00125521" w:rsidP="00125521">
      <w:r>
        <w:t>There were nine versions of the protocol that add complexity to the understanding of the study.</w:t>
      </w:r>
    </w:p>
    <w:p w14:paraId="65539E5E" w14:textId="52A7197B" w:rsidR="00125521" w:rsidRDefault="00125521" w:rsidP="00125521">
      <w:r>
        <w:t xml:space="preserve">At </w:t>
      </w:r>
      <w:r w:rsidR="00576080">
        <w:t>a</w:t>
      </w:r>
      <w:r>
        <w:t>mendment 6 the inclusion criteria were expanded to include transformed DLBCL to add to the DLBCL</w:t>
      </w:r>
      <w:r w:rsidR="00576080">
        <w:t xml:space="preserve"> not otherwise specified</w:t>
      </w:r>
      <w:r>
        <w:t xml:space="preserve"> group, and the number of prior therapies expanded from 4 to 5 allowing for a more heavily pre-treated population.</w:t>
      </w:r>
    </w:p>
    <w:p w14:paraId="53EF6EA3" w14:textId="4A81AF82" w:rsidR="00125521" w:rsidRDefault="00125521" w:rsidP="00125521">
      <w:r>
        <w:t>After the preliminary analysis that resulted in the removal of the 100</w:t>
      </w:r>
      <w:r w:rsidR="00DE0361">
        <w:t xml:space="preserve"> </w:t>
      </w:r>
      <w:r>
        <w:t xml:space="preserve">mg </w:t>
      </w:r>
      <w:r w:rsidR="00DE0361">
        <w:t>twice weekly</w:t>
      </w:r>
      <w:r>
        <w:t xml:space="preserve"> treatment arm, the protocol was amendment to increase the time interval between the last treatment and study eligibility for the study. This may have introduced a survivor bias because patients needed to survive the discontinuation for 60 to 98 days from the previous treatment before being eligible for the </w:t>
      </w:r>
      <w:proofErr w:type="spellStart"/>
      <w:r>
        <w:t>selinexor</w:t>
      </w:r>
      <w:proofErr w:type="spellEnd"/>
      <w:r>
        <w:t xml:space="preserve">. The time interval of 14 weeks in this setting appears longer than is likely to be waited in the clinical setting for a patient that does not have a </w:t>
      </w:r>
      <w:r w:rsidR="00135255">
        <w:t xml:space="preserve">complete response </w:t>
      </w:r>
      <w:r>
        <w:t xml:space="preserve">or </w:t>
      </w:r>
      <w:r w:rsidR="00135255">
        <w:t>partial response</w:t>
      </w:r>
      <w:r>
        <w:t xml:space="preserve"> to the previous therapy and wishes to pursue further treatment options.</w:t>
      </w:r>
    </w:p>
    <w:p w14:paraId="23745209" w14:textId="0AC29D43" w:rsidR="00125521" w:rsidRDefault="00125521" w:rsidP="00125521">
      <w:r>
        <w:t xml:space="preserve">The primary analysis included data from 122 patients who received </w:t>
      </w:r>
      <w:proofErr w:type="spellStart"/>
      <w:r>
        <w:t>selinexor</w:t>
      </w:r>
      <w:proofErr w:type="spellEnd"/>
      <w:r>
        <w:t xml:space="preserve"> 60mg </w:t>
      </w:r>
      <w:r w:rsidR="00DE0361">
        <w:t>twice weekly</w:t>
      </w:r>
      <w:r>
        <w:t xml:space="preserve"> (Days 1 and 3 of each week) of each </w:t>
      </w:r>
      <w:proofErr w:type="gramStart"/>
      <w:r>
        <w:t>28 day</w:t>
      </w:r>
      <w:proofErr w:type="gramEnd"/>
      <w:r>
        <w:t xml:space="preserve"> cycle. The patients were mostly White, aged &lt; 70 years, male and with an ECOG </w:t>
      </w:r>
      <w:r w:rsidR="00135255">
        <w:t>performance status</w:t>
      </w:r>
      <w:r w:rsidR="00FF5BD2">
        <w:t xml:space="preserve"> </w:t>
      </w:r>
      <w:r>
        <w:t xml:space="preserve">of 0 or 1 (only 11% ECOG </w:t>
      </w:r>
      <w:r w:rsidR="00135255">
        <w:t xml:space="preserve">PS </w:t>
      </w:r>
      <w:r>
        <w:t xml:space="preserve">2 or 3) whose disease was mostly de novo, but whose disease had similar proportions of </w:t>
      </w:r>
      <w:r w:rsidR="003420EC" w:rsidRPr="003420EC">
        <w:t>germinal centr</w:t>
      </w:r>
      <w:r w:rsidR="00135255">
        <w:t>e</w:t>
      </w:r>
      <w:r w:rsidR="003420EC" w:rsidRPr="003420EC">
        <w:t xml:space="preserve"> </w:t>
      </w:r>
      <w:r w:rsidR="00135255">
        <w:t>B</w:t>
      </w:r>
      <w:r w:rsidR="003420EC" w:rsidRPr="003420EC">
        <w:t xml:space="preserve"> cells</w:t>
      </w:r>
      <w:r>
        <w:t xml:space="preserve"> and non-</w:t>
      </w:r>
      <w:r w:rsidR="003420EC" w:rsidRPr="003420EC">
        <w:t>germinal centr</w:t>
      </w:r>
      <w:r w:rsidR="00135255">
        <w:t>e</w:t>
      </w:r>
      <w:r w:rsidR="003420EC" w:rsidRPr="003420EC">
        <w:t xml:space="preserve"> </w:t>
      </w:r>
      <w:r w:rsidR="00135255">
        <w:t>B-</w:t>
      </w:r>
      <w:proofErr w:type="gramStart"/>
      <w:r w:rsidR="003420EC" w:rsidRPr="003420EC">
        <w:t>cells</w:t>
      </w:r>
      <w:proofErr w:type="gramEnd"/>
      <w:r>
        <w:t xml:space="preserve"> types.</w:t>
      </w:r>
    </w:p>
    <w:p w14:paraId="407BEF8C" w14:textId="3C3EEBEA" w:rsidR="00125521" w:rsidRDefault="00125521" w:rsidP="00125521">
      <w:r>
        <w:t xml:space="preserve">At the primary analysis overall response rate (by IRC) was 28.3%, with 11.8% with a complete response and 16.5% with a partial response 16.5%. Among the 36 responders, the median duration of response was 9.3 months. Overall survival and </w:t>
      </w:r>
      <w:r w:rsidR="00135255">
        <w:t xml:space="preserve">progression-free survival </w:t>
      </w:r>
      <w:r>
        <w:t xml:space="preserve">are more difficult to interpret in a single arm trial, but the exploratory </w:t>
      </w:r>
      <w:r w:rsidR="00135255">
        <w:t xml:space="preserve">overall survival </w:t>
      </w:r>
      <w:r>
        <w:t xml:space="preserve">data are promising in the responder cohort. The </w:t>
      </w:r>
      <w:r w:rsidR="00135255">
        <w:t xml:space="preserve">overall response rate </w:t>
      </w:r>
      <w:r>
        <w:t xml:space="preserve">is modest but with the duration of the response could be clinical meaningful in this </w:t>
      </w:r>
      <w:proofErr w:type="gramStart"/>
      <w:r>
        <w:t>setting, and</w:t>
      </w:r>
      <w:proofErr w:type="gramEnd"/>
      <w:r>
        <w:t xml:space="preserve"> is similar to that reported from a pooled analysis from two randomised studies and </w:t>
      </w:r>
      <w:r w:rsidR="005D1D34">
        <w:t xml:space="preserve">two </w:t>
      </w:r>
      <w:r>
        <w:t xml:space="preserve">academic databases of the SCHOLAR-1 </w:t>
      </w:r>
      <w:r w:rsidR="0021297C">
        <w:t>trial.</w:t>
      </w:r>
      <w:r w:rsidR="0021297C">
        <w:fldChar w:fldCharType="begin"/>
      </w:r>
      <w:r w:rsidR="0021297C">
        <w:instrText xml:space="preserve"> NOTEREF _Ref115080809 \f \h </w:instrText>
      </w:r>
      <w:r w:rsidR="0021297C">
        <w:fldChar w:fldCharType="separate"/>
      </w:r>
      <w:r w:rsidR="005D1D34" w:rsidRPr="000B3827">
        <w:rPr>
          <w:rStyle w:val="FootnoteReference"/>
        </w:rPr>
        <w:t>24</w:t>
      </w:r>
      <w:r w:rsidR="0021297C">
        <w:fldChar w:fldCharType="end"/>
      </w:r>
    </w:p>
    <w:p w14:paraId="6DA1A440" w14:textId="7811C0A0" w:rsidR="00125521" w:rsidRDefault="00125521" w:rsidP="00125521">
      <w:r>
        <w:lastRenderedPageBreak/>
        <w:t xml:space="preserve">The activity of </w:t>
      </w:r>
      <w:proofErr w:type="spellStart"/>
      <w:r>
        <w:t>selinexor</w:t>
      </w:r>
      <w:proofErr w:type="spellEnd"/>
      <w:r>
        <w:t xml:space="preserve"> in this setting is difficult to isolate from the activity of the disease. In support of the data from the STORM </w:t>
      </w:r>
      <w:r w:rsidR="003420EC">
        <w:t>trial</w:t>
      </w:r>
      <w:r w:rsidR="005D1D34">
        <w:t xml:space="preserve"> (Study KCP-330-012)</w:t>
      </w:r>
      <w:r>
        <w:t xml:space="preserve">, the BOSTON </w:t>
      </w:r>
      <w:r w:rsidR="003420EC">
        <w:t>trial</w:t>
      </w:r>
      <w:r>
        <w:t xml:space="preserve"> </w:t>
      </w:r>
      <w:r w:rsidR="005D1D34">
        <w:t xml:space="preserve">(Study KCP-330-023) </w:t>
      </w:r>
      <w:r>
        <w:t xml:space="preserve">assists with the ascertainment of </w:t>
      </w:r>
      <w:proofErr w:type="spellStart"/>
      <w:r>
        <w:t>selinexor</w:t>
      </w:r>
      <w:proofErr w:type="spellEnd"/>
      <w:r>
        <w:t xml:space="preserve"> efficacy in multiple myeloma that could be extrapolated to the single arm setting. For DLBCL, the submission does not include these data. The BOSTON </w:t>
      </w:r>
      <w:r w:rsidR="003420EC">
        <w:t>trial</w:t>
      </w:r>
      <w:r>
        <w:t xml:space="preserve"> also contributes important safety data in an earlier line of therapy.</w:t>
      </w:r>
    </w:p>
    <w:p w14:paraId="6D2715A5" w14:textId="6BDF81DD" w:rsidR="00125521" w:rsidRDefault="00125521" w:rsidP="00125521">
      <w:r>
        <w:t>Corticosteroids for systemic use was reported for 46.5% of the population.</w:t>
      </w:r>
      <w:r w:rsidR="003420EC">
        <w:t xml:space="preserve"> </w:t>
      </w:r>
      <w:r>
        <w:t xml:space="preserve">Dexamethasone was used by 22% of the study population as a concomitant medication, with 3.9% of the </w:t>
      </w:r>
      <w:proofErr w:type="spellStart"/>
      <w:r>
        <w:t>mITT</w:t>
      </w:r>
      <w:proofErr w:type="spellEnd"/>
      <w:r>
        <w:t xml:space="preserve"> population using dexamethasone in a prophylactic medication context. The doses taken were not specifically discussed but this raises an uncertainty about a synergistic effect and whether the steroid dosing may have contributed to efficacy in some patients, or whether a choice of other agents for nausea and vomiting prophylaxis may have been disadvantageous.</w:t>
      </w:r>
    </w:p>
    <w:p w14:paraId="0F765873" w14:textId="099528AA" w:rsidR="00125521" w:rsidRDefault="00125521" w:rsidP="00125521">
      <w:r>
        <w:t xml:space="preserve">The study allowed up to </w:t>
      </w:r>
      <w:r w:rsidR="003420EC">
        <w:t>five</w:t>
      </w:r>
      <w:r>
        <w:t xml:space="preserve"> prior therapies, however the indication seeks third line and above and does not seek to limit the indication further by lines of therapy. Around 80% of the participants in the study were receiving </w:t>
      </w:r>
      <w:proofErr w:type="spellStart"/>
      <w:r>
        <w:t>selinexor</w:t>
      </w:r>
      <w:proofErr w:type="spellEnd"/>
      <w:r>
        <w:t xml:space="preserve"> as a </w:t>
      </w:r>
      <w:proofErr w:type="gramStart"/>
      <w:r>
        <w:t>third or fourth line</w:t>
      </w:r>
      <w:proofErr w:type="gramEnd"/>
      <w:r>
        <w:t xml:space="preserve"> therapy.</w:t>
      </w:r>
    </w:p>
    <w:p w14:paraId="4A2BF0D8" w14:textId="3A45ABB8" w:rsidR="00125521" w:rsidRDefault="00125521" w:rsidP="00125521">
      <w:r>
        <w:t xml:space="preserve">The safety data illustrate a similar profile to that seen in the other studies haematological, gastroenterological, neurological, and ophthalmological toxicities, together with hyponatraemia. The median duration of exposure was 8 weeks, indicating early toxicity with </w:t>
      </w:r>
      <w:proofErr w:type="spellStart"/>
      <w:r>
        <w:t>selinexor</w:t>
      </w:r>
      <w:proofErr w:type="spellEnd"/>
      <w:r>
        <w:t>. The study benefits from the additional safety data from the BOSTON and STORM</w:t>
      </w:r>
      <w:r w:rsidR="003420EC">
        <w:t xml:space="preserve"> trials</w:t>
      </w:r>
      <w:r>
        <w:t xml:space="preserve">, with similar types of events and in similar proportions being reported. However </w:t>
      </w:r>
      <w:proofErr w:type="gramStart"/>
      <w:r>
        <w:t>long term</w:t>
      </w:r>
      <w:proofErr w:type="gramEnd"/>
      <w:r>
        <w:t xml:space="preserve"> safety data, including long term post-exposure data are limited.</w:t>
      </w:r>
    </w:p>
    <w:p w14:paraId="12C369BC" w14:textId="153F574E" w:rsidR="00125521" w:rsidRDefault="00125521" w:rsidP="00125521">
      <w:r>
        <w:t>It is the sponsor’s position that the submission is sufficient to meet the thresholds for full registration. The sponsor points to previous examples of early data, including single</w:t>
      </w:r>
      <w:r w:rsidR="003420EC">
        <w:t xml:space="preserve"> </w:t>
      </w:r>
      <w:r>
        <w:t xml:space="preserve">arm data in DLBCL and other indications that have led to full registration. Of note the sponsor refers to the registration of </w:t>
      </w:r>
      <w:proofErr w:type="spellStart"/>
      <w:r>
        <w:t>polatuzumab</w:t>
      </w:r>
      <w:proofErr w:type="spellEnd"/>
      <w:r>
        <w:t xml:space="preserve"> </w:t>
      </w:r>
      <w:proofErr w:type="spellStart"/>
      <w:r>
        <w:t>vedotin</w:t>
      </w:r>
      <w:proofErr w:type="spellEnd"/>
      <w:r w:rsidR="005D1D34">
        <w:t>;</w:t>
      </w:r>
      <w:bookmarkStart w:id="65" w:name="_Ref117327507"/>
      <w:r w:rsidR="005D1D34">
        <w:rPr>
          <w:rStyle w:val="FootnoteReference"/>
        </w:rPr>
        <w:footnoteReference w:id="27"/>
      </w:r>
      <w:bookmarkEnd w:id="65"/>
      <w:r w:rsidR="005D1D34">
        <w:rPr>
          <w:vertAlign w:val="superscript"/>
        </w:rPr>
        <w:t>,</w:t>
      </w:r>
      <w:bookmarkStart w:id="66" w:name="_Ref117327509"/>
      <w:r w:rsidR="005D1D34">
        <w:rPr>
          <w:rStyle w:val="FootnoteReference"/>
        </w:rPr>
        <w:footnoteReference w:id="28"/>
      </w:r>
      <w:bookmarkEnd w:id="66"/>
      <w:r>
        <w:t xml:space="preserve"> based on an early phase comparator study with the </w:t>
      </w:r>
      <w:r w:rsidR="005D1D34">
        <w:t xml:space="preserve">overall response rate </w:t>
      </w:r>
      <w:r>
        <w:t xml:space="preserve">for the combination of around 40%. The consideration for </w:t>
      </w:r>
      <w:proofErr w:type="spellStart"/>
      <w:r>
        <w:t>selinexor</w:t>
      </w:r>
      <w:proofErr w:type="spellEnd"/>
      <w:r>
        <w:t xml:space="preserve"> for this indication is based on the submission, and the concerns that arise are related to the uncertainties outlined above.</w:t>
      </w:r>
    </w:p>
    <w:p w14:paraId="028DCA9A" w14:textId="3A050FD2" w:rsidR="00CE3F41" w:rsidRDefault="00125521" w:rsidP="00125521">
      <w:r>
        <w:t>In the US</w:t>
      </w:r>
      <w:r w:rsidR="00CE3F41">
        <w:t>A</w:t>
      </w:r>
      <w:r>
        <w:t xml:space="preserve">, based on the same study an indication was granted with accelerated approval, </w:t>
      </w:r>
      <w:proofErr w:type="gramStart"/>
      <w:r>
        <w:t>similar to</w:t>
      </w:r>
      <w:proofErr w:type="gramEnd"/>
      <w:r>
        <w:t xml:space="preserve"> provisional registration in Australia. An additional study is to be conducted by the sponsor to fulfill requirements for a confirmatory study following the </w:t>
      </w:r>
      <w:r w:rsidR="00CE3F41">
        <w:t>US Food and Drug Administration’s (</w:t>
      </w:r>
      <w:r>
        <w:t>FDA</w:t>
      </w:r>
      <w:r w:rsidR="00CE3F41">
        <w:t>)</w:t>
      </w:r>
      <w:r>
        <w:t xml:space="preserve"> granting of accelerated approval in DLBCL.</w:t>
      </w:r>
    </w:p>
    <w:p w14:paraId="6DBC0DE9" w14:textId="6F3CC5E0" w:rsidR="00125521" w:rsidRDefault="00125521" w:rsidP="00125521">
      <w:r>
        <w:t xml:space="preserve">Study XPORT-DLBCL-030 is a </w:t>
      </w:r>
      <w:r w:rsidR="003420EC">
        <w:t>P</w:t>
      </w:r>
      <w:r>
        <w:t xml:space="preserve">hase </w:t>
      </w:r>
      <w:r w:rsidR="003420EC">
        <w:t>II</w:t>
      </w:r>
      <w:r>
        <w:t>/</w:t>
      </w:r>
      <w:r w:rsidR="003420EC">
        <w:t>III</w:t>
      </w:r>
      <w:r>
        <w:t xml:space="preserve"> study to evaluate the efficacy and safety of the combination of </w:t>
      </w:r>
      <w:proofErr w:type="spellStart"/>
      <w:r>
        <w:t>selinexor</w:t>
      </w:r>
      <w:proofErr w:type="spellEnd"/>
      <w:r>
        <w:t xml:space="preserve"> with rituximab, gemcitabine, </w:t>
      </w:r>
      <w:proofErr w:type="gramStart"/>
      <w:r>
        <w:t>dexamethasone</w:t>
      </w:r>
      <w:proofErr w:type="gramEnd"/>
      <w:r>
        <w:t xml:space="preserve"> and platinum in patients with relapsed or refractory DLBCL who are not intended to receive haematopoietic stem cell transplantation or chimeric antigen receptor T</w:t>
      </w:r>
      <w:r w:rsidR="003420EC">
        <w:t>-c</w:t>
      </w:r>
      <w:r>
        <w:t xml:space="preserve">ell therapy (CAR-T). In response to questions the sponsor provided details of the study. It is considered this study will be very useful to isolate the effects of </w:t>
      </w:r>
      <w:proofErr w:type="spellStart"/>
      <w:r>
        <w:t>selinexor</w:t>
      </w:r>
      <w:proofErr w:type="spellEnd"/>
      <w:r>
        <w:t xml:space="preserve"> in DLBCL and to further inform its potential in an earlier line of therapy as a combination therapy option. The comparative study may also address some of the uncertainties that arise from the SADAL </w:t>
      </w:r>
      <w:r w:rsidR="0083103C">
        <w:t>trial</w:t>
      </w:r>
      <w:r>
        <w:t>.</w:t>
      </w:r>
    </w:p>
    <w:p w14:paraId="382D547F" w14:textId="77777777" w:rsidR="0074163C" w:rsidRDefault="0074163C" w:rsidP="0074163C">
      <w:pPr>
        <w:pStyle w:val="Heading4"/>
      </w:pPr>
      <w:bookmarkStart w:id="67" w:name="_Toc98931933"/>
      <w:r w:rsidRPr="00D23139">
        <w:t>Proposed action</w:t>
      </w:r>
      <w:bookmarkEnd w:id="67"/>
    </w:p>
    <w:p w14:paraId="3E0F6633" w14:textId="0980135F" w:rsidR="0074163C" w:rsidRPr="00456765" w:rsidRDefault="006718C9" w:rsidP="006718C9">
      <w:r>
        <w:t xml:space="preserve">There are uncertainties that arise from the study design, and patient selection, that raise doubt about whether efficacy can be established with these data for </w:t>
      </w:r>
      <w:proofErr w:type="spellStart"/>
      <w:r>
        <w:t>selinexor</w:t>
      </w:r>
      <w:proofErr w:type="spellEnd"/>
      <w:r>
        <w:t xml:space="preserve"> sufficient for </w:t>
      </w:r>
      <w:r>
        <w:lastRenderedPageBreak/>
        <w:t xml:space="preserve">full registration. Because there is concern about the efficacy it is difficult to reconcile the safety concerns that impact multiple organ systems, have their own </w:t>
      </w:r>
      <w:proofErr w:type="gramStart"/>
      <w:r>
        <w:t>morbidity</w:t>
      </w:r>
      <w:proofErr w:type="gramEnd"/>
      <w:r>
        <w:t xml:space="preserve"> and have a potentially significant impact on quality of life. Subject to the advice of the ACM, it is not clear to the Delegate that </w:t>
      </w:r>
      <w:r w:rsidR="00CE3F41">
        <w:t xml:space="preserve">for </w:t>
      </w:r>
      <w:r>
        <w:t xml:space="preserve">this indication </w:t>
      </w:r>
      <w:proofErr w:type="spellStart"/>
      <w:r>
        <w:t>selinexor</w:t>
      </w:r>
      <w:proofErr w:type="spellEnd"/>
      <w:r>
        <w:t xml:space="preserve"> is supported by sufficiently robust efficacy findings to offset the potential harms.</w:t>
      </w:r>
    </w:p>
    <w:p w14:paraId="6FD0991A" w14:textId="77777777" w:rsidR="0074163C" w:rsidRDefault="0074163C" w:rsidP="0074163C">
      <w:pPr>
        <w:pStyle w:val="Heading4"/>
      </w:pPr>
      <w:bookmarkStart w:id="68" w:name="_Toc98931934"/>
      <w:r>
        <w:t>Questions for the sponsor</w:t>
      </w:r>
      <w:bookmarkEnd w:id="68"/>
    </w:p>
    <w:p w14:paraId="308E6DD6" w14:textId="2F9683DE" w:rsidR="0074163C" w:rsidRDefault="0074163C" w:rsidP="0074163C">
      <w:r>
        <w:t>The sponsor provided the following response to questions from the Delegate.</w:t>
      </w:r>
    </w:p>
    <w:p w14:paraId="150411C7" w14:textId="7329EF54" w:rsidR="006718C9" w:rsidRDefault="006718C9" w:rsidP="00767359">
      <w:pPr>
        <w:pStyle w:val="Numberbullet0"/>
        <w:rPr>
          <w:b/>
          <w:bCs/>
          <w:i/>
          <w:iCs/>
        </w:rPr>
      </w:pPr>
      <w:r w:rsidRPr="00767359">
        <w:rPr>
          <w:b/>
          <w:bCs/>
          <w:i/>
          <w:iCs/>
        </w:rPr>
        <w:t xml:space="preserve">Does </w:t>
      </w:r>
      <w:proofErr w:type="spellStart"/>
      <w:r w:rsidRPr="00767359">
        <w:rPr>
          <w:b/>
          <w:bCs/>
          <w:i/>
          <w:iCs/>
        </w:rPr>
        <w:t>selinexor</w:t>
      </w:r>
      <w:proofErr w:type="spellEnd"/>
      <w:r w:rsidRPr="00767359">
        <w:rPr>
          <w:b/>
          <w:bCs/>
          <w:i/>
          <w:iCs/>
        </w:rPr>
        <w:t xml:space="preserve"> have toxicities that are consider</w:t>
      </w:r>
      <w:r w:rsidR="001E798E">
        <w:rPr>
          <w:b/>
          <w:bCs/>
          <w:i/>
          <w:iCs/>
        </w:rPr>
        <w:t>ed maximum concentration</w:t>
      </w:r>
      <w:r w:rsidR="001E798E">
        <w:rPr>
          <w:b/>
          <w:bCs/>
          <w:i/>
          <w:iCs/>
        </w:rPr>
        <w:noBreakHyphen/>
      </w:r>
      <w:r w:rsidRPr="00767359">
        <w:rPr>
          <w:b/>
          <w:bCs/>
          <w:i/>
          <w:iCs/>
        </w:rPr>
        <w:t>dependent? If so, what intrinsic or extrinsic factors contribute?</w:t>
      </w:r>
    </w:p>
    <w:p w14:paraId="520349CD" w14:textId="6DE19A03" w:rsidR="00114405" w:rsidRDefault="00114405" w:rsidP="00114405">
      <w:r>
        <w:t xml:space="preserve">In the STORM </w:t>
      </w:r>
      <w:r w:rsidR="0021297C">
        <w:t xml:space="preserve">trial </w:t>
      </w:r>
      <w:r w:rsidR="001E798E">
        <w:t xml:space="preserve">(Study KCP-330-012; part of the </w:t>
      </w:r>
      <w:r>
        <w:t>sponsor</w:t>
      </w:r>
      <w:r w:rsidR="001E798E">
        <w:t>’s</w:t>
      </w:r>
      <w:r>
        <w:t xml:space="preserve"> submitted dossier), exposure response safety analyses in patients with </w:t>
      </w:r>
      <w:r w:rsidR="0083103C">
        <w:t>multiple myeloma</w:t>
      </w:r>
      <w:r>
        <w:t xml:space="preserve"> were conducted to evaluate the effect of exposure (</w:t>
      </w:r>
      <w:r w:rsidR="001E798E">
        <w:t>by area under the curve (</w:t>
      </w:r>
      <w:r>
        <w:t>AUC)</w:t>
      </w:r>
      <w:r w:rsidR="001E798E">
        <w:t>)</w:t>
      </w:r>
      <w:r>
        <w:t xml:space="preserve"> and dose intensity on the common and clinically relevant </w:t>
      </w:r>
      <w:r w:rsidR="001E798E">
        <w:t>treatment-emergent adverse events (</w:t>
      </w:r>
      <w:r>
        <w:t>TEAEs</w:t>
      </w:r>
      <w:r w:rsidR="001E798E">
        <w:t>)</w:t>
      </w:r>
      <w:r>
        <w:t xml:space="preserve"> of Grade</w:t>
      </w:r>
      <w:r w:rsidR="0021297C">
        <w:t> </w:t>
      </w:r>
      <w:r>
        <w:t xml:space="preserve">3 or higher during </w:t>
      </w:r>
      <w:proofErr w:type="spellStart"/>
      <w:r>
        <w:t>selinexor</w:t>
      </w:r>
      <w:proofErr w:type="spellEnd"/>
      <w:r>
        <w:t xml:space="preserve"> treatment including hyponatremia, thrombocytopenia, nausea/vomiting, fatigue, diarrhoea, and decreased weight. There were statistically significant trends for Grade 3 and 4 </w:t>
      </w:r>
      <w:r w:rsidR="001E798E">
        <w:t>adverse events (</w:t>
      </w:r>
      <w:r>
        <w:t>AEs</w:t>
      </w:r>
      <w:r w:rsidR="001E798E">
        <w:t>)</w:t>
      </w:r>
      <w:r>
        <w:t xml:space="preserve"> of thrombocytopenia, hyponatremia, and fatigue for both exposure (</w:t>
      </w:r>
      <w:r w:rsidR="001E798E">
        <w:t xml:space="preserve">by </w:t>
      </w:r>
      <w:r>
        <w:t xml:space="preserve">AUC) and dose intensity analyses. </w:t>
      </w:r>
      <w:r w:rsidR="001E798E">
        <w:t>Maximum concentration (</w:t>
      </w:r>
      <w:proofErr w:type="spellStart"/>
      <w:r>
        <w:t>C</w:t>
      </w:r>
      <w:r w:rsidRPr="00C93176">
        <w:rPr>
          <w:vertAlign w:val="subscript"/>
        </w:rPr>
        <w:t>max</w:t>
      </w:r>
      <w:proofErr w:type="spellEnd"/>
      <w:r w:rsidR="001E798E">
        <w:t xml:space="preserve">) </w:t>
      </w:r>
      <w:r>
        <w:t>was not used as an exposure metric in this evaluation.</w:t>
      </w:r>
    </w:p>
    <w:p w14:paraId="012950FD" w14:textId="771650AA" w:rsidR="00114405" w:rsidRDefault="00114405" w:rsidP="00114405">
      <w:r>
        <w:t xml:space="preserve">Exposure-response safety analyses were also conducted for patients with non-Hodgkin's lymphoma using exposure metrics such as </w:t>
      </w:r>
      <w:proofErr w:type="spellStart"/>
      <w:r>
        <w:t>C</w:t>
      </w:r>
      <w:r w:rsidRPr="00C93176">
        <w:rPr>
          <w:vertAlign w:val="subscript"/>
        </w:rPr>
        <w:t>max</w:t>
      </w:r>
      <w:proofErr w:type="spellEnd"/>
      <w:r>
        <w:t xml:space="preserve">, AUC, average concentration to the time of event and average concentration to the end of treatment. AUC was found to be the best predictor for decreased appetite (Grade 3+), fatigue (Grade 2+), blurred vision (Grade 1+), vomiting (Grade 2+) and time to event for discontinuations due to TEAE and thrombocytopenia (Grade 3+). For these adverse events, except for dose modifications, </w:t>
      </w:r>
      <w:proofErr w:type="spellStart"/>
      <w:r>
        <w:t>C</w:t>
      </w:r>
      <w:r w:rsidRPr="00C93176">
        <w:rPr>
          <w:vertAlign w:val="subscript"/>
        </w:rPr>
        <w:t>max</w:t>
      </w:r>
      <w:proofErr w:type="spellEnd"/>
      <w:r>
        <w:t xml:space="preserve"> was the best predictor for dose modification.</w:t>
      </w:r>
    </w:p>
    <w:p w14:paraId="54D8F046" w14:textId="4A8FFBD9" w:rsidR="00D34B38" w:rsidRDefault="00114405" w:rsidP="00114405">
      <w:r>
        <w:t>The exposure-safety response analysis for safety endpoints indicated that for patients with non-Hodgkin's lymphoma, AUC was found to be the best predictor for decreased appetite (Grade 3+), fatigue (Grade 2+), blurred vision (Grade 1+), vomiting (Grade 2+) and time to event for discontinuations due to TEAE</w:t>
      </w:r>
      <w:r w:rsidR="001E798E">
        <w:t>s</w:t>
      </w:r>
      <w:r>
        <w:t xml:space="preserve"> and thrombocytopenia (Grade 3+). </w:t>
      </w:r>
      <w:proofErr w:type="spellStart"/>
      <w:r>
        <w:t>C</w:t>
      </w:r>
      <w:r w:rsidRPr="00C93176">
        <w:rPr>
          <w:vertAlign w:val="subscript"/>
        </w:rPr>
        <w:t>max</w:t>
      </w:r>
      <w:proofErr w:type="spellEnd"/>
      <w:r>
        <w:t xml:space="preserve"> was the best predictor for dose modification only. The selection of the exposure metric as the best predictor was based on results from univariate logistic regression analyses (results with a positive slope and a smallest p-value). For dose modification, the p-value for </w:t>
      </w:r>
      <w:proofErr w:type="spellStart"/>
      <w:r>
        <w:t>C</w:t>
      </w:r>
      <w:r w:rsidRPr="00C93176">
        <w:rPr>
          <w:vertAlign w:val="subscript"/>
        </w:rPr>
        <w:t>max</w:t>
      </w:r>
      <w:proofErr w:type="spellEnd"/>
      <w:r>
        <w:t xml:space="preserve"> was slightly lower than the p-value for AUC (p</w:t>
      </w:r>
      <w:r w:rsidR="00C93176">
        <w:t xml:space="preserve"> </w:t>
      </w:r>
      <w:r>
        <w:t>=</w:t>
      </w:r>
      <w:r w:rsidR="00C93176">
        <w:t xml:space="preserve"> </w:t>
      </w:r>
      <w:r>
        <w:t>0.003 v</w:t>
      </w:r>
      <w:r w:rsidR="00C93176">
        <w:t>ersus</w:t>
      </w:r>
      <w:r>
        <w:t xml:space="preserve"> p</w:t>
      </w:r>
      <w:r w:rsidR="00C93176">
        <w:t xml:space="preserve"> </w:t>
      </w:r>
      <w:r>
        <w:t>=</w:t>
      </w:r>
      <w:r w:rsidR="00C93176">
        <w:t xml:space="preserve"> </w:t>
      </w:r>
      <w:r>
        <w:t xml:space="preserve">0.006) and </w:t>
      </w:r>
      <w:proofErr w:type="spellStart"/>
      <w:r>
        <w:t>C</w:t>
      </w:r>
      <w:r w:rsidRPr="00C93176">
        <w:rPr>
          <w:vertAlign w:val="subscript"/>
        </w:rPr>
        <w:t>max</w:t>
      </w:r>
      <w:proofErr w:type="spellEnd"/>
      <w:r>
        <w:t xml:space="preserve"> was selected as the predictor. As AUC and </w:t>
      </w:r>
      <w:proofErr w:type="spellStart"/>
      <w:r>
        <w:t>C</w:t>
      </w:r>
      <w:r w:rsidRPr="000B3827">
        <w:rPr>
          <w:vertAlign w:val="subscript"/>
        </w:rPr>
        <w:t>max</w:t>
      </w:r>
      <w:proofErr w:type="spellEnd"/>
      <w:r>
        <w:t xml:space="preserve"> are usually highly correlated, there is a potential for </w:t>
      </w:r>
      <w:proofErr w:type="spellStart"/>
      <w:r>
        <w:t>C</w:t>
      </w:r>
      <w:r w:rsidRPr="00C93176">
        <w:rPr>
          <w:vertAlign w:val="subscript"/>
        </w:rPr>
        <w:t>max</w:t>
      </w:r>
      <w:proofErr w:type="spellEnd"/>
      <w:r>
        <w:t xml:space="preserve"> to be selected as the best predictor although the safety endpoint may be driven by mainly by AUC.</w:t>
      </w:r>
    </w:p>
    <w:p w14:paraId="341269DF" w14:textId="09ACBEBF" w:rsidR="00114405" w:rsidRDefault="00114405" w:rsidP="00114405">
      <w:r>
        <w:t xml:space="preserve">The above exposure-response relationships were found to be relatively flat such that a change in the dose from 60 mg </w:t>
      </w:r>
      <w:r w:rsidR="00DE0361">
        <w:t>twice weekly</w:t>
      </w:r>
      <w:r>
        <w:t xml:space="preserve"> to 40 mg </w:t>
      </w:r>
      <w:r w:rsidR="00DE0361">
        <w:t>twice weekly</w:t>
      </w:r>
      <w:r>
        <w:t xml:space="preserve"> was predicted to reduce the frequency of the AEs by approximately 5% or less.</w:t>
      </w:r>
    </w:p>
    <w:p w14:paraId="48125D70" w14:textId="0347BFC8" w:rsidR="00114405" w:rsidRDefault="00114405" w:rsidP="00114405">
      <w:r>
        <w:t xml:space="preserve">In terms of intrinsic factors, lower body weight and to a smaller extent sex were found to </w:t>
      </w:r>
      <w:proofErr w:type="gramStart"/>
      <w:r>
        <w:t>have an effect on</w:t>
      </w:r>
      <w:proofErr w:type="gramEnd"/>
      <w:r>
        <w:t xml:space="preserve"> </w:t>
      </w:r>
      <w:proofErr w:type="spellStart"/>
      <w:r>
        <w:t>selinexor</w:t>
      </w:r>
      <w:proofErr w:type="spellEnd"/>
      <w:r>
        <w:t xml:space="preserve"> </w:t>
      </w:r>
      <w:r w:rsidR="00C93176">
        <w:t>pharmacokinetics</w:t>
      </w:r>
      <w:r>
        <w:t xml:space="preserve"> exposure parameters, such as AUC and </w:t>
      </w:r>
      <w:proofErr w:type="spellStart"/>
      <w:r>
        <w:t>C</w:t>
      </w:r>
      <w:r w:rsidRPr="00C93176">
        <w:rPr>
          <w:vertAlign w:val="subscript"/>
        </w:rPr>
        <w:t>max</w:t>
      </w:r>
      <w:proofErr w:type="spellEnd"/>
      <w:r>
        <w:t xml:space="preserve">. The effects of body weight and sex on AUC or </w:t>
      </w:r>
      <w:proofErr w:type="spellStart"/>
      <w:r>
        <w:t>C</w:t>
      </w:r>
      <w:r w:rsidRPr="00C93176">
        <w:rPr>
          <w:vertAlign w:val="subscript"/>
        </w:rPr>
        <w:t>max</w:t>
      </w:r>
      <w:proofErr w:type="spellEnd"/>
      <w:r>
        <w:t xml:space="preserve"> were small and the flat exposure safety response relationships </w:t>
      </w:r>
      <w:proofErr w:type="gramStart"/>
      <w:r>
        <w:t>were considered to be</w:t>
      </w:r>
      <w:proofErr w:type="gramEnd"/>
      <w:r>
        <w:t xml:space="preserve"> clinically not relevant. In</w:t>
      </w:r>
      <w:r w:rsidR="00C93176">
        <w:t xml:space="preserve"> </w:t>
      </w:r>
      <w:r>
        <w:t xml:space="preserve">Report MS-002 (not in scope of this </w:t>
      </w:r>
      <w:proofErr w:type="spellStart"/>
      <w:r>
        <w:t>AusPAR</w:t>
      </w:r>
      <w:proofErr w:type="spellEnd"/>
      <w:r>
        <w:t xml:space="preserve">), body weight and sex were found not to be a significant covariate for any of the </w:t>
      </w:r>
      <w:proofErr w:type="gramStart"/>
      <w:r>
        <w:t>aforementioned relationships</w:t>
      </w:r>
      <w:proofErr w:type="gramEnd"/>
      <w:r>
        <w:t>.</w:t>
      </w:r>
    </w:p>
    <w:p w14:paraId="5BC22800" w14:textId="02DE4959" w:rsidR="00114405" w:rsidRDefault="00114405" w:rsidP="00114405">
      <w:r>
        <w:t xml:space="preserve">In terms of extrinsic factors, although </w:t>
      </w:r>
      <w:proofErr w:type="spellStart"/>
      <w:r>
        <w:t>selinexor</w:t>
      </w:r>
      <w:proofErr w:type="spellEnd"/>
      <w:r>
        <w:t xml:space="preserve"> was found to be a substrate of CYP3A in vitro, recent results from </w:t>
      </w:r>
      <w:r w:rsidR="00C93176">
        <w:t xml:space="preserve">Study </w:t>
      </w:r>
      <w:r w:rsidR="00C93176" w:rsidRPr="006F009F">
        <w:t>KCP-330-017</w:t>
      </w:r>
      <w:r>
        <w:t xml:space="preserve"> (abbreviated </w:t>
      </w:r>
      <w:r w:rsidR="001E798E">
        <w:t>clinical study report, also known as the STOMP trial</w:t>
      </w:r>
      <w:r>
        <w:t>)</w:t>
      </w:r>
      <w:r w:rsidR="001E798E">
        <w:t>;</w:t>
      </w:r>
      <w:r w:rsidR="001E798E" w:rsidRPr="000B3827">
        <w:rPr>
          <w:vertAlign w:val="superscript"/>
        </w:rPr>
        <w:fldChar w:fldCharType="begin"/>
      </w:r>
      <w:r w:rsidR="001E798E" w:rsidRPr="000B3827">
        <w:rPr>
          <w:vertAlign w:val="superscript"/>
        </w:rPr>
        <w:instrText xml:space="preserve"> NOTEREF _Ref117319895 \h </w:instrText>
      </w:r>
      <w:r w:rsidR="001E798E">
        <w:rPr>
          <w:vertAlign w:val="superscript"/>
        </w:rPr>
        <w:instrText xml:space="preserve"> \* MERGEFORMAT </w:instrText>
      </w:r>
      <w:r w:rsidR="001E798E" w:rsidRPr="000B3827">
        <w:rPr>
          <w:vertAlign w:val="superscript"/>
        </w:rPr>
      </w:r>
      <w:r w:rsidR="001E798E" w:rsidRPr="000B3827">
        <w:rPr>
          <w:vertAlign w:val="superscript"/>
        </w:rPr>
        <w:fldChar w:fldCharType="separate"/>
      </w:r>
      <w:r w:rsidR="001E798E" w:rsidRPr="000B3827">
        <w:rPr>
          <w:vertAlign w:val="superscript"/>
        </w:rPr>
        <w:t>11</w:t>
      </w:r>
      <w:r w:rsidR="001E798E" w:rsidRPr="000B3827">
        <w:rPr>
          <w:vertAlign w:val="superscript"/>
        </w:rPr>
        <w:fldChar w:fldCharType="end"/>
      </w:r>
      <w:r>
        <w:t xml:space="preserve"> indicated that co</w:t>
      </w:r>
      <w:r w:rsidR="00C93176">
        <w:noBreakHyphen/>
      </w:r>
      <w:r>
        <w:t xml:space="preserve">administration with a clarithromycin, a </w:t>
      </w:r>
      <w:r>
        <w:lastRenderedPageBreak/>
        <w:t xml:space="preserve">strong CYP3A inhibitor had no effect on the PK of </w:t>
      </w:r>
      <w:proofErr w:type="spellStart"/>
      <w:r>
        <w:t>selinexor</w:t>
      </w:r>
      <w:proofErr w:type="spellEnd"/>
      <w:r>
        <w:t>, indicating no potential safety risk in co</w:t>
      </w:r>
      <w:r w:rsidR="001E798E">
        <w:noBreakHyphen/>
      </w:r>
      <w:r>
        <w:t>administration with strong inducers as well.</w:t>
      </w:r>
    </w:p>
    <w:p w14:paraId="12A786A0" w14:textId="20F2A552" w:rsidR="00114405" w:rsidRPr="00767359" w:rsidRDefault="00114405" w:rsidP="00114405">
      <w:r>
        <w:t xml:space="preserve">In summary, the </w:t>
      </w:r>
      <w:proofErr w:type="gramStart"/>
      <w:r>
        <w:t>PK</w:t>
      </w:r>
      <w:proofErr w:type="gramEnd"/>
      <w:r>
        <w:t xml:space="preserve"> and the exposure-response relationships of </w:t>
      </w:r>
      <w:proofErr w:type="spellStart"/>
      <w:r>
        <w:t>selinexor</w:t>
      </w:r>
      <w:proofErr w:type="spellEnd"/>
      <w:r>
        <w:t xml:space="preserve"> are not affected by most intrinsic and extrinsic factors and the information provided in the PI related to intrinsic and extrinsic factors is deemed to be adequate.</w:t>
      </w:r>
    </w:p>
    <w:p w14:paraId="582AC008" w14:textId="35B5AA61" w:rsidR="006718C9" w:rsidRPr="00767359" w:rsidRDefault="006718C9" w:rsidP="00C53310">
      <w:pPr>
        <w:pStyle w:val="Numberbullet0"/>
        <w:rPr>
          <w:b/>
          <w:bCs/>
          <w:i/>
          <w:iCs/>
        </w:rPr>
      </w:pPr>
      <w:r w:rsidRPr="00767359">
        <w:rPr>
          <w:b/>
          <w:bCs/>
          <w:i/>
          <w:iCs/>
        </w:rPr>
        <w:t xml:space="preserve">A Phase </w:t>
      </w:r>
      <w:r w:rsidR="00C53310" w:rsidRPr="00767359">
        <w:rPr>
          <w:b/>
          <w:bCs/>
          <w:i/>
          <w:iCs/>
        </w:rPr>
        <w:t>II</w:t>
      </w:r>
      <w:r w:rsidRPr="00767359">
        <w:rPr>
          <w:b/>
          <w:bCs/>
          <w:i/>
          <w:iCs/>
        </w:rPr>
        <w:t>b, randomised, open-label study (</w:t>
      </w:r>
      <w:r w:rsidR="008F0B15">
        <w:rPr>
          <w:b/>
          <w:bCs/>
          <w:i/>
          <w:iCs/>
        </w:rPr>
        <w:t xml:space="preserve">Study </w:t>
      </w:r>
      <w:r w:rsidRPr="00767359">
        <w:rPr>
          <w:b/>
          <w:bCs/>
          <w:i/>
          <w:iCs/>
        </w:rPr>
        <w:t>XPORT-MM-028)</w:t>
      </w:r>
      <w:r w:rsidRPr="00767359">
        <w:rPr>
          <w:rStyle w:val="FootnoteReference"/>
          <w:b/>
          <w:bCs/>
          <w:i/>
          <w:iCs/>
        </w:rPr>
        <w:t xml:space="preserve"> </w:t>
      </w:r>
      <w:r w:rsidRPr="00767359">
        <w:rPr>
          <w:b/>
          <w:bCs/>
          <w:i/>
          <w:iCs/>
        </w:rPr>
        <w:t xml:space="preserve">is underway to investigate the </w:t>
      </w:r>
      <w:proofErr w:type="spellStart"/>
      <w:r w:rsidRPr="00767359">
        <w:rPr>
          <w:b/>
          <w:bCs/>
          <w:i/>
          <w:iCs/>
        </w:rPr>
        <w:t>selinexor</w:t>
      </w:r>
      <w:proofErr w:type="spellEnd"/>
      <w:r w:rsidRPr="00767359">
        <w:rPr>
          <w:b/>
          <w:bCs/>
          <w:i/>
          <w:iCs/>
        </w:rPr>
        <w:t xml:space="preserve"> dosing in the triple class refractory multiple myeloma setting:</w:t>
      </w:r>
    </w:p>
    <w:p w14:paraId="7B15CA58" w14:textId="2CBCABD8" w:rsidR="006718C9" w:rsidRPr="000B3827" w:rsidRDefault="006718C9" w:rsidP="00C53310">
      <w:pPr>
        <w:pStyle w:val="ListBullet2"/>
        <w:rPr>
          <w:bCs/>
          <w:i/>
          <w:iCs/>
        </w:rPr>
      </w:pPr>
      <w:proofErr w:type="spellStart"/>
      <w:r w:rsidRPr="000B3827">
        <w:rPr>
          <w:bCs/>
          <w:i/>
          <w:iCs/>
        </w:rPr>
        <w:t>selinexor</w:t>
      </w:r>
      <w:proofErr w:type="spellEnd"/>
      <w:r w:rsidRPr="000B3827">
        <w:rPr>
          <w:bCs/>
          <w:i/>
          <w:iCs/>
        </w:rPr>
        <w:t xml:space="preserve"> 100</w:t>
      </w:r>
      <w:r w:rsidR="008F0B15">
        <w:rPr>
          <w:bCs/>
          <w:i/>
          <w:iCs/>
        </w:rPr>
        <w:t xml:space="preserve"> </w:t>
      </w:r>
      <w:r w:rsidRPr="000B3827">
        <w:rPr>
          <w:bCs/>
          <w:i/>
          <w:iCs/>
        </w:rPr>
        <w:t>mg with bortezomib 1.3 mg/m</w:t>
      </w:r>
      <w:r w:rsidRPr="000B3827">
        <w:rPr>
          <w:bCs/>
          <w:i/>
          <w:iCs/>
          <w:vertAlign w:val="superscript"/>
        </w:rPr>
        <w:t>2</w:t>
      </w:r>
      <w:r w:rsidRPr="000B3827">
        <w:rPr>
          <w:bCs/>
          <w:i/>
          <w:iCs/>
        </w:rPr>
        <w:t xml:space="preserve"> and 40mg dexamethasone, all once weekly, </w:t>
      </w:r>
    </w:p>
    <w:p w14:paraId="0E009133" w14:textId="77777777" w:rsidR="006718C9" w:rsidRPr="000B3827" w:rsidRDefault="006718C9" w:rsidP="00C53310">
      <w:pPr>
        <w:pStyle w:val="ListBullet2"/>
        <w:rPr>
          <w:bCs/>
          <w:i/>
          <w:iCs/>
        </w:rPr>
      </w:pPr>
      <w:proofErr w:type="spellStart"/>
      <w:r w:rsidRPr="000B3827">
        <w:rPr>
          <w:bCs/>
          <w:i/>
          <w:iCs/>
        </w:rPr>
        <w:t>selinexor</w:t>
      </w:r>
      <w:proofErr w:type="spellEnd"/>
      <w:r w:rsidRPr="000B3827">
        <w:rPr>
          <w:bCs/>
          <w:i/>
          <w:iCs/>
        </w:rPr>
        <w:t xml:space="preserve"> 40 mg with 20mg dexamethasone, both twice weekly.</w:t>
      </w:r>
    </w:p>
    <w:p w14:paraId="46CF157D" w14:textId="77777777" w:rsidR="006718C9" w:rsidRPr="000B3827" w:rsidRDefault="006718C9" w:rsidP="00C53310">
      <w:pPr>
        <w:pStyle w:val="ListBullet2"/>
        <w:rPr>
          <w:bCs/>
          <w:i/>
          <w:iCs/>
        </w:rPr>
      </w:pPr>
      <w:proofErr w:type="spellStart"/>
      <w:r w:rsidRPr="000B3827">
        <w:rPr>
          <w:bCs/>
          <w:i/>
          <w:iCs/>
        </w:rPr>
        <w:t>selinexor</w:t>
      </w:r>
      <w:proofErr w:type="spellEnd"/>
      <w:r w:rsidRPr="000B3827">
        <w:rPr>
          <w:bCs/>
          <w:i/>
          <w:iCs/>
        </w:rPr>
        <w:t xml:space="preserve"> 80 mg with 20mg dexamethasone, both twice weekly </w:t>
      </w:r>
    </w:p>
    <w:p w14:paraId="4A53379B" w14:textId="024BA482" w:rsidR="006718C9" w:rsidRPr="000B3827" w:rsidRDefault="006718C9" w:rsidP="00C53310">
      <w:pPr>
        <w:pStyle w:val="ListBullet2"/>
        <w:rPr>
          <w:bCs/>
          <w:i/>
          <w:iCs/>
        </w:rPr>
      </w:pPr>
      <w:proofErr w:type="spellStart"/>
      <w:r w:rsidRPr="000B3827">
        <w:rPr>
          <w:bCs/>
          <w:i/>
          <w:iCs/>
        </w:rPr>
        <w:t>selinexor</w:t>
      </w:r>
      <w:proofErr w:type="spellEnd"/>
      <w:r w:rsidRPr="000B3827">
        <w:rPr>
          <w:bCs/>
          <w:i/>
          <w:iCs/>
        </w:rPr>
        <w:t xml:space="preserve"> 100mg with 40mg dexamethasone, both once weekly</w:t>
      </w:r>
    </w:p>
    <w:p w14:paraId="7589093A" w14:textId="24B0904F" w:rsidR="006718C9" w:rsidRDefault="006718C9" w:rsidP="00C53310">
      <w:pPr>
        <w:pStyle w:val="Numberbullet2"/>
        <w:rPr>
          <w:b/>
          <w:bCs/>
          <w:i/>
          <w:iCs/>
        </w:rPr>
      </w:pPr>
      <w:r w:rsidRPr="00767359">
        <w:rPr>
          <w:b/>
          <w:bCs/>
          <w:i/>
          <w:iCs/>
        </w:rPr>
        <w:t xml:space="preserve">What is the rationale for conducting this study when 80 mg twice weekly is requested for full registration for the </w:t>
      </w:r>
      <w:r w:rsidR="00721AA8">
        <w:rPr>
          <w:b/>
          <w:bCs/>
          <w:i/>
          <w:iCs/>
        </w:rPr>
        <w:t>triple class refractory, partial respon</w:t>
      </w:r>
      <w:r w:rsidR="009D17D4">
        <w:rPr>
          <w:b/>
          <w:bCs/>
          <w:i/>
          <w:iCs/>
        </w:rPr>
        <w:t xml:space="preserve">der </w:t>
      </w:r>
      <w:r w:rsidRPr="00767359">
        <w:rPr>
          <w:b/>
          <w:bCs/>
          <w:i/>
          <w:iCs/>
        </w:rPr>
        <w:t>population in the current submission?</w:t>
      </w:r>
    </w:p>
    <w:p w14:paraId="0298FF40" w14:textId="32D4DD38" w:rsidR="00721AA8" w:rsidRDefault="00114405" w:rsidP="00114405">
      <w:r>
        <w:t>Study XPORT-MM-028</w:t>
      </w:r>
      <w:r w:rsidR="008F0B15">
        <w:t>;</w:t>
      </w:r>
      <w:r w:rsidR="008F0B15" w:rsidRPr="000B3827">
        <w:rPr>
          <w:vertAlign w:val="superscript"/>
        </w:rPr>
        <w:fldChar w:fldCharType="begin"/>
      </w:r>
      <w:r w:rsidR="008F0B15" w:rsidRPr="000B3827">
        <w:rPr>
          <w:vertAlign w:val="superscript"/>
        </w:rPr>
        <w:instrText xml:space="preserve"> NOTEREF _Ref117320183 \h </w:instrText>
      </w:r>
      <w:r w:rsidR="008F0B15">
        <w:rPr>
          <w:vertAlign w:val="superscript"/>
        </w:rPr>
        <w:instrText xml:space="preserve"> \* MERGEFORMAT </w:instrText>
      </w:r>
      <w:r w:rsidR="008F0B15" w:rsidRPr="000B3827">
        <w:rPr>
          <w:vertAlign w:val="superscript"/>
        </w:rPr>
      </w:r>
      <w:r w:rsidR="008F0B15" w:rsidRPr="000B3827">
        <w:rPr>
          <w:vertAlign w:val="superscript"/>
        </w:rPr>
        <w:fldChar w:fldCharType="separate"/>
      </w:r>
      <w:r w:rsidR="008F0B15" w:rsidRPr="000B3827">
        <w:rPr>
          <w:vertAlign w:val="superscript"/>
        </w:rPr>
        <w:t>22</w:t>
      </w:r>
      <w:r w:rsidR="008F0B15" w:rsidRPr="000B3827">
        <w:rPr>
          <w:vertAlign w:val="superscript"/>
        </w:rPr>
        <w:fldChar w:fldCharType="end"/>
      </w:r>
      <w:r>
        <w:t xml:space="preserve"> is an open label, Phase </w:t>
      </w:r>
      <w:r w:rsidR="00C93176">
        <w:t>II</w:t>
      </w:r>
      <w:r>
        <w:t xml:space="preserve"> study intended to optimise the dose and schedule of </w:t>
      </w:r>
      <w:r w:rsidR="009D17D4">
        <w:t>Sd [</w:t>
      </w:r>
      <w:proofErr w:type="spellStart"/>
      <w:r w:rsidR="00721AA8">
        <w:t>selinexor</w:t>
      </w:r>
      <w:proofErr w:type="spellEnd"/>
      <w:r w:rsidR="00721AA8">
        <w:t xml:space="preserve"> + dexamethasone</w:t>
      </w:r>
      <w:r w:rsidR="009D17D4">
        <w:t>]</w:t>
      </w:r>
      <w:r w:rsidR="00721AA8">
        <w:t xml:space="preserve"> </w:t>
      </w:r>
      <w:r>
        <w:t>in patients with penta-refractory multiple myeloma.</w:t>
      </w:r>
    </w:p>
    <w:p w14:paraId="20FB8608" w14:textId="2B3779FF" w:rsidR="00721AA8" w:rsidRDefault="00114405" w:rsidP="00114405">
      <w:r>
        <w:t xml:space="preserve">The aim of this study is to evaluate the efficacy, antitumor activity, and safety and tolerability of three dose levels including </w:t>
      </w:r>
      <w:proofErr w:type="spellStart"/>
      <w:r>
        <w:t>selinexor</w:t>
      </w:r>
      <w:proofErr w:type="spellEnd"/>
      <w:r>
        <w:t xml:space="preserve"> 40 mg </w:t>
      </w:r>
      <w:r w:rsidR="00DE0361">
        <w:t>twice weekly</w:t>
      </w:r>
      <w:r>
        <w:t xml:space="preserve"> and dexamethasone 20 mg </w:t>
      </w:r>
      <w:r w:rsidR="00DE0361">
        <w:t>twice weekly</w:t>
      </w:r>
      <w:r>
        <w:t xml:space="preserve"> (</w:t>
      </w:r>
      <w:r w:rsidR="00721AA8">
        <w:t>‘</w:t>
      </w:r>
      <w:r>
        <w:t>Sd-40</w:t>
      </w:r>
      <w:r w:rsidR="00721AA8">
        <w:t>’</w:t>
      </w:r>
      <w:r>
        <w:t xml:space="preserve"> </w:t>
      </w:r>
      <w:r w:rsidR="00DE0361">
        <w:t>twice weekly</w:t>
      </w:r>
      <w:r>
        <w:t xml:space="preserve">), </w:t>
      </w:r>
      <w:proofErr w:type="spellStart"/>
      <w:r>
        <w:t>selinexor</w:t>
      </w:r>
      <w:proofErr w:type="spellEnd"/>
      <w:r>
        <w:t xml:space="preserve"> 100 mg </w:t>
      </w:r>
      <w:r w:rsidR="00DE0361">
        <w:t>once weekly</w:t>
      </w:r>
      <w:r>
        <w:t xml:space="preserve"> and dexamethasone 40 mg </w:t>
      </w:r>
      <w:r w:rsidR="00DE0361">
        <w:t>once weekly</w:t>
      </w:r>
      <w:r>
        <w:t xml:space="preserve"> (</w:t>
      </w:r>
      <w:r w:rsidR="00721AA8">
        <w:t>‘</w:t>
      </w:r>
      <w:r>
        <w:t>Sd-100</w:t>
      </w:r>
      <w:r w:rsidR="00721AA8">
        <w:t>’</w:t>
      </w:r>
      <w:r>
        <w:t xml:space="preserve"> </w:t>
      </w:r>
      <w:r w:rsidR="00DE0361">
        <w:t>once weekly</w:t>
      </w:r>
      <w:r>
        <w:t xml:space="preserve">) and </w:t>
      </w:r>
      <w:proofErr w:type="spellStart"/>
      <w:r>
        <w:t>selinexor</w:t>
      </w:r>
      <w:proofErr w:type="spellEnd"/>
      <w:r>
        <w:t xml:space="preserve"> 80 mg </w:t>
      </w:r>
      <w:r w:rsidR="00DE0361">
        <w:t>twice weekly</w:t>
      </w:r>
      <w:r>
        <w:t xml:space="preserve"> and dexamethasone 20 mg </w:t>
      </w:r>
      <w:r w:rsidR="00DE0361">
        <w:t>twice weekly</w:t>
      </w:r>
      <w:r>
        <w:t xml:space="preserve"> (</w:t>
      </w:r>
      <w:r w:rsidR="00721AA8">
        <w:t>‘</w:t>
      </w:r>
      <w:r>
        <w:t>Sd-80</w:t>
      </w:r>
      <w:r w:rsidR="00721AA8">
        <w:t>/</w:t>
      </w:r>
      <w:r>
        <w:t xml:space="preserve"> </w:t>
      </w:r>
      <w:r w:rsidR="00DE0361">
        <w:t>twice weekly</w:t>
      </w:r>
      <w:r>
        <w:t>).</w:t>
      </w:r>
    </w:p>
    <w:p w14:paraId="1A898B3A" w14:textId="31AEA00F" w:rsidR="00114405" w:rsidRPr="00767359" w:rsidRDefault="00114405" w:rsidP="00114405">
      <w:r>
        <w:t xml:space="preserve">In our recent </w:t>
      </w:r>
      <w:r w:rsidR="00721AA8">
        <w:t>e</w:t>
      </w:r>
      <w:r>
        <w:t>xposure-</w:t>
      </w:r>
      <w:r w:rsidR="00721AA8">
        <w:t>s</w:t>
      </w:r>
      <w:r>
        <w:t xml:space="preserve">afety </w:t>
      </w:r>
      <w:r w:rsidR="00721AA8">
        <w:t>a</w:t>
      </w:r>
      <w:r>
        <w:t>nalysis (</w:t>
      </w:r>
      <w:r w:rsidR="00721AA8">
        <w:t xml:space="preserve">the </w:t>
      </w:r>
      <w:r>
        <w:t>SADAL</w:t>
      </w:r>
      <w:r w:rsidR="00721AA8">
        <w:t xml:space="preserve"> trial/Study KCP-330-009</w:t>
      </w:r>
      <w:r>
        <w:t xml:space="preserve">), higher </w:t>
      </w:r>
      <w:proofErr w:type="spellStart"/>
      <w:r>
        <w:t>C</w:t>
      </w:r>
      <w:r w:rsidRPr="00FF4AF5">
        <w:rPr>
          <w:vertAlign w:val="subscript"/>
        </w:rPr>
        <w:t>max</w:t>
      </w:r>
      <w:proofErr w:type="spellEnd"/>
      <w:r>
        <w:t xml:space="preserve"> levels were associated with increased dose modifications. The 80 mg and 100 mg </w:t>
      </w:r>
      <w:r w:rsidR="00DE0361">
        <w:t>once weekly</w:t>
      </w:r>
      <w:r>
        <w:t xml:space="preserve"> doses have similar </w:t>
      </w:r>
      <w:proofErr w:type="spellStart"/>
      <w:r>
        <w:t>C</w:t>
      </w:r>
      <w:r w:rsidRPr="00FF4AF5">
        <w:rPr>
          <w:vertAlign w:val="subscript"/>
        </w:rPr>
        <w:t>max</w:t>
      </w:r>
      <w:proofErr w:type="spellEnd"/>
      <w:r>
        <w:t>: the mean (</w:t>
      </w:r>
      <w:r w:rsidR="00C93176">
        <w:t>standard deviation</w:t>
      </w:r>
      <w:r>
        <w:t xml:space="preserve">) is 680 (124) ng/mL and 693 (201) ng/mL for 80 mg </w:t>
      </w:r>
      <w:r w:rsidR="00DE0361">
        <w:t>once weekly</w:t>
      </w:r>
      <w:r>
        <w:t xml:space="preserve"> and 100 mg </w:t>
      </w:r>
      <w:r w:rsidR="00DE0361">
        <w:t>once weekly</w:t>
      </w:r>
      <w:r w:rsidR="00721AA8">
        <w:t xml:space="preserve"> </w:t>
      </w:r>
      <w:proofErr w:type="spellStart"/>
      <w:r w:rsidR="00721AA8">
        <w:t>selinexor</w:t>
      </w:r>
      <w:proofErr w:type="spellEnd"/>
      <w:r>
        <w:t xml:space="preserve">, respectively. With the </w:t>
      </w:r>
      <w:r w:rsidR="00FF4AF5">
        <w:t>pharmacokinetics</w:t>
      </w:r>
      <w:r>
        <w:t xml:space="preserve"> variability of this oral agent, the </w:t>
      </w:r>
      <w:proofErr w:type="gramStart"/>
      <w:r>
        <w:t>exposure</w:t>
      </w:r>
      <w:proofErr w:type="gramEnd"/>
      <w:r>
        <w:t xml:space="preserve"> and maximal concentrations (AUC and </w:t>
      </w:r>
      <w:proofErr w:type="spellStart"/>
      <w:r>
        <w:t>C</w:t>
      </w:r>
      <w:r w:rsidRPr="00FF4AF5">
        <w:rPr>
          <w:vertAlign w:val="subscript"/>
        </w:rPr>
        <w:t>max</w:t>
      </w:r>
      <w:proofErr w:type="spellEnd"/>
      <w:r>
        <w:t xml:space="preserve">) from 80 mg and 100 mg doses overlap significantly. In contrast, the </w:t>
      </w:r>
      <w:proofErr w:type="spellStart"/>
      <w:r>
        <w:t>C</w:t>
      </w:r>
      <w:r w:rsidRPr="00FF4AF5">
        <w:rPr>
          <w:vertAlign w:val="subscript"/>
        </w:rPr>
        <w:t>max</w:t>
      </w:r>
      <w:proofErr w:type="spellEnd"/>
      <w:r>
        <w:t xml:space="preserve"> of the 40 mg dose is 277 (84) ng/</w:t>
      </w:r>
      <w:proofErr w:type="spellStart"/>
      <w:r>
        <w:t>mL.</w:t>
      </w:r>
      <w:proofErr w:type="spellEnd"/>
      <w:r>
        <w:t xml:space="preserve"> Therefore, we proposed to test the 40 mg </w:t>
      </w:r>
      <w:r w:rsidR="00DE0361">
        <w:t>twice weekly</w:t>
      </w:r>
      <w:r>
        <w:t xml:space="preserve"> dose (80 mg in a week) in addition to the 100 mg </w:t>
      </w:r>
      <w:r w:rsidR="00FF4AF5">
        <w:t>once weekly</w:t>
      </w:r>
      <w:r>
        <w:t xml:space="preserve"> dose and compare them to the previously tested 80 mg </w:t>
      </w:r>
      <w:r w:rsidR="00DE0361">
        <w:t>twice weekly</w:t>
      </w:r>
      <w:r>
        <w:t xml:space="preserve"> dose (160 mg in a week). The use of 40 mg </w:t>
      </w:r>
      <w:r w:rsidR="00DE0361">
        <w:t>twice weekly</w:t>
      </w:r>
      <w:r>
        <w:t xml:space="preserve"> may minimi</w:t>
      </w:r>
      <w:r w:rsidR="009D17D4">
        <w:t>s</w:t>
      </w:r>
      <w:r>
        <w:t>e dose reductions and/or interruptions and achieve comparative responses to once weekly dosing as a single agent.</w:t>
      </w:r>
    </w:p>
    <w:p w14:paraId="2533E0B2" w14:textId="44CEC306" w:rsidR="006718C9" w:rsidRDefault="006718C9" w:rsidP="00C53310">
      <w:pPr>
        <w:pStyle w:val="Numberbullet2"/>
        <w:rPr>
          <w:b/>
          <w:bCs/>
          <w:i/>
          <w:iCs/>
        </w:rPr>
      </w:pPr>
      <w:r w:rsidRPr="00767359">
        <w:rPr>
          <w:b/>
          <w:bCs/>
          <w:i/>
          <w:iCs/>
        </w:rPr>
        <w:t>Is there uncertainty about the optimal dose in this setting?</w:t>
      </w:r>
    </w:p>
    <w:p w14:paraId="4B1C8EED" w14:textId="16A88C48" w:rsidR="00114405" w:rsidRPr="00767359" w:rsidRDefault="00FA13E2" w:rsidP="00FA13E2">
      <w:r>
        <w:t>The sponsor does not consider there to be uncertainty in the optimal dosing in triple class refractory multiple myeloma, based on existing clinical trial data. However, we believe there is value in exploring other dosing regimens that may minimise dose reductions and/or interruptions without compromising clinical activity. This is the objective of this study and explains the study design.</w:t>
      </w:r>
    </w:p>
    <w:p w14:paraId="27468DDE" w14:textId="69CBC4C4" w:rsidR="00721AA8" w:rsidRDefault="006718C9" w:rsidP="00C53310">
      <w:pPr>
        <w:pStyle w:val="Numberbullet2"/>
        <w:rPr>
          <w:b/>
          <w:bCs/>
          <w:i/>
          <w:iCs/>
        </w:rPr>
      </w:pPr>
      <w:r w:rsidRPr="00767359">
        <w:rPr>
          <w:b/>
          <w:bCs/>
          <w:i/>
          <w:iCs/>
        </w:rPr>
        <w:t xml:space="preserve">It is noted that 60 mg twice weekly dosing is not under investigation in </w:t>
      </w:r>
      <w:r w:rsidR="00721AA8">
        <w:rPr>
          <w:b/>
          <w:bCs/>
          <w:i/>
          <w:iCs/>
        </w:rPr>
        <w:t>S</w:t>
      </w:r>
      <w:r w:rsidRPr="00767359">
        <w:rPr>
          <w:b/>
          <w:bCs/>
          <w:i/>
          <w:iCs/>
        </w:rPr>
        <w:t>tudy</w:t>
      </w:r>
      <w:r w:rsidR="00721AA8">
        <w:rPr>
          <w:b/>
          <w:bCs/>
          <w:i/>
          <w:iCs/>
        </w:rPr>
        <w:t> </w:t>
      </w:r>
      <w:r w:rsidRPr="00767359">
        <w:rPr>
          <w:b/>
          <w:bCs/>
          <w:i/>
          <w:iCs/>
        </w:rPr>
        <w:t xml:space="preserve">XPORT-MM-028 but it is the dose proposed for the </w:t>
      </w:r>
      <w:r w:rsidR="00721AA8">
        <w:rPr>
          <w:b/>
          <w:bCs/>
          <w:i/>
          <w:iCs/>
        </w:rPr>
        <w:t>diffuse large B-cell lymphoma</w:t>
      </w:r>
      <w:r w:rsidR="00721AA8" w:rsidRPr="00767359">
        <w:rPr>
          <w:b/>
          <w:bCs/>
          <w:i/>
          <w:iCs/>
        </w:rPr>
        <w:t xml:space="preserve"> </w:t>
      </w:r>
      <w:r w:rsidRPr="00767359">
        <w:rPr>
          <w:b/>
          <w:bCs/>
          <w:i/>
          <w:iCs/>
        </w:rPr>
        <w:t>indication.</w:t>
      </w:r>
    </w:p>
    <w:p w14:paraId="523FD26C" w14:textId="4085C276" w:rsidR="006718C9" w:rsidRDefault="006718C9" w:rsidP="000B3827">
      <w:pPr>
        <w:pStyle w:val="Numberbullet2"/>
        <w:numPr>
          <w:ilvl w:val="0"/>
          <w:numId w:val="0"/>
        </w:numPr>
        <w:ind w:left="426"/>
        <w:rPr>
          <w:b/>
          <w:bCs/>
          <w:i/>
          <w:iCs/>
        </w:rPr>
      </w:pPr>
      <w:r w:rsidRPr="00767359">
        <w:rPr>
          <w:b/>
          <w:bCs/>
          <w:i/>
          <w:iCs/>
        </w:rPr>
        <w:t xml:space="preserve">What is the rationale for the chosen dosing regimens for investigation in </w:t>
      </w:r>
      <w:r w:rsidR="00721AA8">
        <w:rPr>
          <w:b/>
          <w:bCs/>
          <w:i/>
          <w:iCs/>
        </w:rPr>
        <w:t>S</w:t>
      </w:r>
      <w:r w:rsidRPr="00767359">
        <w:rPr>
          <w:b/>
          <w:bCs/>
          <w:i/>
          <w:iCs/>
        </w:rPr>
        <w:t>tudy</w:t>
      </w:r>
      <w:r w:rsidR="00721AA8">
        <w:rPr>
          <w:b/>
          <w:bCs/>
          <w:i/>
          <w:iCs/>
        </w:rPr>
        <w:t> </w:t>
      </w:r>
      <w:r w:rsidRPr="00767359">
        <w:rPr>
          <w:b/>
          <w:bCs/>
          <w:i/>
          <w:iCs/>
        </w:rPr>
        <w:t>XPORT-MM-028?</w:t>
      </w:r>
    </w:p>
    <w:p w14:paraId="3BC68D9D" w14:textId="43DA6589" w:rsidR="00FA13E2" w:rsidRPr="00FA13E2" w:rsidRDefault="00FA13E2" w:rsidP="00FA13E2">
      <w:r>
        <w:lastRenderedPageBreak/>
        <w:t xml:space="preserve">The </w:t>
      </w:r>
      <w:r w:rsidR="00FF4AF5">
        <w:t>s</w:t>
      </w:r>
      <w:r>
        <w:t xml:space="preserve">ponsor would like to advise that </w:t>
      </w:r>
      <w:proofErr w:type="spellStart"/>
      <w:r>
        <w:t>Karyopharm</w:t>
      </w:r>
      <w:proofErr w:type="spellEnd"/>
      <w:r w:rsidR="003B008F">
        <w:t>;</w:t>
      </w:r>
      <w:r w:rsidR="003B008F">
        <w:rPr>
          <w:rStyle w:val="FootnoteReference"/>
        </w:rPr>
        <w:footnoteReference w:id="29"/>
      </w:r>
      <w:r>
        <w:t xml:space="preserve"> evaluates the potential application of a dosing regimen with the aim of maintaining exposures within the range demonstrated to provide maximal efficacy and acceptable safety. It is important to note that dosing for myeloma may not translate to the same dosing for lymphoma.</w:t>
      </w:r>
    </w:p>
    <w:p w14:paraId="24B5EA77" w14:textId="6681EE79" w:rsidR="006718C9" w:rsidRDefault="006718C9" w:rsidP="00767359">
      <w:pPr>
        <w:pStyle w:val="Numberbullet2"/>
        <w:rPr>
          <w:b/>
          <w:bCs/>
          <w:i/>
          <w:iCs/>
        </w:rPr>
      </w:pPr>
      <w:r w:rsidRPr="00767359">
        <w:rPr>
          <w:b/>
          <w:bCs/>
          <w:i/>
          <w:iCs/>
        </w:rPr>
        <w:t xml:space="preserve">How will the results be used to inform the dosing regimen in </w:t>
      </w:r>
      <w:r w:rsidR="009D17D4">
        <w:rPr>
          <w:b/>
          <w:bCs/>
          <w:i/>
          <w:iCs/>
        </w:rPr>
        <w:t xml:space="preserve">triple class refractory partial responders </w:t>
      </w:r>
      <w:r w:rsidRPr="00767359">
        <w:rPr>
          <w:b/>
          <w:bCs/>
          <w:i/>
          <w:iCs/>
        </w:rPr>
        <w:t>in the future?</w:t>
      </w:r>
    </w:p>
    <w:p w14:paraId="1FBD5177" w14:textId="777EE725" w:rsidR="00FA13E2" w:rsidRPr="00767359" w:rsidRDefault="00FA13E2" w:rsidP="00FA13E2">
      <w:r>
        <w:t>In general, results are used to inform the dosing regimen; however, dosing may be different based upon the different diseases being treated. At this point, the sponsor considers it premature to assume the implications of future results.</w:t>
      </w:r>
    </w:p>
    <w:p w14:paraId="22EB1B39" w14:textId="0E67E005" w:rsidR="009D17D4" w:rsidRDefault="006718C9" w:rsidP="00C53310">
      <w:pPr>
        <w:pStyle w:val="Numberbullet0"/>
        <w:rPr>
          <w:b/>
          <w:bCs/>
          <w:i/>
          <w:iCs/>
        </w:rPr>
      </w:pPr>
      <w:r w:rsidRPr="00767359">
        <w:rPr>
          <w:b/>
          <w:bCs/>
          <w:i/>
          <w:iCs/>
        </w:rPr>
        <w:t xml:space="preserve">The SADAL </w:t>
      </w:r>
      <w:r w:rsidR="009D17D4">
        <w:rPr>
          <w:b/>
          <w:bCs/>
          <w:i/>
          <w:iCs/>
        </w:rPr>
        <w:t xml:space="preserve">trial (Study KCP-330-009) </w:t>
      </w:r>
      <w:r w:rsidRPr="00767359">
        <w:rPr>
          <w:b/>
          <w:bCs/>
          <w:i/>
          <w:iCs/>
        </w:rPr>
        <w:t>was ongoing at the time of the drafting of the Clinical Study Report (CSR)</w:t>
      </w:r>
      <w:r w:rsidR="009D17D4">
        <w:rPr>
          <w:b/>
          <w:bCs/>
          <w:i/>
          <w:iCs/>
        </w:rPr>
        <w:t xml:space="preserve"> (</w:t>
      </w:r>
      <w:r w:rsidRPr="00767359">
        <w:rPr>
          <w:b/>
          <w:bCs/>
          <w:i/>
          <w:iCs/>
        </w:rPr>
        <w:t>date of report</w:t>
      </w:r>
      <w:r w:rsidR="009D17D4">
        <w:rPr>
          <w:b/>
          <w:bCs/>
          <w:i/>
          <w:iCs/>
        </w:rPr>
        <w:t>:</w:t>
      </w:r>
      <w:r w:rsidRPr="00767359">
        <w:rPr>
          <w:b/>
          <w:bCs/>
          <w:i/>
          <w:iCs/>
        </w:rPr>
        <w:t xml:space="preserve"> 13 December 2019</w:t>
      </w:r>
      <w:r w:rsidR="009D17D4">
        <w:rPr>
          <w:b/>
          <w:bCs/>
          <w:i/>
          <w:iCs/>
        </w:rPr>
        <w:t>;</w:t>
      </w:r>
      <w:r w:rsidRPr="00767359">
        <w:rPr>
          <w:b/>
          <w:bCs/>
          <w:i/>
          <w:iCs/>
        </w:rPr>
        <w:t xml:space="preserve"> data</w:t>
      </w:r>
      <w:r w:rsidR="009D17D4">
        <w:rPr>
          <w:b/>
          <w:bCs/>
          <w:i/>
          <w:iCs/>
        </w:rPr>
        <w:t> </w:t>
      </w:r>
      <w:r w:rsidRPr="00767359">
        <w:rPr>
          <w:b/>
          <w:bCs/>
          <w:i/>
          <w:iCs/>
        </w:rPr>
        <w:t>cut</w:t>
      </w:r>
      <w:r w:rsidR="009D17D4">
        <w:rPr>
          <w:b/>
          <w:bCs/>
          <w:i/>
          <w:iCs/>
        </w:rPr>
        <w:noBreakHyphen/>
      </w:r>
      <w:r w:rsidRPr="00767359">
        <w:rPr>
          <w:b/>
          <w:bCs/>
          <w:i/>
          <w:iCs/>
        </w:rPr>
        <w:t>off</w:t>
      </w:r>
      <w:r w:rsidR="009D17D4">
        <w:rPr>
          <w:b/>
          <w:bCs/>
          <w:i/>
          <w:iCs/>
        </w:rPr>
        <w:t> date: </w:t>
      </w:r>
      <w:r w:rsidRPr="00767359">
        <w:rPr>
          <w:b/>
          <w:bCs/>
          <w:i/>
          <w:iCs/>
        </w:rPr>
        <w:t>1</w:t>
      </w:r>
      <w:r w:rsidR="009D17D4">
        <w:rPr>
          <w:b/>
          <w:bCs/>
          <w:i/>
          <w:iCs/>
        </w:rPr>
        <w:t> </w:t>
      </w:r>
      <w:r w:rsidRPr="00767359">
        <w:rPr>
          <w:b/>
          <w:bCs/>
          <w:i/>
          <w:iCs/>
        </w:rPr>
        <w:t>August 2019.</w:t>
      </w:r>
    </w:p>
    <w:p w14:paraId="71F08DDA" w14:textId="5C07E3A9" w:rsidR="006718C9" w:rsidRPr="00767359" w:rsidRDefault="006718C9" w:rsidP="000B3827">
      <w:pPr>
        <w:pStyle w:val="Numberbullet0"/>
        <w:numPr>
          <w:ilvl w:val="0"/>
          <w:numId w:val="0"/>
        </w:numPr>
        <w:ind w:left="425"/>
        <w:rPr>
          <w:b/>
          <w:bCs/>
          <w:i/>
          <w:iCs/>
        </w:rPr>
      </w:pPr>
      <w:r w:rsidRPr="00767359">
        <w:rPr>
          <w:b/>
          <w:bCs/>
          <w:i/>
          <w:iCs/>
        </w:rPr>
        <w:t xml:space="preserve">In this study report 127 patients were included in the primary analysis for </w:t>
      </w:r>
      <w:r w:rsidR="009D17D4">
        <w:rPr>
          <w:b/>
          <w:bCs/>
          <w:i/>
          <w:iCs/>
        </w:rPr>
        <w:t>overall response rate</w:t>
      </w:r>
      <w:r w:rsidRPr="00767359">
        <w:rPr>
          <w:b/>
          <w:bCs/>
          <w:i/>
          <w:iCs/>
        </w:rPr>
        <w:t>.</w:t>
      </w:r>
    </w:p>
    <w:p w14:paraId="1C405BF3" w14:textId="77777777" w:rsidR="009D17D4" w:rsidRDefault="006718C9" w:rsidP="00C53310">
      <w:pPr>
        <w:pStyle w:val="Numberbullet2"/>
        <w:rPr>
          <w:b/>
          <w:bCs/>
          <w:i/>
          <w:iCs/>
        </w:rPr>
      </w:pPr>
      <w:r w:rsidRPr="00767359">
        <w:rPr>
          <w:b/>
          <w:bCs/>
          <w:i/>
          <w:iCs/>
        </w:rPr>
        <w:t xml:space="preserve">The sponsor has indicated an intention to report the results for 134 patients based on the US </w:t>
      </w:r>
      <w:r w:rsidR="009D17D4">
        <w:rPr>
          <w:b/>
          <w:bCs/>
          <w:i/>
          <w:iCs/>
        </w:rPr>
        <w:t xml:space="preserve">FDA product </w:t>
      </w:r>
      <w:r w:rsidRPr="00767359">
        <w:rPr>
          <w:b/>
          <w:bCs/>
          <w:i/>
          <w:iCs/>
        </w:rPr>
        <w:t>label.  It would appear the US</w:t>
      </w:r>
      <w:r w:rsidR="009D17D4">
        <w:rPr>
          <w:b/>
          <w:bCs/>
          <w:i/>
          <w:iCs/>
        </w:rPr>
        <w:t>A</w:t>
      </w:r>
      <w:r w:rsidRPr="00767359">
        <w:rPr>
          <w:b/>
          <w:bCs/>
          <w:i/>
          <w:iCs/>
        </w:rPr>
        <w:t xml:space="preserve"> data set includes additional patients and results that differ from the study results presented in Australia.</w:t>
      </w:r>
    </w:p>
    <w:p w14:paraId="347ECDFF" w14:textId="76D8566A" w:rsidR="006718C9" w:rsidRDefault="006718C9" w:rsidP="000B3827">
      <w:pPr>
        <w:pStyle w:val="Numberbullet2"/>
        <w:numPr>
          <w:ilvl w:val="0"/>
          <w:numId w:val="0"/>
        </w:numPr>
        <w:ind w:left="426"/>
        <w:rPr>
          <w:b/>
          <w:bCs/>
          <w:i/>
          <w:iCs/>
        </w:rPr>
      </w:pPr>
      <w:r w:rsidRPr="00767359">
        <w:rPr>
          <w:b/>
          <w:bCs/>
          <w:i/>
          <w:iCs/>
        </w:rPr>
        <w:t xml:space="preserve">As the sponsor intends to include the text from the US label in the Australia PI the same data should have </w:t>
      </w:r>
      <w:proofErr w:type="gramStart"/>
      <w:r w:rsidRPr="00767359">
        <w:rPr>
          <w:b/>
          <w:bCs/>
          <w:i/>
          <w:iCs/>
        </w:rPr>
        <w:t>be</w:t>
      </w:r>
      <w:proofErr w:type="gramEnd"/>
      <w:r w:rsidRPr="00767359">
        <w:rPr>
          <w:b/>
          <w:bCs/>
          <w:i/>
          <w:iCs/>
        </w:rPr>
        <w:t xml:space="preserve"> provided for evaluation. Please explain this observation.</w:t>
      </w:r>
    </w:p>
    <w:p w14:paraId="0D4AEE59" w14:textId="0438D063" w:rsidR="00FA13E2" w:rsidRDefault="00FA13E2" w:rsidP="00FA13E2">
      <w:r>
        <w:t xml:space="preserve">The </w:t>
      </w:r>
      <w:r w:rsidR="009D17D4">
        <w:t>modified intent-to-treat (</w:t>
      </w:r>
      <w:proofErr w:type="spellStart"/>
      <w:r>
        <w:t>mITT</w:t>
      </w:r>
      <w:proofErr w:type="spellEnd"/>
      <w:r w:rsidR="009D17D4">
        <w:t>)</w:t>
      </w:r>
      <w:r>
        <w:t xml:space="preserve"> population (N</w:t>
      </w:r>
      <w:r w:rsidR="00FF4AF5">
        <w:t xml:space="preserve"> </w:t>
      </w:r>
      <w:r>
        <w:t>=</w:t>
      </w:r>
      <w:r w:rsidR="00FF4AF5">
        <w:t xml:space="preserve"> </w:t>
      </w:r>
      <w:r>
        <w:t xml:space="preserve">127) in </w:t>
      </w:r>
      <w:r w:rsidR="009D17D4">
        <w:t xml:space="preserve">the </w:t>
      </w:r>
      <w:r>
        <w:t xml:space="preserve">SADAL </w:t>
      </w:r>
      <w:r w:rsidR="009D17D4">
        <w:t xml:space="preserve">trial </w:t>
      </w:r>
      <w:r>
        <w:t xml:space="preserve">consisted of all patients treated at 60 mg under Protocol Version (PV) 6.0 and onward, which was the primary analysis population for the study and included in the clinical study report (CSR). </w:t>
      </w:r>
      <w:r w:rsidR="009D17D4">
        <w:t xml:space="preserve">The </w:t>
      </w:r>
      <w:r>
        <w:t xml:space="preserve">FDA subsequently requested to include all patients treated at 60 mg under PV 5.0 and onward, with certain exception (see the request below), which consisted of 134 patients as shown in the US label. The complete analysis of the 134 patients is provided in the publication, </w:t>
      </w:r>
      <w:proofErr w:type="spellStart"/>
      <w:r>
        <w:t>Maerevo</w:t>
      </w:r>
      <w:proofErr w:type="spellEnd"/>
      <w:r w:rsidR="0021297C">
        <w:t xml:space="preserve">, </w:t>
      </w:r>
      <w:r>
        <w:t>et al.</w:t>
      </w:r>
      <w:r w:rsidR="0021297C">
        <w:t xml:space="preserve"> </w:t>
      </w:r>
      <w:r>
        <w:t>(2021)</w:t>
      </w:r>
      <w:r w:rsidR="0021297C">
        <w:rPr>
          <w:rStyle w:val="FootnoteReference"/>
        </w:rPr>
        <w:footnoteReference w:id="30"/>
      </w:r>
      <w:r>
        <w:t xml:space="preserve"> and is included herewith</w:t>
      </w:r>
    </w:p>
    <w:p w14:paraId="03F20A25" w14:textId="6315CF4E" w:rsidR="009D17D4" w:rsidRDefault="009D17D4" w:rsidP="000B3827">
      <w:pPr>
        <w:pStyle w:val="FigureTitle"/>
      </w:pPr>
      <w:r>
        <w:lastRenderedPageBreak/>
        <w:t xml:space="preserve">Figure </w:t>
      </w:r>
      <w:r w:rsidR="006737A0">
        <w:fldChar w:fldCharType="begin"/>
      </w:r>
      <w:r w:rsidR="006737A0">
        <w:instrText xml:space="preserve"> SEQ Figure \* ARABIC </w:instrText>
      </w:r>
      <w:r w:rsidR="006737A0">
        <w:fldChar w:fldCharType="separate"/>
      </w:r>
      <w:r>
        <w:rPr>
          <w:noProof/>
        </w:rPr>
        <w:t>4</w:t>
      </w:r>
      <w:r w:rsidR="006737A0">
        <w:rPr>
          <w:noProof/>
        </w:rPr>
        <w:fldChar w:fldCharType="end"/>
      </w:r>
      <w:r>
        <w:t>: United States Food and Drug Administration; FDA Request 2: Primary efficacy population</w:t>
      </w:r>
    </w:p>
    <w:p w14:paraId="6DB6A271" w14:textId="5D3B276C" w:rsidR="009D17D4" w:rsidRDefault="00FD54A0" w:rsidP="000B3827">
      <w:pPr>
        <w:pStyle w:val="FigureTitle"/>
      </w:pPr>
      <w:r>
        <w:rPr>
          <w:noProof/>
          <w:lang w:val="en-GB" w:eastAsia="en-GB"/>
        </w:rPr>
        <w:drawing>
          <wp:inline distT="0" distB="0" distL="0" distR="0" wp14:anchorId="139F5612" wp14:editId="2F35B3D8">
            <wp:extent cx="5121965" cy="2582039"/>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linexor.png"/>
                    <pic:cNvPicPr/>
                  </pic:nvPicPr>
                  <pic:blipFill rotWithShape="1">
                    <a:blip r:embed="rId28">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6749" t="28362" r="26745" b="29964"/>
                    <a:stretch/>
                  </pic:blipFill>
                  <pic:spPr bwMode="auto">
                    <a:xfrm>
                      <a:off x="0" y="0"/>
                      <a:ext cx="5138175" cy="2590210"/>
                    </a:xfrm>
                    <a:prstGeom prst="rect">
                      <a:avLst/>
                    </a:prstGeom>
                    <a:ln>
                      <a:noFill/>
                    </a:ln>
                    <a:extLst>
                      <a:ext uri="{53640926-AAD7-44D8-BBD7-CCE9431645EC}">
                        <a14:shadowObscured xmlns:a14="http://schemas.microsoft.com/office/drawing/2010/main"/>
                      </a:ext>
                    </a:extLst>
                  </pic:spPr>
                </pic:pic>
              </a:graphicData>
            </a:graphic>
          </wp:inline>
        </w:drawing>
      </w:r>
    </w:p>
    <w:p w14:paraId="1071D544" w14:textId="6FFA3E9B" w:rsidR="00FA13E2" w:rsidRPr="00767359" w:rsidRDefault="00FD54A0" w:rsidP="000B3827">
      <w:pPr>
        <w:pStyle w:val="FigureDescription"/>
      </w:pPr>
      <w:r>
        <w:t>Note: Patient identifiable information has been redacted.</w:t>
      </w:r>
    </w:p>
    <w:p w14:paraId="7FB17564" w14:textId="28C6D7F7" w:rsidR="006718C9" w:rsidRDefault="006718C9" w:rsidP="00C53310">
      <w:pPr>
        <w:pStyle w:val="Numberbullet2"/>
        <w:rPr>
          <w:b/>
          <w:bCs/>
          <w:i/>
          <w:iCs/>
        </w:rPr>
      </w:pPr>
      <w:r w:rsidRPr="00767359">
        <w:rPr>
          <w:b/>
          <w:bCs/>
          <w:i/>
          <w:iCs/>
        </w:rPr>
        <w:t xml:space="preserve">The SADAL </w:t>
      </w:r>
      <w:r w:rsidR="00FD54A0">
        <w:rPr>
          <w:b/>
          <w:bCs/>
          <w:i/>
          <w:iCs/>
        </w:rPr>
        <w:t>trial study</w:t>
      </w:r>
      <w:r w:rsidR="00FD54A0" w:rsidRPr="00767359">
        <w:rPr>
          <w:b/>
          <w:bCs/>
          <w:i/>
          <w:iCs/>
        </w:rPr>
        <w:t xml:space="preserve"> </w:t>
      </w:r>
      <w:r w:rsidRPr="00767359">
        <w:rPr>
          <w:b/>
          <w:bCs/>
          <w:i/>
          <w:iCs/>
        </w:rPr>
        <w:t xml:space="preserve">report is dated 2019. These data are now two years old and the statement that the median </w:t>
      </w:r>
      <w:r w:rsidR="00FD54A0">
        <w:rPr>
          <w:b/>
          <w:bCs/>
          <w:i/>
          <w:iCs/>
        </w:rPr>
        <w:t>overall survival</w:t>
      </w:r>
      <w:r w:rsidR="00FD54A0" w:rsidRPr="00767359">
        <w:rPr>
          <w:b/>
          <w:bCs/>
          <w:i/>
          <w:iCs/>
        </w:rPr>
        <w:t xml:space="preserve"> </w:t>
      </w:r>
      <w:r w:rsidRPr="00767359">
        <w:rPr>
          <w:b/>
          <w:bCs/>
          <w:i/>
          <w:iCs/>
        </w:rPr>
        <w:t xml:space="preserve">has not been reached in the </w:t>
      </w:r>
      <w:r w:rsidR="00FD54A0">
        <w:rPr>
          <w:b/>
          <w:bCs/>
          <w:i/>
          <w:iCs/>
        </w:rPr>
        <w:t>complete responder</w:t>
      </w:r>
      <w:r w:rsidR="00FD54A0" w:rsidRPr="00767359">
        <w:rPr>
          <w:b/>
          <w:bCs/>
          <w:i/>
          <w:iCs/>
        </w:rPr>
        <w:t xml:space="preserve"> </w:t>
      </w:r>
      <w:r w:rsidRPr="00767359">
        <w:rPr>
          <w:b/>
          <w:bCs/>
          <w:i/>
          <w:iCs/>
        </w:rPr>
        <w:t>group may no longer be accurate. Is a more contemporaneous analysis available?</w:t>
      </w:r>
    </w:p>
    <w:p w14:paraId="6AA08D1C" w14:textId="725C5419" w:rsidR="00FA13E2" w:rsidRDefault="00FA13E2" w:rsidP="00FA13E2">
      <w:r>
        <w:t xml:space="preserve">An updated data version extracted on </w:t>
      </w:r>
      <w:r w:rsidR="00FF4AF5">
        <w:t xml:space="preserve">30 </w:t>
      </w:r>
      <w:r>
        <w:t xml:space="preserve">March 2021 for </w:t>
      </w:r>
      <w:proofErr w:type="spellStart"/>
      <w:r>
        <w:t>selinexor</w:t>
      </w:r>
      <w:proofErr w:type="spellEnd"/>
      <w:r>
        <w:t xml:space="preserve"> IB</w:t>
      </w:r>
      <w:r w:rsidR="009B77B1">
        <w:t>;</w:t>
      </w:r>
      <w:r w:rsidR="00FD54A0">
        <w:rPr>
          <w:rStyle w:val="FootnoteReference"/>
        </w:rPr>
        <w:footnoteReference w:id="31"/>
      </w:r>
      <w:r>
        <w:t xml:space="preserve"> and DSUR </w:t>
      </w:r>
      <w:r w:rsidR="00FD54A0">
        <w:t xml:space="preserve">[development safety update report] </w:t>
      </w:r>
      <w:r>
        <w:t xml:space="preserve">is provided. An </w:t>
      </w:r>
      <w:r w:rsidR="00FD54A0">
        <w:t xml:space="preserve">overall survival </w:t>
      </w:r>
      <w:r>
        <w:t xml:space="preserve">analysis was performed using this data version for the key updated </w:t>
      </w:r>
      <w:r w:rsidR="00FD54A0">
        <w:t xml:space="preserve">overall survival </w:t>
      </w:r>
      <w:r>
        <w:t>results using N</w:t>
      </w:r>
      <w:r w:rsidR="00FD54A0">
        <w:t> </w:t>
      </w:r>
      <w:r>
        <w:t>=</w:t>
      </w:r>
      <w:r w:rsidR="00FD54A0">
        <w:t> </w:t>
      </w:r>
      <w:r>
        <w:t xml:space="preserve">134, along with the results based on the data cut of </w:t>
      </w:r>
      <w:r w:rsidR="00FF4AF5">
        <w:t xml:space="preserve">1 August </w:t>
      </w:r>
      <w:r>
        <w:t>2019</w:t>
      </w:r>
      <w:r w:rsidR="00FF4AF5">
        <w:t xml:space="preserve"> </w:t>
      </w:r>
      <w:r>
        <w:t>from the CSR using N = 127</w:t>
      </w:r>
      <w:r w:rsidR="007951D1">
        <w:t>.</w:t>
      </w:r>
    </w:p>
    <w:p w14:paraId="60DCD0C5" w14:textId="60C4B1AE" w:rsidR="007951D1" w:rsidRDefault="007951D1" w:rsidP="000B3827">
      <w:pPr>
        <w:pStyle w:val="TableTitle"/>
      </w:pPr>
      <w:r>
        <w:t xml:space="preserve">Table </w:t>
      </w:r>
      <w:r w:rsidR="006737A0">
        <w:fldChar w:fldCharType="begin"/>
      </w:r>
      <w:r w:rsidR="006737A0">
        <w:instrText xml:space="preserve"> SEQ Table \* ARABIC </w:instrText>
      </w:r>
      <w:r w:rsidR="006737A0">
        <w:fldChar w:fldCharType="separate"/>
      </w:r>
      <w:r w:rsidR="00BB2836">
        <w:rPr>
          <w:noProof/>
        </w:rPr>
        <w:t>17</w:t>
      </w:r>
      <w:r w:rsidR="006737A0">
        <w:rPr>
          <w:noProof/>
        </w:rPr>
        <w:fldChar w:fldCharType="end"/>
      </w:r>
      <w:r>
        <w:t xml:space="preserve">: </w:t>
      </w:r>
      <w:r w:rsidR="009B77B1">
        <w:t>Sponsor provided updated overall survival analysis (date: 30 March 2021)</w:t>
      </w:r>
    </w:p>
    <w:p w14:paraId="7F7A01C0" w14:textId="5289FBCB" w:rsidR="00FA13E2" w:rsidRDefault="00FA13E2" w:rsidP="00FA13E2">
      <w:pPr>
        <w:rPr>
          <w:noProof/>
        </w:rPr>
      </w:pPr>
      <w:r w:rsidRPr="00FA13E2">
        <w:rPr>
          <w:noProof/>
          <w:lang w:val="en-GB" w:eastAsia="en-GB"/>
        </w:rPr>
        <w:drawing>
          <wp:inline distT="0" distB="0" distL="0" distR="0" wp14:anchorId="492849E1" wp14:editId="68D106D9">
            <wp:extent cx="5400040" cy="1722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1722120"/>
                    </a:xfrm>
                    <a:prstGeom prst="rect">
                      <a:avLst/>
                    </a:prstGeom>
                  </pic:spPr>
                </pic:pic>
              </a:graphicData>
            </a:graphic>
          </wp:inline>
        </w:drawing>
      </w:r>
      <w:r w:rsidRPr="00FA13E2">
        <w:rPr>
          <w:noProof/>
        </w:rPr>
        <w:t xml:space="preserve"> </w:t>
      </w:r>
      <w:r w:rsidRPr="00FA13E2">
        <w:rPr>
          <w:noProof/>
          <w:lang w:val="en-GB" w:eastAsia="en-GB"/>
        </w:rPr>
        <w:drawing>
          <wp:inline distT="0" distB="0" distL="0" distR="0" wp14:anchorId="644DEE39" wp14:editId="654FE8E4">
            <wp:extent cx="5400040" cy="5245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524510"/>
                    </a:xfrm>
                    <a:prstGeom prst="rect">
                      <a:avLst/>
                    </a:prstGeom>
                  </pic:spPr>
                </pic:pic>
              </a:graphicData>
            </a:graphic>
          </wp:inline>
        </w:drawing>
      </w:r>
    </w:p>
    <w:p w14:paraId="128D7EB4" w14:textId="0FEF151A" w:rsidR="00FA13E2" w:rsidRPr="00767359" w:rsidRDefault="00FA13E2" w:rsidP="00FA13E2">
      <w:r>
        <w:t xml:space="preserve">The updated </w:t>
      </w:r>
      <w:r w:rsidR="009B77B1">
        <w:t xml:space="preserve">overall survival </w:t>
      </w:r>
      <w:r>
        <w:t xml:space="preserve">results (data extraction </w:t>
      </w:r>
      <w:r w:rsidR="00FF4AF5">
        <w:t xml:space="preserve">30 March </w:t>
      </w:r>
      <w:r>
        <w:t>202</w:t>
      </w:r>
      <w:r w:rsidR="00FF4AF5">
        <w:t>1</w:t>
      </w:r>
      <w:r>
        <w:t xml:space="preserve">) are generally consistent with the </w:t>
      </w:r>
      <w:r w:rsidR="009B77B1">
        <w:t xml:space="preserve">overall survival </w:t>
      </w:r>
      <w:r>
        <w:t>results in the CSR (data cut</w:t>
      </w:r>
      <w:r w:rsidR="009B77B1">
        <w:t>-</w:t>
      </w:r>
      <w:r>
        <w:t>off date</w:t>
      </w:r>
      <w:r w:rsidR="00FF4AF5">
        <w:t xml:space="preserve"> 1 August</w:t>
      </w:r>
      <w:r>
        <w:t xml:space="preserve"> 2019). The median </w:t>
      </w:r>
      <w:r w:rsidR="009B77B1">
        <w:t xml:space="preserve">overall survival </w:t>
      </w:r>
      <w:r>
        <w:t>for complete responders is still not reached in the updated data, with only 16.7% death rate. The 24-month and 36-months estimated survival probability rate is 88.9% and 71.1%, respectively (</w:t>
      </w:r>
      <w:r w:rsidR="00FF4AF5">
        <w:t>that is</w:t>
      </w:r>
      <w:r>
        <w:t xml:space="preserve"> 88.9% and 71.1% of the </w:t>
      </w:r>
      <w:r>
        <w:lastRenderedPageBreak/>
        <w:t>complete responders are still alive at 24 and 36 months, respectively after the start of treatment).</w:t>
      </w:r>
    </w:p>
    <w:p w14:paraId="2D07B51E" w14:textId="567518FF" w:rsidR="006718C9" w:rsidRDefault="006718C9" w:rsidP="00C53310">
      <w:pPr>
        <w:pStyle w:val="Numberbullet2"/>
        <w:rPr>
          <w:b/>
          <w:bCs/>
          <w:i/>
          <w:iCs/>
        </w:rPr>
      </w:pPr>
      <w:r w:rsidRPr="00767359">
        <w:rPr>
          <w:b/>
          <w:bCs/>
          <w:i/>
          <w:iCs/>
        </w:rPr>
        <w:t>As the measurement of overall survival is unlikely to be influenced directly by changing imaging techniques, has the sponsor undertaken a sensitivity analysis to assess overall survival for the whole study population and for each of the AT</w:t>
      </w:r>
      <w:r w:rsidR="002F0119">
        <w:rPr>
          <w:b/>
          <w:bCs/>
          <w:i/>
          <w:iCs/>
        </w:rPr>
        <w:noBreakHyphen/>
      </w:r>
      <w:r w:rsidRPr="00767359">
        <w:rPr>
          <w:b/>
          <w:bCs/>
          <w:i/>
          <w:iCs/>
        </w:rPr>
        <w:t>60</w:t>
      </w:r>
      <w:r w:rsidR="002F0119">
        <w:rPr>
          <w:b/>
          <w:bCs/>
          <w:i/>
          <w:iCs/>
        </w:rPr>
        <w:t> </w:t>
      </w:r>
      <w:r w:rsidRPr="00767359">
        <w:rPr>
          <w:b/>
          <w:bCs/>
          <w:i/>
          <w:iCs/>
        </w:rPr>
        <w:t>mg</w:t>
      </w:r>
      <w:r w:rsidR="002F0119">
        <w:rPr>
          <w:b/>
          <w:bCs/>
          <w:i/>
          <w:iCs/>
        </w:rPr>
        <w:t>,</w:t>
      </w:r>
      <w:r w:rsidRPr="00767359">
        <w:rPr>
          <w:b/>
          <w:bCs/>
          <w:i/>
          <w:iCs/>
        </w:rPr>
        <w:t xml:space="preserve"> and AT</w:t>
      </w:r>
      <w:r w:rsidR="002F0119">
        <w:rPr>
          <w:b/>
          <w:bCs/>
          <w:i/>
          <w:iCs/>
        </w:rPr>
        <w:noBreakHyphen/>
      </w:r>
      <w:r w:rsidRPr="00767359">
        <w:rPr>
          <w:b/>
          <w:bCs/>
          <w:i/>
          <w:iCs/>
        </w:rPr>
        <w:t xml:space="preserve">100 mg populations? If so, where is this located in the submission. If this information has not been included in the submission, please provide the </w:t>
      </w:r>
      <w:r w:rsidR="002F0119">
        <w:rPr>
          <w:b/>
          <w:bCs/>
          <w:i/>
          <w:iCs/>
        </w:rPr>
        <w:t>overall survival</w:t>
      </w:r>
      <w:r w:rsidR="002F0119" w:rsidRPr="00767359">
        <w:rPr>
          <w:b/>
          <w:bCs/>
          <w:i/>
          <w:iCs/>
        </w:rPr>
        <w:t xml:space="preserve"> </w:t>
      </w:r>
      <w:r w:rsidRPr="00767359">
        <w:rPr>
          <w:b/>
          <w:bCs/>
          <w:i/>
          <w:iCs/>
        </w:rPr>
        <w:t>results for the AT</w:t>
      </w:r>
      <w:r w:rsidR="002F0119">
        <w:rPr>
          <w:b/>
          <w:bCs/>
          <w:i/>
          <w:iCs/>
        </w:rPr>
        <w:noBreakHyphen/>
      </w:r>
      <w:r w:rsidRPr="00767359">
        <w:rPr>
          <w:b/>
          <w:bCs/>
          <w:i/>
          <w:iCs/>
        </w:rPr>
        <w:t>60 mg population, if available. Please use the most contemporaneous data held for this study for the analysis.</w:t>
      </w:r>
    </w:p>
    <w:p w14:paraId="234D6E3E" w14:textId="07F464D6" w:rsidR="00FA13E2" w:rsidRDefault="00FA13E2" w:rsidP="00FA13E2">
      <w:r>
        <w:t xml:space="preserve">The </w:t>
      </w:r>
      <w:r w:rsidR="00FF4AF5">
        <w:t>s</w:t>
      </w:r>
      <w:r>
        <w:t xml:space="preserve">ponsor agrees that the measurement of overall survival is unlikely to be influenced directly by changing imaging techniques. However overall survival as a time to event endpoint in a single-arm study is only considered as an exploratory endpoint (due to different factors that may impact the outcome) and not included in the US </w:t>
      </w:r>
      <w:r w:rsidR="002F0119">
        <w:t xml:space="preserve">FDA </w:t>
      </w:r>
      <w:r>
        <w:t xml:space="preserve">label, therefore no such sensitivity analysis was performed in the SADAL </w:t>
      </w:r>
      <w:r w:rsidR="002F0119">
        <w:t xml:space="preserve">trial </w:t>
      </w:r>
      <w:r>
        <w:t>CSR.</w:t>
      </w:r>
    </w:p>
    <w:p w14:paraId="187EC64B" w14:textId="4E409BA8" w:rsidR="00FA13E2" w:rsidRDefault="00FA13E2" w:rsidP="00FA13E2">
      <w:r>
        <w:t>The sponsor has performed this analysis using the updated data. Please see below for the overall survival results for the whole study population and for each of the AT</w:t>
      </w:r>
      <w:r w:rsidR="002F0119">
        <w:noBreakHyphen/>
      </w:r>
      <w:r>
        <w:t>60 mg and AT</w:t>
      </w:r>
      <w:r w:rsidR="002F0119">
        <w:noBreakHyphen/>
      </w:r>
      <w:r>
        <w:t>100 mg populations, regardless of protocol versions or eligibility criteria.</w:t>
      </w:r>
    </w:p>
    <w:p w14:paraId="0DA069C7" w14:textId="05F86DA3" w:rsidR="002F0119" w:rsidRDefault="002F0119" w:rsidP="000B3827">
      <w:pPr>
        <w:pStyle w:val="TableTitle"/>
      </w:pPr>
      <w:r>
        <w:t xml:space="preserve">Table </w:t>
      </w:r>
      <w:r w:rsidR="006737A0">
        <w:fldChar w:fldCharType="begin"/>
      </w:r>
      <w:r w:rsidR="006737A0">
        <w:instrText xml:space="preserve"> SEQ Table \* ARABIC </w:instrText>
      </w:r>
      <w:r w:rsidR="006737A0">
        <w:fldChar w:fldCharType="separate"/>
      </w:r>
      <w:r w:rsidR="00BB2836">
        <w:rPr>
          <w:noProof/>
        </w:rPr>
        <w:t>18</w:t>
      </w:r>
      <w:r w:rsidR="006737A0">
        <w:rPr>
          <w:noProof/>
        </w:rPr>
        <w:fldChar w:fldCharType="end"/>
      </w:r>
      <w:r>
        <w:t>: Sponsor-supplied updated overall survival analysis (date: 30 March 2021)</w:t>
      </w:r>
    </w:p>
    <w:p w14:paraId="2AECCC31" w14:textId="0B34A917" w:rsidR="00FA13E2" w:rsidRPr="00767359" w:rsidRDefault="00FA13E2" w:rsidP="00FA13E2">
      <w:r w:rsidRPr="00FA13E2">
        <w:rPr>
          <w:noProof/>
          <w:lang w:val="en-GB" w:eastAsia="en-GB"/>
        </w:rPr>
        <w:drawing>
          <wp:inline distT="0" distB="0" distL="0" distR="0" wp14:anchorId="7E479791" wp14:editId="25875E53">
            <wp:extent cx="5400040" cy="23901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2390140"/>
                    </a:xfrm>
                    <a:prstGeom prst="rect">
                      <a:avLst/>
                    </a:prstGeom>
                  </pic:spPr>
                </pic:pic>
              </a:graphicData>
            </a:graphic>
          </wp:inline>
        </w:drawing>
      </w:r>
    </w:p>
    <w:p w14:paraId="0D819B41" w14:textId="39B64962" w:rsidR="002F0119" w:rsidRDefault="002F0119" w:rsidP="00767359">
      <w:pPr>
        <w:pStyle w:val="Numberbullet0"/>
        <w:rPr>
          <w:b/>
          <w:bCs/>
          <w:i/>
          <w:iCs/>
        </w:rPr>
      </w:pPr>
      <w:r>
        <w:rPr>
          <w:b/>
          <w:bCs/>
          <w:i/>
          <w:iCs/>
        </w:rPr>
        <w:t>Study KCP-330-009</w:t>
      </w:r>
      <w:r w:rsidRPr="00767359">
        <w:rPr>
          <w:b/>
          <w:bCs/>
          <w:i/>
          <w:iCs/>
        </w:rPr>
        <w:t xml:space="preserve"> </w:t>
      </w:r>
      <w:r>
        <w:rPr>
          <w:b/>
          <w:bCs/>
          <w:i/>
          <w:iCs/>
        </w:rPr>
        <w:t>(</w:t>
      </w:r>
      <w:r w:rsidR="006718C9" w:rsidRPr="00767359">
        <w:rPr>
          <w:b/>
          <w:bCs/>
          <w:i/>
          <w:iCs/>
        </w:rPr>
        <w:t xml:space="preserve">SADAL </w:t>
      </w:r>
      <w:r>
        <w:rPr>
          <w:b/>
          <w:bCs/>
          <w:i/>
          <w:iCs/>
        </w:rPr>
        <w:t>trial)</w:t>
      </w:r>
      <w:r w:rsidRPr="00767359">
        <w:rPr>
          <w:b/>
          <w:bCs/>
          <w:i/>
          <w:iCs/>
        </w:rPr>
        <w:t xml:space="preserve"> </w:t>
      </w:r>
      <w:r w:rsidR="006718C9" w:rsidRPr="00767359">
        <w:rPr>
          <w:b/>
          <w:bCs/>
          <w:i/>
          <w:iCs/>
        </w:rPr>
        <w:t xml:space="preserve">is a single-arm, open-label study with </w:t>
      </w:r>
      <w:r>
        <w:rPr>
          <w:b/>
          <w:bCs/>
          <w:i/>
          <w:iCs/>
        </w:rPr>
        <w:t>overall response rate</w:t>
      </w:r>
      <w:r w:rsidRPr="00767359">
        <w:rPr>
          <w:b/>
          <w:bCs/>
          <w:i/>
          <w:iCs/>
        </w:rPr>
        <w:t xml:space="preserve"> </w:t>
      </w:r>
      <w:r w:rsidR="006718C9" w:rsidRPr="00767359">
        <w:rPr>
          <w:b/>
          <w:bCs/>
          <w:i/>
          <w:iCs/>
        </w:rPr>
        <w:t>as the primary outcome. This type of evidence is more typically seen to support a request for provisional registration, and accelerated approval was granted in the US.</w:t>
      </w:r>
    </w:p>
    <w:p w14:paraId="66CCB2A1" w14:textId="2129F45E" w:rsidR="002F0119" w:rsidRDefault="006718C9" w:rsidP="000B3827">
      <w:pPr>
        <w:pStyle w:val="Numberbullet0"/>
        <w:numPr>
          <w:ilvl w:val="0"/>
          <w:numId w:val="0"/>
        </w:numPr>
        <w:ind w:left="425"/>
        <w:rPr>
          <w:b/>
          <w:bCs/>
          <w:i/>
          <w:iCs/>
        </w:rPr>
      </w:pPr>
      <w:r w:rsidRPr="00767359">
        <w:rPr>
          <w:b/>
          <w:bCs/>
          <w:i/>
          <w:iCs/>
        </w:rPr>
        <w:t>How has the sponsor resolved the data from this study are sufficiently robust to support full registration in Australia?</w:t>
      </w:r>
    </w:p>
    <w:p w14:paraId="1700FE31" w14:textId="619083BA" w:rsidR="006718C9" w:rsidRDefault="006718C9" w:rsidP="000B3827">
      <w:pPr>
        <w:pStyle w:val="Numberbullet0"/>
        <w:numPr>
          <w:ilvl w:val="0"/>
          <w:numId w:val="0"/>
        </w:numPr>
        <w:ind w:left="425"/>
        <w:rPr>
          <w:b/>
          <w:bCs/>
          <w:i/>
          <w:iCs/>
        </w:rPr>
      </w:pPr>
      <w:r w:rsidRPr="00767359">
        <w:rPr>
          <w:b/>
          <w:bCs/>
          <w:i/>
          <w:iCs/>
        </w:rPr>
        <w:t>Has the sponsor considered this indication for provisional registration in Australia?</w:t>
      </w:r>
    </w:p>
    <w:p w14:paraId="195EC91A" w14:textId="652B48B5" w:rsidR="002F0119" w:rsidRPr="000B3827" w:rsidRDefault="002F0119">
      <w:pPr>
        <w:rPr>
          <w:i/>
        </w:rPr>
      </w:pPr>
      <w:r w:rsidRPr="000B3827">
        <w:rPr>
          <w:i/>
        </w:rPr>
        <w:t>Study KCP-330-009 (SADAL trial) study design:</w:t>
      </w:r>
    </w:p>
    <w:p w14:paraId="220D19FD" w14:textId="3B74CB8B" w:rsidR="00FA13E2" w:rsidRPr="00610132" w:rsidRDefault="00FA13E2" w:rsidP="00610132">
      <w:r w:rsidRPr="00610132">
        <w:t xml:space="preserve">The </w:t>
      </w:r>
      <w:r w:rsidR="00477C7A" w:rsidRPr="00610132">
        <w:t>s</w:t>
      </w:r>
      <w:r w:rsidRPr="00610132">
        <w:t>ponsor thanks the Delegate for the opportunity to provide a comprehensive narrative to</w:t>
      </w:r>
      <w:r w:rsidR="00477C7A" w:rsidRPr="00610132">
        <w:t xml:space="preserve"> </w:t>
      </w:r>
      <w:r w:rsidRPr="00610132">
        <w:t xml:space="preserve">support full registration in Australia. The </w:t>
      </w:r>
      <w:r w:rsidR="00FF4AF5" w:rsidRPr="00610132">
        <w:t>s</w:t>
      </w:r>
      <w:r w:rsidRPr="00610132">
        <w:t>ponsor considers the data sufficiently robust to</w:t>
      </w:r>
      <w:r w:rsidR="00477C7A" w:rsidRPr="00610132">
        <w:t xml:space="preserve"> </w:t>
      </w:r>
      <w:r w:rsidRPr="00610132">
        <w:t xml:space="preserve">support full registration based on the SADAL </w:t>
      </w:r>
      <w:r w:rsidR="002F0119">
        <w:t>trial</w:t>
      </w:r>
      <w:r w:rsidR="002F0119" w:rsidRPr="00610132">
        <w:t xml:space="preserve"> </w:t>
      </w:r>
      <w:r w:rsidRPr="00610132">
        <w:t>being a well-designed registrational</w:t>
      </w:r>
      <w:r w:rsidR="00477C7A" w:rsidRPr="00610132">
        <w:t xml:space="preserve"> </w:t>
      </w:r>
      <w:r w:rsidRPr="00610132">
        <w:t>study with patient population, eligibility criteria, study design, and statistical assumptions all</w:t>
      </w:r>
      <w:r w:rsidR="00477C7A" w:rsidRPr="00610132">
        <w:t xml:space="preserve"> </w:t>
      </w:r>
      <w:r w:rsidRPr="00610132">
        <w:t xml:space="preserve">agreed to by the FDA. The SADAL </w:t>
      </w:r>
      <w:r w:rsidR="002F0119">
        <w:t>trial</w:t>
      </w:r>
      <w:r w:rsidR="002F0119" w:rsidRPr="00610132">
        <w:t xml:space="preserve"> </w:t>
      </w:r>
      <w:r w:rsidRPr="00610132">
        <w:t>contains data from a relatively large number of</w:t>
      </w:r>
      <w:r w:rsidR="00477C7A" w:rsidRPr="00610132">
        <w:t xml:space="preserve"> </w:t>
      </w:r>
      <w:r w:rsidRPr="00610132">
        <w:t>patients (N</w:t>
      </w:r>
      <w:r w:rsidR="00FF4AF5" w:rsidRPr="00610132">
        <w:t xml:space="preserve"> </w:t>
      </w:r>
      <w:r w:rsidRPr="00610132">
        <w:t>=</w:t>
      </w:r>
      <w:r w:rsidR="00FF4AF5" w:rsidRPr="00610132">
        <w:t xml:space="preserve"> </w:t>
      </w:r>
      <w:r w:rsidRPr="00610132">
        <w:t xml:space="preserve">127 in the </w:t>
      </w:r>
      <w:proofErr w:type="spellStart"/>
      <w:r w:rsidRPr="00610132">
        <w:t>mITT</w:t>
      </w:r>
      <w:proofErr w:type="spellEnd"/>
      <w:r w:rsidRPr="00610132">
        <w:t xml:space="preserve"> population and N</w:t>
      </w:r>
      <w:r w:rsidR="00FF4AF5" w:rsidRPr="00610132">
        <w:t xml:space="preserve"> </w:t>
      </w:r>
      <w:r w:rsidRPr="00610132">
        <w:t>=</w:t>
      </w:r>
      <w:r w:rsidR="00FF4AF5" w:rsidRPr="00610132">
        <w:t xml:space="preserve"> </w:t>
      </w:r>
      <w:r w:rsidRPr="00610132">
        <w:t xml:space="preserve">134 included in the </w:t>
      </w:r>
      <w:r w:rsidR="002F0119">
        <w:t>US Prescribing Information (</w:t>
      </w:r>
      <w:r w:rsidRPr="00610132">
        <w:t>USPI</w:t>
      </w:r>
      <w:r w:rsidR="002F0119">
        <w:t>)</w:t>
      </w:r>
      <w:r w:rsidRPr="00610132">
        <w:t>) compared to</w:t>
      </w:r>
      <w:r w:rsidR="00477C7A" w:rsidRPr="00610132">
        <w:t xml:space="preserve"> </w:t>
      </w:r>
      <w:r w:rsidRPr="00610132">
        <w:t>historical studies in a similar patient population. The study results are both statistically</w:t>
      </w:r>
      <w:r w:rsidR="00477C7A" w:rsidRPr="00610132">
        <w:t xml:space="preserve"> </w:t>
      </w:r>
      <w:r w:rsidRPr="00610132">
        <w:t xml:space="preserve">significant and clinically </w:t>
      </w:r>
      <w:r w:rsidRPr="00610132">
        <w:lastRenderedPageBreak/>
        <w:t>meaningful, demonstrating clear clinical benefit with single</w:t>
      </w:r>
      <w:r w:rsidR="00FF4AF5" w:rsidRPr="00610132">
        <w:t xml:space="preserve"> </w:t>
      </w:r>
      <w:r w:rsidRPr="00610132">
        <w:t>agent</w:t>
      </w:r>
      <w:r w:rsidR="00477C7A" w:rsidRPr="00610132">
        <w:t xml:space="preserve"> </w:t>
      </w:r>
      <w:proofErr w:type="spellStart"/>
      <w:r w:rsidR="00FF4AF5" w:rsidRPr="00610132">
        <w:t>s</w:t>
      </w:r>
      <w:r w:rsidRPr="00610132">
        <w:t>elinexor</w:t>
      </w:r>
      <w:proofErr w:type="spellEnd"/>
      <w:r w:rsidRPr="00610132">
        <w:t xml:space="preserve"> treatment for this patient population with highly unmet medical need.</w:t>
      </w:r>
    </w:p>
    <w:p w14:paraId="44AA55CB" w14:textId="53513AC0" w:rsidR="00FA13E2" w:rsidRPr="00610132" w:rsidRDefault="00FA13E2" w:rsidP="00610132">
      <w:r w:rsidRPr="00610132">
        <w:t xml:space="preserve">The single arm design is justifiable on the grounds that </w:t>
      </w:r>
      <w:r w:rsidR="00FF5BD2">
        <w:t>relapsed/refractory</w:t>
      </w:r>
      <w:r w:rsidRPr="00610132">
        <w:t xml:space="preserve"> </w:t>
      </w:r>
      <w:r w:rsidR="00FF5BD2">
        <w:t>diffuse large B</w:t>
      </w:r>
      <w:r w:rsidR="00FF5BD2">
        <w:noBreakHyphen/>
        <w:t>cell lymphoma</w:t>
      </w:r>
      <w:r w:rsidRPr="00610132">
        <w:t xml:space="preserve"> is a rare challenging condition and there is no established</w:t>
      </w:r>
      <w:r w:rsidR="00477C7A" w:rsidRPr="00610132">
        <w:t xml:space="preserve"> </w:t>
      </w:r>
      <w:r w:rsidRPr="00610132">
        <w:t>standard of care for relapsed or refractory patients in third line, making selection of an</w:t>
      </w:r>
      <w:r w:rsidR="00477C7A" w:rsidRPr="00610132">
        <w:t xml:space="preserve"> </w:t>
      </w:r>
      <w:r w:rsidRPr="00610132">
        <w:t>appropriate comparator problematic. In addition, the clear single-agent treatment activity of</w:t>
      </w:r>
      <w:r w:rsidR="00477C7A" w:rsidRPr="00610132">
        <w:t xml:space="preserve"> </w:t>
      </w:r>
      <w:proofErr w:type="spellStart"/>
      <w:r w:rsidRPr="00610132">
        <w:t>selinexor</w:t>
      </w:r>
      <w:proofErr w:type="spellEnd"/>
      <w:r w:rsidRPr="00610132">
        <w:t xml:space="preserve"> also justifies the single arm design.</w:t>
      </w:r>
    </w:p>
    <w:p w14:paraId="451811CF" w14:textId="1EFF309F" w:rsidR="00FA13E2" w:rsidRPr="00610132" w:rsidRDefault="00FA13E2" w:rsidP="00610132">
      <w:r w:rsidRPr="00610132">
        <w:t xml:space="preserve">The ongoing randomised Phase </w:t>
      </w:r>
      <w:r w:rsidR="00FF4AF5" w:rsidRPr="00610132">
        <w:t>II</w:t>
      </w:r>
      <w:r w:rsidRPr="00610132">
        <w:t>/</w:t>
      </w:r>
      <w:r w:rsidR="00FF4AF5" w:rsidRPr="00610132">
        <w:t>III</w:t>
      </w:r>
      <w:r w:rsidRPr="00610132">
        <w:t xml:space="preserve"> study (</w:t>
      </w:r>
      <w:r w:rsidR="00FF4AF5" w:rsidRPr="00610132">
        <w:t xml:space="preserve">Study </w:t>
      </w:r>
      <w:r w:rsidRPr="00610132">
        <w:t>XPORT-DLBCL-030)</w:t>
      </w:r>
      <w:r w:rsidR="00FF5BD2">
        <w:t>;</w:t>
      </w:r>
      <w:r w:rsidR="00FF5BD2" w:rsidRPr="000B3827">
        <w:rPr>
          <w:vertAlign w:val="superscript"/>
        </w:rPr>
        <w:fldChar w:fldCharType="begin"/>
      </w:r>
      <w:r w:rsidR="00FF5BD2" w:rsidRPr="000B3827">
        <w:rPr>
          <w:vertAlign w:val="superscript"/>
        </w:rPr>
        <w:instrText xml:space="preserve"> NOTEREF _Ref117326956 \h </w:instrText>
      </w:r>
      <w:r w:rsidR="00FF5BD2">
        <w:rPr>
          <w:vertAlign w:val="superscript"/>
        </w:rPr>
        <w:instrText xml:space="preserve"> \* MERGEFORMAT </w:instrText>
      </w:r>
      <w:r w:rsidR="00FF5BD2" w:rsidRPr="000B3827">
        <w:rPr>
          <w:vertAlign w:val="superscript"/>
        </w:rPr>
      </w:r>
      <w:r w:rsidR="00FF5BD2" w:rsidRPr="000B3827">
        <w:rPr>
          <w:vertAlign w:val="superscript"/>
        </w:rPr>
        <w:fldChar w:fldCharType="separate"/>
      </w:r>
      <w:r w:rsidR="00FF5BD2" w:rsidRPr="000B3827">
        <w:rPr>
          <w:vertAlign w:val="superscript"/>
        </w:rPr>
        <w:t>26</w:t>
      </w:r>
      <w:r w:rsidR="00FF5BD2" w:rsidRPr="000B3827">
        <w:rPr>
          <w:vertAlign w:val="superscript"/>
        </w:rPr>
        <w:fldChar w:fldCharType="end"/>
      </w:r>
      <w:r w:rsidRPr="00610132">
        <w:t xml:space="preserve"> as a post-market</w:t>
      </w:r>
      <w:r w:rsidR="00477C7A" w:rsidRPr="00610132">
        <w:t xml:space="preserve"> </w:t>
      </w:r>
      <w:r w:rsidRPr="00610132">
        <w:t xml:space="preserve">requirement for the accelerated approval of </w:t>
      </w:r>
      <w:proofErr w:type="spellStart"/>
      <w:r w:rsidRPr="00610132">
        <w:t>selinexor</w:t>
      </w:r>
      <w:proofErr w:type="spellEnd"/>
      <w:r w:rsidRPr="00610132">
        <w:t xml:space="preserve"> for </w:t>
      </w:r>
      <w:r w:rsidR="00FF5BD2">
        <w:t>diffuse large B</w:t>
      </w:r>
      <w:r w:rsidR="00FF5BD2">
        <w:noBreakHyphen/>
        <w:t xml:space="preserve">cell lymphoma </w:t>
      </w:r>
      <w:r w:rsidRPr="00610132">
        <w:t>in the US</w:t>
      </w:r>
      <w:r w:rsidR="00FF5BD2">
        <w:t>A</w:t>
      </w:r>
      <w:r w:rsidRPr="00610132">
        <w:t>, is a</w:t>
      </w:r>
      <w:r w:rsidR="00477C7A" w:rsidRPr="00610132">
        <w:t xml:space="preserve"> </w:t>
      </w:r>
      <w:r w:rsidRPr="00610132">
        <w:t xml:space="preserve">combination regimen (R-GDP with or without </w:t>
      </w:r>
      <w:proofErr w:type="spellStart"/>
      <w:r w:rsidRPr="00610132">
        <w:t>selinexor</w:t>
      </w:r>
      <w:proofErr w:type="spellEnd"/>
      <w:r w:rsidRPr="00610132">
        <w:t xml:space="preserve">) in an earlier </w:t>
      </w:r>
      <w:r w:rsidR="00FF5BD2">
        <w:t>relapsed/refractory</w:t>
      </w:r>
      <w:r w:rsidR="00FF5BD2" w:rsidRPr="00610132">
        <w:t xml:space="preserve"> </w:t>
      </w:r>
      <w:r w:rsidR="00FF5BD2">
        <w:t>diffuse large B</w:t>
      </w:r>
      <w:r w:rsidR="00FF5BD2">
        <w:noBreakHyphen/>
        <w:t xml:space="preserve">cell lymphoma </w:t>
      </w:r>
      <w:r w:rsidRPr="00610132">
        <w:t xml:space="preserve">population and will provide further data to support the treatment effect and use of </w:t>
      </w:r>
      <w:proofErr w:type="spellStart"/>
      <w:r w:rsidRPr="00610132">
        <w:t>selinexor</w:t>
      </w:r>
      <w:proofErr w:type="spellEnd"/>
      <w:r w:rsidRPr="00610132">
        <w:t xml:space="preserve"> in</w:t>
      </w:r>
      <w:r w:rsidR="00477C7A" w:rsidRPr="00610132">
        <w:t xml:space="preserve"> </w:t>
      </w:r>
      <w:r w:rsidRPr="00610132">
        <w:t xml:space="preserve">broader patient population. The trial enrolled its first patient in January 2021 and </w:t>
      </w:r>
      <w:proofErr w:type="spellStart"/>
      <w:r w:rsidRPr="00610132">
        <w:t>topline</w:t>
      </w:r>
      <w:proofErr w:type="spellEnd"/>
      <w:r w:rsidR="00477C7A" w:rsidRPr="00610132">
        <w:t xml:space="preserve"> </w:t>
      </w:r>
      <w:r w:rsidRPr="00610132">
        <w:t xml:space="preserve">results from the Phase </w:t>
      </w:r>
      <w:r w:rsidR="00FF4AF5" w:rsidRPr="00610132">
        <w:t>III</w:t>
      </w:r>
      <w:r w:rsidRPr="00610132">
        <w:t xml:space="preserve"> portion are expected after 2025. Further details of </w:t>
      </w:r>
      <w:r w:rsidR="00FF4AF5" w:rsidRPr="00610132">
        <w:t xml:space="preserve">Study </w:t>
      </w:r>
      <w:r w:rsidRPr="00610132">
        <w:t>XPORT-DLBCL-030 are provided in response to the Delegate’s Question 5</w:t>
      </w:r>
      <w:r w:rsidR="00FF5BD2">
        <w:t xml:space="preserve"> (see below)</w:t>
      </w:r>
      <w:r w:rsidRPr="00610132">
        <w:t>.</w:t>
      </w:r>
    </w:p>
    <w:p w14:paraId="47701255" w14:textId="3EF8F61D" w:rsidR="00FA13E2" w:rsidRPr="000B3827" w:rsidRDefault="00FA13E2">
      <w:pPr>
        <w:rPr>
          <w:i/>
        </w:rPr>
      </w:pPr>
      <w:r w:rsidRPr="000B3827">
        <w:rPr>
          <w:i/>
        </w:rPr>
        <w:t xml:space="preserve">Choice of </w:t>
      </w:r>
      <w:r w:rsidR="00FF5BD2">
        <w:rPr>
          <w:i/>
        </w:rPr>
        <w:t>overall response rate</w:t>
      </w:r>
      <w:r w:rsidR="00FF5BD2" w:rsidRPr="000B3827">
        <w:rPr>
          <w:i/>
        </w:rPr>
        <w:t xml:space="preserve"> </w:t>
      </w:r>
      <w:r w:rsidRPr="000B3827">
        <w:rPr>
          <w:i/>
        </w:rPr>
        <w:t>as the primary endpoint:</w:t>
      </w:r>
    </w:p>
    <w:p w14:paraId="13E983C7" w14:textId="47398069" w:rsidR="00FA13E2" w:rsidRPr="00610132" w:rsidRDefault="00FA13E2" w:rsidP="00610132">
      <w:r w:rsidRPr="00610132">
        <w:t xml:space="preserve">The choice of </w:t>
      </w:r>
      <w:r w:rsidR="00FF4AF5" w:rsidRPr="00610132">
        <w:t>o</w:t>
      </w:r>
      <w:r w:rsidRPr="00610132">
        <w:t xml:space="preserve">verall </w:t>
      </w:r>
      <w:r w:rsidR="00FF4AF5" w:rsidRPr="00610132">
        <w:t>r</w:t>
      </w:r>
      <w:r w:rsidRPr="00610132">
        <w:t xml:space="preserve">esponse </w:t>
      </w:r>
      <w:r w:rsidR="00FF4AF5" w:rsidRPr="00610132">
        <w:t>r</w:t>
      </w:r>
      <w:r w:rsidRPr="00610132">
        <w:t>ate (ORR) as the primary endpoint is commonly accepted</w:t>
      </w:r>
      <w:r w:rsidR="00477C7A" w:rsidRPr="00610132">
        <w:t xml:space="preserve"> </w:t>
      </w:r>
      <w:r w:rsidRPr="00610132">
        <w:t>for single-agent single-arm registrational studies in the h</w:t>
      </w:r>
      <w:r w:rsidR="00FF5BD2">
        <w:t>a</w:t>
      </w:r>
      <w:r w:rsidRPr="00610132">
        <w:t>ematology/oncology setting since</w:t>
      </w:r>
      <w:r w:rsidR="00477C7A" w:rsidRPr="00610132">
        <w:t xml:space="preserve"> </w:t>
      </w:r>
      <w:r w:rsidRPr="00610132">
        <w:t>disease response (partial response or better) is considered an objective and direct measure of</w:t>
      </w:r>
      <w:r w:rsidR="00477C7A" w:rsidRPr="00610132">
        <w:t xml:space="preserve"> </w:t>
      </w:r>
      <w:r w:rsidRPr="00610132">
        <w:t>treatment effect, not likely due to other factors. It is also adequate in the context of a</w:t>
      </w:r>
      <w:r w:rsidR="00477C7A" w:rsidRPr="00610132">
        <w:t xml:space="preserve"> </w:t>
      </w:r>
      <w:r w:rsidRPr="00610132">
        <w:t>continuous therapy approach with novel agents if they demonstrate meaningful ORR</w:t>
      </w:r>
      <w:r w:rsidR="00477C7A" w:rsidRPr="00610132">
        <w:t xml:space="preserve"> </w:t>
      </w:r>
      <w:r w:rsidRPr="00610132">
        <w:t xml:space="preserve">supported by durable response therapies. This is evidenced in the SADAL </w:t>
      </w:r>
      <w:r w:rsidR="00FF4AF5" w:rsidRPr="00610132">
        <w:t>trial</w:t>
      </w:r>
      <w:r w:rsidRPr="00610132">
        <w:t xml:space="preserve"> by an ORR</w:t>
      </w:r>
      <w:r w:rsidR="00477C7A" w:rsidRPr="00610132">
        <w:t xml:space="preserve"> </w:t>
      </w:r>
      <w:r w:rsidRPr="00610132">
        <w:t xml:space="preserve">of 28.3% (in the </w:t>
      </w:r>
      <w:proofErr w:type="spellStart"/>
      <w:r w:rsidRPr="00610132">
        <w:t>mITT</w:t>
      </w:r>
      <w:proofErr w:type="spellEnd"/>
      <w:r w:rsidRPr="00610132">
        <w:t xml:space="preserve"> population) with a median by the </w:t>
      </w:r>
      <w:r w:rsidR="00FF5BD2">
        <w:t>duration of response</w:t>
      </w:r>
      <w:r w:rsidR="00FF5BD2" w:rsidRPr="00610132">
        <w:t xml:space="preserve"> </w:t>
      </w:r>
      <w:r w:rsidRPr="00610132">
        <w:t>of 9.3 months in patients with</w:t>
      </w:r>
      <w:r w:rsidR="00477C7A" w:rsidRPr="00610132">
        <w:t xml:space="preserve"> </w:t>
      </w:r>
      <w:r w:rsidR="00FF5BD2">
        <w:t>partial response</w:t>
      </w:r>
      <w:r w:rsidR="00FF5BD2" w:rsidRPr="00610132">
        <w:t xml:space="preserve"> </w:t>
      </w:r>
      <w:r w:rsidRPr="00610132">
        <w:t>or better, which is quite impressive for this patient population. The complete response</w:t>
      </w:r>
      <w:r w:rsidR="00477C7A" w:rsidRPr="00610132">
        <w:t xml:space="preserve"> </w:t>
      </w:r>
      <w:r w:rsidRPr="00610132">
        <w:t>rate (CRR) is 11.8%.</w:t>
      </w:r>
    </w:p>
    <w:p w14:paraId="007129BC" w14:textId="040004E7" w:rsidR="00FA13E2" w:rsidRPr="000B3827" w:rsidRDefault="00FA13E2">
      <w:pPr>
        <w:rPr>
          <w:i/>
        </w:rPr>
      </w:pPr>
      <w:r w:rsidRPr="000B3827">
        <w:rPr>
          <w:i/>
        </w:rPr>
        <w:t xml:space="preserve">Robustness of SADAL </w:t>
      </w:r>
      <w:r w:rsidR="00FF5BD2">
        <w:rPr>
          <w:i/>
        </w:rPr>
        <w:t>trial</w:t>
      </w:r>
      <w:r w:rsidR="00FF5BD2" w:rsidRPr="000B3827">
        <w:rPr>
          <w:i/>
        </w:rPr>
        <w:t xml:space="preserve"> </w:t>
      </w:r>
      <w:r w:rsidRPr="000B3827">
        <w:rPr>
          <w:i/>
        </w:rPr>
        <w:t>results</w:t>
      </w:r>
    </w:p>
    <w:p w14:paraId="3A0D414E" w14:textId="266E8CAA" w:rsidR="00FA13E2" w:rsidRPr="00610132" w:rsidRDefault="00FA13E2" w:rsidP="00610132">
      <w:r w:rsidRPr="00610132">
        <w:t xml:space="preserve">The results of ORR supported by </w:t>
      </w:r>
      <w:r w:rsidR="00FF5BD2">
        <w:t>duration of response</w:t>
      </w:r>
      <w:r w:rsidR="00FF5BD2" w:rsidRPr="00610132">
        <w:t xml:space="preserve"> </w:t>
      </w:r>
      <w:r w:rsidRPr="00610132">
        <w:t>as shown above and detailed in the submission have</w:t>
      </w:r>
      <w:r w:rsidR="00477C7A" w:rsidRPr="00610132">
        <w:t xml:space="preserve"> </w:t>
      </w:r>
      <w:r w:rsidRPr="00610132">
        <w:t xml:space="preserve">demonstrated clear single-agent treatment effect of </w:t>
      </w:r>
      <w:proofErr w:type="spellStart"/>
      <w:r w:rsidRPr="00610132">
        <w:t>selinexor</w:t>
      </w:r>
      <w:proofErr w:type="spellEnd"/>
      <w:r w:rsidRPr="00610132">
        <w:t xml:space="preserve"> in a very challenging patient</w:t>
      </w:r>
      <w:r w:rsidR="00477C7A" w:rsidRPr="00610132">
        <w:t xml:space="preserve"> </w:t>
      </w:r>
      <w:r w:rsidRPr="00610132">
        <w:t xml:space="preserve">population with unmet medical need. The safety profile of </w:t>
      </w:r>
      <w:proofErr w:type="spellStart"/>
      <w:r w:rsidRPr="00610132">
        <w:t>selinexor</w:t>
      </w:r>
      <w:proofErr w:type="spellEnd"/>
      <w:r w:rsidRPr="00610132">
        <w:t xml:space="preserve"> is well characteri</w:t>
      </w:r>
      <w:r w:rsidR="00FF5BD2">
        <w:t>s</w:t>
      </w:r>
      <w:r w:rsidRPr="00610132">
        <w:t>ed and</w:t>
      </w:r>
      <w:r w:rsidR="00477C7A" w:rsidRPr="00610132">
        <w:t xml:space="preserve"> </w:t>
      </w:r>
      <w:r w:rsidRPr="00610132">
        <w:t xml:space="preserve">manageable. The benefit risk profile and convenience of oral therapy make </w:t>
      </w:r>
      <w:proofErr w:type="spellStart"/>
      <w:r w:rsidRPr="00610132">
        <w:t>selinexor</w:t>
      </w:r>
      <w:proofErr w:type="spellEnd"/>
      <w:r w:rsidRPr="00610132">
        <w:t xml:space="preserve"> an</w:t>
      </w:r>
      <w:r w:rsidR="00477C7A" w:rsidRPr="00610132">
        <w:t xml:space="preserve"> </w:t>
      </w:r>
      <w:r w:rsidRPr="00610132">
        <w:t>important new option.</w:t>
      </w:r>
    </w:p>
    <w:p w14:paraId="3A3EC738" w14:textId="7A171B4A" w:rsidR="00477C7A" w:rsidRPr="00610132" w:rsidRDefault="00477C7A" w:rsidP="00610132">
      <w:r w:rsidRPr="00610132">
        <w:t xml:space="preserve">Moreover, the results compare </w:t>
      </w:r>
      <w:proofErr w:type="spellStart"/>
      <w:r w:rsidRPr="00610132">
        <w:t>favorably</w:t>
      </w:r>
      <w:proofErr w:type="spellEnd"/>
      <w:r w:rsidRPr="00610132">
        <w:t xml:space="preserve"> with historical data in similar patient populations, such as those included in SCHOLAR-11</w:t>
      </w:r>
      <w:r w:rsidR="00FF5BD2">
        <w:t>;</w:t>
      </w:r>
      <w:r w:rsidR="00FF5BD2" w:rsidRPr="000B3827">
        <w:rPr>
          <w:vertAlign w:val="superscript"/>
        </w:rPr>
        <w:fldChar w:fldCharType="begin"/>
      </w:r>
      <w:r w:rsidR="00FF5BD2" w:rsidRPr="000B3827">
        <w:rPr>
          <w:vertAlign w:val="superscript"/>
        </w:rPr>
        <w:instrText xml:space="preserve"> NOTEREF _Ref115080809 \h </w:instrText>
      </w:r>
      <w:r w:rsidR="00FF5BD2">
        <w:rPr>
          <w:vertAlign w:val="superscript"/>
        </w:rPr>
        <w:instrText xml:space="preserve"> \* MERGEFORMAT </w:instrText>
      </w:r>
      <w:r w:rsidR="00FF5BD2" w:rsidRPr="000B3827">
        <w:rPr>
          <w:vertAlign w:val="superscript"/>
        </w:rPr>
      </w:r>
      <w:r w:rsidR="00FF5BD2" w:rsidRPr="000B3827">
        <w:rPr>
          <w:vertAlign w:val="superscript"/>
        </w:rPr>
        <w:fldChar w:fldCharType="separate"/>
      </w:r>
      <w:r w:rsidR="00FF5BD2" w:rsidRPr="000B3827">
        <w:rPr>
          <w:vertAlign w:val="superscript"/>
        </w:rPr>
        <w:t>25</w:t>
      </w:r>
      <w:r w:rsidR="00FF5BD2" w:rsidRPr="000B3827">
        <w:rPr>
          <w:vertAlign w:val="superscript"/>
        </w:rPr>
        <w:fldChar w:fldCharType="end"/>
      </w:r>
      <w:r w:rsidRPr="00610132">
        <w:t xml:space="preserve"> which reported the patient-level analysis of outcomes of refractory DLBCL from </w:t>
      </w:r>
      <w:r w:rsidR="00FF4AF5" w:rsidRPr="00610132">
        <w:t>two</w:t>
      </w:r>
      <w:r w:rsidRPr="00610132">
        <w:t xml:space="preserve"> large, randomised trails and </w:t>
      </w:r>
      <w:r w:rsidR="00FF4AF5" w:rsidRPr="00610132">
        <w:t>two</w:t>
      </w:r>
      <w:r w:rsidRPr="00610132">
        <w:t xml:space="preserve"> academic databases.</w:t>
      </w:r>
    </w:p>
    <w:p w14:paraId="29373DFD" w14:textId="1F64B0B6" w:rsidR="00477C7A" w:rsidRPr="00610132" w:rsidRDefault="00477C7A" w:rsidP="00610132">
      <w:r w:rsidRPr="00610132">
        <w:t>Understanding the caveats of cross-study comparisons, the baseline characteristics and key efficacy outcomes based on a few common variables from the two studies are presented below.</w:t>
      </w:r>
    </w:p>
    <w:p w14:paraId="12A2F0C5" w14:textId="637ED54D" w:rsidR="00477C7A" w:rsidRPr="00610132" w:rsidRDefault="00477C7A" w:rsidP="00610132">
      <w:r w:rsidRPr="00610132">
        <w:t>As compared with SCHOLAR-1</w:t>
      </w:r>
      <w:r w:rsidR="00FF4AF5" w:rsidRPr="00610132">
        <w:t xml:space="preserve"> trial</w:t>
      </w:r>
      <w:r w:rsidR="003C5DBE">
        <w:t>;</w:t>
      </w:r>
      <w:r w:rsidR="003C5DBE" w:rsidRPr="00017C9A">
        <w:rPr>
          <w:vertAlign w:val="superscript"/>
        </w:rPr>
        <w:fldChar w:fldCharType="begin"/>
      </w:r>
      <w:r w:rsidR="003C5DBE" w:rsidRPr="00017C9A">
        <w:rPr>
          <w:vertAlign w:val="superscript"/>
        </w:rPr>
        <w:instrText xml:space="preserve"> NOTEREF _Ref115080809 \h </w:instrText>
      </w:r>
      <w:r w:rsidR="003C5DBE">
        <w:rPr>
          <w:vertAlign w:val="superscript"/>
        </w:rPr>
        <w:instrText xml:space="preserve"> \* MERGEFORMAT </w:instrText>
      </w:r>
      <w:r w:rsidR="003C5DBE" w:rsidRPr="00017C9A">
        <w:rPr>
          <w:vertAlign w:val="superscript"/>
        </w:rPr>
      </w:r>
      <w:r w:rsidR="003C5DBE" w:rsidRPr="00017C9A">
        <w:rPr>
          <w:vertAlign w:val="superscript"/>
        </w:rPr>
        <w:fldChar w:fldCharType="separate"/>
      </w:r>
      <w:r w:rsidR="003C5DBE" w:rsidRPr="00017C9A">
        <w:rPr>
          <w:vertAlign w:val="superscript"/>
        </w:rPr>
        <w:t>25</w:t>
      </w:r>
      <w:r w:rsidR="003C5DBE" w:rsidRPr="00017C9A">
        <w:rPr>
          <w:vertAlign w:val="superscript"/>
        </w:rPr>
        <w:fldChar w:fldCharType="end"/>
      </w:r>
      <w:r w:rsidRPr="00610132">
        <w:t xml:space="preserve"> the patients in SADAL</w:t>
      </w:r>
      <w:r w:rsidR="00FF4AF5" w:rsidRPr="00610132">
        <w:t xml:space="preserve"> trial</w:t>
      </w:r>
      <w:r w:rsidRPr="00610132">
        <w:t xml:space="preserve"> appear to be older, marginally higher risk, with substantially higher proportion of primary refractory patients. They also look to be more heavily pre-treated. Despite this, efficacy outcomes look comparable, with survival times looking better in SADAL</w:t>
      </w:r>
      <w:r w:rsidR="00FF4AF5" w:rsidRPr="00610132">
        <w:t xml:space="preserve"> trial</w:t>
      </w:r>
      <w:r w:rsidRPr="00610132">
        <w:t>.</w:t>
      </w:r>
    </w:p>
    <w:p w14:paraId="3814446B" w14:textId="37C875EC" w:rsidR="003C5DBE" w:rsidRDefault="003C5DBE" w:rsidP="000B3827">
      <w:pPr>
        <w:pStyle w:val="TableTitle"/>
      </w:pPr>
      <w:r>
        <w:lastRenderedPageBreak/>
        <w:t xml:space="preserve">Table </w:t>
      </w:r>
      <w:r w:rsidR="006737A0">
        <w:fldChar w:fldCharType="begin"/>
      </w:r>
      <w:r w:rsidR="006737A0">
        <w:instrText xml:space="preserve"> SEQ Table \* ARABIC </w:instrText>
      </w:r>
      <w:r w:rsidR="006737A0">
        <w:fldChar w:fldCharType="separate"/>
      </w:r>
      <w:r w:rsidR="00BB2836">
        <w:rPr>
          <w:noProof/>
        </w:rPr>
        <w:t>19</w:t>
      </w:r>
      <w:r w:rsidR="006737A0">
        <w:rPr>
          <w:noProof/>
        </w:rPr>
        <w:fldChar w:fldCharType="end"/>
      </w:r>
      <w:r>
        <w:t>: Comparison of baseline and disease characteristics between Study KCP</w:t>
      </w:r>
      <w:r>
        <w:noBreakHyphen/>
        <w:t>330-009 (SADAL trial), and the Scholar-1 trial</w:t>
      </w:r>
    </w:p>
    <w:p w14:paraId="203170F0" w14:textId="7678CA7C" w:rsidR="00903A9C" w:rsidRDefault="00903A9C" w:rsidP="00477C7A">
      <w:pPr>
        <w:rPr>
          <w:noProof/>
        </w:rPr>
      </w:pPr>
      <w:r w:rsidRPr="00903A9C">
        <w:rPr>
          <w:noProof/>
          <w:lang w:val="en-GB" w:eastAsia="en-GB"/>
        </w:rPr>
        <w:drawing>
          <wp:inline distT="0" distB="0" distL="0" distR="0" wp14:anchorId="5A06571E" wp14:editId="474E96F3">
            <wp:extent cx="4425949" cy="4552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7124"/>
                    <a:stretch/>
                  </pic:blipFill>
                  <pic:spPr bwMode="auto">
                    <a:xfrm>
                      <a:off x="0" y="0"/>
                      <a:ext cx="4426177" cy="4553184"/>
                    </a:xfrm>
                    <a:prstGeom prst="rect">
                      <a:avLst/>
                    </a:prstGeom>
                    <a:ln>
                      <a:noFill/>
                    </a:ln>
                    <a:extLst>
                      <a:ext uri="{53640926-AAD7-44D8-BBD7-CCE9431645EC}">
                        <a14:shadowObscured xmlns:a14="http://schemas.microsoft.com/office/drawing/2010/main"/>
                      </a:ext>
                    </a:extLst>
                  </pic:spPr>
                </pic:pic>
              </a:graphicData>
            </a:graphic>
          </wp:inline>
        </w:drawing>
      </w:r>
      <w:r w:rsidRPr="00903A9C">
        <w:rPr>
          <w:noProof/>
        </w:rPr>
        <w:t xml:space="preserve"> </w:t>
      </w:r>
      <w:r w:rsidRPr="00903A9C">
        <w:rPr>
          <w:noProof/>
          <w:lang w:val="en-GB" w:eastAsia="en-GB"/>
        </w:rPr>
        <w:drawing>
          <wp:inline distT="0" distB="0" distL="0" distR="0" wp14:anchorId="645D20D6" wp14:editId="63C19A0A">
            <wp:extent cx="4426177" cy="16828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26177" cy="1682836"/>
                    </a:xfrm>
                    <a:prstGeom prst="rect">
                      <a:avLst/>
                    </a:prstGeom>
                  </pic:spPr>
                </pic:pic>
              </a:graphicData>
            </a:graphic>
          </wp:inline>
        </w:drawing>
      </w:r>
    </w:p>
    <w:p w14:paraId="12FCF8C0" w14:textId="5279D45C" w:rsidR="003C5DBE" w:rsidRDefault="003C5DBE" w:rsidP="000B3827">
      <w:pPr>
        <w:pStyle w:val="TableDescription"/>
        <w:rPr>
          <w:noProof/>
        </w:rPr>
      </w:pPr>
      <w:r>
        <w:rPr>
          <w:noProof/>
        </w:rPr>
        <w:t xml:space="preserve">Data derived from: </w:t>
      </w:r>
      <w:r w:rsidRPr="003C5DBE">
        <w:rPr>
          <w:noProof/>
        </w:rPr>
        <w:t>Crump M, et al. Outcomes in refractory diffuse large B-cell lymphoma: results from the international SCHOLAR-1 study. Blood. 2017;130, 1800-1808.</w:t>
      </w:r>
    </w:p>
    <w:p w14:paraId="4E4DC3A6" w14:textId="77777777" w:rsidR="00903A9C" w:rsidRPr="000B3827" w:rsidRDefault="00903A9C">
      <w:pPr>
        <w:rPr>
          <w:i/>
        </w:rPr>
      </w:pPr>
      <w:r w:rsidRPr="000B3827">
        <w:rPr>
          <w:i/>
        </w:rPr>
        <w:t>Regulatory landscape</w:t>
      </w:r>
    </w:p>
    <w:p w14:paraId="025FFEBC" w14:textId="7DD0DE34" w:rsidR="00903A9C" w:rsidRPr="00610132" w:rsidRDefault="00903A9C" w:rsidP="00610132">
      <w:r w:rsidRPr="00610132">
        <w:t xml:space="preserve">In support of the SADAL data being sufficient for full registration, reference is made to </w:t>
      </w:r>
      <w:proofErr w:type="spellStart"/>
      <w:r w:rsidRPr="00610132">
        <w:t>Polivy</w:t>
      </w:r>
      <w:proofErr w:type="spellEnd"/>
      <w:r w:rsidRPr="00610132">
        <w:t xml:space="preserve"> in October 2019</w:t>
      </w:r>
      <w:r w:rsidR="003C5DBE">
        <w:t>;</w:t>
      </w:r>
      <w:r w:rsidR="003C5DBE" w:rsidRPr="000B3827">
        <w:rPr>
          <w:vertAlign w:val="superscript"/>
        </w:rPr>
        <w:fldChar w:fldCharType="begin"/>
      </w:r>
      <w:r w:rsidR="003C5DBE" w:rsidRPr="000B3827">
        <w:rPr>
          <w:vertAlign w:val="superscript"/>
        </w:rPr>
        <w:instrText xml:space="preserve"> NOTEREF _Ref117327507 \h </w:instrText>
      </w:r>
      <w:r w:rsidR="003C5DBE">
        <w:rPr>
          <w:vertAlign w:val="superscript"/>
        </w:rPr>
        <w:instrText xml:space="preserve"> \* MERGEFORMAT </w:instrText>
      </w:r>
      <w:r w:rsidR="003C5DBE" w:rsidRPr="000B3827">
        <w:rPr>
          <w:vertAlign w:val="superscript"/>
        </w:rPr>
      </w:r>
      <w:r w:rsidR="003C5DBE" w:rsidRPr="000B3827">
        <w:rPr>
          <w:vertAlign w:val="superscript"/>
        </w:rPr>
        <w:fldChar w:fldCharType="separate"/>
      </w:r>
      <w:r w:rsidR="003C5DBE" w:rsidRPr="000B3827">
        <w:rPr>
          <w:vertAlign w:val="superscript"/>
        </w:rPr>
        <w:t>27</w:t>
      </w:r>
      <w:r w:rsidR="003C5DBE" w:rsidRPr="000B3827">
        <w:rPr>
          <w:vertAlign w:val="superscript"/>
        </w:rPr>
        <w:fldChar w:fldCharType="end"/>
      </w:r>
      <w:r w:rsidR="003C5DBE" w:rsidRPr="000B3827">
        <w:rPr>
          <w:vertAlign w:val="superscript"/>
        </w:rPr>
        <w:t>,</w:t>
      </w:r>
      <w:r w:rsidR="003C5DBE" w:rsidRPr="000B3827">
        <w:rPr>
          <w:vertAlign w:val="superscript"/>
        </w:rPr>
        <w:fldChar w:fldCharType="begin"/>
      </w:r>
      <w:r w:rsidR="003C5DBE" w:rsidRPr="000B3827">
        <w:rPr>
          <w:vertAlign w:val="superscript"/>
        </w:rPr>
        <w:instrText xml:space="preserve"> NOTEREF _Ref117327509 \h </w:instrText>
      </w:r>
      <w:r w:rsidR="003C5DBE">
        <w:rPr>
          <w:vertAlign w:val="superscript"/>
        </w:rPr>
        <w:instrText xml:space="preserve"> \* MERGEFORMAT </w:instrText>
      </w:r>
      <w:r w:rsidR="003C5DBE" w:rsidRPr="000B3827">
        <w:rPr>
          <w:vertAlign w:val="superscript"/>
        </w:rPr>
      </w:r>
      <w:r w:rsidR="003C5DBE" w:rsidRPr="000B3827">
        <w:rPr>
          <w:vertAlign w:val="superscript"/>
        </w:rPr>
        <w:fldChar w:fldCharType="separate"/>
      </w:r>
      <w:r w:rsidR="003C5DBE" w:rsidRPr="000B3827">
        <w:rPr>
          <w:vertAlign w:val="superscript"/>
        </w:rPr>
        <w:t>28</w:t>
      </w:r>
      <w:r w:rsidR="003C5DBE" w:rsidRPr="000B3827">
        <w:rPr>
          <w:vertAlign w:val="superscript"/>
        </w:rPr>
        <w:fldChar w:fldCharType="end"/>
      </w:r>
      <w:r w:rsidRPr="00610132">
        <w:t xml:space="preserve"> in which full registration was granted based on a similar dataset. </w:t>
      </w:r>
      <w:proofErr w:type="spellStart"/>
      <w:r w:rsidRPr="00610132">
        <w:t>Polivy</w:t>
      </w:r>
      <w:proofErr w:type="spellEnd"/>
      <w:r w:rsidRPr="00610132">
        <w:t xml:space="preserve"> (</w:t>
      </w:r>
      <w:proofErr w:type="spellStart"/>
      <w:r w:rsidRPr="00610132">
        <w:t>polatuzumab</w:t>
      </w:r>
      <w:proofErr w:type="spellEnd"/>
      <w:r w:rsidRPr="00610132">
        <w:t xml:space="preserve"> </w:t>
      </w:r>
      <w:proofErr w:type="spellStart"/>
      <w:r w:rsidRPr="00610132">
        <w:t>vedotin</w:t>
      </w:r>
      <w:proofErr w:type="spellEnd"/>
      <w:r w:rsidRPr="00610132">
        <w:t xml:space="preserve">) in combination with </w:t>
      </w:r>
      <w:proofErr w:type="spellStart"/>
      <w:r w:rsidRPr="00610132">
        <w:t>bendamustine</w:t>
      </w:r>
      <w:proofErr w:type="spellEnd"/>
      <w:r w:rsidRPr="00610132">
        <w:t xml:space="preserve"> and rituximab, is indicated for the treatment of previously treated adult patients with diffuse large B-cell lymphoma who are not candidates for h</w:t>
      </w:r>
      <w:r w:rsidR="003C5DBE">
        <w:t>a</w:t>
      </w:r>
      <w:r w:rsidRPr="00610132">
        <w:t>ematopoietic stem cell transplant.</w:t>
      </w:r>
    </w:p>
    <w:p w14:paraId="4FFCD7E1" w14:textId="020053CD" w:rsidR="00903A9C" w:rsidRPr="00610132" w:rsidRDefault="00903A9C" w:rsidP="00610132">
      <w:r w:rsidRPr="00610132">
        <w:t xml:space="preserve">The efficacy of </w:t>
      </w:r>
      <w:proofErr w:type="spellStart"/>
      <w:r w:rsidRPr="00610132">
        <w:t>Polivy</w:t>
      </w:r>
      <w:proofErr w:type="spellEnd"/>
      <w:r w:rsidRPr="00610132">
        <w:t xml:space="preserve"> was based on a Phase </w:t>
      </w:r>
      <w:r w:rsidR="00610132">
        <w:t>I</w:t>
      </w:r>
      <w:r w:rsidRPr="00610132">
        <w:t>/</w:t>
      </w:r>
      <w:r w:rsidR="00610132">
        <w:t>II</w:t>
      </w:r>
      <w:r w:rsidRPr="00610132">
        <w:t xml:space="preserve"> trial, Study G029365. This compared the efficacy of </w:t>
      </w:r>
      <w:proofErr w:type="spellStart"/>
      <w:r w:rsidRPr="00610132">
        <w:t>Polivy</w:t>
      </w:r>
      <w:proofErr w:type="spellEnd"/>
      <w:r w:rsidRPr="00610132">
        <w:t xml:space="preserve"> + </w:t>
      </w:r>
      <w:proofErr w:type="spellStart"/>
      <w:r w:rsidRPr="00610132">
        <w:t>bendamustine</w:t>
      </w:r>
      <w:proofErr w:type="spellEnd"/>
      <w:r w:rsidRPr="00610132">
        <w:t xml:space="preserve"> + rituximab (Pola + BR) with </w:t>
      </w:r>
      <w:proofErr w:type="spellStart"/>
      <w:r w:rsidRPr="00610132">
        <w:t>bendamustine</w:t>
      </w:r>
      <w:proofErr w:type="spellEnd"/>
      <w:r w:rsidRPr="00610132">
        <w:t xml:space="preserve"> + rituximab (BR) in a total of 80 patients randomised 1:1 to either treatment arm. The primary endpoint of the study was the rate of complete response in the two comparator arms.</w:t>
      </w:r>
    </w:p>
    <w:p w14:paraId="450A8716" w14:textId="50E96BB3" w:rsidR="00903A9C" w:rsidRPr="00610132" w:rsidRDefault="00903A9C" w:rsidP="00610132">
      <w:r w:rsidRPr="00610132">
        <w:lastRenderedPageBreak/>
        <w:t xml:space="preserve">In consideration of the application, it was noted that the refractory patient population who are unsuitable to </w:t>
      </w:r>
      <w:r w:rsidR="003C5DBE" w:rsidRPr="003C5DBE">
        <w:t>autologous stem cell transplant</w:t>
      </w:r>
      <w:r w:rsidR="003C5DBE">
        <w:t xml:space="preserve"> (</w:t>
      </w:r>
      <w:r w:rsidRPr="00610132">
        <w:t>ACST</w:t>
      </w:r>
      <w:r w:rsidR="003C5DBE">
        <w:t>)</w:t>
      </w:r>
      <w:r w:rsidRPr="00610132">
        <w:t xml:space="preserve"> currently has a poor prognosis. Whilst the </w:t>
      </w:r>
      <w:r w:rsidR="00610132">
        <w:t>D</w:t>
      </w:r>
      <w:r w:rsidRPr="00610132">
        <w:t xml:space="preserve">elegate considered the immaturity of the data in supporting the efficacy of </w:t>
      </w:r>
      <w:proofErr w:type="spellStart"/>
      <w:r w:rsidRPr="00610132">
        <w:t>Polivy</w:t>
      </w:r>
      <w:proofErr w:type="spellEnd"/>
      <w:r w:rsidRPr="00610132">
        <w:t xml:space="preserve"> to be an issue, also noting that the sponsor did not request provisional registration, approval was granted due in part to the commitment of the confirmatory data from a larger Phase III trial being provided upon availability. Similarly, as outlined in response to Question 5 below, the </w:t>
      </w:r>
      <w:r w:rsidR="00610132">
        <w:t>s</w:t>
      </w:r>
      <w:r w:rsidRPr="00610132">
        <w:t xml:space="preserve">ponsor of this submission also has a randomised Phase </w:t>
      </w:r>
      <w:r w:rsidR="00610132">
        <w:t>II</w:t>
      </w:r>
      <w:r w:rsidRPr="00610132">
        <w:t>/</w:t>
      </w:r>
      <w:r w:rsidR="00610132">
        <w:t>III</w:t>
      </w:r>
      <w:r w:rsidRPr="00610132">
        <w:t xml:space="preserve"> trial to collect confirmatory data on the benefit of </w:t>
      </w:r>
      <w:proofErr w:type="spellStart"/>
      <w:r w:rsidRPr="00610132">
        <w:t>selinexor</w:t>
      </w:r>
      <w:proofErr w:type="spellEnd"/>
      <w:r w:rsidRPr="00610132">
        <w:t xml:space="preserve"> in the </w:t>
      </w:r>
      <w:r w:rsidR="003C5DBE">
        <w:t>relapsed/refractory diffuse large B</w:t>
      </w:r>
      <w:r w:rsidR="003C5DBE">
        <w:noBreakHyphen/>
        <w:t xml:space="preserve">cell lymphoma </w:t>
      </w:r>
      <w:r w:rsidRPr="00610132">
        <w:t>patient population.</w:t>
      </w:r>
    </w:p>
    <w:p w14:paraId="3F97B307" w14:textId="25D580C7" w:rsidR="00903A9C" w:rsidRPr="00610132" w:rsidRDefault="00903A9C" w:rsidP="00610132">
      <w:r w:rsidRPr="00610132">
        <w:t>The sponsor also notes the full registration of Keytruda (pembrolizumab) with limited available data.</w:t>
      </w:r>
      <w:r w:rsidR="003C5DBE">
        <w:rPr>
          <w:rStyle w:val="FootnoteReference"/>
        </w:rPr>
        <w:footnoteReference w:id="32"/>
      </w:r>
      <w:r w:rsidRPr="00610132">
        <w:t xml:space="preserve"> Keytruda is indicated as monotherapy for the treatment of unresectable or metastatic melanoma in adults.</w:t>
      </w:r>
    </w:p>
    <w:p w14:paraId="28664650" w14:textId="4CC25096" w:rsidR="00415E3E" w:rsidRPr="00610132" w:rsidRDefault="00903A9C" w:rsidP="00610132">
      <w:r w:rsidRPr="00610132">
        <w:t xml:space="preserve">The results of the </w:t>
      </w:r>
      <w:r w:rsidR="00610132">
        <w:t>S</w:t>
      </w:r>
      <w:r w:rsidRPr="00610132">
        <w:t>tudy P001 for Keytruda indicate that pembrolizumab produces objective responses in a substantial proportion of patients with advanced melanoma (approximately 33% overall). Meaningful response rates were also observed in the subgroup of subjects who had received 2 or more prior systemic therapies. These responses appear to be long lasting.</w:t>
      </w:r>
      <w:r w:rsidR="00A03E1B" w:rsidRPr="00610132">
        <w:t xml:space="preserve"> </w:t>
      </w:r>
      <w:r w:rsidRPr="00610132">
        <w:t>Median progression free survival was 23.7 weeks (approximately 5.5 months). Overall</w:t>
      </w:r>
      <w:r w:rsidR="00A03E1B" w:rsidRPr="00610132">
        <w:t xml:space="preserve"> </w:t>
      </w:r>
      <w:r w:rsidRPr="00610132">
        <w:t xml:space="preserve">survival data were not mature. No </w:t>
      </w:r>
      <w:proofErr w:type="gramStart"/>
      <w:r w:rsidRPr="00610132">
        <w:t>quality of life</w:t>
      </w:r>
      <w:proofErr w:type="gramEnd"/>
      <w:r w:rsidRPr="00610132">
        <w:t xml:space="preserve"> data were collected in the study.</w:t>
      </w:r>
    </w:p>
    <w:p w14:paraId="12CEDC28" w14:textId="1C9C00E0" w:rsidR="00903A9C" w:rsidRPr="00610132" w:rsidRDefault="00903A9C" w:rsidP="00610132">
      <w:r w:rsidRPr="00610132">
        <w:t xml:space="preserve">Overall, it was considered by the </w:t>
      </w:r>
      <w:r w:rsidR="00610132">
        <w:t>D</w:t>
      </w:r>
      <w:r w:rsidRPr="00610132">
        <w:t>elegate that the benefits of pembrolizumab outweigh its</w:t>
      </w:r>
      <w:r w:rsidR="00A03E1B" w:rsidRPr="00610132">
        <w:t xml:space="preserve"> </w:t>
      </w:r>
      <w:r w:rsidRPr="00610132">
        <w:t>risks. However, the data submitted with this application were deemed early. Specific limitations of the data were identified as data on the duration of tumour responses was not</w:t>
      </w:r>
      <w:r w:rsidR="00A03E1B" w:rsidRPr="00610132">
        <w:t xml:space="preserve"> </w:t>
      </w:r>
      <w:r w:rsidRPr="00610132">
        <w:t>mature and there were no randomised comparisons of pembrolizumab against other agents</w:t>
      </w:r>
      <w:r w:rsidR="00A03E1B" w:rsidRPr="00610132">
        <w:t xml:space="preserve"> </w:t>
      </w:r>
      <w:r w:rsidRPr="00610132">
        <w:t>registered for use in the proposed patient population</w:t>
      </w:r>
      <w:r w:rsidR="00610132">
        <w:t>.</w:t>
      </w:r>
    </w:p>
    <w:p w14:paraId="6D803AAB" w14:textId="1DB74B71" w:rsidR="00903A9C" w:rsidRPr="00610132" w:rsidRDefault="00903A9C" w:rsidP="00610132">
      <w:r w:rsidRPr="00610132">
        <w:t>The Delegate also noted regulatory approval of new anticancer agents usually requires a</w:t>
      </w:r>
      <w:r w:rsidR="00A03E1B" w:rsidRPr="00610132">
        <w:t xml:space="preserve"> </w:t>
      </w:r>
      <w:r w:rsidRPr="00610132">
        <w:t>favourable risk</w:t>
      </w:r>
      <w:r w:rsidR="00610132">
        <w:t xml:space="preserve"> </w:t>
      </w:r>
      <w:r w:rsidRPr="00610132">
        <w:t xml:space="preserve">benefit ratio demonstrated in a Phase </w:t>
      </w:r>
      <w:r w:rsidR="00610132">
        <w:t>III</w:t>
      </w:r>
      <w:r w:rsidRPr="00610132">
        <w:t xml:space="preserve"> study using time-to-event endpoints</w:t>
      </w:r>
      <w:r w:rsidR="00A03E1B" w:rsidRPr="00610132">
        <w:t xml:space="preserve"> </w:t>
      </w:r>
      <w:r w:rsidRPr="00610132">
        <w:t>such as overall survival or progression free survival. However, in situations where the</w:t>
      </w:r>
      <w:r w:rsidR="00A03E1B" w:rsidRPr="00610132">
        <w:t xml:space="preserve"> </w:t>
      </w:r>
      <w:r w:rsidRPr="00610132">
        <w:t xml:space="preserve">indication is a </w:t>
      </w:r>
      <w:proofErr w:type="gramStart"/>
      <w:r w:rsidRPr="00610132">
        <w:t>life threatening</w:t>
      </w:r>
      <w:proofErr w:type="gramEnd"/>
      <w:r w:rsidRPr="00610132">
        <w:t xml:space="preserve"> condition and there are no other established therapies</w:t>
      </w:r>
      <w:r w:rsidR="00A03E1B" w:rsidRPr="00610132">
        <w:t xml:space="preserve"> </w:t>
      </w:r>
      <w:r w:rsidRPr="00610132">
        <w:t xml:space="preserve">available, approvals have been granted based on non-comparative Phase </w:t>
      </w:r>
      <w:r w:rsidR="00610132">
        <w:t>III</w:t>
      </w:r>
      <w:r w:rsidRPr="00610132">
        <w:t xml:space="preserve"> studies which used</w:t>
      </w:r>
      <w:r w:rsidR="00A03E1B" w:rsidRPr="00610132">
        <w:t xml:space="preserve"> </w:t>
      </w:r>
      <w:r w:rsidRPr="00610132">
        <w:t>response rate as an endpoint.</w:t>
      </w:r>
    </w:p>
    <w:p w14:paraId="1C95C976" w14:textId="22AF0C5D" w:rsidR="00F367B9" w:rsidRDefault="00903A9C" w:rsidP="00610132">
      <w:r w:rsidRPr="00610132">
        <w:t xml:space="preserve">Further, the </w:t>
      </w:r>
      <w:r w:rsidR="00610132">
        <w:t>s</w:t>
      </w:r>
      <w:r w:rsidRPr="00610132">
        <w:t xml:space="preserve">ponsor also notes the full registration of </w:t>
      </w:r>
      <w:proofErr w:type="spellStart"/>
      <w:r w:rsidRPr="00610132">
        <w:t>Istodax</w:t>
      </w:r>
      <w:proofErr w:type="spellEnd"/>
      <w:r w:rsidRPr="00610132">
        <w:t xml:space="preserve"> (</w:t>
      </w:r>
      <w:proofErr w:type="spellStart"/>
      <w:r w:rsidRPr="00610132">
        <w:t>romidepsin</w:t>
      </w:r>
      <w:proofErr w:type="spellEnd"/>
      <w:r w:rsidRPr="00610132">
        <w:t>)</w:t>
      </w:r>
      <w:r w:rsidR="00F367B9">
        <w:t>;</w:t>
      </w:r>
      <w:r w:rsidR="00F367B9">
        <w:rPr>
          <w:rStyle w:val="FootnoteReference"/>
        </w:rPr>
        <w:footnoteReference w:id="33"/>
      </w:r>
      <w:r w:rsidR="00F367B9">
        <w:rPr>
          <w:vertAlign w:val="superscript"/>
        </w:rPr>
        <w:t>,</w:t>
      </w:r>
      <w:r w:rsidR="00F367B9">
        <w:rPr>
          <w:rStyle w:val="FootnoteReference"/>
        </w:rPr>
        <w:footnoteReference w:id="34"/>
      </w:r>
      <w:r w:rsidRPr="00610132">
        <w:t xml:space="preserve"> with Phase</w:t>
      </w:r>
      <w:r w:rsidR="00F367B9">
        <w:t> </w:t>
      </w:r>
      <w:r w:rsidR="00A03E1B" w:rsidRPr="00610132">
        <w:t xml:space="preserve">II </w:t>
      </w:r>
      <w:r w:rsidRPr="00610132">
        <w:t>single arm trial data</w:t>
      </w:r>
      <w:r w:rsidR="00F367B9">
        <w:t xml:space="preserve">. </w:t>
      </w:r>
      <w:proofErr w:type="spellStart"/>
      <w:r w:rsidRPr="00610132">
        <w:t>Istodax</w:t>
      </w:r>
      <w:proofErr w:type="spellEnd"/>
      <w:r w:rsidRPr="00610132">
        <w:t xml:space="preserve"> is indicated for the treatment of peripheral T</w:t>
      </w:r>
      <w:r w:rsidR="00610132">
        <w:t xml:space="preserve"> </w:t>
      </w:r>
      <w:r w:rsidRPr="00610132">
        <w:t>cell</w:t>
      </w:r>
      <w:r w:rsidR="00A03E1B" w:rsidRPr="00610132">
        <w:t xml:space="preserve"> </w:t>
      </w:r>
      <w:r w:rsidRPr="00610132">
        <w:t>lymphoma (PTCL) in patients who have received at least one prior systemic therapy.</w:t>
      </w:r>
      <w:r w:rsidR="00415E3E" w:rsidRPr="00610132">
        <w:t xml:space="preserve"> </w:t>
      </w:r>
      <w:r w:rsidRPr="00610132">
        <w:t>During evaluation, the clinical evaluator noted</w:t>
      </w:r>
      <w:r w:rsidR="00F367B9">
        <w:t>:</w:t>
      </w:r>
    </w:p>
    <w:p w14:paraId="160B0294" w14:textId="307A08EE" w:rsidR="00903A9C" w:rsidRPr="00610132" w:rsidRDefault="00610132" w:rsidP="000B3827">
      <w:pPr>
        <w:ind w:left="720"/>
      </w:pPr>
      <w:r>
        <w:t>‘</w:t>
      </w:r>
      <w:r w:rsidR="00903A9C" w:rsidRPr="00610132">
        <w:rPr>
          <w:i/>
          <w:iCs/>
        </w:rPr>
        <w:t>a Phase III trial would be more appropriate</w:t>
      </w:r>
      <w:r w:rsidR="00415E3E" w:rsidRPr="00610132">
        <w:t>’</w:t>
      </w:r>
      <w:proofErr w:type="gramStart"/>
      <w:r w:rsidR="00A03E1B" w:rsidRPr="00610132">
        <w:t>-</w:t>
      </w:r>
      <w:r w:rsidR="00415E3E" w:rsidRPr="00610132">
        <w:t>‘</w:t>
      </w:r>
      <w:proofErr w:type="gramEnd"/>
      <w:r w:rsidR="00903A9C" w:rsidRPr="00610132">
        <w:rPr>
          <w:i/>
          <w:iCs/>
        </w:rPr>
        <w:t>but recognising the relatively uncommon nature of PTCL and ... variability in histological</w:t>
      </w:r>
      <w:r w:rsidR="00A03E1B" w:rsidRPr="00610132">
        <w:rPr>
          <w:i/>
          <w:iCs/>
        </w:rPr>
        <w:t xml:space="preserve"> </w:t>
      </w:r>
      <w:r w:rsidR="00903A9C" w:rsidRPr="00610132">
        <w:rPr>
          <w:i/>
          <w:iCs/>
        </w:rPr>
        <w:t>subtypes as well as responsiveness to therapy such a Phase III trial would have difficulties in</w:t>
      </w:r>
      <w:r w:rsidR="00415E3E" w:rsidRPr="00610132">
        <w:rPr>
          <w:i/>
          <w:iCs/>
        </w:rPr>
        <w:t xml:space="preserve"> </w:t>
      </w:r>
      <w:r w:rsidR="00903A9C" w:rsidRPr="00610132">
        <w:rPr>
          <w:i/>
          <w:iCs/>
        </w:rPr>
        <w:t>being undertaken</w:t>
      </w:r>
      <w:r w:rsidR="00415E3E" w:rsidRPr="00610132">
        <w:t>’</w:t>
      </w:r>
    </w:p>
    <w:p w14:paraId="0258D4A6" w14:textId="5A10824D" w:rsidR="00903A9C" w:rsidRPr="00610132" w:rsidRDefault="00903A9C" w:rsidP="00610132">
      <w:r w:rsidRPr="00610132">
        <w:t xml:space="preserve">The </w:t>
      </w:r>
      <w:r w:rsidR="00415E3E" w:rsidRPr="00610132">
        <w:t>s</w:t>
      </w:r>
      <w:r w:rsidRPr="00610132">
        <w:t>ponsor also notes the following product full registrations with the submission of</w:t>
      </w:r>
      <w:r w:rsidR="00415E3E" w:rsidRPr="00610132">
        <w:t xml:space="preserve"> </w:t>
      </w:r>
      <w:r w:rsidRPr="00610132">
        <w:t>confirmatory data upon availability:</w:t>
      </w:r>
    </w:p>
    <w:p w14:paraId="1C077B58" w14:textId="7400D615" w:rsidR="00F367B9" w:rsidRDefault="00F367B9" w:rsidP="000B3827">
      <w:pPr>
        <w:pStyle w:val="TableTitle"/>
      </w:pPr>
      <w:r>
        <w:lastRenderedPageBreak/>
        <w:t xml:space="preserve">Table </w:t>
      </w:r>
      <w:r w:rsidR="006737A0">
        <w:fldChar w:fldCharType="begin"/>
      </w:r>
      <w:r w:rsidR="006737A0">
        <w:instrText xml:space="preserve"> SEQ Table \* ARABIC </w:instrText>
      </w:r>
      <w:r w:rsidR="006737A0">
        <w:fldChar w:fldCharType="separate"/>
      </w:r>
      <w:r w:rsidR="00BB2836">
        <w:rPr>
          <w:noProof/>
        </w:rPr>
        <w:t>20</w:t>
      </w:r>
      <w:r w:rsidR="006737A0">
        <w:rPr>
          <w:noProof/>
        </w:rPr>
        <w:fldChar w:fldCharType="end"/>
      </w:r>
      <w:r>
        <w:t>: Sponsor-identified full TGA-registrations</w:t>
      </w:r>
    </w:p>
    <w:p w14:paraId="4663A65A" w14:textId="096B2813" w:rsidR="00415E3E" w:rsidRPr="00415E3E" w:rsidRDefault="00415E3E" w:rsidP="00903A9C">
      <w:pPr>
        <w:rPr>
          <w:rFonts w:ascii="TimesNewRomanPSMT" w:eastAsia="TimesNewRomanPSMT" w:hAnsiTheme="minorHAnsi" w:cs="TimesNewRomanPSMT"/>
        </w:rPr>
      </w:pPr>
      <w:r w:rsidRPr="00415E3E">
        <w:rPr>
          <w:rFonts w:ascii="TimesNewRomanPSMT" w:eastAsia="TimesNewRomanPSMT" w:hAnsiTheme="minorHAnsi" w:cs="TimesNewRomanPSMT"/>
          <w:noProof/>
          <w:lang w:val="en-GB" w:eastAsia="en-GB"/>
        </w:rPr>
        <w:drawing>
          <wp:inline distT="0" distB="0" distL="0" distR="0" wp14:anchorId="6EED1C18" wp14:editId="00B209CA">
            <wp:extent cx="4635500" cy="35210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334"/>
                    <a:stretch/>
                  </pic:blipFill>
                  <pic:spPr bwMode="auto">
                    <a:xfrm>
                      <a:off x="0" y="0"/>
                      <a:ext cx="4635738" cy="3521256"/>
                    </a:xfrm>
                    <a:prstGeom prst="rect">
                      <a:avLst/>
                    </a:prstGeom>
                    <a:ln>
                      <a:noFill/>
                    </a:ln>
                    <a:extLst>
                      <a:ext uri="{53640926-AAD7-44D8-BBD7-CCE9431645EC}">
                        <a14:shadowObscured xmlns:a14="http://schemas.microsoft.com/office/drawing/2010/main"/>
                      </a:ext>
                    </a:extLst>
                  </pic:spPr>
                </pic:pic>
              </a:graphicData>
            </a:graphic>
          </wp:inline>
        </w:drawing>
      </w:r>
    </w:p>
    <w:p w14:paraId="1C24686F" w14:textId="54B54E54" w:rsidR="006718C9" w:rsidRPr="00F367B9" w:rsidRDefault="006718C9" w:rsidP="00C53310">
      <w:pPr>
        <w:pStyle w:val="Numberbullet0"/>
        <w:rPr>
          <w:b/>
          <w:bCs/>
          <w:i/>
          <w:iCs/>
        </w:rPr>
      </w:pPr>
      <w:r w:rsidRPr="00F367B9">
        <w:rPr>
          <w:b/>
          <w:bCs/>
          <w:i/>
          <w:iCs/>
        </w:rPr>
        <w:t xml:space="preserve">In published letters, the </w:t>
      </w:r>
      <w:r w:rsidR="00F367B9">
        <w:rPr>
          <w:b/>
          <w:bCs/>
          <w:i/>
          <w:iCs/>
        </w:rPr>
        <w:t xml:space="preserve">US </w:t>
      </w:r>
      <w:r w:rsidRPr="00F367B9">
        <w:rPr>
          <w:b/>
          <w:bCs/>
          <w:i/>
          <w:iCs/>
        </w:rPr>
        <w:t xml:space="preserve">FDA has issued an accelerated approval requirement and a post-marketing requirement for </w:t>
      </w:r>
      <w:proofErr w:type="spellStart"/>
      <w:r w:rsidRPr="00F367B9">
        <w:rPr>
          <w:b/>
          <w:bCs/>
          <w:i/>
          <w:iCs/>
        </w:rPr>
        <w:t>selinexor</w:t>
      </w:r>
      <w:proofErr w:type="spellEnd"/>
      <w:r w:rsidRPr="00F367B9">
        <w:rPr>
          <w:b/>
          <w:bCs/>
          <w:i/>
          <w:iCs/>
        </w:rPr>
        <w:t xml:space="preserve"> when used in relapsed or refractory </w:t>
      </w:r>
      <w:r w:rsidR="00F367B9" w:rsidRPr="000B3827">
        <w:rPr>
          <w:b/>
          <w:i/>
        </w:rPr>
        <w:t>diffuse large B</w:t>
      </w:r>
      <w:r w:rsidR="00F367B9" w:rsidRPr="000B3827">
        <w:rPr>
          <w:b/>
          <w:i/>
        </w:rPr>
        <w:noBreakHyphen/>
        <w:t>cell lymphoma</w:t>
      </w:r>
      <w:r w:rsidRPr="00F367B9">
        <w:rPr>
          <w:b/>
          <w:bCs/>
          <w:i/>
          <w:iCs/>
        </w:rPr>
        <w:t xml:space="preserve">. </w:t>
      </w:r>
    </w:p>
    <w:p w14:paraId="3BC71A81" w14:textId="0FE7FD00" w:rsidR="006718C9" w:rsidRDefault="006718C9" w:rsidP="00C53310">
      <w:pPr>
        <w:pStyle w:val="Numberbullet2"/>
        <w:rPr>
          <w:b/>
          <w:bCs/>
          <w:i/>
          <w:iCs/>
        </w:rPr>
      </w:pPr>
      <w:r w:rsidRPr="00767359">
        <w:rPr>
          <w:b/>
          <w:bCs/>
          <w:i/>
          <w:iCs/>
        </w:rPr>
        <w:t>Please provide a brief overview of the trial design, and the key inclusion and exclusion criteria.</w:t>
      </w:r>
    </w:p>
    <w:p w14:paraId="51E1A9D0" w14:textId="728E2FFF" w:rsidR="00415E3E" w:rsidRDefault="00415E3E" w:rsidP="00320B17">
      <w:r>
        <w:t xml:space="preserve">The </w:t>
      </w:r>
      <w:r w:rsidR="00610132">
        <w:t>s</w:t>
      </w:r>
      <w:r>
        <w:t>ponsor would like to confirm the clinical trial</w:t>
      </w:r>
      <w:r w:rsidR="00F367B9">
        <w:t xml:space="preserve">, Study </w:t>
      </w:r>
      <w:r>
        <w:t>XPORT-DLBCL-030</w:t>
      </w:r>
      <w:r w:rsidR="00F367B9">
        <w:t>;</w:t>
      </w:r>
      <w:r w:rsidR="00F367B9" w:rsidRPr="000B3827">
        <w:rPr>
          <w:vertAlign w:val="superscript"/>
        </w:rPr>
        <w:fldChar w:fldCharType="begin"/>
      </w:r>
      <w:r w:rsidR="00F367B9" w:rsidRPr="000B3827">
        <w:rPr>
          <w:vertAlign w:val="superscript"/>
        </w:rPr>
        <w:instrText xml:space="preserve"> NOTEREF _Ref117326956 \h </w:instrText>
      </w:r>
      <w:r w:rsidR="00F367B9">
        <w:rPr>
          <w:vertAlign w:val="superscript"/>
        </w:rPr>
        <w:instrText xml:space="preserve"> \* MERGEFORMAT </w:instrText>
      </w:r>
      <w:r w:rsidR="00F367B9" w:rsidRPr="000B3827">
        <w:rPr>
          <w:vertAlign w:val="superscript"/>
        </w:rPr>
      </w:r>
      <w:r w:rsidR="00F367B9" w:rsidRPr="000B3827">
        <w:rPr>
          <w:vertAlign w:val="superscript"/>
        </w:rPr>
        <w:fldChar w:fldCharType="separate"/>
      </w:r>
      <w:r w:rsidR="00F367B9" w:rsidRPr="000B3827">
        <w:rPr>
          <w:vertAlign w:val="superscript"/>
        </w:rPr>
        <w:t>26</w:t>
      </w:r>
      <w:r w:rsidR="00F367B9" w:rsidRPr="000B3827">
        <w:rPr>
          <w:vertAlign w:val="superscript"/>
        </w:rPr>
        <w:fldChar w:fldCharType="end"/>
      </w:r>
      <w:r>
        <w:t xml:space="preserve"> is underway as a </w:t>
      </w:r>
      <w:r w:rsidR="00BB2836">
        <w:t xml:space="preserve">post-marketing requirement </w:t>
      </w:r>
      <w:r>
        <w:t xml:space="preserve">for the </w:t>
      </w:r>
      <w:r w:rsidR="00BB2836">
        <w:t xml:space="preserve">US </w:t>
      </w:r>
      <w:r>
        <w:t xml:space="preserve">FDA accelerated approval of </w:t>
      </w:r>
      <w:r w:rsidR="00BB2836">
        <w:t>diffuse large B</w:t>
      </w:r>
      <w:r w:rsidR="00BB2836">
        <w:noBreakHyphen/>
        <w:t xml:space="preserve">cell lymphoma </w:t>
      </w:r>
      <w:r>
        <w:t>as follows: A Study of Rituximab-Gemcitabine-Dexamethasone-Platinum (R-GDP) With or Without Selinexor in Patients With Relapsed/Refractory Diffuse Large B-cell Lymphoma</w:t>
      </w:r>
      <w:r w:rsidR="00BB2836">
        <w:t>.</w:t>
      </w:r>
    </w:p>
    <w:p w14:paraId="54EC7993" w14:textId="56D1039F" w:rsidR="00BB2836" w:rsidRDefault="00BB2836" w:rsidP="000B3827">
      <w:pPr>
        <w:pStyle w:val="TableTitle"/>
      </w:pPr>
      <w:bookmarkStart w:id="69" w:name="_Ref117328859"/>
      <w:r>
        <w:t xml:space="preserve">Table </w:t>
      </w:r>
      <w:r w:rsidR="006737A0">
        <w:fldChar w:fldCharType="begin"/>
      </w:r>
      <w:r w:rsidR="006737A0">
        <w:instrText xml:space="preserve"> SEQ Table \* ARABIC </w:instrText>
      </w:r>
      <w:r w:rsidR="006737A0">
        <w:fldChar w:fldCharType="separate"/>
      </w:r>
      <w:r>
        <w:rPr>
          <w:noProof/>
        </w:rPr>
        <w:t>21</w:t>
      </w:r>
      <w:r w:rsidR="006737A0">
        <w:rPr>
          <w:noProof/>
        </w:rPr>
        <w:fldChar w:fldCharType="end"/>
      </w:r>
      <w:bookmarkEnd w:id="69"/>
      <w:r>
        <w:t>: Study XPORT-DLBCL-030 Brief overview of trial design</w:t>
      </w:r>
    </w:p>
    <w:p w14:paraId="028299C6" w14:textId="42F0FFAE" w:rsidR="00415E3E" w:rsidRDefault="00415E3E" w:rsidP="00415E3E">
      <w:r w:rsidRPr="00415E3E">
        <w:rPr>
          <w:noProof/>
          <w:lang w:val="en-GB" w:eastAsia="en-GB"/>
        </w:rPr>
        <w:drawing>
          <wp:inline distT="0" distB="0" distL="0" distR="0" wp14:anchorId="328D930C" wp14:editId="7C4F0F38">
            <wp:extent cx="4464279" cy="14923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64279" cy="1492327"/>
                    </a:xfrm>
                    <a:prstGeom prst="rect">
                      <a:avLst/>
                    </a:prstGeom>
                  </pic:spPr>
                </pic:pic>
              </a:graphicData>
            </a:graphic>
          </wp:inline>
        </w:drawing>
      </w:r>
    </w:p>
    <w:p w14:paraId="0137CB71" w14:textId="53D4FBD4" w:rsidR="00415E3E" w:rsidRDefault="00415E3E" w:rsidP="00320B17">
      <w:r w:rsidRPr="000B3827">
        <w:rPr>
          <w:i/>
        </w:rPr>
        <w:t>Trial design details</w:t>
      </w:r>
      <w:r w:rsidR="00BB2836">
        <w:t xml:space="preserve">: </w:t>
      </w:r>
      <w:r>
        <w:t xml:space="preserve">Phase </w:t>
      </w:r>
      <w:r w:rsidR="00C101CB">
        <w:t>II</w:t>
      </w:r>
      <w:r>
        <w:t xml:space="preserve"> portion</w:t>
      </w:r>
      <w:r w:rsidR="00BB2836">
        <w:t>.</w:t>
      </w:r>
    </w:p>
    <w:p w14:paraId="548450E4" w14:textId="3E60CE87" w:rsidR="00415E3E" w:rsidRPr="00BB2836" w:rsidRDefault="00415E3E">
      <w:r w:rsidRPr="000B3827">
        <w:rPr>
          <w:i/>
        </w:rPr>
        <w:t xml:space="preserve">Experimental: Phase </w:t>
      </w:r>
      <w:r w:rsidR="00C101CB" w:rsidRPr="000B3827">
        <w:rPr>
          <w:i/>
        </w:rPr>
        <w:t>II</w:t>
      </w:r>
      <w:r w:rsidRPr="000B3827">
        <w:rPr>
          <w:i/>
        </w:rPr>
        <w:t>:</w:t>
      </w:r>
      <w:r w:rsidRPr="00BB2836">
        <w:t xml:space="preserve"> </w:t>
      </w:r>
      <w:proofErr w:type="spellStart"/>
      <w:r w:rsidR="00C101CB" w:rsidRPr="00BB2836">
        <w:t>s</w:t>
      </w:r>
      <w:r w:rsidRPr="00BB2836">
        <w:t>elinexor</w:t>
      </w:r>
      <w:proofErr w:type="spellEnd"/>
      <w:r w:rsidRPr="00BB2836">
        <w:t xml:space="preserve"> 40 mg + R-GDP</w:t>
      </w:r>
    </w:p>
    <w:p w14:paraId="6A059A69" w14:textId="081D69EF" w:rsidR="00415E3E" w:rsidRDefault="00415E3E" w:rsidP="00320B17">
      <w:r>
        <w:t xml:space="preserve">Patients with </w:t>
      </w:r>
      <w:r w:rsidR="00BB2836">
        <w:t>relapsed/refractory diffuse large B</w:t>
      </w:r>
      <w:r w:rsidR="00BB2836">
        <w:noBreakHyphen/>
        <w:t xml:space="preserve">cell lymphoma </w:t>
      </w:r>
      <w:r>
        <w:t xml:space="preserve">will receive combination therapy of </w:t>
      </w:r>
      <w:proofErr w:type="spellStart"/>
      <w:r>
        <w:t>selinexor</w:t>
      </w:r>
      <w:proofErr w:type="spellEnd"/>
      <w:r>
        <w:t xml:space="preserve"> 40 mg orally at Day 1, and Day 8 of each 21-day cycle for up to 6</w:t>
      </w:r>
      <w:r w:rsidR="00BB2836">
        <w:t> </w:t>
      </w:r>
      <w:r>
        <w:t xml:space="preserve">cycles in combination with R-GDP followed by single-agent continuous therapy with </w:t>
      </w:r>
      <w:proofErr w:type="spellStart"/>
      <w:r>
        <w:t>selinexor</w:t>
      </w:r>
      <w:proofErr w:type="spellEnd"/>
      <w:r>
        <w:t xml:space="preserve"> 60 mg orally once weekly for each 28-day cycle until progressive disease or unacceptable toxicity.</w:t>
      </w:r>
    </w:p>
    <w:p w14:paraId="29D84FB3" w14:textId="23F4B854" w:rsidR="00415E3E" w:rsidRPr="000B3827" w:rsidRDefault="00415E3E" w:rsidP="00320B17">
      <w:r w:rsidRPr="000B3827">
        <w:rPr>
          <w:i/>
        </w:rPr>
        <w:lastRenderedPageBreak/>
        <w:t xml:space="preserve">Experimental: Phase </w:t>
      </w:r>
      <w:r w:rsidR="00C101CB" w:rsidRPr="000B3827">
        <w:rPr>
          <w:i/>
        </w:rPr>
        <w:t>II</w:t>
      </w:r>
      <w:r w:rsidRPr="000B3827">
        <w:rPr>
          <w:i/>
        </w:rPr>
        <w:t>:</w:t>
      </w:r>
      <w:r w:rsidRPr="000B3827">
        <w:t xml:space="preserve"> </w:t>
      </w:r>
      <w:proofErr w:type="spellStart"/>
      <w:r w:rsidR="00C101CB" w:rsidRPr="000B3827">
        <w:t>s</w:t>
      </w:r>
      <w:r w:rsidRPr="000B3827">
        <w:t>elinexor</w:t>
      </w:r>
      <w:proofErr w:type="spellEnd"/>
      <w:r w:rsidRPr="000B3827">
        <w:t xml:space="preserve"> 60 mg + R-GDP</w:t>
      </w:r>
    </w:p>
    <w:p w14:paraId="47029B15" w14:textId="1A06F681" w:rsidR="00415E3E" w:rsidRPr="00906B1D" w:rsidRDefault="00415E3E" w:rsidP="00320B17">
      <w:r w:rsidRPr="00906B1D">
        <w:t xml:space="preserve">Patients with </w:t>
      </w:r>
      <w:r w:rsidR="00BB2836">
        <w:t>relapsed/refractory diffuse large B</w:t>
      </w:r>
      <w:r w:rsidR="00BB2836">
        <w:noBreakHyphen/>
        <w:t>cell lymphoma relapsed/refractory diffuse large B</w:t>
      </w:r>
      <w:r w:rsidR="00BB2836">
        <w:noBreakHyphen/>
        <w:t xml:space="preserve">cell </w:t>
      </w:r>
      <w:proofErr w:type="spellStart"/>
      <w:r w:rsidR="00BB2836">
        <w:t>lymphoma</w:t>
      </w:r>
      <w:r w:rsidRPr="00906B1D">
        <w:t>will</w:t>
      </w:r>
      <w:proofErr w:type="spellEnd"/>
      <w:r w:rsidRPr="00906B1D">
        <w:t xml:space="preserve"> receive combination therapy of </w:t>
      </w:r>
      <w:proofErr w:type="spellStart"/>
      <w:r w:rsidRPr="00906B1D">
        <w:t>selinexor</w:t>
      </w:r>
      <w:proofErr w:type="spellEnd"/>
      <w:r w:rsidRPr="00906B1D">
        <w:t xml:space="preserve"> 60 mg orally at Day</w:t>
      </w:r>
      <w:r w:rsidR="00906B1D">
        <w:t xml:space="preserve"> </w:t>
      </w:r>
      <w:r w:rsidRPr="00906B1D">
        <w:t>1 and Day 8 of each 21-day cycle for up to 6 cycles in combination with R-GDP followed by</w:t>
      </w:r>
      <w:r w:rsidR="00906B1D">
        <w:t xml:space="preserve"> </w:t>
      </w:r>
      <w:r w:rsidRPr="00906B1D">
        <w:t xml:space="preserve">single-agent continuous therapy with </w:t>
      </w:r>
      <w:proofErr w:type="spellStart"/>
      <w:r w:rsidRPr="00906B1D">
        <w:t>selinexor</w:t>
      </w:r>
      <w:proofErr w:type="spellEnd"/>
      <w:r w:rsidRPr="00906B1D">
        <w:t xml:space="preserve"> 60 mg orally </w:t>
      </w:r>
      <w:r w:rsidR="00DE0361">
        <w:t>once weekly</w:t>
      </w:r>
      <w:r w:rsidRPr="00906B1D">
        <w:t xml:space="preserve"> for each 28-day cycle until</w:t>
      </w:r>
      <w:r w:rsidR="00906B1D">
        <w:t xml:space="preserve"> </w:t>
      </w:r>
      <w:r w:rsidR="00BB2836">
        <w:t>progressive disease</w:t>
      </w:r>
      <w:r w:rsidR="00BB2836" w:rsidRPr="00906B1D">
        <w:t xml:space="preserve"> </w:t>
      </w:r>
      <w:r w:rsidRPr="00906B1D">
        <w:t>or unacceptable toxicity.</w:t>
      </w:r>
    </w:p>
    <w:p w14:paraId="4A0459DB" w14:textId="0C791AD3" w:rsidR="00415E3E" w:rsidRPr="00BB2836" w:rsidRDefault="00415E3E">
      <w:r w:rsidRPr="000B3827">
        <w:rPr>
          <w:i/>
        </w:rPr>
        <w:t xml:space="preserve">Active comparator: Phase </w:t>
      </w:r>
      <w:r w:rsidR="00EE4743" w:rsidRPr="000B3827">
        <w:rPr>
          <w:i/>
        </w:rPr>
        <w:t>II</w:t>
      </w:r>
      <w:r w:rsidRPr="000B3827">
        <w:rPr>
          <w:i/>
        </w:rPr>
        <w:t>:</w:t>
      </w:r>
      <w:r w:rsidRPr="00BB2836">
        <w:t xml:space="preserve"> R-GDP</w:t>
      </w:r>
    </w:p>
    <w:p w14:paraId="7E7BA078" w14:textId="182B6BE3" w:rsidR="00415E3E" w:rsidRPr="00906B1D" w:rsidRDefault="00415E3E" w:rsidP="00320B17">
      <w:r w:rsidRPr="00906B1D">
        <w:t xml:space="preserve">Patients with </w:t>
      </w:r>
      <w:r w:rsidR="00BB2836">
        <w:t>relapsed/refractory diffuse large B</w:t>
      </w:r>
      <w:r w:rsidR="00BB2836">
        <w:noBreakHyphen/>
        <w:t xml:space="preserve">cell lymphoma </w:t>
      </w:r>
      <w:r w:rsidRPr="00906B1D">
        <w:t>will receive R-GDP on specified days (Days 1, 2, 3, 4, and 8) for</w:t>
      </w:r>
      <w:r w:rsidR="00906B1D">
        <w:t xml:space="preserve"> </w:t>
      </w:r>
      <w:r w:rsidRPr="00906B1D">
        <w:t>each 21-day cycle for up to 6 cycles.</w:t>
      </w:r>
    </w:p>
    <w:p w14:paraId="67C822C3" w14:textId="7E92DB1A" w:rsidR="00415E3E" w:rsidRPr="000B3827" w:rsidRDefault="00415E3E">
      <w:pPr>
        <w:rPr>
          <w:i/>
        </w:rPr>
      </w:pPr>
      <w:r w:rsidRPr="000B3827">
        <w:rPr>
          <w:i/>
        </w:rPr>
        <w:t xml:space="preserve">Phase </w:t>
      </w:r>
      <w:r w:rsidR="00EE4743" w:rsidRPr="000B3827">
        <w:rPr>
          <w:i/>
        </w:rPr>
        <w:t>III</w:t>
      </w:r>
      <w:r w:rsidRPr="000B3827">
        <w:rPr>
          <w:i/>
        </w:rPr>
        <w:t xml:space="preserve"> portion</w:t>
      </w:r>
    </w:p>
    <w:p w14:paraId="63D5CF29" w14:textId="54D69FB5" w:rsidR="00415E3E" w:rsidRPr="00906B1D" w:rsidRDefault="00415E3E" w:rsidP="00320B17">
      <w:r w:rsidRPr="000B3827">
        <w:rPr>
          <w:i/>
        </w:rPr>
        <w:t xml:space="preserve">Experimental: Phase </w:t>
      </w:r>
      <w:r w:rsidR="00EE4743" w:rsidRPr="000B3827">
        <w:rPr>
          <w:i/>
        </w:rPr>
        <w:t>III</w:t>
      </w:r>
      <w:r w:rsidRPr="000B3827">
        <w:rPr>
          <w:i/>
        </w:rPr>
        <w:t>:</w:t>
      </w:r>
      <w:r w:rsidRPr="00906B1D">
        <w:t xml:space="preserve"> </w:t>
      </w:r>
      <w:proofErr w:type="spellStart"/>
      <w:r w:rsidR="00EE4743">
        <w:t>s</w:t>
      </w:r>
      <w:r w:rsidRPr="00906B1D">
        <w:t>elinexor</w:t>
      </w:r>
      <w:proofErr w:type="spellEnd"/>
      <w:r w:rsidRPr="00906B1D">
        <w:t xml:space="preserve"> (</w:t>
      </w:r>
      <w:r w:rsidR="00EE4743">
        <w:t>s</w:t>
      </w:r>
      <w:r w:rsidRPr="00906B1D">
        <w:t xml:space="preserve">elected </w:t>
      </w:r>
      <w:r w:rsidR="00EE4743">
        <w:t>d</w:t>
      </w:r>
      <w:r w:rsidRPr="00906B1D">
        <w:t xml:space="preserve">ose) + R-GDP followed by </w:t>
      </w:r>
      <w:proofErr w:type="spellStart"/>
      <w:r w:rsidR="00EE4743">
        <w:t>s</w:t>
      </w:r>
      <w:r w:rsidRPr="00906B1D">
        <w:t>elinexor</w:t>
      </w:r>
      <w:proofErr w:type="spellEnd"/>
      <w:r w:rsidRPr="00906B1D">
        <w:t xml:space="preserve"> 60 mg</w:t>
      </w:r>
      <w:r w:rsidR="00906B1D">
        <w:t xml:space="preserve"> </w:t>
      </w:r>
      <w:r w:rsidRPr="00906B1D">
        <w:t xml:space="preserve">Patients with RR DLBCL will receive combination therapy of </w:t>
      </w:r>
      <w:proofErr w:type="spellStart"/>
      <w:r w:rsidRPr="00906B1D">
        <w:t>selinexor</w:t>
      </w:r>
      <w:proofErr w:type="spellEnd"/>
      <w:r w:rsidRPr="00906B1D">
        <w:t xml:space="preserve"> (selected dose from</w:t>
      </w:r>
      <w:r w:rsidR="00906B1D">
        <w:t xml:space="preserve"> </w:t>
      </w:r>
      <w:r w:rsidRPr="00906B1D">
        <w:t xml:space="preserve">Phase </w:t>
      </w:r>
      <w:r w:rsidR="00EE4743">
        <w:t>II</w:t>
      </w:r>
      <w:r w:rsidRPr="00906B1D">
        <w:t>) at Day 1 and Day 8 of each 21-day cycle for up to 6 cycles in combination with RGDP</w:t>
      </w:r>
      <w:r w:rsidR="00906B1D">
        <w:t xml:space="preserve"> </w:t>
      </w:r>
      <w:r w:rsidRPr="00906B1D">
        <w:t xml:space="preserve">followed by </w:t>
      </w:r>
      <w:proofErr w:type="spellStart"/>
      <w:r w:rsidRPr="00906B1D">
        <w:t>selinexor</w:t>
      </w:r>
      <w:proofErr w:type="spellEnd"/>
      <w:r w:rsidRPr="00906B1D">
        <w:t xml:space="preserve"> 60 mg orally </w:t>
      </w:r>
      <w:r w:rsidR="00DE0361">
        <w:t>once weekly</w:t>
      </w:r>
      <w:r w:rsidRPr="00906B1D">
        <w:t xml:space="preserve"> for each 28-day cycle until </w:t>
      </w:r>
      <w:r w:rsidR="00BB2836">
        <w:t>progressive disease</w:t>
      </w:r>
      <w:r w:rsidRPr="00906B1D">
        <w:t xml:space="preserve"> or unacceptable</w:t>
      </w:r>
      <w:r w:rsidR="00906B1D">
        <w:t xml:space="preserve"> </w:t>
      </w:r>
      <w:r w:rsidRPr="00906B1D">
        <w:t>toxicity.</w:t>
      </w:r>
    </w:p>
    <w:p w14:paraId="1C794D89" w14:textId="4BD1917C" w:rsidR="00415E3E" w:rsidRPr="00BB2836" w:rsidRDefault="00415E3E">
      <w:r w:rsidRPr="000B3827">
        <w:rPr>
          <w:i/>
        </w:rPr>
        <w:t xml:space="preserve">Experimental: Phase </w:t>
      </w:r>
      <w:r w:rsidR="00EE4743" w:rsidRPr="000B3827">
        <w:rPr>
          <w:i/>
        </w:rPr>
        <w:t>III</w:t>
      </w:r>
      <w:r w:rsidRPr="000B3827">
        <w:rPr>
          <w:i/>
        </w:rPr>
        <w:t>:</w:t>
      </w:r>
      <w:r w:rsidRPr="00BB2836">
        <w:t xml:space="preserve"> </w:t>
      </w:r>
      <w:proofErr w:type="spellStart"/>
      <w:r w:rsidR="00EE4743" w:rsidRPr="00BB2836">
        <w:t>s</w:t>
      </w:r>
      <w:r w:rsidRPr="00BB2836">
        <w:t>elinexor</w:t>
      </w:r>
      <w:proofErr w:type="spellEnd"/>
      <w:r w:rsidRPr="00BB2836">
        <w:t xml:space="preserve"> (</w:t>
      </w:r>
      <w:r w:rsidR="00EE4743" w:rsidRPr="00BB2836">
        <w:t>s</w:t>
      </w:r>
      <w:r w:rsidRPr="00BB2836">
        <w:t xml:space="preserve">elected </w:t>
      </w:r>
      <w:r w:rsidR="00EE4743" w:rsidRPr="00BB2836">
        <w:t>d</w:t>
      </w:r>
      <w:r w:rsidRPr="00BB2836">
        <w:t xml:space="preserve">ose) + R-GDP followed by </w:t>
      </w:r>
      <w:r w:rsidR="00EE4743" w:rsidRPr="00BB2836">
        <w:t>p</w:t>
      </w:r>
      <w:r w:rsidRPr="00BB2836">
        <w:t>lacebo</w:t>
      </w:r>
    </w:p>
    <w:p w14:paraId="72E0AB14" w14:textId="5ACE1E08" w:rsidR="00415E3E" w:rsidRPr="00906B1D" w:rsidRDefault="00415E3E" w:rsidP="00320B17">
      <w:r w:rsidRPr="00906B1D">
        <w:t xml:space="preserve">Patients with </w:t>
      </w:r>
      <w:r w:rsidR="00BB2836">
        <w:t>relapsed/refractory diffuse large B</w:t>
      </w:r>
      <w:r w:rsidR="00BB2836">
        <w:noBreakHyphen/>
        <w:t xml:space="preserve">cell lymphoma </w:t>
      </w:r>
      <w:r w:rsidRPr="00906B1D">
        <w:t xml:space="preserve">will receive combination therapy of </w:t>
      </w:r>
      <w:proofErr w:type="spellStart"/>
      <w:r w:rsidRPr="00906B1D">
        <w:t>selinexor</w:t>
      </w:r>
      <w:proofErr w:type="spellEnd"/>
      <w:r w:rsidRPr="00906B1D">
        <w:t xml:space="preserve"> (selected dose from</w:t>
      </w:r>
      <w:r w:rsidR="00906B1D">
        <w:t xml:space="preserve"> </w:t>
      </w:r>
      <w:r w:rsidRPr="00906B1D">
        <w:t xml:space="preserve">Phase </w:t>
      </w:r>
      <w:r w:rsidR="00EE4743">
        <w:t>II</w:t>
      </w:r>
      <w:r w:rsidRPr="00906B1D">
        <w:t>) at Day 1 and Day 8 of each 21-day cycle for up to 6 cycles in combination with R</w:t>
      </w:r>
      <w:r w:rsidR="00BB2836">
        <w:noBreakHyphen/>
      </w:r>
      <w:r w:rsidRPr="00906B1D">
        <w:t>GDP</w:t>
      </w:r>
      <w:r w:rsidR="00906B1D">
        <w:t xml:space="preserve"> </w:t>
      </w:r>
      <w:r w:rsidRPr="00906B1D">
        <w:t xml:space="preserve">followed by matching placebo for </w:t>
      </w:r>
      <w:proofErr w:type="spellStart"/>
      <w:r w:rsidRPr="00906B1D">
        <w:t>selinexor</w:t>
      </w:r>
      <w:proofErr w:type="spellEnd"/>
      <w:r w:rsidRPr="00906B1D">
        <w:t xml:space="preserve"> orally </w:t>
      </w:r>
      <w:r w:rsidR="00DE0361">
        <w:t>once weekly</w:t>
      </w:r>
      <w:r w:rsidRPr="00906B1D">
        <w:t xml:space="preserve"> for each 28-day cycle until </w:t>
      </w:r>
      <w:r w:rsidR="00BB2836">
        <w:t xml:space="preserve">progressive disease </w:t>
      </w:r>
      <w:r w:rsidRPr="00906B1D">
        <w:t>or unacceptable toxicity.</w:t>
      </w:r>
    </w:p>
    <w:p w14:paraId="30100658" w14:textId="1FFDDCA7" w:rsidR="00415E3E" w:rsidRPr="00BB2836" w:rsidRDefault="00415E3E">
      <w:r w:rsidRPr="000B3827">
        <w:rPr>
          <w:i/>
        </w:rPr>
        <w:t xml:space="preserve">Placebo Comparator: Phase </w:t>
      </w:r>
      <w:r w:rsidR="00EE4743" w:rsidRPr="000B3827">
        <w:rPr>
          <w:i/>
        </w:rPr>
        <w:t>III</w:t>
      </w:r>
      <w:r w:rsidRPr="000B3827">
        <w:rPr>
          <w:i/>
        </w:rPr>
        <w:t>:</w:t>
      </w:r>
      <w:r w:rsidRPr="00BB2836">
        <w:t xml:space="preserve"> </w:t>
      </w:r>
      <w:r w:rsidR="00EE4743" w:rsidRPr="00BB2836">
        <w:t>p</w:t>
      </w:r>
      <w:r w:rsidRPr="00BB2836">
        <w:t xml:space="preserve">lacebo + R-GDP followed by </w:t>
      </w:r>
      <w:r w:rsidR="00EE4743" w:rsidRPr="00BB2836">
        <w:t>p</w:t>
      </w:r>
      <w:r w:rsidRPr="00BB2836">
        <w:t>lacebo</w:t>
      </w:r>
    </w:p>
    <w:p w14:paraId="51BCE20D" w14:textId="67C8F62D" w:rsidR="00415E3E" w:rsidRPr="00906B1D" w:rsidRDefault="00415E3E" w:rsidP="00320B17">
      <w:r w:rsidRPr="00906B1D">
        <w:t xml:space="preserve">Patients with </w:t>
      </w:r>
      <w:r w:rsidR="00B221FA">
        <w:t>relapsed/refractory diffuse large B</w:t>
      </w:r>
      <w:r w:rsidR="00B221FA">
        <w:noBreakHyphen/>
        <w:t xml:space="preserve">cell lymphoma </w:t>
      </w:r>
      <w:r w:rsidRPr="00906B1D">
        <w:t xml:space="preserve">will receive combination therapy of placebo matching for </w:t>
      </w:r>
      <w:proofErr w:type="spellStart"/>
      <w:r w:rsidR="00B221FA">
        <w:t>s</w:t>
      </w:r>
      <w:r w:rsidR="00906B1D">
        <w:t>elinexor</w:t>
      </w:r>
      <w:proofErr w:type="spellEnd"/>
      <w:r w:rsidR="00906B1D">
        <w:t xml:space="preserve"> </w:t>
      </w:r>
      <w:r w:rsidRPr="00906B1D">
        <w:t xml:space="preserve">(selected dose from Phase </w:t>
      </w:r>
      <w:r w:rsidR="00EE4743">
        <w:t>II</w:t>
      </w:r>
      <w:r w:rsidRPr="00906B1D">
        <w:t>) at Day 1 and Day 8 of each 21-day cycle for up to 6 cycles in</w:t>
      </w:r>
      <w:r w:rsidR="00906B1D">
        <w:t xml:space="preserve"> </w:t>
      </w:r>
      <w:r w:rsidRPr="00906B1D">
        <w:t xml:space="preserve">combination with R-GDP followed by matching placebo for </w:t>
      </w:r>
      <w:proofErr w:type="spellStart"/>
      <w:r w:rsidRPr="00906B1D">
        <w:t>selinexor</w:t>
      </w:r>
      <w:proofErr w:type="spellEnd"/>
      <w:r w:rsidRPr="00906B1D">
        <w:t xml:space="preserve"> orally </w:t>
      </w:r>
      <w:r w:rsidR="00DE0361">
        <w:t>once weekly</w:t>
      </w:r>
      <w:r w:rsidRPr="00906B1D">
        <w:t xml:space="preserve"> for each 28-day cycle until</w:t>
      </w:r>
      <w:r w:rsidR="00B221FA">
        <w:t xml:space="preserve"> progressive disease</w:t>
      </w:r>
      <w:r w:rsidRPr="00906B1D">
        <w:t xml:space="preserve"> or unacceptable toxicity.</w:t>
      </w:r>
    </w:p>
    <w:p w14:paraId="62CC1322" w14:textId="77777777" w:rsidR="00415E3E" w:rsidRPr="000B3827" w:rsidRDefault="00415E3E">
      <w:pPr>
        <w:rPr>
          <w:i/>
        </w:rPr>
      </w:pPr>
      <w:r w:rsidRPr="000B3827">
        <w:rPr>
          <w:i/>
        </w:rPr>
        <w:t>Inclusion criteria</w:t>
      </w:r>
    </w:p>
    <w:p w14:paraId="4A06F42A" w14:textId="41E98B0A" w:rsidR="00415E3E" w:rsidRPr="00906B1D" w:rsidRDefault="00415E3E" w:rsidP="00320B17">
      <w:r w:rsidRPr="00906B1D">
        <w:t xml:space="preserve">Patients eligible for inclusion in </w:t>
      </w:r>
      <w:r w:rsidR="00EE4743">
        <w:t>S</w:t>
      </w:r>
      <w:r w:rsidRPr="00906B1D">
        <w:t>tudy XPORT-DLBCL-030 must meet the following criteria:</w:t>
      </w:r>
    </w:p>
    <w:p w14:paraId="07D1CFEB" w14:textId="7388149B" w:rsidR="00415E3E" w:rsidRPr="00906B1D" w:rsidRDefault="00415E3E" w:rsidP="0018487B">
      <w:pPr>
        <w:pStyle w:val="ListBullet"/>
      </w:pPr>
      <w:r w:rsidRPr="00906B1D">
        <w:t xml:space="preserve">Patients </w:t>
      </w:r>
      <w:r w:rsidR="00EE4743">
        <w:t>≥</w:t>
      </w:r>
      <w:r w:rsidR="00320B17">
        <w:rPr>
          <w:rFonts w:hint="eastAsia"/>
        </w:rPr>
        <w:t xml:space="preserve"> </w:t>
      </w:r>
      <w:r w:rsidRPr="00906B1D">
        <w:t>18 years of age</w:t>
      </w:r>
    </w:p>
    <w:p w14:paraId="4D4F19B0" w14:textId="2A7DA468" w:rsidR="00415E3E" w:rsidRPr="00906B1D" w:rsidRDefault="00415E3E" w:rsidP="0018487B">
      <w:pPr>
        <w:pStyle w:val="ListBullet"/>
      </w:pPr>
      <w:r w:rsidRPr="00906B1D">
        <w:t xml:space="preserve">Have pathologically confirmed </w:t>
      </w:r>
      <w:r w:rsidRPr="00320B17">
        <w:rPr>
          <w:i/>
          <w:iCs/>
        </w:rPr>
        <w:t>de novo</w:t>
      </w:r>
      <w:r w:rsidRPr="00906B1D">
        <w:t xml:space="preserve"> </w:t>
      </w:r>
      <w:r w:rsidR="00B221FA">
        <w:t>diffuse large B</w:t>
      </w:r>
      <w:r w:rsidR="00B221FA">
        <w:noBreakHyphen/>
        <w:t xml:space="preserve">cell lymphoma </w:t>
      </w:r>
      <w:r w:rsidRPr="00906B1D">
        <w:t xml:space="preserve">or </w:t>
      </w:r>
      <w:r w:rsidR="00B221FA">
        <w:t>diffuse large B</w:t>
      </w:r>
      <w:r w:rsidR="00B221FA">
        <w:noBreakHyphen/>
        <w:t xml:space="preserve">cell lymphoma </w:t>
      </w:r>
      <w:r w:rsidRPr="00906B1D">
        <w:t>transformed from</w:t>
      </w:r>
      <w:r w:rsidR="00906B1D" w:rsidRPr="00906B1D">
        <w:t xml:space="preserve"> </w:t>
      </w:r>
      <w:r w:rsidRPr="00906B1D">
        <w:t>previously diagnosed indolent lymphoma (</w:t>
      </w:r>
      <w:r w:rsidR="00320B17">
        <w:t>for example</w:t>
      </w:r>
      <w:r w:rsidRPr="00906B1D">
        <w:t>, follicular lymphoma). Patients with</w:t>
      </w:r>
      <w:r w:rsidR="00906B1D" w:rsidRPr="00906B1D">
        <w:t xml:space="preserve"> </w:t>
      </w:r>
      <w:r w:rsidRPr="00906B1D">
        <w:t xml:space="preserve">high grade lymphoma with </w:t>
      </w:r>
      <w:r w:rsidRPr="00320B17">
        <w:rPr>
          <w:i/>
          <w:iCs/>
        </w:rPr>
        <w:t>c-MYC</w:t>
      </w:r>
      <w:r w:rsidRPr="00906B1D">
        <w:t xml:space="preserve">, </w:t>
      </w:r>
      <w:r w:rsidRPr="00320B17">
        <w:rPr>
          <w:i/>
          <w:iCs/>
        </w:rPr>
        <w:t>Bcl-2</w:t>
      </w:r>
      <w:r w:rsidRPr="00906B1D">
        <w:t xml:space="preserve"> and/or </w:t>
      </w:r>
      <w:r w:rsidRPr="00864DDF">
        <w:rPr>
          <w:i/>
          <w:iCs/>
        </w:rPr>
        <w:t>Bcl-6</w:t>
      </w:r>
      <w:r w:rsidRPr="00906B1D">
        <w:t xml:space="preserve"> rearrangements are eligible</w:t>
      </w:r>
      <w:r w:rsidR="00906B1D" w:rsidRPr="00906B1D">
        <w:t xml:space="preserve"> </w:t>
      </w:r>
      <w:r w:rsidRPr="00906B1D">
        <w:t xml:space="preserve">(for Phase </w:t>
      </w:r>
      <w:r w:rsidR="00864DDF">
        <w:t>II</w:t>
      </w:r>
      <w:r w:rsidRPr="00906B1D">
        <w:t xml:space="preserve"> only)</w:t>
      </w:r>
    </w:p>
    <w:p w14:paraId="53D3AF64" w14:textId="3118E14E" w:rsidR="00415E3E" w:rsidRPr="00906B1D" w:rsidRDefault="00415E3E" w:rsidP="0018487B">
      <w:pPr>
        <w:pStyle w:val="ListBullet"/>
      </w:pPr>
      <w:r w:rsidRPr="00906B1D">
        <w:t>Have received at least 1 but no more than 3 prior lines of systemic therapy for the</w:t>
      </w:r>
      <w:r w:rsidR="00906B1D" w:rsidRPr="00906B1D">
        <w:t xml:space="preserve"> </w:t>
      </w:r>
      <w:r w:rsidRPr="00906B1D">
        <w:t xml:space="preserve">treatment of </w:t>
      </w:r>
      <w:r w:rsidR="00B221FA">
        <w:t>diffuse large B</w:t>
      </w:r>
      <w:r w:rsidR="00B221FA">
        <w:noBreakHyphen/>
        <w:t xml:space="preserve">cell lymphoma </w:t>
      </w:r>
      <w:r w:rsidRPr="00906B1D">
        <w:t>with relapsed or refractory disease following their most recent</w:t>
      </w:r>
      <w:r w:rsidR="00906B1D" w:rsidRPr="00906B1D">
        <w:t xml:space="preserve"> </w:t>
      </w:r>
      <w:r w:rsidRPr="00906B1D">
        <w:t>regimen</w:t>
      </w:r>
    </w:p>
    <w:p w14:paraId="3FB78FAA" w14:textId="45F773D2" w:rsidR="00415E3E" w:rsidRPr="00906B1D" w:rsidRDefault="00415E3E" w:rsidP="00906B1D">
      <w:pPr>
        <w:pStyle w:val="ListBullet2"/>
      </w:pPr>
      <w:r w:rsidRPr="00906B1D">
        <w:t>Salvage chemoimmunotherapy followed by stem cell transplantation will be</w:t>
      </w:r>
      <w:r w:rsidR="00906B1D">
        <w:t xml:space="preserve"> </w:t>
      </w:r>
      <w:r w:rsidRPr="00906B1D">
        <w:t>considered as 1 line of systemic therapy</w:t>
      </w:r>
    </w:p>
    <w:p w14:paraId="711ABED3" w14:textId="7D5F0FCA" w:rsidR="00415E3E" w:rsidRDefault="00415E3E" w:rsidP="00906B1D">
      <w:pPr>
        <w:pStyle w:val="ListBullet2"/>
      </w:pPr>
      <w:r w:rsidRPr="00906B1D">
        <w:t>Maintenance therapy will not be counted as a separate line of systemic therapy</w:t>
      </w:r>
    </w:p>
    <w:p w14:paraId="42EDA840" w14:textId="228837AB" w:rsidR="00906B1D" w:rsidRDefault="00906B1D" w:rsidP="00906B1D">
      <w:pPr>
        <w:pStyle w:val="ListBullet2"/>
      </w:pPr>
      <w:r>
        <w:t>Radiation with curative intent for locali</w:t>
      </w:r>
      <w:r w:rsidR="00864DDF">
        <w:t>s</w:t>
      </w:r>
      <w:r>
        <w:t xml:space="preserve">ed </w:t>
      </w:r>
      <w:r w:rsidR="00B221FA">
        <w:t>diffuse large B</w:t>
      </w:r>
      <w:r w:rsidR="00B221FA">
        <w:noBreakHyphen/>
        <w:t xml:space="preserve">cell lymphoma </w:t>
      </w:r>
      <w:r>
        <w:t>will not be counted as 1 line of systemic therapy</w:t>
      </w:r>
    </w:p>
    <w:p w14:paraId="04AD0C2F" w14:textId="5ECC55CA" w:rsidR="00906B1D" w:rsidRPr="00EE4743" w:rsidRDefault="00906B1D" w:rsidP="0018487B">
      <w:pPr>
        <w:pStyle w:val="ListBullet"/>
      </w:pPr>
      <w:r>
        <w:t>Positron emission tomography (PET) positive measurable disease with at least 1 node having longest diameter (</w:t>
      </w:r>
      <w:proofErr w:type="spellStart"/>
      <w:r>
        <w:t>LDi</w:t>
      </w:r>
      <w:proofErr w:type="spellEnd"/>
      <w:r>
        <w:t xml:space="preserve">) &gt;1.5 cm or 1 </w:t>
      </w:r>
      <w:proofErr w:type="spellStart"/>
      <w:r>
        <w:t>extranodal</w:t>
      </w:r>
      <w:proofErr w:type="spellEnd"/>
      <w:r>
        <w:t xml:space="preserve"> lesion with </w:t>
      </w:r>
      <w:proofErr w:type="spellStart"/>
      <w:r>
        <w:t>LDi</w:t>
      </w:r>
      <w:proofErr w:type="spellEnd"/>
      <w:r>
        <w:t xml:space="preserve"> &gt;</w:t>
      </w:r>
      <w:r w:rsidR="00864DDF">
        <w:t xml:space="preserve"> </w:t>
      </w:r>
      <w:r>
        <w:t xml:space="preserve">1 cm </w:t>
      </w:r>
      <w:r w:rsidRPr="00EE4743">
        <w:t xml:space="preserve">(per the Lugano 2014 </w:t>
      </w:r>
      <w:r w:rsidR="00B221FA">
        <w:t>c</w:t>
      </w:r>
      <w:r w:rsidRPr="00EE4743">
        <w:t>riteria)</w:t>
      </w:r>
      <w:r w:rsidR="00B221FA">
        <w:t>;</w:t>
      </w:r>
      <w:r w:rsidR="00B221FA" w:rsidRPr="000B3827">
        <w:rPr>
          <w:vertAlign w:val="superscript"/>
        </w:rPr>
        <w:fldChar w:fldCharType="begin"/>
      </w:r>
      <w:r w:rsidR="00B221FA" w:rsidRPr="000B3827">
        <w:rPr>
          <w:vertAlign w:val="superscript"/>
        </w:rPr>
        <w:instrText xml:space="preserve"> NOTEREF _Ref117329434 \h </w:instrText>
      </w:r>
      <w:r w:rsidR="00B221FA">
        <w:rPr>
          <w:vertAlign w:val="superscript"/>
        </w:rPr>
        <w:instrText xml:space="preserve"> \* MERGEFORMAT </w:instrText>
      </w:r>
      <w:r w:rsidR="00B221FA" w:rsidRPr="000B3827">
        <w:rPr>
          <w:vertAlign w:val="superscript"/>
        </w:rPr>
      </w:r>
      <w:r w:rsidR="00B221FA" w:rsidRPr="000B3827">
        <w:rPr>
          <w:vertAlign w:val="superscript"/>
        </w:rPr>
        <w:fldChar w:fldCharType="separate"/>
      </w:r>
      <w:r w:rsidR="00B221FA" w:rsidRPr="000B3827">
        <w:rPr>
          <w:vertAlign w:val="superscript"/>
        </w:rPr>
        <w:t>23</w:t>
      </w:r>
      <w:r w:rsidR="00B221FA" w:rsidRPr="000B3827">
        <w:rPr>
          <w:vertAlign w:val="superscript"/>
        </w:rPr>
        <w:fldChar w:fldCharType="end"/>
      </w:r>
    </w:p>
    <w:p w14:paraId="1876CC8B" w14:textId="44A599AE" w:rsidR="00906B1D" w:rsidRDefault="00906B1D" w:rsidP="0018487B">
      <w:pPr>
        <w:pStyle w:val="ListBullet"/>
      </w:pPr>
      <w:r>
        <w:lastRenderedPageBreak/>
        <w:t>Not intended for HSCT or CAR-T therapy based on objective clinical criteria determined by the treating physician. Patients who cannot receive HSCT due to active disease are allowed on study (up to approximately 15% of patients enrolled in each phase). Documentation on lack of intention to proceed to receive HSCT or CAR-T therapy must be provided by the treating physician.</w:t>
      </w:r>
    </w:p>
    <w:p w14:paraId="11C1B14D" w14:textId="3B9BC134" w:rsidR="00906B1D" w:rsidRDefault="00906B1D" w:rsidP="0018487B">
      <w:pPr>
        <w:pStyle w:val="ListBullet"/>
      </w:pPr>
      <w:r>
        <w:t>Adequate bone marrow function at screening, defined as:</w:t>
      </w:r>
    </w:p>
    <w:p w14:paraId="4EBB86B4" w14:textId="5201A08A" w:rsidR="00906B1D" w:rsidRDefault="00906B1D" w:rsidP="00906B1D">
      <w:pPr>
        <w:pStyle w:val="ListBullet2"/>
      </w:pPr>
      <w:r>
        <w:t>Absolute neutrophil count ≥</w:t>
      </w:r>
      <w:r w:rsidR="00864DDF">
        <w:t xml:space="preserve"> </w:t>
      </w:r>
      <w:r>
        <w:t>1 × 10</w:t>
      </w:r>
      <w:r w:rsidRPr="00864DDF">
        <w:rPr>
          <w:vertAlign w:val="superscript"/>
        </w:rPr>
        <w:t>9</w:t>
      </w:r>
      <w:r>
        <w:t>/L</w:t>
      </w:r>
    </w:p>
    <w:p w14:paraId="1D5779A3" w14:textId="5B792EB6" w:rsidR="00906B1D" w:rsidRDefault="00906B1D" w:rsidP="00906B1D">
      <w:pPr>
        <w:pStyle w:val="ListBullet2"/>
      </w:pPr>
      <w:r>
        <w:t>Platelet count ≥</w:t>
      </w:r>
      <w:r w:rsidR="00864DDF">
        <w:t xml:space="preserve"> </w:t>
      </w:r>
      <w:r>
        <w:t>100 × 10</w:t>
      </w:r>
      <w:r w:rsidRPr="00864DDF">
        <w:rPr>
          <w:vertAlign w:val="superscript"/>
        </w:rPr>
        <w:t>9</w:t>
      </w:r>
      <w:r>
        <w:t>/L (without platelet transfusion &lt;</w:t>
      </w:r>
      <w:r w:rsidR="00864DDF">
        <w:t xml:space="preserve"> </w:t>
      </w:r>
      <w:r>
        <w:t>14 days prior to C1D1)</w:t>
      </w:r>
    </w:p>
    <w:p w14:paraId="609A8B22" w14:textId="7E0122CD" w:rsidR="00906B1D" w:rsidRDefault="00906B1D" w:rsidP="00906B1D">
      <w:pPr>
        <w:pStyle w:val="ListBullet2"/>
      </w:pPr>
      <w:r>
        <w:t>H</w:t>
      </w:r>
      <w:r w:rsidR="00B221FA">
        <w:t>a</w:t>
      </w:r>
      <w:r>
        <w:t>emoglobin ≥</w:t>
      </w:r>
      <w:r w:rsidR="00864DDF">
        <w:t xml:space="preserve"> </w:t>
      </w:r>
      <w:r>
        <w:t>8.5g/dL (without red blood cell transfusion &lt;</w:t>
      </w:r>
      <w:r w:rsidR="00864DDF">
        <w:t xml:space="preserve"> </w:t>
      </w:r>
      <w:r>
        <w:t>14 days prior to C1D1)</w:t>
      </w:r>
    </w:p>
    <w:p w14:paraId="23D88426" w14:textId="5301F414" w:rsidR="00906B1D" w:rsidRDefault="00906B1D" w:rsidP="0018487B">
      <w:pPr>
        <w:pStyle w:val="ListBullet"/>
      </w:pPr>
      <w:r>
        <w:t>Circulating lymphocytes ≤</w:t>
      </w:r>
      <w:r w:rsidR="00864DDF">
        <w:t xml:space="preserve"> </w:t>
      </w:r>
      <w:r>
        <w:t>50 × 10</w:t>
      </w:r>
      <w:r w:rsidRPr="00864DDF">
        <w:rPr>
          <w:vertAlign w:val="superscript"/>
        </w:rPr>
        <w:t>9</w:t>
      </w:r>
      <w:r>
        <w:t>/L</w:t>
      </w:r>
    </w:p>
    <w:p w14:paraId="445275C1" w14:textId="4EB0E0D7" w:rsidR="00906B1D" w:rsidRDefault="00906B1D" w:rsidP="0018487B">
      <w:pPr>
        <w:pStyle w:val="ListBullet"/>
      </w:pPr>
      <w:r>
        <w:t>Adequate liver and kidney function, defined as (</w:t>
      </w:r>
      <w:r w:rsidR="00EE4743">
        <w:t>d</w:t>
      </w:r>
      <w:r>
        <w:t>ocumentation to be provided):</w:t>
      </w:r>
    </w:p>
    <w:p w14:paraId="5D28470E" w14:textId="2989E042" w:rsidR="00906B1D" w:rsidRDefault="00906B1D" w:rsidP="00906B1D">
      <w:pPr>
        <w:pStyle w:val="ListBullet2"/>
      </w:pPr>
      <w:r>
        <w:t>AST or ALT ≤</w:t>
      </w:r>
      <w:r w:rsidR="00EE4743">
        <w:t xml:space="preserve"> </w:t>
      </w:r>
      <w:r>
        <w:t>2.5 × ULN, or ≤</w:t>
      </w:r>
      <w:r w:rsidR="00EE4743">
        <w:t xml:space="preserve"> </w:t>
      </w:r>
      <w:r>
        <w:t>5 × ULN in cases with known lymphoma involvement in the liver</w:t>
      </w:r>
    </w:p>
    <w:p w14:paraId="05E4CD1D" w14:textId="5E65D270" w:rsidR="00906B1D" w:rsidRDefault="00906B1D" w:rsidP="00906B1D">
      <w:pPr>
        <w:pStyle w:val="ListBullet2"/>
      </w:pPr>
      <w:r>
        <w:t>Serum total bilirubin ≤</w:t>
      </w:r>
      <w:r w:rsidR="00864DDF">
        <w:t xml:space="preserve"> </w:t>
      </w:r>
      <w:r>
        <w:t>2 × ULN, or ≤</w:t>
      </w:r>
      <w:r w:rsidR="00864DDF">
        <w:t xml:space="preserve"> </w:t>
      </w:r>
      <w:r>
        <w:t>5 ULN if due to Gilbert syndrome or in cases with known lymphoma involvement in the liver</w:t>
      </w:r>
    </w:p>
    <w:p w14:paraId="359D7B1F" w14:textId="0346FC57" w:rsidR="00906B1D" w:rsidRDefault="00906B1D" w:rsidP="00906B1D">
      <w:pPr>
        <w:pStyle w:val="ListBullet2"/>
      </w:pPr>
      <w:r>
        <w:t xml:space="preserve">Calculated </w:t>
      </w:r>
      <w:proofErr w:type="spellStart"/>
      <w:r>
        <w:t>CrCl</w:t>
      </w:r>
      <w:proofErr w:type="spellEnd"/>
      <w:r>
        <w:t xml:space="preserve"> ≥</w:t>
      </w:r>
      <w:r w:rsidR="00864DDF">
        <w:t xml:space="preserve"> </w:t>
      </w:r>
      <w:r>
        <w:t>30 mL/min based on Cockcroft-Gault formula</w:t>
      </w:r>
    </w:p>
    <w:p w14:paraId="758926D4" w14:textId="554B4D6D" w:rsidR="00906B1D" w:rsidRDefault="00906B1D" w:rsidP="0018487B">
      <w:pPr>
        <w:pStyle w:val="ListBullet"/>
      </w:pPr>
      <w:r>
        <w:t>Eastern Cooperative Oncology Group (ECOG) performance status of ≤</w:t>
      </w:r>
      <w:r w:rsidR="00864DDF">
        <w:t xml:space="preserve"> </w:t>
      </w:r>
      <w:r>
        <w:t>2</w:t>
      </w:r>
    </w:p>
    <w:p w14:paraId="29A399AA" w14:textId="4CC9B511" w:rsidR="00906B1D" w:rsidRDefault="00906B1D" w:rsidP="0018487B">
      <w:pPr>
        <w:pStyle w:val="ListBullet"/>
      </w:pPr>
      <w:r>
        <w:t>An estimated life expectancy of &gt;</w:t>
      </w:r>
      <w:r w:rsidR="00864DDF">
        <w:t xml:space="preserve"> </w:t>
      </w:r>
      <w:r>
        <w:t xml:space="preserve">3 months at </w:t>
      </w:r>
      <w:r w:rsidR="00864DDF">
        <w:t>s</w:t>
      </w:r>
      <w:r>
        <w:t>creening</w:t>
      </w:r>
    </w:p>
    <w:p w14:paraId="72743705" w14:textId="505CF0E4" w:rsidR="00906B1D" w:rsidRDefault="00906B1D" w:rsidP="0018487B">
      <w:pPr>
        <w:pStyle w:val="ListBullet"/>
      </w:pPr>
      <w:r>
        <w:t>Patients with primary refractory DLBCL defined as no response or relapse within 6</w:t>
      </w:r>
      <w:r w:rsidR="00864DDF">
        <w:t> </w:t>
      </w:r>
      <w:r>
        <w:t>months after ending first</w:t>
      </w:r>
      <w:r w:rsidR="00864DDF">
        <w:t xml:space="preserve"> </w:t>
      </w:r>
      <w:r>
        <w:t>line treatment will be allowed on study (up to approximately 25% of patients enrolled in each phase)</w:t>
      </w:r>
    </w:p>
    <w:p w14:paraId="2AF3B153" w14:textId="38C425E9" w:rsidR="00906B1D" w:rsidRDefault="00906B1D" w:rsidP="0018487B">
      <w:pPr>
        <w:pStyle w:val="ListBullet"/>
      </w:pPr>
      <w:r>
        <w:t>Agree to highly effective contraception during the duration of the study with contraception use continuing for 12 months after the last dose of study treatment</w:t>
      </w:r>
    </w:p>
    <w:p w14:paraId="33FAAFF4" w14:textId="600408D6" w:rsidR="00906B1D" w:rsidRPr="00906B1D" w:rsidRDefault="00906B1D" w:rsidP="00906B1D">
      <w:pPr>
        <w:pStyle w:val="ListBullet2"/>
      </w:pPr>
      <w:r w:rsidRPr="00906B1D">
        <w:t>Female patients of childbearing potential must have a negative serum pregnancy test at Screening and agree to use highly effective methods of contraception throughout the study and for 12 months following the last dose of study treatment (except patients with non-childbearing potential: Age &gt;</w:t>
      </w:r>
      <w:r w:rsidR="00864DDF">
        <w:t xml:space="preserve"> </w:t>
      </w:r>
      <w:r w:rsidRPr="00906B1D">
        <w:t>50 years and naturally amenorrhoeic for &gt;</w:t>
      </w:r>
      <w:r w:rsidR="00864DDF">
        <w:t xml:space="preserve"> </w:t>
      </w:r>
      <w:r w:rsidRPr="00906B1D">
        <w:t xml:space="preserve">1 year, or previous bilateral </w:t>
      </w:r>
      <w:proofErr w:type="spellStart"/>
      <w:r w:rsidRPr="00906B1D">
        <w:t>salpingo</w:t>
      </w:r>
      <w:proofErr w:type="spellEnd"/>
      <w:r w:rsidR="00B221FA">
        <w:noBreakHyphen/>
      </w:r>
      <w:r w:rsidRPr="00906B1D">
        <w:t>oophorectomy, or hysterectomy).</w:t>
      </w:r>
    </w:p>
    <w:p w14:paraId="18C93586" w14:textId="50EAFE0D" w:rsidR="00906B1D" w:rsidRDefault="00906B1D" w:rsidP="00906B1D">
      <w:pPr>
        <w:pStyle w:val="ListBullet2"/>
      </w:pPr>
      <w:r>
        <w:t>Male patients who are sexually active must use highly effective methods of contraception throughout the study and for 12 months following the last dose of study treatment. Male patients must agree not to donate sperm during the study treatment period and for 12 months following the last dose of study treatment.</w:t>
      </w:r>
    </w:p>
    <w:p w14:paraId="6221255E" w14:textId="29BF7DD6" w:rsidR="00906B1D" w:rsidRPr="000B3827" w:rsidRDefault="00906B1D" w:rsidP="00906B1D">
      <w:pPr>
        <w:rPr>
          <w:bCs/>
          <w:i/>
          <w:iCs/>
        </w:rPr>
      </w:pPr>
      <w:r w:rsidRPr="000B3827">
        <w:rPr>
          <w:bCs/>
          <w:i/>
          <w:iCs/>
        </w:rPr>
        <w:t>Exclusion criteria</w:t>
      </w:r>
    </w:p>
    <w:p w14:paraId="29A36BEB" w14:textId="15D3ED82" w:rsidR="00906B1D" w:rsidRPr="00647320" w:rsidRDefault="00906B1D" w:rsidP="00647320">
      <w:r w:rsidRPr="00647320">
        <w:t xml:space="preserve">Patients meeting any of the following exclusion criteria are not eligible to enrol in </w:t>
      </w:r>
      <w:r w:rsidR="00864DDF">
        <w:t>S</w:t>
      </w:r>
      <w:r w:rsidRPr="00647320">
        <w:t>tudy</w:t>
      </w:r>
      <w:r w:rsidR="00B221FA">
        <w:t> </w:t>
      </w:r>
      <w:r w:rsidRPr="00647320">
        <w:t>XPORT-DLBCL-030:</w:t>
      </w:r>
    </w:p>
    <w:p w14:paraId="69EB2F87" w14:textId="2CB0CC08" w:rsidR="00906B1D" w:rsidRPr="00647320" w:rsidRDefault="00B221FA" w:rsidP="0018487B">
      <w:pPr>
        <w:pStyle w:val="ListBullet"/>
      </w:pPr>
      <w:r>
        <w:t>diffuse large B</w:t>
      </w:r>
      <w:r>
        <w:noBreakHyphen/>
        <w:t xml:space="preserve">cell lymphoma </w:t>
      </w:r>
      <w:r w:rsidR="00906B1D">
        <w:t>with mucosa-associated lymphoid tissue (MALT) lymphoma; composite</w:t>
      </w:r>
      <w:r w:rsidR="00647320">
        <w:t xml:space="preserve"> </w:t>
      </w:r>
      <w:r w:rsidR="00906B1D">
        <w:t>lymphoma (Hodgkin</w:t>
      </w:r>
      <w:r w:rsidR="00864DDF">
        <w:t>’</w:t>
      </w:r>
      <w:r w:rsidR="00906B1D">
        <w:t xml:space="preserve">s lymphoma + NHL); </w:t>
      </w:r>
      <w:r>
        <w:t>diffuse large B</w:t>
      </w:r>
      <w:r>
        <w:noBreakHyphen/>
        <w:t xml:space="preserve">cell lymphoma </w:t>
      </w:r>
      <w:r w:rsidR="00906B1D">
        <w:t>transformed from diseases other</w:t>
      </w:r>
      <w:r w:rsidR="00647320">
        <w:t xml:space="preserve"> </w:t>
      </w:r>
      <w:r w:rsidR="00906B1D">
        <w:t>than indolent NHL; primary mediastinal (thymic) large B-cell lymphoma (PMBL);</w:t>
      </w:r>
      <w:r w:rsidR="00647320">
        <w:t xml:space="preserve"> </w:t>
      </w:r>
      <w:r w:rsidR="00906B1D" w:rsidRPr="00647320">
        <w:t>T</w:t>
      </w:r>
      <w:r w:rsidR="00864DDF">
        <w:noBreakHyphen/>
      </w:r>
      <w:r w:rsidR="00906B1D" w:rsidRPr="00647320">
        <w:t>cell</w:t>
      </w:r>
      <w:r w:rsidR="00647320" w:rsidRPr="00647320">
        <w:t xml:space="preserve"> </w:t>
      </w:r>
      <w:r w:rsidR="00906B1D" w:rsidRPr="00647320">
        <w:t>rich large B-cell lymphoma</w:t>
      </w:r>
    </w:p>
    <w:p w14:paraId="7E8B40E8" w14:textId="1C35EC7E" w:rsidR="00906B1D" w:rsidRDefault="00906B1D" w:rsidP="0018487B">
      <w:pPr>
        <w:pStyle w:val="ListBullet"/>
      </w:pPr>
      <w:r>
        <w:t xml:space="preserve">Previous treatment with </w:t>
      </w:r>
      <w:proofErr w:type="spellStart"/>
      <w:r>
        <w:t>selinexor</w:t>
      </w:r>
      <w:proofErr w:type="spellEnd"/>
      <w:r>
        <w:t xml:space="preserve"> or other XPO1 inhibitors</w:t>
      </w:r>
    </w:p>
    <w:p w14:paraId="3F45EF94" w14:textId="1D65E69B" w:rsidR="00906B1D" w:rsidRDefault="00906B1D" w:rsidP="0018487B">
      <w:pPr>
        <w:pStyle w:val="ListBullet"/>
      </w:pPr>
      <w:r>
        <w:t>Contraindication to any drug contained in the combination therapy regimen (SRGDP)</w:t>
      </w:r>
    </w:p>
    <w:p w14:paraId="4AE436BD" w14:textId="15902BBF" w:rsidR="00906B1D" w:rsidRDefault="00906B1D" w:rsidP="0018487B">
      <w:pPr>
        <w:pStyle w:val="ListBullet"/>
      </w:pPr>
      <w:r>
        <w:lastRenderedPageBreak/>
        <w:t xml:space="preserve">Known active central nervous system or meningeal involvement by </w:t>
      </w:r>
      <w:r w:rsidR="00B221FA">
        <w:t>diffuse large B</w:t>
      </w:r>
      <w:r w:rsidR="00B221FA">
        <w:noBreakHyphen/>
        <w:t xml:space="preserve">cell lymphoma </w:t>
      </w:r>
      <w:r>
        <w:t>at time</w:t>
      </w:r>
      <w:r w:rsidR="00647320">
        <w:t xml:space="preserve"> </w:t>
      </w:r>
      <w:r>
        <w:t xml:space="preserve">of </w:t>
      </w:r>
      <w:r w:rsidR="00864DDF">
        <w:t>s</w:t>
      </w:r>
      <w:r>
        <w:t>creening</w:t>
      </w:r>
    </w:p>
    <w:p w14:paraId="7F3D08C4" w14:textId="56EAF3E2" w:rsidR="00906B1D" w:rsidRDefault="00906B1D" w:rsidP="0018487B">
      <w:pPr>
        <w:pStyle w:val="ListBullet"/>
      </w:pPr>
      <w:r>
        <w:t>Use of any standard or experimental anti-</w:t>
      </w:r>
      <w:r w:rsidR="00B221FA">
        <w:t>diffuse large B</w:t>
      </w:r>
      <w:r w:rsidR="00B221FA">
        <w:noBreakHyphen/>
        <w:t xml:space="preserve">cell lymphoma </w:t>
      </w:r>
      <w:r>
        <w:t>therapy (including non</w:t>
      </w:r>
      <w:r w:rsidR="00B221FA">
        <w:t>-</w:t>
      </w:r>
      <w:r>
        <w:t>palliative</w:t>
      </w:r>
      <w:r w:rsidR="00647320">
        <w:t xml:space="preserve"> </w:t>
      </w:r>
      <w:r>
        <w:t>radiation, chemotherapy, immunotherapy, radio-immunotherapy, or any other</w:t>
      </w:r>
      <w:r w:rsidR="00647320">
        <w:t xml:space="preserve"> </w:t>
      </w:r>
      <w:r>
        <w:t>anticancer therapy) &lt;</w:t>
      </w:r>
      <w:r w:rsidR="00864DDF">
        <w:t xml:space="preserve"> </w:t>
      </w:r>
      <w:r>
        <w:t>21 days prior to Cycle 1 Day 1 (Prednisone &lt;</w:t>
      </w:r>
      <w:r w:rsidR="00864DDF">
        <w:t xml:space="preserve"> </w:t>
      </w:r>
      <w:r>
        <w:t>30 mg or</w:t>
      </w:r>
      <w:r w:rsidR="00647320">
        <w:t xml:space="preserve"> </w:t>
      </w:r>
      <w:r>
        <w:t>equivalent are permitted; palliative radiation is permitted only if on non-target</w:t>
      </w:r>
      <w:r w:rsidR="00647320">
        <w:t xml:space="preserve"> </w:t>
      </w:r>
      <w:r>
        <w:t>lesions)</w:t>
      </w:r>
    </w:p>
    <w:p w14:paraId="716BEE91" w14:textId="6F2CC770" w:rsidR="00906B1D" w:rsidRDefault="00906B1D" w:rsidP="0018487B">
      <w:pPr>
        <w:pStyle w:val="ListBullet"/>
      </w:pPr>
      <w:r>
        <w:t xml:space="preserve">Any AE, by Cycle 1 Day 1, which has not recovered to Grade </w:t>
      </w:r>
      <w:r w:rsidR="00647320">
        <w:rPr>
          <w:rFonts w:eastAsia="SimSun" w:cs="SimSun"/>
        </w:rPr>
        <w:t xml:space="preserve">≤ </w:t>
      </w:r>
      <w:r>
        <w:t>1 (Common</w:t>
      </w:r>
      <w:r w:rsidR="00647320">
        <w:t xml:space="preserve"> </w:t>
      </w:r>
      <w:r>
        <w:t xml:space="preserve">Terminology Criteria for Adverse Events </w:t>
      </w:r>
      <w:r w:rsidR="00B221FA">
        <w:t>(</w:t>
      </w:r>
      <w:r>
        <w:t>CTCAE</w:t>
      </w:r>
      <w:r w:rsidR="00B221FA">
        <w:t>)</w:t>
      </w:r>
      <w:r>
        <w:t xml:space="preserve"> v5.0), or returned to baseline,</w:t>
      </w:r>
      <w:r w:rsidR="00647320">
        <w:t xml:space="preserve"> </w:t>
      </w:r>
      <w:r>
        <w:t>related to the previous DLBCL therapy, except alopecia</w:t>
      </w:r>
    </w:p>
    <w:p w14:paraId="54AC2D21" w14:textId="35615E0D" w:rsidR="00906B1D" w:rsidRDefault="00906B1D" w:rsidP="0018487B">
      <w:pPr>
        <w:pStyle w:val="ListBullet"/>
      </w:pPr>
      <w:r>
        <w:t>Major surgery &lt;</w:t>
      </w:r>
      <w:r w:rsidR="00864DDF">
        <w:t xml:space="preserve"> </w:t>
      </w:r>
      <w:r>
        <w:t>14 days of C1D1</w:t>
      </w:r>
    </w:p>
    <w:p w14:paraId="6C4C3FF3" w14:textId="17315964" w:rsidR="00906B1D" w:rsidRDefault="00906B1D" w:rsidP="0018487B">
      <w:pPr>
        <w:pStyle w:val="ListBullet"/>
      </w:pPr>
      <w:r>
        <w:t>H</w:t>
      </w:r>
      <w:r w:rsidR="00B221FA">
        <w:t>a</w:t>
      </w:r>
      <w:r>
        <w:t>ematopoietic stem cell transplantation/CAR-T therapy as follows:</w:t>
      </w:r>
    </w:p>
    <w:p w14:paraId="443E3BDF" w14:textId="0C05B9A1" w:rsidR="00906B1D" w:rsidRDefault="00906B1D" w:rsidP="00647320">
      <w:pPr>
        <w:pStyle w:val="ListBullet2"/>
      </w:pPr>
      <w:r>
        <w:t>Autologous HSCT &lt;</w:t>
      </w:r>
      <w:r w:rsidR="00864DDF">
        <w:t xml:space="preserve"> </w:t>
      </w:r>
      <w:r>
        <w:t>100 days or allogeneic HSCT &lt;</w:t>
      </w:r>
      <w:r w:rsidR="00864DDF">
        <w:t xml:space="preserve"> </w:t>
      </w:r>
      <w:r>
        <w:t>180 days prior to C1D1</w:t>
      </w:r>
    </w:p>
    <w:p w14:paraId="228BB7C0" w14:textId="381E40F5" w:rsidR="00906B1D" w:rsidRDefault="00906B1D" w:rsidP="00647320">
      <w:pPr>
        <w:pStyle w:val="ListBullet2"/>
      </w:pPr>
      <w:r>
        <w:t>Active graft-versus-host disease after allogeneic HSCT (or cannot discontinue</w:t>
      </w:r>
    </w:p>
    <w:p w14:paraId="6514FD24" w14:textId="788F6E2D" w:rsidR="00906B1D" w:rsidRDefault="00906B1D" w:rsidP="00647320">
      <w:pPr>
        <w:pStyle w:val="ListBullet2"/>
      </w:pPr>
      <w:r>
        <w:t>graft-versus-host disease treatment or prophylaxis)</w:t>
      </w:r>
    </w:p>
    <w:p w14:paraId="7140375A" w14:textId="52AF1F24" w:rsidR="00906B1D" w:rsidRDefault="00906B1D" w:rsidP="00647320">
      <w:pPr>
        <w:pStyle w:val="ListBullet2"/>
      </w:pPr>
      <w:r>
        <w:t>CAR-T infusion &lt;</w:t>
      </w:r>
      <w:r w:rsidR="00864DDF">
        <w:t xml:space="preserve"> </w:t>
      </w:r>
      <w:r>
        <w:t>90 days prior to Cycle 1</w:t>
      </w:r>
    </w:p>
    <w:p w14:paraId="47985967" w14:textId="4BDF590A" w:rsidR="00906B1D" w:rsidRDefault="00906B1D" w:rsidP="0018487B">
      <w:pPr>
        <w:pStyle w:val="ListBullet"/>
      </w:pPr>
      <w:r>
        <w:t xml:space="preserve">Neuropathy Grade </w:t>
      </w:r>
      <w:r w:rsidR="00647320">
        <w:rPr>
          <w:rFonts w:eastAsia="SimSun" w:cs="SimSun"/>
        </w:rPr>
        <w:t xml:space="preserve">≥ </w:t>
      </w:r>
      <w:r>
        <w:t>2 (CTCAE v</w:t>
      </w:r>
      <w:r w:rsidR="00EE4743">
        <w:t xml:space="preserve">ersion </w:t>
      </w:r>
      <w:r>
        <w:t>5.0)</w:t>
      </w:r>
    </w:p>
    <w:p w14:paraId="3611C091" w14:textId="5BCEB5C9" w:rsidR="00906B1D" w:rsidRDefault="00906B1D" w:rsidP="0018487B">
      <w:pPr>
        <w:pStyle w:val="ListBullet"/>
      </w:pPr>
      <w:r>
        <w:t>Any life-threatening illness, medical condition, or organ system dysfunction which, in</w:t>
      </w:r>
      <w:r w:rsidR="00647320">
        <w:t xml:space="preserve"> </w:t>
      </w:r>
      <w:r>
        <w:t>the Investigator</w:t>
      </w:r>
      <w:r>
        <w:rPr>
          <w:rFonts w:hint="eastAsia"/>
        </w:rPr>
        <w:t>’</w:t>
      </w:r>
      <w:r>
        <w:t>s opinion, could compromise the patient</w:t>
      </w:r>
      <w:r w:rsidR="00647320">
        <w:t>’</w:t>
      </w:r>
      <w:r>
        <w:t>s safety, or being compliant</w:t>
      </w:r>
      <w:r w:rsidR="00647320">
        <w:t xml:space="preserve"> </w:t>
      </w:r>
      <w:r>
        <w:t>with the study procedures</w:t>
      </w:r>
    </w:p>
    <w:p w14:paraId="6FA21ED7" w14:textId="089EFEE4" w:rsidR="00906B1D" w:rsidRDefault="00906B1D" w:rsidP="0018487B">
      <w:pPr>
        <w:pStyle w:val="ListBullet"/>
      </w:pPr>
      <w:r>
        <w:t>Uncontrolled (</w:t>
      </w:r>
      <w:r w:rsidR="00864DDF">
        <w:t>that is</w:t>
      </w:r>
      <w:r>
        <w:t xml:space="preserve"> clinically unstable) infection requiring parenteral antibiotics,</w:t>
      </w:r>
      <w:r w:rsidR="00647320">
        <w:t xml:space="preserve"> </w:t>
      </w:r>
      <w:r>
        <w:t>antivirals, or antifungals within 7 days prior to first dose of study treatment; however,</w:t>
      </w:r>
      <w:r w:rsidR="00647320">
        <w:t xml:space="preserve"> </w:t>
      </w:r>
      <w:r>
        <w:t>prophylactic use of these agents is acceptable (including parenteral)</w:t>
      </w:r>
    </w:p>
    <w:p w14:paraId="675CE46E" w14:textId="285DBEA7" w:rsidR="00906B1D" w:rsidRDefault="00906B1D" w:rsidP="0018487B">
      <w:pPr>
        <w:pStyle w:val="ListBullet"/>
      </w:pPr>
      <w:r>
        <w:t>Patients with active hepatitis B virus (HBV), hepatitis C virus (HCV), or human</w:t>
      </w:r>
      <w:r w:rsidR="00647320">
        <w:t xml:space="preserve"> </w:t>
      </w:r>
      <w:r>
        <w:t>immunodeficiency virus (HIV) infections:</w:t>
      </w:r>
    </w:p>
    <w:p w14:paraId="02E221BF" w14:textId="1B2ED653" w:rsidR="00906B1D" w:rsidRDefault="00906B1D" w:rsidP="00647320">
      <w:pPr>
        <w:pStyle w:val="ListBullet2"/>
      </w:pPr>
      <w:r>
        <w:t>Patients with active HBV are allowed if antiviral therapy for hepatitis B has</w:t>
      </w:r>
      <w:r w:rsidR="00647320">
        <w:t xml:space="preserve"> </w:t>
      </w:r>
      <w:r>
        <w:t>been given for &gt;</w:t>
      </w:r>
      <w:r w:rsidR="00864DDF">
        <w:t xml:space="preserve"> </w:t>
      </w:r>
      <w:r>
        <w:t>8 weeks and viral load is &lt;</w:t>
      </w:r>
      <w:r w:rsidR="00864DDF">
        <w:t xml:space="preserve"> </w:t>
      </w:r>
      <w:r>
        <w:t>100 IU/mL prior to first dose of</w:t>
      </w:r>
      <w:r w:rsidR="00647320">
        <w:t xml:space="preserve"> </w:t>
      </w:r>
      <w:r>
        <w:t>study treatment.</w:t>
      </w:r>
    </w:p>
    <w:p w14:paraId="69C35D51" w14:textId="71416059" w:rsidR="00906B1D" w:rsidRDefault="00906B1D" w:rsidP="00647320">
      <w:pPr>
        <w:pStyle w:val="ListBullet2"/>
      </w:pPr>
      <w:r>
        <w:t>Patients with known history of HCV or found to be HCV antibody positive on</w:t>
      </w:r>
      <w:r w:rsidR="00647320">
        <w:t xml:space="preserve"> </w:t>
      </w:r>
      <w:r>
        <w:t>screening, are allowed if there is documentation of negative viral load per</w:t>
      </w:r>
      <w:r w:rsidR="00647320">
        <w:t xml:space="preserve"> </w:t>
      </w:r>
      <w:r>
        <w:t>institutional standard.</w:t>
      </w:r>
    </w:p>
    <w:p w14:paraId="34F4BFF7" w14:textId="2C4EFBA8" w:rsidR="00906B1D" w:rsidRDefault="00906B1D" w:rsidP="00647320">
      <w:pPr>
        <w:pStyle w:val="ListBullet2"/>
      </w:pPr>
      <w:r>
        <w:t>Patients with HIV are allowed if they have a negative viral load per</w:t>
      </w:r>
      <w:r w:rsidR="00647320">
        <w:t xml:space="preserve"> </w:t>
      </w:r>
      <w:r>
        <w:t>institutional standard, and no history of acquired immune deficiency syndrome</w:t>
      </w:r>
      <w:r w:rsidR="00647320">
        <w:t xml:space="preserve"> </w:t>
      </w:r>
      <w:r>
        <w:t>(AIDS)-defining opportunistic infections in the last year.</w:t>
      </w:r>
    </w:p>
    <w:p w14:paraId="28E1D6B9" w14:textId="17263B9F" w:rsidR="00906B1D" w:rsidRDefault="00906B1D" w:rsidP="0018487B">
      <w:pPr>
        <w:pStyle w:val="ListBullet"/>
      </w:pPr>
      <w:r>
        <w:t>Inability to swallow tablets, malabsorption syndrome, or any other gastrointestinal</w:t>
      </w:r>
      <w:r w:rsidR="00647320">
        <w:t xml:space="preserve"> </w:t>
      </w:r>
      <w:r>
        <w:t>disease or dysfunction that could interfere with absorption of study treatment</w:t>
      </w:r>
    </w:p>
    <w:p w14:paraId="324B3F14" w14:textId="111073D3" w:rsidR="00906B1D" w:rsidRDefault="00906B1D" w:rsidP="0018487B">
      <w:pPr>
        <w:pStyle w:val="ListBullet"/>
      </w:pPr>
      <w:r>
        <w:t>Breastfeeding or pregnant women</w:t>
      </w:r>
    </w:p>
    <w:p w14:paraId="591018A4" w14:textId="23EC1265" w:rsidR="00647320" w:rsidRDefault="00647320" w:rsidP="0018487B">
      <w:pPr>
        <w:pStyle w:val="ListBullet"/>
      </w:pPr>
      <w:r>
        <w:t xml:space="preserve">Inability or unwillingness to sign an </w:t>
      </w:r>
      <w:r w:rsidR="00B221FA">
        <w:t>informed consent form</w:t>
      </w:r>
    </w:p>
    <w:p w14:paraId="40DEC1C5" w14:textId="14B722C8" w:rsidR="00647320" w:rsidRDefault="00647320" w:rsidP="0018487B">
      <w:pPr>
        <w:pStyle w:val="ListBullet"/>
      </w:pPr>
      <w:r>
        <w:t>In the opinion of the Investigator, patients who are significantly below their ideal body weight</w:t>
      </w:r>
    </w:p>
    <w:p w14:paraId="6054E929" w14:textId="22C59522" w:rsidR="00647320" w:rsidRPr="00647320" w:rsidRDefault="00647320" w:rsidP="0018487B">
      <w:pPr>
        <w:pStyle w:val="ListBullet"/>
      </w:pPr>
      <w:r>
        <w:t>Patients who received a live attenuated vaccine within prior 28 days of the first dose of study treatment</w:t>
      </w:r>
    </w:p>
    <w:p w14:paraId="6F11BB2E" w14:textId="35C2A423" w:rsidR="00647320" w:rsidRDefault="006718C9" w:rsidP="00647320">
      <w:pPr>
        <w:pStyle w:val="Numberbullet2"/>
        <w:rPr>
          <w:b/>
          <w:bCs/>
          <w:i/>
          <w:iCs/>
        </w:rPr>
      </w:pPr>
      <w:r w:rsidRPr="00647320">
        <w:rPr>
          <w:b/>
          <w:bCs/>
          <w:i/>
          <w:iCs/>
        </w:rPr>
        <w:t>Has this trial commenced, and when is it expected to be completed?</w:t>
      </w:r>
    </w:p>
    <w:p w14:paraId="071FAD9B" w14:textId="213D282B" w:rsidR="00647320" w:rsidRPr="00647320" w:rsidRDefault="00647320" w:rsidP="00647320">
      <w:r>
        <w:lastRenderedPageBreak/>
        <w:t xml:space="preserve">The </w:t>
      </w:r>
      <w:r w:rsidR="00864DDF">
        <w:t>s</w:t>
      </w:r>
      <w:r>
        <w:t xml:space="preserve">ponsor would like to confirm that per original plan, the </w:t>
      </w:r>
      <w:r w:rsidR="00864DDF">
        <w:t>S</w:t>
      </w:r>
      <w:r>
        <w:t xml:space="preserve">tudy XPORT-DLBCL-030 was to commence on 3 September 2020 and the estimated study completion date was to be August 2024. The first patient in Phase </w:t>
      </w:r>
      <w:r w:rsidR="00864DDF">
        <w:t>II</w:t>
      </w:r>
      <w:r>
        <w:t xml:space="preserve"> was enrolled in January 2021 </w:t>
      </w:r>
      <w:r>
        <w:rPr>
          <w:sz w:val="23"/>
          <w:szCs w:val="23"/>
        </w:rPr>
        <w:t>and the first patient,</w:t>
      </w:r>
      <w:r>
        <w:t xml:space="preserve"> </w:t>
      </w:r>
      <w:r>
        <w:rPr>
          <w:sz w:val="23"/>
          <w:szCs w:val="23"/>
        </w:rPr>
        <w:t>first dose was 8 February 2021</w:t>
      </w:r>
      <w:r>
        <w:t xml:space="preserve">; based on the adjusted timelines, recruitment of last patient for Phase </w:t>
      </w:r>
      <w:r w:rsidR="00864DDF">
        <w:t>II</w:t>
      </w:r>
      <w:r>
        <w:t xml:space="preserve"> is targeted in </w:t>
      </w:r>
      <w:r w:rsidR="00864DDF">
        <w:t>October</w:t>
      </w:r>
      <w:r>
        <w:t xml:space="preserve"> 2022, and Phase </w:t>
      </w:r>
      <w:r w:rsidR="00864DDF">
        <w:t>III</w:t>
      </w:r>
      <w:r>
        <w:t xml:space="preserve"> will initiate in January 2023.</w:t>
      </w:r>
    </w:p>
    <w:p w14:paraId="7DE56136" w14:textId="69100CBC" w:rsidR="00647320" w:rsidRDefault="006718C9" w:rsidP="00647320">
      <w:pPr>
        <w:pStyle w:val="Numberbullet2"/>
        <w:rPr>
          <w:b/>
          <w:bCs/>
          <w:i/>
          <w:iCs/>
        </w:rPr>
      </w:pPr>
      <w:r w:rsidRPr="00647320">
        <w:rPr>
          <w:b/>
          <w:bCs/>
          <w:i/>
          <w:iCs/>
        </w:rPr>
        <w:t xml:space="preserve">This study does not appear in the pharmacovigilance plan in the Australian Specific Annex. It would appear information from the study has the potential to inform the understanding of the clinical utility and risks of </w:t>
      </w:r>
      <w:proofErr w:type="spellStart"/>
      <w:r w:rsidRPr="00647320">
        <w:rPr>
          <w:b/>
          <w:bCs/>
          <w:i/>
          <w:iCs/>
        </w:rPr>
        <w:t>selinexor</w:t>
      </w:r>
      <w:proofErr w:type="spellEnd"/>
      <w:r w:rsidRPr="00647320">
        <w:rPr>
          <w:b/>
          <w:bCs/>
          <w:i/>
          <w:iCs/>
        </w:rPr>
        <w:t xml:space="preserve"> that may be generalisable to the Australia context. What was the rationale for its omission from the pharmacovigilance plan?</w:t>
      </w:r>
    </w:p>
    <w:p w14:paraId="27C5782B" w14:textId="36DBDA9F" w:rsidR="00647320" w:rsidRPr="00647320" w:rsidRDefault="00647320" w:rsidP="00647320">
      <w:r>
        <w:t xml:space="preserve">The </w:t>
      </w:r>
      <w:r w:rsidR="0018487B">
        <w:t>s</w:t>
      </w:r>
      <w:r>
        <w:t xml:space="preserve">ponsor would like to advise the RMP (ASA) for </w:t>
      </w:r>
      <w:proofErr w:type="spellStart"/>
      <w:r>
        <w:t>selinexor</w:t>
      </w:r>
      <w:proofErr w:type="spellEnd"/>
      <w:r>
        <w:t xml:space="preserve"> has been amended to include </w:t>
      </w:r>
      <w:r w:rsidR="00864DDF">
        <w:t>S</w:t>
      </w:r>
      <w:r>
        <w:t xml:space="preserve">tudy XPORT-DLBCL-030 as part of the additional pharmacovigilance activities for Australia. Please note </w:t>
      </w:r>
      <w:r w:rsidR="00864DDF">
        <w:t>S</w:t>
      </w:r>
      <w:r>
        <w:t>tudy XPORT-DLBCL-030 was not included in the initial version for submission as no patients had been enrolled at the time. An updated annotated and clean ASA are provided.</w:t>
      </w:r>
    </w:p>
    <w:p w14:paraId="2B322FAF" w14:textId="328A662A" w:rsidR="006718C9" w:rsidRDefault="006718C9" w:rsidP="00C53310">
      <w:pPr>
        <w:pStyle w:val="Numberbullet0"/>
        <w:rPr>
          <w:b/>
          <w:bCs/>
          <w:i/>
          <w:iCs/>
        </w:rPr>
      </w:pPr>
      <w:r w:rsidRPr="00767359">
        <w:rPr>
          <w:b/>
          <w:bCs/>
          <w:i/>
          <w:iCs/>
        </w:rPr>
        <w:t xml:space="preserve">Where does the sponsor consider </w:t>
      </w:r>
      <w:proofErr w:type="spellStart"/>
      <w:r w:rsidRPr="00767359">
        <w:rPr>
          <w:b/>
          <w:bCs/>
          <w:i/>
          <w:iCs/>
        </w:rPr>
        <w:t>selinexor</w:t>
      </w:r>
      <w:proofErr w:type="spellEnd"/>
      <w:r w:rsidRPr="00767359">
        <w:rPr>
          <w:b/>
          <w:bCs/>
          <w:i/>
          <w:iCs/>
        </w:rPr>
        <w:t xml:space="preserve"> would be placed in the treatment algorithm </w:t>
      </w:r>
      <w:r w:rsidRPr="00B221FA">
        <w:rPr>
          <w:b/>
          <w:bCs/>
          <w:i/>
          <w:iCs/>
        </w:rPr>
        <w:t xml:space="preserve">for </w:t>
      </w:r>
      <w:r w:rsidR="00B221FA" w:rsidRPr="000B3827">
        <w:rPr>
          <w:b/>
          <w:i/>
        </w:rPr>
        <w:t>diffuse large B</w:t>
      </w:r>
      <w:r w:rsidR="00B221FA" w:rsidRPr="000B3827">
        <w:rPr>
          <w:b/>
          <w:i/>
        </w:rPr>
        <w:noBreakHyphen/>
        <w:t>cell lymphoma</w:t>
      </w:r>
      <w:r w:rsidR="00B221FA">
        <w:t xml:space="preserve"> </w:t>
      </w:r>
      <w:r w:rsidRPr="00767359">
        <w:rPr>
          <w:b/>
          <w:bCs/>
          <w:i/>
          <w:iCs/>
        </w:rPr>
        <w:t>if approval was granted?</w:t>
      </w:r>
    </w:p>
    <w:p w14:paraId="36C1229C" w14:textId="027E18F3" w:rsidR="000B782E" w:rsidRDefault="000B782E" w:rsidP="000B782E">
      <w:r>
        <w:t xml:space="preserve">The </w:t>
      </w:r>
      <w:r w:rsidR="00864DDF">
        <w:t>s</w:t>
      </w:r>
      <w:r>
        <w:t xml:space="preserve">ponsor would like to confirm that </w:t>
      </w:r>
      <w:proofErr w:type="spellStart"/>
      <w:r w:rsidR="00864DDF">
        <w:t>s</w:t>
      </w:r>
      <w:r>
        <w:t>elinexor</w:t>
      </w:r>
      <w:proofErr w:type="spellEnd"/>
      <w:r>
        <w:t xml:space="preserve"> would be placed within the treatment algorithm for </w:t>
      </w:r>
      <w:r w:rsidR="00B221FA">
        <w:t>relapsed/refractory diffuse large B</w:t>
      </w:r>
      <w:r w:rsidR="00B221FA">
        <w:noBreakHyphen/>
        <w:t>cell lymphoma</w:t>
      </w:r>
      <w:r w:rsidR="00B221FA" w:rsidDel="00B221FA">
        <w:t xml:space="preserve"> </w:t>
      </w:r>
      <w:r>
        <w:t xml:space="preserve">from </w:t>
      </w:r>
      <w:r w:rsidR="00864DDF">
        <w:t>third</w:t>
      </w:r>
      <w:r>
        <w:t xml:space="preserve"> line, as per the SADAL trial criteria which included patients with between 2</w:t>
      </w:r>
      <w:r w:rsidR="00864DDF">
        <w:t xml:space="preserve"> to </w:t>
      </w:r>
      <w:r>
        <w:t>5 prior lines of systemic therapy who had progressed after or were not candidates for autologous stem cell transplantation.</w:t>
      </w:r>
    </w:p>
    <w:p w14:paraId="3C76DA08" w14:textId="2C129DA7" w:rsidR="000B782E" w:rsidRPr="000B782E" w:rsidRDefault="000B782E" w:rsidP="000B782E">
      <w:r>
        <w:t xml:space="preserve">In support of </w:t>
      </w:r>
      <w:proofErr w:type="spellStart"/>
      <w:r w:rsidR="00864DDF">
        <w:t>s</w:t>
      </w:r>
      <w:r>
        <w:t>elinexor</w:t>
      </w:r>
      <w:proofErr w:type="spellEnd"/>
      <w:r>
        <w:t xml:space="preserve"> as having an important role in the algorithm of treatment for the </w:t>
      </w:r>
      <w:r w:rsidR="00B221FA">
        <w:t>diffuse large B</w:t>
      </w:r>
      <w:r w:rsidR="00B221FA">
        <w:noBreakHyphen/>
        <w:t xml:space="preserve">cell lymphoma </w:t>
      </w:r>
      <w:r>
        <w:t xml:space="preserve">population, the </w:t>
      </w:r>
      <w:r w:rsidR="00864DDF">
        <w:t>s</w:t>
      </w:r>
      <w:r>
        <w:t>ponsor submits in this response a full transcript of a meeting held with</w:t>
      </w:r>
      <w:r w:rsidR="00B221FA">
        <w:t xml:space="preserve"> </w:t>
      </w:r>
      <w:r w:rsidR="00357C34">
        <w:t>an expert in the field</w:t>
      </w:r>
      <w:r w:rsidR="00B221FA">
        <w:t xml:space="preserve"> [information redacted]</w:t>
      </w:r>
      <w:r>
        <w:t xml:space="preserve">. </w:t>
      </w:r>
      <w:r w:rsidR="00357C34">
        <w:t>The expert</w:t>
      </w:r>
      <w:r>
        <w:t xml:space="preserve"> is a senior staff specialist at St. Vincent’s Hospital in Sydney and was one of the principal investigators for the SADAL trial looking at Selinexor in relapsed/refractory diffuse large B cell lymphoma [Information redacted].</w:t>
      </w:r>
    </w:p>
    <w:p w14:paraId="3F5C19D3" w14:textId="15EDEEF0" w:rsidR="006718C9" w:rsidRPr="000B3827" w:rsidRDefault="006718C9" w:rsidP="000B3827">
      <w:pPr>
        <w:pStyle w:val="Numberbullet0"/>
        <w:rPr>
          <w:b/>
          <w:i/>
        </w:rPr>
      </w:pPr>
      <w:r w:rsidRPr="000B3827">
        <w:rPr>
          <w:b/>
          <w:i/>
        </w:rPr>
        <w:t xml:space="preserve">An essential component of the establishment of quality for a therapeutic good is </w:t>
      </w:r>
      <w:r w:rsidR="00B221FA">
        <w:rPr>
          <w:b/>
          <w:i/>
        </w:rPr>
        <w:t xml:space="preserve">Good </w:t>
      </w:r>
      <w:proofErr w:type="spellStart"/>
      <w:r w:rsidR="00B221FA">
        <w:rPr>
          <w:b/>
          <w:i/>
        </w:rPr>
        <w:t>Manfacturing</w:t>
      </w:r>
      <w:proofErr w:type="spellEnd"/>
      <w:r w:rsidR="00B221FA">
        <w:rPr>
          <w:b/>
          <w:i/>
        </w:rPr>
        <w:t xml:space="preserve"> Practice (</w:t>
      </w:r>
      <w:r w:rsidRPr="000B3827">
        <w:rPr>
          <w:b/>
          <w:i/>
        </w:rPr>
        <w:t>GMP</w:t>
      </w:r>
      <w:r w:rsidR="00B221FA">
        <w:rPr>
          <w:b/>
          <w:i/>
        </w:rPr>
        <w:t>)</w:t>
      </w:r>
      <w:r w:rsidRPr="000B3827">
        <w:rPr>
          <w:b/>
          <w:i/>
        </w:rPr>
        <w:t xml:space="preserve"> certification for all manufacturing sites. One manufacturing site does not yet have GMP certification and a second is due to expire in December 2021. The sponsor should ensure this matter is addressed. GMP certification must be held for all manufacturing sites prior to approval.</w:t>
      </w:r>
    </w:p>
    <w:p w14:paraId="7E5316B8" w14:textId="2296EB30" w:rsidR="000B782E" w:rsidRDefault="000B782E" w:rsidP="000B782E">
      <w:r>
        <w:t>[Information redacted]</w:t>
      </w:r>
    </w:p>
    <w:p w14:paraId="1B0AA1D1" w14:textId="22E5F430" w:rsidR="000B782E" w:rsidRDefault="000B782E" w:rsidP="000B782E">
      <w:r>
        <w:t>Assurance is provided that the GMP certification will be maintained for all manufacturing sites prior to approval.</w:t>
      </w:r>
    </w:p>
    <w:p w14:paraId="76C5880B" w14:textId="77777777" w:rsidR="0074163C" w:rsidRPr="00F73346" w:rsidRDefault="0074163C" w:rsidP="0074163C">
      <w:pPr>
        <w:pStyle w:val="Heading4"/>
      </w:pPr>
      <w:bookmarkStart w:id="70" w:name="_Toc98931936"/>
      <w:bookmarkStart w:id="71" w:name="_Toc247691532"/>
      <w:bookmarkStart w:id="72" w:name="_Toc314842516"/>
      <w:bookmarkEnd w:id="28"/>
      <w:bookmarkEnd w:id="59"/>
      <w:bookmarkEnd w:id="60"/>
      <w:r w:rsidRPr="00F73346">
        <w:t>Advisory Committee considerations</w:t>
      </w:r>
      <w:bookmarkEnd w:id="70"/>
    </w:p>
    <w:p w14:paraId="1300F52D" w14:textId="77ACD089" w:rsidR="0074163C" w:rsidRDefault="0074163C" w:rsidP="0074163C">
      <w:pPr>
        <w:rPr>
          <w:bCs/>
        </w:rPr>
      </w:pPr>
      <w:r w:rsidRPr="00456765">
        <w:rPr>
          <w:bCs/>
        </w:rPr>
        <w:t xml:space="preserve">The </w:t>
      </w:r>
      <w:hyperlink r:id="rId37" w:history="1">
        <w:r w:rsidRPr="00C65E63">
          <w:rPr>
            <w:rStyle w:val="Hyperlink"/>
            <w:szCs w:val="21"/>
          </w:rPr>
          <w:t>Advisory Committee on Medicines (ACM)</w:t>
        </w:r>
      </w:hyperlink>
      <w:r w:rsidRPr="00F73346">
        <w:rPr>
          <w:color w:val="007099"/>
          <w:szCs w:val="21"/>
        </w:rPr>
        <w:t xml:space="preserve"> </w:t>
      </w:r>
      <w:r w:rsidRPr="00456765">
        <w:rPr>
          <w:bCs/>
        </w:rPr>
        <w:t>having considered the evaluations and the Delegate’s overview, as well as the sponsor’s response to these documents, advised the following</w:t>
      </w:r>
      <w:r>
        <w:rPr>
          <w:bCs/>
        </w:rPr>
        <w:t>.</w:t>
      </w:r>
    </w:p>
    <w:p w14:paraId="26CA7779" w14:textId="77777777" w:rsidR="0074163C" w:rsidRPr="00F73346" w:rsidRDefault="0074163C" w:rsidP="0074163C">
      <w:pPr>
        <w:pStyle w:val="Heading5"/>
      </w:pPr>
      <w:r w:rsidRPr="00F73346">
        <w:t>Specific advice to the Delegate</w:t>
      </w:r>
    </w:p>
    <w:p w14:paraId="625826D6" w14:textId="6AD6DA2C" w:rsidR="00542E9F" w:rsidRPr="00542E9F" w:rsidRDefault="00542E9F" w:rsidP="00542E9F">
      <w:pPr>
        <w:autoSpaceDE w:val="0"/>
        <w:autoSpaceDN w:val="0"/>
        <w:adjustRightInd w:val="0"/>
        <w:spacing w:before="0" w:after="0" w:line="240" w:lineRule="auto"/>
        <w:rPr>
          <w:rFonts w:eastAsiaTheme="minorHAnsi" w:cs="Cambria"/>
          <w:color w:val="000000"/>
        </w:rPr>
      </w:pPr>
      <w:r w:rsidRPr="00542E9F">
        <w:rPr>
          <w:rFonts w:eastAsiaTheme="minorHAnsi" w:cs="Cambria"/>
          <w:color w:val="000000"/>
        </w:rPr>
        <w:t>The ACM advised the following in response to the Delegate’s specific request for advice:</w:t>
      </w:r>
    </w:p>
    <w:p w14:paraId="76F5DB72" w14:textId="3FC2014C" w:rsidR="00542E9F" w:rsidRPr="00542E9F" w:rsidRDefault="00542E9F" w:rsidP="000B3827">
      <w:pPr>
        <w:pStyle w:val="Heading6"/>
      </w:pPr>
      <w:r w:rsidRPr="00542E9F">
        <w:t xml:space="preserve">Second line relapsed or refractory </w:t>
      </w:r>
      <w:r w:rsidR="00864DDF">
        <w:t>m</w:t>
      </w:r>
      <w:r w:rsidRPr="00542E9F">
        <w:t xml:space="preserve">ultiple </w:t>
      </w:r>
      <w:r w:rsidR="00864DDF">
        <w:t>m</w:t>
      </w:r>
      <w:r w:rsidRPr="00542E9F">
        <w:t>yeloma</w:t>
      </w:r>
    </w:p>
    <w:p w14:paraId="390AE89D" w14:textId="0AB0EDD7" w:rsidR="00542E9F" w:rsidRPr="00542E9F" w:rsidRDefault="00542E9F" w:rsidP="001C72EF">
      <w:pPr>
        <w:pStyle w:val="Numberbullet0"/>
        <w:numPr>
          <w:ilvl w:val="0"/>
          <w:numId w:val="6"/>
        </w:numPr>
        <w:rPr>
          <w:b/>
          <w:bCs/>
          <w:i/>
          <w:iCs/>
        </w:rPr>
      </w:pPr>
      <w:r w:rsidRPr="00542E9F">
        <w:rPr>
          <w:b/>
          <w:bCs/>
          <w:i/>
          <w:iCs/>
        </w:rPr>
        <w:t>Please comment on the external validity of the study in the Australian clinical context, with reference to the comparator chosen and the patient population included?</w:t>
      </w:r>
    </w:p>
    <w:p w14:paraId="728AA8F2" w14:textId="71B8C3CD" w:rsidR="00542E9F" w:rsidRPr="00542E9F" w:rsidRDefault="00542E9F" w:rsidP="00542E9F">
      <w:r w:rsidRPr="00542E9F">
        <w:lastRenderedPageBreak/>
        <w:t xml:space="preserve">The ACM were satisfied with the external validity of the study. The ACM agreed that the BOSTON </w:t>
      </w:r>
      <w:r w:rsidR="00864DDF">
        <w:t>trial</w:t>
      </w:r>
      <w:r w:rsidR="00B221FA">
        <w:t xml:space="preserve"> (Study KCP-330-023)</w:t>
      </w:r>
      <w:r w:rsidRPr="00542E9F">
        <w:t>, including comparator and patient population, was generalisable to the Australian clinical context.</w:t>
      </w:r>
    </w:p>
    <w:p w14:paraId="70C6EEB6" w14:textId="26E1FD67" w:rsidR="00542E9F" w:rsidRPr="00542E9F" w:rsidRDefault="00542E9F" w:rsidP="00542E9F">
      <w:pPr>
        <w:pStyle w:val="Numberbullet0"/>
        <w:rPr>
          <w:b/>
          <w:bCs/>
          <w:i/>
          <w:iCs/>
        </w:rPr>
      </w:pPr>
      <w:r w:rsidRPr="00542E9F">
        <w:rPr>
          <w:b/>
          <w:bCs/>
          <w:i/>
          <w:iCs/>
        </w:rPr>
        <w:t xml:space="preserve">The combination of bortezomib, dexamethasone and </w:t>
      </w:r>
      <w:proofErr w:type="spellStart"/>
      <w:r w:rsidRPr="00542E9F">
        <w:rPr>
          <w:b/>
          <w:bCs/>
          <w:i/>
          <w:iCs/>
        </w:rPr>
        <w:t>selinexor</w:t>
      </w:r>
      <w:proofErr w:type="spellEnd"/>
      <w:r w:rsidRPr="00542E9F">
        <w:rPr>
          <w:b/>
          <w:bCs/>
          <w:i/>
          <w:iCs/>
        </w:rPr>
        <w:t xml:space="preserve"> was not tested in the late line setting. Is an indication for second line and above adequately supported by the data?</w:t>
      </w:r>
    </w:p>
    <w:p w14:paraId="1AC0B80D" w14:textId="3BC91E44" w:rsidR="00542E9F" w:rsidRPr="00542E9F" w:rsidRDefault="00542E9F" w:rsidP="00542E9F">
      <w:r w:rsidRPr="00542E9F">
        <w:t xml:space="preserve">The ACM acknowledged that the BOSTON </w:t>
      </w:r>
      <w:r w:rsidR="00864DDF">
        <w:t>trial</w:t>
      </w:r>
      <w:r w:rsidRPr="00542E9F">
        <w:t xml:space="preserve"> included patients who had received 1 to 3</w:t>
      </w:r>
      <w:r w:rsidR="00B221FA">
        <w:t> </w:t>
      </w:r>
      <w:r w:rsidRPr="00542E9F">
        <w:t>prior lines of therapies and based on this would be supportive of an indication in the proposed population for those who had received 1 to 3 prior lines of treatment.</w:t>
      </w:r>
    </w:p>
    <w:p w14:paraId="6E618EFB" w14:textId="5B977247" w:rsidR="00542E9F" w:rsidRPr="00542E9F" w:rsidRDefault="00542E9F" w:rsidP="00542E9F">
      <w:r w:rsidRPr="00542E9F">
        <w:t>The ACM discussed the significant toxicity profile of the ‘triplet’ regimen and agreed that a cautionary approach should be taken by clinicians.</w:t>
      </w:r>
    </w:p>
    <w:p w14:paraId="2FB71F3B" w14:textId="56643556" w:rsidR="00542E9F" w:rsidRPr="00542E9F" w:rsidRDefault="00542E9F" w:rsidP="000B3827">
      <w:pPr>
        <w:pStyle w:val="Heading6"/>
      </w:pPr>
      <w:r w:rsidRPr="00542E9F">
        <w:t xml:space="preserve">Triple </w:t>
      </w:r>
      <w:r w:rsidR="00864DDF">
        <w:t>c</w:t>
      </w:r>
      <w:r w:rsidRPr="00542E9F">
        <w:t xml:space="preserve">lass </w:t>
      </w:r>
      <w:r w:rsidR="00864DDF">
        <w:t>r</w:t>
      </w:r>
      <w:r w:rsidRPr="00542E9F">
        <w:t xml:space="preserve">efractory </w:t>
      </w:r>
      <w:r w:rsidR="00864DDF">
        <w:t>r</w:t>
      </w:r>
      <w:r w:rsidRPr="00542E9F">
        <w:t xml:space="preserve">elapsed </w:t>
      </w:r>
      <w:r w:rsidR="00864DDF">
        <w:t>r</w:t>
      </w:r>
      <w:r w:rsidRPr="00542E9F">
        <w:t xml:space="preserve">efractory </w:t>
      </w:r>
      <w:r w:rsidR="00864DDF">
        <w:t>m</w:t>
      </w:r>
      <w:r w:rsidRPr="00542E9F">
        <w:t xml:space="preserve">ultiple </w:t>
      </w:r>
      <w:r w:rsidR="00864DDF">
        <w:t>m</w:t>
      </w:r>
      <w:r w:rsidRPr="00542E9F">
        <w:t>yeloma</w:t>
      </w:r>
    </w:p>
    <w:p w14:paraId="738177C1" w14:textId="579A7945" w:rsidR="00542E9F" w:rsidRPr="000B3827" w:rsidRDefault="00542E9F" w:rsidP="000B3827">
      <w:pPr>
        <w:pStyle w:val="Numberbullet0"/>
        <w:numPr>
          <w:ilvl w:val="0"/>
          <w:numId w:val="7"/>
        </w:numPr>
        <w:rPr>
          <w:b/>
          <w:bCs/>
          <w:i/>
          <w:iCs/>
        </w:rPr>
      </w:pPr>
      <w:r w:rsidRPr="000B3827">
        <w:rPr>
          <w:b/>
          <w:bCs/>
          <w:i/>
          <w:iCs/>
        </w:rPr>
        <w:t xml:space="preserve">Please comment on whether the evidence is sufficient to support full registration in the late line relapse/refractory multiple myeloma setting where </w:t>
      </w:r>
      <w:proofErr w:type="spellStart"/>
      <w:r w:rsidRPr="000B3827">
        <w:rPr>
          <w:b/>
          <w:bCs/>
          <w:i/>
          <w:iCs/>
        </w:rPr>
        <w:t>selinexor</w:t>
      </w:r>
      <w:proofErr w:type="spellEnd"/>
      <w:r w:rsidRPr="000B3827">
        <w:rPr>
          <w:b/>
          <w:bCs/>
          <w:i/>
          <w:iCs/>
        </w:rPr>
        <w:t xml:space="preserve"> is used in combination with dexamethasone?</w:t>
      </w:r>
    </w:p>
    <w:p w14:paraId="48DC21C5" w14:textId="21E60B2B" w:rsidR="00542E9F" w:rsidRPr="00542E9F" w:rsidRDefault="00542E9F" w:rsidP="00542E9F">
      <w:r w:rsidRPr="00542E9F">
        <w:t xml:space="preserve">The ACM acknowledged that late line relapse/refectory multiple myeloma is difficult to </w:t>
      </w:r>
      <w:r w:rsidR="00864DDF" w:rsidRPr="00542E9F">
        <w:t>treat,</w:t>
      </w:r>
      <w:r w:rsidRPr="00542E9F">
        <w:t xml:space="preserve"> and patients often have an overall survival of 1.3 to 3.5 months. Selinexor and dexamethasone, being an oral therapy with a median overall survival of 8.4 months, provides another reasonable option for this patient group.</w:t>
      </w:r>
    </w:p>
    <w:p w14:paraId="400869BE" w14:textId="7E3D483E" w:rsidR="00542E9F" w:rsidRPr="00542E9F" w:rsidRDefault="00542E9F" w:rsidP="00542E9F">
      <w:r w:rsidRPr="00542E9F">
        <w:t xml:space="preserve">On balance, the ACM was of the view that there is sufficient evidence to support full registration in the late line relapse/refractory multiple myeloma setting where </w:t>
      </w:r>
      <w:proofErr w:type="spellStart"/>
      <w:r w:rsidRPr="00542E9F">
        <w:t>selinexor</w:t>
      </w:r>
      <w:proofErr w:type="spellEnd"/>
      <w:r w:rsidRPr="00542E9F">
        <w:t xml:space="preserve"> is used in combination with dexamethasone. However, the ACM remained concerned about treatment-related adverse events, particularly severe </w:t>
      </w:r>
      <w:proofErr w:type="gramStart"/>
      <w:r w:rsidRPr="00542E9F">
        <w:t>nausea</w:t>
      </w:r>
      <w:proofErr w:type="gramEnd"/>
      <w:r w:rsidRPr="00542E9F">
        <w:t xml:space="preserve"> and fatigue, and indicated that a cautious approach should be utilised.</w:t>
      </w:r>
    </w:p>
    <w:p w14:paraId="6B91B07C" w14:textId="77777777" w:rsidR="00542E9F" w:rsidRDefault="00542E9F" w:rsidP="00542E9F">
      <w:pPr>
        <w:pStyle w:val="Numberbullet0"/>
        <w:rPr>
          <w:b/>
          <w:bCs/>
          <w:i/>
          <w:iCs/>
        </w:rPr>
      </w:pPr>
      <w:r w:rsidRPr="00542E9F">
        <w:rPr>
          <w:b/>
          <w:bCs/>
          <w:i/>
          <w:iCs/>
        </w:rPr>
        <w:t xml:space="preserve">Does the evidence support full registration for </w:t>
      </w:r>
      <w:proofErr w:type="spellStart"/>
      <w:r w:rsidRPr="00542E9F">
        <w:rPr>
          <w:b/>
          <w:bCs/>
          <w:i/>
          <w:iCs/>
        </w:rPr>
        <w:t>selinexor</w:t>
      </w:r>
      <w:proofErr w:type="spellEnd"/>
      <w:r w:rsidRPr="00542E9F">
        <w:rPr>
          <w:b/>
          <w:bCs/>
          <w:i/>
          <w:iCs/>
        </w:rPr>
        <w:t xml:space="preserve"> in combination with dexamethasone in relapsed or refractory multiple myeloma after four lines of therapy and after at least two proteasome inhibitors and two immunomodulators and an anti-CD38 monoclonal antibody, or is an earlier line of therapy acceptable, as proposed by the </w:t>
      </w:r>
      <w:proofErr w:type="gramStart"/>
      <w:r w:rsidRPr="00542E9F">
        <w:rPr>
          <w:b/>
          <w:bCs/>
          <w:i/>
          <w:iCs/>
        </w:rPr>
        <w:t>sponsor:</w:t>
      </w:r>
      <w:proofErr w:type="gramEnd"/>
    </w:p>
    <w:p w14:paraId="73500DB9" w14:textId="5BD90B2E" w:rsidR="00542E9F" w:rsidRPr="00542E9F" w:rsidRDefault="00542E9F" w:rsidP="00542E9F">
      <w:pPr>
        <w:pStyle w:val="Numberbullet0"/>
        <w:numPr>
          <w:ilvl w:val="0"/>
          <w:numId w:val="0"/>
        </w:numPr>
        <w:ind w:left="425"/>
        <w:rPr>
          <w:b/>
          <w:bCs/>
          <w:i/>
          <w:iCs/>
        </w:rPr>
      </w:pPr>
      <w:r w:rsidRPr="00542E9F">
        <w:rPr>
          <w:rFonts w:eastAsiaTheme="minorHAnsi" w:cs="Cambria"/>
          <w:b/>
          <w:bCs/>
          <w:i/>
          <w:iCs/>
          <w:color w:val="000000"/>
        </w:rPr>
        <w:t>‘In combination with dexamethasone for the treatment of adult patients with relapsed or refractory multiple myeloma (RRMM) who have received at least three prior therapies and whose disease is refractory to at least one proteasome inhibitor, at least one immunomodulatory</w:t>
      </w:r>
      <w:r w:rsidR="00787C6C">
        <w:rPr>
          <w:rFonts w:eastAsiaTheme="minorHAnsi" w:cs="Cambria"/>
          <w:b/>
          <w:bCs/>
          <w:i/>
          <w:iCs/>
          <w:color w:val="000000"/>
        </w:rPr>
        <w:t xml:space="preserve"> drug product </w:t>
      </w:r>
      <w:r w:rsidRPr="00542E9F">
        <w:rPr>
          <w:rFonts w:eastAsiaTheme="minorHAnsi" w:cs="Cambria"/>
          <w:b/>
          <w:bCs/>
          <w:i/>
          <w:iCs/>
          <w:color w:val="000000"/>
        </w:rPr>
        <w:t>(</w:t>
      </w:r>
      <w:proofErr w:type="spellStart"/>
      <w:r w:rsidRPr="00542E9F">
        <w:rPr>
          <w:rFonts w:eastAsiaTheme="minorHAnsi" w:cs="Cambria"/>
          <w:b/>
          <w:bCs/>
          <w:i/>
          <w:iCs/>
          <w:color w:val="000000"/>
        </w:rPr>
        <w:t>IMiD</w:t>
      </w:r>
      <w:proofErr w:type="spellEnd"/>
      <w:r w:rsidRPr="00542E9F">
        <w:rPr>
          <w:rFonts w:eastAsiaTheme="minorHAnsi" w:cs="Cambria"/>
          <w:b/>
          <w:bCs/>
          <w:i/>
          <w:iCs/>
          <w:color w:val="000000"/>
        </w:rPr>
        <w:t>), and an anti-CD38 monoclonal antibody (</w:t>
      </w:r>
      <w:proofErr w:type="spellStart"/>
      <w:r w:rsidRPr="00542E9F">
        <w:rPr>
          <w:rFonts w:eastAsiaTheme="minorHAnsi" w:cs="Cambria"/>
          <w:b/>
          <w:bCs/>
          <w:i/>
          <w:iCs/>
          <w:color w:val="000000"/>
        </w:rPr>
        <w:t>mAb</w:t>
      </w:r>
      <w:proofErr w:type="spellEnd"/>
      <w:r w:rsidRPr="00542E9F">
        <w:rPr>
          <w:rFonts w:eastAsiaTheme="minorHAnsi" w:cs="Cambria"/>
          <w:b/>
          <w:bCs/>
          <w:i/>
          <w:iCs/>
          <w:color w:val="000000"/>
        </w:rPr>
        <w:t>)’?</w:t>
      </w:r>
    </w:p>
    <w:p w14:paraId="612B576F" w14:textId="4369CE85" w:rsidR="00542E9F" w:rsidRPr="001C72EF" w:rsidRDefault="00542E9F" w:rsidP="001C72EF">
      <w:r w:rsidRPr="001C72EF">
        <w:t>The ACM acknowledged this is a difficult-to-treat group of patients with poor outcomes. Having an oral treatment option available would offer another option for patients and clinicians in this clinical space.</w:t>
      </w:r>
    </w:p>
    <w:p w14:paraId="30E9208C" w14:textId="4D2490F8" w:rsidR="00542E9F" w:rsidRPr="001C72EF" w:rsidRDefault="00542E9F" w:rsidP="001C72EF">
      <w:r w:rsidRPr="001C72EF">
        <w:t>On balance, the ACM was supportive of the indication:</w:t>
      </w:r>
    </w:p>
    <w:p w14:paraId="7A9268C8" w14:textId="0EDA4CF8" w:rsidR="00542E9F" w:rsidRPr="001C72EF" w:rsidRDefault="00542E9F" w:rsidP="001C72EF">
      <w:pPr>
        <w:ind w:left="720"/>
        <w:rPr>
          <w:i/>
          <w:iCs/>
        </w:rPr>
      </w:pPr>
      <w:r w:rsidRPr="001C72EF">
        <w:rPr>
          <w:i/>
          <w:iCs/>
        </w:rPr>
        <w:t>In combination with dexamethasone for the treatment of adult patients with relapsed or refractory multiple myeloma (RRMM) who have received at least three prior therapies and whose disease is refractory to at least one proteasome inhibitor, at least one immunomodulatory medicinal product (</w:t>
      </w:r>
      <w:proofErr w:type="spellStart"/>
      <w:r w:rsidRPr="001C72EF">
        <w:rPr>
          <w:i/>
          <w:iCs/>
        </w:rPr>
        <w:t>IMiD</w:t>
      </w:r>
      <w:proofErr w:type="spellEnd"/>
      <w:r w:rsidRPr="001C72EF">
        <w:rPr>
          <w:i/>
          <w:iCs/>
        </w:rPr>
        <w:t>), and an anti-CD38 monoclonal antibody (</w:t>
      </w:r>
      <w:proofErr w:type="spellStart"/>
      <w:r w:rsidRPr="001C72EF">
        <w:rPr>
          <w:i/>
          <w:iCs/>
        </w:rPr>
        <w:t>mAb</w:t>
      </w:r>
      <w:proofErr w:type="spellEnd"/>
      <w:r w:rsidRPr="001C72EF">
        <w:rPr>
          <w:i/>
          <w:iCs/>
        </w:rPr>
        <w:t>).</w:t>
      </w:r>
    </w:p>
    <w:p w14:paraId="5DCABD43" w14:textId="65D94776" w:rsidR="00542E9F" w:rsidRPr="001C72EF" w:rsidRDefault="00542E9F" w:rsidP="001C72EF">
      <w:r w:rsidRPr="001C72EF">
        <w:t>However, the ACM remained concerned about treatment-related adverse events, particularly nausea and fatigue, and indicated that a cautious approach should be utilised.</w:t>
      </w:r>
    </w:p>
    <w:p w14:paraId="45CB8FE0" w14:textId="562E776B" w:rsidR="00542E9F" w:rsidRPr="001C72EF" w:rsidRDefault="00542E9F" w:rsidP="000B3827">
      <w:pPr>
        <w:pStyle w:val="Heading6"/>
      </w:pPr>
      <w:r w:rsidRPr="001C72EF">
        <w:t xml:space="preserve">Diffuse </w:t>
      </w:r>
      <w:r w:rsidR="00864DDF">
        <w:t>l</w:t>
      </w:r>
      <w:r w:rsidRPr="001C72EF">
        <w:t xml:space="preserve">arge B </w:t>
      </w:r>
      <w:r w:rsidR="00864DDF">
        <w:t>c</w:t>
      </w:r>
      <w:r w:rsidRPr="001C72EF">
        <w:t xml:space="preserve">ell </w:t>
      </w:r>
      <w:r w:rsidR="00864DDF">
        <w:t>l</w:t>
      </w:r>
      <w:r w:rsidRPr="001C72EF">
        <w:t>ymphoma</w:t>
      </w:r>
    </w:p>
    <w:p w14:paraId="271A400F" w14:textId="071A7E43" w:rsidR="00542E9F" w:rsidRPr="000B3827" w:rsidRDefault="00542E9F" w:rsidP="000B3827">
      <w:pPr>
        <w:pStyle w:val="Numberbullet0"/>
        <w:numPr>
          <w:ilvl w:val="0"/>
          <w:numId w:val="8"/>
        </w:numPr>
        <w:rPr>
          <w:b/>
          <w:bCs/>
          <w:i/>
          <w:iCs/>
        </w:rPr>
      </w:pPr>
      <w:r w:rsidRPr="000B3827">
        <w:rPr>
          <w:b/>
          <w:bCs/>
          <w:i/>
          <w:iCs/>
        </w:rPr>
        <w:t>Please comment on the measurements of disease used in the study.</w:t>
      </w:r>
    </w:p>
    <w:p w14:paraId="05F482CC" w14:textId="77777777" w:rsidR="00787C6C" w:rsidRDefault="00542E9F" w:rsidP="001C72EF">
      <w:r w:rsidRPr="001C72EF">
        <w:lastRenderedPageBreak/>
        <w:t xml:space="preserve">The ACM noted the measures of disease used in the SADAL </w:t>
      </w:r>
      <w:r w:rsidR="00864DDF">
        <w:t>trial</w:t>
      </w:r>
      <w:r w:rsidR="00787C6C">
        <w:t xml:space="preserve"> (Study KCP-330-009)</w:t>
      </w:r>
      <w:r w:rsidRPr="001C72EF">
        <w:t>, namely:</w:t>
      </w:r>
    </w:p>
    <w:p w14:paraId="65E4CB82" w14:textId="308ECE09" w:rsidR="00787C6C" w:rsidRDefault="00542E9F" w:rsidP="000B3827">
      <w:pPr>
        <w:ind w:left="720"/>
      </w:pPr>
      <w:r w:rsidRPr="001C72EF">
        <w:t>‘</w:t>
      </w:r>
      <w:r w:rsidRPr="001C72EF">
        <w:rPr>
          <w:i/>
          <w:iCs/>
        </w:rPr>
        <w:t>Patients had radiological confirmation of disease progression at study entry and bone marrow biopsies within 1 month prior to first dose. Then patients had PET/CT or PET/MRI at Cycle 3 Day 1, then every 8 weeks until disease progression</w:t>
      </w:r>
      <w:r w:rsidRPr="001C72EF">
        <w:t>.’</w:t>
      </w:r>
    </w:p>
    <w:p w14:paraId="351834CD" w14:textId="7182FF71" w:rsidR="00542E9F" w:rsidRPr="001C72EF" w:rsidRDefault="00542E9F" w:rsidP="001C72EF">
      <w:r w:rsidRPr="001C72EF">
        <w:t>The ACM agreed that these are reasonable measure of disease.</w:t>
      </w:r>
    </w:p>
    <w:p w14:paraId="4820D939" w14:textId="04479A5A" w:rsidR="00542E9F" w:rsidRPr="001C72EF" w:rsidRDefault="00542E9F" w:rsidP="001C72EF">
      <w:pPr>
        <w:pStyle w:val="Numberbullet0"/>
        <w:rPr>
          <w:b/>
          <w:bCs/>
          <w:i/>
          <w:iCs/>
        </w:rPr>
      </w:pPr>
      <w:r w:rsidRPr="001C72EF">
        <w:rPr>
          <w:b/>
          <w:bCs/>
          <w:i/>
          <w:iCs/>
        </w:rPr>
        <w:t>This Delegate’s overview includes a question to the sponsor about the concomitant use of dexamethasone and whether it may have a contribution to the patient outcomes. Does the ACM have a view? Is there a dexamethasone dose at which it be considered a contributor to therapy in this setting?</w:t>
      </w:r>
    </w:p>
    <w:p w14:paraId="2F3A3773" w14:textId="3F43AC31" w:rsidR="00542E9F" w:rsidRPr="001C72EF" w:rsidRDefault="00542E9F" w:rsidP="001C72EF">
      <w:r w:rsidRPr="001C72EF">
        <w:t>The ACM discussed whether dexamethasone contributed to the effect and noted that dexamethasone does have an anti-lymphoma effect. Considering the dose of dexamethasone given (12 mg twice weekly), the ACM was of the view that the concomitant use of dexamethasone would likely contribute to the patient outcomes.</w:t>
      </w:r>
    </w:p>
    <w:p w14:paraId="02C882DC" w14:textId="4A411EB4" w:rsidR="00542E9F" w:rsidRPr="001C72EF" w:rsidRDefault="00542E9F" w:rsidP="001C72EF">
      <w:pPr>
        <w:pStyle w:val="Numberbullet0"/>
        <w:rPr>
          <w:b/>
          <w:bCs/>
          <w:i/>
          <w:iCs/>
        </w:rPr>
      </w:pPr>
      <w:r w:rsidRPr="001C72EF">
        <w:rPr>
          <w:b/>
          <w:bCs/>
          <w:i/>
          <w:iCs/>
        </w:rPr>
        <w:t>Is an overall response of 28.3% clinically meaningful in the context of use?</w:t>
      </w:r>
    </w:p>
    <w:p w14:paraId="6150F5A8" w14:textId="79D90409" w:rsidR="00542E9F" w:rsidRPr="00542E9F" w:rsidRDefault="00542E9F" w:rsidP="001C72EF">
      <w:r w:rsidRPr="00542E9F">
        <w:t xml:space="preserve">The ACM noted that the SADAL </w:t>
      </w:r>
      <w:r w:rsidR="00864DDF">
        <w:t>trial</w:t>
      </w:r>
      <w:r w:rsidRPr="00542E9F">
        <w:t xml:space="preserve"> is ongoing and that this analysis was performed on a small patient group (n = 127). While there could be a place for this treatment the ACM was of the view that additional data is required to further understand the clinical meaningfulness of this treatment within </w:t>
      </w:r>
      <w:r w:rsidR="006F49E2">
        <w:t>diffuse large B</w:t>
      </w:r>
      <w:r w:rsidR="006F49E2">
        <w:noBreakHyphen/>
        <w:t xml:space="preserve">cell lymphoma </w:t>
      </w:r>
      <w:r w:rsidRPr="00542E9F">
        <w:t xml:space="preserve">(see further considerations under the response to Question </w:t>
      </w:r>
      <w:r w:rsidR="00787C6C">
        <w:t>4</w:t>
      </w:r>
      <w:r w:rsidRPr="00542E9F">
        <w:t>, below).</w:t>
      </w:r>
    </w:p>
    <w:p w14:paraId="167ED13D" w14:textId="12BC8F1F" w:rsidR="00542E9F" w:rsidRPr="001C72EF" w:rsidRDefault="00542E9F" w:rsidP="001C72EF">
      <w:pPr>
        <w:pStyle w:val="Numberbullet0"/>
        <w:rPr>
          <w:b/>
          <w:bCs/>
          <w:i/>
          <w:iCs/>
        </w:rPr>
      </w:pPr>
      <w:r w:rsidRPr="001C72EF">
        <w:rPr>
          <w:b/>
          <w:bCs/>
          <w:i/>
          <w:iCs/>
        </w:rPr>
        <w:t xml:space="preserve">Overall, is the evidence to support </w:t>
      </w:r>
      <w:proofErr w:type="spellStart"/>
      <w:r w:rsidRPr="001C72EF">
        <w:rPr>
          <w:b/>
          <w:bCs/>
          <w:i/>
          <w:iCs/>
        </w:rPr>
        <w:t>selinexor</w:t>
      </w:r>
      <w:proofErr w:type="spellEnd"/>
      <w:r w:rsidRPr="001C72EF">
        <w:rPr>
          <w:b/>
          <w:bCs/>
          <w:i/>
          <w:iCs/>
        </w:rPr>
        <w:t xml:space="preserve"> as monotherapy in DLBCL sufficient to support full registration for this indication? Would a more restricted indication be supported by the data?</w:t>
      </w:r>
    </w:p>
    <w:p w14:paraId="1A2DDAF8" w14:textId="157CBEDD" w:rsidR="00542E9F" w:rsidRPr="00542E9F" w:rsidRDefault="00542E9F" w:rsidP="001C72EF">
      <w:r w:rsidRPr="00542E9F">
        <w:t xml:space="preserve">The ACM was of the view that additional data from the ongoing SADAL </w:t>
      </w:r>
      <w:r w:rsidR="00864DDF">
        <w:t>trial</w:t>
      </w:r>
      <w:r w:rsidRPr="00542E9F">
        <w:t xml:space="preserve"> is required before full registration for this </w:t>
      </w:r>
      <w:r w:rsidR="006F49E2">
        <w:t>diffuse large B</w:t>
      </w:r>
      <w:r w:rsidR="006F49E2">
        <w:noBreakHyphen/>
        <w:t xml:space="preserve">cell lymphoma </w:t>
      </w:r>
      <w:r w:rsidRPr="00542E9F">
        <w:t>indication is supported.</w:t>
      </w:r>
    </w:p>
    <w:p w14:paraId="6C360C58" w14:textId="6DB2E5D8" w:rsidR="00542E9F" w:rsidRPr="00542E9F" w:rsidRDefault="00542E9F" w:rsidP="001C72EF">
      <w:r w:rsidRPr="00542E9F">
        <w:t xml:space="preserve">In making this recommendation the ACM noted that the current data from the ongoing SADAL </w:t>
      </w:r>
      <w:r w:rsidR="006F49E2">
        <w:t>trial</w:t>
      </w:r>
      <w:r w:rsidR="006F49E2" w:rsidRPr="00542E9F">
        <w:t xml:space="preserve"> </w:t>
      </w:r>
      <w:r w:rsidRPr="00542E9F">
        <w:t>is based on a small population (n = 127) and demonstrates only modest improvements for which clinical meaningfulness cannot yet be determined.</w:t>
      </w:r>
    </w:p>
    <w:p w14:paraId="70848B45" w14:textId="6497ADC7" w:rsidR="00542E9F" w:rsidRPr="00542E9F" w:rsidRDefault="00542E9F" w:rsidP="001C72EF">
      <w:r w:rsidRPr="00542E9F">
        <w:t>The ACM also expressed concern regarding the number of study protocol amendments and variations and the potential impact this may have on the study outcomes.</w:t>
      </w:r>
    </w:p>
    <w:p w14:paraId="27DFC749" w14:textId="43A871A0" w:rsidR="00542E9F" w:rsidRPr="00542E9F" w:rsidRDefault="00542E9F" w:rsidP="001C72EF">
      <w:r w:rsidRPr="00542E9F">
        <w:t xml:space="preserve">On balance, the ACM was not supportive of full registration based on the provided data and noted the SADAL </w:t>
      </w:r>
      <w:r w:rsidR="00864DDF">
        <w:t>trial</w:t>
      </w:r>
      <w:r w:rsidRPr="00542E9F">
        <w:t xml:space="preserve"> is ongoing.</w:t>
      </w:r>
    </w:p>
    <w:p w14:paraId="4EED00AE" w14:textId="03288D34" w:rsidR="00542E9F" w:rsidRPr="00542E9F" w:rsidRDefault="00542E9F" w:rsidP="001C72EF">
      <w:r w:rsidRPr="00542E9F">
        <w:t xml:space="preserve">The ACM noted that the provisional registration pathway may be more appropriate for the proposed indication in </w:t>
      </w:r>
      <w:r w:rsidR="006F49E2">
        <w:t>diffuse large B</w:t>
      </w:r>
      <w:r w:rsidR="006F49E2">
        <w:noBreakHyphen/>
        <w:t>cell lymphoma</w:t>
      </w:r>
      <w:r w:rsidRPr="00542E9F">
        <w:t>.</w:t>
      </w:r>
    </w:p>
    <w:p w14:paraId="760C0E81" w14:textId="3DB12408" w:rsidR="00542E9F" w:rsidRPr="001C72EF" w:rsidRDefault="00542E9F" w:rsidP="000B3827">
      <w:pPr>
        <w:pStyle w:val="Heading6"/>
      </w:pPr>
      <w:r w:rsidRPr="001C72EF">
        <w:t>General questions</w:t>
      </w:r>
    </w:p>
    <w:p w14:paraId="4B1692E4" w14:textId="79B9BECA" w:rsidR="00542E9F" w:rsidRPr="000B3827" w:rsidRDefault="00542E9F" w:rsidP="000B3827">
      <w:pPr>
        <w:pStyle w:val="Numberbullet0"/>
        <w:numPr>
          <w:ilvl w:val="0"/>
          <w:numId w:val="9"/>
        </w:numPr>
        <w:rPr>
          <w:b/>
          <w:bCs/>
          <w:i/>
          <w:iCs/>
        </w:rPr>
      </w:pPr>
      <w:r w:rsidRPr="000B3827">
        <w:rPr>
          <w:b/>
          <w:bCs/>
          <w:i/>
          <w:iCs/>
        </w:rPr>
        <w:t xml:space="preserve">Does the ACM agree with the sponsor that the risks of </w:t>
      </w:r>
      <w:proofErr w:type="spellStart"/>
      <w:r w:rsidRPr="000B3827">
        <w:rPr>
          <w:b/>
          <w:bCs/>
          <w:i/>
          <w:iCs/>
        </w:rPr>
        <w:t>selinexor</w:t>
      </w:r>
      <w:proofErr w:type="spellEnd"/>
      <w:r w:rsidRPr="000B3827">
        <w:rPr>
          <w:b/>
          <w:bCs/>
          <w:i/>
          <w:iCs/>
        </w:rPr>
        <w:t xml:space="preserve"> are largely manageable and reversible?</w:t>
      </w:r>
    </w:p>
    <w:p w14:paraId="3C0E03CE" w14:textId="57035DD7" w:rsidR="00542E9F" w:rsidRPr="001C72EF" w:rsidRDefault="00542E9F" w:rsidP="001C72EF">
      <w:r w:rsidRPr="001C72EF">
        <w:t>The ACM highlighted that careful management by a tertiary centre would be required to ensure the early identification and management of risks.</w:t>
      </w:r>
    </w:p>
    <w:p w14:paraId="00B4BA8D" w14:textId="3733D4F3" w:rsidR="00542E9F" w:rsidRPr="001C72EF" w:rsidRDefault="00542E9F" w:rsidP="001C72EF">
      <w:r w:rsidRPr="001C72EF">
        <w:t>The ACM was of the view that the risk and toxicity profile would need to be discussed with patients and consent to proceed obtained.</w:t>
      </w:r>
    </w:p>
    <w:p w14:paraId="306555FE" w14:textId="5A7D51EE" w:rsidR="00542E9F" w:rsidRPr="001C72EF" w:rsidRDefault="00542E9F" w:rsidP="001C72EF">
      <w:r w:rsidRPr="001C72EF">
        <w:t xml:space="preserve">Within these parameters the ACM was satisfied that the risks of </w:t>
      </w:r>
      <w:proofErr w:type="spellStart"/>
      <w:r w:rsidRPr="001C72EF">
        <w:t>selinexor</w:t>
      </w:r>
      <w:proofErr w:type="spellEnd"/>
      <w:r w:rsidRPr="001C72EF">
        <w:t xml:space="preserve"> could largely be managed.</w:t>
      </w:r>
    </w:p>
    <w:p w14:paraId="417B244D" w14:textId="29ABF640" w:rsidR="00542E9F" w:rsidRPr="001C72EF" w:rsidRDefault="00542E9F" w:rsidP="001C72EF">
      <w:pPr>
        <w:pStyle w:val="Numberbullet0"/>
        <w:rPr>
          <w:b/>
          <w:bCs/>
          <w:i/>
          <w:iCs/>
        </w:rPr>
      </w:pPr>
      <w:r w:rsidRPr="001C72EF">
        <w:rPr>
          <w:b/>
          <w:bCs/>
          <w:i/>
          <w:iCs/>
        </w:rPr>
        <w:t xml:space="preserve">Are the potential harms of </w:t>
      </w:r>
      <w:proofErr w:type="spellStart"/>
      <w:r w:rsidRPr="001C72EF">
        <w:rPr>
          <w:b/>
          <w:bCs/>
          <w:i/>
          <w:iCs/>
        </w:rPr>
        <w:t>selinexor</w:t>
      </w:r>
      <w:proofErr w:type="spellEnd"/>
      <w:r w:rsidRPr="001C72EF">
        <w:rPr>
          <w:b/>
          <w:bCs/>
          <w:i/>
          <w:iCs/>
        </w:rPr>
        <w:t xml:space="preserve"> adequately characterised in the proposed PI? </w:t>
      </w:r>
      <w:proofErr w:type="gramStart"/>
      <w:r w:rsidRPr="001C72EF">
        <w:rPr>
          <w:b/>
          <w:bCs/>
          <w:i/>
          <w:iCs/>
        </w:rPr>
        <w:t>Are</w:t>
      </w:r>
      <w:proofErr w:type="gramEnd"/>
      <w:r w:rsidRPr="001C72EF">
        <w:rPr>
          <w:b/>
          <w:bCs/>
          <w:i/>
          <w:iCs/>
        </w:rPr>
        <w:t xml:space="preserve"> there additional risk minimisation measure that are required to ensure the safe use of the medicine that are not currently captured in the RMP?</w:t>
      </w:r>
    </w:p>
    <w:p w14:paraId="6895F3D7" w14:textId="2C2C73FE" w:rsidR="00542E9F" w:rsidRPr="001C72EF" w:rsidRDefault="00542E9F" w:rsidP="001C72EF">
      <w:r w:rsidRPr="001C72EF">
        <w:lastRenderedPageBreak/>
        <w:t>The ACM noted that the PI and RMP should highlight that to achieve duration of benefit there is a need to remain on therapy, as such it is important that toxicities are appropriately managed.</w:t>
      </w:r>
    </w:p>
    <w:p w14:paraId="410920C3" w14:textId="77777777" w:rsidR="0074163C" w:rsidRPr="00F73346" w:rsidRDefault="0074163C" w:rsidP="0074163C">
      <w:pPr>
        <w:pStyle w:val="Heading5"/>
      </w:pPr>
      <w:r w:rsidRPr="00F73346">
        <w:t>Conclusion</w:t>
      </w:r>
    </w:p>
    <w:p w14:paraId="3CAF625A" w14:textId="1E6A93ED" w:rsidR="001C72EF" w:rsidRPr="001C72EF" w:rsidRDefault="001C72EF" w:rsidP="001C72EF">
      <w:r w:rsidRPr="001C72EF">
        <w:t>The ACM considered this product to have an overall positive benefit-risk profile for the indications:</w:t>
      </w:r>
    </w:p>
    <w:p w14:paraId="2F5CEDD7" w14:textId="10B3B82C" w:rsidR="001C72EF" w:rsidRPr="001C72EF" w:rsidRDefault="001C72EF" w:rsidP="001C72EF">
      <w:pPr>
        <w:ind w:left="720"/>
        <w:rPr>
          <w:i/>
          <w:iCs/>
        </w:rPr>
      </w:pPr>
      <w:r w:rsidRPr="001C72EF">
        <w:rPr>
          <w:i/>
          <w:iCs/>
        </w:rPr>
        <w:t>In combination with dexamethasone for the treatment of adult patients with relapsed or refractory multiple myeloma (RRMM) who have received at least three prior therapies and whose disease is refractory to at least one proteasome inhibitor, at least one immunomodulatory medicinal product (</w:t>
      </w:r>
      <w:proofErr w:type="spellStart"/>
      <w:r w:rsidRPr="001C72EF">
        <w:rPr>
          <w:i/>
          <w:iCs/>
        </w:rPr>
        <w:t>IMiD</w:t>
      </w:r>
      <w:proofErr w:type="spellEnd"/>
      <w:r w:rsidRPr="001C72EF">
        <w:rPr>
          <w:i/>
          <w:iCs/>
        </w:rPr>
        <w:t>), and an anti-CD38 monoclonal antibody (</w:t>
      </w:r>
      <w:proofErr w:type="spellStart"/>
      <w:r w:rsidRPr="001C72EF">
        <w:rPr>
          <w:i/>
          <w:iCs/>
        </w:rPr>
        <w:t>mAb</w:t>
      </w:r>
      <w:proofErr w:type="spellEnd"/>
      <w:r w:rsidRPr="001C72EF">
        <w:rPr>
          <w:i/>
          <w:iCs/>
        </w:rPr>
        <w:t>).</w:t>
      </w:r>
    </w:p>
    <w:p w14:paraId="73E702E5" w14:textId="53678E5A" w:rsidR="001C72EF" w:rsidRPr="001C72EF" w:rsidRDefault="001C72EF" w:rsidP="001C72EF">
      <w:pPr>
        <w:ind w:left="720"/>
        <w:rPr>
          <w:i/>
          <w:iCs/>
        </w:rPr>
      </w:pPr>
      <w:r w:rsidRPr="001C72EF">
        <w:rPr>
          <w:i/>
          <w:iCs/>
        </w:rPr>
        <w:t>In combination with bortezomib and dexamethasone for the treatment of adult patients with multiple myeloma who have received one to three prior lines of therapy.</w:t>
      </w:r>
    </w:p>
    <w:p w14:paraId="44B2A960" w14:textId="19057046" w:rsidR="001C72EF" w:rsidRPr="001C72EF" w:rsidRDefault="001C72EF" w:rsidP="001C72EF">
      <w:r w:rsidRPr="001C72EF">
        <w:t xml:space="preserve">The ACM agreed that </w:t>
      </w:r>
      <w:proofErr w:type="spellStart"/>
      <w:r w:rsidRPr="001C72EF">
        <w:t>X</w:t>
      </w:r>
      <w:r>
        <w:t>povio</w:t>
      </w:r>
      <w:proofErr w:type="spellEnd"/>
      <w:r w:rsidRPr="001C72EF">
        <w:t xml:space="preserve"> had an overall negative benefit-risk profile for the proposed </w:t>
      </w:r>
      <w:r w:rsidR="006F49E2">
        <w:t>diffuse large B</w:t>
      </w:r>
      <w:r w:rsidR="006F49E2">
        <w:noBreakHyphen/>
        <w:t xml:space="preserve">cell lymphoma </w:t>
      </w:r>
      <w:r w:rsidRPr="001C72EF">
        <w:t xml:space="preserve">indication (below) as the evidence submitted did not satisfactorily establish the safety and efficacy of the product for full registration, noting that the SADAL </w:t>
      </w:r>
      <w:r w:rsidR="006F49E2">
        <w:t>trial</w:t>
      </w:r>
      <w:r w:rsidR="006F49E2" w:rsidRPr="001C72EF">
        <w:t xml:space="preserve"> </w:t>
      </w:r>
      <w:r w:rsidRPr="001C72EF">
        <w:t>is ongoing:</w:t>
      </w:r>
    </w:p>
    <w:p w14:paraId="7BD0ABD8" w14:textId="1518AEFB" w:rsidR="001C72EF" w:rsidRPr="001C72EF" w:rsidRDefault="001C72EF" w:rsidP="001C72EF">
      <w:pPr>
        <w:ind w:left="720"/>
        <w:rPr>
          <w:i/>
          <w:iCs/>
        </w:rPr>
      </w:pPr>
      <w:r w:rsidRPr="001C72EF">
        <w:rPr>
          <w:i/>
          <w:iCs/>
        </w:rPr>
        <w:t>For the treatment of adult patients with relapsed or refractory diffuse large B-cell lymphoma (RR DLBCL), not otherwise specified, including DLBCL arising from follicular lymphoma, after at least 2 lines of systemic therapy.</w:t>
      </w:r>
    </w:p>
    <w:p w14:paraId="0D89386E" w14:textId="77777777" w:rsidR="008E7846" w:rsidRPr="002E238E" w:rsidRDefault="008E7846" w:rsidP="00D212F3">
      <w:pPr>
        <w:pStyle w:val="Heading2"/>
      </w:pPr>
      <w:bookmarkStart w:id="73" w:name="_Toc119396517"/>
      <w:r>
        <w:t>Outcome</w:t>
      </w:r>
      <w:bookmarkEnd w:id="71"/>
      <w:bookmarkEnd w:id="72"/>
      <w:bookmarkEnd w:id="73"/>
    </w:p>
    <w:p w14:paraId="507A2C1D" w14:textId="00B0FE0F" w:rsidR="00752936" w:rsidRDefault="0074163C" w:rsidP="0074163C">
      <w:bookmarkStart w:id="74" w:name="_Toc247691533"/>
      <w:bookmarkStart w:id="75" w:name="_Toc314842517"/>
      <w:r>
        <w:t xml:space="preserve">Based on a review of quality, </w:t>
      </w:r>
      <w:r w:rsidR="00CC5044">
        <w:t>safety,</w:t>
      </w:r>
      <w:r>
        <w:t xml:space="preserve"> and efficacy, the TGA approved the registration of</w:t>
      </w:r>
      <w:r w:rsidR="00864DDF" w:rsidRPr="00864DDF">
        <w:t xml:space="preserve"> </w:t>
      </w:r>
      <w:proofErr w:type="spellStart"/>
      <w:r w:rsidR="00864DDF" w:rsidRPr="008F510B">
        <w:t>Xpovio</w:t>
      </w:r>
      <w:proofErr w:type="spellEnd"/>
      <w:r w:rsidR="00864DDF" w:rsidRPr="008F510B">
        <w:t xml:space="preserve"> </w:t>
      </w:r>
      <w:r w:rsidR="00864DDF">
        <w:t>(</w:t>
      </w:r>
      <w:proofErr w:type="spellStart"/>
      <w:r w:rsidR="00864DDF" w:rsidRPr="008F510B">
        <w:t>selinexor</w:t>
      </w:r>
      <w:proofErr w:type="spellEnd"/>
      <w:r w:rsidR="00864DDF" w:rsidRPr="000A4A42">
        <w:t xml:space="preserve">) </w:t>
      </w:r>
      <w:r w:rsidR="00864DDF">
        <w:t>20 mg</w:t>
      </w:r>
      <w:r w:rsidR="00864DDF" w:rsidRPr="000A4A42">
        <w:t xml:space="preserve">, </w:t>
      </w:r>
      <w:r w:rsidR="00864DDF">
        <w:t>film coated tablet</w:t>
      </w:r>
      <w:r>
        <w:t>,</w:t>
      </w:r>
      <w:r w:rsidR="00864DDF">
        <w:t xml:space="preserve"> blister pack</w:t>
      </w:r>
      <w:r>
        <w:t xml:space="preserve"> indicated</w:t>
      </w:r>
      <w:r w:rsidR="00864DDF">
        <w:t xml:space="preserve"> for</w:t>
      </w:r>
      <w:r>
        <w:t>:</w:t>
      </w:r>
    </w:p>
    <w:p w14:paraId="4D4C143D" w14:textId="54F3C2EA" w:rsidR="00C827AC" w:rsidRPr="00C827AC" w:rsidRDefault="00C827AC" w:rsidP="00C827AC">
      <w:pPr>
        <w:ind w:left="360"/>
        <w:rPr>
          <w:i/>
          <w:iCs/>
        </w:rPr>
      </w:pPr>
      <w:proofErr w:type="spellStart"/>
      <w:r w:rsidRPr="00C827AC">
        <w:rPr>
          <w:i/>
          <w:iCs/>
        </w:rPr>
        <w:t>Xpovio</w:t>
      </w:r>
      <w:proofErr w:type="spellEnd"/>
      <w:r w:rsidRPr="00C827AC">
        <w:rPr>
          <w:i/>
          <w:iCs/>
        </w:rPr>
        <w:t xml:space="preserve"> is indicated:</w:t>
      </w:r>
    </w:p>
    <w:p w14:paraId="7AB152C8" w14:textId="7B81784F" w:rsidR="00C827AC" w:rsidRPr="00C827AC" w:rsidRDefault="00C827AC" w:rsidP="00C827AC">
      <w:pPr>
        <w:pStyle w:val="ListBullet"/>
        <w:ind w:left="720"/>
        <w:rPr>
          <w:i/>
          <w:iCs/>
        </w:rPr>
      </w:pPr>
      <w:r w:rsidRPr="00C827AC">
        <w:rPr>
          <w:i/>
          <w:iCs/>
        </w:rPr>
        <w:t>In combination with bortezomib and dexamethasone for the treatment of adult patients</w:t>
      </w:r>
      <w:r>
        <w:rPr>
          <w:i/>
          <w:iCs/>
        </w:rPr>
        <w:t xml:space="preserve"> </w:t>
      </w:r>
      <w:r w:rsidRPr="00C827AC">
        <w:rPr>
          <w:i/>
          <w:iCs/>
        </w:rPr>
        <w:t>with multiple myeloma who have received at least one prior therapy.</w:t>
      </w:r>
    </w:p>
    <w:p w14:paraId="5D3F2E9F" w14:textId="641EA7DC" w:rsidR="00A61F98" w:rsidRPr="004F17FE" w:rsidRDefault="00C827AC" w:rsidP="00A61F98">
      <w:pPr>
        <w:pStyle w:val="ListBullet"/>
        <w:ind w:left="720"/>
        <w:rPr>
          <w:b/>
          <w:bCs/>
          <w:i/>
          <w:iCs/>
        </w:rPr>
      </w:pPr>
      <w:r w:rsidRPr="00C827AC">
        <w:rPr>
          <w:i/>
          <w:iCs/>
        </w:rPr>
        <w:t xml:space="preserve">In combination with dexamethasone for the treatment of adult patients with relapsed </w:t>
      </w:r>
      <w:proofErr w:type="spellStart"/>
      <w:r w:rsidRPr="00C827AC">
        <w:rPr>
          <w:i/>
          <w:iCs/>
        </w:rPr>
        <w:t>orrefractory</w:t>
      </w:r>
      <w:proofErr w:type="spellEnd"/>
      <w:r w:rsidRPr="00C827AC">
        <w:rPr>
          <w:i/>
          <w:iCs/>
        </w:rPr>
        <w:t xml:space="preserve"> multiple myeloma (RRMM) who have received at least three prior </w:t>
      </w:r>
      <w:proofErr w:type="spellStart"/>
      <w:r w:rsidRPr="00C827AC">
        <w:rPr>
          <w:i/>
          <w:iCs/>
        </w:rPr>
        <w:t>therapiesand</w:t>
      </w:r>
      <w:proofErr w:type="spellEnd"/>
      <w:r w:rsidRPr="00C827AC">
        <w:rPr>
          <w:i/>
          <w:iCs/>
        </w:rPr>
        <w:t xml:space="preserve"> whose disease is refractory to at least one proteasome inhibitor, at least one</w:t>
      </w:r>
      <w:r w:rsidR="00787C6C">
        <w:rPr>
          <w:i/>
          <w:iCs/>
        </w:rPr>
        <w:t xml:space="preserve"> </w:t>
      </w:r>
      <w:r w:rsidRPr="00C827AC">
        <w:rPr>
          <w:i/>
          <w:iCs/>
        </w:rPr>
        <w:t>immunomodulatory medicinal product (</w:t>
      </w:r>
      <w:proofErr w:type="spellStart"/>
      <w:r w:rsidRPr="00C827AC">
        <w:rPr>
          <w:i/>
          <w:iCs/>
        </w:rPr>
        <w:t>IMiD</w:t>
      </w:r>
      <w:proofErr w:type="spellEnd"/>
      <w:r w:rsidRPr="00C827AC">
        <w:rPr>
          <w:i/>
          <w:iCs/>
        </w:rPr>
        <w:t>), and an anti-CD38 monoclonal antibody</w:t>
      </w:r>
      <w:r w:rsidR="006F49E2">
        <w:rPr>
          <w:i/>
          <w:iCs/>
        </w:rPr>
        <w:t xml:space="preserve"> </w:t>
      </w:r>
      <w:r w:rsidRPr="00C827AC">
        <w:rPr>
          <w:i/>
          <w:iCs/>
        </w:rPr>
        <w:t>(</w:t>
      </w:r>
      <w:proofErr w:type="spellStart"/>
      <w:r w:rsidRPr="00C827AC">
        <w:rPr>
          <w:i/>
          <w:iCs/>
        </w:rPr>
        <w:t>mAb</w:t>
      </w:r>
      <w:proofErr w:type="spellEnd"/>
      <w:r w:rsidRPr="00C827AC">
        <w:rPr>
          <w:i/>
          <w:iCs/>
        </w:rPr>
        <w:t>).</w:t>
      </w:r>
    </w:p>
    <w:p w14:paraId="103D7A24" w14:textId="653BEEF0" w:rsidR="00A61F98" w:rsidRPr="00A61F98" w:rsidRDefault="00A61F98" w:rsidP="00A61F98">
      <w:r w:rsidRPr="00A61F98">
        <w:t xml:space="preserve">The sponsor withdrew their diffuse large B-cell lymphoma indication from the </w:t>
      </w:r>
      <w:proofErr w:type="spellStart"/>
      <w:r w:rsidRPr="00A61F98">
        <w:t>X</w:t>
      </w:r>
      <w:r>
        <w:t>povio</w:t>
      </w:r>
      <w:proofErr w:type="spellEnd"/>
      <w:r>
        <w:t xml:space="preserve"> </w:t>
      </w:r>
      <w:r w:rsidRPr="00A61F98">
        <w:t xml:space="preserve">evaluation on </w:t>
      </w:r>
      <w:r>
        <w:t xml:space="preserve">21 January 2022 </w:t>
      </w:r>
      <w:r w:rsidRPr="00A61F98">
        <w:t>before a decision had been made by the TGA.</w:t>
      </w:r>
    </w:p>
    <w:p w14:paraId="1A385315" w14:textId="28D18212" w:rsidR="00D23139" w:rsidRDefault="00D23139" w:rsidP="00C827AC">
      <w:pPr>
        <w:pStyle w:val="Heading3"/>
      </w:pPr>
      <w:bookmarkStart w:id="76" w:name="_Toc119396518"/>
      <w:r w:rsidRPr="00D23139">
        <w:t>Specific conditions of registration applying to these goods</w:t>
      </w:r>
      <w:bookmarkEnd w:id="76"/>
    </w:p>
    <w:p w14:paraId="1F73A052" w14:textId="142898C0" w:rsidR="00EF7899" w:rsidRPr="00B33698" w:rsidRDefault="00EF7899" w:rsidP="00EF7899">
      <w:pPr>
        <w:pStyle w:val="ListBullet"/>
        <w:rPr>
          <w:lang w:eastAsia="en-AU"/>
        </w:rPr>
      </w:pPr>
      <w:proofErr w:type="spellStart"/>
      <w:r w:rsidRPr="00B33698">
        <w:rPr>
          <w:lang w:eastAsia="en-AU"/>
        </w:rPr>
        <w:t>Xpovio</w:t>
      </w:r>
      <w:proofErr w:type="spellEnd"/>
      <w:r w:rsidRPr="00B33698">
        <w:rPr>
          <w:lang w:eastAsia="en-AU"/>
        </w:rPr>
        <w:t xml:space="preserve"> (</w:t>
      </w:r>
      <w:proofErr w:type="spellStart"/>
      <w:r w:rsidRPr="00B33698">
        <w:rPr>
          <w:lang w:eastAsia="en-AU"/>
        </w:rPr>
        <w:t>selinexor</w:t>
      </w:r>
      <w:proofErr w:type="spellEnd"/>
      <w:r w:rsidRPr="00B33698">
        <w:rPr>
          <w:lang w:eastAsia="en-AU"/>
        </w:rPr>
        <w:t>) is to be included in the Black Triangle Scheme. The PI and CMI for</w:t>
      </w:r>
      <w:r>
        <w:rPr>
          <w:lang w:eastAsia="en-AU"/>
        </w:rPr>
        <w:t xml:space="preserve"> </w:t>
      </w:r>
      <w:proofErr w:type="spellStart"/>
      <w:r w:rsidRPr="00B33698">
        <w:rPr>
          <w:lang w:eastAsia="en-AU"/>
        </w:rPr>
        <w:t>Xpovio</w:t>
      </w:r>
      <w:proofErr w:type="spellEnd"/>
      <w:r w:rsidRPr="00B33698">
        <w:rPr>
          <w:lang w:eastAsia="en-AU"/>
        </w:rPr>
        <w:t xml:space="preserve"> must include the black triangle symbol and mandatory accompanying text for</w:t>
      </w:r>
      <w:r>
        <w:rPr>
          <w:lang w:eastAsia="en-AU"/>
        </w:rPr>
        <w:t xml:space="preserve"> </w:t>
      </w:r>
      <w:r w:rsidRPr="00B33698">
        <w:rPr>
          <w:lang w:eastAsia="en-AU"/>
        </w:rPr>
        <w:t>five years, which starts from the date that the sponsor notifies the TGA of supply of the</w:t>
      </w:r>
      <w:r>
        <w:rPr>
          <w:lang w:eastAsia="en-AU"/>
        </w:rPr>
        <w:t xml:space="preserve"> </w:t>
      </w:r>
      <w:r w:rsidRPr="00B33698">
        <w:rPr>
          <w:lang w:eastAsia="en-AU"/>
        </w:rPr>
        <w:t>product.</w:t>
      </w:r>
    </w:p>
    <w:p w14:paraId="31DA2043" w14:textId="2EAF7A8F" w:rsidR="00EF7899" w:rsidRPr="00B33698" w:rsidRDefault="00EF7899" w:rsidP="00EF7899">
      <w:pPr>
        <w:pStyle w:val="ListBullet"/>
        <w:rPr>
          <w:lang w:eastAsia="en-AU"/>
        </w:rPr>
      </w:pPr>
      <w:r w:rsidRPr="00B33698">
        <w:rPr>
          <w:lang w:eastAsia="en-AU"/>
        </w:rPr>
        <w:t xml:space="preserve">The </w:t>
      </w:r>
      <w:proofErr w:type="spellStart"/>
      <w:r w:rsidRPr="00B33698">
        <w:rPr>
          <w:lang w:eastAsia="en-AU"/>
        </w:rPr>
        <w:t>Xpovio</w:t>
      </w:r>
      <w:proofErr w:type="spellEnd"/>
      <w:r w:rsidRPr="00B33698">
        <w:rPr>
          <w:lang w:eastAsia="en-AU"/>
        </w:rPr>
        <w:t xml:space="preserve"> EU</w:t>
      </w:r>
      <w:r>
        <w:rPr>
          <w:lang w:eastAsia="en-AU"/>
        </w:rPr>
        <w:noBreakHyphen/>
      </w:r>
      <w:r w:rsidRPr="00B33698">
        <w:rPr>
          <w:lang w:eastAsia="en-AU"/>
        </w:rPr>
        <w:t>RMP (version 2.0, dated 7 July 2021, data lock</w:t>
      </w:r>
      <w:r>
        <w:rPr>
          <w:lang w:eastAsia="en-AU"/>
        </w:rPr>
        <w:t xml:space="preserve"> </w:t>
      </w:r>
      <w:r w:rsidRPr="00B33698">
        <w:rPr>
          <w:lang w:eastAsia="en-AU"/>
        </w:rPr>
        <w:t xml:space="preserve">point 18 February 2020), with </w:t>
      </w:r>
      <w:r w:rsidR="00752936">
        <w:rPr>
          <w:lang w:eastAsia="en-AU"/>
        </w:rPr>
        <w:t>ASA</w:t>
      </w:r>
      <w:r w:rsidRPr="00B33698">
        <w:rPr>
          <w:lang w:eastAsia="en-AU"/>
        </w:rPr>
        <w:t xml:space="preserve"> (version 1.2, dated 1 February</w:t>
      </w:r>
      <w:r>
        <w:rPr>
          <w:lang w:eastAsia="en-AU"/>
        </w:rPr>
        <w:t xml:space="preserve"> </w:t>
      </w:r>
      <w:r w:rsidRPr="00B33698">
        <w:rPr>
          <w:lang w:eastAsia="en-AU"/>
        </w:rPr>
        <w:t xml:space="preserve">2022), included with </w:t>
      </w:r>
      <w:r>
        <w:rPr>
          <w:lang w:eastAsia="en-AU"/>
        </w:rPr>
        <w:t>S</w:t>
      </w:r>
      <w:r w:rsidRPr="00B33698">
        <w:rPr>
          <w:lang w:eastAsia="en-AU"/>
        </w:rPr>
        <w:t>ubmission PM</w:t>
      </w:r>
      <w:r>
        <w:rPr>
          <w:lang w:eastAsia="en-AU"/>
        </w:rPr>
        <w:noBreakHyphen/>
      </w:r>
      <w:r w:rsidRPr="00B33698">
        <w:rPr>
          <w:lang w:eastAsia="en-AU"/>
        </w:rPr>
        <w:t>2020</w:t>
      </w:r>
      <w:r>
        <w:rPr>
          <w:lang w:eastAsia="en-AU"/>
        </w:rPr>
        <w:noBreakHyphen/>
      </w:r>
      <w:r w:rsidRPr="00B33698">
        <w:rPr>
          <w:lang w:eastAsia="en-AU"/>
        </w:rPr>
        <w:t>05458</w:t>
      </w:r>
      <w:r>
        <w:rPr>
          <w:lang w:eastAsia="en-AU"/>
        </w:rPr>
        <w:noBreakHyphen/>
      </w:r>
      <w:r w:rsidRPr="00B33698">
        <w:rPr>
          <w:lang w:eastAsia="en-AU"/>
        </w:rPr>
        <w:t>1</w:t>
      </w:r>
      <w:r>
        <w:rPr>
          <w:lang w:eastAsia="en-AU"/>
        </w:rPr>
        <w:noBreakHyphen/>
      </w:r>
      <w:r w:rsidRPr="00B33698">
        <w:rPr>
          <w:lang w:eastAsia="en-AU"/>
        </w:rPr>
        <w:t>6, to be revised to the satisfaction</w:t>
      </w:r>
      <w:r>
        <w:rPr>
          <w:lang w:eastAsia="en-AU"/>
        </w:rPr>
        <w:t xml:space="preserve"> </w:t>
      </w:r>
      <w:r w:rsidRPr="00B33698">
        <w:rPr>
          <w:lang w:eastAsia="en-AU"/>
        </w:rPr>
        <w:t>of the TGA, will be implemented in Australia.</w:t>
      </w:r>
    </w:p>
    <w:p w14:paraId="18148634" w14:textId="4093405B" w:rsidR="00EF7899" w:rsidRDefault="00EF7899" w:rsidP="00EF7899">
      <w:pPr>
        <w:pStyle w:val="ListBullet"/>
        <w:numPr>
          <w:ilvl w:val="0"/>
          <w:numId w:val="0"/>
        </w:numPr>
        <w:ind w:left="360"/>
        <w:rPr>
          <w:lang w:eastAsia="en-AU"/>
        </w:rPr>
      </w:pPr>
      <w:r w:rsidRPr="00B33698">
        <w:rPr>
          <w:lang w:eastAsia="en-AU"/>
        </w:rPr>
        <w:lastRenderedPageBreak/>
        <w:t>An obligatory component of risk management plans is routine pharmacovigilance.</w:t>
      </w:r>
      <w:r>
        <w:rPr>
          <w:lang w:eastAsia="en-AU"/>
        </w:rPr>
        <w:t xml:space="preserve"> </w:t>
      </w:r>
      <w:r w:rsidRPr="00B33698">
        <w:rPr>
          <w:lang w:eastAsia="en-AU"/>
        </w:rPr>
        <w:t>Routine pharmacovigilance includes the submission of periodic safety update reports</w:t>
      </w:r>
      <w:r w:rsidR="006F49E2">
        <w:rPr>
          <w:lang w:eastAsia="en-AU"/>
        </w:rPr>
        <w:t xml:space="preserve"> </w:t>
      </w:r>
      <w:r w:rsidRPr="00B33698">
        <w:rPr>
          <w:lang w:eastAsia="en-AU"/>
        </w:rPr>
        <w:t>(PSURs).</w:t>
      </w:r>
    </w:p>
    <w:p w14:paraId="666D46E4" w14:textId="77777777" w:rsidR="00EF7899" w:rsidRPr="00B33698" w:rsidRDefault="00EF7899" w:rsidP="00EF7899">
      <w:pPr>
        <w:pStyle w:val="ListBullet"/>
        <w:numPr>
          <w:ilvl w:val="0"/>
          <w:numId w:val="0"/>
        </w:numPr>
        <w:ind w:left="360"/>
        <w:rPr>
          <w:lang w:eastAsia="en-AU"/>
        </w:rPr>
      </w:pPr>
      <w:r w:rsidRPr="00B33698">
        <w:rPr>
          <w:lang w:eastAsia="en-AU"/>
        </w:rPr>
        <w:t xml:space="preserve">Reports are to be provided in line with the current published list of EU reference dates and frequency of submission of PSURs until the period covered by such reports is not less than three years from the date of </w:t>
      </w:r>
      <w:r>
        <w:rPr>
          <w:lang w:eastAsia="en-AU"/>
        </w:rPr>
        <w:t>the</w:t>
      </w:r>
      <w:r w:rsidRPr="00B33698">
        <w:rPr>
          <w:lang w:eastAsia="en-AU"/>
        </w:rPr>
        <w:t xml:space="preserve"> approval letter.</w:t>
      </w:r>
    </w:p>
    <w:p w14:paraId="0945760B" w14:textId="77777777" w:rsidR="00EF7899" w:rsidRPr="00B33698" w:rsidRDefault="00EF7899" w:rsidP="00EF7899">
      <w:pPr>
        <w:pStyle w:val="ListBullet"/>
        <w:numPr>
          <w:ilvl w:val="0"/>
          <w:numId w:val="0"/>
        </w:numPr>
        <w:ind w:left="360"/>
        <w:rPr>
          <w:lang w:eastAsia="en-AU"/>
        </w:rPr>
      </w:pPr>
      <w:r w:rsidRPr="00B33698">
        <w:rPr>
          <w:lang w:eastAsia="en-AU"/>
        </w:rPr>
        <w:t xml:space="preserve">The reports are to at least meet the requirements for PSURs as described in the European Medicines Agency’s </w:t>
      </w:r>
      <w:r>
        <w:rPr>
          <w:lang w:eastAsia="en-AU"/>
        </w:rPr>
        <w:t>g</w:t>
      </w:r>
      <w:r w:rsidRPr="00B33698">
        <w:rPr>
          <w:lang w:eastAsia="en-AU"/>
        </w:rPr>
        <w:t xml:space="preserve">uideline on </w:t>
      </w:r>
      <w:r>
        <w:rPr>
          <w:lang w:eastAsia="en-AU"/>
        </w:rPr>
        <w:t>G</w:t>
      </w:r>
      <w:r w:rsidRPr="00B33698">
        <w:rPr>
          <w:lang w:eastAsia="en-AU"/>
        </w:rPr>
        <w:t xml:space="preserve">ood </w:t>
      </w:r>
      <w:r>
        <w:rPr>
          <w:lang w:eastAsia="en-AU"/>
        </w:rPr>
        <w:t>P</w:t>
      </w:r>
      <w:r w:rsidRPr="00B33698">
        <w:rPr>
          <w:lang w:eastAsia="en-AU"/>
        </w:rPr>
        <w:t xml:space="preserve">harmacovigilance </w:t>
      </w:r>
      <w:r>
        <w:rPr>
          <w:lang w:eastAsia="en-AU"/>
        </w:rPr>
        <w:t>P</w:t>
      </w:r>
      <w:r w:rsidRPr="00B33698">
        <w:rPr>
          <w:lang w:eastAsia="en-AU"/>
        </w:rPr>
        <w:t>ractices (GVP) Module</w:t>
      </w:r>
      <w:r>
        <w:rPr>
          <w:lang w:eastAsia="en-AU"/>
        </w:rPr>
        <w:t> </w:t>
      </w:r>
      <w:r w:rsidRPr="00B33698">
        <w:rPr>
          <w:lang w:eastAsia="en-AU"/>
        </w:rPr>
        <w:t>VII-periodic safety update report (</w:t>
      </w:r>
      <w:r>
        <w:rPr>
          <w:lang w:eastAsia="en-AU"/>
        </w:rPr>
        <w:t>revision </w:t>
      </w:r>
      <w:r w:rsidRPr="00B33698">
        <w:rPr>
          <w:lang w:eastAsia="en-AU"/>
        </w:rPr>
        <w:t>1), Part</w:t>
      </w:r>
      <w:r>
        <w:rPr>
          <w:lang w:eastAsia="en-AU"/>
        </w:rPr>
        <w:t> </w:t>
      </w:r>
      <w:r w:rsidRPr="00B33698">
        <w:rPr>
          <w:lang w:eastAsia="en-AU"/>
        </w:rPr>
        <w:t xml:space="preserve">VII.B </w:t>
      </w:r>
      <w:r>
        <w:rPr>
          <w:lang w:eastAsia="en-AU"/>
        </w:rPr>
        <w:t>s</w:t>
      </w:r>
      <w:r w:rsidRPr="00B33698">
        <w:rPr>
          <w:lang w:eastAsia="en-AU"/>
        </w:rPr>
        <w:t>tructures and processes. Note that submission of a PSUR does not constitute an application to vary the registration.</w:t>
      </w:r>
    </w:p>
    <w:p w14:paraId="48CE35F9" w14:textId="77777777" w:rsidR="00EF7899" w:rsidRPr="00B33698" w:rsidRDefault="00EF7899" w:rsidP="00EF7899">
      <w:pPr>
        <w:pStyle w:val="ListBullet"/>
        <w:rPr>
          <w:lang w:eastAsia="en-AU"/>
        </w:rPr>
      </w:pPr>
      <w:r>
        <w:rPr>
          <w:lang w:eastAsia="en-AU"/>
        </w:rPr>
        <w:t>Sponsor to s</w:t>
      </w:r>
      <w:r w:rsidRPr="00B33698">
        <w:rPr>
          <w:lang w:eastAsia="en-AU"/>
        </w:rPr>
        <w:t xml:space="preserve">ubmit the final clinical study report for </w:t>
      </w:r>
      <w:r>
        <w:rPr>
          <w:lang w:eastAsia="en-AU"/>
        </w:rPr>
        <w:t>S</w:t>
      </w:r>
      <w:r w:rsidRPr="00B33698">
        <w:rPr>
          <w:lang w:eastAsia="en-AU"/>
        </w:rPr>
        <w:t>tudy XPORT</w:t>
      </w:r>
      <w:r>
        <w:rPr>
          <w:lang w:eastAsia="en-AU"/>
        </w:rPr>
        <w:noBreakHyphen/>
      </w:r>
      <w:r w:rsidRPr="00B33698">
        <w:rPr>
          <w:lang w:eastAsia="en-AU"/>
        </w:rPr>
        <w:t>MM</w:t>
      </w:r>
      <w:r>
        <w:rPr>
          <w:lang w:eastAsia="en-AU"/>
        </w:rPr>
        <w:noBreakHyphen/>
      </w:r>
      <w:r w:rsidRPr="00B33698">
        <w:rPr>
          <w:lang w:eastAsia="en-AU"/>
        </w:rPr>
        <w:t>028 for evaluation</w:t>
      </w:r>
      <w:r>
        <w:rPr>
          <w:lang w:eastAsia="en-AU"/>
        </w:rPr>
        <w:t>.</w:t>
      </w:r>
    </w:p>
    <w:p w14:paraId="66567FD9" w14:textId="3A47C835" w:rsidR="00EF7899" w:rsidRPr="00EF7899" w:rsidRDefault="00EF7899" w:rsidP="00EF7899">
      <w:pPr>
        <w:pStyle w:val="ListBullet"/>
        <w:rPr>
          <w:lang w:eastAsia="en-AU"/>
        </w:rPr>
      </w:pPr>
      <w:r>
        <w:rPr>
          <w:lang w:eastAsia="en-AU"/>
        </w:rPr>
        <w:t>Sponsor to s</w:t>
      </w:r>
      <w:r w:rsidRPr="00B33698">
        <w:rPr>
          <w:lang w:eastAsia="en-AU"/>
        </w:rPr>
        <w:t xml:space="preserve">ubmit the final clinical study report for </w:t>
      </w:r>
      <w:r>
        <w:rPr>
          <w:lang w:eastAsia="en-AU"/>
        </w:rPr>
        <w:t>S</w:t>
      </w:r>
      <w:r w:rsidRPr="00B33698">
        <w:rPr>
          <w:lang w:eastAsia="en-AU"/>
        </w:rPr>
        <w:t>tudy KCP</w:t>
      </w:r>
      <w:r>
        <w:rPr>
          <w:lang w:eastAsia="en-AU"/>
        </w:rPr>
        <w:noBreakHyphen/>
      </w:r>
      <w:r w:rsidRPr="00B33698">
        <w:rPr>
          <w:lang w:eastAsia="en-AU"/>
        </w:rPr>
        <w:t>330</w:t>
      </w:r>
      <w:r>
        <w:rPr>
          <w:lang w:eastAsia="en-AU"/>
        </w:rPr>
        <w:noBreakHyphen/>
      </w:r>
      <w:r w:rsidRPr="00B33698">
        <w:rPr>
          <w:lang w:eastAsia="en-AU"/>
        </w:rPr>
        <w:t>023 for evaluation</w:t>
      </w:r>
      <w:r>
        <w:rPr>
          <w:lang w:eastAsia="en-AU"/>
        </w:rPr>
        <w:t>.</w:t>
      </w:r>
    </w:p>
    <w:p w14:paraId="47D22A93" w14:textId="77777777" w:rsidR="008E7846" w:rsidRDefault="00A80B5B" w:rsidP="00D23139">
      <w:pPr>
        <w:pStyle w:val="Heading2"/>
      </w:pPr>
      <w:bookmarkStart w:id="77" w:name="_Toc119396519"/>
      <w:r>
        <w:t xml:space="preserve">Attachment 1. </w:t>
      </w:r>
      <w:r w:rsidR="008E7846">
        <w:t xml:space="preserve">Product </w:t>
      </w:r>
      <w:r w:rsidR="00AA0ED0">
        <w:t>I</w:t>
      </w:r>
      <w:r w:rsidR="008E7846">
        <w:t>nformation</w:t>
      </w:r>
      <w:bookmarkEnd w:id="74"/>
      <w:bookmarkEnd w:id="75"/>
      <w:bookmarkEnd w:id="77"/>
    </w:p>
    <w:p w14:paraId="64B81A40" w14:textId="7325D079" w:rsidR="00523A21" w:rsidRDefault="006136D7" w:rsidP="00C80137">
      <w:r w:rsidRPr="002B3624">
        <w:t xml:space="preserve">The </w:t>
      </w:r>
      <w:r>
        <w:t>PI</w:t>
      </w:r>
      <w:r w:rsidRPr="002B3624">
        <w:t xml:space="preserve"> for </w:t>
      </w:r>
      <w:proofErr w:type="spellStart"/>
      <w:r w:rsidR="00D46425">
        <w:t>Xpovio</w:t>
      </w:r>
      <w:proofErr w:type="spellEnd"/>
      <w:r w:rsidR="0074163C">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38" w:history="1">
        <w:r w:rsidR="0074163C" w:rsidRPr="008A698E">
          <w:rPr>
            <w:rStyle w:val="Hyperlink"/>
          </w:rPr>
          <w:t>PI/CMI search facility</w:t>
        </w:r>
        <w:r w:rsidR="0074163C" w:rsidRPr="00EB36D6">
          <w:rPr>
            <w:rStyle w:val="Hyperlink"/>
            <w:color w:val="auto"/>
            <w:u w:val="none"/>
          </w:rPr>
          <w:t>.</w:t>
        </w:r>
      </w:hyperlink>
    </w:p>
    <w:p w14:paraId="659ACBB3" w14:textId="77777777" w:rsidR="00C80137" w:rsidRPr="001D043B" w:rsidRDefault="00C80137" w:rsidP="003A7F6C">
      <w:pPr>
        <w:pStyle w:val="TableTitle"/>
        <w:sectPr w:rsidR="00C80137" w:rsidRPr="001D043B" w:rsidSect="00B452CE">
          <w:headerReference w:type="even" r:id="rId39"/>
          <w:headerReference w:type="default" r:id="rId40"/>
          <w:headerReference w:type="first" r:id="rId41"/>
          <w:footerReference w:type="first" r:id="rId4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1F1F983" w14:textId="77777777" w:rsidTr="00A05FA4">
        <w:trPr>
          <w:trHeight w:hRule="exact" w:val="704"/>
        </w:trPr>
        <w:tc>
          <w:tcPr>
            <w:tcW w:w="9175" w:type="dxa"/>
          </w:tcPr>
          <w:p w14:paraId="7E857BF9" w14:textId="77777777" w:rsidR="001C32CD" w:rsidRPr="00487162" w:rsidRDefault="001C32CD" w:rsidP="00A05FA4">
            <w:pPr>
              <w:pStyle w:val="TGASignoff"/>
            </w:pPr>
            <w:r w:rsidRPr="00487162">
              <w:lastRenderedPageBreak/>
              <w:t>Therapeutic Goods Administration</w:t>
            </w:r>
          </w:p>
        </w:tc>
      </w:tr>
      <w:tr w:rsidR="001C32CD" w:rsidRPr="004C239D" w14:paraId="7A2A5A9D" w14:textId="77777777" w:rsidTr="00A05FA4">
        <w:trPr>
          <w:trHeight w:val="1221"/>
        </w:trPr>
        <w:tc>
          <w:tcPr>
            <w:tcW w:w="9175" w:type="dxa"/>
            <w:tcMar>
              <w:top w:w="28" w:type="dxa"/>
            </w:tcMar>
          </w:tcPr>
          <w:p w14:paraId="1AFE12C0" w14:textId="77777777" w:rsidR="001C32CD" w:rsidRPr="00487162" w:rsidRDefault="001C32CD" w:rsidP="00A05FA4">
            <w:pPr>
              <w:pStyle w:val="Address"/>
            </w:pPr>
            <w:r w:rsidRPr="00487162">
              <w:t>PO Box 100 Woden ACT 2606 Australia</w:t>
            </w:r>
          </w:p>
          <w:p w14:paraId="20220267" w14:textId="0CBB9637" w:rsidR="001C32CD" w:rsidRPr="00487162" w:rsidRDefault="001C32CD" w:rsidP="00A05FA4">
            <w:pPr>
              <w:pStyle w:val="Address"/>
            </w:pPr>
            <w:r w:rsidRPr="00487162">
              <w:t xml:space="preserve">Email: </w:t>
            </w:r>
            <w:hyperlink r:id="rId43"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53C2FB2A" w14:textId="137E70F5" w:rsidR="001C32CD" w:rsidRPr="004C239D" w:rsidRDefault="006737A0" w:rsidP="00A05FA4">
            <w:pPr>
              <w:pStyle w:val="Address"/>
              <w:spacing w:line="260" w:lineRule="atLeast"/>
              <w:rPr>
                <w:b/>
                <w:color w:val="0000FF"/>
                <w:u w:val="single"/>
              </w:rPr>
            </w:pPr>
            <w:hyperlink r:id="rId44" w:history="1">
              <w:r w:rsidR="007C6B9B" w:rsidRPr="007C6B9B">
                <w:rPr>
                  <w:rStyle w:val="Hyperlink"/>
                  <w:b/>
                </w:rPr>
                <w:t>https://www.tga.gov.au</w:t>
              </w:r>
            </w:hyperlink>
          </w:p>
        </w:tc>
      </w:tr>
    </w:tbl>
    <w:p w14:paraId="45E32981" w14:textId="77777777" w:rsidR="00774E1D" w:rsidRPr="008A5E0B" w:rsidRDefault="00774E1D" w:rsidP="004C239D"/>
    <w:sectPr w:rsidR="00774E1D" w:rsidRPr="008A5E0B" w:rsidSect="001C32CD">
      <w:headerReference w:type="even" r:id="rId45"/>
      <w:headerReference w:type="default" r:id="rId46"/>
      <w:footerReference w:type="default" r:id="rId47"/>
      <w:headerReference w:type="first" r:id="rId48"/>
      <w:footerReference w:type="first" r:id="rId4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54D16" w14:textId="77777777" w:rsidR="00072352" w:rsidRDefault="00072352" w:rsidP="00C40A36">
      <w:pPr>
        <w:spacing w:after="0"/>
      </w:pPr>
      <w:r>
        <w:separator/>
      </w:r>
    </w:p>
  </w:endnote>
  <w:endnote w:type="continuationSeparator" w:id="0">
    <w:p w14:paraId="6B50797F" w14:textId="77777777" w:rsidR="00072352" w:rsidRDefault="0007235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PSMT">
    <w:altName w:val="Yu Gothic"/>
    <w:panose1 w:val="00000000000000000000"/>
    <w:charset w:val="00"/>
    <w:family w:val="roman"/>
    <w:notTrueType/>
    <w:pitch w:val="default"/>
    <w:sig w:usb0="00002A87" w:usb1="080F0000" w:usb2="00000010" w:usb3="00000000" w:csb0="0006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6085E" w:rsidRPr="00487162" w14:paraId="7434479C" w14:textId="77777777" w:rsidTr="00DB750B">
      <w:trPr>
        <w:trHeight w:val="269"/>
      </w:trPr>
      <w:tc>
        <w:tcPr>
          <w:tcW w:w="7371" w:type="dxa"/>
          <w:tcMar>
            <w:top w:w="142" w:type="dxa"/>
            <w:bottom w:w="0" w:type="dxa"/>
          </w:tcMar>
        </w:tcPr>
        <w:p w14:paraId="147B9C81" w14:textId="69DB1044" w:rsidR="00B6085E" w:rsidRPr="00487162" w:rsidRDefault="00B6085E" w:rsidP="00460036">
          <w:pPr>
            <w:pStyle w:val="Footer"/>
          </w:pPr>
          <w:proofErr w:type="spellStart"/>
          <w:r w:rsidRPr="00487162">
            <w:t>AusPA</w:t>
          </w:r>
          <w:r>
            <w:t>R</w:t>
          </w:r>
          <w:proofErr w:type="spellEnd"/>
          <w:r>
            <w:t xml:space="preserve"> - </w:t>
          </w:r>
          <w:proofErr w:type="spellStart"/>
          <w:r w:rsidRPr="008F510B">
            <w:t>Xpovio</w:t>
          </w:r>
          <w:proofErr w:type="spellEnd"/>
          <w:r w:rsidRPr="008F510B">
            <w:t xml:space="preserve"> - </w:t>
          </w:r>
          <w:proofErr w:type="spellStart"/>
          <w:r w:rsidRPr="008F510B">
            <w:t>selinexor</w:t>
          </w:r>
          <w:proofErr w:type="spellEnd"/>
          <w:r w:rsidRPr="008F510B">
            <w:t xml:space="preserve"> - </w:t>
          </w:r>
          <w:proofErr w:type="spellStart"/>
          <w:r w:rsidRPr="008F510B">
            <w:t>Antengene</w:t>
          </w:r>
          <w:proofErr w:type="spellEnd"/>
          <w:r w:rsidRPr="008F510B">
            <w:t xml:space="preserve"> (</w:t>
          </w:r>
          <w:proofErr w:type="spellStart"/>
          <w:r w:rsidRPr="008F510B">
            <w:t>Aus</w:t>
          </w:r>
          <w:proofErr w:type="spellEnd"/>
          <w:r w:rsidRPr="008F510B">
            <w:t>) Pty Ltd - PM-2020-05458-1-6</w:t>
          </w:r>
          <w:r>
            <w:br/>
          </w:r>
          <w:r w:rsidR="00D5375A">
            <w:t>FINAL</w:t>
          </w:r>
          <w:r w:rsidRPr="00487162">
            <w:t xml:space="preserve"> </w:t>
          </w:r>
          <w:r w:rsidR="00D5375A">
            <w:t>1 November</w:t>
          </w:r>
          <w:r>
            <w:t xml:space="preserve"> 2022</w:t>
          </w:r>
        </w:p>
      </w:tc>
      <w:tc>
        <w:tcPr>
          <w:tcW w:w="1490" w:type="dxa"/>
          <w:tcMar>
            <w:top w:w="142" w:type="dxa"/>
            <w:bottom w:w="0" w:type="dxa"/>
          </w:tcMar>
        </w:tcPr>
        <w:p w14:paraId="652FC20D" w14:textId="7B358D55" w:rsidR="00B6085E" w:rsidRPr="00487162" w:rsidRDefault="00B6085E" w:rsidP="00DB750B">
          <w:pPr>
            <w:pStyle w:val="Footer"/>
            <w:jc w:val="right"/>
          </w:pPr>
          <w:r w:rsidRPr="00487162">
            <w:t xml:space="preserve">Page </w:t>
          </w:r>
          <w:r>
            <w:fldChar w:fldCharType="begin"/>
          </w:r>
          <w:r>
            <w:instrText xml:space="preserve"> PAGE  \* Arabic </w:instrText>
          </w:r>
          <w:r>
            <w:fldChar w:fldCharType="separate"/>
          </w:r>
          <w:r w:rsidR="00B857CE">
            <w:rPr>
              <w:noProof/>
            </w:rPr>
            <w:t>60</w:t>
          </w:r>
          <w:r>
            <w:fldChar w:fldCharType="end"/>
          </w:r>
          <w:r w:rsidRPr="00487162">
            <w:t xml:space="preserve"> of </w:t>
          </w:r>
          <w:r w:rsidR="006737A0">
            <w:fldChar w:fldCharType="begin"/>
          </w:r>
          <w:r w:rsidR="006737A0">
            <w:instrText xml:space="preserve"> NUMPAGES  \* Arabic </w:instrText>
          </w:r>
          <w:r w:rsidR="006737A0">
            <w:fldChar w:fldCharType="separate"/>
          </w:r>
          <w:r w:rsidR="00B857CE">
            <w:rPr>
              <w:noProof/>
            </w:rPr>
            <w:t>80</w:t>
          </w:r>
          <w:r w:rsidR="006737A0">
            <w:rPr>
              <w:noProof/>
            </w:rPr>
            <w:fldChar w:fldCharType="end"/>
          </w:r>
        </w:p>
      </w:tc>
    </w:tr>
  </w:tbl>
  <w:p w14:paraId="14AC122D" w14:textId="77777777" w:rsidR="00B6085E" w:rsidRDefault="00B6085E"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6085E" w:rsidRPr="00487162" w14:paraId="0B415FE1" w14:textId="77777777" w:rsidTr="00E45619">
      <w:trPr>
        <w:trHeight w:val="269"/>
      </w:trPr>
      <w:tc>
        <w:tcPr>
          <w:tcW w:w="4519" w:type="dxa"/>
          <w:tcBorders>
            <w:top w:val="single" w:sz="4" w:space="0" w:color="auto"/>
          </w:tcBorders>
          <w:tcMar>
            <w:top w:w="142" w:type="dxa"/>
            <w:bottom w:w="0" w:type="dxa"/>
          </w:tcMar>
        </w:tcPr>
        <w:p w14:paraId="308609FE" w14:textId="77777777" w:rsidR="00B6085E" w:rsidRPr="00487162" w:rsidRDefault="00B6085E" w:rsidP="00FE1DEE">
          <w:pPr>
            <w:pStyle w:val="Footer"/>
          </w:pPr>
          <w:r w:rsidRPr="00487162">
            <w:t>Document title, Part #, Section # - Section title</w:t>
          </w:r>
        </w:p>
        <w:p w14:paraId="213A2AD8" w14:textId="77777777" w:rsidR="00B6085E" w:rsidRPr="00487162" w:rsidRDefault="00B6085E" w:rsidP="00FE1DEE">
          <w:pPr>
            <w:pStyle w:val="Footer"/>
          </w:pPr>
          <w:r w:rsidRPr="00487162">
            <w:t>V1.0 October 2010</w:t>
          </w:r>
        </w:p>
      </w:tc>
      <w:tc>
        <w:tcPr>
          <w:tcW w:w="4342" w:type="dxa"/>
          <w:tcBorders>
            <w:top w:val="single" w:sz="4" w:space="0" w:color="auto"/>
          </w:tcBorders>
          <w:tcMar>
            <w:top w:w="142" w:type="dxa"/>
            <w:bottom w:w="0" w:type="dxa"/>
          </w:tcMar>
        </w:tcPr>
        <w:p w14:paraId="4F8A6494" w14:textId="77777777" w:rsidR="00B6085E" w:rsidRPr="00487162" w:rsidRDefault="00B6085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6737A0">
            <w:fldChar w:fldCharType="begin"/>
          </w:r>
          <w:r w:rsidR="006737A0">
            <w:instrText xml:space="preserve"> NUMPAGES  </w:instrText>
          </w:r>
          <w:r w:rsidR="006737A0">
            <w:fldChar w:fldCharType="separate"/>
          </w:r>
          <w:r>
            <w:rPr>
              <w:noProof/>
            </w:rPr>
            <w:t>21</w:t>
          </w:r>
          <w:r w:rsidR="006737A0">
            <w:rPr>
              <w:noProof/>
            </w:rPr>
            <w:fldChar w:fldCharType="end"/>
          </w:r>
        </w:p>
      </w:tc>
    </w:tr>
  </w:tbl>
  <w:p w14:paraId="6607F39B" w14:textId="77777777" w:rsidR="00B6085E" w:rsidRDefault="00B608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F06BD" w14:textId="77777777" w:rsidR="00B6085E" w:rsidRPr="001C32CD" w:rsidRDefault="00B6085E"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6085E" w14:paraId="50045E22" w14:textId="77777777" w:rsidTr="0010601F">
      <w:trPr>
        <w:trHeight w:val="108"/>
      </w:trPr>
      <w:tc>
        <w:tcPr>
          <w:tcW w:w="8875" w:type="dxa"/>
          <w:gridSpan w:val="2"/>
          <w:tcBorders>
            <w:bottom w:val="single" w:sz="4" w:space="0" w:color="auto"/>
          </w:tcBorders>
          <w:tcMar>
            <w:right w:w="284" w:type="dxa"/>
          </w:tcMar>
        </w:tcPr>
        <w:p w14:paraId="00F9C539" w14:textId="77777777" w:rsidR="00B6085E" w:rsidRDefault="00B6085E" w:rsidP="006E08B3">
          <w:pPr>
            <w:pStyle w:val="Heading3"/>
          </w:pPr>
          <w:r>
            <w:t>Copyright</w:t>
          </w:r>
        </w:p>
        <w:p w14:paraId="090FC944" w14:textId="77777777" w:rsidR="00B6085E" w:rsidRDefault="00B6085E" w:rsidP="006E08B3">
          <w:r>
            <w:rPr>
              <w:rFonts w:cs="Arial"/>
            </w:rPr>
            <w:t>©</w:t>
          </w:r>
          <w:r>
            <w:t xml:space="preserve"> Commonwealth of Australia [add year]</w:t>
          </w:r>
        </w:p>
        <w:p w14:paraId="3DA8F9F7" w14:textId="77777777" w:rsidR="00B6085E" w:rsidRDefault="00B6085E" w:rsidP="006E08B3"/>
        <w:p w14:paraId="168A49EB" w14:textId="77777777" w:rsidR="00B6085E" w:rsidRDefault="00B6085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52427B9C" w14:textId="77777777" w:rsidR="00B6085E" w:rsidRDefault="00B6085E" w:rsidP="006E08B3"/>
        <w:p w14:paraId="5B8CF533" w14:textId="77777777" w:rsidR="00B6085E" w:rsidRDefault="00B6085E" w:rsidP="006E08B3">
          <w:pPr>
            <w:pStyle w:val="Heading3"/>
          </w:pPr>
          <w:r>
            <w:t>Confidentiality</w:t>
          </w:r>
        </w:p>
        <w:p w14:paraId="49A78416" w14:textId="77777777" w:rsidR="00B6085E" w:rsidRDefault="00B6085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A8322AC" w14:textId="77777777" w:rsidR="00B6085E" w:rsidRDefault="00B6085E" w:rsidP="006E08B3"/>
        <w:p w14:paraId="53D602CA" w14:textId="77777777" w:rsidR="00B6085E" w:rsidRDefault="00B6085E" w:rsidP="006E08B3">
          <w:r>
            <w:t>For submission made by individuals, all personal details, other than your name, will be removed from your submission before it is published on the TGA’s Internet site.</w:t>
          </w:r>
        </w:p>
        <w:p w14:paraId="5435E536" w14:textId="77777777" w:rsidR="00B6085E" w:rsidRDefault="00B6085E" w:rsidP="006E08B3"/>
        <w:p w14:paraId="32A71CB0" w14:textId="77777777" w:rsidR="00B6085E" w:rsidRDefault="00B6085E" w:rsidP="006E08B3">
          <w:r>
            <w:t>In addition, a list of parties making submissions will be published. If you do not wish to be identified with your submission you must specifically request this in the space provided in the submission coversheet.</w:t>
          </w:r>
        </w:p>
      </w:tc>
    </w:tr>
    <w:tr w:rsidR="00B6085E" w14:paraId="5928A786" w14:textId="77777777" w:rsidTr="0010601F">
      <w:trPr>
        <w:trHeight w:val="417"/>
      </w:trPr>
      <w:tc>
        <w:tcPr>
          <w:tcW w:w="4519" w:type="dxa"/>
          <w:tcBorders>
            <w:top w:val="single" w:sz="4" w:space="0" w:color="auto"/>
          </w:tcBorders>
          <w:tcMar>
            <w:top w:w="142" w:type="dxa"/>
            <w:bottom w:w="0" w:type="dxa"/>
          </w:tcMar>
        </w:tcPr>
        <w:p w14:paraId="529C2228" w14:textId="77777777" w:rsidR="00B6085E" w:rsidRDefault="00B6085E" w:rsidP="006E08B3">
          <w:r>
            <w:t>Document title, Part #, Section # - Section title</w:t>
          </w:r>
        </w:p>
        <w:p w14:paraId="4AD73046" w14:textId="77777777" w:rsidR="00B6085E" w:rsidRDefault="00B6085E" w:rsidP="006E08B3">
          <w:r>
            <w:t>V1.0 October 2010</w:t>
          </w:r>
        </w:p>
      </w:tc>
      <w:tc>
        <w:tcPr>
          <w:tcW w:w="4356" w:type="dxa"/>
          <w:tcBorders>
            <w:top w:val="single" w:sz="4" w:space="0" w:color="auto"/>
          </w:tcBorders>
          <w:tcMar>
            <w:top w:w="142" w:type="dxa"/>
            <w:bottom w:w="0" w:type="dxa"/>
          </w:tcMar>
        </w:tcPr>
        <w:p w14:paraId="3C63BBCE" w14:textId="77777777" w:rsidR="00B6085E" w:rsidRDefault="00B6085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6737A0">
            <w:fldChar w:fldCharType="begin"/>
          </w:r>
          <w:r w:rsidR="006737A0">
            <w:instrText xml:space="preserve"> NUMPAGES  \* Arabic </w:instrText>
          </w:r>
          <w:r w:rsidR="006737A0">
            <w:fldChar w:fldCharType="separate"/>
          </w:r>
          <w:r>
            <w:rPr>
              <w:noProof/>
            </w:rPr>
            <w:t>21</w:t>
          </w:r>
          <w:r w:rsidR="006737A0">
            <w:rPr>
              <w:noProof/>
            </w:rPr>
            <w:fldChar w:fldCharType="end"/>
          </w:r>
          <w:r>
            <w:t xml:space="preserve">  </w:t>
          </w:r>
        </w:p>
      </w:tc>
    </w:tr>
  </w:tbl>
  <w:p w14:paraId="07AFA9C8" w14:textId="77777777" w:rsidR="00B6085E" w:rsidRDefault="00B6085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14342" w14:textId="77777777" w:rsidR="00072352" w:rsidRDefault="00072352" w:rsidP="00C40A36">
      <w:pPr>
        <w:spacing w:after="0"/>
      </w:pPr>
      <w:r>
        <w:separator/>
      </w:r>
    </w:p>
  </w:footnote>
  <w:footnote w:type="continuationSeparator" w:id="0">
    <w:p w14:paraId="0BC7A4AC" w14:textId="77777777" w:rsidR="00072352" w:rsidRDefault="00072352" w:rsidP="00C40A36">
      <w:pPr>
        <w:spacing w:after="0"/>
      </w:pPr>
      <w:r>
        <w:continuationSeparator/>
      </w:r>
    </w:p>
  </w:footnote>
  <w:footnote w:id="1">
    <w:p w14:paraId="7054A88B" w14:textId="7BE5A86F" w:rsidR="00B6085E" w:rsidRPr="000B3827" w:rsidRDefault="00B6085E">
      <w:pPr>
        <w:pStyle w:val="FootnoteText"/>
        <w:rPr>
          <w:lang w:val="en-GB"/>
        </w:rPr>
      </w:pPr>
      <w:r>
        <w:rPr>
          <w:rStyle w:val="FootnoteReference"/>
        </w:rPr>
        <w:footnoteRef/>
      </w:r>
      <w:r>
        <w:t xml:space="preserve"> </w:t>
      </w:r>
      <w:r w:rsidRPr="00C2574C">
        <w:t>Australian Institute of Health and Welfare (AIHW). Australian Cancer Incidence and Mortality (ACIM) books: Multiple myeloma. Canberra: AIHW, 2017.</w:t>
      </w:r>
    </w:p>
  </w:footnote>
  <w:footnote w:id="2">
    <w:p w14:paraId="41F5D53C" w14:textId="51C2754C" w:rsidR="00B6085E" w:rsidRPr="000B3827" w:rsidRDefault="00B6085E">
      <w:pPr>
        <w:pStyle w:val="FootnoteText"/>
        <w:rPr>
          <w:lang w:val="en-GB"/>
        </w:rPr>
      </w:pPr>
      <w:r>
        <w:rPr>
          <w:rStyle w:val="FootnoteReference"/>
        </w:rPr>
        <w:footnoteRef/>
      </w:r>
      <w:r>
        <w:t xml:space="preserve"> </w:t>
      </w:r>
      <w:r w:rsidRPr="00B84E31">
        <w:t xml:space="preserve">Australian Institute of Health and Welfare. Cancer data in Australia. Cat. no. CAN 122. </w:t>
      </w:r>
      <w:r>
        <w:t xml:space="preserve">Available at: </w:t>
      </w:r>
      <w:hyperlink r:id="rId1" w:history="1">
        <w:r w:rsidRPr="004D0959">
          <w:rPr>
            <w:rStyle w:val="Hyperlink"/>
          </w:rPr>
          <w:t>https://www.aihw.gov.au/reports/cancer/cancer-data-in-australia</w:t>
        </w:r>
      </w:hyperlink>
      <w:r>
        <w:t xml:space="preserve"> </w:t>
      </w:r>
    </w:p>
  </w:footnote>
  <w:footnote w:id="3">
    <w:p w14:paraId="637A6685" w14:textId="36FCC9DA" w:rsidR="00B6085E" w:rsidRPr="000B3827" w:rsidRDefault="00B6085E">
      <w:pPr>
        <w:pStyle w:val="FootnoteText"/>
        <w:rPr>
          <w:lang w:val="en-GB"/>
        </w:rPr>
      </w:pPr>
      <w:r>
        <w:rPr>
          <w:rStyle w:val="FootnoteReference"/>
        </w:rPr>
        <w:footnoteRef/>
      </w:r>
      <w:r>
        <w:t xml:space="preserve"> Multiple myeloma in Australia statistics. Cancer Australia (2022). Available at: </w:t>
      </w:r>
      <w:hyperlink r:id="rId2" w:history="1">
        <w:r w:rsidRPr="004D0959">
          <w:rPr>
            <w:rStyle w:val="Hyperlink"/>
          </w:rPr>
          <w:t>https://www.canceraustralia.gov.au/cancer-types/myeloma/statistics</w:t>
        </w:r>
      </w:hyperlink>
      <w:r>
        <w:t xml:space="preserve"> </w:t>
      </w:r>
    </w:p>
  </w:footnote>
  <w:footnote w:id="4">
    <w:p w14:paraId="2B189125" w14:textId="387A390A" w:rsidR="00B6085E" w:rsidRPr="000B3827" w:rsidRDefault="00B6085E">
      <w:pPr>
        <w:pStyle w:val="FootnoteText"/>
        <w:rPr>
          <w:lang w:val="en-GB"/>
        </w:rPr>
      </w:pPr>
      <w:r>
        <w:rPr>
          <w:rStyle w:val="FootnoteReference"/>
        </w:rPr>
        <w:footnoteRef/>
      </w:r>
      <w:r>
        <w:t xml:space="preserve"> </w:t>
      </w:r>
      <w:r w:rsidRPr="007E1E89">
        <w:t>Medical Scientific Advisory Group to the Myeloma Foundation of Australia (2015). Clinical practice guideline: multiple myeloma</w:t>
      </w:r>
      <w:r>
        <w:t xml:space="preserve">. Available at: </w:t>
      </w:r>
      <w:hyperlink r:id="rId3" w:history="1">
        <w:r w:rsidRPr="004D0959">
          <w:rPr>
            <w:rStyle w:val="Hyperlink"/>
          </w:rPr>
          <w:t>https://myeloma.org.au/wp-content/uploads/2017/10/MSAG-Clinical-Practice-Guideline-Myeloma-V4-March-2017.pdf</w:t>
        </w:r>
      </w:hyperlink>
      <w:r>
        <w:t xml:space="preserve"> </w:t>
      </w:r>
    </w:p>
  </w:footnote>
  <w:footnote w:id="5">
    <w:p w14:paraId="25D1C654" w14:textId="5B41DC22" w:rsidR="00B6085E" w:rsidRDefault="00B6085E">
      <w:pPr>
        <w:pStyle w:val="FootnoteText"/>
      </w:pPr>
      <w:r>
        <w:rPr>
          <w:rStyle w:val="FootnoteReference"/>
        </w:rPr>
        <w:footnoteRef/>
      </w:r>
      <w:r>
        <w:t xml:space="preserve"> Nexpovio is the registered tradename for selinexor in United Kingdom</w:t>
      </w:r>
    </w:p>
  </w:footnote>
  <w:footnote w:id="6">
    <w:p w14:paraId="1B8E5A82" w14:textId="3359D70B" w:rsidR="00B6085E" w:rsidRPr="000B3827" w:rsidRDefault="00B6085E">
      <w:pPr>
        <w:pStyle w:val="FootnoteText"/>
        <w:rPr>
          <w:lang w:val="en-GB"/>
        </w:rPr>
      </w:pPr>
      <w:r>
        <w:rPr>
          <w:rStyle w:val="FootnoteReference"/>
        </w:rPr>
        <w:footnoteRef/>
      </w:r>
      <w:r>
        <w:t xml:space="preserve"> International Council for Harmonisation (</w:t>
      </w:r>
      <w:r w:rsidRPr="009450D5">
        <w:t>ICH</w:t>
      </w:r>
      <w:r>
        <w:t>)</w:t>
      </w:r>
      <w:r w:rsidRPr="009450D5">
        <w:t xml:space="preserve"> </w:t>
      </w:r>
      <w:r>
        <w:t xml:space="preserve">Guideline </w:t>
      </w:r>
      <w:r w:rsidRPr="009450D5">
        <w:t>S9 Non-clinical evaluation for anticancer pharmaceuticals</w:t>
      </w:r>
      <w:r>
        <w:t>.</w:t>
      </w:r>
    </w:p>
  </w:footnote>
  <w:footnote w:id="7">
    <w:p w14:paraId="06E03E98" w14:textId="77777777" w:rsidR="00B6085E" w:rsidRDefault="00B6085E" w:rsidP="0072605A">
      <w:pPr>
        <w:pStyle w:val="FootnoteText"/>
      </w:pPr>
      <w:r>
        <w:rPr>
          <w:rStyle w:val="FootnoteReference"/>
        </w:rPr>
        <w:footnoteRef/>
      </w:r>
      <w:r>
        <w:t xml:space="preserve"> </w:t>
      </w:r>
      <w:r w:rsidRPr="00E229D2">
        <w:rPr>
          <w:b/>
          <w:bCs/>
        </w:rPr>
        <w:t>Cytochrome P450 (CYP)</w:t>
      </w:r>
      <w:r>
        <w:t xml:space="preserve"> enzymes: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7B43A263" w14:textId="7E3894B4" w:rsidR="00B6085E" w:rsidRPr="0072605A" w:rsidRDefault="00B6085E">
      <w:pPr>
        <w:pStyle w:val="FootnoteText"/>
      </w:pPr>
      <w:r>
        <w:t xml:space="preserve">Many drugs may increase or decrease the activity of various CYP isozymes either by inducing the biosynthesis of an isozyme (enzyme induction) or by directly inhibiting the activity of the CYP (enzyme inhibition). This is a major source of adverse drug </w:t>
      </w:r>
      <w:proofErr w:type="gramStart"/>
      <w:r>
        <w:t>interactions, since</w:t>
      </w:r>
      <w:proofErr w:type="gramEnd"/>
      <w:r>
        <w:t xml:space="preserve"> changes in CYP enzyme activity may affect the metabolism and clearance of various drugs. Such drug interactions are especially important to </w:t>
      </w:r>
      <w:proofErr w:type="gramStart"/>
      <w:r>
        <w:t>take into account</w:t>
      </w:r>
      <w:proofErr w:type="gramEnd"/>
      <w:r>
        <w:t xml:space="preserve"> when using drugs of vital importance to the patient, drugs with important side-effects and drugs with small therapeutic windows, but any drug may be subject to an altered plasma concentration due to altered drug metabolism.</w:t>
      </w:r>
    </w:p>
  </w:footnote>
  <w:footnote w:id="8">
    <w:p w14:paraId="24141A56" w14:textId="599FCD2D" w:rsidR="00B6085E" w:rsidRDefault="00B6085E" w:rsidP="002028C7">
      <w:pPr>
        <w:pStyle w:val="FootnoteText"/>
      </w:pPr>
      <w:r>
        <w:rPr>
          <w:rStyle w:val="FootnoteReference"/>
        </w:rPr>
        <w:footnoteRef/>
      </w:r>
      <w:r>
        <w:t xml:space="preserve"> Drugs which have such a high risk of causing permanent damage to the fetus that they should not be used in pregnancy or when there is a possibility of pregnancy.</w:t>
      </w:r>
    </w:p>
  </w:footnote>
  <w:footnote w:id="9">
    <w:p w14:paraId="4FD2FBE3" w14:textId="5623AB46" w:rsidR="00B6085E" w:rsidRDefault="00B6085E">
      <w:pPr>
        <w:pStyle w:val="FootnoteText"/>
      </w:pPr>
      <w:r>
        <w:rPr>
          <w:rStyle w:val="FootnoteReference"/>
        </w:rPr>
        <w:footnoteRef/>
      </w:r>
      <w:r>
        <w:t xml:space="preserve"> </w:t>
      </w:r>
      <w:r w:rsidRPr="002028C7">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10">
    <w:p w14:paraId="3D4065DC" w14:textId="77777777" w:rsidR="00B6085E" w:rsidRDefault="00B6085E" w:rsidP="00614183">
      <w:pPr>
        <w:pStyle w:val="FootnoteText"/>
      </w:pPr>
      <w:r>
        <w:rPr>
          <w:rStyle w:val="FootnoteReference"/>
        </w:rPr>
        <w:footnoteRef/>
      </w:r>
      <w:r>
        <w:t xml:space="preserve"> The </w:t>
      </w:r>
      <w:r w:rsidRPr="00C048CA">
        <w:rPr>
          <w:b/>
          <w:bCs/>
        </w:rPr>
        <w:t>QT interval</w:t>
      </w:r>
      <w:r>
        <w:t xml:space="preserve"> is the time from the start of the QRS wave complex to the end of the corresponding T wave. It approximates to the time taken for ventricular depolarisation and repolarisation</w:t>
      </w:r>
      <w:proofErr w:type="gramStart"/>
      <w:r>
        <w:t>, that is to say, the</w:t>
      </w:r>
      <w:proofErr w:type="gramEnd"/>
      <w:r>
        <w:t xml:space="preserve"> period of ventricular systole from ventricular isovolumetric contraction to isovolumetric relaxation.</w:t>
      </w:r>
    </w:p>
    <w:p w14:paraId="68EA9404" w14:textId="06951A34" w:rsidR="00B6085E" w:rsidRPr="00614183" w:rsidRDefault="00B6085E">
      <w:pPr>
        <w:pStyle w:val="FootnoteText"/>
      </w:pPr>
      <w:r>
        <w:t>The corrected QT interval (</w:t>
      </w:r>
      <w:r w:rsidRPr="00C048CA">
        <w:rPr>
          <w:b/>
          <w:bCs/>
        </w:rPr>
        <w:t>QTc</w:t>
      </w:r>
      <w:r>
        <w:t xml:space="preserve">) estimates the QT interval at a standard heart rate. This allows comparison of QT values over time at different heart rates and improves detection of patients at increased risk of arrhythmias. The </w:t>
      </w:r>
      <w:r w:rsidRPr="00C048CA">
        <w:rPr>
          <w:b/>
          <w:bCs/>
        </w:rPr>
        <w:t>QTcF</w:t>
      </w:r>
      <w:r>
        <w:t xml:space="preserve"> is the QT interval corrected for heart rate according to Fridericia’s formula.</w:t>
      </w:r>
    </w:p>
  </w:footnote>
  <w:footnote w:id="11">
    <w:p w14:paraId="2ED79633" w14:textId="75FB6B34" w:rsidR="00B6085E" w:rsidRPr="00614183" w:rsidRDefault="00B6085E" w:rsidP="00614183">
      <w:pPr>
        <w:pStyle w:val="FootnoteText"/>
      </w:pPr>
      <w:r>
        <w:rPr>
          <w:rStyle w:val="FootnoteReference"/>
        </w:rPr>
        <w:footnoteRef/>
      </w:r>
      <w:r>
        <w:t xml:space="preserve"> </w:t>
      </w:r>
      <w:r w:rsidRPr="00614183">
        <w:t>Selinexor and Backbone Treatments of Multiple Myeloma Patients (STOMP)</w:t>
      </w:r>
      <w:r>
        <w:t xml:space="preserve">. </w:t>
      </w:r>
      <w:r w:rsidRPr="00614183">
        <w:t>This study independently assess</w:t>
      </w:r>
      <w:r>
        <w:t>ed</w:t>
      </w:r>
      <w:r w:rsidRPr="00614183">
        <w:t xml:space="preserve"> the efficacy and safety of 10 combination therapies</w:t>
      </w:r>
      <w:r>
        <w:t xml:space="preserve"> (all including selinexor)</w:t>
      </w:r>
      <w:r w:rsidRPr="00614183">
        <w:t xml:space="preserve"> in 11 arms, in dose-escalation/-evaluation and expansion phases, for the treatment of patients with relapsed/refractory multiple myeloma (RRMM) and newly diagnosed multiple myeloma (NDMM).</w:t>
      </w:r>
      <w:r>
        <w:t xml:space="preserve"> ClinicalTrials.gov Identifier: NCT02343042.</w:t>
      </w:r>
    </w:p>
  </w:footnote>
  <w:footnote w:id="12">
    <w:p w14:paraId="64454D72" w14:textId="008977EC" w:rsidR="00B6085E" w:rsidRDefault="00B6085E">
      <w:pPr>
        <w:pStyle w:val="FootnoteText"/>
      </w:pPr>
      <w:r>
        <w:rPr>
          <w:rStyle w:val="FootnoteReference"/>
        </w:rPr>
        <w:footnoteRef/>
      </w:r>
      <w:r>
        <w:t xml:space="preserve"> </w:t>
      </w:r>
      <w:r w:rsidRPr="00D84192">
        <w:t xml:space="preserve">Palumbo A, et al. Revised International Staging System for Multiple Myeloma: A Report </w:t>
      </w:r>
      <w:proofErr w:type="gramStart"/>
      <w:r w:rsidRPr="00D84192">
        <w:t>From</w:t>
      </w:r>
      <w:proofErr w:type="gramEnd"/>
      <w:r w:rsidRPr="00D84192">
        <w:t xml:space="preserve"> International Myeloma Working Group. </w:t>
      </w:r>
      <w:r w:rsidRPr="00D84192">
        <w:rPr>
          <w:i/>
          <w:iCs/>
        </w:rPr>
        <w:t>J Clin Oncol</w:t>
      </w:r>
      <w:r w:rsidRPr="00D84192">
        <w:t>. 2015;33(26):2863-2869.</w:t>
      </w:r>
    </w:p>
  </w:footnote>
  <w:footnote w:id="13">
    <w:p w14:paraId="4C3EEF6C" w14:textId="798943FB" w:rsidR="00B6085E" w:rsidRDefault="00B6085E" w:rsidP="00936030">
      <w:pPr>
        <w:pStyle w:val="FootnoteText"/>
      </w:pPr>
      <w:r>
        <w:rPr>
          <w:rStyle w:val="FootnoteReference"/>
        </w:rPr>
        <w:footnoteRef/>
      </w:r>
      <w:r>
        <w:t xml:space="preserve"> R-ISS Stage I: ISS stage I and standard-risk </w:t>
      </w:r>
      <w:r w:rsidRPr="00936030">
        <w:t>chromosomal abnormalities</w:t>
      </w:r>
      <w:r>
        <w:t xml:space="preserve"> by </w:t>
      </w:r>
      <w:r w:rsidRPr="00936030">
        <w:t>interphase fluorescent in situ hybridi</w:t>
      </w:r>
      <w:r>
        <w:t>s</w:t>
      </w:r>
      <w:r w:rsidRPr="00936030">
        <w:t>ation</w:t>
      </w:r>
      <w:r>
        <w:t xml:space="preserve"> and normal </w:t>
      </w:r>
      <w:r w:rsidRPr="00936030">
        <w:t xml:space="preserve">lactate </w:t>
      </w:r>
      <w:proofErr w:type="gramStart"/>
      <w:r w:rsidRPr="00936030">
        <w:t>dehydrogenase</w:t>
      </w:r>
      <w:r>
        <w:t>;</w:t>
      </w:r>
      <w:proofErr w:type="gramEnd"/>
    </w:p>
    <w:p w14:paraId="2573EB36" w14:textId="18AAC499" w:rsidR="00B6085E" w:rsidRDefault="00B6085E" w:rsidP="00936030">
      <w:pPr>
        <w:pStyle w:val="FootnoteText"/>
      </w:pPr>
      <w:r>
        <w:t xml:space="preserve">R-ISS Stage II: Not R-ISS stage I or </w:t>
      </w:r>
      <w:proofErr w:type="gramStart"/>
      <w:r>
        <w:t>III;</w:t>
      </w:r>
      <w:proofErr w:type="gramEnd"/>
    </w:p>
    <w:p w14:paraId="28789B02" w14:textId="6788F416" w:rsidR="00B6085E" w:rsidRDefault="00B6085E" w:rsidP="00936030">
      <w:pPr>
        <w:pStyle w:val="FootnoteText"/>
      </w:pPr>
      <w:r>
        <w:t xml:space="preserve">R- ISS Stage III: ISS stage III and </w:t>
      </w:r>
      <w:proofErr w:type="gramStart"/>
      <w:r>
        <w:t xml:space="preserve">either high-risk </w:t>
      </w:r>
      <w:r w:rsidRPr="00936030">
        <w:t>chromosomal abnormalities</w:t>
      </w:r>
      <w:proofErr w:type="gramEnd"/>
      <w:r>
        <w:t xml:space="preserve"> by </w:t>
      </w:r>
      <w:r w:rsidRPr="00936030">
        <w:t>interphase fluorescent in situ hybridi</w:t>
      </w:r>
      <w:r>
        <w:t>s</w:t>
      </w:r>
      <w:r w:rsidRPr="00936030">
        <w:t>ation</w:t>
      </w:r>
      <w:r>
        <w:t xml:space="preserve"> and high </w:t>
      </w:r>
      <w:r w:rsidRPr="00936030">
        <w:t>lactate dehydrogenase</w:t>
      </w:r>
      <w:r>
        <w:t>.</w:t>
      </w:r>
    </w:p>
  </w:footnote>
  <w:footnote w:id="14">
    <w:p w14:paraId="58C4DC2E" w14:textId="77777777" w:rsidR="00B6085E" w:rsidRDefault="00B6085E" w:rsidP="00E9477C">
      <w:pPr>
        <w:pStyle w:val="FootnoteText"/>
        <w:spacing w:before="120" w:after="120"/>
        <w:rPr>
          <w:lang w:eastAsia="ja-JP"/>
        </w:rPr>
      </w:pPr>
      <w:r>
        <w:rPr>
          <w:rStyle w:val="FootnoteReference"/>
        </w:rPr>
        <w:footnoteRef/>
      </w:r>
      <w:r>
        <w:t xml:space="preserve"> </w:t>
      </w:r>
      <w:r>
        <w:rPr>
          <w:rStyle w:val="FootnoteReference"/>
        </w:rPr>
        <w:footnoteRef/>
      </w:r>
      <w:r>
        <w:t xml:space="preserve"> </w:t>
      </w:r>
      <w:r>
        <w:rPr>
          <w:b/>
          <w:lang w:eastAsia="ja-JP"/>
        </w:rPr>
        <w:t>ECOG Performance Status:</w:t>
      </w:r>
      <w:r>
        <w:rPr>
          <w:lang w:eastAsia="ja-JP"/>
        </w:rPr>
        <w:t xml:space="preserve">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w:t>
      </w:r>
    </w:p>
    <w:p w14:paraId="133FA95B" w14:textId="77777777" w:rsidR="00B6085E" w:rsidRDefault="00B6085E" w:rsidP="00E9477C">
      <w:pPr>
        <w:pStyle w:val="FootnoteText"/>
        <w:spacing w:before="120" w:after="120"/>
        <w:rPr>
          <w:lang w:eastAsia="ja-JP"/>
        </w:rPr>
      </w:pPr>
      <w:r>
        <w:rPr>
          <w:lang w:eastAsia="ja-JP"/>
        </w:rPr>
        <w:t>0 - Fully active, able to carry on all pre-disease performance without restriction</w:t>
      </w:r>
    </w:p>
    <w:p w14:paraId="0C50B6F8" w14:textId="77777777" w:rsidR="00B6085E" w:rsidRDefault="00B6085E" w:rsidP="00E9477C">
      <w:pPr>
        <w:pStyle w:val="FootnoteText"/>
        <w:spacing w:before="120" w:after="120"/>
        <w:rPr>
          <w:lang w:eastAsia="ja-JP"/>
        </w:rPr>
      </w:pPr>
      <w:r>
        <w:rPr>
          <w:lang w:eastAsia="ja-JP"/>
        </w:rPr>
        <w:t xml:space="preserve">1- Restricted in physically strenuous activity but ambulatory and able to carry out work of a light or sedentary nature, for example, light </w:t>
      </w:r>
      <w:proofErr w:type="gramStart"/>
      <w:r>
        <w:rPr>
          <w:lang w:eastAsia="ja-JP"/>
        </w:rPr>
        <w:t>house work</w:t>
      </w:r>
      <w:proofErr w:type="gramEnd"/>
      <w:r>
        <w:rPr>
          <w:lang w:eastAsia="ja-JP"/>
        </w:rPr>
        <w:t>, office work</w:t>
      </w:r>
    </w:p>
    <w:p w14:paraId="0F87F055" w14:textId="77777777" w:rsidR="00B6085E" w:rsidRDefault="00B6085E" w:rsidP="00E9477C">
      <w:pPr>
        <w:pStyle w:val="FootnoteText"/>
        <w:spacing w:before="120" w:after="120"/>
        <w:rPr>
          <w:lang w:eastAsia="ja-JP"/>
        </w:rPr>
      </w:pPr>
      <w:r>
        <w:rPr>
          <w:lang w:eastAsia="ja-JP"/>
        </w:rPr>
        <w:t>2 - Ambulatory and capable of all self-care but unable to carry out any work activities. Up and about more than 50% of waking hours</w:t>
      </w:r>
    </w:p>
    <w:p w14:paraId="6D1BB51B" w14:textId="77777777" w:rsidR="00B6085E" w:rsidRDefault="00B6085E" w:rsidP="00E9477C">
      <w:pPr>
        <w:pStyle w:val="FootnoteText"/>
        <w:spacing w:before="120" w:after="120"/>
        <w:rPr>
          <w:lang w:eastAsia="ja-JP"/>
        </w:rPr>
      </w:pPr>
      <w:r>
        <w:rPr>
          <w:lang w:eastAsia="ja-JP"/>
        </w:rPr>
        <w:t>3 - Capable of only limited self-care, confined to bed or chair more than 50% of waking hours</w:t>
      </w:r>
    </w:p>
    <w:p w14:paraId="5AFFD0E8" w14:textId="77777777" w:rsidR="00B6085E" w:rsidRDefault="00B6085E" w:rsidP="00E9477C">
      <w:pPr>
        <w:pStyle w:val="FootnoteText"/>
        <w:spacing w:before="120" w:after="120"/>
        <w:rPr>
          <w:lang w:eastAsia="ja-JP"/>
        </w:rPr>
      </w:pPr>
      <w:r>
        <w:rPr>
          <w:lang w:eastAsia="ja-JP"/>
        </w:rPr>
        <w:t>4 - Completely disabled. Cannot carry on any self-care. Totally confined to bed or chair</w:t>
      </w:r>
    </w:p>
    <w:p w14:paraId="3BEEFEA1" w14:textId="4D2B6349" w:rsidR="00B6085E" w:rsidRDefault="00B6085E" w:rsidP="00E9477C">
      <w:pPr>
        <w:pStyle w:val="FootnoteText"/>
        <w:spacing w:before="120" w:after="120"/>
        <w:rPr>
          <w:lang w:eastAsia="ja-JP"/>
        </w:rPr>
      </w:pPr>
      <w:r>
        <w:rPr>
          <w:lang w:eastAsia="ja-JP"/>
        </w:rPr>
        <w:t>5 – Dead</w:t>
      </w:r>
    </w:p>
  </w:footnote>
  <w:footnote w:id="15">
    <w:p w14:paraId="6B2DE95A" w14:textId="2A5654A3" w:rsidR="00B6085E" w:rsidRDefault="00B6085E">
      <w:pPr>
        <w:pStyle w:val="FootnoteText"/>
      </w:pPr>
      <w:r>
        <w:rPr>
          <w:rStyle w:val="FootnoteReference"/>
        </w:rPr>
        <w:footnoteRef/>
      </w:r>
      <w:r>
        <w:t xml:space="preserve"> Body surface area = </w:t>
      </w:r>
      <w:r w:rsidRPr="00E9477C">
        <w:t>0.007184 * Height</w:t>
      </w:r>
      <w:r w:rsidRPr="00E9477C">
        <w:rPr>
          <w:vertAlign w:val="superscript"/>
        </w:rPr>
        <w:t>0.725</w:t>
      </w:r>
      <w:r w:rsidRPr="00E9477C">
        <w:t xml:space="preserve"> * Weight</w:t>
      </w:r>
      <w:r w:rsidRPr="00E9477C">
        <w:rPr>
          <w:vertAlign w:val="superscript"/>
        </w:rPr>
        <w:t>0.425</w:t>
      </w:r>
    </w:p>
  </w:footnote>
  <w:footnote w:id="16">
    <w:p w14:paraId="504E2340" w14:textId="6A7A00A5" w:rsidR="00B6085E" w:rsidRDefault="00B6085E">
      <w:pPr>
        <w:pStyle w:val="FootnoteText"/>
      </w:pPr>
      <w:r>
        <w:rPr>
          <w:rStyle w:val="FootnoteReference"/>
        </w:rPr>
        <w:footnoteRef/>
      </w:r>
      <w:r>
        <w:t xml:space="preserve"> </w:t>
      </w:r>
      <w:r w:rsidRPr="00E9477C">
        <w:t>B</w:t>
      </w:r>
      <w:r>
        <w:t>ody surface area</w:t>
      </w:r>
      <w:r w:rsidRPr="00E9477C">
        <w:t xml:space="preserve"> = Square root ((Ht (cm) x Wt (kg))/3600)</w:t>
      </w:r>
    </w:p>
  </w:footnote>
  <w:footnote w:id="17">
    <w:p w14:paraId="6487455E" w14:textId="77777777" w:rsidR="00B6085E" w:rsidRDefault="00B6085E" w:rsidP="00E9477C">
      <w:pPr>
        <w:pStyle w:val="FootnoteText"/>
      </w:pPr>
      <w:r>
        <w:rPr>
          <w:rStyle w:val="FootnoteReference"/>
        </w:rPr>
        <w:footnoteRef/>
      </w:r>
      <w:r>
        <w:t xml:space="preserve"> The New York Heart Association (NYHA) criteria categorise heart failure into four classes based on patient symptoms and function.</w:t>
      </w:r>
    </w:p>
    <w:p w14:paraId="347D1B83" w14:textId="77777777" w:rsidR="00B6085E" w:rsidRDefault="00B6085E" w:rsidP="00E9477C">
      <w:pPr>
        <w:pStyle w:val="FootnoteText"/>
      </w:pPr>
      <w:r>
        <w:t xml:space="preserve">Class I: </w:t>
      </w:r>
      <w:r w:rsidRPr="00514F2C">
        <w:t>No limitation of ordinary physical activity</w:t>
      </w:r>
      <w:r>
        <w:t>.</w:t>
      </w:r>
    </w:p>
    <w:p w14:paraId="3E954DCD" w14:textId="77777777" w:rsidR="00B6085E" w:rsidRDefault="00B6085E" w:rsidP="00E9477C">
      <w:pPr>
        <w:pStyle w:val="FootnoteText"/>
      </w:pPr>
      <w:r>
        <w:t xml:space="preserve">Class II: </w:t>
      </w:r>
      <w:r w:rsidRPr="00514F2C">
        <w:t>Slight limitation of ordinary physical activity</w:t>
      </w:r>
      <w:r>
        <w:t xml:space="preserve">. </w:t>
      </w:r>
      <w:r w:rsidRPr="00514F2C">
        <w:t>No symptoms at rest</w:t>
      </w:r>
      <w:r>
        <w:t>.</w:t>
      </w:r>
    </w:p>
    <w:p w14:paraId="00D689D1" w14:textId="77777777" w:rsidR="00B6085E" w:rsidRDefault="00B6085E" w:rsidP="00E9477C">
      <w:pPr>
        <w:pStyle w:val="FootnoteText"/>
      </w:pPr>
      <w:r>
        <w:t xml:space="preserve">Class III: </w:t>
      </w:r>
      <w:r w:rsidRPr="00514F2C">
        <w:t>Marked limitation of ordinary physical activity</w:t>
      </w:r>
      <w:r>
        <w:t xml:space="preserve">. </w:t>
      </w:r>
      <w:r w:rsidRPr="00514F2C">
        <w:t>No symptoms at rest</w:t>
      </w:r>
      <w:r>
        <w:t>.</w:t>
      </w:r>
    </w:p>
    <w:p w14:paraId="1E92D23E" w14:textId="72C1BD35" w:rsidR="00B6085E" w:rsidRDefault="00B6085E">
      <w:pPr>
        <w:pStyle w:val="FootnoteText"/>
      </w:pPr>
      <w:r>
        <w:t xml:space="preserve">Class IV: </w:t>
      </w:r>
      <w:r w:rsidRPr="00514F2C">
        <w:t>Symptoms on any physical activity or at rest</w:t>
      </w:r>
      <w:r>
        <w:t>.</w:t>
      </w:r>
    </w:p>
  </w:footnote>
  <w:footnote w:id="18">
    <w:p w14:paraId="40660248" w14:textId="2E9EEFDA" w:rsidR="00B6085E" w:rsidRDefault="00B6085E">
      <w:pPr>
        <w:pStyle w:val="FootnoteText"/>
      </w:pPr>
      <w:r>
        <w:rPr>
          <w:rStyle w:val="FootnoteReference"/>
        </w:rPr>
        <w:footnoteRef/>
      </w:r>
      <w:r>
        <w:t xml:space="preserve"> IMWG response criteria</w:t>
      </w:r>
    </w:p>
    <w:p w14:paraId="226440E0" w14:textId="01DF1003" w:rsidR="00B6085E" w:rsidRDefault="00B6085E">
      <w:pPr>
        <w:pStyle w:val="FootnoteText"/>
      </w:pPr>
      <w:r>
        <w:t>Complete response (CR): negative immunofixation of serum and urine, disappearance of any soft tissue plasmacytomas, and &lt; 5% plasma cells in bone marrow aspirates.</w:t>
      </w:r>
    </w:p>
    <w:p w14:paraId="39BFA787" w14:textId="0E3CA8E4" w:rsidR="00B6085E" w:rsidRDefault="00B6085E">
      <w:pPr>
        <w:pStyle w:val="FootnoteText"/>
      </w:pPr>
      <w:r>
        <w:t>Stringent complete response (sCR): CR as defined above plus normal FLC ration and absence of clonal cells in bone marrow biopsy by immunohistochemistry.</w:t>
      </w:r>
    </w:p>
    <w:p w14:paraId="438DFCA2" w14:textId="62EA85E3" w:rsidR="00B6085E" w:rsidRDefault="00B6085E">
      <w:pPr>
        <w:pStyle w:val="FootnoteText"/>
      </w:pPr>
      <w:r>
        <w:t xml:space="preserve">Very good partial response (VGPR): Serum and urine M-protein detectable by immunofixation but not on electrophoreais or ≥ 90% reduction in serum M-protein plus urine M-protein level &lt; 100 mg per 24 </w:t>
      </w:r>
      <w:proofErr w:type="gramStart"/>
      <w:r>
        <w:t>hour</w:t>
      </w:r>
      <w:proofErr w:type="gramEnd"/>
      <w:r>
        <w:t>.</w:t>
      </w:r>
    </w:p>
    <w:p w14:paraId="02E3EE5D" w14:textId="3C1F7C25" w:rsidR="00B6085E" w:rsidRDefault="00B6085E">
      <w:pPr>
        <w:pStyle w:val="FootnoteText"/>
      </w:pPr>
      <w:r>
        <w:t xml:space="preserve">Partial response (PR): ≥ 50% reduction of serum M-protein plus reduction in </w:t>
      </w:r>
      <w:proofErr w:type="gramStart"/>
      <w:r>
        <w:t>24 hour</w:t>
      </w:r>
      <w:proofErr w:type="gramEnd"/>
      <w:r>
        <w:t xml:space="preserve"> urinary M-protein by ≥ 90% or to &lt; 200 mg/24 hour.</w:t>
      </w:r>
    </w:p>
  </w:footnote>
  <w:footnote w:id="19">
    <w:p w14:paraId="424203C6" w14:textId="77777777" w:rsidR="00B6085E" w:rsidRDefault="00B6085E" w:rsidP="000A1B6A">
      <w:pPr>
        <w:spacing w:before="0" w:after="0" w:line="240" w:lineRule="auto"/>
      </w:pPr>
      <w:r>
        <w:rPr>
          <w:rStyle w:val="FootnoteReference"/>
        </w:rPr>
        <w:footnoteRef/>
      </w:r>
      <w:r>
        <w:t xml:space="preserve"> </w:t>
      </w:r>
      <w:r>
        <w:rPr>
          <w:sz w:val="16"/>
          <w:szCs w:val="16"/>
          <w:lang w:eastAsia="ja-JP"/>
        </w:rPr>
        <w:t>This instrument combines the general version of the FACT (FACT-G) questionnaire with a MM-specific subscale (14 items). The subscales for the FACT-G are Physical Well-Being (7 items), Social/Family Well-Being (7 items), Emotional Well-Being (6 items), and Functional Well-Being (7 items). Each item is rated on a 5-point Likert scale, ranging from 0 (“Not at all”) to 4 (“Very much”).</w:t>
      </w:r>
    </w:p>
  </w:footnote>
  <w:footnote w:id="20">
    <w:p w14:paraId="28404242" w14:textId="6801FE02" w:rsidR="00B6085E" w:rsidRDefault="00B6085E">
      <w:pPr>
        <w:pStyle w:val="FootnoteText"/>
      </w:pPr>
      <w:r>
        <w:rPr>
          <w:rStyle w:val="FootnoteReference"/>
        </w:rPr>
        <w:footnoteRef/>
      </w:r>
      <w:r w:rsidRPr="00BD0AF0">
        <w:t>Dimopoulos</w:t>
      </w:r>
      <w:r>
        <w:t xml:space="preserve">, et al. </w:t>
      </w:r>
      <w:r w:rsidRPr="00BD0AF0">
        <w:t xml:space="preserve">Elotuzumab plus </w:t>
      </w:r>
      <w:r>
        <w:t>p</w:t>
      </w:r>
      <w:r w:rsidRPr="00BD0AF0">
        <w:t xml:space="preserve">omalidomide and </w:t>
      </w:r>
      <w:r>
        <w:t>d</w:t>
      </w:r>
      <w:r w:rsidRPr="00BD0AF0">
        <w:t xml:space="preserve">examethasone for </w:t>
      </w:r>
      <w:r>
        <w:t>m</w:t>
      </w:r>
      <w:r w:rsidRPr="00BD0AF0">
        <w:t xml:space="preserve">ultiple </w:t>
      </w:r>
      <w:r>
        <w:t>m</w:t>
      </w:r>
      <w:r w:rsidRPr="00BD0AF0">
        <w:t>yeloma</w:t>
      </w:r>
      <w:r>
        <w:t>.</w:t>
      </w:r>
      <w:r w:rsidRPr="00BD0AF0">
        <w:t xml:space="preserve"> </w:t>
      </w:r>
      <w:r w:rsidRPr="00BD0AF0">
        <w:rPr>
          <w:i/>
          <w:iCs/>
        </w:rPr>
        <w:t>N Engl J Med</w:t>
      </w:r>
      <w:r w:rsidRPr="00BD0AF0">
        <w:t xml:space="preserve"> 2018; 379:1811-1822</w:t>
      </w:r>
      <w:r>
        <w:t>.</w:t>
      </w:r>
    </w:p>
  </w:footnote>
  <w:footnote w:id="21">
    <w:p w14:paraId="63F9BA87" w14:textId="5DD7669F" w:rsidR="00B6085E" w:rsidRDefault="00B6085E">
      <w:pPr>
        <w:pStyle w:val="FootnoteText"/>
      </w:pPr>
      <w:r>
        <w:rPr>
          <w:rStyle w:val="FootnoteReference"/>
        </w:rPr>
        <w:footnoteRef/>
      </w:r>
      <w:r>
        <w:t xml:space="preserve"> EMA/559316/2022. Nexpovio: EPAR – Medicine overview. Available at </w:t>
      </w:r>
      <w:r w:rsidRPr="00BD0AF0">
        <w:t>www.ema.europa.eu</w:t>
      </w:r>
    </w:p>
  </w:footnote>
  <w:footnote w:id="22">
    <w:p w14:paraId="21BF8848" w14:textId="139E4BC3" w:rsidR="00B6085E" w:rsidRPr="000B3827" w:rsidRDefault="00B6085E">
      <w:pPr>
        <w:pStyle w:val="FootnoteText"/>
        <w:rPr>
          <w:lang w:val="en-GB"/>
        </w:rPr>
      </w:pPr>
      <w:r>
        <w:rPr>
          <w:rStyle w:val="FootnoteReference"/>
        </w:rPr>
        <w:footnoteRef/>
      </w:r>
      <w:r>
        <w:t xml:space="preserve"> </w:t>
      </w:r>
      <w:r>
        <w:rPr>
          <w:lang w:val="en-GB"/>
        </w:rPr>
        <w:t xml:space="preserve">Study XPORT-MM-028: </w:t>
      </w:r>
      <w:r w:rsidRPr="008F0B15">
        <w:rPr>
          <w:lang w:val="en-GB"/>
        </w:rPr>
        <w:t>A study of selinexor plus low-dose dexamethasone in participants with penta-refractory multiple myeloma or selinexor and bortezomib plus low-dose dexamethasone in participants with triple-class refractory multiple myeloma</w:t>
      </w:r>
      <w:r>
        <w:rPr>
          <w:lang w:val="en-GB"/>
        </w:rPr>
        <w:t xml:space="preserve">. </w:t>
      </w:r>
      <w:r w:rsidRPr="008F0B15">
        <w:rPr>
          <w:lang w:val="en-GB"/>
        </w:rPr>
        <w:t>ClinicalTrials.gov Identifier: NCT04414475</w:t>
      </w:r>
      <w:r>
        <w:rPr>
          <w:lang w:val="en-GB"/>
        </w:rPr>
        <w:t>.</w:t>
      </w:r>
    </w:p>
  </w:footnote>
  <w:footnote w:id="23">
    <w:p w14:paraId="0FE45122" w14:textId="61979D52" w:rsidR="00B6085E" w:rsidRDefault="00B6085E">
      <w:pPr>
        <w:pStyle w:val="FootnoteText"/>
      </w:pPr>
      <w:r>
        <w:rPr>
          <w:rStyle w:val="FootnoteReference"/>
        </w:rPr>
        <w:footnoteRef/>
      </w:r>
      <w:r>
        <w:t xml:space="preserve"> </w:t>
      </w:r>
      <w:r w:rsidRPr="000C1F4E">
        <w:t>Cheson BD</w:t>
      </w:r>
      <w:r>
        <w:t>,</w:t>
      </w:r>
      <w:r w:rsidRPr="000C1F4E">
        <w:t xml:space="preserve"> et al. Recommendations for initial evaluation, staging, and response assessment of Hodgkin and non-Hodgkin lymphoma: the Lugano classification. </w:t>
      </w:r>
      <w:r w:rsidRPr="000C1F4E">
        <w:rPr>
          <w:i/>
          <w:iCs/>
        </w:rPr>
        <w:t>J Clin Oncol</w:t>
      </w:r>
      <w:r w:rsidRPr="000C1F4E">
        <w:t>. 2014;32(27), 3059-3067.</w:t>
      </w:r>
    </w:p>
  </w:footnote>
  <w:footnote w:id="24">
    <w:p w14:paraId="48FC73AD" w14:textId="77777777" w:rsidR="00B6085E" w:rsidRPr="00BD65BE" w:rsidRDefault="00B6085E" w:rsidP="00D12FC9">
      <w:pPr>
        <w:spacing w:before="0" w:after="0" w:line="240" w:lineRule="auto"/>
        <w:rPr>
          <w:i/>
          <w:sz w:val="16"/>
          <w:szCs w:val="16"/>
          <w:lang w:eastAsia="ja-JP"/>
        </w:rPr>
      </w:pPr>
      <w:r w:rsidRPr="00BD65BE">
        <w:rPr>
          <w:rStyle w:val="FootnoteReference"/>
          <w:i/>
          <w:sz w:val="16"/>
          <w:szCs w:val="16"/>
        </w:rPr>
        <w:footnoteRef/>
      </w:r>
      <w:r w:rsidRPr="00BD65BE">
        <w:rPr>
          <w:i/>
          <w:sz w:val="16"/>
          <w:szCs w:val="16"/>
        </w:rPr>
        <w:t xml:space="preserve"> </w:t>
      </w:r>
      <w:r w:rsidRPr="00BD65BE">
        <w:rPr>
          <w:i/>
          <w:sz w:val="16"/>
          <w:szCs w:val="16"/>
          <w:lang w:eastAsia="ja-JP"/>
        </w:rPr>
        <w:t>The total of 127 patients included patients who were assigned to the 60 mg arm under protocol Version ≥6.0 (for those enrolled under protocol Version 7.0 or higher, patients also received at least 1 dose of selinexor) and did not include patients treated under protocol versions 1.0-5.0.</w:t>
      </w:r>
    </w:p>
  </w:footnote>
  <w:footnote w:id="25">
    <w:p w14:paraId="0CBC5C5B" w14:textId="321338A3" w:rsidR="00B6085E" w:rsidRDefault="00B6085E">
      <w:pPr>
        <w:pStyle w:val="FootnoteText"/>
      </w:pPr>
      <w:r>
        <w:rPr>
          <w:rStyle w:val="FootnoteReference"/>
        </w:rPr>
        <w:footnoteRef/>
      </w:r>
      <w:r>
        <w:t xml:space="preserve"> </w:t>
      </w:r>
      <w:r w:rsidRPr="00D24D87">
        <w:t xml:space="preserve">Crump M, et al. Outcomes in refractory diffuse large B-cell lymphoma: results from the international SCHOLAR-1 study. </w:t>
      </w:r>
      <w:r w:rsidRPr="00553688">
        <w:rPr>
          <w:i/>
          <w:iCs/>
        </w:rPr>
        <w:t>Blood</w:t>
      </w:r>
      <w:r w:rsidRPr="00D24D87">
        <w:t>. 2017;130, 1800-1808.</w:t>
      </w:r>
    </w:p>
  </w:footnote>
  <w:footnote w:id="26">
    <w:p w14:paraId="71C9EC19" w14:textId="0100A977" w:rsidR="00B6085E" w:rsidRPr="00BB2836" w:rsidRDefault="00B6085E">
      <w:pPr>
        <w:pStyle w:val="FootnoteText"/>
      </w:pPr>
      <w:r>
        <w:rPr>
          <w:rStyle w:val="FootnoteReference"/>
        </w:rPr>
        <w:footnoteRef/>
      </w:r>
      <w:r>
        <w:t xml:space="preserve"> Study XPORT-DLBCL-030: </w:t>
      </w:r>
      <w:r w:rsidRPr="00FF5BD2">
        <w:t>A study of rituximab-gemcitabine-dexamethasone-platinum (R-GDP) with or without selinexor in patients with rel</w:t>
      </w:r>
      <w:r>
        <w:t>apsed/refractory diffuse large B</w:t>
      </w:r>
      <w:r w:rsidRPr="00FF5BD2">
        <w:t>-cell lymphoma</w:t>
      </w:r>
      <w:r>
        <w:t xml:space="preserve">. </w:t>
      </w:r>
      <w:r w:rsidRPr="00FF5BD2">
        <w:t>ClinicalTrials.gov Identifier: NCT04442022</w:t>
      </w:r>
      <w:r>
        <w:t xml:space="preserve">. See also: </w:t>
      </w:r>
      <w:r>
        <w:fldChar w:fldCharType="begin"/>
      </w:r>
      <w:r>
        <w:instrText xml:space="preserve"> REF _Ref117328859 \h </w:instrText>
      </w:r>
      <w:r>
        <w:fldChar w:fldCharType="separate"/>
      </w:r>
      <w:r>
        <w:t xml:space="preserve">Table </w:t>
      </w:r>
      <w:r>
        <w:rPr>
          <w:noProof/>
        </w:rPr>
        <w:t>21</w:t>
      </w:r>
      <w:r>
        <w:fldChar w:fldCharType="end"/>
      </w:r>
      <w:r>
        <w:t xml:space="preserve"> of this </w:t>
      </w:r>
      <w:proofErr w:type="spellStart"/>
      <w:r>
        <w:t>AusPAR</w:t>
      </w:r>
      <w:proofErr w:type="spellEnd"/>
      <w:r>
        <w:t>.</w:t>
      </w:r>
    </w:p>
  </w:footnote>
  <w:footnote w:id="27">
    <w:p w14:paraId="0F906823" w14:textId="6B110E09" w:rsidR="00B6085E" w:rsidRPr="000B3827" w:rsidRDefault="00B6085E">
      <w:pPr>
        <w:pStyle w:val="FootnoteText"/>
        <w:rPr>
          <w:lang w:val="en-GB"/>
        </w:rPr>
      </w:pPr>
      <w:r>
        <w:rPr>
          <w:rStyle w:val="FootnoteReference"/>
        </w:rPr>
        <w:footnoteRef/>
      </w:r>
      <w:r>
        <w:t xml:space="preserve"> AusPAR for Polivy (polatuzumab vedotin) Roche Products Pty Limited PM-2019-00471-1-6. Published December 2019. Available at: </w:t>
      </w:r>
      <w:hyperlink r:id="rId4" w:history="1">
        <w:r w:rsidRPr="004D0959">
          <w:rPr>
            <w:rStyle w:val="Hyperlink"/>
          </w:rPr>
          <w:t>https://www.tga.gov.au/resources/auspar/auspar-polatuzumab-vedotin</w:t>
        </w:r>
      </w:hyperlink>
      <w:r>
        <w:t xml:space="preserve"> </w:t>
      </w:r>
    </w:p>
  </w:footnote>
  <w:footnote w:id="28">
    <w:p w14:paraId="32E050BA" w14:textId="3E8FC42F" w:rsidR="00B6085E" w:rsidRPr="000B3827" w:rsidRDefault="00B6085E">
      <w:pPr>
        <w:pStyle w:val="FootnoteText"/>
        <w:rPr>
          <w:lang w:val="en-GB"/>
        </w:rPr>
      </w:pPr>
      <w:r>
        <w:rPr>
          <w:rStyle w:val="FootnoteReference"/>
        </w:rPr>
        <w:footnoteRef/>
      </w:r>
      <w:r>
        <w:t xml:space="preserve"> </w:t>
      </w:r>
      <w:r w:rsidRPr="00CE3F41">
        <w:t xml:space="preserve">Polivy </w:t>
      </w:r>
      <w:r>
        <w:t>(</w:t>
      </w:r>
      <w:r w:rsidRPr="00CE3F41">
        <w:t>polatuzumab vedotin</w:t>
      </w:r>
      <w:r>
        <w:t>)</w:t>
      </w:r>
      <w:r w:rsidRPr="00CE3F41">
        <w:t xml:space="preserve"> </w:t>
      </w:r>
      <w:r>
        <w:t>powder for injection (vial) has been listed on the ARTG since October 2019</w:t>
      </w:r>
      <w:r w:rsidRPr="00CE3F41">
        <w:t xml:space="preserve"> (</w:t>
      </w:r>
      <w:r>
        <w:t xml:space="preserve">AUST R </w:t>
      </w:r>
      <w:r w:rsidRPr="00CE3F41">
        <w:t>314866)</w:t>
      </w:r>
      <w:r>
        <w:t>, and August 2022 (ARTG R 374135).</w:t>
      </w:r>
    </w:p>
  </w:footnote>
  <w:footnote w:id="29">
    <w:p w14:paraId="2C761469" w14:textId="365BAD4F" w:rsidR="00B6085E" w:rsidRPr="000B3827" w:rsidRDefault="00B6085E">
      <w:pPr>
        <w:pStyle w:val="FootnoteText"/>
        <w:rPr>
          <w:lang w:val="en-GB"/>
        </w:rPr>
      </w:pPr>
      <w:r>
        <w:rPr>
          <w:rStyle w:val="FootnoteReference"/>
        </w:rPr>
        <w:footnoteRef/>
      </w:r>
      <w:r>
        <w:t xml:space="preserve"> </w:t>
      </w:r>
      <w:r>
        <w:rPr>
          <w:lang w:val="en-GB"/>
        </w:rPr>
        <w:t>Karyopharm Therapeutics Inc. (USA) is the originator of selinexor. Antengene (Aus) Pty Ltd is the sponsor of this submission and market authorization holder for Xpovio (selinexor) in Australia.</w:t>
      </w:r>
    </w:p>
  </w:footnote>
  <w:footnote w:id="30">
    <w:p w14:paraId="591F19D4" w14:textId="373C741B" w:rsidR="00B6085E" w:rsidRDefault="00B6085E">
      <w:pPr>
        <w:pStyle w:val="FootnoteText"/>
      </w:pPr>
      <w:r>
        <w:rPr>
          <w:rStyle w:val="FootnoteReference"/>
        </w:rPr>
        <w:footnoteRef/>
      </w:r>
      <w:r>
        <w:t xml:space="preserve"> </w:t>
      </w:r>
      <w:r w:rsidRPr="0021297C">
        <w:t>Maerevoet</w:t>
      </w:r>
      <w:r>
        <w:t>,</w:t>
      </w:r>
      <w:r w:rsidRPr="0021297C">
        <w:t xml:space="preserve"> M</w:t>
      </w:r>
      <w:r>
        <w:t>,</w:t>
      </w:r>
      <w:r w:rsidRPr="0021297C">
        <w:t xml:space="preserve"> et al. Survival among patients with relapsed/refractory diffuse large B cell lymphoma treated with </w:t>
      </w:r>
      <w:proofErr w:type="gramStart"/>
      <w:r w:rsidRPr="0021297C">
        <w:t>single-agent</w:t>
      </w:r>
      <w:proofErr w:type="gramEnd"/>
      <w:r w:rsidRPr="0021297C">
        <w:t xml:space="preserve"> selinexor in the SADAL study. </w:t>
      </w:r>
      <w:r w:rsidRPr="00EE4743">
        <w:rPr>
          <w:i/>
          <w:iCs/>
        </w:rPr>
        <w:t>J Hematol Oncol</w:t>
      </w:r>
      <w:r w:rsidRPr="0021297C">
        <w:t xml:space="preserve"> 14, 111 (2021).</w:t>
      </w:r>
    </w:p>
  </w:footnote>
  <w:footnote w:id="31">
    <w:p w14:paraId="5004AEF2" w14:textId="240216E0" w:rsidR="00B6085E" w:rsidRPr="000B3827" w:rsidRDefault="00B6085E">
      <w:pPr>
        <w:pStyle w:val="FootnoteText"/>
        <w:rPr>
          <w:lang w:val="en-GB"/>
        </w:rPr>
      </w:pPr>
      <w:r>
        <w:rPr>
          <w:rStyle w:val="FootnoteReference"/>
        </w:rPr>
        <w:footnoteRef/>
      </w:r>
      <w:r>
        <w:t xml:space="preserve"> The </w:t>
      </w:r>
      <w:r w:rsidRPr="000B3827">
        <w:rPr>
          <w:b/>
        </w:rPr>
        <w:t xml:space="preserve">international birth date (IB) </w:t>
      </w:r>
      <w:r>
        <w:t>is the date</w:t>
      </w:r>
      <w:r w:rsidRPr="00FD54A0">
        <w:t xml:space="preserve"> of the first marketing authorisation for a medicine in any country in the world.</w:t>
      </w:r>
    </w:p>
  </w:footnote>
  <w:footnote w:id="32">
    <w:p w14:paraId="50721955" w14:textId="184867D8" w:rsidR="00B6085E" w:rsidRPr="000B3827" w:rsidRDefault="00B6085E">
      <w:pPr>
        <w:pStyle w:val="FootnoteText"/>
        <w:rPr>
          <w:lang w:val="en-GB"/>
        </w:rPr>
      </w:pPr>
      <w:r>
        <w:rPr>
          <w:rStyle w:val="FootnoteReference"/>
        </w:rPr>
        <w:footnoteRef/>
      </w:r>
      <w:r>
        <w:t xml:space="preserve"> </w:t>
      </w:r>
      <w:r w:rsidRPr="003C5DBE">
        <w:t xml:space="preserve">Keytruda </w:t>
      </w:r>
      <w:r>
        <w:t>(</w:t>
      </w:r>
      <w:r w:rsidRPr="003C5DBE">
        <w:t>pembrolizumab</w:t>
      </w:r>
      <w:r>
        <w:t>)</w:t>
      </w:r>
      <w:r w:rsidRPr="003C5DBE">
        <w:t xml:space="preserve"> (rch) concentrated injection </w:t>
      </w:r>
      <w:r>
        <w:t>(</w:t>
      </w:r>
      <w:r w:rsidRPr="003C5DBE">
        <w:t>vial</w:t>
      </w:r>
      <w:r>
        <w:t>)</w:t>
      </w:r>
      <w:r w:rsidRPr="003C5DBE">
        <w:t xml:space="preserve"> (</w:t>
      </w:r>
      <w:r>
        <w:t xml:space="preserve">AUST R </w:t>
      </w:r>
      <w:r w:rsidRPr="003C5DBE">
        <w:t>263932)</w:t>
      </w:r>
      <w:r>
        <w:t>.</w:t>
      </w:r>
    </w:p>
  </w:footnote>
  <w:footnote w:id="33">
    <w:p w14:paraId="6671B850" w14:textId="63AFF6EB" w:rsidR="00B6085E" w:rsidRPr="000B3827" w:rsidRDefault="00B6085E">
      <w:pPr>
        <w:pStyle w:val="FootnoteText"/>
        <w:rPr>
          <w:lang w:val="en-GB"/>
        </w:rPr>
      </w:pPr>
      <w:r>
        <w:rPr>
          <w:rStyle w:val="FootnoteReference"/>
        </w:rPr>
        <w:footnoteRef/>
      </w:r>
      <w:r>
        <w:t xml:space="preserve"> AusPAR for Istodax (romidepsin) Celgene Australia Pty Ltd; PM-2012-01446-3-4. Published November 2013. Available at: </w:t>
      </w:r>
      <w:hyperlink r:id="rId5" w:history="1">
        <w:r w:rsidRPr="006D1BE0">
          <w:rPr>
            <w:rStyle w:val="Hyperlink"/>
          </w:rPr>
          <w:t>https://www.tga.gov.au/resources/auspar/auspar-romidepsin</w:t>
        </w:r>
      </w:hyperlink>
      <w:r>
        <w:t xml:space="preserve"> </w:t>
      </w:r>
    </w:p>
  </w:footnote>
  <w:footnote w:id="34">
    <w:p w14:paraId="63177B9B" w14:textId="4CC07A95" w:rsidR="00B6085E" w:rsidRPr="000B3827" w:rsidRDefault="00B6085E">
      <w:pPr>
        <w:pStyle w:val="FootnoteText"/>
        <w:rPr>
          <w:lang w:val="en-GB"/>
        </w:rPr>
      </w:pPr>
      <w:r>
        <w:rPr>
          <w:rStyle w:val="FootnoteReference"/>
        </w:rPr>
        <w:footnoteRef/>
      </w:r>
      <w:r>
        <w:t xml:space="preserve"> Istodax (romidepsin)</w:t>
      </w:r>
      <w:r w:rsidRPr="00F367B9">
        <w:t xml:space="preserve"> powder for injection vial, and solvent for reconstitution vial (</w:t>
      </w:r>
      <w:r>
        <w:t xml:space="preserve">AUST R </w:t>
      </w:r>
      <w:r w:rsidRPr="00F367B9">
        <w:t>198854)</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52398" w14:textId="77777777" w:rsidR="00B6085E" w:rsidRDefault="00B6085E"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7F41" w14:textId="77777777" w:rsidR="00B6085E" w:rsidRDefault="00B6085E">
    <w:pPr>
      <w:rPr>
        <w:noProof/>
        <w:lang w:eastAsia="en-AU"/>
      </w:rPr>
    </w:pPr>
    <w:r w:rsidRPr="00347824">
      <w:rPr>
        <w:noProof/>
        <w:lang w:val="en-GB" w:eastAsia="en-GB"/>
      </w:rPr>
      <w:drawing>
        <wp:anchor distT="0" distB="0" distL="114300" distR="114300" simplePos="0" relativeHeight="251659264" behindDoc="1" locked="0" layoutInCell="1" allowOverlap="1" wp14:anchorId="3CDA1F59" wp14:editId="16F17619">
          <wp:simplePos x="0" y="0"/>
          <wp:positionH relativeFrom="column">
            <wp:posOffset>-1089660</wp:posOffset>
          </wp:positionH>
          <wp:positionV relativeFrom="paragraph">
            <wp:posOffset>-585470</wp:posOffset>
          </wp:positionV>
          <wp:extent cx="7572375" cy="10706100"/>
          <wp:effectExtent l="19050" t="0" r="0" b="0"/>
          <wp:wrapNone/>
          <wp:docPr id="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BDC24" w14:textId="77777777" w:rsidR="00B6085E" w:rsidRDefault="00B608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F77B7" w14:textId="77777777" w:rsidR="00B6085E" w:rsidRDefault="00B6085E">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3F271" w14:textId="77777777" w:rsidR="00B6085E" w:rsidRDefault="00B6085E">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3F930" w14:textId="77777777" w:rsidR="00B6085E" w:rsidRDefault="00B608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27D2C" w14:textId="77777777" w:rsidR="00B6085E" w:rsidRDefault="00B6085E"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59E76" w14:textId="77777777" w:rsidR="00B6085E" w:rsidRDefault="00B6085E" w:rsidP="006E08B3">
    <w:r>
      <w:t>Therapeutic Goods Administration</w:t>
    </w:r>
  </w:p>
  <w:p w14:paraId="6FDCCFC2" w14:textId="77777777" w:rsidR="00B6085E" w:rsidRDefault="00B6085E"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4D74"/>
    <w:multiLevelType w:val="hybridMultilevel"/>
    <w:tmpl w:val="61706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426"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abstractNumId w:val="2"/>
  </w:num>
  <w:num w:numId="2">
    <w:abstractNumId w:val="1"/>
  </w:num>
  <w:num w:numId="3">
    <w:abstractNumId w:val="2"/>
  </w:num>
  <w:num w:numId="4">
    <w:abstractNumId w:val="1"/>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10B"/>
    <w:rsid w:val="00002031"/>
    <w:rsid w:val="0000274D"/>
    <w:rsid w:val="00004734"/>
    <w:rsid w:val="00006B22"/>
    <w:rsid w:val="00006FAB"/>
    <w:rsid w:val="0001276A"/>
    <w:rsid w:val="00014422"/>
    <w:rsid w:val="00021877"/>
    <w:rsid w:val="000246AE"/>
    <w:rsid w:val="00025C67"/>
    <w:rsid w:val="000358FE"/>
    <w:rsid w:val="00037055"/>
    <w:rsid w:val="00044772"/>
    <w:rsid w:val="00044B9A"/>
    <w:rsid w:val="0004541C"/>
    <w:rsid w:val="0005559E"/>
    <w:rsid w:val="000604D6"/>
    <w:rsid w:val="00072352"/>
    <w:rsid w:val="000734D8"/>
    <w:rsid w:val="00077775"/>
    <w:rsid w:val="00090471"/>
    <w:rsid w:val="00093EF4"/>
    <w:rsid w:val="00096AA7"/>
    <w:rsid w:val="000A0FC7"/>
    <w:rsid w:val="000A1710"/>
    <w:rsid w:val="000A1B6A"/>
    <w:rsid w:val="000A3AED"/>
    <w:rsid w:val="000A3E5E"/>
    <w:rsid w:val="000B3532"/>
    <w:rsid w:val="000B3827"/>
    <w:rsid w:val="000B3A75"/>
    <w:rsid w:val="000B4537"/>
    <w:rsid w:val="000B5B63"/>
    <w:rsid w:val="000B782E"/>
    <w:rsid w:val="000C00C2"/>
    <w:rsid w:val="000C1F4E"/>
    <w:rsid w:val="000C690F"/>
    <w:rsid w:val="000D1295"/>
    <w:rsid w:val="000D391B"/>
    <w:rsid w:val="000D3D6D"/>
    <w:rsid w:val="000D4FC7"/>
    <w:rsid w:val="000E06CA"/>
    <w:rsid w:val="000E6196"/>
    <w:rsid w:val="000F4869"/>
    <w:rsid w:val="000F5B42"/>
    <w:rsid w:val="000F6E6F"/>
    <w:rsid w:val="0010264F"/>
    <w:rsid w:val="0010285B"/>
    <w:rsid w:val="0010601F"/>
    <w:rsid w:val="0010788A"/>
    <w:rsid w:val="00107A31"/>
    <w:rsid w:val="00110EA5"/>
    <w:rsid w:val="0011239E"/>
    <w:rsid w:val="00112F56"/>
    <w:rsid w:val="00114405"/>
    <w:rsid w:val="00115424"/>
    <w:rsid w:val="00117C1F"/>
    <w:rsid w:val="00122C2E"/>
    <w:rsid w:val="00124ACD"/>
    <w:rsid w:val="00125318"/>
    <w:rsid w:val="00125521"/>
    <w:rsid w:val="001305A2"/>
    <w:rsid w:val="00133238"/>
    <w:rsid w:val="00133A1B"/>
    <w:rsid w:val="00135255"/>
    <w:rsid w:val="0014092D"/>
    <w:rsid w:val="0014197B"/>
    <w:rsid w:val="001447CD"/>
    <w:rsid w:val="001516B1"/>
    <w:rsid w:val="00154EBB"/>
    <w:rsid w:val="00156316"/>
    <w:rsid w:val="00161181"/>
    <w:rsid w:val="00161D56"/>
    <w:rsid w:val="00162D14"/>
    <w:rsid w:val="00163780"/>
    <w:rsid w:val="00165389"/>
    <w:rsid w:val="0017693F"/>
    <w:rsid w:val="00176F75"/>
    <w:rsid w:val="0018110E"/>
    <w:rsid w:val="00181684"/>
    <w:rsid w:val="001843C6"/>
    <w:rsid w:val="0018487B"/>
    <w:rsid w:val="001850E0"/>
    <w:rsid w:val="00185407"/>
    <w:rsid w:val="001A03AF"/>
    <w:rsid w:val="001A2158"/>
    <w:rsid w:val="001A2742"/>
    <w:rsid w:val="001A525F"/>
    <w:rsid w:val="001A5A00"/>
    <w:rsid w:val="001A66B8"/>
    <w:rsid w:val="001B09F9"/>
    <w:rsid w:val="001B1DA4"/>
    <w:rsid w:val="001B49E7"/>
    <w:rsid w:val="001B5C90"/>
    <w:rsid w:val="001B6448"/>
    <w:rsid w:val="001C32CD"/>
    <w:rsid w:val="001C72EF"/>
    <w:rsid w:val="001D14DD"/>
    <w:rsid w:val="001D2984"/>
    <w:rsid w:val="001E07CF"/>
    <w:rsid w:val="001E359E"/>
    <w:rsid w:val="001E59F1"/>
    <w:rsid w:val="001E798E"/>
    <w:rsid w:val="001F0BC7"/>
    <w:rsid w:val="001F2CEE"/>
    <w:rsid w:val="001F49EB"/>
    <w:rsid w:val="001F6CBA"/>
    <w:rsid w:val="00201D4E"/>
    <w:rsid w:val="002028C7"/>
    <w:rsid w:val="002076C9"/>
    <w:rsid w:val="0021297C"/>
    <w:rsid w:val="00220B8A"/>
    <w:rsid w:val="002257F3"/>
    <w:rsid w:val="002314EA"/>
    <w:rsid w:val="00233456"/>
    <w:rsid w:val="002339A5"/>
    <w:rsid w:val="002472D3"/>
    <w:rsid w:val="00250271"/>
    <w:rsid w:val="00250F35"/>
    <w:rsid w:val="0025155B"/>
    <w:rsid w:val="00257848"/>
    <w:rsid w:val="002578E8"/>
    <w:rsid w:val="00270355"/>
    <w:rsid w:val="0027084A"/>
    <w:rsid w:val="00271E85"/>
    <w:rsid w:val="00272F51"/>
    <w:rsid w:val="00280265"/>
    <w:rsid w:val="00286434"/>
    <w:rsid w:val="00286C59"/>
    <w:rsid w:val="00291317"/>
    <w:rsid w:val="00291957"/>
    <w:rsid w:val="002942D1"/>
    <w:rsid w:val="0029501A"/>
    <w:rsid w:val="00296A7E"/>
    <w:rsid w:val="002A3721"/>
    <w:rsid w:val="002B1638"/>
    <w:rsid w:val="002B26F1"/>
    <w:rsid w:val="002B3624"/>
    <w:rsid w:val="002B5224"/>
    <w:rsid w:val="002D0952"/>
    <w:rsid w:val="002E40B3"/>
    <w:rsid w:val="002E4C9A"/>
    <w:rsid w:val="002F0119"/>
    <w:rsid w:val="002F037D"/>
    <w:rsid w:val="002F11F8"/>
    <w:rsid w:val="002F3AF6"/>
    <w:rsid w:val="002F3F56"/>
    <w:rsid w:val="002F44B5"/>
    <w:rsid w:val="002F5122"/>
    <w:rsid w:val="00305F9A"/>
    <w:rsid w:val="00311AC0"/>
    <w:rsid w:val="00316F2C"/>
    <w:rsid w:val="003176FC"/>
    <w:rsid w:val="00320B17"/>
    <w:rsid w:val="00322302"/>
    <w:rsid w:val="00324E45"/>
    <w:rsid w:val="0032583B"/>
    <w:rsid w:val="00327883"/>
    <w:rsid w:val="00332715"/>
    <w:rsid w:val="00335504"/>
    <w:rsid w:val="00340C18"/>
    <w:rsid w:val="003420EC"/>
    <w:rsid w:val="003442FD"/>
    <w:rsid w:val="00347824"/>
    <w:rsid w:val="00350567"/>
    <w:rsid w:val="003521E8"/>
    <w:rsid w:val="00357C34"/>
    <w:rsid w:val="00370CE3"/>
    <w:rsid w:val="003728F3"/>
    <w:rsid w:val="003735BC"/>
    <w:rsid w:val="0037496E"/>
    <w:rsid w:val="00383221"/>
    <w:rsid w:val="00386150"/>
    <w:rsid w:val="003874CE"/>
    <w:rsid w:val="00390900"/>
    <w:rsid w:val="003A366E"/>
    <w:rsid w:val="003A7F6C"/>
    <w:rsid w:val="003B008F"/>
    <w:rsid w:val="003B4D60"/>
    <w:rsid w:val="003B6303"/>
    <w:rsid w:val="003B7E39"/>
    <w:rsid w:val="003C1F29"/>
    <w:rsid w:val="003C58DC"/>
    <w:rsid w:val="003C5DBE"/>
    <w:rsid w:val="003D1E62"/>
    <w:rsid w:val="003E0B99"/>
    <w:rsid w:val="003E2486"/>
    <w:rsid w:val="003E3208"/>
    <w:rsid w:val="003E5E1F"/>
    <w:rsid w:val="003F0B04"/>
    <w:rsid w:val="003F6139"/>
    <w:rsid w:val="0040134E"/>
    <w:rsid w:val="00415E3E"/>
    <w:rsid w:val="0041790C"/>
    <w:rsid w:val="00417DB1"/>
    <w:rsid w:val="00424557"/>
    <w:rsid w:val="004334C7"/>
    <w:rsid w:val="00440A2D"/>
    <w:rsid w:val="00441C3F"/>
    <w:rsid w:val="00444D1A"/>
    <w:rsid w:val="004452BE"/>
    <w:rsid w:val="0045186A"/>
    <w:rsid w:val="004549BC"/>
    <w:rsid w:val="00454BDC"/>
    <w:rsid w:val="004564A7"/>
    <w:rsid w:val="00456765"/>
    <w:rsid w:val="00460036"/>
    <w:rsid w:val="004617BF"/>
    <w:rsid w:val="00463658"/>
    <w:rsid w:val="004637A0"/>
    <w:rsid w:val="00464B3B"/>
    <w:rsid w:val="004722CC"/>
    <w:rsid w:val="00477C7A"/>
    <w:rsid w:val="00490483"/>
    <w:rsid w:val="004936E4"/>
    <w:rsid w:val="00494E60"/>
    <w:rsid w:val="00497487"/>
    <w:rsid w:val="004A25E9"/>
    <w:rsid w:val="004A2771"/>
    <w:rsid w:val="004A6189"/>
    <w:rsid w:val="004A7390"/>
    <w:rsid w:val="004B4871"/>
    <w:rsid w:val="004B7B76"/>
    <w:rsid w:val="004C239D"/>
    <w:rsid w:val="004C2B1B"/>
    <w:rsid w:val="004C2DCA"/>
    <w:rsid w:val="004C4FBE"/>
    <w:rsid w:val="004C61D2"/>
    <w:rsid w:val="004E669C"/>
    <w:rsid w:val="004F0C4A"/>
    <w:rsid w:val="004F0F38"/>
    <w:rsid w:val="004F17FE"/>
    <w:rsid w:val="004F47D6"/>
    <w:rsid w:val="00500337"/>
    <w:rsid w:val="00501921"/>
    <w:rsid w:val="00505417"/>
    <w:rsid w:val="005139F8"/>
    <w:rsid w:val="00517D9A"/>
    <w:rsid w:val="0052149B"/>
    <w:rsid w:val="00523A21"/>
    <w:rsid w:val="00530354"/>
    <w:rsid w:val="0053625B"/>
    <w:rsid w:val="00542E9F"/>
    <w:rsid w:val="005434C6"/>
    <w:rsid w:val="00543B39"/>
    <w:rsid w:val="00545CDB"/>
    <w:rsid w:val="00546154"/>
    <w:rsid w:val="00550096"/>
    <w:rsid w:val="00553688"/>
    <w:rsid w:val="00555280"/>
    <w:rsid w:val="00557FF9"/>
    <w:rsid w:val="00562327"/>
    <w:rsid w:val="005711D5"/>
    <w:rsid w:val="00576080"/>
    <w:rsid w:val="00576378"/>
    <w:rsid w:val="00577130"/>
    <w:rsid w:val="00577945"/>
    <w:rsid w:val="00577E38"/>
    <w:rsid w:val="00577F05"/>
    <w:rsid w:val="00583631"/>
    <w:rsid w:val="00585322"/>
    <w:rsid w:val="005857C6"/>
    <w:rsid w:val="00592F6E"/>
    <w:rsid w:val="00593AD1"/>
    <w:rsid w:val="005A290C"/>
    <w:rsid w:val="005A68B6"/>
    <w:rsid w:val="005A79F5"/>
    <w:rsid w:val="005C494B"/>
    <w:rsid w:val="005C5570"/>
    <w:rsid w:val="005C5B66"/>
    <w:rsid w:val="005C79A4"/>
    <w:rsid w:val="005D1D34"/>
    <w:rsid w:val="005D5442"/>
    <w:rsid w:val="006026A9"/>
    <w:rsid w:val="00603F32"/>
    <w:rsid w:val="00605AD4"/>
    <w:rsid w:val="00610132"/>
    <w:rsid w:val="00612592"/>
    <w:rsid w:val="006136D7"/>
    <w:rsid w:val="00614183"/>
    <w:rsid w:val="00625A6E"/>
    <w:rsid w:val="00632398"/>
    <w:rsid w:val="00640FC3"/>
    <w:rsid w:val="00642020"/>
    <w:rsid w:val="00642175"/>
    <w:rsid w:val="006430EE"/>
    <w:rsid w:val="00643CE5"/>
    <w:rsid w:val="00647320"/>
    <w:rsid w:val="0065337B"/>
    <w:rsid w:val="0065419D"/>
    <w:rsid w:val="006603BC"/>
    <w:rsid w:val="006604D8"/>
    <w:rsid w:val="00664A5B"/>
    <w:rsid w:val="0066735C"/>
    <w:rsid w:val="006718C9"/>
    <w:rsid w:val="006737A0"/>
    <w:rsid w:val="00674DB3"/>
    <w:rsid w:val="00676217"/>
    <w:rsid w:val="006763D2"/>
    <w:rsid w:val="00680C08"/>
    <w:rsid w:val="006901BA"/>
    <w:rsid w:val="006916A0"/>
    <w:rsid w:val="006931B1"/>
    <w:rsid w:val="006A15C0"/>
    <w:rsid w:val="006A4BD2"/>
    <w:rsid w:val="006A58A8"/>
    <w:rsid w:val="006C22B8"/>
    <w:rsid w:val="006C3E2A"/>
    <w:rsid w:val="006C642F"/>
    <w:rsid w:val="006D03E5"/>
    <w:rsid w:val="006D5D3E"/>
    <w:rsid w:val="006E08B3"/>
    <w:rsid w:val="006E1E4D"/>
    <w:rsid w:val="006E7D4A"/>
    <w:rsid w:val="006F009F"/>
    <w:rsid w:val="006F17AC"/>
    <w:rsid w:val="006F25B8"/>
    <w:rsid w:val="006F49E2"/>
    <w:rsid w:val="006F572E"/>
    <w:rsid w:val="007046D6"/>
    <w:rsid w:val="00705DB0"/>
    <w:rsid w:val="00712107"/>
    <w:rsid w:val="007200E9"/>
    <w:rsid w:val="00721AA8"/>
    <w:rsid w:val="0072292E"/>
    <w:rsid w:val="00722B57"/>
    <w:rsid w:val="0072605A"/>
    <w:rsid w:val="00730F8A"/>
    <w:rsid w:val="00735A8C"/>
    <w:rsid w:val="0074163C"/>
    <w:rsid w:val="0074253D"/>
    <w:rsid w:val="007430FB"/>
    <w:rsid w:val="00744121"/>
    <w:rsid w:val="0074429B"/>
    <w:rsid w:val="007447D5"/>
    <w:rsid w:val="00752936"/>
    <w:rsid w:val="007615BC"/>
    <w:rsid w:val="00762F05"/>
    <w:rsid w:val="007652FF"/>
    <w:rsid w:val="00765D5D"/>
    <w:rsid w:val="00767359"/>
    <w:rsid w:val="007703EF"/>
    <w:rsid w:val="00770CAC"/>
    <w:rsid w:val="00770EF1"/>
    <w:rsid w:val="0077131A"/>
    <w:rsid w:val="00773EF7"/>
    <w:rsid w:val="00774E1D"/>
    <w:rsid w:val="007765D8"/>
    <w:rsid w:val="0077675A"/>
    <w:rsid w:val="00780355"/>
    <w:rsid w:val="007819FD"/>
    <w:rsid w:val="00783A97"/>
    <w:rsid w:val="00785717"/>
    <w:rsid w:val="00785721"/>
    <w:rsid w:val="0078796B"/>
    <w:rsid w:val="00787C6C"/>
    <w:rsid w:val="00790973"/>
    <w:rsid w:val="00793A59"/>
    <w:rsid w:val="007951D1"/>
    <w:rsid w:val="007A46F5"/>
    <w:rsid w:val="007A4AA7"/>
    <w:rsid w:val="007A517F"/>
    <w:rsid w:val="007A6505"/>
    <w:rsid w:val="007B6132"/>
    <w:rsid w:val="007B6E9F"/>
    <w:rsid w:val="007C1216"/>
    <w:rsid w:val="007C1AF7"/>
    <w:rsid w:val="007C4D33"/>
    <w:rsid w:val="007C6B9B"/>
    <w:rsid w:val="007C7518"/>
    <w:rsid w:val="007D53B6"/>
    <w:rsid w:val="007E1E89"/>
    <w:rsid w:val="00804D99"/>
    <w:rsid w:val="00805D27"/>
    <w:rsid w:val="00806DCB"/>
    <w:rsid w:val="008110BC"/>
    <w:rsid w:val="00821776"/>
    <w:rsid w:val="0083103C"/>
    <w:rsid w:val="008321F5"/>
    <w:rsid w:val="00832369"/>
    <w:rsid w:val="00833ED8"/>
    <w:rsid w:val="00834660"/>
    <w:rsid w:val="00836BC2"/>
    <w:rsid w:val="00836DE9"/>
    <w:rsid w:val="00850603"/>
    <w:rsid w:val="0085156D"/>
    <w:rsid w:val="00852B28"/>
    <w:rsid w:val="00852BB8"/>
    <w:rsid w:val="0085641B"/>
    <w:rsid w:val="00857136"/>
    <w:rsid w:val="008606E3"/>
    <w:rsid w:val="00860761"/>
    <w:rsid w:val="00864DDF"/>
    <w:rsid w:val="00865B03"/>
    <w:rsid w:val="00875A6B"/>
    <w:rsid w:val="008851AD"/>
    <w:rsid w:val="00885B11"/>
    <w:rsid w:val="00886D15"/>
    <w:rsid w:val="00887DD8"/>
    <w:rsid w:val="00891BA9"/>
    <w:rsid w:val="00895E8E"/>
    <w:rsid w:val="00896018"/>
    <w:rsid w:val="008960DD"/>
    <w:rsid w:val="0089635C"/>
    <w:rsid w:val="008A2B9D"/>
    <w:rsid w:val="008A3D9F"/>
    <w:rsid w:val="008A5E0B"/>
    <w:rsid w:val="008A6D59"/>
    <w:rsid w:val="008B14E9"/>
    <w:rsid w:val="008B4B03"/>
    <w:rsid w:val="008B596F"/>
    <w:rsid w:val="008C159F"/>
    <w:rsid w:val="008C1623"/>
    <w:rsid w:val="008C1850"/>
    <w:rsid w:val="008C51A9"/>
    <w:rsid w:val="008D7393"/>
    <w:rsid w:val="008E0B2D"/>
    <w:rsid w:val="008E1EBD"/>
    <w:rsid w:val="008E7846"/>
    <w:rsid w:val="008F02E5"/>
    <w:rsid w:val="008F0B15"/>
    <w:rsid w:val="008F1CCC"/>
    <w:rsid w:val="008F2967"/>
    <w:rsid w:val="008F510B"/>
    <w:rsid w:val="008F6943"/>
    <w:rsid w:val="00902A21"/>
    <w:rsid w:val="00903760"/>
    <w:rsid w:val="00903A9C"/>
    <w:rsid w:val="00906B1D"/>
    <w:rsid w:val="009121CD"/>
    <w:rsid w:val="0091523F"/>
    <w:rsid w:val="00920330"/>
    <w:rsid w:val="00920EA0"/>
    <w:rsid w:val="009219D7"/>
    <w:rsid w:val="00922D53"/>
    <w:rsid w:val="00923B70"/>
    <w:rsid w:val="00924482"/>
    <w:rsid w:val="00930237"/>
    <w:rsid w:val="00935194"/>
    <w:rsid w:val="00936030"/>
    <w:rsid w:val="00937553"/>
    <w:rsid w:val="00937C17"/>
    <w:rsid w:val="00940A89"/>
    <w:rsid w:val="00941F77"/>
    <w:rsid w:val="00944D97"/>
    <w:rsid w:val="009450D5"/>
    <w:rsid w:val="0094690E"/>
    <w:rsid w:val="00946EA5"/>
    <w:rsid w:val="009556D7"/>
    <w:rsid w:val="00960520"/>
    <w:rsid w:val="00963C08"/>
    <w:rsid w:val="00966EE1"/>
    <w:rsid w:val="009752A5"/>
    <w:rsid w:val="0098585A"/>
    <w:rsid w:val="00993D60"/>
    <w:rsid w:val="009A2C9F"/>
    <w:rsid w:val="009A4CED"/>
    <w:rsid w:val="009A577D"/>
    <w:rsid w:val="009A690D"/>
    <w:rsid w:val="009B0C6F"/>
    <w:rsid w:val="009B165D"/>
    <w:rsid w:val="009B1D12"/>
    <w:rsid w:val="009B416B"/>
    <w:rsid w:val="009B77B1"/>
    <w:rsid w:val="009C4BD5"/>
    <w:rsid w:val="009D17D4"/>
    <w:rsid w:val="009D7B77"/>
    <w:rsid w:val="009E0BB0"/>
    <w:rsid w:val="009E29AC"/>
    <w:rsid w:val="009E3FBB"/>
    <w:rsid w:val="009E5A87"/>
    <w:rsid w:val="009E5BE8"/>
    <w:rsid w:val="009F2673"/>
    <w:rsid w:val="009F6A2A"/>
    <w:rsid w:val="009F7353"/>
    <w:rsid w:val="00A03E1B"/>
    <w:rsid w:val="00A04F85"/>
    <w:rsid w:val="00A05FA4"/>
    <w:rsid w:val="00A102E4"/>
    <w:rsid w:val="00A1219C"/>
    <w:rsid w:val="00A12C42"/>
    <w:rsid w:val="00A14DF7"/>
    <w:rsid w:val="00A22D57"/>
    <w:rsid w:val="00A25E4D"/>
    <w:rsid w:val="00A3246D"/>
    <w:rsid w:val="00A36FA7"/>
    <w:rsid w:val="00A44DDB"/>
    <w:rsid w:val="00A475B7"/>
    <w:rsid w:val="00A47AF7"/>
    <w:rsid w:val="00A47C3E"/>
    <w:rsid w:val="00A50226"/>
    <w:rsid w:val="00A51429"/>
    <w:rsid w:val="00A57C32"/>
    <w:rsid w:val="00A60BAD"/>
    <w:rsid w:val="00A61EC1"/>
    <w:rsid w:val="00A61F98"/>
    <w:rsid w:val="00A64326"/>
    <w:rsid w:val="00A66EAE"/>
    <w:rsid w:val="00A734A2"/>
    <w:rsid w:val="00A7451B"/>
    <w:rsid w:val="00A77F87"/>
    <w:rsid w:val="00A80B5B"/>
    <w:rsid w:val="00A84E36"/>
    <w:rsid w:val="00A92905"/>
    <w:rsid w:val="00A9333F"/>
    <w:rsid w:val="00A93DA6"/>
    <w:rsid w:val="00A964D1"/>
    <w:rsid w:val="00AA0ED0"/>
    <w:rsid w:val="00AA325C"/>
    <w:rsid w:val="00AB5567"/>
    <w:rsid w:val="00AC2B40"/>
    <w:rsid w:val="00AC2BB2"/>
    <w:rsid w:val="00AC2C3C"/>
    <w:rsid w:val="00AC512D"/>
    <w:rsid w:val="00AD0083"/>
    <w:rsid w:val="00AD3935"/>
    <w:rsid w:val="00AE334E"/>
    <w:rsid w:val="00AE65EB"/>
    <w:rsid w:val="00AE67A7"/>
    <w:rsid w:val="00AF1D94"/>
    <w:rsid w:val="00AF2313"/>
    <w:rsid w:val="00AF60C5"/>
    <w:rsid w:val="00B009C6"/>
    <w:rsid w:val="00B01548"/>
    <w:rsid w:val="00B01CD2"/>
    <w:rsid w:val="00B0686D"/>
    <w:rsid w:val="00B076B7"/>
    <w:rsid w:val="00B130C5"/>
    <w:rsid w:val="00B13EBD"/>
    <w:rsid w:val="00B1406F"/>
    <w:rsid w:val="00B16E5C"/>
    <w:rsid w:val="00B21D29"/>
    <w:rsid w:val="00B221FA"/>
    <w:rsid w:val="00B25034"/>
    <w:rsid w:val="00B3200B"/>
    <w:rsid w:val="00B33588"/>
    <w:rsid w:val="00B33863"/>
    <w:rsid w:val="00B37D17"/>
    <w:rsid w:val="00B409D7"/>
    <w:rsid w:val="00B40FF4"/>
    <w:rsid w:val="00B4175E"/>
    <w:rsid w:val="00B41C85"/>
    <w:rsid w:val="00B452CE"/>
    <w:rsid w:val="00B54C25"/>
    <w:rsid w:val="00B6085E"/>
    <w:rsid w:val="00B73C62"/>
    <w:rsid w:val="00B76B91"/>
    <w:rsid w:val="00B77EB1"/>
    <w:rsid w:val="00B811C6"/>
    <w:rsid w:val="00B84E31"/>
    <w:rsid w:val="00B855B0"/>
    <w:rsid w:val="00B857CE"/>
    <w:rsid w:val="00B90F4F"/>
    <w:rsid w:val="00B9231C"/>
    <w:rsid w:val="00B92E08"/>
    <w:rsid w:val="00BA747C"/>
    <w:rsid w:val="00BB0B78"/>
    <w:rsid w:val="00BB2836"/>
    <w:rsid w:val="00BB75D6"/>
    <w:rsid w:val="00BC622A"/>
    <w:rsid w:val="00BD0AF0"/>
    <w:rsid w:val="00BE0A78"/>
    <w:rsid w:val="00BE3D92"/>
    <w:rsid w:val="00BE6542"/>
    <w:rsid w:val="00BE79F0"/>
    <w:rsid w:val="00BF046D"/>
    <w:rsid w:val="00BF1190"/>
    <w:rsid w:val="00BF3486"/>
    <w:rsid w:val="00BF3774"/>
    <w:rsid w:val="00BF5D04"/>
    <w:rsid w:val="00BF7063"/>
    <w:rsid w:val="00C009AA"/>
    <w:rsid w:val="00C101CB"/>
    <w:rsid w:val="00C1164D"/>
    <w:rsid w:val="00C121D6"/>
    <w:rsid w:val="00C16861"/>
    <w:rsid w:val="00C2574C"/>
    <w:rsid w:val="00C25763"/>
    <w:rsid w:val="00C34133"/>
    <w:rsid w:val="00C346AB"/>
    <w:rsid w:val="00C404A6"/>
    <w:rsid w:val="00C40A36"/>
    <w:rsid w:val="00C44419"/>
    <w:rsid w:val="00C45E7B"/>
    <w:rsid w:val="00C468A0"/>
    <w:rsid w:val="00C471B1"/>
    <w:rsid w:val="00C479C3"/>
    <w:rsid w:val="00C525A2"/>
    <w:rsid w:val="00C52E24"/>
    <w:rsid w:val="00C53310"/>
    <w:rsid w:val="00C6316B"/>
    <w:rsid w:val="00C634A9"/>
    <w:rsid w:val="00C64586"/>
    <w:rsid w:val="00C70A36"/>
    <w:rsid w:val="00C70D53"/>
    <w:rsid w:val="00C736EE"/>
    <w:rsid w:val="00C73A2B"/>
    <w:rsid w:val="00C73D0B"/>
    <w:rsid w:val="00C74F5C"/>
    <w:rsid w:val="00C772FF"/>
    <w:rsid w:val="00C80137"/>
    <w:rsid w:val="00C801AF"/>
    <w:rsid w:val="00C80256"/>
    <w:rsid w:val="00C827AC"/>
    <w:rsid w:val="00C862EF"/>
    <w:rsid w:val="00C93176"/>
    <w:rsid w:val="00C94CD4"/>
    <w:rsid w:val="00C9747E"/>
    <w:rsid w:val="00CB3838"/>
    <w:rsid w:val="00CB46F3"/>
    <w:rsid w:val="00CB6BC0"/>
    <w:rsid w:val="00CC1B7C"/>
    <w:rsid w:val="00CC5044"/>
    <w:rsid w:val="00CC727F"/>
    <w:rsid w:val="00CC7616"/>
    <w:rsid w:val="00CD6038"/>
    <w:rsid w:val="00CE3F41"/>
    <w:rsid w:val="00CE7079"/>
    <w:rsid w:val="00CF15C3"/>
    <w:rsid w:val="00CF2B6F"/>
    <w:rsid w:val="00CF2F3E"/>
    <w:rsid w:val="00CF58B6"/>
    <w:rsid w:val="00CF5DAD"/>
    <w:rsid w:val="00D0062D"/>
    <w:rsid w:val="00D017ED"/>
    <w:rsid w:val="00D040D3"/>
    <w:rsid w:val="00D04C65"/>
    <w:rsid w:val="00D12FC9"/>
    <w:rsid w:val="00D153D8"/>
    <w:rsid w:val="00D17E50"/>
    <w:rsid w:val="00D201D2"/>
    <w:rsid w:val="00D212F3"/>
    <w:rsid w:val="00D224FE"/>
    <w:rsid w:val="00D23139"/>
    <w:rsid w:val="00D24731"/>
    <w:rsid w:val="00D24D87"/>
    <w:rsid w:val="00D269C6"/>
    <w:rsid w:val="00D34B38"/>
    <w:rsid w:val="00D425BB"/>
    <w:rsid w:val="00D453FA"/>
    <w:rsid w:val="00D45B08"/>
    <w:rsid w:val="00D46425"/>
    <w:rsid w:val="00D5375A"/>
    <w:rsid w:val="00D56348"/>
    <w:rsid w:val="00D6181B"/>
    <w:rsid w:val="00D6493E"/>
    <w:rsid w:val="00D7195D"/>
    <w:rsid w:val="00D72CBA"/>
    <w:rsid w:val="00D7301E"/>
    <w:rsid w:val="00D80974"/>
    <w:rsid w:val="00D83AE1"/>
    <w:rsid w:val="00D84192"/>
    <w:rsid w:val="00D854AC"/>
    <w:rsid w:val="00D855D4"/>
    <w:rsid w:val="00D902C9"/>
    <w:rsid w:val="00D93466"/>
    <w:rsid w:val="00D94527"/>
    <w:rsid w:val="00DA1124"/>
    <w:rsid w:val="00DA6074"/>
    <w:rsid w:val="00DA64CB"/>
    <w:rsid w:val="00DB06B8"/>
    <w:rsid w:val="00DB6124"/>
    <w:rsid w:val="00DB750B"/>
    <w:rsid w:val="00DB75B7"/>
    <w:rsid w:val="00DC0A2F"/>
    <w:rsid w:val="00DC1948"/>
    <w:rsid w:val="00DC6E02"/>
    <w:rsid w:val="00DD28CD"/>
    <w:rsid w:val="00DD36CD"/>
    <w:rsid w:val="00DE02AE"/>
    <w:rsid w:val="00DE0361"/>
    <w:rsid w:val="00DE397B"/>
    <w:rsid w:val="00DE39D1"/>
    <w:rsid w:val="00DF05B8"/>
    <w:rsid w:val="00DF1D7F"/>
    <w:rsid w:val="00DF40B9"/>
    <w:rsid w:val="00DF4BE4"/>
    <w:rsid w:val="00DF7C6F"/>
    <w:rsid w:val="00E02382"/>
    <w:rsid w:val="00E02FB4"/>
    <w:rsid w:val="00E13FC7"/>
    <w:rsid w:val="00E20571"/>
    <w:rsid w:val="00E235F7"/>
    <w:rsid w:val="00E23659"/>
    <w:rsid w:val="00E239D4"/>
    <w:rsid w:val="00E26130"/>
    <w:rsid w:val="00E33D42"/>
    <w:rsid w:val="00E40B22"/>
    <w:rsid w:val="00E44ED1"/>
    <w:rsid w:val="00E45619"/>
    <w:rsid w:val="00E4588F"/>
    <w:rsid w:val="00E46DA3"/>
    <w:rsid w:val="00E51BB1"/>
    <w:rsid w:val="00E55CB0"/>
    <w:rsid w:val="00E624A5"/>
    <w:rsid w:val="00E63A3A"/>
    <w:rsid w:val="00E64BA4"/>
    <w:rsid w:val="00E7344E"/>
    <w:rsid w:val="00E82665"/>
    <w:rsid w:val="00E9477C"/>
    <w:rsid w:val="00EB0798"/>
    <w:rsid w:val="00EB1141"/>
    <w:rsid w:val="00EB36D6"/>
    <w:rsid w:val="00EB40AD"/>
    <w:rsid w:val="00EB586E"/>
    <w:rsid w:val="00EB5FC8"/>
    <w:rsid w:val="00EC463D"/>
    <w:rsid w:val="00EC773F"/>
    <w:rsid w:val="00EC7A85"/>
    <w:rsid w:val="00EC7E0C"/>
    <w:rsid w:val="00ED2922"/>
    <w:rsid w:val="00ED3CAD"/>
    <w:rsid w:val="00ED5A41"/>
    <w:rsid w:val="00EE1DE8"/>
    <w:rsid w:val="00EE27C2"/>
    <w:rsid w:val="00EE4743"/>
    <w:rsid w:val="00EF4BAD"/>
    <w:rsid w:val="00EF59DC"/>
    <w:rsid w:val="00EF7899"/>
    <w:rsid w:val="00F00B98"/>
    <w:rsid w:val="00F033EC"/>
    <w:rsid w:val="00F04F68"/>
    <w:rsid w:val="00F12670"/>
    <w:rsid w:val="00F14B27"/>
    <w:rsid w:val="00F21CF3"/>
    <w:rsid w:val="00F3148D"/>
    <w:rsid w:val="00F325C5"/>
    <w:rsid w:val="00F32FE0"/>
    <w:rsid w:val="00F35298"/>
    <w:rsid w:val="00F367B9"/>
    <w:rsid w:val="00F415EF"/>
    <w:rsid w:val="00F47333"/>
    <w:rsid w:val="00F47E37"/>
    <w:rsid w:val="00F50C82"/>
    <w:rsid w:val="00F53C07"/>
    <w:rsid w:val="00F54B65"/>
    <w:rsid w:val="00F57CEB"/>
    <w:rsid w:val="00F63DBF"/>
    <w:rsid w:val="00F640B6"/>
    <w:rsid w:val="00F66DF2"/>
    <w:rsid w:val="00F80E40"/>
    <w:rsid w:val="00F848D9"/>
    <w:rsid w:val="00F931CE"/>
    <w:rsid w:val="00FA13E2"/>
    <w:rsid w:val="00FA4BBA"/>
    <w:rsid w:val="00FA5069"/>
    <w:rsid w:val="00FA5B82"/>
    <w:rsid w:val="00FA639E"/>
    <w:rsid w:val="00FC1FCA"/>
    <w:rsid w:val="00FC25E4"/>
    <w:rsid w:val="00FC4EF7"/>
    <w:rsid w:val="00FD0824"/>
    <w:rsid w:val="00FD119B"/>
    <w:rsid w:val="00FD1EDC"/>
    <w:rsid w:val="00FD54A0"/>
    <w:rsid w:val="00FE1DEE"/>
    <w:rsid w:val="00FF1DED"/>
    <w:rsid w:val="00FF2126"/>
    <w:rsid w:val="00FF4984"/>
    <w:rsid w:val="00FF4AF5"/>
    <w:rsid w:val="00FF5755"/>
    <w:rsid w:val="00FF5BD2"/>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FD9828"/>
  <w15:docId w15:val="{022A78F1-BD36-4B2A-AF0B-955E56DFB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F57CEB"/>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qFormat/>
    <w:rsid w:val="009121CD"/>
    <w:pPr>
      <w:adjustRightInd w:val="0"/>
      <w:snapToGrid w:val="0"/>
      <w:spacing w:before="180" w:after="180"/>
      <w:ind w:left="720"/>
      <w:contextualSpacing/>
    </w:pPr>
    <w:rPr>
      <w:rFonts w:eastAsia="MS Mincho"/>
      <w:szCs w:val="20"/>
      <w:lang w:eastAsia="ja-JP"/>
    </w:rPr>
  </w:style>
  <w:style w:type="paragraph" w:customStyle="1" w:styleId="Default">
    <w:name w:val="Default"/>
    <w:rsid w:val="00014422"/>
    <w:pPr>
      <w:autoSpaceDE w:val="0"/>
      <w:autoSpaceDN w:val="0"/>
      <w:adjustRightInd w:val="0"/>
      <w:spacing w:after="0" w:line="240" w:lineRule="auto"/>
    </w:pPr>
    <w:rPr>
      <w:rFonts w:ascii="Calibri" w:hAnsi="Calibri" w:cs="Calibri"/>
      <w:color w:val="000000"/>
      <w:sz w:val="24"/>
      <w:szCs w:val="24"/>
    </w:rPr>
  </w:style>
  <w:style w:type="table" w:customStyle="1" w:styleId="TableTGAblue2">
    <w:name w:val="Table TGA blue2"/>
    <w:basedOn w:val="TableNormal"/>
    <w:uiPriority w:val="99"/>
    <w:qFormat/>
    <w:rsid w:val="00A734A2"/>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styleId="PlainTable2">
    <w:name w:val="Plain Table 2"/>
    <w:basedOn w:val="TableNormal"/>
    <w:uiPriority w:val="42"/>
    <w:rsid w:val="00A734A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8Char">
    <w:name w:val="Heading 8 Char"/>
    <w:basedOn w:val="DefaultParagraphFont"/>
    <w:link w:val="Heading8"/>
    <w:uiPriority w:val="9"/>
    <w:semiHidden/>
    <w:rsid w:val="00F57CEB"/>
    <w:rPr>
      <w:rFonts w:asciiTheme="majorHAnsi" w:eastAsiaTheme="majorEastAsia" w:hAnsiTheme="majorHAnsi" w:cstheme="majorBidi"/>
      <w:color w:val="272727" w:themeColor="text1" w:themeTint="D8"/>
      <w:sz w:val="21"/>
      <w:szCs w:val="21"/>
    </w:rPr>
  </w:style>
  <w:style w:type="table" w:customStyle="1" w:styleId="TableTGAblue4">
    <w:name w:val="Table TGA blue4"/>
    <w:basedOn w:val="TableNormal"/>
    <w:uiPriority w:val="99"/>
    <w:qFormat/>
    <w:rsid w:val="00993D60"/>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customStyle="1" w:styleId="TabletextChar">
    <w:name w:val="Table text Char"/>
    <w:basedOn w:val="DefaultParagraphFont"/>
    <w:link w:val="Tabletext"/>
    <w:rsid w:val="00E63A3A"/>
    <w:rPr>
      <w:rFonts w:ascii="Cambria" w:eastAsia="Cambria" w:hAnsi="Cambria" w:cs="Times New Roman"/>
      <w:sz w:val="19"/>
    </w:rPr>
  </w:style>
  <w:style w:type="paragraph" w:styleId="NormalWeb">
    <w:name w:val="Normal (Web)"/>
    <w:basedOn w:val="Normal"/>
    <w:uiPriority w:val="99"/>
    <w:semiHidden/>
    <w:unhideWhenUsed/>
    <w:rsid w:val="00464B3B"/>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bigstat">
    <w:name w:val="bigstat"/>
    <w:basedOn w:val="DefaultParagraphFont"/>
    <w:rsid w:val="00464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7495">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384648276">
      <w:bodyDiv w:val="1"/>
      <w:marLeft w:val="0"/>
      <w:marRight w:val="0"/>
      <w:marTop w:val="0"/>
      <w:marBottom w:val="0"/>
      <w:divBdr>
        <w:top w:val="none" w:sz="0" w:space="0" w:color="auto"/>
        <w:left w:val="none" w:sz="0" w:space="0" w:color="auto"/>
        <w:bottom w:val="none" w:sz="0" w:space="0" w:color="auto"/>
        <w:right w:val="none" w:sz="0" w:space="0" w:color="auto"/>
      </w:divBdr>
    </w:div>
    <w:div w:id="512960764">
      <w:bodyDiv w:val="1"/>
      <w:marLeft w:val="0"/>
      <w:marRight w:val="0"/>
      <w:marTop w:val="0"/>
      <w:marBottom w:val="0"/>
      <w:divBdr>
        <w:top w:val="none" w:sz="0" w:space="0" w:color="auto"/>
        <w:left w:val="none" w:sz="0" w:space="0" w:color="auto"/>
        <w:bottom w:val="none" w:sz="0" w:space="0" w:color="auto"/>
        <w:right w:val="none" w:sz="0" w:space="0" w:color="auto"/>
      </w:divBdr>
    </w:div>
    <w:div w:id="552473617">
      <w:bodyDiv w:val="1"/>
      <w:marLeft w:val="0"/>
      <w:marRight w:val="0"/>
      <w:marTop w:val="0"/>
      <w:marBottom w:val="0"/>
      <w:divBdr>
        <w:top w:val="none" w:sz="0" w:space="0" w:color="auto"/>
        <w:left w:val="none" w:sz="0" w:space="0" w:color="auto"/>
        <w:bottom w:val="none" w:sz="0" w:space="0" w:color="auto"/>
        <w:right w:val="none" w:sz="0" w:space="0" w:color="auto"/>
      </w:divBdr>
    </w:div>
    <w:div w:id="556627755">
      <w:bodyDiv w:val="1"/>
      <w:marLeft w:val="0"/>
      <w:marRight w:val="0"/>
      <w:marTop w:val="0"/>
      <w:marBottom w:val="0"/>
      <w:divBdr>
        <w:top w:val="none" w:sz="0" w:space="0" w:color="auto"/>
        <w:left w:val="none" w:sz="0" w:space="0" w:color="auto"/>
        <w:bottom w:val="none" w:sz="0" w:space="0" w:color="auto"/>
        <w:right w:val="none" w:sz="0" w:space="0" w:color="auto"/>
      </w:divBdr>
    </w:div>
    <w:div w:id="642589372">
      <w:bodyDiv w:val="1"/>
      <w:marLeft w:val="0"/>
      <w:marRight w:val="0"/>
      <w:marTop w:val="0"/>
      <w:marBottom w:val="0"/>
      <w:divBdr>
        <w:top w:val="none" w:sz="0" w:space="0" w:color="auto"/>
        <w:left w:val="none" w:sz="0" w:space="0" w:color="auto"/>
        <w:bottom w:val="none" w:sz="0" w:space="0" w:color="auto"/>
        <w:right w:val="none" w:sz="0" w:space="0" w:color="auto"/>
      </w:divBdr>
    </w:div>
    <w:div w:id="669910279">
      <w:bodyDiv w:val="1"/>
      <w:marLeft w:val="0"/>
      <w:marRight w:val="0"/>
      <w:marTop w:val="0"/>
      <w:marBottom w:val="0"/>
      <w:divBdr>
        <w:top w:val="none" w:sz="0" w:space="0" w:color="auto"/>
        <w:left w:val="none" w:sz="0" w:space="0" w:color="auto"/>
        <w:bottom w:val="none" w:sz="0" w:space="0" w:color="auto"/>
        <w:right w:val="none" w:sz="0" w:space="0" w:color="auto"/>
      </w:divBdr>
    </w:div>
    <w:div w:id="717827218">
      <w:bodyDiv w:val="1"/>
      <w:marLeft w:val="0"/>
      <w:marRight w:val="0"/>
      <w:marTop w:val="0"/>
      <w:marBottom w:val="0"/>
      <w:divBdr>
        <w:top w:val="none" w:sz="0" w:space="0" w:color="auto"/>
        <w:left w:val="none" w:sz="0" w:space="0" w:color="auto"/>
        <w:bottom w:val="none" w:sz="0" w:space="0" w:color="auto"/>
        <w:right w:val="none" w:sz="0" w:space="0" w:color="auto"/>
      </w:divBdr>
    </w:div>
    <w:div w:id="878512161">
      <w:bodyDiv w:val="1"/>
      <w:marLeft w:val="0"/>
      <w:marRight w:val="0"/>
      <w:marTop w:val="0"/>
      <w:marBottom w:val="0"/>
      <w:divBdr>
        <w:top w:val="none" w:sz="0" w:space="0" w:color="auto"/>
        <w:left w:val="none" w:sz="0" w:space="0" w:color="auto"/>
        <w:bottom w:val="none" w:sz="0" w:space="0" w:color="auto"/>
        <w:right w:val="none" w:sz="0" w:space="0" w:color="auto"/>
      </w:divBdr>
    </w:div>
    <w:div w:id="905533284">
      <w:bodyDiv w:val="1"/>
      <w:marLeft w:val="0"/>
      <w:marRight w:val="0"/>
      <w:marTop w:val="0"/>
      <w:marBottom w:val="0"/>
      <w:divBdr>
        <w:top w:val="none" w:sz="0" w:space="0" w:color="auto"/>
        <w:left w:val="none" w:sz="0" w:space="0" w:color="auto"/>
        <w:bottom w:val="none" w:sz="0" w:space="0" w:color="auto"/>
        <w:right w:val="none" w:sz="0" w:space="0" w:color="auto"/>
      </w:divBdr>
    </w:div>
    <w:div w:id="1086613458">
      <w:bodyDiv w:val="1"/>
      <w:marLeft w:val="0"/>
      <w:marRight w:val="0"/>
      <w:marTop w:val="0"/>
      <w:marBottom w:val="0"/>
      <w:divBdr>
        <w:top w:val="none" w:sz="0" w:space="0" w:color="auto"/>
        <w:left w:val="none" w:sz="0" w:space="0" w:color="auto"/>
        <w:bottom w:val="none" w:sz="0" w:space="0" w:color="auto"/>
        <w:right w:val="none" w:sz="0" w:space="0" w:color="auto"/>
      </w:divBdr>
    </w:div>
    <w:div w:id="1096632124">
      <w:bodyDiv w:val="1"/>
      <w:marLeft w:val="0"/>
      <w:marRight w:val="0"/>
      <w:marTop w:val="0"/>
      <w:marBottom w:val="0"/>
      <w:divBdr>
        <w:top w:val="none" w:sz="0" w:space="0" w:color="auto"/>
        <w:left w:val="none" w:sz="0" w:space="0" w:color="auto"/>
        <w:bottom w:val="none" w:sz="0" w:space="0" w:color="auto"/>
        <w:right w:val="none" w:sz="0" w:space="0" w:color="auto"/>
      </w:divBdr>
    </w:div>
    <w:div w:id="1113935728">
      <w:bodyDiv w:val="1"/>
      <w:marLeft w:val="0"/>
      <w:marRight w:val="0"/>
      <w:marTop w:val="0"/>
      <w:marBottom w:val="0"/>
      <w:divBdr>
        <w:top w:val="none" w:sz="0" w:space="0" w:color="auto"/>
        <w:left w:val="none" w:sz="0" w:space="0" w:color="auto"/>
        <w:bottom w:val="none" w:sz="0" w:space="0" w:color="auto"/>
        <w:right w:val="none" w:sz="0" w:space="0" w:color="auto"/>
      </w:divBdr>
    </w:div>
    <w:div w:id="1136604131">
      <w:bodyDiv w:val="1"/>
      <w:marLeft w:val="0"/>
      <w:marRight w:val="0"/>
      <w:marTop w:val="0"/>
      <w:marBottom w:val="0"/>
      <w:divBdr>
        <w:top w:val="none" w:sz="0" w:space="0" w:color="auto"/>
        <w:left w:val="none" w:sz="0" w:space="0" w:color="auto"/>
        <w:bottom w:val="none" w:sz="0" w:space="0" w:color="auto"/>
        <w:right w:val="none" w:sz="0" w:space="0" w:color="auto"/>
      </w:divBdr>
    </w:div>
    <w:div w:id="1193179900">
      <w:bodyDiv w:val="1"/>
      <w:marLeft w:val="0"/>
      <w:marRight w:val="0"/>
      <w:marTop w:val="0"/>
      <w:marBottom w:val="0"/>
      <w:divBdr>
        <w:top w:val="none" w:sz="0" w:space="0" w:color="auto"/>
        <w:left w:val="none" w:sz="0" w:space="0" w:color="auto"/>
        <w:bottom w:val="none" w:sz="0" w:space="0" w:color="auto"/>
        <w:right w:val="none" w:sz="0" w:space="0" w:color="auto"/>
      </w:divBdr>
    </w:div>
    <w:div w:id="1206137610">
      <w:bodyDiv w:val="1"/>
      <w:marLeft w:val="0"/>
      <w:marRight w:val="0"/>
      <w:marTop w:val="0"/>
      <w:marBottom w:val="0"/>
      <w:divBdr>
        <w:top w:val="none" w:sz="0" w:space="0" w:color="auto"/>
        <w:left w:val="none" w:sz="0" w:space="0" w:color="auto"/>
        <w:bottom w:val="none" w:sz="0" w:space="0" w:color="auto"/>
        <w:right w:val="none" w:sz="0" w:space="0" w:color="auto"/>
      </w:divBdr>
    </w:div>
    <w:div w:id="1260218905">
      <w:bodyDiv w:val="1"/>
      <w:marLeft w:val="0"/>
      <w:marRight w:val="0"/>
      <w:marTop w:val="0"/>
      <w:marBottom w:val="0"/>
      <w:divBdr>
        <w:top w:val="none" w:sz="0" w:space="0" w:color="auto"/>
        <w:left w:val="none" w:sz="0" w:space="0" w:color="auto"/>
        <w:bottom w:val="none" w:sz="0" w:space="0" w:color="auto"/>
        <w:right w:val="none" w:sz="0" w:space="0" w:color="auto"/>
      </w:divBdr>
    </w:div>
    <w:div w:id="1427965862">
      <w:bodyDiv w:val="1"/>
      <w:marLeft w:val="0"/>
      <w:marRight w:val="0"/>
      <w:marTop w:val="0"/>
      <w:marBottom w:val="0"/>
      <w:divBdr>
        <w:top w:val="none" w:sz="0" w:space="0" w:color="auto"/>
        <w:left w:val="none" w:sz="0" w:space="0" w:color="auto"/>
        <w:bottom w:val="none" w:sz="0" w:space="0" w:color="auto"/>
        <w:right w:val="none" w:sz="0" w:space="0" w:color="auto"/>
      </w:divBdr>
    </w:div>
    <w:div w:id="1447962176">
      <w:bodyDiv w:val="1"/>
      <w:marLeft w:val="0"/>
      <w:marRight w:val="0"/>
      <w:marTop w:val="0"/>
      <w:marBottom w:val="0"/>
      <w:divBdr>
        <w:top w:val="none" w:sz="0" w:space="0" w:color="auto"/>
        <w:left w:val="none" w:sz="0" w:space="0" w:color="auto"/>
        <w:bottom w:val="none" w:sz="0" w:space="0" w:color="auto"/>
        <w:right w:val="none" w:sz="0" w:space="0" w:color="auto"/>
      </w:divBdr>
    </w:div>
    <w:div w:id="1674990576">
      <w:bodyDiv w:val="1"/>
      <w:marLeft w:val="0"/>
      <w:marRight w:val="0"/>
      <w:marTop w:val="0"/>
      <w:marBottom w:val="0"/>
      <w:divBdr>
        <w:top w:val="none" w:sz="0" w:space="0" w:color="auto"/>
        <w:left w:val="none" w:sz="0" w:space="0" w:color="auto"/>
        <w:bottom w:val="none" w:sz="0" w:space="0" w:color="auto"/>
        <w:right w:val="none" w:sz="0" w:space="0" w:color="auto"/>
      </w:divBdr>
    </w:div>
    <w:div w:id="1820075753">
      <w:bodyDiv w:val="1"/>
      <w:marLeft w:val="0"/>
      <w:marRight w:val="0"/>
      <w:marTop w:val="0"/>
      <w:marBottom w:val="0"/>
      <w:divBdr>
        <w:top w:val="none" w:sz="0" w:space="0" w:color="auto"/>
        <w:left w:val="none" w:sz="0" w:space="0" w:color="auto"/>
        <w:bottom w:val="none" w:sz="0" w:space="0" w:color="auto"/>
        <w:right w:val="none" w:sz="0" w:space="0" w:color="auto"/>
      </w:divBdr>
    </w:div>
    <w:div w:id="1830904147">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925063589">
      <w:bodyDiv w:val="1"/>
      <w:marLeft w:val="0"/>
      <w:marRight w:val="0"/>
      <w:marTop w:val="0"/>
      <w:marBottom w:val="0"/>
      <w:divBdr>
        <w:top w:val="none" w:sz="0" w:space="0" w:color="auto"/>
        <w:left w:val="none" w:sz="0" w:space="0" w:color="auto"/>
        <w:bottom w:val="none" w:sz="0" w:space="0" w:color="auto"/>
        <w:right w:val="none" w:sz="0" w:space="0" w:color="auto"/>
      </w:divBdr>
    </w:div>
    <w:div w:id="1941864160">
      <w:bodyDiv w:val="1"/>
      <w:marLeft w:val="0"/>
      <w:marRight w:val="0"/>
      <w:marTop w:val="0"/>
      <w:marBottom w:val="0"/>
      <w:divBdr>
        <w:top w:val="none" w:sz="0" w:space="0" w:color="auto"/>
        <w:left w:val="none" w:sz="0" w:space="0" w:color="auto"/>
        <w:bottom w:val="none" w:sz="0" w:space="0" w:color="auto"/>
        <w:right w:val="none" w:sz="0" w:space="0" w:color="auto"/>
      </w:divBdr>
    </w:div>
    <w:div w:id="1945111940">
      <w:bodyDiv w:val="1"/>
      <w:marLeft w:val="0"/>
      <w:marRight w:val="0"/>
      <w:marTop w:val="0"/>
      <w:marBottom w:val="0"/>
      <w:divBdr>
        <w:top w:val="none" w:sz="0" w:space="0" w:color="auto"/>
        <w:left w:val="none" w:sz="0" w:space="0" w:color="auto"/>
        <w:bottom w:val="none" w:sz="0" w:space="0" w:color="auto"/>
        <w:right w:val="none" w:sz="0" w:space="0" w:color="auto"/>
      </w:divBdr>
    </w:div>
    <w:div w:id="1985039857">
      <w:bodyDiv w:val="1"/>
      <w:marLeft w:val="0"/>
      <w:marRight w:val="0"/>
      <w:marTop w:val="0"/>
      <w:marBottom w:val="0"/>
      <w:divBdr>
        <w:top w:val="none" w:sz="0" w:space="0" w:color="auto"/>
        <w:left w:val="none" w:sz="0" w:space="0" w:color="auto"/>
        <w:bottom w:val="none" w:sz="0" w:space="0" w:color="auto"/>
        <w:right w:val="none" w:sz="0" w:space="0" w:color="auto"/>
      </w:divBdr>
    </w:div>
    <w:div w:id="20535316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09774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www.tga.gov.au/publication/risk-management-plans-medicines-and-biologicals"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footer" Target="footer2.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https://www.tga.gov.au/picmi-search-facility" TargetMode="Externa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microsoft.com/office/2007/relationships/hdphoto" Target="media/hdphoto1.wdp"/><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5.png"/><Relationship Id="rId37" Type="http://schemas.openxmlformats.org/officeDocument/2006/relationships/hyperlink" Target="https://www.tga.gov.au/committee/advisory-committee-medicines-acm" TargetMode="External"/><Relationship Id="rId40" Type="http://schemas.openxmlformats.org/officeDocument/2006/relationships/header" Target="header4.xm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www.tga.gov.au/picmi-search-facility"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footer" Target="footer4.xml"/><Relationship Id="rId10" Type="http://schemas.openxmlformats.org/officeDocument/2006/relationships/hyperlink" Target="mailto:tga.copyright@tga.gov.au" TargetMode="Externa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8.png"/><Relationship Id="rId27" Type="http://schemas.openxmlformats.org/officeDocument/2006/relationships/hyperlink" Target="https://www.tga.gov.au/tgas-risk-management-approach"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mailto:info@tga.gov.au" TargetMode="External"/><Relationship Id="rId48" Type="http://schemas.openxmlformats.org/officeDocument/2006/relationships/header" Target="header8.xml"/><Relationship Id="rId8" Type="http://schemas.openxmlformats.org/officeDocument/2006/relationships/hyperlink" Target="https://www.tga.gov.au" TargetMode="Externa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myeloma.org.au/wp-content/uploads/2017/10/MSAG-Clinical-Practice-Guideline-Myeloma-V4-March-2017.pdf" TargetMode="External"/><Relationship Id="rId2" Type="http://schemas.openxmlformats.org/officeDocument/2006/relationships/hyperlink" Target="https://www.canceraustralia.gov.au/cancer-types/myeloma/statistics" TargetMode="External"/><Relationship Id="rId1" Type="http://schemas.openxmlformats.org/officeDocument/2006/relationships/hyperlink" Target="https://www.aihw.gov.au/reports/cancer/cancer-data-in-australia" TargetMode="External"/><Relationship Id="rId5" Type="http://schemas.openxmlformats.org/officeDocument/2006/relationships/hyperlink" Target="https://www.tga.gov.au/resources/auspar/auspar-romidepsin" TargetMode="External"/><Relationship Id="rId4" Type="http://schemas.openxmlformats.org/officeDocument/2006/relationships/hyperlink" Target="https://www.tga.gov.au/resources/auspar/auspar-polatuzumab-vedot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9152\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C8C38-CC62-4E83-B63A-6E9534451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26</TotalTime>
  <Pages>79</Pages>
  <Words>24054</Words>
  <Characters>134705</Characters>
  <Application>Microsoft Office Word</Application>
  <DocSecurity>0</DocSecurity>
  <Lines>3367</Lines>
  <Paragraphs>2116</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156643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Xpovio</dc:title>
  <dc:subject>prescription medicine regulation</dc:subject>
  <dc:creator>Therapeutic Goods Administration</dc:creator>
  <cp:keywords/>
  <cp:lastModifiedBy>KOLARIK-O'REILLY, Kristy</cp:lastModifiedBy>
  <cp:revision>7</cp:revision>
  <cp:lastPrinted>2019-08-14T04:30:00Z</cp:lastPrinted>
  <dcterms:created xsi:type="dcterms:W3CDTF">2022-11-01T05:05:00Z</dcterms:created>
  <dcterms:modified xsi:type="dcterms:W3CDTF">2022-11-14T22:21:00Z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#491684v3</vt:lpwstr>
  </property>
</Properties>
</file>