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7F5CC" w14:textId="5552D4D3" w:rsidR="00375DF3" w:rsidRPr="00375DF3" w:rsidRDefault="00375DF3" w:rsidP="006018AE">
      <w:pPr>
        <w:tabs>
          <w:tab w:val="left" w:pos="284"/>
        </w:tabs>
        <w:spacing w:after="480" w:line="240" w:lineRule="auto"/>
        <w:rPr>
          <w:rFonts w:asciiTheme="majorHAnsi" w:hAnsiTheme="majorHAnsi"/>
        </w:rPr>
      </w:pPr>
      <w:r>
        <w:rPr>
          <w:noProof/>
          <w:lang w:eastAsia="en-AU"/>
        </w:rPr>
        <mc:AlternateContent>
          <mc:Choice Requires="wps">
            <w:drawing>
              <wp:inline distT="0" distB="0" distL="0" distR="0" wp14:anchorId="2D62C179" wp14:editId="40A4FA27">
                <wp:extent cx="252095" cy="252095"/>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35127" w14:textId="77777777" w:rsidR="00371BEB" w:rsidRPr="00BE2A26" w:rsidRDefault="00371BEB" w:rsidP="00375DF3">
                            <w:pPr>
                              <w:spacing w:after="0"/>
                              <w:rPr>
                                <w:rFonts w:ascii="Wingdings 3" w:hAnsi="Wingdings 3"/>
                                <w:sz w:val="24"/>
                              </w:rPr>
                            </w:pPr>
                            <w:r w:rsidRPr="00BE2A26">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2D62C179" id="_x0000_t202" coordsize="21600,21600" o:spt="202" path="m,l,21600r21600,l21600,xe">
                <v:stroke joinstyle="miter"/>
                <v:path gradientshapeok="t" o:connecttype="rect"/>
              </v:shapetype>
              <v:shape id="Text Box 1"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" stroked="f">
                <v:textbox inset="0,0,0,0">
                  <w:txbxContent>
                    <w:p w14:paraId="45035127" w14:textId="77777777" w:rsidR="00371BEB" w:rsidRPr="00BE2A26" w:rsidRDefault="00371BEB" w:rsidP="00375DF3">
                      <w:pPr>
                        <w:spacing w:after="0"/>
                        <w:rPr>
                          <w:rFonts w:ascii="Wingdings 3" w:hAnsi="Wingdings 3"/>
                          <w:sz w:val="24"/>
                        </w:rPr>
                      </w:pPr>
                      <w:r w:rsidRPr="00BE2A26">
                        <w:rPr>
                          <w:rFonts w:ascii="SimSun" w:eastAsia="SimSun" w:hAnsi="SimSun" w:cs="Arial" w:hint="eastAsia"/>
                          <w:sz w:val="40"/>
                        </w:rPr>
                        <w:t>▼</w:t>
                      </w:r>
                    </w:p>
                  </w:txbxContent>
                </v:textbox>
                <w10:anchorlock/>
              </v:shape>
            </w:pict>
          </mc:Fallback>
        </mc:AlternateContent>
      </w:r>
      <w:r w:rsidR="001A3992" w:rsidRPr="001A3992">
        <w:rPr>
          <w:rFonts w:asciiTheme="majorHAnsi" w:hAnsiTheme="majorHAnsi"/>
        </w:rPr>
        <w:t xml:space="preserve">This </w:t>
      </w:r>
      <w:r w:rsidR="00631360">
        <w:rPr>
          <w:rFonts w:asciiTheme="majorHAnsi" w:hAnsiTheme="majorHAnsi"/>
        </w:rPr>
        <w:t xml:space="preserve">vaccine </w:t>
      </w:r>
      <w:r w:rsidR="001A3992" w:rsidRPr="001A3992">
        <w:rPr>
          <w:rFonts w:asciiTheme="majorHAnsi" w:hAnsiTheme="majorHAnsi"/>
        </w:rPr>
        <w:t xml:space="preserve">is subject to additional monitoring in Australia. This will allow quick identification of new safety information. Healthcare professionals are asked to report any suspected adverse events at </w:t>
      </w:r>
      <w:hyperlink r:id="rId11" w:history="1">
        <w:r w:rsidRPr="00375DF3">
          <w:rPr>
            <w:rStyle w:val="Hyperlink"/>
            <w:rFonts w:asciiTheme="majorHAnsi" w:hAnsiTheme="majorHAnsi"/>
          </w:rPr>
          <w:t>www.tga.gov.au/reporting-problems</w:t>
        </w:r>
      </w:hyperlink>
      <w:r w:rsidRPr="00375DF3">
        <w:rPr>
          <w:rFonts w:asciiTheme="majorHAnsi" w:hAnsiTheme="majorHAnsi"/>
        </w:rPr>
        <w:t>.</w:t>
      </w:r>
    </w:p>
    <w:p w14:paraId="775D6B5F" w14:textId="5E19BEF1" w:rsidR="006018AE" w:rsidRPr="009C133A" w:rsidRDefault="006018AE" w:rsidP="0027766D">
      <w:pPr>
        <w:pStyle w:val="Heading1"/>
        <w:numPr>
          <w:ilvl w:val="0"/>
          <w:numId w:val="0"/>
        </w:numPr>
      </w:pPr>
      <w:r w:rsidRPr="009C133A">
        <w:t>Australian P</w:t>
      </w:r>
      <w:r w:rsidR="0021200F">
        <w:t xml:space="preserve">roduct </w:t>
      </w:r>
      <w:r w:rsidRPr="009C133A">
        <w:t>I</w:t>
      </w:r>
      <w:r w:rsidR="0021200F">
        <w:t>nformation</w:t>
      </w:r>
      <w:r>
        <w:t xml:space="preserve"> – </w:t>
      </w:r>
      <w:r w:rsidR="0076036F">
        <w:t>SPIKEVAX</w:t>
      </w:r>
      <w:r w:rsidR="00DD4BE6">
        <w:t xml:space="preserve"> </w:t>
      </w:r>
      <w:r>
        <w:t>(</w:t>
      </w:r>
      <w:r w:rsidR="003763DB">
        <w:t>Elasomeran</w:t>
      </w:r>
      <w:r>
        <w:t>)</w:t>
      </w:r>
      <w:r w:rsidR="00A64655">
        <w:t xml:space="preserve"> </w:t>
      </w:r>
      <w:r w:rsidR="005F49F9">
        <w:t xml:space="preserve">COVID-19 VACCINE </w:t>
      </w:r>
    </w:p>
    <w:p w14:paraId="55ED1AAA" w14:textId="57E8C6EB" w:rsidR="001A3992" w:rsidRDefault="001A3992" w:rsidP="000A640E">
      <w:pPr>
        <w:pStyle w:val="Heading1"/>
      </w:pPr>
      <w:r w:rsidRPr="00035C95">
        <w:t>Name of the medicine</w:t>
      </w:r>
    </w:p>
    <w:p w14:paraId="182419E3" w14:textId="4BCD6AF4" w:rsidR="008C442D" w:rsidRPr="008C442D" w:rsidRDefault="003A31BB" w:rsidP="008C442D">
      <w:proofErr w:type="spellStart"/>
      <w:r>
        <w:t>Elasomeran</w:t>
      </w:r>
      <w:proofErr w:type="spellEnd"/>
    </w:p>
    <w:p w14:paraId="0424CF0B" w14:textId="74325996" w:rsidR="001A3992" w:rsidRDefault="001A3992" w:rsidP="000A640E">
      <w:pPr>
        <w:pStyle w:val="Heading1"/>
      </w:pPr>
      <w:r w:rsidRPr="000A640E">
        <w:t>Qualitative and quantitative composition</w:t>
      </w:r>
    </w:p>
    <w:p w14:paraId="10442799" w14:textId="1BE04005" w:rsidR="004355F8" w:rsidRDefault="004355F8" w:rsidP="004355F8">
      <w:r w:rsidRPr="002C5708">
        <w:rPr>
          <w:b/>
          <w:bCs/>
          <w:lang w:val="en-GB"/>
        </w:rPr>
        <w:t xml:space="preserve">Table </w:t>
      </w:r>
      <w:r>
        <w:rPr>
          <w:b/>
          <w:bCs/>
          <w:lang w:val="en-GB"/>
        </w:rPr>
        <w:t>1</w:t>
      </w:r>
      <w:r w:rsidRPr="002C5708">
        <w:rPr>
          <w:b/>
          <w:bCs/>
          <w:lang w:val="en-GB"/>
        </w:rPr>
        <w:t xml:space="preserve">: </w:t>
      </w:r>
      <w:r w:rsidR="00C4201E" w:rsidRPr="00C4201E">
        <w:rPr>
          <w:b/>
          <w:bCs/>
          <w:lang w:val="en-US"/>
        </w:rPr>
        <w:t xml:space="preserve">SPIKEVAX </w:t>
      </w:r>
      <w:bookmarkStart w:id="0" w:name="_Hlk106833682"/>
      <w:r w:rsidR="00C4201E">
        <w:rPr>
          <w:b/>
          <w:bCs/>
          <w:lang w:val="en-GB"/>
        </w:rPr>
        <w:t xml:space="preserve">products – concentration, presentation, </w:t>
      </w:r>
      <w:proofErr w:type="gramStart"/>
      <w:r w:rsidR="008C7DB9">
        <w:rPr>
          <w:b/>
          <w:bCs/>
          <w:lang w:val="en-GB"/>
        </w:rPr>
        <w:t>dose</w:t>
      </w:r>
      <w:proofErr w:type="gramEnd"/>
      <w:r w:rsidR="00C4201E">
        <w:rPr>
          <w:b/>
          <w:bCs/>
          <w:lang w:val="en-GB"/>
        </w:rPr>
        <w:t xml:space="preserve"> and composition</w:t>
      </w:r>
      <w:bookmarkEnd w:id="0"/>
    </w:p>
    <w:tbl>
      <w:tblPr>
        <w:tblStyle w:val="TableGrid"/>
        <w:tblW w:w="0" w:type="auto"/>
        <w:tblLook w:val="04A0" w:firstRow="1" w:lastRow="0" w:firstColumn="1" w:lastColumn="0" w:noHBand="0" w:noVBand="1"/>
      </w:tblPr>
      <w:tblGrid>
        <w:gridCol w:w="1696"/>
        <w:gridCol w:w="1843"/>
        <w:gridCol w:w="2126"/>
        <w:gridCol w:w="3351"/>
      </w:tblGrid>
      <w:tr w:rsidR="0046250A" w14:paraId="404BB3B4" w14:textId="77777777" w:rsidTr="00DB11DD">
        <w:tc>
          <w:tcPr>
            <w:tcW w:w="1696" w:type="dxa"/>
          </w:tcPr>
          <w:p w14:paraId="3567DCC0" w14:textId="70FFB7E1" w:rsidR="00211C4B" w:rsidRDefault="00211C4B" w:rsidP="00FF1215">
            <w:pPr>
              <w:spacing w:after="120"/>
              <w:rPr>
                <w:rFonts w:cstheme="minorHAnsi"/>
              </w:rPr>
            </w:pPr>
            <w:r w:rsidRPr="00211C4B">
              <w:rPr>
                <w:rFonts w:cstheme="minorHAnsi"/>
                <w:b/>
                <w:lang w:val="en-GB"/>
              </w:rPr>
              <w:t>Concentration</w:t>
            </w:r>
          </w:p>
        </w:tc>
        <w:tc>
          <w:tcPr>
            <w:tcW w:w="1843" w:type="dxa"/>
          </w:tcPr>
          <w:p w14:paraId="6C8C86A4" w14:textId="792B9570" w:rsidR="00211C4B" w:rsidRDefault="00211C4B" w:rsidP="00FF1215">
            <w:pPr>
              <w:spacing w:after="120"/>
              <w:rPr>
                <w:rFonts w:cstheme="minorHAnsi"/>
              </w:rPr>
            </w:pPr>
            <w:r w:rsidRPr="00211C4B">
              <w:rPr>
                <w:rFonts w:cstheme="minorHAnsi"/>
                <w:b/>
                <w:lang w:val="en-GB"/>
              </w:rPr>
              <w:t>Presentation</w:t>
            </w:r>
          </w:p>
        </w:tc>
        <w:tc>
          <w:tcPr>
            <w:tcW w:w="2126" w:type="dxa"/>
          </w:tcPr>
          <w:p w14:paraId="66163A10" w14:textId="6F22197A" w:rsidR="00211C4B" w:rsidRDefault="00211C4B" w:rsidP="00FF1215">
            <w:pPr>
              <w:spacing w:after="120"/>
              <w:rPr>
                <w:rFonts w:cstheme="minorHAnsi"/>
              </w:rPr>
            </w:pPr>
            <w:r w:rsidRPr="00211C4B">
              <w:rPr>
                <w:rFonts w:cstheme="minorHAnsi"/>
                <w:b/>
                <w:lang w:val="en-GB"/>
              </w:rPr>
              <w:t>Dose(s)</w:t>
            </w:r>
          </w:p>
        </w:tc>
        <w:tc>
          <w:tcPr>
            <w:tcW w:w="3351" w:type="dxa"/>
          </w:tcPr>
          <w:p w14:paraId="7DBE54A5" w14:textId="2D7A05AF" w:rsidR="00211C4B" w:rsidRDefault="00211C4B" w:rsidP="00FF1215">
            <w:pPr>
              <w:spacing w:after="120"/>
              <w:rPr>
                <w:rFonts w:cstheme="minorHAnsi"/>
              </w:rPr>
            </w:pPr>
            <w:r w:rsidRPr="00211C4B">
              <w:rPr>
                <w:rFonts w:cstheme="minorHAnsi"/>
                <w:b/>
                <w:lang w:val="en-GB"/>
              </w:rPr>
              <w:t>Composition</w:t>
            </w:r>
          </w:p>
        </w:tc>
      </w:tr>
      <w:tr w:rsidR="00211C4B" w14:paraId="3A903A67" w14:textId="77777777" w:rsidTr="006A1B15">
        <w:tc>
          <w:tcPr>
            <w:tcW w:w="9016" w:type="dxa"/>
            <w:gridSpan w:val="4"/>
          </w:tcPr>
          <w:p w14:paraId="479F0504" w14:textId="3FC032EC" w:rsidR="00211C4B" w:rsidRDefault="00211C4B" w:rsidP="00FF1215">
            <w:pPr>
              <w:spacing w:after="120"/>
              <w:rPr>
                <w:rFonts w:cstheme="minorHAnsi"/>
              </w:rPr>
            </w:pPr>
            <w:r w:rsidRPr="00211C4B">
              <w:rPr>
                <w:rFonts w:cstheme="minorHAnsi"/>
                <w:b/>
                <w:bCs/>
                <w:lang w:val="en-GB"/>
              </w:rPr>
              <w:t>0.20 mg/mL</w:t>
            </w:r>
          </w:p>
        </w:tc>
      </w:tr>
      <w:tr w:rsidR="0046250A" w14:paraId="093B6394" w14:textId="77777777" w:rsidTr="00DB11DD">
        <w:tc>
          <w:tcPr>
            <w:tcW w:w="1696" w:type="dxa"/>
            <w:vMerge w:val="restart"/>
          </w:tcPr>
          <w:p w14:paraId="4A1D53FD" w14:textId="77777777" w:rsidR="00211C4B" w:rsidRDefault="00211C4B" w:rsidP="005B2812">
            <w:pPr>
              <w:rPr>
                <w:rFonts w:cstheme="minorHAnsi"/>
              </w:rPr>
            </w:pPr>
          </w:p>
        </w:tc>
        <w:tc>
          <w:tcPr>
            <w:tcW w:w="1843" w:type="dxa"/>
            <w:vMerge w:val="restart"/>
          </w:tcPr>
          <w:p w14:paraId="622BF131" w14:textId="1B62EDDA" w:rsidR="00211C4B" w:rsidRDefault="00211C4B" w:rsidP="005B2812">
            <w:pPr>
              <w:rPr>
                <w:rFonts w:cstheme="minorHAnsi"/>
              </w:rPr>
            </w:pPr>
            <w:r w:rsidRPr="00211C4B">
              <w:rPr>
                <w:rFonts w:cstheme="minorHAnsi"/>
                <w:bCs/>
                <w:lang w:val="en-GB"/>
              </w:rPr>
              <w:t>Multidose vial</w:t>
            </w:r>
          </w:p>
        </w:tc>
        <w:tc>
          <w:tcPr>
            <w:tcW w:w="2126" w:type="dxa"/>
          </w:tcPr>
          <w:p w14:paraId="5C7AD38C" w14:textId="77777777" w:rsidR="00211C4B" w:rsidRPr="00211C4B" w:rsidRDefault="00211C4B" w:rsidP="00211C4B">
            <w:pPr>
              <w:rPr>
                <w:rFonts w:cstheme="minorHAnsi"/>
                <w:bCs/>
                <w:lang w:val="en-GB"/>
              </w:rPr>
            </w:pPr>
            <w:r w:rsidRPr="00211C4B">
              <w:rPr>
                <w:rFonts w:cstheme="minorHAnsi"/>
                <w:bCs/>
                <w:lang w:val="en-GB"/>
              </w:rPr>
              <w:t xml:space="preserve">10 doses </w:t>
            </w:r>
          </w:p>
          <w:p w14:paraId="4AD0CE4D" w14:textId="6F127A59" w:rsidR="00211C4B" w:rsidRDefault="00211C4B" w:rsidP="00211C4B">
            <w:pPr>
              <w:rPr>
                <w:rFonts w:cstheme="minorHAnsi"/>
              </w:rPr>
            </w:pPr>
            <w:r w:rsidRPr="00211C4B">
              <w:rPr>
                <w:rFonts w:cstheme="minorHAnsi"/>
                <w:bCs/>
                <w:lang w:val="en-GB"/>
              </w:rPr>
              <w:t>of 0.5 mL each</w:t>
            </w:r>
          </w:p>
        </w:tc>
        <w:tc>
          <w:tcPr>
            <w:tcW w:w="3351" w:type="dxa"/>
          </w:tcPr>
          <w:p w14:paraId="47873039" w14:textId="52098069" w:rsidR="00211C4B" w:rsidRDefault="00211C4B" w:rsidP="00FF1215">
            <w:pPr>
              <w:spacing w:after="120"/>
              <w:rPr>
                <w:rFonts w:cstheme="minorHAnsi"/>
              </w:rPr>
            </w:pPr>
            <w:r w:rsidRPr="00211C4B">
              <w:rPr>
                <w:rFonts w:cstheme="minorHAnsi"/>
                <w:lang w:val="en-GB"/>
              </w:rPr>
              <w:t xml:space="preserve">One dose (0.5 mL) contains 100 micrograms of </w:t>
            </w:r>
            <w:proofErr w:type="spellStart"/>
            <w:r w:rsidRPr="00211C4B">
              <w:rPr>
                <w:rFonts w:cstheme="minorHAnsi"/>
                <w:lang w:val="en-GB"/>
              </w:rPr>
              <w:t>elasomeran</w:t>
            </w:r>
            <w:proofErr w:type="spellEnd"/>
            <w:r w:rsidRPr="00211C4B">
              <w:rPr>
                <w:rFonts w:cstheme="minorHAnsi"/>
                <w:lang w:val="en-GB"/>
              </w:rPr>
              <w:t>, a COVID-19 mRNA Vaccine (embedded in lipid nanoparticles).</w:t>
            </w:r>
          </w:p>
        </w:tc>
      </w:tr>
      <w:tr w:rsidR="0046250A" w14:paraId="4227139D" w14:textId="77777777" w:rsidTr="00DB11DD">
        <w:tc>
          <w:tcPr>
            <w:tcW w:w="1696" w:type="dxa"/>
            <w:vMerge/>
          </w:tcPr>
          <w:p w14:paraId="63AA8F2E" w14:textId="77777777" w:rsidR="00211C4B" w:rsidRDefault="00211C4B" w:rsidP="005B2812">
            <w:pPr>
              <w:rPr>
                <w:rFonts w:cstheme="minorHAnsi"/>
              </w:rPr>
            </w:pPr>
          </w:p>
        </w:tc>
        <w:tc>
          <w:tcPr>
            <w:tcW w:w="1843" w:type="dxa"/>
            <w:vMerge/>
          </w:tcPr>
          <w:p w14:paraId="2143C2B6" w14:textId="77777777" w:rsidR="00211C4B" w:rsidRDefault="00211C4B" w:rsidP="005B2812">
            <w:pPr>
              <w:rPr>
                <w:rFonts w:cstheme="minorHAnsi"/>
              </w:rPr>
            </w:pPr>
          </w:p>
        </w:tc>
        <w:tc>
          <w:tcPr>
            <w:tcW w:w="2126" w:type="dxa"/>
          </w:tcPr>
          <w:p w14:paraId="3F918247" w14:textId="17567349" w:rsidR="00211C4B" w:rsidRDefault="00211C4B" w:rsidP="005B2812">
            <w:pPr>
              <w:rPr>
                <w:rFonts w:cstheme="minorHAnsi"/>
              </w:rPr>
            </w:pPr>
            <w:r w:rsidRPr="00211C4B">
              <w:rPr>
                <w:rFonts w:cstheme="minorHAnsi"/>
                <w:bCs/>
                <w:lang w:val="en-GB"/>
              </w:rPr>
              <w:t>Maximum 20 doses of 0.25 mL each</w:t>
            </w:r>
          </w:p>
        </w:tc>
        <w:tc>
          <w:tcPr>
            <w:tcW w:w="3351" w:type="dxa"/>
          </w:tcPr>
          <w:p w14:paraId="4C3FC68B" w14:textId="71EDBE39" w:rsidR="00211C4B" w:rsidRDefault="00211C4B" w:rsidP="00FF1215">
            <w:pPr>
              <w:spacing w:after="120"/>
              <w:rPr>
                <w:rFonts w:cstheme="minorHAnsi"/>
              </w:rPr>
            </w:pPr>
            <w:r w:rsidRPr="00211C4B">
              <w:rPr>
                <w:rFonts w:cstheme="minorHAnsi"/>
                <w:lang w:val="en-GB"/>
              </w:rPr>
              <w:t xml:space="preserve">One dose (0.25 mL) contains 50 micrograms of </w:t>
            </w:r>
            <w:proofErr w:type="spellStart"/>
            <w:r w:rsidRPr="00211C4B">
              <w:rPr>
                <w:rFonts w:cstheme="minorHAnsi"/>
                <w:lang w:val="en-GB"/>
              </w:rPr>
              <w:t>elasomeran</w:t>
            </w:r>
            <w:proofErr w:type="spellEnd"/>
            <w:r w:rsidRPr="00211C4B">
              <w:rPr>
                <w:rFonts w:cstheme="minorHAnsi"/>
                <w:lang w:val="en-GB"/>
              </w:rPr>
              <w:t>, a COVID-19 mRNA Vaccine (embedded in lipid nanoparticles).</w:t>
            </w:r>
          </w:p>
        </w:tc>
      </w:tr>
      <w:tr w:rsidR="00211C4B" w14:paraId="0F8AF5CE" w14:textId="77777777" w:rsidTr="00F25910">
        <w:tc>
          <w:tcPr>
            <w:tcW w:w="9016" w:type="dxa"/>
            <w:gridSpan w:val="4"/>
          </w:tcPr>
          <w:p w14:paraId="78CDF05C" w14:textId="46B5CAA1" w:rsidR="00211C4B" w:rsidRDefault="00211C4B" w:rsidP="00FF1215">
            <w:pPr>
              <w:spacing w:after="120"/>
              <w:rPr>
                <w:rFonts w:cstheme="minorHAnsi"/>
              </w:rPr>
            </w:pPr>
            <w:r w:rsidRPr="00211C4B">
              <w:rPr>
                <w:rFonts w:cstheme="minorHAnsi"/>
                <w:b/>
                <w:bCs/>
                <w:lang w:val="en-GB"/>
              </w:rPr>
              <w:t>0.10 mg/mL</w:t>
            </w:r>
          </w:p>
        </w:tc>
      </w:tr>
      <w:tr w:rsidR="0046250A" w14:paraId="1C425057" w14:textId="77777777" w:rsidTr="00AF0766">
        <w:tc>
          <w:tcPr>
            <w:tcW w:w="1696" w:type="dxa"/>
            <w:vMerge w:val="restart"/>
          </w:tcPr>
          <w:p w14:paraId="6104A764" w14:textId="77777777" w:rsidR="004576CA" w:rsidRDefault="004576CA" w:rsidP="005B2812">
            <w:pPr>
              <w:rPr>
                <w:rFonts w:cstheme="minorHAnsi"/>
              </w:rPr>
            </w:pPr>
          </w:p>
        </w:tc>
        <w:tc>
          <w:tcPr>
            <w:tcW w:w="1843" w:type="dxa"/>
            <w:vMerge w:val="restart"/>
          </w:tcPr>
          <w:p w14:paraId="0A969314" w14:textId="430EA664" w:rsidR="004576CA" w:rsidRDefault="004576CA" w:rsidP="005B2812">
            <w:pPr>
              <w:rPr>
                <w:rFonts w:cstheme="minorHAnsi"/>
              </w:rPr>
            </w:pPr>
            <w:r w:rsidRPr="00756CFD">
              <w:rPr>
                <w:rFonts w:cstheme="minorHAnsi"/>
                <w:lang w:val="en-GB"/>
              </w:rPr>
              <w:t>Multidose vial</w:t>
            </w:r>
          </w:p>
        </w:tc>
        <w:tc>
          <w:tcPr>
            <w:tcW w:w="2126" w:type="dxa"/>
          </w:tcPr>
          <w:p w14:paraId="24D0A494" w14:textId="77777777" w:rsidR="004576CA" w:rsidRPr="00756CFD" w:rsidRDefault="004576CA" w:rsidP="00756CFD">
            <w:pPr>
              <w:rPr>
                <w:rFonts w:cstheme="minorHAnsi"/>
                <w:lang w:val="en-GB"/>
              </w:rPr>
            </w:pPr>
            <w:r w:rsidRPr="00756CFD">
              <w:rPr>
                <w:rFonts w:cstheme="minorHAnsi"/>
                <w:lang w:val="en-GB"/>
              </w:rPr>
              <w:t xml:space="preserve">5 doses </w:t>
            </w:r>
          </w:p>
          <w:p w14:paraId="4D952162" w14:textId="734699CE" w:rsidR="004576CA" w:rsidRDefault="004576CA" w:rsidP="00756CFD">
            <w:pPr>
              <w:rPr>
                <w:rFonts w:cstheme="minorHAnsi"/>
              </w:rPr>
            </w:pPr>
            <w:r w:rsidRPr="00756CFD">
              <w:rPr>
                <w:rFonts w:cstheme="minorHAnsi"/>
                <w:lang w:val="en-GB"/>
              </w:rPr>
              <w:t>of 0.5 mL each</w:t>
            </w:r>
          </w:p>
        </w:tc>
        <w:tc>
          <w:tcPr>
            <w:tcW w:w="3351" w:type="dxa"/>
          </w:tcPr>
          <w:p w14:paraId="6D2E9280" w14:textId="4F166B56" w:rsidR="004576CA" w:rsidRDefault="004576CA" w:rsidP="00FF1215">
            <w:pPr>
              <w:spacing w:after="120"/>
              <w:rPr>
                <w:rFonts w:cstheme="minorHAnsi"/>
              </w:rPr>
            </w:pPr>
            <w:r w:rsidRPr="00756CFD">
              <w:rPr>
                <w:rFonts w:cstheme="minorHAnsi"/>
                <w:lang w:val="en-GB"/>
              </w:rPr>
              <w:t xml:space="preserve">One dose (0.5 mL) contains 50 micrograms of </w:t>
            </w:r>
            <w:proofErr w:type="spellStart"/>
            <w:r w:rsidRPr="00756CFD">
              <w:rPr>
                <w:rFonts w:cstheme="minorHAnsi"/>
                <w:lang w:val="en-GB"/>
              </w:rPr>
              <w:t>elasomeran</w:t>
            </w:r>
            <w:proofErr w:type="spellEnd"/>
            <w:r w:rsidRPr="00756CFD">
              <w:rPr>
                <w:rFonts w:cstheme="minorHAnsi"/>
                <w:lang w:val="en-GB"/>
              </w:rPr>
              <w:t>, a COVID-19 mRNA Vaccine (embedded in lipid nanoparticles).</w:t>
            </w:r>
          </w:p>
        </w:tc>
      </w:tr>
      <w:tr w:rsidR="0046250A" w14:paraId="259CCB1B" w14:textId="77777777" w:rsidTr="001F675F">
        <w:tc>
          <w:tcPr>
            <w:tcW w:w="1696" w:type="dxa"/>
            <w:vMerge/>
          </w:tcPr>
          <w:p w14:paraId="5EE35515" w14:textId="77777777" w:rsidR="004576CA" w:rsidRDefault="004576CA" w:rsidP="004576CA">
            <w:pPr>
              <w:rPr>
                <w:rFonts w:cstheme="minorHAnsi"/>
              </w:rPr>
            </w:pPr>
          </w:p>
        </w:tc>
        <w:tc>
          <w:tcPr>
            <w:tcW w:w="1843" w:type="dxa"/>
            <w:vMerge/>
            <w:tcBorders>
              <w:bottom w:val="nil"/>
            </w:tcBorders>
          </w:tcPr>
          <w:p w14:paraId="5243FE5D" w14:textId="77777777" w:rsidR="004576CA" w:rsidRPr="00756CFD" w:rsidRDefault="004576CA" w:rsidP="004576CA">
            <w:pPr>
              <w:rPr>
                <w:rFonts w:cstheme="minorHAnsi"/>
                <w:lang w:val="en-GB"/>
              </w:rPr>
            </w:pPr>
          </w:p>
        </w:tc>
        <w:tc>
          <w:tcPr>
            <w:tcW w:w="2126" w:type="dxa"/>
          </w:tcPr>
          <w:p w14:paraId="1768AD1E" w14:textId="77777777" w:rsidR="004576CA" w:rsidRPr="004576CA" w:rsidRDefault="004576CA" w:rsidP="004576CA">
            <w:pPr>
              <w:rPr>
                <w:rFonts w:cstheme="minorHAnsi"/>
                <w:lang w:val="en-GB"/>
              </w:rPr>
            </w:pPr>
            <w:r w:rsidRPr="004576CA">
              <w:rPr>
                <w:rFonts w:cstheme="minorHAnsi"/>
                <w:lang w:val="en-GB"/>
              </w:rPr>
              <w:t xml:space="preserve">10 doses </w:t>
            </w:r>
          </w:p>
          <w:p w14:paraId="158219AB" w14:textId="25C60A07" w:rsidR="004576CA" w:rsidRPr="004576CA" w:rsidRDefault="004576CA" w:rsidP="004576CA">
            <w:pPr>
              <w:rPr>
                <w:rFonts w:cstheme="minorHAnsi"/>
                <w:lang w:val="en-GB"/>
              </w:rPr>
            </w:pPr>
            <w:r w:rsidRPr="004576CA">
              <w:rPr>
                <w:rFonts w:cstheme="minorHAnsi"/>
                <w:lang w:val="en-GB"/>
              </w:rPr>
              <w:t>of 0.25 mL each</w:t>
            </w:r>
          </w:p>
        </w:tc>
        <w:tc>
          <w:tcPr>
            <w:tcW w:w="3351" w:type="dxa"/>
          </w:tcPr>
          <w:p w14:paraId="3B1F6D78" w14:textId="397B75E0" w:rsidR="004576CA" w:rsidRPr="004576CA" w:rsidRDefault="004576CA" w:rsidP="004576CA">
            <w:pPr>
              <w:spacing w:after="120"/>
              <w:rPr>
                <w:rFonts w:cstheme="minorHAnsi"/>
                <w:lang w:val="en-GB"/>
              </w:rPr>
            </w:pPr>
            <w:r w:rsidRPr="004576CA">
              <w:rPr>
                <w:rFonts w:cstheme="minorHAnsi"/>
                <w:lang w:val="en-GB"/>
              </w:rPr>
              <w:t xml:space="preserve">One dose (0.25 mL) contains 25 micrograms of </w:t>
            </w:r>
            <w:proofErr w:type="spellStart"/>
            <w:r w:rsidRPr="004576CA">
              <w:rPr>
                <w:rFonts w:cstheme="minorHAnsi"/>
                <w:lang w:val="en-GB"/>
              </w:rPr>
              <w:t>elasomeran</w:t>
            </w:r>
            <w:proofErr w:type="spellEnd"/>
            <w:r w:rsidRPr="004576CA">
              <w:rPr>
                <w:rFonts w:cstheme="minorHAnsi"/>
                <w:lang w:val="en-GB"/>
              </w:rPr>
              <w:t>, a COVID-19 mRNA Vaccine (embedded in lipid nanoparticles).</w:t>
            </w:r>
          </w:p>
        </w:tc>
      </w:tr>
      <w:tr w:rsidR="0046250A" w14:paraId="0D0A020E" w14:textId="77777777" w:rsidTr="001F675F">
        <w:tc>
          <w:tcPr>
            <w:tcW w:w="1696" w:type="dxa"/>
            <w:vMerge/>
          </w:tcPr>
          <w:p w14:paraId="67468117" w14:textId="77777777" w:rsidR="004576CA" w:rsidRDefault="004576CA" w:rsidP="004576CA">
            <w:pPr>
              <w:rPr>
                <w:rFonts w:cstheme="minorHAnsi"/>
              </w:rPr>
            </w:pPr>
          </w:p>
        </w:tc>
        <w:tc>
          <w:tcPr>
            <w:tcW w:w="1843" w:type="dxa"/>
          </w:tcPr>
          <w:p w14:paraId="16D33F60" w14:textId="5A74642B" w:rsidR="004576CA" w:rsidRDefault="004576CA" w:rsidP="004576CA">
            <w:pPr>
              <w:rPr>
                <w:rFonts w:cstheme="minorHAnsi"/>
              </w:rPr>
            </w:pPr>
            <w:r w:rsidRPr="004879BC">
              <w:rPr>
                <w:rFonts w:cstheme="minorHAnsi"/>
                <w:lang w:val="en-GB"/>
              </w:rPr>
              <w:t>Pre-filled syringe</w:t>
            </w:r>
          </w:p>
        </w:tc>
        <w:tc>
          <w:tcPr>
            <w:tcW w:w="2126" w:type="dxa"/>
          </w:tcPr>
          <w:p w14:paraId="4261B84A" w14:textId="37708D2A" w:rsidR="004576CA" w:rsidRDefault="004576CA" w:rsidP="004576CA">
            <w:pPr>
              <w:rPr>
                <w:rFonts w:cstheme="minorHAnsi"/>
                <w:lang w:val="en-GB"/>
              </w:rPr>
            </w:pPr>
            <w:r w:rsidRPr="004879BC">
              <w:rPr>
                <w:rFonts w:cstheme="minorHAnsi"/>
                <w:lang w:val="en-GB"/>
              </w:rPr>
              <w:t>1 dose of 0.5 mL</w:t>
            </w:r>
          </w:p>
          <w:p w14:paraId="73E4563A" w14:textId="19CCE456" w:rsidR="004576CA" w:rsidRDefault="004576CA" w:rsidP="004576CA">
            <w:pPr>
              <w:rPr>
                <w:rFonts w:cstheme="minorHAnsi"/>
                <w:lang w:val="en-GB"/>
              </w:rPr>
            </w:pPr>
          </w:p>
          <w:p w14:paraId="41330E8E" w14:textId="2A9F5CD5" w:rsidR="004576CA" w:rsidRDefault="004576CA" w:rsidP="004576CA">
            <w:pPr>
              <w:spacing w:after="120"/>
              <w:rPr>
                <w:rFonts w:cstheme="minorHAnsi"/>
              </w:rPr>
            </w:pPr>
            <w:r w:rsidRPr="004879BC">
              <w:rPr>
                <w:rFonts w:cstheme="minorHAnsi"/>
                <w:lang w:val="en-GB"/>
              </w:rPr>
              <w:t>Do not use the pre-filled syringe to deliver a partial 0.25 mL volume.</w:t>
            </w:r>
          </w:p>
        </w:tc>
        <w:tc>
          <w:tcPr>
            <w:tcW w:w="3351" w:type="dxa"/>
          </w:tcPr>
          <w:p w14:paraId="5EC23EC4" w14:textId="504757C6" w:rsidR="004576CA" w:rsidRDefault="004576CA" w:rsidP="004576CA">
            <w:pPr>
              <w:spacing w:after="60"/>
              <w:rPr>
                <w:rFonts w:cstheme="minorHAnsi"/>
              </w:rPr>
            </w:pPr>
            <w:r w:rsidRPr="004879BC">
              <w:rPr>
                <w:rFonts w:cstheme="minorHAnsi"/>
                <w:lang w:val="en-GB"/>
              </w:rPr>
              <w:t xml:space="preserve">One dose (0.5 mL) contains 50 micrograms of </w:t>
            </w:r>
            <w:proofErr w:type="spellStart"/>
            <w:r w:rsidRPr="004879BC">
              <w:rPr>
                <w:rFonts w:cstheme="minorHAnsi"/>
                <w:lang w:val="en-GB"/>
              </w:rPr>
              <w:t>elasomeran</w:t>
            </w:r>
            <w:proofErr w:type="spellEnd"/>
            <w:r w:rsidRPr="004879BC">
              <w:rPr>
                <w:rFonts w:cstheme="minorHAnsi"/>
                <w:lang w:val="en-GB"/>
              </w:rPr>
              <w:t>, a COVID-19 mRNA Vaccine (embedded in lipid nanoparticles).</w:t>
            </w:r>
          </w:p>
        </w:tc>
      </w:tr>
    </w:tbl>
    <w:p w14:paraId="62E6EF8B" w14:textId="77777777" w:rsidR="00211C4B" w:rsidRDefault="00211C4B" w:rsidP="006C6629">
      <w:pPr>
        <w:spacing w:after="0"/>
        <w:rPr>
          <w:rFonts w:cstheme="minorHAnsi"/>
        </w:rPr>
      </w:pPr>
    </w:p>
    <w:p w14:paraId="46C197F5" w14:textId="3AAC43C2" w:rsidR="008C442D" w:rsidRDefault="00FA2D2F" w:rsidP="005B2812">
      <w:pPr>
        <w:rPr>
          <w:rFonts w:cstheme="minorHAnsi"/>
        </w:rPr>
      </w:pPr>
      <w:proofErr w:type="spellStart"/>
      <w:r>
        <w:rPr>
          <w:rFonts w:cstheme="minorHAnsi"/>
        </w:rPr>
        <w:lastRenderedPageBreak/>
        <w:t>Elasomeran</w:t>
      </w:r>
      <w:proofErr w:type="spellEnd"/>
      <w:r>
        <w:rPr>
          <w:rFonts w:cstheme="minorHAnsi"/>
        </w:rPr>
        <w:t xml:space="preserve"> is a s</w:t>
      </w:r>
      <w:r w:rsidR="008C442D" w:rsidRPr="00594C02">
        <w:rPr>
          <w:rFonts w:cstheme="minorHAnsi"/>
        </w:rPr>
        <w:t>ingle-stranded, 5’-capped messenger RNA (mRNA) produced using a cell-free in vitro transcription from the corresponding DNA templates, encoding the viral spike (S) protein of SARS-CoV-2</w:t>
      </w:r>
      <w:r w:rsidR="004264B7">
        <w:rPr>
          <w:rFonts w:cstheme="minorHAnsi"/>
        </w:rPr>
        <w:t>.</w:t>
      </w:r>
    </w:p>
    <w:p w14:paraId="13277FF6" w14:textId="41CA0EFF" w:rsidR="005B2812" w:rsidRPr="00594C02" w:rsidRDefault="005B2812" w:rsidP="005B2812">
      <w:pPr>
        <w:rPr>
          <w:rFonts w:cstheme="minorHAnsi"/>
        </w:rPr>
      </w:pPr>
      <w:r w:rsidRPr="00594C02">
        <w:rPr>
          <w:rFonts w:cstheme="minorHAnsi"/>
          <w:lang w:val="en"/>
        </w:rPr>
        <w:t>For the full list of excipients, see Section 6.1 List of excipients</w:t>
      </w:r>
      <w:r w:rsidR="00004874" w:rsidRPr="00594C02">
        <w:rPr>
          <w:rFonts w:cstheme="minorHAnsi"/>
          <w:lang w:val="en"/>
        </w:rPr>
        <w:t>.</w:t>
      </w:r>
    </w:p>
    <w:p w14:paraId="6D64C539" w14:textId="2B846A66" w:rsidR="001A3992" w:rsidRDefault="001A3992" w:rsidP="000A640E">
      <w:pPr>
        <w:pStyle w:val="Heading1"/>
      </w:pPr>
      <w:r w:rsidRPr="00035C95">
        <w:t>Pharmaceutical form</w:t>
      </w:r>
    </w:p>
    <w:p w14:paraId="53DEAA6D" w14:textId="77777777" w:rsidR="00F50E76" w:rsidRDefault="00F50E76" w:rsidP="008C442D">
      <w:r>
        <w:t>Suspension</w:t>
      </w:r>
      <w:r w:rsidR="008C442D">
        <w:t xml:space="preserve"> for injection</w:t>
      </w:r>
      <w:r>
        <w:t>.</w:t>
      </w:r>
    </w:p>
    <w:p w14:paraId="11F29277" w14:textId="46415820" w:rsidR="008C442D" w:rsidRPr="008C442D" w:rsidRDefault="008C442D" w:rsidP="008C442D">
      <w:r>
        <w:t xml:space="preserve">White to off white </w:t>
      </w:r>
      <w:r w:rsidR="00F50E76">
        <w:t>suspension</w:t>
      </w:r>
      <w:r>
        <w:t>.</w:t>
      </w:r>
    </w:p>
    <w:p w14:paraId="4DEF1923" w14:textId="77777777" w:rsidR="001A3992" w:rsidRDefault="001A3992" w:rsidP="000A640E">
      <w:pPr>
        <w:pStyle w:val="Heading1"/>
      </w:pPr>
      <w:r w:rsidRPr="00035C95">
        <w:t>Clinical particulars</w:t>
      </w:r>
    </w:p>
    <w:p w14:paraId="68A43040" w14:textId="6F1904CC" w:rsidR="001A3992" w:rsidRDefault="001A3992" w:rsidP="001A3992">
      <w:pPr>
        <w:pStyle w:val="Heading2"/>
        <w:spacing w:before="0" w:after="120"/>
      </w:pPr>
      <w:r>
        <w:t xml:space="preserve">Therapeutic indications </w:t>
      </w:r>
    </w:p>
    <w:p w14:paraId="2DDA0B09" w14:textId="4D57CECB" w:rsidR="004A0D71" w:rsidRPr="004A0D71" w:rsidRDefault="005F49F9" w:rsidP="004A0D71">
      <w:bookmarkStart w:id="1" w:name="_Hlk79072585"/>
      <w:r>
        <w:t xml:space="preserve">SPIKEVAX </w:t>
      </w:r>
      <w:r w:rsidR="004A0D71">
        <w:t>(</w:t>
      </w:r>
      <w:proofErr w:type="spellStart"/>
      <w:r w:rsidR="007E5607">
        <w:t>e</w:t>
      </w:r>
      <w:r w:rsidR="004A0D71">
        <w:t>lasomeran</w:t>
      </w:r>
      <w:proofErr w:type="spellEnd"/>
      <w:r w:rsidR="004A0D71">
        <w:t xml:space="preserve">) COVID-19 </w:t>
      </w:r>
      <w:r w:rsidR="00BC38A7">
        <w:t>Vaccine</w:t>
      </w:r>
      <w:r>
        <w:t xml:space="preserve"> </w:t>
      </w:r>
      <w:r w:rsidR="004A0D71">
        <w:t xml:space="preserve">has </w:t>
      </w:r>
      <w:r w:rsidR="004A0D71" w:rsidRPr="004A0D71">
        <w:rPr>
          <w:b/>
          <w:bCs/>
        </w:rPr>
        <w:t>provisional approval</w:t>
      </w:r>
      <w:r w:rsidR="004A0D71">
        <w:t xml:space="preserve"> for the indication below:</w:t>
      </w:r>
    </w:p>
    <w:p w14:paraId="5DB3F976" w14:textId="7DB0482F" w:rsidR="00CB565B" w:rsidRDefault="009736BB" w:rsidP="008C442D">
      <w:r>
        <w:t>A</w:t>
      </w:r>
      <w:r w:rsidR="008C442D">
        <w:t xml:space="preserve">ctive immunisation to prevent </w:t>
      </w:r>
      <w:r w:rsidR="004A2DAC" w:rsidRPr="004A2DAC">
        <w:t xml:space="preserve">coronavirus disease 2019 </w:t>
      </w:r>
      <w:r w:rsidR="004A2DAC">
        <w:t>(</w:t>
      </w:r>
      <w:r w:rsidR="008C442D">
        <w:t>COVID-19</w:t>
      </w:r>
      <w:r w:rsidR="004A2DAC">
        <w:t>)</w:t>
      </w:r>
      <w:r w:rsidR="008C442D">
        <w:t xml:space="preserve"> caused by SARS-CoV-2 in individuals </w:t>
      </w:r>
      <w:r w:rsidR="001A0CA1">
        <w:t>6</w:t>
      </w:r>
      <w:r w:rsidR="000838E5">
        <w:t xml:space="preserve"> </w:t>
      </w:r>
      <w:r w:rsidR="000422E7">
        <w:t xml:space="preserve">months </w:t>
      </w:r>
      <w:r w:rsidR="008C442D">
        <w:t>of age and older.</w:t>
      </w:r>
    </w:p>
    <w:p w14:paraId="1E6453CF" w14:textId="70FE3EFD" w:rsidR="008C442D" w:rsidRDefault="008C442D" w:rsidP="008C442D">
      <w:r>
        <w:t>The use of this vaccine should be in accordance with official recommendations.</w:t>
      </w:r>
    </w:p>
    <w:p w14:paraId="64C36240" w14:textId="68093872" w:rsidR="004A0D71" w:rsidRDefault="004A0D71" w:rsidP="008C442D">
      <w:r>
        <w:t xml:space="preserve">The decision has been made </w:t>
      </w:r>
      <w:proofErr w:type="gramStart"/>
      <w:r>
        <w:t>on the basis of</w:t>
      </w:r>
      <w:proofErr w:type="gramEnd"/>
      <w:r>
        <w:t xml:space="preserve"> short</w:t>
      </w:r>
      <w:r w:rsidR="004A2DAC">
        <w:t>-</w:t>
      </w:r>
      <w:r>
        <w:t xml:space="preserve">term efficacy and safety data. Continued approval depends on the evidence of </w:t>
      </w:r>
      <w:proofErr w:type="gramStart"/>
      <w:r>
        <w:t>longer</w:t>
      </w:r>
      <w:r w:rsidR="00CD51C8">
        <w:t xml:space="preserve"> </w:t>
      </w:r>
      <w:r>
        <w:t>term</w:t>
      </w:r>
      <w:proofErr w:type="gramEnd"/>
      <w:r>
        <w:t xml:space="preserve"> efficacy and safety from ongoing </w:t>
      </w:r>
      <w:r w:rsidR="004A2DAC">
        <w:t xml:space="preserve">clinical trials </w:t>
      </w:r>
      <w:r>
        <w:t>and post-market assessment.</w:t>
      </w:r>
      <w:bookmarkEnd w:id="1"/>
      <w:r>
        <w:t xml:space="preserve">  </w:t>
      </w:r>
    </w:p>
    <w:p w14:paraId="01DF2CA0" w14:textId="77777777" w:rsidR="002E5BB1" w:rsidRDefault="001A3992" w:rsidP="001A3992">
      <w:pPr>
        <w:pStyle w:val="Heading2"/>
        <w:spacing w:before="0" w:after="120"/>
      </w:pPr>
      <w:r>
        <w:t>Dose and method of administration</w:t>
      </w:r>
    </w:p>
    <w:p w14:paraId="17B55C63" w14:textId="77777777" w:rsidR="00042E29" w:rsidRPr="00045F59" w:rsidRDefault="00042E29" w:rsidP="00042E29">
      <w:pPr>
        <w:spacing w:after="120"/>
        <w:rPr>
          <w:b/>
          <w:bCs/>
        </w:rPr>
      </w:pPr>
      <w:proofErr w:type="spellStart"/>
      <w:r w:rsidRPr="00045F59">
        <w:rPr>
          <w:b/>
          <w:bCs/>
        </w:rPr>
        <w:t>Spikevax</w:t>
      </w:r>
      <w:proofErr w:type="spellEnd"/>
      <w:r w:rsidRPr="00045F59">
        <w:rPr>
          <w:b/>
          <w:bCs/>
        </w:rPr>
        <w:t xml:space="preserve"> is provided in </w:t>
      </w:r>
      <w:r w:rsidRPr="0010132F">
        <w:rPr>
          <w:b/>
          <w:bCs/>
        </w:rPr>
        <w:t>three</w:t>
      </w:r>
      <w:r w:rsidRPr="00045F59">
        <w:rPr>
          <w:b/>
          <w:bCs/>
        </w:rPr>
        <w:t xml:space="preserve"> presentations: </w:t>
      </w:r>
    </w:p>
    <w:p w14:paraId="23A5FB96" w14:textId="1D54D5F6" w:rsidR="00042E29" w:rsidRPr="00045F59" w:rsidRDefault="00042E29" w:rsidP="00042E29">
      <w:pPr>
        <w:spacing w:after="120"/>
        <w:rPr>
          <w:b/>
          <w:bCs/>
        </w:rPr>
      </w:pPr>
      <w:r>
        <w:rPr>
          <w:b/>
          <w:bCs/>
        </w:rPr>
        <w:t xml:space="preserve">a) </w:t>
      </w:r>
      <w:r w:rsidRPr="00045F59">
        <w:rPr>
          <w:b/>
          <w:bCs/>
        </w:rPr>
        <w:t>0.2</w:t>
      </w:r>
      <w:r w:rsidR="00A24855">
        <w:rPr>
          <w:b/>
          <w:bCs/>
        </w:rPr>
        <w:t xml:space="preserve"> </w:t>
      </w:r>
      <w:r w:rsidRPr="00045F59">
        <w:rPr>
          <w:b/>
          <w:bCs/>
        </w:rPr>
        <w:t>mg/mL multi-dose vials WITH A RED TOP and</w:t>
      </w:r>
    </w:p>
    <w:p w14:paraId="31B1771E" w14:textId="6A008E9A" w:rsidR="00042E29" w:rsidRDefault="00042E29" w:rsidP="00042E29">
      <w:pPr>
        <w:spacing w:after="120"/>
        <w:rPr>
          <w:b/>
          <w:bCs/>
        </w:rPr>
      </w:pPr>
      <w:r>
        <w:rPr>
          <w:b/>
          <w:bCs/>
        </w:rPr>
        <w:t xml:space="preserve">b) </w:t>
      </w:r>
      <w:r w:rsidRPr="00045F59">
        <w:rPr>
          <w:b/>
          <w:bCs/>
        </w:rPr>
        <w:t>0.1</w:t>
      </w:r>
      <w:r w:rsidR="00A24855">
        <w:rPr>
          <w:b/>
          <w:bCs/>
        </w:rPr>
        <w:t xml:space="preserve"> </w:t>
      </w:r>
      <w:r w:rsidRPr="00045F59">
        <w:rPr>
          <w:b/>
          <w:bCs/>
        </w:rPr>
        <w:t>mg/mL multi-dose vials WITH A BLUE TOP</w:t>
      </w:r>
      <w:r>
        <w:rPr>
          <w:b/>
          <w:bCs/>
        </w:rPr>
        <w:t xml:space="preserve"> and</w:t>
      </w:r>
    </w:p>
    <w:p w14:paraId="00339AA3" w14:textId="5B57D167" w:rsidR="00042E29" w:rsidRPr="00045F59" w:rsidRDefault="00042E29" w:rsidP="00042E29">
      <w:pPr>
        <w:rPr>
          <w:b/>
          <w:bCs/>
        </w:rPr>
      </w:pPr>
      <w:r>
        <w:rPr>
          <w:b/>
          <w:bCs/>
        </w:rPr>
        <w:t xml:space="preserve">c) </w:t>
      </w:r>
      <w:r w:rsidRPr="0010132F">
        <w:rPr>
          <w:b/>
          <w:bCs/>
        </w:rPr>
        <w:t>0.1</w:t>
      </w:r>
      <w:r w:rsidR="00A24855">
        <w:rPr>
          <w:b/>
          <w:bCs/>
        </w:rPr>
        <w:t xml:space="preserve"> </w:t>
      </w:r>
      <w:r w:rsidRPr="0010132F">
        <w:rPr>
          <w:b/>
          <w:bCs/>
        </w:rPr>
        <w:t>mg/mL pre-filled syringes.</w:t>
      </w:r>
    </w:p>
    <w:p w14:paraId="6B2F82C8" w14:textId="56BFFF6F" w:rsidR="00042E29" w:rsidRPr="00086E34" w:rsidRDefault="00042E29" w:rsidP="00086E34">
      <w:pPr>
        <w:spacing w:after="120"/>
        <w:rPr>
          <w:b/>
          <w:bCs/>
        </w:rPr>
      </w:pPr>
      <w:r w:rsidRPr="00086E34">
        <w:rPr>
          <w:b/>
          <w:bCs/>
        </w:rPr>
        <w:t>Only use BLUE TOP multi-dose vials for vaccine administration to children younger than 6 years of age.</w:t>
      </w:r>
    </w:p>
    <w:p w14:paraId="7DDBED99" w14:textId="5D5D9BD1" w:rsidR="001A3992" w:rsidRDefault="002E5BB1" w:rsidP="002E5BB1">
      <w:pPr>
        <w:pStyle w:val="Heading3"/>
      </w:pPr>
      <w:r>
        <w:t>Dose</w:t>
      </w:r>
    </w:p>
    <w:p w14:paraId="19B7D892" w14:textId="6648C6CE" w:rsidR="002C5708" w:rsidRDefault="002C5708" w:rsidP="002C5708">
      <w:r w:rsidRPr="002C5708">
        <w:rPr>
          <w:lang w:val="en-GB"/>
        </w:rPr>
        <w:t xml:space="preserve">Refer to Table </w:t>
      </w:r>
      <w:r w:rsidR="00C4201E">
        <w:rPr>
          <w:lang w:val="en-GB"/>
        </w:rPr>
        <w:t>2</w:t>
      </w:r>
      <w:r w:rsidRPr="002C5708">
        <w:rPr>
          <w:lang w:val="en-GB"/>
        </w:rPr>
        <w:t xml:space="preserve"> below for </w:t>
      </w:r>
      <w:r w:rsidR="00CC645F">
        <w:rPr>
          <w:lang w:val="en-US"/>
        </w:rPr>
        <w:t>SPIKEVAX</w:t>
      </w:r>
      <w:r w:rsidR="00CC645F" w:rsidRPr="002C5708">
        <w:rPr>
          <w:lang w:val="en-GB"/>
        </w:rPr>
        <w:t xml:space="preserve"> </w:t>
      </w:r>
      <w:r w:rsidRPr="002C5708">
        <w:rPr>
          <w:lang w:val="en-GB"/>
        </w:rPr>
        <w:t xml:space="preserve">dosing across </w:t>
      </w:r>
      <w:r w:rsidR="00CC645F">
        <w:rPr>
          <w:lang w:val="en-GB"/>
        </w:rPr>
        <w:t>age groups</w:t>
      </w:r>
      <w:r w:rsidRPr="002C5708">
        <w:rPr>
          <w:lang w:val="en-GB"/>
        </w:rPr>
        <w:t xml:space="preserve"> and vaccination type.</w:t>
      </w:r>
    </w:p>
    <w:p w14:paraId="1849B361" w14:textId="10FFC446" w:rsidR="002C5708" w:rsidRDefault="002C5708" w:rsidP="00804ED7">
      <w:pPr>
        <w:pageBreakBefore/>
      </w:pPr>
      <w:r w:rsidRPr="002C5708">
        <w:rPr>
          <w:b/>
          <w:bCs/>
          <w:lang w:val="en-GB"/>
        </w:rPr>
        <w:lastRenderedPageBreak/>
        <w:t xml:space="preserve">Table </w:t>
      </w:r>
      <w:r w:rsidR="00C4201E">
        <w:rPr>
          <w:b/>
          <w:bCs/>
          <w:lang w:val="en-GB"/>
        </w:rPr>
        <w:t>2</w:t>
      </w:r>
      <w:r w:rsidRPr="002C5708">
        <w:rPr>
          <w:b/>
          <w:bCs/>
          <w:lang w:val="en-GB"/>
        </w:rPr>
        <w:t>:</w:t>
      </w:r>
      <w:bookmarkStart w:id="2" w:name="_Hlk106832986"/>
      <w:r w:rsidRPr="002C5708">
        <w:rPr>
          <w:b/>
          <w:bCs/>
          <w:lang w:val="en-GB"/>
        </w:rPr>
        <w:t xml:space="preserve"> </w:t>
      </w:r>
      <w:r w:rsidR="00EB4AD2">
        <w:rPr>
          <w:b/>
          <w:bCs/>
          <w:lang w:val="en-US"/>
        </w:rPr>
        <w:t>SPIKEVAX</w:t>
      </w:r>
      <w:r w:rsidRPr="002C5708">
        <w:rPr>
          <w:b/>
          <w:bCs/>
          <w:lang w:val="en-GB"/>
        </w:rPr>
        <w:t xml:space="preserve"> </w:t>
      </w:r>
      <w:r w:rsidR="0050788E">
        <w:rPr>
          <w:b/>
          <w:bCs/>
          <w:lang w:val="en-GB"/>
        </w:rPr>
        <w:t>dosing</w:t>
      </w:r>
      <w:r w:rsidRPr="002C5708">
        <w:rPr>
          <w:b/>
          <w:bCs/>
          <w:lang w:val="en-GB"/>
        </w:rPr>
        <w:t xml:space="preserve"> for primary series, immunocompromised </w:t>
      </w:r>
      <w:proofErr w:type="gramStart"/>
      <w:r w:rsidRPr="002C5708">
        <w:rPr>
          <w:b/>
          <w:bCs/>
          <w:lang w:val="en-GB"/>
        </w:rPr>
        <w:t>individuals</w:t>
      </w:r>
      <w:proofErr w:type="gramEnd"/>
      <w:r w:rsidRPr="002C5708">
        <w:rPr>
          <w:b/>
          <w:bCs/>
          <w:lang w:val="en-GB"/>
        </w:rPr>
        <w:t xml:space="preserve"> and booster doses</w:t>
      </w:r>
      <w:r w:rsidR="00264C01">
        <w:rPr>
          <w:b/>
          <w:bCs/>
          <w:lang w:val="en-GB"/>
        </w:rPr>
        <w:t xml:space="preserve"> by age group</w:t>
      </w:r>
      <w:r w:rsidRPr="002C5708">
        <w:rPr>
          <w:b/>
          <w:bCs/>
          <w:lang w:val="en-GB"/>
        </w:rPr>
        <w:t xml:space="preserve"> </w:t>
      </w:r>
      <w:bookmarkEnd w:id="2"/>
      <w:r w:rsidRPr="002C5708">
        <w:rPr>
          <w:b/>
          <w:bCs/>
          <w:lang w:val="en-GB"/>
        </w:rPr>
        <w:t>(see sections 4.4 and 5.1)</w:t>
      </w:r>
    </w:p>
    <w:tbl>
      <w:tblPr>
        <w:tblStyle w:val="TableGrid"/>
        <w:tblW w:w="0" w:type="auto"/>
        <w:tblLook w:val="04A0" w:firstRow="1" w:lastRow="0" w:firstColumn="1" w:lastColumn="0" w:noHBand="0" w:noVBand="1"/>
      </w:tblPr>
      <w:tblGrid>
        <w:gridCol w:w="1572"/>
        <w:gridCol w:w="1711"/>
        <w:gridCol w:w="1707"/>
        <w:gridCol w:w="1742"/>
        <w:gridCol w:w="2284"/>
      </w:tblGrid>
      <w:tr w:rsidR="008F2231" w14:paraId="4559D5C7" w14:textId="77777777" w:rsidTr="003E4F1B">
        <w:tc>
          <w:tcPr>
            <w:tcW w:w="1572" w:type="dxa"/>
            <w:tcBorders>
              <w:bottom w:val="single" w:sz="4" w:space="0" w:color="auto"/>
            </w:tcBorders>
          </w:tcPr>
          <w:p w14:paraId="638F83C2" w14:textId="77777777" w:rsidR="008F2231" w:rsidRDefault="008F2231" w:rsidP="003B53B0">
            <w:pPr>
              <w:rPr>
                <w:b/>
                <w:bCs/>
                <w:lang w:val="en-GB"/>
              </w:rPr>
            </w:pPr>
            <w:r>
              <w:rPr>
                <w:b/>
                <w:bCs/>
                <w:lang w:val="en-GB"/>
              </w:rPr>
              <w:t>Age group</w:t>
            </w:r>
          </w:p>
        </w:tc>
        <w:tc>
          <w:tcPr>
            <w:tcW w:w="1711" w:type="dxa"/>
            <w:tcBorders>
              <w:bottom w:val="single" w:sz="4" w:space="0" w:color="auto"/>
            </w:tcBorders>
          </w:tcPr>
          <w:p w14:paraId="13BE83EB" w14:textId="77777777" w:rsidR="008F2231" w:rsidRDefault="008F2231" w:rsidP="003B53B0">
            <w:pPr>
              <w:rPr>
                <w:b/>
                <w:bCs/>
                <w:lang w:val="en-GB"/>
              </w:rPr>
            </w:pPr>
            <w:r w:rsidRPr="002C5708">
              <w:rPr>
                <w:b/>
                <w:bCs/>
                <w:lang w:val="en-GB"/>
              </w:rPr>
              <w:t>Vaccination type</w:t>
            </w:r>
          </w:p>
        </w:tc>
        <w:tc>
          <w:tcPr>
            <w:tcW w:w="1707" w:type="dxa"/>
            <w:tcBorders>
              <w:bottom w:val="single" w:sz="4" w:space="0" w:color="auto"/>
            </w:tcBorders>
          </w:tcPr>
          <w:p w14:paraId="0ED78B11" w14:textId="77777777" w:rsidR="008F2231" w:rsidRDefault="008F2231" w:rsidP="003B53B0">
            <w:pPr>
              <w:rPr>
                <w:b/>
                <w:bCs/>
                <w:lang w:val="en-GB"/>
              </w:rPr>
            </w:pPr>
            <w:r>
              <w:rPr>
                <w:b/>
                <w:bCs/>
                <w:lang w:val="en-GB"/>
              </w:rPr>
              <w:t>Presentation</w:t>
            </w:r>
          </w:p>
        </w:tc>
        <w:tc>
          <w:tcPr>
            <w:tcW w:w="1742" w:type="dxa"/>
            <w:tcBorders>
              <w:bottom w:val="single" w:sz="4" w:space="0" w:color="auto"/>
            </w:tcBorders>
          </w:tcPr>
          <w:p w14:paraId="7DFEC398" w14:textId="77777777" w:rsidR="008F2231" w:rsidRDefault="008F2231" w:rsidP="003B53B0">
            <w:pPr>
              <w:rPr>
                <w:b/>
                <w:bCs/>
                <w:lang w:val="en-GB"/>
              </w:rPr>
            </w:pPr>
            <w:r w:rsidRPr="002C5708">
              <w:rPr>
                <w:b/>
                <w:bCs/>
                <w:lang w:val="en-GB"/>
              </w:rPr>
              <w:t>Dose</w:t>
            </w:r>
          </w:p>
        </w:tc>
        <w:tc>
          <w:tcPr>
            <w:tcW w:w="2284" w:type="dxa"/>
            <w:tcBorders>
              <w:bottom w:val="single" w:sz="4" w:space="0" w:color="auto"/>
            </w:tcBorders>
          </w:tcPr>
          <w:p w14:paraId="31A295CE" w14:textId="77777777" w:rsidR="008F2231" w:rsidRDefault="008F2231" w:rsidP="003B53B0">
            <w:pPr>
              <w:rPr>
                <w:b/>
                <w:bCs/>
                <w:lang w:val="en-GB"/>
              </w:rPr>
            </w:pPr>
            <w:r w:rsidRPr="002C5708">
              <w:rPr>
                <w:b/>
                <w:bCs/>
                <w:lang w:val="en-GB"/>
              </w:rPr>
              <w:t>Recommendations</w:t>
            </w:r>
          </w:p>
        </w:tc>
      </w:tr>
      <w:tr w:rsidR="008F2231" w14:paraId="68924A67" w14:textId="77777777" w:rsidTr="003E4F1B">
        <w:tc>
          <w:tcPr>
            <w:tcW w:w="1572" w:type="dxa"/>
            <w:tcBorders>
              <w:bottom w:val="single" w:sz="4" w:space="0" w:color="auto"/>
              <w:right w:val="nil"/>
            </w:tcBorders>
          </w:tcPr>
          <w:p w14:paraId="226B1A3F" w14:textId="77777777" w:rsidR="008F2231" w:rsidRDefault="008F2231" w:rsidP="003B53B0">
            <w:pPr>
              <w:rPr>
                <w:b/>
                <w:bCs/>
                <w:lang w:val="en-GB"/>
              </w:rPr>
            </w:pPr>
            <w:r w:rsidRPr="00FF5BC8">
              <w:rPr>
                <w:b/>
                <w:bCs/>
                <w:lang w:val="en-GB"/>
              </w:rPr>
              <w:t xml:space="preserve">6 months </w:t>
            </w:r>
            <w:r>
              <w:rPr>
                <w:b/>
                <w:bCs/>
                <w:lang w:val="en-GB"/>
              </w:rPr>
              <w:t>to &lt;</w:t>
            </w:r>
            <w:r w:rsidRPr="00FF5BC8">
              <w:rPr>
                <w:b/>
                <w:bCs/>
                <w:lang w:val="en-GB"/>
              </w:rPr>
              <w:t xml:space="preserve"> </w:t>
            </w:r>
            <w:r>
              <w:rPr>
                <w:b/>
                <w:bCs/>
                <w:lang w:val="en-GB"/>
              </w:rPr>
              <w:t>6</w:t>
            </w:r>
            <w:r w:rsidRPr="00FF5BC8">
              <w:rPr>
                <w:b/>
                <w:bCs/>
                <w:lang w:val="en-GB"/>
              </w:rPr>
              <w:t xml:space="preserve"> years</w:t>
            </w:r>
            <w:r>
              <w:rPr>
                <w:b/>
                <w:bCs/>
                <w:lang w:val="en-GB"/>
              </w:rPr>
              <w:t xml:space="preserve"> of age</w:t>
            </w:r>
            <w:r w:rsidRPr="00FF5BC8">
              <w:rPr>
                <w:b/>
                <w:bCs/>
                <w:lang w:val="en-GB"/>
              </w:rPr>
              <w:t>†</w:t>
            </w:r>
          </w:p>
        </w:tc>
        <w:tc>
          <w:tcPr>
            <w:tcW w:w="1711" w:type="dxa"/>
            <w:tcBorders>
              <w:left w:val="nil"/>
              <w:right w:val="nil"/>
            </w:tcBorders>
          </w:tcPr>
          <w:p w14:paraId="01DAAC65" w14:textId="77777777" w:rsidR="008F2231" w:rsidRDefault="008F2231" w:rsidP="003B53B0">
            <w:pPr>
              <w:rPr>
                <w:b/>
                <w:bCs/>
                <w:lang w:val="en-GB"/>
              </w:rPr>
            </w:pPr>
          </w:p>
        </w:tc>
        <w:tc>
          <w:tcPr>
            <w:tcW w:w="1707" w:type="dxa"/>
            <w:tcBorders>
              <w:left w:val="nil"/>
              <w:right w:val="nil"/>
            </w:tcBorders>
          </w:tcPr>
          <w:p w14:paraId="3D145970" w14:textId="77777777" w:rsidR="008F2231" w:rsidRDefault="008F2231" w:rsidP="003B53B0">
            <w:pPr>
              <w:rPr>
                <w:b/>
                <w:bCs/>
                <w:lang w:val="en-GB"/>
              </w:rPr>
            </w:pPr>
          </w:p>
        </w:tc>
        <w:tc>
          <w:tcPr>
            <w:tcW w:w="1742" w:type="dxa"/>
            <w:tcBorders>
              <w:left w:val="nil"/>
              <w:right w:val="nil"/>
            </w:tcBorders>
          </w:tcPr>
          <w:p w14:paraId="50B7E0C0" w14:textId="77777777" w:rsidR="008F2231" w:rsidRDefault="008F2231" w:rsidP="003B53B0">
            <w:pPr>
              <w:rPr>
                <w:b/>
                <w:bCs/>
                <w:lang w:val="en-GB"/>
              </w:rPr>
            </w:pPr>
          </w:p>
        </w:tc>
        <w:tc>
          <w:tcPr>
            <w:tcW w:w="2284" w:type="dxa"/>
            <w:tcBorders>
              <w:left w:val="nil"/>
            </w:tcBorders>
          </w:tcPr>
          <w:p w14:paraId="39360609" w14:textId="77777777" w:rsidR="008F2231" w:rsidRDefault="008F2231" w:rsidP="003B53B0">
            <w:pPr>
              <w:rPr>
                <w:b/>
                <w:bCs/>
                <w:lang w:val="en-GB"/>
              </w:rPr>
            </w:pPr>
          </w:p>
        </w:tc>
      </w:tr>
      <w:tr w:rsidR="008F2231" w14:paraId="4FA86D34" w14:textId="77777777" w:rsidTr="003E4F1B">
        <w:tc>
          <w:tcPr>
            <w:tcW w:w="1572" w:type="dxa"/>
            <w:tcBorders>
              <w:bottom w:val="nil"/>
            </w:tcBorders>
          </w:tcPr>
          <w:p w14:paraId="4F3D4807" w14:textId="77777777" w:rsidR="008F2231" w:rsidRDefault="008F2231" w:rsidP="003B53B0">
            <w:pPr>
              <w:rPr>
                <w:b/>
                <w:bCs/>
                <w:lang w:val="en-GB"/>
              </w:rPr>
            </w:pPr>
          </w:p>
        </w:tc>
        <w:tc>
          <w:tcPr>
            <w:tcW w:w="1711" w:type="dxa"/>
            <w:vAlign w:val="center"/>
          </w:tcPr>
          <w:p w14:paraId="7D0122FC" w14:textId="77777777" w:rsidR="008F2231" w:rsidRPr="006E57FA" w:rsidRDefault="008F2231" w:rsidP="003B53B0">
            <w:pPr>
              <w:rPr>
                <w:i/>
                <w:iCs/>
                <w:lang w:val="en-GB"/>
              </w:rPr>
            </w:pPr>
            <w:r w:rsidRPr="006E57FA">
              <w:rPr>
                <w:i/>
                <w:iCs/>
                <w:lang w:val="en-GB"/>
              </w:rPr>
              <w:t>Primary series</w:t>
            </w:r>
          </w:p>
        </w:tc>
        <w:tc>
          <w:tcPr>
            <w:tcW w:w="1707" w:type="dxa"/>
            <w:vAlign w:val="center"/>
          </w:tcPr>
          <w:p w14:paraId="2FA813B6" w14:textId="77777777" w:rsidR="008F2231" w:rsidRPr="004E0606" w:rsidRDefault="008F2231" w:rsidP="003B53B0">
            <w:pPr>
              <w:rPr>
                <w:lang w:val="en-GB"/>
              </w:rPr>
            </w:pPr>
            <w:r w:rsidRPr="009F5B5B">
              <w:rPr>
                <w:lang w:val="en-GB"/>
              </w:rPr>
              <w:t>0.1</w:t>
            </w:r>
            <w:r w:rsidRPr="004E0606">
              <w:rPr>
                <w:lang w:val="en-GB"/>
              </w:rPr>
              <w:t xml:space="preserve"> mg/mL</w:t>
            </w:r>
          </w:p>
          <w:p w14:paraId="5E08F1D3" w14:textId="77777777" w:rsidR="008F2231" w:rsidRPr="00B2269E" w:rsidRDefault="008F2231" w:rsidP="003B53B0">
            <w:pPr>
              <w:rPr>
                <w:highlight w:val="yellow"/>
                <w:lang w:val="en-GB"/>
              </w:rPr>
            </w:pPr>
            <w:r w:rsidRPr="004E0606">
              <w:t>multi-dose vial</w:t>
            </w:r>
            <w:r>
              <w:t xml:space="preserve"> </w:t>
            </w:r>
            <w:r w:rsidRPr="004E0606">
              <w:t>WITH A BLUE TOP</w:t>
            </w:r>
          </w:p>
        </w:tc>
        <w:tc>
          <w:tcPr>
            <w:tcW w:w="1742" w:type="dxa"/>
            <w:vAlign w:val="center"/>
          </w:tcPr>
          <w:p w14:paraId="18321B26" w14:textId="77777777" w:rsidR="008F2231" w:rsidRPr="00FE75E6" w:rsidRDefault="008F2231" w:rsidP="003B53B0">
            <w:pPr>
              <w:rPr>
                <w:lang w:val="en-GB"/>
              </w:rPr>
            </w:pPr>
            <w:r w:rsidRPr="00FE75E6">
              <w:rPr>
                <w:lang w:val="en-GB"/>
              </w:rPr>
              <w:t>2 doses (0.25 mL each), containing 25 micrograms each</w:t>
            </w:r>
          </w:p>
        </w:tc>
        <w:tc>
          <w:tcPr>
            <w:tcW w:w="2284" w:type="dxa"/>
            <w:vAlign w:val="center"/>
          </w:tcPr>
          <w:p w14:paraId="55483F12" w14:textId="77777777" w:rsidR="008F2231" w:rsidRPr="006E57FA" w:rsidRDefault="008F2231" w:rsidP="003B53B0">
            <w:pPr>
              <w:rPr>
                <w:lang w:val="en-GB"/>
              </w:rPr>
            </w:pPr>
            <w:r w:rsidRPr="006E57FA">
              <w:rPr>
                <w:lang w:val="en-GB"/>
              </w:rPr>
              <w:t>It is recommended to administer the second dose 28 days after the first dose.</w:t>
            </w:r>
          </w:p>
        </w:tc>
      </w:tr>
      <w:tr w:rsidR="008F2231" w14:paraId="72667C85" w14:textId="77777777" w:rsidTr="003E4F1B">
        <w:tc>
          <w:tcPr>
            <w:tcW w:w="1572" w:type="dxa"/>
            <w:tcBorders>
              <w:top w:val="nil"/>
              <w:bottom w:val="single" w:sz="4" w:space="0" w:color="auto"/>
            </w:tcBorders>
          </w:tcPr>
          <w:p w14:paraId="0B7251AA" w14:textId="77777777" w:rsidR="008F2231" w:rsidRDefault="008F2231" w:rsidP="003B53B0">
            <w:pPr>
              <w:rPr>
                <w:b/>
                <w:bCs/>
                <w:lang w:val="en-GB"/>
              </w:rPr>
            </w:pPr>
          </w:p>
        </w:tc>
        <w:tc>
          <w:tcPr>
            <w:tcW w:w="1711" w:type="dxa"/>
            <w:tcBorders>
              <w:bottom w:val="single" w:sz="4" w:space="0" w:color="auto"/>
            </w:tcBorders>
            <w:vAlign w:val="center"/>
          </w:tcPr>
          <w:p w14:paraId="3BB39E35" w14:textId="77777777" w:rsidR="008F2231" w:rsidRDefault="008F2231" w:rsidP="003B53B0">
            <w:pPr>
              <w:rPr>
                <w:b/>
                <w:bCs/>
                <w:lang w:val="en-GB"/>
              </w:rPr>
            </w:pPr>
            <w:r w:rsidRPr="009F5B5B">
              <w:rPr>
                <w:i/>
                <w:iCs/>
                <w:lang w:val="en-GB"/>
              </w:rPr>
              <w:t>Immuno-compromised individuals</w:t>
            </w:r>
            <w:r w:rsidRPr="009F5B5B">
              <w:rPr>
                <w:i/>
                <w:iCs/>
                <w:vertAlign w:val="superscript"/>
                <w:lang w:val="en-GB"/>
              </w:rPr>
              <w:t>#</w:t>
            </w:r>
          </w:p>
        </w:tc>
        <w:tc>
          <w:tcPr>
            <w:tcW w:w="1707" w:type="dxa"/>
            <w:tcBorders>
              <w:bottom w:val="single" w:sz="4" w:space="0" w:color="auto"/>
            </w:tcBorders>
            <w:vAlign w:val="center"/>
          </w:tcPr>
          <w:p w14:paraId="74C91A9D" w14:textId="77777777" w:rsidR="008F2231" w:rsidRPr="004E0606" w:rsidRDefault="008F2231" w:rsidP="003B53B0">
            <w:pPr>
              <w:rPr>
                <w:lang w:val="en-GB"/>
              </w:rPr>
            </w:pPr>
            <w:r w:rsidRPr="004E0606">
              <w:rPr>
                <w:lang w:val="en-GB"/>
              </w:rPr>
              <w:t>0.1 mg/mL</w:t>
            </w:r>
          </w:p>
          <w:p w14:paraId="620EDE30" w14:textId="77777777" w:rsidR="008F2231" w:rsidRDefault="008F2231" w:rsidP="003B53B0">
            <w:pPr>
              <w:rPr>
                <w:b/>
                <w:bCs/>
                <w:lang w:val="en-GB"/>
              </w:rPr>
            </w:pPr>
            <w:r w:rsidRPr="004E0606">
              <w:t>multi-dose vial WITH A BLUE TOP</w:t>
            </w:r>
          </w:p>
        </w:tc>
        <w:tc>
          <w:tcPr>
            <w:tcW w:w="1742" w:type="dxa"/>
            <w:tcBorders>
              <w:bottom w:val="single" w:sz="4" w:space="0" w:color="auto"/>
            </w:tcBorders>
            <w:vAlign w:val="center"/>
          </w:tcPr>
          <w:p w14:paraId="6F6EB9AA" w14:textId="77777777" w:rsidR="008F2231" w:rsidRDefault="008F2231" w:rsidP="003B53B0">
            <w:pPr>
              <w:rPr>
                <w:b/>
                <w:bCs/>
                <w:lang w:val="en-GB"/>
              </w:rPr>
            </w:pPr>
            <w:r w:rsidRPr="00FE75E6">
              <w:rPr>
                <w:lang w:val="en-GB"/>
              </w:rPr>
              <w:t>0.25 mL, containing 25 micrograms</w:t>
            </w:r>
          </w:p>
        </w:tc>
        <w:tc>
          <w:tcPr>
            <w:tcW w:w="2284" w:type="dxa"/>
            <w:tcBorders>
              <w:bottom w:val="single" w:sz="4" w:space="0" w:color="auto"/>
            </w:tcBorders>
            <w:vAlign w:val="center"/>
          </w:tcPr>
          <w:p w14:paraId="05D5B3FC" w14:textId="77777777" w:rsidR="008F2231" w:rsidRDefault="008F2231" w:rsidP="003B53B0">
            <w:pPr>
              <w:rPr>
                <w:b/>
                <w:bCs/>
                <w:lang w:val="en-GB"/>
              </w:rPr>
            </w:pPr>
            <w:r w:rsidRPr="00DE3A3E">
              <w:rPr>
                <w:iCs/>
                <w:lang w:val="en-GB"/>
              </w:rPr>
              <w:t>A third dose</w:t>
            </w:r>
            <w:r>
              <w:rPr>
                <w:iCs/>
                <w:lang w:val="en-GB"/>
              </w:rPr>
              <w:t xml:space="preserve"> of SPIKEVAX</w:t>
            </w:r>
            <w:r w:rsidRPr="00DE3A3E">
              <w:rPr>
                <w:iCs/>
                <w:lang w:val="en-GB"/>
              </w:rPr>
              <w:t xml:space="preserve"> may be given at least 28 days </w:t>
            </w:r>
            <w:r>
              <w:rPr>
                <w:iCs/>
                <w:lang w:val="en-GB"/>
              </w:rPr>
              <w:t xml:space="preserve">following </w:t>
            </w:r>
            <w:r w:rsidRPr="00DE3A3E">
              <w:rPr>
                <w:iCs/>
                <w:lang w:val="en-GB"/>
              </w:rPr>
              <w:t>the second dose.</w:t>
            </w:r>
          </w:p>
        </w:tc>
      </w:tr>
      <w:tr w:rsidR="008F2231" w14:paraId="4EFAE27B" w14:textId="77777777" w:rsidTr="003E4F1B">
        <w:tc>
          <w:tcPr>
            <w:tcW w:w="1572" w:type="dxa"/>
            <w:tcBorders>
              <w:bottom w:val="single" w:sz="4" w:space="0" w:color="auto"/>
              <w:right w:val="nil"/>
            </w:tcBorders>
          </w:tcPr>
          <w:p w14:paraId="60C40070" w14:textId="77777777" w:rsidR="008F2231" w:rsidRDefault="008F2231" w:rsidP="003B53B0">
            <w:pPr>
              <w:rPr>
                <w:b/>
                <w:bCs/>
                <w:lang w:val="en-GB"/>
              </w:rPr>
            </w:pPr>
            <w:r w:rsidRPr="00FF5BC8">
              <w:rPr>
                <w:b/>
                <w:bCs/>
                <w:lang w:val="en-GB"/>
              </w:rPr>
              <w:t xml:space="preserve">6 years </w:t>
            </w:r>
            <w:r>
              <w:rPr>
                <w:b/>
                <w:bCs/>
                <w:lang w:val="en-GB"/>
              </w:rPr>
              <w:t>to &lt;</w:t>
            </w:r>
            <w:r w:rsidRPr="00FF5BC8">
              <w:rPr>
                <w:b/>
                <w:bCs/>
                <w:lang w:val="en-GB"/>
              </w:rPr>
              <w:t xml:space="preserve"> 1</w:t>
            </w:r>
            <w:r>
              <w:rPr>
                <w:b/>
                <w:bCs/>
                <w:lang w:val="en-GB"/>
              </w:rPr>
              <w:t>2</w:t>
            </w:r>
            <w:r w:rsidRPr="00FF5BC8">
              <w:rPr>
                <w:b/>
                <w:bCs/>
                <w:lang w:val="en-GB"/>
              </w:rPr>
              <w:t xml:space="preserve"> years</w:t>
            </w:r>
            <w:r>
              <w:rPr>
                <w:b/>
                <w:bCs/>
                <w:lang w:val="en-GB"/>
              </w:rPr>
              <w:t xml:space="preserve"> of age</w:t>
            </w:r>
            <w:r w:rsidRPr="00FF5BC8">
              <w:rPr>
                <w:b/>
                <w:bCs/>
                <w:lang w:val="en-GB"/>
              </w:rPr>
              <w:t>*</w:t>
            </w:r>
          </w:p>
        </w:tc>
        <w:tc>
          <w:tcPr>
            <w:tcW w:w="1711" w:type="dxa"/>
            <w:tcBorders>
              <w:left w:val="nil"/>
              <w:bottom w:val="single" w:sz="4" w:space="0" w:color="auto"/>
              <w:right w:val="nil"/>
            </w:tcBorders>
            <w:vAlign w:val="center"/>
          </w:tcPr>
          <w:p w14:paraId="5A51A7EC" w14:textId="77777777" w:rsidR="008F2231" w:rsidRDefault="008F2231" w:rsidP="003B53B0">
            <w:pPr>
              <w:rPr>
                <w:b/>
                <w:bCs/>
                <w:lang w:val="en-GB"/>
              </w:rPr>
            </w:pPr>
          </w:p>
        </w:tc>
        <w:tc>
          <w:tcPr>
            <w:tcW w:w="1707" w:type="dxa"/>
            <w:tcBorders>
              <w:left w:val="nil"/>
              <w:right w:val="nil"/>
            </w:tcBorders>
            <w:vAlign w:val="center"/>
          </w:tcPr>
          <w:p w14:paraId="09A3DD68" w14:textId="77777777" w:rsidR="008F2231" w:rsidRPr="003713D1" w:rsidRDefault="008F2231" w:rsidP="003B53B0">
            <w:pPr>
              <w:rPr>
                <w:lang w:val="en-GB"/>
              </w:rPr>
            </w:pPr>
          </w:p>
        </w:tc>
        <w:tc>
          <w:tcPr>
            <w:tcW w:w="1742" w:type="dxa"/>
            <w:tcBorders>
              <w:left w:val="nil"/>
              <w:right w:val="nil"/>
            </w:tcBorders>
            <w:vAlign w:val="center"/>
          </w:tcPr>
          <w:p w14:paraId="6E719BFF" w14:textId="77777777" w:rsidR="008F2231" w:rsidRDefault="008F2231" w:rsidP="003B53B0">
            <w:pPr>
              <w:rPr>
                <w:b/>
                <w:bCs/>
                <w:lang w:val="en-GB"/>
              </w:rPr>
            </w:pPr>
          </w:p>
        </w:tc>
        <w:tc>
          <w:tcPr>
            <w:tcW w:w="2284" w:type="dxa"/>
            <w:tcBorders>
              <w:left w:val="nil"/>
            </w:tcBorders>
            <w:vAlign w:val="center"/>
          </w:tcPr>
          <w:p w14:paraId="177A6ED7" w14:textId="77777777" w:rsidR="008F2231" w:rsidRDefault="008F2231" w:rsidP="003B53B0">
            <w:pPr>
              <w:rPr>
                <w:b/>
                <w:bCs/>
                <w:lang w:val="en-GB"/>
              </w:rPr>
            </w:pPr>
          </w:p>
        </w:tc>
      </w:tr>
      <w:tr w:rsidR="008F2231" w14:paraId="5AA42E98" w14:textId="77777777" w:rsidTr="003E4F1B">
        <w:tc>
          <w:tcPr>
            <w:tcW w:w="1572" w:type="dxa"/>
            <w:tcBorders>
              <w:bottom w:val="nil"/>
            </w:tcBorders>
          </w:tcPr>
          <w:p w14:paraId="09CF6141" w14:textId="77777777" w:rsidR="008F2231" w:rsidRDefault="008F2231" w:rsidP="003B53B0">
            <w:pPr>
              <w:rPr>
                <w:b/>
                <w:bCs/>
                <w:lang w:val="en-GB"/>
              </w:rPr>
            </w:pPr>
          </w:p>
        </w:tc>
        <w:tc>
          <w:tcPr>
            <w:tcW w:w="1711" w:type="dxa"/>
            <w:vMerge w:val="restart"/>
            <w:vAlign w:val="center"/>
          </w:tcPr>
          <w:p w14:paraId="73D2A28C" w14:textId="77777777" w:rsidR="008F2231" w:rsidRPr="006E57FA" w:rsidRDefault="008F2231" w:rsidP="003B53B0">
            <w:pPr>
              <w:rPr>
                <w:i/>
                <w:iCs/>
                <w:lang w:val="en-GB"/>
              </w:rPr>
            </w:pPr>
            <w:r w:rsidRPr="006E57FA">
              <w:rPr>
                <w:i/>
                <w:iCs/>
                <w:lang w:val="en-GB"/>
              </w:rPr>
              <w:t>Primary series</w:t>
            </w:r>
          </w:p>
        </w:tc>
        <w:tc>
          <w:tcPr>
            <w:tcW w:w="1707" w:type="dxa"/>
            <w:vAlign w:val="center"/>
          </w:tcPr>
          <w:p w14:paraId="72B2CDF1" w14:textId="77777777" w:rsidR="008F2231" w:rsidRPr="003713D1" w:rsidRDefault="008F2231" w:rsidP="003B53B0">
            <w:pPr>
              <w:rPr>
                <w:lang w:val="en-GB"/>
              </w:rPr>
            </w:pPr>
            <w:r w:rsidRPr="003713D1">
              <w:rPr>
                <w:lang w:val="en-GB"/>
              </w:rPr>
              <w:t>0.2 mg/mL</w:t>
            </w:r>
          </w:p>
          <w:p w14:paraId="509384C5" w14:textId="77777777" w:rsidR="008F2231" w:rsidRPr="003713D1" w:rsidRDefault="008F2231" w:rsidP="003B53B0">
            <w:pPr>
              <w:rPr>
                <w:lang w:val="en-GB"/>
              </w:rPr>
            </w:pPr>
            <w:r w:rsidRPr="003713D1">
              <w:t>multi-dose vial WITH A RED TOP</w:t>
            </w:r>
          </w:p>
        </w:tc>
        <w:tc>
          <w:tcPr>
            <w:tcW w:w="1742" w:type="dxa"/>
            <w:vAlign w:val="center"/>
          </w:tcPr>
          <w:p w14:paraId="46595AE6" w14:textId="77777777" w:rsidR="008F2231" w:rsidRPr="00DE3A3E" w:rsidRDefault="008F2231" w:rsidP="003B53B0">
            <w:pPr>
              <w:rPr>
                <w:lang w:val="en-GB"/>
              </w:rPr>
            </w:pPr>
            <w:r w:rsidRPr="00DE3A3E">
              <w:rPr>
                <w:lang w:val="en-GB"/>
              </w:rPr>
              <w:t>2 doses (0.25 mL each</w:t>
            </w:r>
            <w:r>
              <w:rPr>
                <w:lang w:val="en-GB"/>
              </w:rPr>
              <w:t xml:space="preserve">), containing </w:t>
            </w:r>
            <w:r w:rsidRPr="00DE3A3E">
              <w:rPr>
                <w:lang w:val="en-GB"/>
              </w:rPr>
              <w:t>50 microgram</w:t>
            </w:r>
            <w:r>
              <w:rPr>
                <w:lang w:val="en-GB"/>
              </w:rPr>
              <w:t>s each</w:t>
            </w:r>
          </w:p>
        </w:tc>
        <w:tc>
          <w:tcPr>
            <w:tcW w:w="2284" w:type="dxa"/>
            <w:vMerge w:val="restart"/>
            <w:vAlign w:val="center"/>
          </w:tcPr>
          <w:p w14:paraId="6D010185" w14:textId="77777777" w:rsidR="008F2231" w:rsidRPr="00DE3A3E" w:rsidRDefault="008F2231" w:rsidP="003B53B0">
            <w:pPr>
              <w:rPr>
                <w:lang w:val="en-GB"/>
              </w:rPr>
            </w:pPr>
            <w:r w:rsidRPr="00DE3A3E">
              <w:rPr>
                <w:lang w:val="en-GB"/>
              </w:rPr>
              <w:t>It is recommended to administer the second dose 28 days after the first dose.</w:t>
            </w:r>
          </w:p>
        </w:tc>
      </w:tr>
      <w:tr w:rsidR="00E40E38" w14:paraId="5CF6BE5B" w14:textId="77777777" w:rsidTr="008168F6">
        <w:tc>
          <w:tcPr>
            <w:tcW w:w="1572" w:type="dxa"/>
            <w:vMerge w:val="restart"/>
            <w:tcBorders>
              <w:top w:val="nil"/>
            </w:tcBorders>
          </w:tcPr>
          <w:p w14:paraId="679C70FB" w14:textId="77777777" w:rsidR="00E40E38" w:rsidRDefault="00E40E38" w:rsidP="003B53B0">
            <w:pPr>
              <w:rPr>
                <w:b/>
                <w:bCs/>
                <w:lang w:val="en-GB"/>
              </w:rPr>
            </w:pPr>
          </w:p>
        </w:tc>
        <w:tc>
          <w:tcPr>
            <w:tcW w:w="1711" w:type="dxa"/>
            <w:vMerge/>
            <w:tcBorders>
              <w:bottom w:val="single" w:sz="4" w:space="0" w:color="auto"/>
            </w:tcBorders>
            <w:vAlign w:val="center"/>
          </w:tcPr>
          <w:p w14:paraId="77A73F5F" w14:textId="77777777" w:rsidR="00E40E38" w:rsidRPr="006E57FA" w:rsidRDefault="00E40E38" w:rsidP="003B53B0">
            <w:pPr>
              <w:rPr>
                <w:i/>
                <w:iCs/>
                <w:lang w:val="en-GB"/>
              </w:rPr>
            </w:pPr>
          </w:p>
        </w:tc>
        <w:tc>
          <w:tcPr>
            <w:tcW w:w="1707" w:type="dxa"/>
            <w:tcBorders>
              <w:bottom w:val="single" w:sz="4" w:space="0" w:color="auto"/>
            </w:tcBorders>
            <w:vAlign w:val="center"/>
          </w:tcPr>
          <w:p w14:paraId="663718D2" w14:textId="77777777" w:rsidR="00E40E38" w:rsidRPr="004E0606" w:rsidRDefault="00E40E38" w:rsidP="003B53B0">
            <w:pPr>
              <w:rPr>
                <w:lang w:val="en-GB"/>
              </w:rPr>
            </w:pPr>
            <w:r w:rsidRPr="004E0606">
              <w:rPr>
                <w:lang w:val="en-GB"/>
              </w:rPr>
              <w:t>0.1 mg/mL</w:t>
            </w:r>
          </w:p>
          <w:p w14:paraId="6AC00D1F" w14:textId="77777777" w:rsidR="00E40E38" w:rsidRPr="002C5708" w:rsidRDefault="00E40E38" w:rsidP="003B53B0">
            <w:pPr>
              <w:rPr>
                <w:b/>
                <w:bCs/>
                <w:lang w:val="en-GB"/>
              </w:rPr>
            </w:pPr>
            <w:r w:rsidRPr="004E0606">
              <w:t>multi-dose vial WITH A BLUE TOP</w:t>
            </w:r>
          </w:p>
        </w:tc>
        <w:tc>
          <w:tcPr>
            <w:tcW w:w="1742" w:type="dxa"/>
            <w:tcBorders>
              <w:bottom w:val="single" w:sz="4" w:space="0" w:color="auto"/>
            </w:tcBorders>
            <w:vAlign w:val="center"/>
          </w:tcPr>
          <w:p w14:paraId="64C4607C" w14:textId="77777777" w:rsidR="00E40E38" w:rsidRPr="00DE3A3E" w:rsidRDefault="00E40E38" w:rsidP="003B53B0">
            <w:pPr>
              <w:rPr>
                <w:lang w:val="en-GB"/>
              </w:rPr>
            </w:pPr>
            <w:r w:rsidRPr="006E57FA">
              <w:rPr>
                <w:lang w:val="en-GB"/>
              </w:rPr>
              <w:t>2 doses (0.5 mL each)</w:t>
            </w:r>
            <w:r>
              <w:rPr>
                <w:lang w:val="en-GB"/>
              </w:rPr>
              <w:t xml:space="preserve">, containing </w:t>
            </w:r>
            <w:r w:rsidRPr="006E57FA">
              <w:rPr>
                <w:lang w:val="en-GB"/>
              </w:rPr>
              <w:t>50 microgram</w:t>
            </w:r>
            <w:r>
              <w:rPr>
                <w:lang w:val="en-GB"/>
              </w:rPr>
              <w:t>s each</w:t>
            </w:r>
          </w:p>
        </w:tc>
        <w:tc>
          <w:tcPr>
            <w:tcW w:w="2284" w:type="dxa"/>
            <w:vMerge/>
            <w:tcBorders>
              <w:bottom w:val="single" w:sz="4" w:space="0" w:color="auto"/>
            </w:tcBorders>
            <w:vAlign w:val="center"/>
          </w:tcPr>
          <w:p w14:paraId="5CB66969" w14:textId="77777777" w:rsidR="00E40E38" w:rsidRPr="00DE3A3E" w:rsidRDefault="00E40E38" w:rsidP="003B53B0">
            <w:pPr>
              <w:rPr>
                <w:lang w:val="en-GB"/>
              </w:rPr>
            </w:pPr>
          </w:p>
        </w:tc>
      </w:tr>
      <w:tr w:rsidR="00E40E38" w14:paraId="0E472DDE" w14:textId="77777777" w:rsidTr="008168F6">
        <w:tc>
          <w:tcPr>
            <w:tcW w:w="1572" w:type="dxa"/>
            <w:vMerge/>
            <w:tcBorders>
              <w:bottom w:val="single" w:sz="4" w:space="0" w:color="auto"/>
            </w:tcBorders>
          </w:tcPr>
          <w:p w14:paraId="4AF9D1CF" w14:textId="77777777" w:rsidR="00E40E38" w:rsidRPr="00FF5BC8" w:rsidRDefault="00E40E38" w:rsidP="00E40E38">
            <w:pPr>
              <w:rPr>
                <w:b/>
                <w:bCs/>
                <w:lang w:val="en-GB"/>
              </w:rPr>
            </w:pPr>
          </w:p>
        </w:tc>
        <w:tc>
          <w:tcPr>
            <w:tcW w:w="1711" w:type="dxa"/>
            <w:tcBorders>
              <w:right w:val="single" w:sz="4" w:space="0" w:color="auto"/>
            </w:tcBorders>
            <w:vAlign w:val="center"/>
          </w:tcPr>
          <w:p w14:paraId="6CF2C5F7" w14:textId="64D38007" w:rsidR="00E40E38" w:rsidRDefault="00E40E38" w:rsidP="00E40E38">
            <w:pPr>
              <w:rPr>
                <w:b/>
                <w:bCs/>
                <w:lang w:val="en-GB"/>
              </w:rPr>
            </w:pPr>
            <w:r w:rsidRPr="009F5B5B">
              <w:rPr>
                <w:i/>
                <w:iCs/>
                <w:lang w:val="en-GB"/>
              </w:rPr>
              <w:t>Immuno-compromised individuals</w:t>
            </w:r>
            <w:r w:rsidRPr="009F5B5B">
              <w:rPr>
                <w:i/>
                <w:iCs/>
                <w:vertAlign w:val="superscript"/>
                <w:lang w:val="en-GB"/>
              </w:rPr>
              <w:t>#</w:t>
            </w:r>
          </w:p>
        </w:tc>
        <w:tc>
          <w:tcPr>
            <w:tcW w:w="1707" w:type="dxa"/>
            <w:tcBorders>
              <w:left w:val="single" w:sz="4" w:space="0" w:color="auto"/>
              <w:right w:val="single" w:sz="4" w:space="0" w:color="auto"/>
            </w:tcBorders>
            <w:vAlign w:val="center"/>
          </w:tcPr>
          <w:p w14:paraId="20E38481" w14:textId="77777777" w:rsidR="00E40E38" w:rsidRPr="003713D1" w:rsidRDefault="00E40E38" w:rsidP="00E40E38">
            <w:pPr>
              <w:rPr>
                <w:lang w:val="en-GB"/>
              </w:rPr>
            </w:pPr>
            <w:r w:rsidRPr="003713D1">
              <w:rPr>
                <w:lang w:val="en-GB"/>
              </w:rPr>
              <w:t>0.2 mg/mL</w:t>
            </w:r>
          </w:p>
          <w:p w14:paraId="38A197C8" w14:textId="535F1B49" w:rsidR="00E40E38" w:rsidRDefault="00E40E38" w:rsidP="00E40E38">
            <w:pPr>
              <w:rPr>
                <w:b/>
                <w:bCs/>
                <w:lang w:val="en-GB"/>
              </w:rPr>
            </w:pPr>
            <w:r w:rsidRPr="003713D1">
              <w:t>multi-dose vial WITH A RED TOP</w:t>
            </w:r>
          </w:p>
        </w:tc>
        <w:tc>
          <w:tcPr>
            <w:tcW w:w="1742" w:type="dxa"/>
            <w:tcBorders>
              <w:left w:val="single" w:sz="4" w:space="0" w:color="auto"/>
              <w:right w:val="single" w:sz="4" w:space="0" w:color="auto"/>
            </w:tcBorders>
            <w:vAlign w:val="center"/>
          </w:tcPr>
          <w:p w14:paraId="2A48A1A9" w14:textId="02A691DF" w:rsidR="00E40E38" w:rsidRDefault="00E40E38" w:rsidP="00E40E38">
            <w:pPr>
              <w:rPr>
                <w:b/>
                <w:bCs/>
                <w:lang w:val="en-GB"/>
              </w:rPr>
            </w:pPr>
            <w:r w:rsidRPr="00DE3A3E">
              <w:rPr>
                <w:lang w:val="en-GB"/>
              </w:rPr>
              <w:t>0.25 mL</w:t>
            </w:r>
            <w:r>
              <w:rPr>
                <w:lang w:val="en-GB"/>
              </w:rPr>
              <w:t xml:space="preserve">, containing </w:t>
            </w:r>
            <w:r w:rsidRPr="00DE3A3E">
              <w:rPr>
                <w:lang w:val="en-GB"/>
              </w:rPr>
              <w:t>50 microgram</w:t>
            </w:r>
            <w:r>
              <w:rPr>
                <w:lang w:val="en-GB"/>
              </w:rPr>
              <w:t>s</w:t>
            </w:r>
          </w:p>
        </w:tc>
        <w:tc>
          <w:tcPr>
            <w:tcW w:w="2284" w:type="dxa"/>
            <w:tcBorders>
              <w:left w:val="single" w:sz="4" w:space="0" w:color="auto"/>
            </w:tcBorders>
            <w:vAlign w:val="center"/>
          </w:tcPr>
          <w:p w14:paraId="3F6E873E" w14:textId="0DFE850C" w:rsidR="00E40E38" w:rsidRDefault="00E40E38" w:rsidP="00E40E38">
            <w:pPr>
              <w:rPr>
                <w:b/>
                <w:bCs/>
                <w:lang w:val="en-GB"/>
              </w:rPr>
            </w:pPr>
            <w:r w:rsidRPr="00DE3A3E">
              <w:rPr>
                <w:iCs/>
                <w:lang w:val="en-GB"/>
              </w:rPr>
              <w:t>A third dose</w:t>
            </w:r>
            <w:r>
              <w:rPr>
                <w:iCs/>
                <w:lang w:val="en-GB"/>
              </w:rPr>
              <w:t xml:space="preserve"> of SPIKEVAX</w:t>
            </w:r>
            <w:r w:rsidRPr="00DE3A3E">
              <w:rPr>
                <w:iCs/>
                <w:lang w:val="en-GB"/>
              </w:rPr>
              <w:t xml:space="preserve"> may be given at least 28 days </w:t>
            </w:r>
            <w:r>
              <w:rPr>
                <w:iCs/>
                <w:lang w:val="en-GB"/>
              </w:rPr>
              <w:t xml:space="preserve">following </w:t>
            </w:r>
            <w:r w:rsidRPr="00DE3A3E">
              <w:rPr>
                <w:iCs/>
                <w:lang w:val="en-GB"/>
              </w:rPr>
              <w:t>the second dose.</w:t>
            </w:r>
          </w:p>
        </w:tc>
      </w:tr>
      <w:tr w:rsidR="008F2231" w14:paraId="3781FB06" w14:textId="77777777" w:rsidTr="003E4F1B">
        <w:tc>
          <w:tcPr>
            <w:tcW w:w="1572" w:type="dxa"/>
            <w:tcBorders>
              <w:bottom w:val="single" w:sz="4" w:space="0" w:color="auto"/>
              <w:right w:val="nil"/>
            </w:tcBorders>
          </w:tcPr>
          <w:p w14:paraId="00F18167" w14:textId="77777777" w:rsidR="008F2231" w:rsidRDefault="008F2231" w:rsidP="003B53B0">
            <w:pPr>
              <w:rPr>
                <w:b/>
                <w:bCs/>
                <w:lang w:val="en-GB"/>
              </w:rPr>
            </w:pPr>
            <w:r w:rsidRPr="00FF5BC8">
              <w:rPr>
                <w:b/>
                <w:bCs/>
                <w:lang w:val="en-GB"/>
              </w:rPr>
              <w:t>12 years</w:t>
            </w:r>
            <w:r>
              <w:rPr>
                <w:b/>
                <w:bCs/>
                <w:lang w:val="en-GB"/>
              </w:rPr>
              <w:t xml:space="preserve"> to &lt; 18 years of age</w:t>
            </w:r>
          </w:p>
        </w:tc>
        <w:tc>
          <w:tcPr>
            <w:tcW w:w="1711" w:type="dxa"/>
            <w:tcBorders>
              <w:left w:val="nil"/>
              <w:right w:val="nil"/>
            </w:tcBorders>
            <w:vAlign w:val="center"/>
          </w:tcPr>
          <w:p w14:paraId="4BFE05D0" w14:textId="77777777" w:rsidR="008F2231" w:rsidRDefault="008F2231" w:rsidP="003B53B0">
            <w:pPr>
              <w:rPr>
                <w:b/>
                <w:bCs/>
                <w:lang w:val="en-GB"/>
              </w:rPr>
            </w:pPr>
          </w:p>
        </w:tc>
        <w:tc>
          <w:tcPr>
            <w:tcW w:w="1707" w:type="dxa"/>
            <w:tcBorders>
              <w:left w:val="nil"/>
              <w:right w:val="nil"/>
            </w:tcBorders>
            <w:vAlign w:val="center"/>
          </w:tcPr>
          <w:p w14:paraId="6B31DBA5" w14:textId="77777777" w:rsidR="008F2231" w:rsidRDefault="008F2231" w:rsidP="003B53B0">
            <w:pPr>
              <w:rPr>
                <w:b/>
                <w:bCs/>
                <w:lang w:val="en-GB"/>
              </w:rPr>
            </w:pPr>
          </w:p>
        </w:tc>
        <w:tc>
          <w:tcPr>
            <w:tcW w:w="1742" w:type="dxa"/>
            <w:tcBorders>
              <w:left w:val="nil"/>
              <w:right w:val="nil"/>
            </w:tcBorders>
            <w:vAlign w:val="center"/>
          </w:tcPr>
          <w:p w14:paraId="72C44180" w14:textId="77777777" w:rsidR="008F2231" w:rsidRDefault="008F2231" w:rsidP="003B53B0">
            <w:pPr>
              <w:rPr>
                <w:b/>
                <w:bCs/>
                <w:lang w:val="en-GB"/>
              </w:rPr>
            </w:pPr>
          </w:p>
        </w:tc>
        <w:tc>
          <w:tcPr>
            <w:tcW w:w="2284" w:type="dxa"/>
            <w:tcBorders>
              <w:left w:val="nil"/>
            </w:tcBorders>
            <w:vAlign w:val="center"/>
          </w:tcPr>
          <w:p w14:paraId="6E11AF60" w14:textId="77777777" w:rsidR="008F2231" w:rsidRDefault="008F2231" w:rsidP="003B53B0">
            <w:pPr>
              <w:rPr>
                <w:b/>
                <w:bCs/>
                <w:lang w:val="en-GB"/>
              </w:rPr>
            </w:pPr>
          </w:p>
        </w:tc>
      </w:tr>
      <w:tr w:rsidR="008F2231" w14:paraId="7235B1E8" w14:textId="77777777" w:rsidTr="003E4F1B">
        <w:tc>
          <w:tcPr>
            <w:tcW w:w="1572" w:type="dxa"/>
            <w:tcBorders>
              <w:bottom w:val="nil"/>
            </w:tcBorders>
          </w:tcPr>
          <w:p w14:paraId="1087E67B" w14:textId="77777777" w:rsidR="008F2231" w:rsidRDefault="008F2231" w:rsidP="003B53B0">
            <w:pPr>
              <w:rPr>
                <w:b/>
                <w:bCs/>
                <w:lang w:val="en-GB"/>
              </w:rPr>
            </w:pPr>
          </w:p>
        </w:tc>
        <w:tc>
          <w:tcPr>
            <w:tcW w:w="1711" w:type="dxa"/>
            <w:vAlign w:val="center"/>
          </w:tcPr>
          <w:p w14:paraId="48A1B33B" w14:textId="77777777" w:rsidR="008F2231" w:rsidRPr="006E57FA" w:rsidRDefault="008F2231" w:rsidP="003B53B0">
            <w:pPr>
              <w:rPr>
                <w:i/>
                <w:iCs/>
                <w:lang w:val="en-GB"/>
              </w:rPr>
            </w:pPr>
            <w:r w:rsidRPr="006E57FA">
              <w:rPr>
                <w:i/>
                <w:iCs/>
                <w:lang w:val="en-GB"/>
              </w:rPr>
              <w:t>Primary series</w:t>
            </w:r>
          </w:p>
        </w:tc>
        <w:tc>
          <w:tcPr>
            <w:tcW w:w="1707" w:type="dxa"/>
            <w:vAlign w:val="center"/>
          </w:tcPr>
          <w:p w14:paraId="7E65C143" w14:textId="77777777" w:rsidR="008F2231" w:rsidRPr="003713D1" w:rsidRDefault="008F2231" w:rsidP="003B53B0">
            <w:pPr>
              <w:rPr>
                <w:lang w:val="en-GB"/>
              </w:rPr>
            </w:pPr>
            <w:r w:rsidRPr="003713D1">
              <w:rPr>
                <w:lang w:val="en-GB"/>
              </w:rPr>
              <w:t>0.2 mg/mL</w:t>
            </w:r>
          </w:p>
          <w:p w14:paraId="20B41796" w14:textId="77777777" w:rsidR="008F2231" w:rsidRPr="003713D1" w:rsidRDefault="008F2231" w:rsidP="003B53B0">
            <w:pPr>
              <w:rPr>
                <w:lang w:val="en-GB"/>
              </w:rPr>
            </w:pPr>
            <w:r w:rsidRPr="003713D1">
              <w:t>multi-dose vial WITH A RED TOP</w:t>
            </w:r>
          </w:p>
        </w:tc>
        <w:tc>
          <w:tcPr>
            <w:tcW w:w="1742" w:type="dxa"/>
            <w:vAlign w:val="center"/>
          </w:tcPr>
          <w:p w14:paraId="37F98CDD" w14:textId="77777777" w:rsidR="008F2231" w:rsidRPr="00DE3A3E" w:rsidRDefault="008F2231" w:rsidP="003B53B0">
            <w:pPr>
              <w:rPr>
                <w:lang w:val="en-GB"/>
              </w:rPr>
            </w:pPr>
            <w:r w:rsidRPr="00DE3A3E">
              <w:rPr>
                <w:lang w:val="en-GB"/>
              </w:rPr>
              <w:t>2 doses</w:t>
            </w:r>
            <w:r>
              <w:rPr>
                <w:lang w:val="en-GB"/>
              </w:rPr>
              <w:t xml:space="preserve"> (</w:t>
            </w:r>
            <w:r w:rsidRPr="00DE3A3E">
              <w:rPr>
                <w:lang w:val="en-GB"/>
              </w:rPr>
              <w:t>0.5 mL each</w:t>
            </w:r>
            <w:r>
              <w:rPr>
                <w:lang w:val="en-GB"/>
              </w:rPr>
              <w:t xml:space="preserve">), containing </w:t>
            </w:r>
            <w:r w:rsidRPr="00DE3A3E">
              <w:rPr>
                <w:lang w:val="en-GB"/>
              </w:rPr>
              <w:t>100 microgram</w:t>
            </w:r>
            <w:r>
              <w:rPr>
                <w:lang w:val="en-GB"/>
              </w:rPr>
              <w:t>s each</w:t>
            </w:r>
          </w:p>
        </w:tc>
        <w:tc>
          <w:tcPr>
            <w:tcW w:w="2284" w:type="dxa"/>
            <w:vAlign w:val="center"/>
          </w:tcPr>
          <w:p w14:paraId="7B9DDD0A" w14:textId="77777777" w:rsidR="008F2231" w:rsidRPr="00DE3A3E" w:rsidRDefault="008F2231" w:rsidP="003B53B0">
            <w:pPr>
              <w:rPr>
                <w:lang w:val="en-GB"/>
              </w:rPr>
            </w:pPr>
            <w:r w:rsidRPr="00DE3A3E">
              <w:rPr>
                <w:lang w:val="en-GB"/>
              </w:rPr>
              <w:t>It is recommended to administer the second dose 28 days after the first dose.</w:t>
            </w:r>
          </w:p>
        </w:tc>
      </w:tr>
      <w:tr w:rsidR="003E4F1B" w14:paraId="0D1201A1" w14:textId="77777777" w:rsidTr="003E4F1B">
        <w:tc>
          <w:tcPr>
            <w:tcW w:w="1572" w:type="dxa"/>
            <w:vMerge w:val="restart"/>
            <w:tcBorders>
              <w:top w:val="nil"/>
            </w:tcBorders>
          </w:tcPr>
          <w:p w14:paraId="10F6F311" w14:textId="77777777" w:rsidR="003E4F1B" w:rsidRDefault="003E4F1B" w:rsidP="003B53B0">
            <w:pPr>
              <w:rPr>
                <w:b/>
                <w:bCs/>
                <w:lang w:val="en-GB"/>
              </w:rPr>
            </w:pPr>
          </w:p>
        </w:tc>
        <w:tc>
          <w:tcPr>
            <w:tcW w:w="1711" w:type="dxa"/>
            <w:vAlign w:val="center"/>
          </w:tcPr>
          <w:p w14:paraId="6CD7884C" w14:textId="77777777" w:rsidR="003E4F1B" w:rsidRDefault="003E4F1B" w:rsidP="003B53B0">
            <w:pPr>
              <w:rPr>
                <w:b/>
                <w:bCs/>
                <w:lang w:val="en-GB"/>
              </w:rPr>
            </w:pPr>
            <w:r w:rsidRPr="00DE3A3E">
              <w:rPr>
                <w:i/>
                <w:iCs/>
                <w:lang w:val="en-GB"/>
              </w:rPr>
              <w:t>Immuno</w:t>
            </w:r>
            <w:r>
              <w:rPr>
                <w:i/>
                <w:iCs/>
                <w:lang w:val="en-GB"/>
              </w:rPr>
              <w:t>-</w:t>
            </w:r>
            <w:r w:rsidRPr="00DE3A3E">
              <w:rPr>
                <w:i/>
                <w:iCs/>
                <w:lang w:val="en-GB"/>
              </w:rPr>
              <w:t>compromised individuals</w:t>
            </w:r>
            <w:r>
              <w:rPr>
                <w:i/>
                <w:iCs/>
                <w:vertAlign w:val="superscript"/>
                <w:lang w:val="en-GB"/>
              </w:rPr>
              <w:t>#</w:t>
            </w:r>
          </w:p>
        </w:tc>
        <w:tc>
          <w:tcPr>
            <w:tcW w:w="1707" w:type="dxa"/>
            <w:vAlign w:val="center"/>
          </w:tcPr>
          <w:p w14:paraId="2394C37F" w14:textId="77777777" w:rsidR="003E4F1B" w:rsidRPr="003713D1" w:rsidRDefault="003E4F1B" w:rsidP="003B53B0">
            <w:pPr>
              <w:rPr>
                <w:lang w:val="en-GB"/>
              </w:rPr>
            </w:pPr>
            <w:r w:rsidRPr="003713D1">
              <w:rPr>
                <w:lang w:val="en-GB"/>
              </w:rPr>
              <w:t>0.2 mg/mL</w:t>
            </w:r>
          </w:p>
          <w:p w14:paraId="1D1CAA98" w14:textId="77777777" w:rsidR="003E4F1B" w:rsidRDefault="003E4F1B" w:rsidP="003B53B0">
            <w:pPr>
              <w:rPr>
                <w:b/>
                <w:bCs/>
                <w:lang w:val="en-GB"/>
              </w:rPr>
            </w:pPr>
            <w:r w:rsidRPr="003713D1">
              <w:t>multi-dose vial WITH A RED TOP</w:t>
            </w:r>
          </w:p>
        </w:tc>
        <w:tc>
          <w:tcPr>
            <w:tcW w:w="1742" w:type="dxa"/>
            <w:vAlign w:val="center"/>
          </w:tcPr>
          <w:p w14:paraId="6FC93952" w14:textId="77777777" w:rsidR="003E4F1B" w:rsidRDefault="003E4F1B" w:rsidP="003B53B0">
            <w:pPr>
              <w:rPr>
                <w:b/>
                <w:bCs/>
                <w:lang w:val="en-GB"/>
              </w:rPr>
            </w:pPr>
            <w:r w:rsidRPr="00DE3A3E">
              <w:rPr>
                <w:iCs/>
                <w:lang w:val="en-GB"/>
              </w:rPr>
              <w:t xml:space="preserve">0.5 mL, </w:t>
            </w:r>
            <w:r>
              <w:rPr>
                <w:iCs/>
                <w:lang w:val="en-GB"/>
              </w:rPr>
              <w:t xml:space="preserve">containing </w:t>
            </w:r>
            <w:r w:rsidRPr="00DE3A3E">
              <w:rPr>
                <w:iCs/>
                <w:lang w:val="en-GB"/>
              </w:rPr>
              <w:t>100 micrograms</w:t>
            </w:r>
          </w:p>
        </w:tc>
        <w:tc>
          <w:tcPr>
            <w:tcW w:w="2284" w:type="dxa"/>
            <w:vAlign w:val="center"/>
          </w:tcPr>
          <w:p w14:paraId="15A8F029" w14:textId="77777777" w:rsidR="003E4F1B" w:rsidRPr="00743123" w:rsidRDefault="003E4F1B" w:rsidP="003B53B0">
            <w:pPr>
              <w:rPr>
                <w:b/>
                <w:bCs/>
                <w:lang w:val="en-GB"/>
              </w:rPr>
            </w:pPr>
            <w:r w:rsidRPr="00743123">
              <w:rPr>
                <w:iCs/>
                <w:lang w:val="en-GB"/>
              </w:rPr>
              <w:t xml:space="preserve">A third dose of SPIKEVAX may be given at least 28 days </w:t>
            </w:r>
            <w:r w:rsidRPr="00743123">
              <w:rPr>
                <w:iCs/>
                <w:lang w:val="en-GB"/>
              </w:rPr>
              <w:lastRenderedPageBreak/>
              <w:t>following the second dose.</w:t>
            </w:r>
          </w:p>
        </w:tc>
      </w:tr>
      <w:tr w:rsidR="003E4F1B" w14:paraId="2B9F0C84" w14:textId="77777777" w:rsidTr="003E4F1B">
        <w:tc>
          <w:tcPr>
            <w:tcW w:w="1572" w:type="dxa"/>
            <w:vMerge/>
          </w:tcPr>
          <w:p w14:paraId="231E1D8D" w14:textId="77777777" w:rsidR="003E4F1B" w:rsidRDefault="003E4F1B" w:rsidP="003E4F1B">
            <w:pPr>
              <w:rPr>
                <w:b/>
                <w:bCs/>
                <w:lang w:val="en-GB"/>
              </w:rPr>
            </w:pPr>
          </w:p>
        </w:tc>
        <w:tc>
          <w:tcPr>
            <w:tcW w:w="1711" w:type="dxa"/>
            <w:vAlign w:val="center"/>
          </w:tcPr>
          <w:p w14:paraId="55606424" w14:textId="1C5B85DD" w:rsidR="003E4F1B" w:rsidRPr="00DE3A3E" w:rsidRDefault="003E4F1B" w:rsidP="003E4F1B">
            <w:pPr>
              <w:rPr>
                <w:i/>
                <w:iCs/>
                <w:lang w:val="en-GB"/>
              </w:rPr>
            </w:pPr>
            <w:r w:rsidRPr="00DE3A3E">
              <w:rPr>
                <w:i/>
                <w:lang w:val="en-GB"/>
              </w:rPr>
              <w:t>Booster dose</w:t>
            </w:r>
          </w:p>
        </w:tc>
        <w:tc>
          <w:tcPr>
            <w:tcW w:w="1707" w:type="dxa"/>
            <w:vAlign w:val="center"/>
          </w:tcPr>
          <w:p w14:paraId="7E2B4214" w14:textId="77777777" w:rsidR="003E4F1B" w:rsidRPr="003713D1" w:rsidRDefault="003E4F1B" w:rsidP="003E4F1B">
            <w:pPr>
              <w:rPr>
                <w:lang w:val="en-GB"/>
              </w:rPr>
            </w:pPr>
            <w:r w:rsidRPr="003713D1">
              <w:rPr>
                <w:lang w:val="en-GB"/>
              </w:rPr>
              <w:t>0.2 mg/mL</w:t>
            </w:r>
          </w:p>
          <w:p w14:paraId="6DEEA293" w14:textId="5C92EE74" w:rsidR="003E4F1B" w:rsidRPr="003713D1" w:rsidRDefault="003E4F1B" w:rsidP="003E4F1B">
            <w:pPr>
              <w:rPr>
                <w:lang w:val="en-GB"/>
              </w:rPr>
            </w:pPr>
            <w:r w:rsidRPr="003713D1">
              <w:t>multi-dose vial WITH A RED TOP</w:t>
            </w:r>
          </w:p>
        </w:tc>
        <w:tc>
          <w:tcPr>
            <w:tcW w:w="1742" w:type="dxa"/>
            <w:vAlign w:val="center"/>
          </w:tcPr>
          <w:p w14:paraId="76DFD803" w14:textId="0BD2B548" w:rsidR="003E4F1B" w:rsidRPr="00DE3A3E" w:rsidRDefault="003E4F1B" w:rsidP="003E4F1B">
            <w:pPr>
              <w:rPr>
                <w:iCs/>
                <w:lang w:val="en-GB"/>
              </w:rPr>
            </w:pPr>
            <w:r w:rsidRPr="00DE3A3E">
              <w:rPr>
                <w:lang w:val="en-GB"/>
              </w:rPr>
              <w:t>0.25 mL</w:t>
            </w:r>
            <w:r>
              <w:rPr>
                <w:lang w:val="en-GB"/>
              </w:rPr>
              <w:t xml:space="preserve">, </w:t>
            </w:r>
            <w:r>
              <w:rPr>
                <w:iCs/>
                <w:lang w:val="en-GB"/>
              </w:rPr>
              <w:t xml:space="preserve">containing </w:t>
            </w:r>
            <w:r w:rsidRPr="00DE3A3E">
              <w:rPr>
                <w:lang w:val="en-GB"/>
              </w:rPr>
              <w:t>50 micrograms</w:t>
            </w:r>
          </w:p>
        </w:tc>
        <w:tc>
          <w:tcPr>
            <w:tcW w:w="2284" w:type="dxa"/>
            <w:vAlign w:val="center"/>
          </w:tcPr>
          <w:p w14:paraId="5107CD23" w14:textId="77777777" w:rsidR="003E4F1B" w:rsidRPr="00743123" w:rsidRDefault="003E4F1B" w:rsidP="003E4F1B">
            <w:pPr>
              <w:spacing w:after="120"/>
              <w:rPr>
                <w:b/>
                <w:bCs/>
                <w:lang w:val="en-GB"/>
              </w:rPr>
            </w:pPr>
            <w:r w:rsidRPr="00743123">
              <w:rPr>
                <w:lang w:val="en-US"/>
              </w:rPr>
              <w:t xml:space="preserve">SPIKEVAX is administered intramuscularly as a single booster dose </w:t>
            </w:r>
            <w:r w:rsidRPr="00743123">
              <w:rPr>
                <w:lang w:val="en-GB"/>
              </w:rPr>
              <w:t xml:space="preserve">at least </w:t>
            </w:r>
            <w:r>
              <w:rPr>
                <w:lang w:val="en-GB"/>
              </w:rPr>
              <w:t>5</w:t>
            </w:r>
            <w:r w:rsidRPr="00743123">
              <w:rPr>
                <w:lang w:val="en-GB"/>
              </w:rPr>
              <w:t> months after completing a primary series.</w:t>
            </w:r>
          </w:p>
          <w:p w14:paraId="046ED99D" w14:textId="3355966D" w:rsidR="003E4F1B" w:rsidRPr="00743123" w:rsidRDefault="003E4F1B" w:rsidP="003E4F1B">
            <w:pPr>
              <w:rPr>
                <w:iCs/>
                <w:lang w:val="en-GB"/>
              </w:rPr>
            </w:pPr>
            <w:r w:rsidRPr="00743123">
              <w:t>The decision when and for whom to implement a booster (third dose) of SPIKEVAX should be made based on available vaccine safety and effectiveness data, in accordance with official recommendations.</w:t>
            </w:r>
          </w:p>
        </w:tc>
      </w:tr>
      <w:tr w:rsidR="008F2231" w14:paraId="61727B9F" w14:textId="77777777" w:rsidTr="003E4F1B">
        <w:tc>
          <w:tcPr>
            <w:tcW w:w="1572" w:type="dxa"/>
            <w:tcBorders>
              <w:bottom w:val="single" w:sz="4" w:space="0" w:color="auto"/>
              <w:right w:val="nil"/>
            </w:tcBorders>
          </w:tcPr>
          <w:p w14:paraId="06D541D4" w14:textId="77777777" w:rsidR="008F2231" w:rsidRDefault="008F2231" w:rsidP="003B53B0">
            <w:pPr>
              <w:rPr>
                <w:b/>
                <w:bCs/>
                <w:lang w:val="en-GB"/>
              </w:rPr>
            </w:pPr>
            <w:r w:rsidRPr="00FF5BC8">
              <w:rPr>
                <w:b/>
                <w:bCs/>
                <w:lang w:val="en-GB"/>
              </w:rPr>
              <w:t>18 years</w:t>
            </w:r>
            <w:r>
              <w:rPr>
                <w:b/>
                <w:bCs/>
                <w:lang w:val="en-GB"/>
              </w:rPr>
              <w:t xml:space="preserve"> of age</w:t>
            </w:r>
            <w:r w:rsidRPr="00FF5BC8">
              <w:rPr>
                <w:b/>
                <w:bCs/>
                <w:lang w:val="en-GB"/>
              </w:rPr>
              <w:t xml:space="preserve"> and older</w:t>
            </w:r>
          </w:p>
        </w:tc>
        <w:tc>
          <w:tcPr>
            <w:tcW w:w="1711" w:type="dxa"/>
            <w:tcBorders>
              <w:left w:val="nil"/>
              <w:right w:val="nil"/>
            </w:tcBorders>
            <w:vAlign w:val="center"/>
          </w:tcPr>
          <w:p w14:paraId="3E4B084E" w14:textId="77777777" w:rsidR="008F2231" w:rsidRDefault="008F2231" w:rsidP="003B53B0">
            <w:pPr>
              <w:rPr>
                <w:b/>
                <w:bCs/>
                <w:lang w:val="en-GB"/>
              </w:rPr>
            </w:pPr>
          </w:p>
        </w:tc>
        <w:tc>
          <w:tcPr>
            <w:tcW w:w="1707" w:type="dxa"/>
            <w:tcBorders>
              <w:left w:val="nil"/>
              <w:right w:val="nil"/>
            </w:tcBorders>
            <w:vAlign w:val="center"/>
          </w:tcPr>
          <w:p w14:paraId="5F8A6B34" w14:textId="77777777" w:rsidR="008F2231" w:rsidRDefault="008F2231" w:rsidP="003B53B0">
            <w:pPr>
              <w:rPr>
                <w:b/>
                <w:bCs/>
                <w:lang w:val="en-GB"/>
              </w:rPr>
            </w:pPr>
          </w:p>
        </w:tc>
        <w:tc>
          <w:tcPr>
            <w:tcW w:w="1742" w:type="dxa"/>
            <w:tcBorders>
              <w:left w:val="nil"/>
              <w:right w:val="nil"/>
            </w:tcBorders>
            <w:vAlign w:val="center"/>
          </w:tcPr>
          <w:p w14:paraId="5C3FA60C" w14:textId="77777777" w:rsidR="008F2231" w:rsidRDefault="008F2231" w:rsidP="003B53B0">
            <w:pPr>
              <w:rPr>
                <w:b/>
                <w:bCs/>
                <w:lang w:val="en-GB"/>
              </w:rPr>
            </w:pPr>
          </w:p>
        </w:tc>
        <w:tc>
          <w:tcPr>
            <w:tcW w:w="2284" w:type="dxa"/>
            <w:tcBorders>
              <w:left w:val="nil"/>
            </w:tcBorders>
            <w:vAlign w:val="center"/>
          </w:tcPr>
          <w:p w14:paraId="10D1F361" w14:textId="77777777" w:rsidR="008F2231" w:rsidRDefault="008F2231" w:rsidP="003B53B0">
            <w:pPr>
              <w:rPr>
                <w:b/>
                <w:bCs/>
                <w:lang w:val="en-GB"/>
              </w:rPr>
            </w:pPr>
          </w:p>
        </w:tc>
      </w:tr>
      <w:tr w:rsidR="008F2231" w14:paraId="358137F7" w14:textId="77777777" w:rsidTr="003E4F1B">
        <w:tc>
          <w:tcPr>
            <w:tcW w:w="1572" w:type="dxa"/>
            <w:tcBorders>
              <w:bottom w:val="nil"/>
            </w:tcBorders>
          </w:tcPr>
          <w:p w14:paraId="7FFD631E" w14:textId="77777777" w:rsidR="008F2231" w:rsidRDefault="008F2231" w:rsidP="003B53B0">
            <w:pPr>
              <w:rPr>
                <w:b/>
                <w:bCs/>
                <w:lang w:val="en-GB"/>
              </w:rPr>
            </w:pPr>
          </w:p>
        </w:tc>
        <w:tc>
          <w:tcPr>
            <w:tcW w:w="1711" w:type="dxa"/>
            <w:vAlign w:val="center"/>
          </w:tcPr>
          <w:p w14:paraId="36D0665E" w14:textId="77777777" w:rsidR="008F2231" w:rsidRPr="006E57FA" w:rsidRDefault="008F2231" w:rsidP="003B53B0">
            <w:pPr>
              <w:rPr>
                <w:i/>
                <w:iCs/>
                <w:lang w:val="en-GB"/>
              </w:rPr>
            </w:pPr>
            <w:r w:rsidRPr="006E57FA">
              <w:rPr>
                <w:i/>
                <w:iCs/>
                <w:lang w:val="en-GB"/>
              </w:rPr>
              <w:t>Primary series</w:t>
            </w:r>
          </w:p>
        </w:tc>
        <w:tc>
          <w:tcPr>
            <w:tcW w:w="1707" w:type="dxa"/>
            <w:vAlign w:val="center"/>
          </w:tcPr>
          <w:p w14:paraId="73F3F059" w14:textId="77777777" w:rsidR="008F2231" w:rsidRPr="003713D1" w:rsidRDefault="008F2231" w:rsidP="003B53B0">
            <w:pPr>
              <w:rPr>
                <w:lang w:val="en-GB"/>
              </w:rPr>
            </w:pPr>
            <w:r w:rsidRPr="003713D1">
              <w:rPr>
                <w:lang w:val="en-GB"/>
              </w:rPr>
              <w:t>0.2 mg/mL</w:t>
            </w:r>
          </w:p>
          <w:p w14:paraId="70587C1E" w14:textId="77777777" w:rsidR="008F2231" w:rsidRPr="003713D1" w:rsidRDefault="008F2231" w:rsidP="003B53B0">
            <w:pPr>
              <w:rPr>
                <w:lang w:val="en-GB"/>
              </w:rPr>
            </w:pPr>
            <w:r w:rsidRPr="003713D1">
              <w:t>multi-dose vial WITH A RED TOP</w:t>
            </w:r>
          </w:p>
        </w:tc>
        <w:tc>
          <w:tcPr>
            <w:tcW w:w="1742" w:type="dxa"/>
            <w:vAlign w:val="center"/>
          </w:tcPr>
          <w:p w14:paraId="0D9E796C" w14:textId="77777777" w:rsidR="008F2231" w:rsidRPr="00DE3A3E" w:rsidRDefault="008F2231" w:rsidP="003B53B0">
            <w:pPr>
              <w:rPr>
                <w:lang w:val="en-GB"/>
              </w:rPr>
            </w:pPr>
            <w:r w:rsidRPr="00DE3A3E">
              <w:rPr>
                <w:lang w:val="en-GB"/>
              </w:rPr>
              <w:t>2 doses</w:t>
            </w:r>
            <w:r>
              <w:rPr>
                <w:lang w:val="en-GB"/>
              </w:rPr>
              <w:t xml:space="preserve"> (</w:t>
            </w:r>
            <w:r w:rsidRPr="00DE3A3E">
              <w:rPr>
                <w:lang w:val="en-GB"/>
              </w:rPr>
              <w:t>0.5 mL each</w:t>
            </w:r>
            <w:r>
              <w:rPr>
                <w:lang w:val="en-GB"/>
              </w:rPr>
              <w:t xml:space="preserve">), containing </w:t>
            </w:r>
            <w:r w:rsidRPr="00DE3A3E">
              <w:rPr>
                <w:lang w:val="en-GB"/>
              </w:rPr>
              <w:t>100 microgram</w:t>
            </w:r>
            <w:r>
              <w:rPr>
                <w:lang w:val="en-GB"/>
              </w:rPr>
              <w:t>s each</w:t>
            </w:r>
          </w:p>
        </w:tc>
        <w:tc>
          <w:tcPr>
            <w:tcW w:w="2284" w:type="dxa"/>
            <w:vAlign w:val="center"/>
          </w:tcPr>
          <w:p w14:paraId="13A4D4B7" w14:textId="77777777" w:rsidR="008F2231" w:rsidRPr="00DE3A3E" w:rsidRDefault="008F2231" w:rsidP="003B53B0">
            <w:pPr>
              <w:rPr>
                <w:lang w:val="en-GB"/>
              </w:rPr>
            </w:pPr>
            <w:r w:rsidRPr="00DE3A3E">
              <w:rPr>
                <w:lang w:val="en-GB"/>
              </w:rPr>
              <w:t>It is recommended to administer the second dose 28 days after the first dose.</w:t>
            </w:r>
          </w:p>
        </w:tc>
      </w:tr>
      <w:tr w:rsidR="008F2231" w14:paraId="187A15FA" w14:textId="77777777" w:rsidTr="003E4F1B">
        <w:tc>
          <w:tcPr>
            <w:tcW w:w="1572" w:type="dxa"/>
            <w:tcBorders>
              <w:top w:val="nil"/>
              <w:bottom w:val="nil"/>
            </w:tcBorders>
          </w:tcPr>
          <w:p w14:paraId="394CBD25" w14:textId="77777777" w:rsidR="008F2231" w:rsidRDefault="008F2231" w:rsidP="003B53B0">
            <w:pPr>
              <w:rPr>
                <w:b/>
                <w:bCs/>
                <w:lang w:val="en-GB"/>
              </w:rPr>
            </w:pPr>
          </w:p>
        </w:tc>
        <w:tc>
          <w:tcPr>
            <w:tcW w:w="1711" w:type="dxa"/>
            <w:tcBorders>
              <w:bottom w:val="single" w:sz="4" w:space="0" w:color="auto"/>
            </w:tcBorders>
            <w:vAlign w:val="center"/>
          </w:tcPr>
          <w:p w14:paraId="50011A0B" w14:textId="77777777" w:rsidR="008F2231" w:rsidRDefault="008F2231" w:rsidP="003B53B0">
            <w:pPr>
              <w:rPr>
                <w:b/>
                <w:bCs/>
                <w:lang w:val="en-GB"/>
              </w:rPr>
            </w:pPr>
            <w:r w:rsidRPr="00DE3A3E">
              <w:rPr>
                <w:i/>
                <w:iCs/>
                <w:lang w:val="en-GB"/>
              </w:rPr>
              <w:t>Immuno</w:t>
            </w:r>
            <w:r>
              <w:rPr>
                <w:i/>
                <w:iCs/>
                <w:lang w:val="en-GB"/>
              </w:rPr>
              <w:t>-</w:t>
            </w:r>
            <w:r w:rsidRPr="00DE3A3E">
              <w:rPr>
                <w:i/>
                <w:iCs/>
                <w:lang w:val="en-GB"/>
              </w:rPr>
              <w:t>compromised individuals</w:t>
            </w:r>
            <w:r>
              <w:rPr>
                <w:i/>
                <w:iCs/>
                <w:vertAlign w:val="superscript"/>
                <w:lang w:val="en-GB"/>
              </w:rPr>
              <w:t>#</w:t>
            </w:r>
          </w:p>
        </w:tc>
        <w:tc>
          <w:tcPr>
            <w:tcW w:w="1707" w:type="dxa"/>
            <w:vAlign w:val="center"/>
          </w:tcPr>
          <w:p w14:paraId="5550FD86" w14:textId="77777777" w:rsidR="008F2231" w:rsidRPr="003713D1" w:rsidRDefault="008F2231" w:rsidP="003B53B0">
            <w:pPr>
              <w:rPr>
                <w:lang w:val="en-GB"/>
              </w:rPr>
            </w:pPr>
            <w:r w:rsidRPr="003713D1">
              <w:rPr>
                <w:lang w:val="en-GB"/>
              </w:rPr>
              <w:t>0.2 mg/mL</w:t>
            </w:r>
          </w:p>
          <w:p w14:paraId="1F1ADC3E" w14:textId="77777777" w:rsidR="008F2231" w:rsidRDefault="008F2231" w:rsidP="003B53B0">
            <w:pPr>
              <w:rPr>
                <w:b/>
                <w:bCs/>
                <w:lang w:val="en-GB"/>
              </w:rPr>
            </w:pPr>
            <w:r w:rsidRPr="003713D1">
              <w:t>multi-dose vial WITH A RED TOP</w:t>
            </w:r>
          </w:p>
        </w:tc>
        <w:tc>
          <w:tcPr>
            <w:tcW w:w="1742" w:type="dxa"/>
            <w:vAlign w:val="center"/>
          </w:tcPr>
          <w:p w14:paraId="647FF2D7" w14:textId="77777777" w:rsidR="008F2231" w:rsidRDefault="008F2231" w:rsidP="003B53B0">
            <w:pPr>
              <w:rPr>
                <w:b/>
                <w:bCs/>
                <w:lang w:val="en-GB"/>
              </w:rPr>
            </w:pPr>
            <w:r w:rsidRPr="00DE3A3E">
              <w:rPr>
                <w:iCs/>
                <w:lang w:val="en-GB"/>
              </w:rPr>
              <w:t xml:space="preserve">0.5 mL, </w:t>
            </w:r>
            <w:r>
              <w:rPr>
                <w:iCs/>
                <w:lang w:val="en-GB"/>
              </w:rPr>
              <w:t xml:space="preserve">containing </w:t>
            </w:r>
            <w:r w:rsidRPr="00DE3A3E">
              <w:rPr>
                <w:iCs/>
                <w:lang w:val="en-GB"/>
              </w:rPr>
              <w:t>100 micrograms</w:t>
            </w:r>
          </w:p>
        </w:tc>
        <w:tc>
          <w:tcPr>
            <w:tcW w:w="2284" w:type="dxa"/>
            <w:tcBorders>
              <w:bottom w:val="single" w:sz="4" w:space="0" w:color="auto"/>
            </w:tcBorders>
            <w:vAlign w:val="center"/>
          </w:tcPr>
          <w:p w14:paraId="1B94046A" w14:textId="77777777" w:rsidR="008F2231" w:rsidRDefault="008F2231" w:rsidP="003B53B0">
            <w:pPr>
              <w:rPr>
                <w:b/>
                <w:bCs/>
                <w:lang w:val="en-GB"/>
              </w:rPr>
            </w:pPr>
            <w:r w:rsidRPr="00DE3A3E">
              <w:rPr>
                <w:iCs/>
                <w:lang w:val="en-GB"/>
              </w:rPr>
              <w:t>A third dose</w:t>
            </w:r>
            <w:r>
              <w:rPr>
                <w:iCs/>
                <w:lang w:val="en-GB"/>
              </w:rPr>
              <w:t xml:space="preserve"> of SPIKEVAX</w:t>
            </w:r>
            <w:r w:rsidRPr="00DE3A3E">
              <w:rPr>
                <w:iCs/>
                <w:lang w:val="en-GB"/>
              </w:rPr>
              <w:t xml:space="preserve"> may be given at least 28 days </w:t>
            </w:r>
            <w:r>
              <w:rPr>
                <w:iCs/>
                <w:lang w:val="en-GB"/>
              </w:rPr>
              <w:t xml:space="preserve">following </w:t>
            </w:r>
            <w:r w:rsidRPr="00DE3A3E">
              <w:rPr>
                <w:iCs/>
                <w:lang w:val="en-GB"/>
              </w:rPr>
              <w:t>the second dose.</w:t>
            </w:r>
          </w:p>
        </w:tc>
      </w:tr>
      <w:tr w:rsidR="008F2231" w14:paraId="01E34B91" w14:textId="77777777" w:rsidTr="003E4F1B">
        <w:tc>
          <w:tcPr>
            <w:tcW w:w="1572" w:type="dxa"/>
            <w:tcBorders>
              <w:top w:val="nil"/>
              <w:bottom w:val="nil"/>
            </w:tcBorders>
          </w:tcPr>
          <w:p w14:paraId="1EA9C587" w14:textId="77777777" w:rsidR="008F2231" w:rsidRDefault="008F2231" w:rsidP="003B53B0">
            <w:pPr>
              <w:rPr>
                <w:b/>
                <w:bCs/>
                <w:lang w:val="en-GB"/>
              </w:rPr>
            </w:pPr>
          </w:p>
        </w:tc>
        <w:tc>
          <w:tcPr>
            <w:tcW w:w="1711" w:type="dxa"/>
            <w:tcBorders>
              <w:bottom w:val="nil"/>
            </w:tcBorders>
            <w:vAlign w:val="center"/>
          </w:tcPr>
          <w:p w14:paraId="720B9E3D" w14:textId="77777777" w:rsidR="008F2231" w:rsidRDefault="008F2231" w:rsidP="003B53B0">
            <w:pPr>
              <w:rPr>
                <w:b/>
                <w:bCs/>
                <w:lang w:val="en-GB"/>
              </w:rPr>
            </w:pPr>
          </w:p>
        </w:tc>
        <w:tc>
          <w:tcPr>
            <w:tcW w:w="1707" w:type="dxa"/>
            <w:vAlign w:val="center"/>
          </w:tcPr>
          <w:p w14:paraId="42C26DF7" w14:textId="77777777" w:rsidR="008F2231" w:rsidRPr="003713D1" w:rsidRDefault="008F2231" w:rsidP="003B53B0">
            <w:pPr>
              <w:rPr>
                <w:lang w:val="en-GB"/>
              </w:rPr>
            </w:pPr>
            <w:r w:rsidRPr="003713D1">
              <w:rPr>
                <w:lang w:val="en-GB"/>
              </w:rPr>
              <w:t>0.2 mg/mL</w:t>
            </w:r>
          </w:p>
          <w:p w14:paraId="38017479" w14:textId="77777777" w:rsidR="008F2231" w:rsidRDefault="008F2231" w:rsidP="0090082F">
            <w:pPr>
              <w:spacing w:after="120"/>
              <w:rPr>
                <w:b/>
                <w:bCs/>
                <w:lang w:val="en-GB"/>
              </w:rPr>
            </w:pPr>
            <w:r w:rsidRPr="003713D1">
              <w:t>multi-dose vial WITH A RED TOP</w:t>
            </w:r>
          </w:p>
        </w:tc>
        <w:tc>
          <w:tcPr>
            <w:tcW w:w="1742" w:type="dxa"/>
            <w:vAlign w:val="center"/>
          </w:tcPr>
          <w:p w14:paraId="2ADE1455" w14:textId="77777777" w:rsidR="008F2231" w:rsidRDefault="008F2231" w:rsidP="003B53B0">
            <w:pPr>
              <w:rPr>
                <w:b/>
                <w:bCs/>
                <w:lang w:val="en-GB"/>
              </w:rPr>
            </w:pPr>
            <w:r w:rsidRPr="00DE3A3E">
              <w:rPr>
                <w:lang w:val="en-GB"/>
              </w:rPr>
              <w:t>0.25 mL</w:t>
            </w:r>
            <w:r>
              <w:rPr>
                <w:lang w:val="en-GB"/>
              </w:rPr>
              <w:t xml:space="preserve">, </w:t>
            </w:r>
            <w:r>
              <w:rPr>
                <w:iCs/>
                <w:lang w:val="en-GB"/>
              </w:rPr>
              <w:t xml:space="preserve">containing </w:t>
            </w:r>
            <w:r w:rsidRPr="00DE3A3E">
              <w:rPr>
                <w:lang w:val="en-GB"/>
              </w:rPr>
              <w:t>50 micrograms</w:t>
            </w:r>
          </w:p>
        </w:tc>
        <w:tc>
          <w:tcPr>
            <w:tcW w:w="2284" w:type="dxa"/>
            <w:vMerge w:val="restart"/>
            <w:vAlign w:val="center"/>
          </w:tcPr>
          <w:p w14:paraId="24BEDA92" w14:textId="77777777" w:rsidR="008F2231" w:rsidRPr="00743123" w:rsidRDefault="008F2231" w:rsidP="003B53B0">
            <w:pPr>
              <w:spacing w:after="120"/>
              <w:rPr>
                <w:b/>
                <w:bCs/>
                <w:lang w:val="en-GB"/>
              </w:rPr>
            </w:pPr>
            <w:r w:rsidRPr="00743123">
              <w:rPr>
                <w:lang w:val="en-US"/>
              </w:rPr>
              <w:t xml:space="preserve">SPIKEVAX is administered intramuscularly as a single booster dose </w:t>
            </w:r>
            <w:r w:rsidRPr="00743123">
              <w:rPr>
                <w:lang w:val="en-GB"/>
              </w:rPr>
              <w:t>at least 6 months after completing a primary series.</w:t>
            </w:r>
          </w:p>
          <w:p w14:paraId="48D3D6C6" w14:textId="77777777" w:rsidR="008F2231" w:rsidRPr="00743123" w:rsidRDefault="008F2231" w:rsidP="003B53B0">
            <w:pPr>
              <w:spacing w:after="120"/>
              <w:rPr>
                <w:b/>
                <w:bCs/>
                <w:lang w:val="en-GB"/>
              </w:rPr>
            </w:pPr>
            <w:r w:rsidRPr="00743123">
              <w:t xml:space="preserve">The decision when and for whom to implement a booster (third dose) of SPIKEVAX should be made based on </w:t>
            </w:r>
            <w:r w:rsidRPr="00743123">
              <w:lastRenderedPageBreak/>
              <w:t>available vaccine safety and effectiveness data, in accordance with official recommendations.</w:t>
            </w:r>
          </w:p>
        </w:tc>
      </w:tr>
      <w:tr w:rsidR="008F2231" w14:paraId="322E54DB" w14:textId="77777777" w:rsidTr="003E4F1B">
        <w:tc>
          <w:tcPr>
            <w:tcW w:w="1572" w:type="dxa"/>
            <w:tcBorders>
              <w:top w:val="nil"/>
              <w:bottom w:val="nil"/>
            </w:tcBorders>
          </w:tcPr>
          <w:p w14:paraId="07D6A0CB" w14:textId="77777777" w:rsidR="008F2231" w:rsidRDefault="008F2231" w:rsidP="003B53B0">
            <w:pPr>
              <w:rPr>
                <w:b/>
                <w:bCs/>
                <w:lang w:val="en-GB"/>
              </w:rPr>
            </w:pPr>
          </w:p>
        </w:tc>
        <w:tc>
          <w:tcPr>
            <w:tcW w:w="1711" w:type="dxa"/>
            <w:tcBorders>
              <w:top w:val="nil"/>
              <w:bottom w:val="nil"/>
            </w:tcBorders>
            <w:vAlign w:val="center"/>
          </w:tcPr>
          <w:p w14:paraId="4FE3382E" w14:textId="77777777" w:rsidR="008F2231" w:rsidRPr="00DE3A3E" w:rsidRDefault="008F2231" w:rsidP="003B53B0">
            <w:pPr>
              <w:rPr>
                <w:i/>
                <w:lang w:val="en-GB"/>
              </w:rPr>
            </w:pPr>
            <w:r w:rsidRPr="00DE3A3E">
              <w:rPr>
                <w:i/>
                <w:lang w:val="en-GB"/>
              </w:rPr>
              <w:t>Booster dose</w:t>
            </w:r>
          </w:p>
        </w:tc>
        <w:tc>
          <w:tcPr>
            <w:tcW w:w="1707" w:type="dxa"/>
            <w:vAlign w:val="center"/>
          </w:tcPr>
          <w:p w14:paraId="5AEF2287" w14:textId="77777777" w:rsidR="008F2231" w:rsidRPr="004E0606" w:rsidRDefault="008F2231" w:rsidP="003B53B0">
            <w:pPr>
              <w:rPr>
                <w:lang w:val="en-GB"/>
              </w:rPr>
            </w:pPr>
            <w:r w:rsidRPr="004E0606">
              <w:rPr>
                <w:lang w:val="en-GB"/>
              </w:rPr>
              <w:t>0.1 mg/mL</w:t>
            </w:r>
          </w:p>
          <w:p w14:paraId="230C8031" w14:textId="77777777" w:rsidR="008F2231" w:rsidRPr="002C5708" w:rsidRDefault="008F2231" w:rsidP="0090082F">
            <w:pPr>
              <w:spacing w:after="120"/>
              <w:rPr>
                <w:b/>
                <w:bCs/>
                <w:lang w:val="en-GB"/>
              </w:rPr>
            </w:pPr>
            <w:r w:rsidRPr="004E0606">
              <w:t>multi-dose vial WITH A BLUE TOP</w:t>
            </w:r>
          </w:p>
        </w:tc>
        <w:tc>
          <w:tcPr>
            <w:tcW w:w="1742" w:type="dxa"/>
            <w:vAlign w:val="center"/>
          </w:tcPr>
          <w:p w14:paraId="319EA7E6" w14:textId="77777777" w:rsidR="008F2231" w:rsidRPr="00DE3A3E" w:rsidRDefault="008F2231" w:rsidP="003B53B0">
            <w:pPr>
              <w:rPr>
                <w:lang w:val="en-GB"/>
              </w:rPr>
            </w:pPr>
            <w:r w:rsidRPr="000D50BE">
              <w:t xml:space="preserve">0.5 mL, </w:t>
            </w:r>
            <w:r>
              <w:rPr>
                <w:iCs/>
                <w:lang w:val="en-GB"/>
              </w:rPr>
              <w:t xml:space="preserve">containing </w:t>
            </w:r>
            <w:r w:rsidRPr="000D50BE">
              <w:t>50 micrograms</w:t>
            </w:r>
          </w:p>
        </w:tc>
        <w:tc>
          <w:tcPr>
            <w:tcW w:w="2284" w:type="dxa"/>
            <w:vMerge/>
            <w:vAlign w:val="center"/>
          </w:tcPr>
          <w:p w14:paraId="2E9C0310" w14:textId="77777777" w:rsidR="008F2231" w:rsidRDefault="008F2231" w:rsidP="003B53B0">
            <w:pPr>
              <w:spacing w:after="120"/>
              <w:rPr>
                <w:lang w:val="en-US"/>
              </w:rPr>
            </w:pPr>
          </w:p>
        </w:tc>
      </w:tr>
      <w:tr w:rsidR="008F2231" w14:paraId="2404B1F0" w14:textId="77777777" w:rsidTr="003E4F1B">
        <w:tc>
          <w:tcPr>
            <w:tcW w:w="1572" w:type="dxa"/>
            <w:tcBorders>
              <w:top w:val="nil"/>
            </w:tcBorders>
          </w:tcPr>
          <w:p w14:paraId="367A1972" w14:textId="77777777" w:rsidR="008F2231" w:rsidRDefault="008F2231" w:rsidP="003B53B0">
            <w:pPr>
              <w:rPr>
                <w:b/>
                <w:bCs/>
                <w:lang w:val="en-GB"/>
              </w:rPr>
            </w:pPr>
          </w:p>
        </w:tc>
        <w:tc>
          <w:tcPr>
            <w:tcW w:w="1711" w:type="dxa"/>
            <w:tcBorders>
              <w:top w:val="nil"/>
            </w:tcBorders>
            <w:vAlign w:val="center"/>
          </w:tcPr>
          <w:p w14:paraId="052EF39F" w14:textId="77777777" w:rsidR="008F2231" w:rsidRPr="00DE3A3E" w:rsidRDefault="008F2231" w:rsidP="003B53B0">
            <w:pPr>
              <w:rPr>
                <w:i/>
                <w:lang w:val="en-GB"/>
              </w:rPr>
            </w:pPr>
          </w:p>
        </w:tc>
        <w:tc>
          <w:tcPr>
            <w:tcW w:w="1707" w:type="dxa"/>
          </w:tcPr>
          <w:p w14:paraId="7544DFFE" w14:textId="77777777" w:rsidR="008F2231" w:rsidRPr="00743123" w:rsidRDefault="008F2231" w:rsidP="0090082F">
            <w:pPr>
              <w:spacing w:before="120"/>
              <w:rPr>
                <w:lang w:val="en-GB"/>
              </w:rPr>
            </w:pPr>
            <w:r w:rsidRPr="00743123">
              <w:rPr>
                <w:lang w:val="en-GB"/>
              </w:rPr>
              <w:t>0.1 mg/mL</w:t>
            </w:r>
          </w:p>
          <w:p w14:paraId="6E520D2E" w14:textId="77777777" w:rsidR="008F2231" w:rsidRPr="00743123" w:rsidRDefault="008F2231" w:rsidP="003B53B0">
            <w:r w:rsidRPr="00743123">
              <w:t>prefilled syringe</w:t>
            </w:r>
          </w:p>
          <w:p w14:paraId="5CD08BEE" w14:textId="77777777" w:rsidR="008F2231" w:rsidRPr="00743123" w:rsidRDefault="008F2231" w:rsidP="003B53B0"/>
          <w:p w14:paraId="47950ACB" w14:textId="0063F022" w:rsidR="008F2231" w:rsidRPr="00743123" w:rsidRDefault="008F2231" w:rsidP="003B53B0">
            <w:r w:rsidRPr="00743123">
              <w:lastRenderedPageBreak/>
              <w:t xml:space="preserve">This product </w:t>
            </w:r>
            <w:r w:rsidRPr="00743123">
              <w:rPr>
                <w:b/>
                <w:bCs/>
              </w:rPr>
              <w:t>must not</w:t>
            </w:r>
            <w:r w:rsidRPr="00743123">
              <w:t xml:space="preserve"> be used to deliver 25 microgram doses</w:t>
            </w:r>
          </w:p>
          <w:p w14:paraId="3BCBE5B6" w14:textId="77777777" w:rsidR="008F2231" w:rsidRPr="00743123" w:rsidRDefault="008F2231" w:rsidP="003B53B0">
            <w:pPr>
              <w:rPr>
                <w:lang w:val="en-GB"/>
              </w:rPr>
            </w:pPr>
          </w:p>
          <w:p w14:paraId="18385A66" w14:textId="77777777" w:rsidR="008F2231" w:rsidRPr="00743123" w:rsidRDefault="008F2231" w:rsidP="003B53B0">
            <w:pPr>
              <w:rPr>
                <w:lang w:val="en-GB"/>
              </w:rPr>
            </w:pPr>
          </w:p>
        </w:tc>
        <w:tc>
          <w:tcPr>
            <w:tcW w:w="1742" w:type="dxa"/>
          </w:tcPr>
          <w:p w14:paraId="44F0C861" w14:textId="77777777" w:rsidR="008F2231" w:rsidRPr="000D50BE" w:rsidRDefault="008F2231" w:rsidP="0090082F">
            <w:pPr>
              <w:spacing w:before="120"/>
            </w:pPr>
            <w:r w:rsidRPr="000D50BE">
              <w:lastRenderedPageBreak/>
              <w:t xml:space="preserve">0.5 mL, </w:t>
            </w:r>
            <w:r>
              <w:rPr>
                <w:iCs/>
                <w:lang w:val="en-GB"/>
              </w:rPr>
              <w:t xml:space="preserve">containing </w:t>
            </w:r>
            <w:r w:rsidRPr="000D50BE">
              <w:t>50 micrograms</w:t>
            </w:r>
          </w:p>
        </w:tc>
        <w:tc>
          <w:tcPr>
            <w:tcW w:w="2284" w:type="dxa"/>
            <w:vMerge/>
            <w:vAlign w:val="center"/>
          </w:tcPr>
          <w:p w14:paraId="64441C75" w14:textId="77777777" w:rsidR="008F2231" w:rsidRDefault="008F2231" w:rsidP="003B53B0">
            <w:pPr>
              <w:spacing w:after="120"/>
              <w:rPr>
                <w:lang w:val="en-US"/>
              </w:rPr>
            </w:pPr>
          </w:p>
        </w:tc>
      </w:tr>
    </w:tbl>
    <w:p w14:paraId="632AFA35" w14:textId="77777777" w:rsidR="008F2231" w:rsidRDefault="008F2231" w:rsidP="008F2231">
      <w:pPr>
        <w:spacing w:after="0"/>
      </w:pPr>
    </w:p>
    <w:p w14:paraId="15743748" w14:textId="3E1461E7" w:rsidR="00225548" w:rsidRDefault="00225548" w:rsidP="00A21D54">
      <w:r>
        <w:rPr>
          <w:vertAlign w:val="superscript"/>
        </w:rPr>
        <w:t>#</w:t>
      </w:r>
      <w:r>
        <w:t xml:space="preserve"> </w:t>
      </w:r>
      <w:r w:rsidR="000A53C0">
        <w:t>I</w:t>
      </w:r>
      <w:r>
        <w:t>ndividuals who have undergone solid organ transplantation, or who are diagnosed with conditions that are considered to have an equivalent level of immunocompromise</w:t>
      </w:r>
      <w:r w:rsidR="000A53C0">
        <w:t>.</w:t>
      </w:r>
    </w:p>
    <w:p w14:paraId="318C72AE" w14:textId="77777777" w:rsidR="00357F8B" w:rsidRPr="005E0CE5" w:rsidRDefault="00357F8B" w:rsidP="00357F8B">
      <w:pPr>
        <w:rPr>
          <w:lang w:val="en-US"/>
        </w:rPr>
      </w:pPr>
      <w:r w:rsidRPr="005E0CE5">
        <w:rPr>
          <w:i/>
          <w:iCs/>
          <w:lang w:val="en-US"/>
        </w:rPr>
        <w:t xml:space="preserve">* </w:t>
      </w:r>
      <w:r w:rsidRPr="005E0CE5">
        <w:rPr>
          <w:lang w:val="en-US"/>
        </w:rPr>
        <w:t xml:space="preserve">If a child turns 12 years old between his/her first and second dose, the second dose of SPIKEVAX should be the same as the first dose. </w:t>
      </w:r>
    </w:p>
    <w:p w14:paraId="2EFCC132" w14:textId="74185D0B" w:rsidR="00357F8B" w:rsidRPr="005E0CE5" w:rsidRDefault="00357F8B" w:rsidP="00357F8B">
      <w:pPr>
        <w:rPr>
          <w:i/>
          <w:iCs/>
          <w:lang w:val="en-US"/>
        </w:rPr>
      </w:pPr>
      <w:r w:rsidRPr="005E0CE5">
        <w:rPr>
          <w:lang w:val="en-GB"/>
        </w:rPr>
        <w:t xml:space="preserve">† </w:t>
      </w:r>
      <w:r w:rsidRPr="005E0CE5">
        <w:rPr>
          <w:lang w:val="en-US"/>
        </w:rPr>
        <w:t>If a child turns 6 years old between his/her first and second dose, the second dose of SPIKEVAX should be the same as the first dose.</w:t>
      </w:r>
    </w:p>
    <w:p w14:paraId="7F4BD01C" w14:textId="5D4DC053" w:rsidR="00127BF0" w:rsidRDefault="00127BF0" w:rsidP="00127BF0">
      <w:pPr>
        <w:pStyle w:val="Heading4"/>
      </w:pPr>
      <w:r>
        <w:t>Interchangeability</w:t>
      </w:r>
    </w:p>
    <w:p w14:paraId="039487D9" w14:textId="63FE17CE" w:rsidR="006216CC" w:rsidRPr="006216CC" w:rsidRDefault="006216CC" w:rsidP="00BA2DE9">
      <w:pPr>
        <w:pStyle w:val="Heading5"/>
      </w:pPr>
      <w:r w:rsidRPr="00127BF0">
        <w:t>Primary series</w:t>
      </w:r>
    </w:p>
    <w:p w14:paraId="55A375E1" w14:textId="1697C5FB" w:rsidR="006216CC" w:rsidRDefault="00127BF0" w:rsidP="00127BF0">
      <w:r>
        <w:t>The interchangeability of SPIKEVAX with other COVID-19 vaccines to complete the vaccination course</w:t>
      </w:r>
      <w:r w:rsidR="006216CC">
        <w:t xml:space="preserve"> has not been established</w:t>
      </w:r>
      <w:r>
        <w:t>.</w:t>
      </w:r>
    </w:p>
    <w:p w14:paraId="3187687F" w14:textId="3F9493F2" w:rsidR="00127BF0" w:rsidRDefault="00127BF0" w:rsidP="00127BF0">
      <w:r>
        <w:t xml:space="preserve">Individuals who have received </w:t>
      </w:r>
      <w:r w:rsidR="006216CC">
        <w:t>one</w:t>
      </w:r>
      <w:r>
        <w:t xml:space="preserve"> dose of SPIKEVAX should receive the second dose of SPIKEVAX</w:t>
      </w:r>
      <w:r w:rsidR="006216CC" w:rsidRPr="006216CC">
        <w:t xml:space="preserve"> </w:t>
      </w:r>
      <w:r>
        <w:t>to complete the vaccination course.</w:t>
      </w:r>
    </w:p>
    <w:p w14:paraId="5423A8F8" w14:textId="219D46A3" w:rsidR="006216CC" w:rsidRPr="00147F67" w:rsidRDefault="006216CC" w:rsidP="00BA2DE9">
      <w:pPr>
        <w:pStyle w:val="Heading5"/>
      </w:pPr>
      <w:r w:rsidRPr="00147F67">
        <w:t xml:space="preserve">Booster </w:t>
      </w:r>
      <w:r w:rsidR="00851774">
        <w:t>dose</w:t>
      </w:r>
    </w:p>
    <w:p w14:paraId="67BF6FA7" w14:textId="0AD808DF" w:rsidR="009D49BA" w:rsidRPr="009D49BA" w:rsidRDefault="009D49BA" w:rsidP="00C306FD">
      <w:r>
        <w:t>There are limited data on the interchangeability of SPIKEVAX with other COVID-19 vaccines as a booster dose.</w:t>
      </w:r>
      <w:r w:rsidR="00C306FD">
        <w:rPr>
          <w:rFonts w:cstheme="minorHAnsi"/>
        </w:rPr>
        <w:t xml:space="preserve"> S</w:t>
      </w:r>
      <w:r w:rsidR="00C306FD" w:rsidRPr="00C1427C">
        <w:rPr>
          <w:rFonts w:cstheme="minorHAnsi"/>
        </w:rPr>
        <w:t>ee sections 4.8 Adverse Effects (Undesirable Effects) and 5.1 Pharmacodynamic properties</w:t>
      </w:r>
      <w:r w:rsidR="00C306FD">
        <w:rPr>
          <w:rFonts w:cstheme="minorHAnsi"/>
        </w:rPr>
        <w:t>.</w:t>
      </w:r>
    </w:p>
    <w:p w14:paraId="10821226" w14:textId="47152A85" w:rsidR="00EA4736" w:rsidRDefault="00EA4736" w:rsidP="00EA4736">
      <w:r w:rsidRPr="00EA4736">
        <w:t xml:space="preserve">A single booster dose of </w:t>
      </w:r>
      <w:r w:rsidR="006216CC" w:rsidRPr="006216CC">
        <w:t xml:space="preserve">SPIKEVAX </w:t>
      </w:r>
      <w:r w:rsidRPr="00EA4736">
        <w:t>(</w:t>
      </w:r>
      <w:r w:rsidR="00FC32E1">
        <w:t xml:space="preserve">refer to Table </w:t>
      </w:r>
      <w:r w:rsidR="008C7DB9">
        <w:t>2</w:t>
      </w:r>
      <w:r w:rsidR="00FC32E1">
        <w:t xml:space="preserve"> above</w:t>
      </w:r>
      <w:r w:rsidRPr="00EA4736">
        <w:t xml:space="preserve">) may be administered as a </w:t>
      </w:r>
      <w:r w:rsidR="00182A41" w:rsidRPr="00182A41">
        <w:t xml:space="preserve">homologous (same brand) booster dose following completion of primary vaccination with SPIKEVAX </w:t>
      </w:r>
      <w:r w:rsidR="00182A41">
        <w:t xml:space="preserve">or </w:t>
      </w:r>
      <w:r w:rsidRPr="00EA4736">
        <w:t>as a heterologous booster dose following completion of primary vaccination with another authorised or approved COVID-19 vaccine</w:t>
      </w:r>
      <w:r w:rsidR="009D49BA">
        <w:t xml:space="preserve">, </w:t>
      </w:r>
      <w:r w:rsidR="009D49BA" w:rsidRPr="00182A41">
        <w:t>in accordance with official recommendations.</w:t>
      </w:r>
    </w:p>
    <w:p w14:paraId="46DAFFDC" w14:textId="58F5A1FA" w:rsidR="009920F5" w:rsidRPr="009A27A3" w:rsidRDefault="009920F5" w:rsidP="000A640E">
      <w:pPr>
        <w:pStyle w:val="Heading4"/>
      </w:pPr>
      <w:r w:rsidRPr="009A27A3">
        <w:t xml:space="preserve">Paediatric population </w:t>
      </w:r>
    </w:p>
    <w:p w14:paraId="586935C1" w14:textId="120D0A88" w:rsidR="009920F5" w:rsidRDefault="009920F5" w:rsidP="009920F5">
      <w:r w:rsidRPr="00DD4BE6">
        <w:t xml:space="preserve">The safety and efficacy of </w:t>
      </w:r>
      <w:r w:rsidR="005F49F9">
        <w:t>SPIKEVAX</w:t>
      </w:r>
      <w:r w:rsidRPr="00DD4BE6">
        <w:t xml:space="preserve"> in children and adolescents less than </w:t>
      </w:r>
      <w:r w:rsidR="001A0CA1">
        <w:t>6</w:t>
      </w:r>
      <w:r w:rsidR="001A0CA1" w:rsidRPr="00DD4BE6">
        <w:t xml:space="preserve"> </w:t>
      </w:r>
      <w:r w:rsidR="00033592">
        <w:t>months</w:t>
      </w:r>
      <w:r w:rsidR="00033592" w:rsidRPr="00DD4BE6">
        <w:t xml:space="preserve"> </w:t>
      </w:r>
      <w:r w:rsidRPr="00DD4BE6">
        <w:t>of age have not yet been established. No data are available.</w:t>
      </w:r>
      <w:r>
        <w:t xml:space="preserve">  </w:t>
      </w:r>
    </w:p>
    <w:p w14:paraId="6CD4FA3B" w14:textId="6F0E05AC" w:rsidR="009920F5" w:rsidRPr="009920F5" w:rsidRDefault="009920F5" w:rsidP="000A640E">
      <w:pPr>
        <w:pStyle w:val="Heading4"/>
      </w:pPr>
      <w:r w:rsidRPr="009920F5">
        <w:t>Elderly population</w:t>
      </w:r>
    </w:p>
    <w:p w14:paraId="6427D6C9" w14:textId="562D6203" w:rsidR="009920F5" w:rsidRDefault="009920F5" w:rsidP="009920F5">
      <w:r>
        <w:t xml:space="preserve">No dosage adjustment is required in elderly individuals ≥65 years of age. </w:t>
      </w:r>
    </w:p>
    <w:p w14:paraId="16344A2B" w14:textId="77777777" w:rsidR="009920F5" w:rsidRPr="004B19C8" w:rsidRDefault="009920F5" w:rsidP="000A640E">
      <w:pPr>
        <w:pStyle w:val="Heading3"/>
      </w:pPr>
      <w:r w:rsidRPr="004B19C8">
        <w:lastRenderedPageBreak/>
        <w:t xml:space="preserve">Method of administration </w:t>
      </w:r>
    </w:p>
    <w:p w14:paraId="15CEDBED" w14:textId="77777777" w:rsidR="004B19C8" w:rsidRDefault="009920F5" w:rsidP="009920F5">
      <w:r>
        <w:t>The vaccine should be administered intramuscularly.</w:t>
      </w:r>
    </w:p>
    <w:p w14:paraId="6308E31F" w14:textId="0A1468FD" w:rsidR="004B19C8" w:rsidRDefault="009920F5" w:rsidP="009920F5">
      <w:r>
        <w:t>The preferred site is the deltoid muscle of the upper arm</w:t>
      </w:r>
      <w:r w:rsidR="00317DD4" w:rsidRPr="00317DD4">
        <w:t>, or in infants and young children, the anterolateral aspect of the thigh</w:t>
      </w:r>
      <w:r w:rsidRPr="00317DD4">
        <w:t>.</w:t>
      </w:r>
      <w:r>
        <w:t xml:space="preserve"> </w:t>
      </w:r>
    </w:p>
    <w:p w14:paraId="388F0CD7" w14:textId="77777777" w:rsidR="004B19C8" w:rsidRDefault="009920F5" w:rsidP="009920F5">
      <w:r>
        <w:t xml:space="preserve">Do not administer this vaccine intravascularly, subcutaneously or intradermally. </w:t>
      </w:r>
    </w:p>
    <w:p w14:paraId="23E96716" w14:textId="3F0A771D" w:rsidR="004B19C8" w:rsidRDefault="009920F5" w:rsidP="009920F5">
      <w:r>
        <w:t>The vaccine should not be mixed in the same syringe with any other vaccines or medicinal products. For precautions to be taken before administering the vaccine, see section 4.4</w:t>
      </w:r>
      <w:r w:rsidR="00406C76">
        <w:t xml:space="preserve"> </w:t>
      </w:r>
      <w:r w:rsidR="00406C76" w:rsidRPr="004264B7">
        <w:t>S</w:t>
      </w:r>
      <w:r w:rsidR="00406C76">
        <w:t>pe</w:t>
      </w:r>
      <w:r w:rsidR="00406C76" w:rsidRPr="004264B7">
        <w:t xml:space="preserve">cial Warnings </w:t>
      </w:r>
      <w:r w:rsidR="00406C76">
        <w:t>a</w:t>
      </w:r>
      <w:r w:rsidR="00406C76" w:rsidRPr="004264B7">
        <w:t>nd Precautions for Use</w:t>
      </w:r>
      <w:r>
        <w:t>.</w:t>
      </w:r>
    </w:p>
    <w:p w14:paraId="4001A0C0" w14:textId="3DBE4CD9" w:rsidR="00E07D97" w:rsidRDefault="00497DB2" w:rsidP="00787975">
      <w:r>
        <w:t xml:space="preserve">The vaccine should be prepared and administered by a trained healthcare professional using aseptic techniques to ensure sterility of the suspension. </w:t>
      </w:r>
    </w:p>
    <w:p w14:paraId="70DC66E5" w14:textId="294043F1" w:rsidR="00497DB2" w:rsidRDefault="00497DB2" w:rsidP="00497DB2">
      <w:r>
        <w:t xml:space="preserve">The vaccine comes ready to use once thawed. </w:t>
      </w:r>
    </w:p>
    <w:p w14:paraId="217B34C4" w14:textId="5D6F9594" w:rsidR="00CD32DA" w:rsidRDefault="00CD32DA" w:rsidP="00497DB2">
      <w:r>
        <w:t>Thawed vials and pre-filled syringes can be handled in room light conditions.</w:t>
      </w:r>
    </w:p>
    <w:p w14:paraId="382B4EB3" w14:textId="2B115149" w:rsidR="00787975" w:rsidRDefault="00497DB2" w:rsidP="00497DB2">
      <w:r>
        <w:t xml:space="preserve">Do not shake or dilute. </w:t>
      </w:r>
    </w:p>
    <w:p w14:paraId="52681A96" w14:textId="5BF3451F" w:rsidR="00DB1B13" w:rsidRDefault="00DB1B13" w:rsidP="00497DB2">
      <w:r w:rsidRPr="00863166">
        <w:rPr>
          <w:noProof/>
        </w:rPr>
        <w:drawing>
          <wp:inline distT="0" distB="0" distL="0" distR="0" wp14:anchorId="1EAF90DB" wp14:editId="6D823AD0">
            <wp:extent cx="5731510" cy="12725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272540"/>
                    </a:xfrm>
                    <a:prstGeom prst="rect">
                      <a:avLst/>
                    </a:prstGeom>
                    <a:noFill/>
                    <a:ln>
                      <a:noFill/>
                    </a:ln>
                  </pic:spPr>
                </pic:pic>
              </a:graphicData>
            </a:graphic>
          </wp:inline>
        </w:drawing>
      </w:r>
    </w:p>
    <w:p w14:paraId="0DAC1926" w14:textId="1D57A05A" w:rsidR="00CD32DA" w:rsidRDefault="00CD32DA" w:rsidP="00CD32DA">
      <w:pPr>
        <w:pStyle w:val="Heading4"/>
      </w:pPr>
      <w:r>
        <w:t>Multidose vials</w:t>
      </w:r>
    </w:p>
    <w:p w14:paraId="6E5386F4" w14:textId="27413411" w:rsidR="00497DB2" w:rsidRDefault="00497DB2" w:rsidP="00497DB2">
      <w:r>
        <w:t xml:space="preserve">Swirl the vial gently after thawing and before each withdrawal. </w:t>
      </w:r>
    </w:p>
    <w:p w14:paraId="156D412B" w14:textId="77777777" w:rsidR="00497DB2" w:rsidRDefault="00497DB2" w:rsidP="00497DB2">
      <w:r w:rsidRPr="004370C6">
        <w:t xml:space="preserve">Inspect </w:t>
      </w:r>
      <w:r>
        <w:t>SPIKEVAX</w:t>
      </w:r>
      <w:r w:rsidRPr="004370C6">
        <w:t xml:space="preserve"> vials visually for foreign particulate matter and/or discoloration prior to administration. If either of these conditions exists, the vaccine should not be administered.</w:t>
      </w:r>
    </w:p>
    <w:p w14:paraId="78AF5379" w14:textId="4C6675C0" w:rsidR="00E07D97" w:rsidRDefault="00497DB2" w:rsidP="00497DB2">
      <w:r>
        <w:t xml:space="preserve">SPIKEVAX vials are multidose. </w:t>
      </w:r>
    </w:p>
    <w:p w14:paraId="11C0314D" w14:textId="153015B1" w:rsidR="00CD32DA" w:rsidRDefault="00CD32DA" w:rsidP="00497DB2">
      <w:r>
        <w:t>For practical reasons, if the contents of the vial are to be used within a short period of time, drawing up the content in multiple syringes at once may be considered.</w:t>
      </w:r>
    </w:p>
    <w:p w14:paraId="311E9582" w14:textId="70E1D926" w:rsidR="00E07D97" w:rsidRPr="00E07D97" w:rsidRDefault="00E07D97" w:rsidP="00497DB2">
      <w:pPr>
        <w:rPr>
          <w:u w:val="single"/>
        </w:rPr>
      </w:pPr>
      <w:r w:rsidRPr="00E07D97">
        <w:rPr>
          <w:u w:val="single"/>
        </w:rPr>
        <w:t>0.20 mg/mL</w:t>
      </w:r>
    </w:p>
    <w:p w14:paraId="37EB4F55" w14:textId="3E09C239" w:rsidR="00863166" w:rsidRDefault="00497DB2" w:rsidP="00497DB2">
      <w:r>
        <w:t xml:space="preserve">Ten (10) doses of 0.5 mL volume each or a maximum of twenty (20) doses of 0.25 mL volume can be withdrawn from each vial. Pierce the stopper preferably at a different site each time. </w:t>
      </w:r>
    </w:p>
    <w:p w14:paraId="176CCE70" w14:textId="77C11F77" w:rsidR="00DB1B13" w:rsidRDefault="00DB1B13" w:rsidP="00497DB2">
      <w:r w:rsidRPr="00920E69">
        <w:rPr>
          <w:noProof/>
        </w:rPr>
        <w:lastRenderedPageBreak/>
        <w:drawing>
          <wp:inline distT="0" distB="0" distL="0" distR="0" wp14:anchorId="4D47DD1E" wp14:editId="42BEBB56">
            <wp:extent cx="5731510" cy="4646930"/>
            <wp:effectExtent l="0" t="0" r="2540" b="127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3"/>
                    <a:stretch>
                      <a:fillRect/>
                    </a:stretch>
                  </pic:blipFill>
                  <pic:spPr>
                    <a:xfrm>
                      <a:off x="0" y="0"/>
                      <a:ext cx="5731510" cy="4646930"/>
                    </a:xfrm>
                    <a:prstGeom prst="rect">
                      <a:avLst/>
                    </a:prstGeom>
                  </pic:spPr>
                </pic:pic>
              </a:graphicData>
            </a:graphic>
          </wp:inline>
        </w:drawing>
      </w:r>
    </w:p>
    <w:p w14:paraId="46E0FD29" w14:textId="236453A0" w:rsidR="00DB1B13" w:rsidRDefault="00DB1B13" w:rsidP="00497DB2">
      <w:r>
        <w:rPr>
          <w:noProof/>
        </w:rPr>
        <w:drawing>
          <wp:inline distT="0" distB="0" distL="0" distR="0" wp14:anchorId="5AE8EB9A" wp14:editId="34A361EA">
            <wp:extent cx="5589905" cy="2797725"/>
            <wp:effectExtent l="0" t="0" r="0" b="317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398" cy="2809483"/>
                    </a:xfrm>
                    <a:prstGeom prst="rect">
                      <a:avLst/>
                    </a:prstGeom>
                    <a:noFill/>
                  </pic:spPr>
                </pic:pic>
              </a:graphicData>
            </a:graphic>
          </wp:inline>
        </w:drawing>
      </w:r>
    </w:p>
    <w:p w14:paraId="3BE3F929" w14:textId="10A98A9D" w:rsidR="0000225D" w:rsidRPr="0000225D" w:rsidRDefault="0000225D" w:rsidP="0000225D">
      <w:pPr>
        <w:rPr>
          <w:u w:val="single"/>
        </w:rPr>
      </w:pPr>
      <w:r w:rsidRPr="00ED7D91">
        <w:rPr>
          <w:u w:val="single"/>
        </w:rPr>
        <w:t>0.10 mg/mL</w:t>
      </w:r>
    </w:p>
    <w:p w14:paraId="252C0D38" w14:textId="35FD0BC5" w:rsidR="00920E69" w:rsidRDefault="0000225D" w:rsidP="00497DB2">
      <w:r w:rsidRPr="0000225D">
        <w:lastRenderedPageBreak/>
        <w:t xml:space="preserve">Five (5) doses (of 0.5 mL volume each) </w:t>
      </w:r>
      <w:r w:rsidR="003455B5">
        <w:t xml:space="preserve">or a maximum of </w:t>
      </w:r>
      <w:r w:rsidR="00735EF2">
        <w:t xml:space="preserve">ten </w:t>
      </w:r>
      <w:r w:rsidR="003455B5">
        <w:t>(</w:t>
      </w:r>
      <w:r w:rsidR="00735EF2">
        <w:t>10</w:t>
      </w:r>
      <w:r w:rsidR="003455B5">
        <w:t xml:space="preserve">) doses of 0.25 mL volume </w:t>
      </w:r>
      <w:r w:rsidRPr="0000225D">
        <w:t>can be withdrawn from each vial.</w:t>
      </w:r>
      <w:r>
        <w:t xml:space="preserve"> </w:t>
      </w:r>
    </w:p>
    <w:p w14:paraId="4E198BCF" w14:textId="2AB9137A" w:rsidR="00497DB2" w:rsidRPr="00E475ED" w:rsidRDefault="00DB1B13" w:rsidP="002E5BB1">
      <w:r w:rsidRPr="00084AEE">
        <w:rPr>
          <w:noProof/>
        </w:rPr>
        <w:drawing>
          <wp:inline distT="0" distB="0" distL="0" distR="0" wp14:anchorId="192CFA7A" wp14:editId="6D91D4E9">
            <wp:extent cx="5656686" cy="44831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7457" cy="4499562"/>
                    </a:xfrm>
                    <a:prstGeom prst="rect">
                      <a:avLst/>
                    </a:prstGeom>
                    <a:noFill/>
                    <a:ln>
                      <a:noFill/>
                    </a:ln>
                  </pic:spPr>
                </pic:pic>
              </a:graphicData>
            </a:graphic>
          </wp:inline>
        </w:drawing>
      </w:r>
    </w:p>
    <w:p w14:paraId="45157604" w14:textId="4E2F610F" w:rsidR="00497DB2" w:rsidRDefault="002E5BB1" w:rsidP="002E5BB1">
      <w:r>
        <w:rPr>
          <w:noProof/>
        </w:rPr>
        <w:drawing>
          <wp:inline distT="0" distB="0" distL="0" distR="0" wp14:anchorId="55FEB7B5" wp14:editId="3948E812">
            <wp:extent cx="5589905" cy="27977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398" cy="2809483"/>
                    </a:xfrm>
                    <a:prstGeom prst="rect">
                      <a:avLst/>
                    </a:prstGeom>
                    <a:noFill/>
                  </pic:spPr>
                </pic:pic>
              </a:graphicData>
            </a:graphic>
          </wp:inline>
        </w:drawing>
      </w:r>
    </w:p>
    <w:p w14:paraId="7F1CEF08" w14:textId="77777777" w:rsidR="00787975" w:rsidRPr="00F506AA" w:rsidRDefault="00787975" w:rsidP="00787975">
      <w:pPr>
        <w:pStyle w:val="Heading4"/>
      </w:pPr>
      <w:r w:rsidRPr="00F506AA">
        <w:lastRenderedPageBreak/>
        <w:t>Pre-filled syringe</w:t>
      </w:r>
    </w:p>
    <w:p w14:paraId="60BB76A5" w14:textId="2082BC54" w:rsidR="00787975" w:rsidRDefault="00787975" w:rsidP="008011F6">
      <w:r w:rsidRPr="00F506AA">
        <w:t>One (1) dose of 0.5 mL can be administered from each pre-filled syringe.</w:t>
      </w:r>
      <w:r w:rsidR="00764528" w:rsidRPr="00F506AA">
        <w:t xml:space="preserve"> Do not use the pre-filled syringe to deliver a partial 0.25 mL volume.</w:t>
      </w:r>
      <w:r w:rsidRPr="00F506AA">
        <w:t xml:space="preserve"> </w:t>
      </w:r>
      <w:bookmarkStart w:id="3" w:name="_Hlk99221096"/>
    </w:p>
    <w:p w14:paraId="2A6569CA" w14:textId="45F13000" w:rsidR="00F63CEA" w:rsidRDefault="00F63CEA" w:rsidP="008011F6">
      <w:r w:rsidRPr="007F5C5F">
        <w:t xml:space="preserve">Thaw each </w:t>
      </w:r>
      <w:r>
        <w:t xml:space="preserve">pre-filled </w:t>
      </w:r>
      <w:r w:rsidRPr="007F5C5F">
        <w:t xml:space="preserve">syringe before use following the instructions below. </w:t>
      </w:r>
    </w:p>
    <w:tbl>
      <w:tblPr>
        <w:tblStyle w:val="TableGrid"/>
        <w:tblW w:w="0" w:type="auto"/>
        <w:tblLook w:val="04A0" w:firstRow="1" w:lastRow="0" w:firstColumn="1" w:lastColumn="0" w:noHBand="0" w:noVBand="1"/>
      </w:tblPr>
      <w:tblGrid>
        <w:gridCol w:w="4815"/>
        <w:gridCol w:w="4201"/>
      </w:tblGrid>
      <w:tr w:rsidR="00F63CEA" w14:paraId="220CB445" w14:textId="77777777" w:rsidTr="00B65675">
        <w:tc>
          <w:tcPr>
            <w:tcW w:w="4815" w:type="dxa"/>
          </w:tcPr>
          <w:p w14:paraId="6ABADF33" w14:textId="7CDB1E31" w:rsidR="00F63CEA" w:rsidRDefault="00F63CEA" w:rsidP="00F63CEA">
            <w:r w:rsidRPr="007F5C5F">
              <w:rPr>
                <w:b/>
                <w:bCs/>
              </w:rPr>
              <w:t>Thaw in refrigerator</w:t>
            </w:r>
          </w:p>
        </w:tc>
        <w:tc>
          <w:tcPr>
            <w:tcW w:w="4201" w:type="dxa"/>
          </w:tcPr>
          <w:p w14:paraId="1E118AF6" w14:textId="32EA8C81" w:rsidR="00F63CEA" w:rsidRDefault="00F63CEA" w:rsidP="00F63CEA">
            <w:r w:rsidRPr="007F5C5F">
              <w:rPr>
                <w:b/>
                <w:bCs/>
              </w:rPr>
              <w:t>Thaw at room temperature</w:t>
            </w:r>
          </w:p>
        </w:tc>
      </w:tr>
      <w:tr w:rsidR="00F63CEA" w14:paraId="32D76DAC" w14:textId="77777777" w:rsidTr="00B65675">
        <w:tc>
          <w:tcPr>
            <w:tcW w:w="4815" w:type="dxa"/>
          </w:tcPr>
          <w:p w14:paraId="5C6C77AF" w14:textId="458BBFE7" w:rsidR="00F63CEA" w:rsidRDefault="00F63CEA" w:rsidP="00F63CEA">
            <w:r w:rsidRPr="007F5C5F">
              <w:t>Thaw between 2°C to 8°C for 2 hours. Let each syringe stand at room temperature (15°C to 25°C) for 15 minutes before administering.</w:t>
            </w:r>
          </w:p>
        </w:tc>
        <w:tc>
          <w:tcPr>
            <w:tcW w:w="4201" w:type="dxa"/>
          </w:tcPr>
          <w:p w14:paraId="48384C64" w14:textId="5353A64D" w:rsidR="00F63CEA" w:rsidRDefault="00F63CEA" w:rsidP="00F63CEA">
            <w:r w:rsidRPr="007F5C5F">
              <w:t>Alternatively, thaw between 15°C to 25°C for 1 hour.</w:t>
            </w:r>
          </w:p>
        </w:tc>
      </w:tr>
      <w:bookmarkEnd w:id="3"/>
    </w:tbl>
    <w:p w14:paraId="0F885E8B" w14:textId="2DEBAE14" w:rsidR="00497DB2" w:rsidRDefault="00497DB2" w:rsidP="00F63CEA">
      <w:pPr>
        <w:spacing w:after="0" w:line="240" w:lineRule="auto"/>
      </w:pPr>
    </w:p>
    <w:p w14:paraId="0276FCC5" w14:textId="787563CB" w:rsidR="009920F5" w:rsidRPr="009920F5" w:rsidRDefault="009920F5" w:rsidP="009920F5">
      <w:r w:rsidRPr="002E5BB1">
        <w:t xml:space="preserve">For instructions </w:t>
      </w:r>
      <w:r w:rsidR="00D33447" w:rsidRPr="002E5BB1">
        <w:t>on</w:t>
      </w:r>
      <w:r w:rsidRPr="002E5BB1">
        <w:t xml:space="preserve"> disposal of the vaccine, see section 6.6</w:t>
      </w:r>
      <w:r w:rsidR="00406C76" w:rsidRPr="002E5BB1">
        <w:t xml:space="preserve"> Special Precautions for Disposal</w:t>
      </w:r>
      <w:r w:rsidRPr="002E5BB1">
        <w:t>.</w:t>
      </w:r>
    </w:p>
    <w:p w14:paraId="79370B6D" w14:textId="4C24878A" w:rsidR="001A3992" w:rsidRDefault="001A3992" w:rsidP="001A3992">
      <w:pPr>
        <w:pStyle w:val="Heading2"/>
        <w:spacing w:before="0" w:after="120"/>
      </w:pPr>
      <w:r>
        <w:t>Contraindications</w:t>
      </w:r>
    </w:p>
    <w:p w14:paraId="30709D17" w14:textId="719C22DB" w:rsidR="004B19C8" w:rsidRPr="004B19C8" w:rsidRDefault="004B19C8" w:rsidP="004B19C8">
      <w:r>
        <w:t>Hypersensitivity to the active substance or to any of the excipients listed in section 6.1</w:t>
      </w:r>
      <w:r w:rsidR="00406C76">
        <w:t xml:space="preserve"> List of Excipients</w:t>
      </w:r>
      <w:r w:rsidR="002E6C82">
        <w:t xml:space="preserve"> or in individuals with </w:t>
      </w:r>
      <w:r w:rsidR="002E6C82" w:rsidRPr="002E6C82">
        <w:t xml:space="preserve">known severe allergic reactions (e.g., anaphylaxis) to a previous dose of </w:t>
      </w:r>
      <w:r w:rsidR="002E6C82">
        <w:t>SPIKEVAX</w:t>
      </w:r>
      <w:r>
        <w:t>.</w:t>
      </w:r>
    </w:p>
    <w:p w14:paraId="4FBE56BF" w14:textId="77777777" w:rsidR="001A3992" w:rsidRDefault="00E74A56" w:rsidP="001A3992">
      <w:pPr>
        <w:pStyle w:val="Heading2"/>
        <w:spacing w:before="0" w:after="120"/>
      </w:pPr>
      <w:r>
        <w:t>Special warnings and p</w:t>
      </w:r>
      <w:r w:rsidR="001A3992">
        <w:t xml:space="preserve">recautions </w:t>
      </w:r>
      <w:r>
        <w:t>for use</w:t>
      </w:r>
    </w:p>
    <w:p w14:paraId="0A98204B" w14:textId="77777777" w:rsidR="004B19C8" w:rsidRPr="004B19C8" w:rsidRDefault="004B19C8" w:rsidP="000A640E">
      <w:pPr>
        <w:pStyle w:val="Heading4"/>
      </w:pPr>
      <w:r w:rsidRPr="004B19C8">
        <w:t xml:space="preserve">Traceability </w:t>
      </w:r>
    </w:p>
    <w:p w14:paraId="022713E6" w14:textId="77777777" w:rsidR="004B19C8" w:rsidRDefault="004B19C8" w:rsidP="004B19C8">
      <w:proofErr w:type="gramStart"/>
      <w:r>
        <w:t>In order to</w:t>
      </w:r>
      <w:proofErr w:type="gramEnd"/>
      <w:r>
        <w:t xml:space="preserve"> improve the traceability of biological medicinal products, the name and the batch number of the administered product should be clearly recorded. </w:t>
      </w:r>
    </w:p>
    <w:p w14:paraId="335B822B" w14:textId="1A0FF07A" w:rsidR="004B19C8" w:rsidRPr="004B19C8" w:rsidRDefault="004B19C8" w:rsidP="000A640E">
      <w:pPr>
        <w:pStyle w:val="Heading4"/>
      </w:pPr>
      <w:r w:rsidRPr="004B19C8">
        <w:t xml:space="preserve">Hypersensitivity and anaphylaxis </w:t>
      </w:r>
    </w:p>
    <w:p w14:paraId="29EB6185" w14:textId="24D29F00" w:rsidR="004B19C8" w:rsidRDefault="004B19C8" w:rsidP="004B19C8">
      <w:r>
        <w:t>Anaphylaxis has been reported</w:t>
      </w:r>
      <w:r w:rsidR="00B8032C">
        <w:t xml:space="preserve"> </w:t>
      </w:r>
      <w:r w:rsidR="00B8032C" w:rsidRPr="00B8032C">
        <w:t xml:space="preserve">in individuals who have received </w:t>
      </w:r>
      <w:r w:rsidR="005F49F9">
        <w:t>SPIKEVAX</w:t>
      </w:r>
      <w:r>
        <w:t xml:space="preserve">. Appropriate medical treatment and supervision should always be readily available in case of an anaphylactic reaction following administration of the vaccine. </w:t>
      </w:r>
    </w:p>
    <w:p w14:paraId="155C322B" w14:textId="77777777" w:rsidR="00510A07" w:rsidRPr="00510A07" w:rsidRDefault="00510A07" w:rsidP="00510A07">
      <w:pPr>
        <w:spacing w:after="0" w:line="240" w:lineRule="auto"/>
        <w:rPr>
          <w:lang w:val="en-US"/>
        </w:rPr>
      </w:pPr>
      <w:r w:rsidRPr="00510A07">
        <w:rPr>
          <w:lang w:val="en-US"/>
        </w:rPr>
        <w:t>Close observation is recommended following vaccination as follows:</w:t>
      </w:r>
    </w:p>
    <w:p w14:paraId="0CFD461C" w14:textId="77777777" w:rsidR="00510A07" w:rsidRPr="00510A07" w:rsidRDefault="00510A07" w:rsidP="00510A07">
      <w:pPr>
        <w:numPr>
          <w:ilvl w:val="0"/>
          <w:numId w:val="11"/>
        </w:numPr>
        <w:spacing w:after="0" w:line="240" w:lineRule="auto"/>
        <w:rPr>
          <w:lang w:val="en-US"/>
        </w:rPr>
      </w:pPr>
      <w:bookmarkStart w:id="4" w:name="_Hlk71013886"/>
      <w:r w:rsidRPr="00510A07">
        <w:rPr>
          <w:lang w:val="en-US"/>
        </w:rPr>
        <w:t>30 minutes:</w:t>
      </w:r>
    </w:p>
    <w:bookmarkEnd w:id="4"/>
    <w:p w14:paraId="6B775345" w14:textId="77777777" w:rsidR="00510A07" w:rsidRPr="00510A07" w:rsidRDefault="00510A07" w:rsidP="00510A07">
      <w:pPr>
        <w:numPr>
          <w:ilvl w:val="1"/>
          <w:numId w:val="11"/>
        </w:numPr>
        <w:spacing w:after="0" w:line="240" w:lineRule="auto"/>
        <w:rPr>
          <w:lang w:val="en-US"/>
        </w:rPr>
      </w:pPr>
      <w:r w:rsidRPr="00510A07">
        <w:rPr>
          <w:lang w:val="en-US"/>
        </w:rPr>
        <w:t>People with a history of an immediate allergic reaction of any severity to another vaccine or injectable therapy.</w:t>
      </w:r>
    </w:p>
    <w:p w14:paraId="5BC2799F" w14:textId="77777777" w:rsidR="00510A07" w:rsidRPr="00510A07" w:rsidRDefault="00510A07" w:rsidP="00510A07">
      <w:pPr>
        <w:numPr>
          <w:ilvl w:val="1"/>
          <w:numId w:val="11"/>
        </w:numPr>
        <w:spacing w:after="0" w:line="240" w:lineRule="auto"/>
        <w:rPr>
          <w:lang w:val="en-US"/>
        </w:rPr>
      </w:pPr>
      <w:r w:rsidRPr="00510A07">
        <w:rPr>
          <w:lang w:val="en-US"/>
        </w:rPr>
        <w:t>People with a history of anaphylaxis due to any cause.</w:t>
      </w:r>
    </w:p>
    <w:p w14:paraId="4EC0B6D5" w14:textId="77777777" w:rsidR="00510A07" w:rsidRPr="00510A07" w:rsidRDefault="00510A07" w:rsidP="00510A07">
      <w:pPr>
        <w:numPr>
          <w:ilvl w:val="0"/>
          <w:numId w:val="11"/>
        </w:numPr>
        <w:spacing w:after="0" w:line="240" w:lineRule="auto"/>
        <w:rPr>
          <w:lang w:val="en-US"/>
        </w:rPr>
      </w:pPr>
      <w:r w:rsidRPr="00510A07">
        <w:rPr>
          <w:lang w:val="en-US"/>
        </w:rPr>
        <w:t>15 minutes:</w:t>
      </w:r>
    </w:p>
    <w:p w14:paraId="5232DCB3" w14:textId="77777777" w:rsidR="00510A07" w:rsidRPr="00510A07" w:rsidRDefault="00510A07" w:rsidP="00510A07">
      <w:pPr>
        <w:numPr>
          <w:ilvl w:val="1"/>
          <w:numId w:val="11"/>
        </w:numPr>
        <w:spacing w:after="0" w:line="240" w:lineRule="auto"/>
        <w:rPr>
          <w:lang w:val="en-US"/>
        </w:rPr>
      </w:pPr>
      <w:r w:rsidRPr="00510A07">
        <w:rPr>
          <w:lang w:val="en-US"/>
        </w:rPr>
        <w:t xml:space="preserve"> All other persons.</w:t>
      </w:r>
    </w:p>
    <w:p w14:paraId="34F161BD" w14:textId="77777777" w:rsidR="00510A07" w:rsidRDefault="00510A07" w:rsidP="00162F0C">
      <w:pPr>
        <w:spacing w:after="0" w:line="240" w:lineRule="auto"/>
      </w:pPr>
    </w:p>
    <w:p w14:paraId="622ECBAD" w14:textId="1BBC465A" w:rsidR="004B19C8" w:rsidRDefault="00D33447" w:rsidP="001D044F">
      <w:r>
        <w:t>Subsequent</w:t>
      </w:r>
      <w:r w:rsidR="004B19C8">
        <w:t xml:space="preserve"> dose</w:t>
      </w:r>
      <w:r>
        <w:t>s</w:t>
      </w:r>
      <w:r w:rsidR="004B19C8">
        <w:t xml:space="preserve"> of the vaccine should not be given to those who have experienced anaphylaxis to </w:t>
      </w:r>
      <w:r w:rsidR="008A26DC">
        <w:t>an earlier</w:t>
      </w:r>
      <w:r w:rsidR="004B19C8">
        <w:t xml:space="preserve"> dose of </w:t>
      </w:r>
      <w:r w:rsidR="005F49F9">
        <w:t>SPIKEVAX</w:t>
      </w:r>
      <w:r>
        <w:t>, see Section 4.3 Contraindications</w:t>
      </w:r>
      <w:r w:rsidR="004B19C8">
        <w:t>.</w:t>
      </w:r>
    </w:p>
    <w:p w14:paraId="5CA1CBC2" w14:textId="77777777" w:rsidR="00C20F97" w:rsidRDefault="00C20F97" w:rsidP="000A640E">
      <w:pPr>
        <w:pStyle w:val="Heading4"/>
      </w:pPr>
      <w:r>
        <w:t>Myocarditis and pericarditis</w:t>
      </w:r>
    </w:p>
    <w:p w14:paraId="6BD293BB" w14:textId="6565D166" w:rsidR="00882175" w:rsidRDefault="00C20F97" w:rsidP="00D67EB5">
      <w:r w:rsidRPr="00162F0C">
        <w:t xml:space="preserve">There </w:t>
      </w:r>
      <w:r w:rsidR="00882175" w:rsidRPr="00882175">
        <w:t xml:space="preserve">is an increased risk for </w:t>
      </w:r>
      <w:r w:rsidRPr="00DC2361">
        <w:t>myocarditis and pericarditis</w:t>
      </w:r>
      <w:r w:rsidRPr="00162F0C">
        <w:t xml:space="preserve"> </w:t>
      </w:r>
      <w:r w:rsidR="00882175">
        <w:t xml:space="preserve">following </w:t>
      </w:r>
      <w:r w:rsidRPr="00162F0C">
        <w:t xml:space="preserve">vaccination with </w:t>
      </w:r>
      <w:r w:rsidR="005F49F9">
        <w:t>SPIKEVAX</w:t>
      </w:r>
      <w:r w:rsidRPr="00162F0C">
        <w:t xml:space="preserve">. </w:t>
      </w:r>
    </w:p>
    <w:p w14:paraId="7C61A994" w14:textId="69AB4DE1" w:rsidR="00882175" w:rsidRDefault="00A130F0" w:rsidP="00D67EB5">
      <w:r>
        <w:lastRenderedPageBreak/>
        <w:t xml:space="preserve">These </w:t>
      </w:r>
      <w:r w:rsidR="00882175" w:rsidRPr="00882175">
        <w:t xml:space="preserve">conditions can develop within just a few days after </w:t>
      </w:r>
      <w:proofErr w:type="gramStart"/>
      <w:r w:rsidR="00882175" w:rsidRPr="00882175">
        <w:t>vaccination, and</w:t>
      </w:r>
      <w:proofErr w:type="gramEnd"/>
      <w:r>
        <w:t xml:space="preserve"> have primarily occurred within 14 days</w:t>
      </w:r>
      <w:r w:rsidR="00882175">
        <w:t>.</w:t>
      </w:r>
      <w:r>
        <w:t xml:space="preserve"> </w:t>
      </w:r>
      <w:r w:rsidR="00882175" w:rsidRPr="00882175">
        <w:t>They have been observed</w:t>
      </w:r>
      <w:r>
        <w:t xml:space="preserve"> more often after the second dose, and more often</w:t>
      </w:r>
      <w:r w:rsidR="00E70FB5" w:rsidRPr="00E70FB5">
        <w:t xml:space="preserve">, but not exclusively, </w:t>
      </w:r>
      <w:r>
        <w:t xml:space="preserve">in </w:t>
      </w:r>
      <w:r w:rsidR="007215FC">
        <w:t>adolescent and young adult males</w:t>
      </w:r>
      <w:r>
        <w:t xml:space="preserve">. </w:t>
      </w:r>
      <w:r w:rsidR="00E70FB5" w:rsidRPr="00E6615D">
        <w:t>There have also been reports in females</w:t>
      </w:r>
      <w:r w:rsidR="00E70FB5">
        <w:t>.</w:t>
      </w:r>
    </w:p>
    <w:p w14:paraId="01EBAB8F" w14:textId="0D0B9474" w:rsidR="00A130F0" w:rsidRPr="00D67EB5" w:rsidRDefault="00A130F0" w:rsidP="00D67EB5">
      <w:r w:rsidRPr="00D67EB5">
        <w:t xml:space="preserve">Available data suggest that the course of myocarditis and pericarditis following vaccination is not different from myocarditis or pericarditis in general. </w:t>
      </w:r>
      <w:r w:rsidR="007215FC" w:rsidRPr="007215FC">
        <w:t>Available short-term follow-up data suggest that the symptoms resolve in most individuals,</w:t>
      </w:r>
      <w:r w:rsidR="00E70FB5" w:rsidRPr="00E70FB5">
        <w:t xml:space="preserve"> </w:t>
      </w:r>
      <w:r w:rsidR="00EA0921" w:rsidRPr="00230369">
        <w:t>however, severe outcomes</w:t>
      </w:r>
      <w:r w:rsidR="00EA0921">
        <w:t>,</w:t>
      </w:r>
      <w:r w:rsidR="00EA0921" w:rsidRPr="00230369">
        <w:t xml:space="preserve"> including death</w:t>
      </w:r>
      <w:r w:rsidR="00EA0921">
        <w:t>,</w:t>
      </w:r>
      <w:r w:rsidR="00EA0921" w:rsidRPr="00E6615D">
        <w:t xml:space="preserve"> </w:t>
      </w:r>
      <w:r w:rsidR="00EA0921">
        <w:t>have been rarely reported</w:t>
      </w:r>
      <w:r w:rsidR="00EA0921" w:rsidRPr="00230369">
        <w:t xml:space="preserve"> and</w:t>
      </w:r>
      <w:r w:rsidR="00EA0921">
        <w:t xml:space="preserve"> </w:t>
      </w:r>
      <w:r w:rsidR="007215FC" w:rsidRPr="007215FC">
        <w:t>information on long-term sequelae is lacking.</w:t>
      </w:r>
    </w:p>
    <w:p w14:paraId="49214D50" w14:textId="20427F64" w:rsidR="00A130F0" w:rsidRPr="00D67EB5" w:rsidRDefault="00A130F0" w:rsidP="00D67EB5">
      <w:r w:rsidRPr="00D67EB5">
        <w:t>Healthcare professionals should be alert to the signs and symptoms of myocarditis and pericarditis</w:t>
      </w:r>
      <w:r w:rsidR="00EA0921" w:rsidRPr="00EA0921">
        <w:t xml:space="preserve"> including atypical presentations</w:t>
      </w:r>
      <w:r w:rsidRPr="00D67EB5">
        <w:t>.</w:t>
      </w:r>
    </w:p>
    <w:p w14:paraId="5587A0B4" w14:textId="22738098" w:rsidR="0011038D" w:rsidRDefault="00A130F0" w:rsidP="00D67EB5">
      <w:r w:rsidRPr="00D67EB5">
        <w:t>Vaccine recipients should be instructed to seek immediate medical attention if they develop symptoms indicative of myocarditis or pericarditis such as (acute and persisting) chest pain, shortness of breath, or palpitations following vaccination.</w:t>
      </w:r>
      <w:r w:rsidR="00E70FB5" w:rsidRPr="00E70FB5">
        <w:t xml:space="preserve"> </w:t>
      </w:r>
      <w:r w:rsidR="00EA0921" w:rsidRPr="00E70FB5">
        <w:t>Additionally, non-specific symptoms such as fatigue, nausea and vomiting, abdominal pain, dizziness or syncope, oedema and cough have been reported in some recipients with myocarditis or pericarditis.</w:t>
      </w:r>
      <w:r w:rsidR="00E70FB5" w:rsidRPr="00E70FB5">
        <w:t xml:space="preserve"> </w:t>
      </w:r>
      <w:r w:rsidRPr="00D67EB5">
        <w:t>Healthcare professionals should consult guidance and/or specialists to diagnose and treat this condition.</w:t>
      </w:r>
    </w:p>
    <w:p w14:paraId="7B83E8E0" w14:textId="58A781C6" w:rsidR="00C20F97" w:rsidRDefault="00A130F0" w:rsidP="001D044F">
      <w:r w:rsidRPr="00D67EB5">
        <w:t>For further details, please refer to the relevant clinical guidelines developed by the Australian Technical Advisory Group on Immunisation.</w:t>
      </w:r>
    </w:p>
    <w:p w14:paraId="1E6607B7" w14:textId="7CFC5904" w:rsidR="00012336" w:rsidRDefault="00012336" w:rsidP="00896233">
      <w:pPr>
        <w:pStyle w:val="Heading4"/>
      </w:pPr>
      <w:r>
        <w:t>Altered immunocompetence</w:t>
      </w:r>
    </w:p>
    <w:p w14:paraId="6B437CCC" w14:textId="0F91F21E" w:rsidR="00012336" w:rsidRPr="00012336" w:rsidRDefault="00012336" w:rsidP="001D044F">
      <w:pPr>
        <w:rPr>
          <w:u w:val="single"/>
        </w:rPr>
      </w:pPr>
      <w:r>
        <w:t>If SPIKEVAX is administered to immunocompromised persons, including those receiving immunosuppressive therapy, the immune response</w:t>
      </w:r>
      <w:r w:rsidR="00896233">
        <w:t xml:space="preserve"> to the vaccine</w:t>
      </w:r>
      <w:r>
        <w:t xml:space="preserve"> may be diminished.</w:t>
      </w:r>
    </w:p>
    <w:p w14:paraId="553434F5" w14:textId="22107C24" w:rsidR="004B19C8" w:rsidRPr="004B19C8" w:rsidRDefault="004B19C8" w:rsidP="000A640E">
      <w:pPr>
        <w:pStyle w:val="Heading4"/>
      </w:pPr>
      <w:r w:rsidRPr="004B19C8">
        <w:t xml:space="preserve">Anxiety-related reactions </w:t>
      </w:r>
    </w:p>
    <w:p w14:paraId="1453EF9E" w14:textId="7588DED1" w:rsidR="004B19C8" w:rsidRDefault="004B19C8" w:rsidP="004B19C8">
      <w:r>
        <w:t xml:space="preserve">Anxiety-related reactions, including vasovagal reactions (syncope), hyperventilation or stress‐related reactions may occur in association with vaccination as a psychogenic response to the needle injection. It is important that precautions are in place to avoid injury from fainting. </w:t>
      </w:r>
    </w:p>
    <w:p w14:paraId="1ED8F835" w14:textId="1026B757" w:rsidR="00091557" w:rsidRDefault="00091557" w:rsidP="004B19C8">
      <w:r w:rsidRPr="00091557">
        <w:t>Some individuals may have stress-related responses associated with the process of vaccination itself. Stress-related responses are temporary and resolve on their own. They may include dizziness, fainting, palpitations, increases in heart rate, alterations in blood pressure, feeling short of breath, tingling sensations, sweating and/or anxiety. Individuals should be advised to bring symptoms to the attention of the vaccination provider for evaluation and precautions should be in place to avoid injury from fainting</w:t>
      </w:r>
      <w:r>
        <w:t>.</w:t>
      </w:r>
    </w:p>
    <w:p w14:paraId="1D4F3AEB" w14:textId="77777777" w:rsidR="004B19C8" w:rsidRPr="004B19C8" w:rsidRDefault="004B19C8" w:rsidP="000A640E">
      <w:pPr>
        <w:pStyle w:val="Heading4"/>
      </w:pPr>
      <w:r w:rsidRPr="004B19C8">
        <w:t xml:space="preserve">Concurrent illness </w:t>
      </w:r>
    </w:p>
    <w:p w14:paraId="61C4C691" w14:textId="77777777" w:rsidR="004B19C8" w:rsidRDefault="004B19C8" w:rsidP="004B19C8">
      <w:r>
        <w:t xml:space="preserve">Vaccination should be postponed in individuals suffering from acute severe febrile illness or acute infection. The presence of a minor infection and/or low-grade fever should not delay vaccination. </w:t>
      </w:r>
    </w:p>
    <w:p w14:paraId="60D95FA2" w14:textId="313DD620" w:rsidR="004B19C8" w:rsidRPr="004B19C8" w:rsidRDefault="004B19C8" w:rsidP="000A640E">
      <w:pPr>
        <w:pStyle w:val="Heading4"/>
      </w:pPr>
      <w:r w:rsidRPr="004B19C8">
        <w:lastRenderedPageBreak/>
        <w:t>Thrombocytopenia and coagulation disorders</w:t>
      </w:r>
    </w:p>
    <w:p w14:paraId="65D2D9B0" w14:textId="09E461CE" w:rsidR="004B19C8" w:rsidRDefault="004B19C8" w:rsidP="004B19C8">
      <w:r>
        <w:t>As with other intramuscular injections, the vaccine should be given with caution in individuals receiving anticoagulant therapy or those with thrombocytopenia or any coagulation disorder (such as haemophilia) because bleeding or bruising may occur following an intramuscular administration in these individuals.</w:t>
      </w:r>
    </w:p>
    <w:p w14:paraId="14B52482" w14:textId="77777777" w:rsidR="0077369E" w:rsidRPr="006103FF" w:rsidRDefault="0077369E" w:rsidP="0077369E">
      <w:pPr>
        <w:pStyle w:val="Heading4"/>
      </w:pPr>
      <w:r w:rsidRPr="006103FF">
        <w:t xml:space="preserve">Capillary leak syndrome flare-ups </w:t>
      </w:r>
    </w:p>
    <w:p w14:paraId="04465D28" w14:textId="77777777" w:rsidR="0077369E" w:rsidRPr="006103FF" w:rsidRDefault="0077369E" w:rsidP="0077369E">
      <w:pPr>
        <w:jc w:val="both"/>
      </w:pPr>
      <w:r w:rsidRPr="006103FF">
        <w:t>A few cases of capillary leak syndrome (CLS) flare-ups have been reported in the first days after vaccination with S</w:t>
      </w:r>
      <w:r>
        <w:t>PIKEVAX</w:t>
      </w:r>
      <w:r w:rsidRPr="006103FF">
        <w:t>. Healthcare professionals should be aware of signs and symptoms of CLS to promptly recognise and treat the condition. In individuals with a medical history of CLS, planning of vaccination should be made in collaboration with appropriate medical experts.</w:t>
      </w:r>
    </w:p>
    <w:p w14:paraId="1D17A3EE" w14:textId="3932E7C4" w:rsidR="004B19C8" w:rsidRPr="004B19C8" w:rsidRDefault="004B19C8" w:rsidP="000A640E">
      <w:pPr>
        <w:pStyle w:val="Heading4"/>
      </w:pPr>
      <w:r w:rsidRPr="004B19C8">
        <w:t>Duration of protection</w:t>
      </w:r>
    </w:p>
    <w:p w14:paraId="1367D67D" w14:textId="2615F389" w:rsidR="004B19C8" w:rsidRDefault="004B19C8" w:rsidP="004B19C8">
      <w:r>
        <w:t>The duration of protection afforded by the vaccine is unknown as it is still being determined by ongoing clinical trials.</w:t>
      </w:r>
    </w:p>
    <w:p w14:paraId="31C5D75E" w14:textId="332C89E4" w:rsidR="004B19C8" w:rsidRPr="004B19C8" w:rsidRDefault="004B19C8" w:rsidP="000A640E">
      <w:pPr>
        <w:pStyle w:val="Heading4"/>
      </w:pPr>
      <w:r w:rsidRPr="004B19C8">
        <w:t xml:space="preserve">Limitations of vaccine effectiveness </w:t>
      </w:r>
    </w:p>
    <w:p w14:paraId="7F194E01" w14:textId="6C90276E" w:rsidR="004B19C8" w:rsidRDefault="004B19C8" w:rsidP="004B19C8">
      <w:r>
        <w:t xml:space="preserve">Individuals may not be fully protected until 14 days after their second dose. As with all vaccines, vaccination with </w:t>
      </w:r>
      <w:r w:rsidR="005F49F9">
        <w:t>SPIKEVAX</w:t>
      </w:r>
      <w:r>
        <w:t xml:space="preserve"> may not protect all vaccine recipients.</w:t>
      </w:r>
    </w:p>
    <w:p w14:paraId="0BE250F2" w14:textId="4EB2AF5E" w:rsidR="004B19C8" w:rsidRPr="004B19C8" w:rsidRDefault="004B19C8" w:rsidP="000A640E">
      <w:pPr>
        <w:pStyle w:val="Heading4"/>
      </w:pPr>
      <w:r w:rsidRPr="004B19C8">
        <w:t xml:space="preserve">Excipients with known effect </w:t>
      </w:r>
    </w:p>
    <w:p w14:paraId="52D4C999" w14:textId="37FE8430" w:rsidR="004B19C8" w:rsidRPr="004B19C8" w:rsidRDefault="004B19C8" w:rsidP="004B19C8">
      <w:r>
        <w:t>Sodium</w:t>
      </w:r>
      <w:r w:rsidR="00B56B78">
        <w:t>:</w:t>
      </w:r>
      <w:r>
        <w:t xml:space="preserve"> This vaccine contains less than 1 mmol sodium (23 mg) per 0.5 mL dose</w:t>
      </w:r>
      <w:proofErr w:type="gramStart"/>
      <w:r>
        <w:t>, that is to say, essentially</w:t>
      </w:r>
      <w:proofErr w:type="gramEnd"/>
      <w:r>
        <w:t xml:space="preserve"> ‘sodium-free’.</w:t>
      </w:r>
    </w:p>
    <w:p w14:paraId="369834EF" w14:textId="44959E0D" w:rsidR="001A3992" w:rsidRPr="00DD7C09" w:rsidRDefault="001A3992" w:rsidP="00DD7C09">
      <w:pPr>
        <w:pStyle w:val="Heading3"/>
      </w:pPr>
      <w:r w:rsidRPr="00DD7C09">
        <w:t>Use in the elderly</w:t>
      </w:r>
    </w:p>
    <w:p w14:paraId="3ADD3629" w14:textId="39AF5A92" w:rsidR="0076036F" w:rsidRDefault="005F49F9" w:rsidP="0076036F">
      <w:r>
        <w:t>SPIKEVAX</w:t>
      </w:r>
      <w:r w:rsidR="0076036F">
        <w:t xml:space="preserve"> was assessed in individuals </w:t>
      </w:r>
      <w:r w:rsidR="00C3687F">
        <w:t xml:space="preserve">12 </w:t>
      </w:r>
      <w:r w:rsidR="0076036F">
        <w:t xml:space="preserve">years of age and older, including 3,768 subjects 65 years of age and older. The efficacy of </w:t>
      </w:r>
      <w:r>
        <w:t>SPIKEVAX</w:t>
      </w:r>
      <w:r w:rsidR="0076036F">
        <w:t xml:space="preserve"> was consistent between elderly (≥65 years) and younger adult subjects (</w:t>
      </w:r>
      <w:r w:rsidR="00C3687F">
        <w:t>12</w:t>
      </w:r>
      <w:r w:rsidR="0076036F">
        <w:t>-64 years).</w:t>
      </w:r>
    </w:p>
    <w:p w14:paraId="490BDA46" w14:textId="08616F97" w:rsidR="009736BB" w:rsidRDefault="009736BB" w:rsidP="009736BB">
      <w:pPr>
        <w:pStyle w:val="Heading3"/>
      </w:pPr>
      <w:r>
        <w:t>Paediatric use</w:t>
      </w:r>
    </w:p>
    <w:p w14:paraId="1D02B6B2" w14:textId="6D9D5E08" w:rsidR="009736BB" w:rsidRDefault="009736BB" w:rsidP="0076036F">
      <w:r w:rsidRPr="009736BB">
        <w:t xml:space="preserve">The safety and efficacy of </w:t>
      </w:r>
      <w:r w:rsidR="005F49F9">
        <w:t>SPIKEVAX</w:t>
      </w:r>
      <w:r w:rsidRPr="009736BB">
        <w:t xml:space="preserve"> in children less than </w:t>
      </w:r>
      <w:r w:rsidR="001A0CA1">
        <w:t>6</w:t>
      </w:r>
      <w:r w:rsidR="001A0CA1" w:rsidRPr="009736BB">
        <w:t xml:space="preserve"> </w:t>
      </w:r>
      <w:r w:rsidR="000C7870">
        <w:t>months</w:t>
      </w:r>
      <w:r w:rsidR="000C7870" w:rsidRPr="009736BB">
        <w:t xml:space="preserve"> </w:t>
      </w:r>
      <w:r w:rsidRPr="009736BB">
        <w:t>of age have not yet been established. No data are available.</w:t>
      </w:r>
    </w:p>
    <w:p w14:paraId="080B4EF0" w14:textId="22900FB7" w:rsidR="004A0D71" w:rsidRPr="004A0D71" w:rsidRDefault="004A0D71" w:rsidP="009736BB">
      <w:pPr>
        <w:pStyle w:val="Heading3"/>
      </w:pPr>
      <w:r w:rsidRPr="004A0D71">
        <w:t>Effects on laboratory tests</w:t>
      </w:r>
    </w:p>
    <w:p w14:paraId="0BB7B234" w14:textId="78BA96B6" w:rsidR="004A0D71" w:rsidRPr="0076036F" w:rsidRDefault="004A0D71" w:rsidP="0076036F">
      <w:r>
        <w:t>No data available</w:t>
      </w:r>
      <w:r w:rsidR="009736BB">
        <w:t>.</w:t>
      </w:r>
    </w:p>
    <w:p w14:paraId="7A310594" w14:textId="0447FA22" w:rsidR="001A3992" w:rsidRDefault="001A3992" w:rsidP="001A3992">
      <w:pPr>
        <w:pStyle w:val="Heading2"/>
        <w:keepNext/>
        <w:keepLines/>
        <w:spacing w:before="0" w:after="120"/>
      </w:pPr>
      <w:r>
        <w:t>Interactions with other medicines and other forms of interactions</w:t>
      </w:r>
    </w:p>
    <w:p w14:paraId="58538FE4" w14:textId="0328E364" w:rsidR="004B19C8" w:rsidRPr="004B19C8" w:rsidRDefault="004B19C8" w:rsidP="004B19C8">
      <w:r w:rsidRPr="0019551C">
        <w:t xml:space="preserve">No interaction studies have been performed. Concomitant administration of </w:t>
      </w:r>
      <w:r w:rsidR="005F49F9" w:rsidRPr="0019551C">
        <w:t>SPIKEVAX</w:t>
      </w:r>
      <w:r w:rsidRPr="0019551C">
        <w:t xml:space="preserve"> with other vaccines has not been studied.</w:t>
      </w:r>
    </w:p>
    <w:p w14:paraId="45AFEC63" w14:textId="77777777" w:rsidR="001A3992" w:rsidRDefault="001A3992" w:rsidP="001A3992">
      <w:pPr>
        <w:pStyle w:val="Heading2"/>
        <w:spacing w:before="0" w:after="120"/>
      </w:pPr>
      <w:r>
        <w:lastRenderedPageBreak/>
        <w:t xml:space="preserve">Fertility, pregnancy and lactation </w:t>
      </w:r>
    </w:p>
    <w:p w14:paraId="090C61EB" w14:textId="3C5097A6" w:rsidR="001A3992" w:rsidRPr="00DD7C09" w:rsidRDefault="001A3992" w:rsidP="00DD7C09">
      <w:pPr>
        <w:pStyle w:val="Heading3"/>
      </w:pPr>
      <w:r w:rsidRPr="00DD7C09">
        <w:t>Effects on fertility</w:t>
      </w:r>
    </w:p>
    <w:p w14:paraId="7AD689FA" w14:textId="20C66CA5" w:rsidR="004B19C8" w:rsidRDefault="004B19C8" w:rsidP="004B19C8">
      <w:r>
        <w:t>Animal studies do not indicate direct or indirect harmful effects with respect to reproductive toxicity</w:t>
      </w:r>
      <w:r w:rsidR="00CB5B94">
        <w:t xml:space="preserve"> in females</w:t>
      </w:r>
      <w:r w:rsidR="00C77BD0">
        <w:t>.</w:t>
      </w:r>
    </w:p>
    <w:p w14:paraId="36878DA8" w14:textId="0ECEAC6E" w:rsidR="00834307" w:rsidRPr="00BD599F" w:rsidRDefault="00834307" w:rsidP="00834307">
      <w:r>
        <w:t xml:space="preserve">In a combined fertility and developmental toxicity study, </w:t>
      </w:r>
      <w:r w:rsidR="00F864FA" w:rsidRPr="00F864FA">
        <w:t>100 micrograms of mRNA (</w:t>
      </w:r>
      <w:proofErr w:type="spellStart"/>
      <w:r w:rsidR="00F864FA" w:rsidRPr="00F864FA">
        <w:t>elasomeran</w:t>
      </w:r>
      <w:proofErr w:type="spellEnd"/>
      <w:r w:rsidR="00F864FA" w:rsidRPr="00F864FA">
        <w:t>)</w:t>
      </w:r>
      <w:r>
        <w:t xml:space="preserve"> and other ingredients included in a single human dose of </w:t>
      </w:r>
      <w:r w:rsidR="005F49F9">
        <w:t>SPIKEVAX</w:t>
      </w:r>
      <w:r>
        <w:t xml:space="preserve"> was administered to female rats by the intramuscular route on four occasions: 28 and 14</w:t>
      </w:r>
      <w:r w:rsidR="0042696A">
        <w:t> </w:t>
      </w:r>
      <w:r>
        <w:t xml:space="preserve">days prior to mating, and on gestation days 1 and 13. SARS-CoV-2 antibody responses were present in </w:t>
      </w:r>
      <w:r w:rsidR="00C77BD0">
        <w:t>dams</w:t>
      </w:r>
      <w:r>
        <w:t xml:space="preserve"> from prior to mating to the end of the study on lactation day 21 as well as in </w:t>
      </w:r>
      <w:proofErr w:type="spellStart"/>
      <w:r>
        <w:t>fetuses</w:t>
      </w:r>
      <w:proofErr w:type="spellEnd"/>
      <w:r>
        <w:t xml:space="preserve"> and offspring. There were no vaccine-related adverse effects on female fertility, pregnancy, embryofetal or offspring development or postnatal development. No data are available o</w:t>
      </w:r>
      <w:r w:rsidR="00C77BD0">
        <w:t>n</w:t>
      </w:r>
      <w:r>
        <w:t xml:space="preserve"> </w:t>
      </w:r>
      <w:r w:rsidR="005F49F9">
        <w:t>SPIKEVAX</w:t>
      </w:r>
      <w:r>
        <w:t xml:space="preserve"> vaccine placental transfer or excretion in milk. The effect on male fertility has not been determined.</w:t>
      </w:r>
    </w:p>
    <w:p w14:paraId="3B152094" w14:textId="7786655D" w:rsidR="001A3992" w:rsidRDefault="001A3992" w:rsidP="00DD7C09">
      <w:pPr>
        <w:pStyle w:val="Heading3"/>
      </w:pPr>
      <w:r w:rsidRPr="00B878CC">
        <w:t xml:space="preserve">Use in pregnancy </w:t>
      </w:r>
      <w:r w:rsidR="005B2812" w:rsidRPr="00497C85">
        <w:t xml:space="preserve">– Pregnancy Category </w:t>
      </w:r>
      <w:r w:rsidR="00DA0A41">
        <w:t>B1</w:t>
      </w:r>
    </w:p>
    <w:p w14:paraId="42FEC05B" w14:textId="76240016" w:rsidR="004B19C8" w:rsidRPr="004B19C8" w:rsidRDefault="00405CA9" w:rsidP="004B19C8">
      <w:r w:rsidRPr="00ED588F">
        <w:t xml:space="preserve">A large amount of observational data from pregnant women vaccinated with </w:t>
      </w:r>
      <w:r>
        <w:t xml:space="preserve">SPIKEVAX </w:t>
      </w:r>
      <w:r w:rsidRPr="00ED588F">
        <w:t xml:space="preserve">during the second and third trimester has not shown an increase in adverse pregnancy outcomes. While data on pregnancy outcomes following vaccination during the first trimester are presently limited, no increased risk for miscarriage has been seen. Animal studies do not indicate direct or indirect harmful effects with respect to pregnancy, embryo/foetal development, </w:t>
      </w:r>
      <w:proofErr w:type="gramStart"/>
      <w:r w:rsidRPr="00ED588F">
        <w:t>parturition</w:t>
      </w:r>
      <w:proofErr w:type="gramEnd"/>
      <w:r w:rsidRPr="00ED588F">
        <w:t xml:space="preserve"> or post-natal development (see </w:t>
      </w:r>
      <w:r>
        <w:t>Effects on fertility</w:t>
      </w:r>
      <w:r w:rsidRPr="00ED588F">
        <w:t xml:space="preserve">). </w:t>
      </w:r>
      <w:r>
        <w:t>SPIKEVAX</w:t>
      </w:r>
      <w:r w:rsidRPr="00ED588F">
        <w:t xml:space="preserve"> can be used during pregnancy</w:t>
      </w:r>
      <w:r>
        <w:t>.</w:t>
      </w:r>
    </w:p>
    <w:p w14:paraId="348FAE0D" w14:textId="3FE251A2" w:rsidR="001A3992" w:rsidRDefault="001A3992" w:rsidP="00DD7C09">
      <w:pPr>
        <w:pStyle w:val="Heading3"/>
      </w:pPr>
      <w:r w:rsidRPr="00B878CC">
        <w:t>Use in</w:t>
      </w:r>
      <w:r w:rsidRPr="00164864">
        <w:t xml:space="preserve"> lactation</w:t>
      </w:r>
    </w:p>
    <w:p w14:paraId="1626DAF4" w14:textId="368AF690" w:rsidR="00AB3618" w:rsidRDefault="00405CA9" w:rsidP="000008C4">
      <w:r w:rsidRPr="00ED588F">
        <w:t xml:space="preserve">No effects on the breastfed newborn/infant are anticipated since the systemic exposure of the breastfeeding woman to </w:t>
      </w:r>
      <w:r>
        <w:t>SPIKEVAX</w:t>
      </w:r>
      <w:r w:rsidRPr="00C45071">
        <w:t xml:space="preserve"> </w:t>
      </w:r>
      <w:r w:rsidRPr="00ED588F">
        <w:t xml:space="preserve">is negligible. Observational data from women who were breastfeeding after vaccination have not shown a risk for adverse effects in breastfed newborns/infants. </w:t>
      </w:r>
      <w:r>
        <w:t>SPIKEVAX</w:t>
      </w:r>
      <w:bookmarkStart w:id="5" w:name="_Hlk111621455"/>
      <w:r w:rsidRPr="00ED588F">
        <w:t xml:space="preserve"> </w:t>
      </w:r>
      <w:bookmarkEnd w:id="5"/>
      <w:r w:rsidRPr="00ED588F">
        <w:t>can be used during breastfeeding.</w:t>
      </w:r>
    </w:p>
    <w:p w14:paraId="0714EBDD" w14:textId="0AFF8C80" w:rsidR="001A3992" w:rsidRPr="000008C4" w:rsidRDefault="001A3992" w:rsidP="000008C4">
      <w:pPr>
        <w:pStyle w:val="Heading2"/>
      </w:pPr>
      <w:r w:rsidRPr="000008C4">
        <w:t xml:space="preserve">Effects on ability to drive and use machines </w:t>
      </w:r>
    </w:p>
    <w:p w14:paraId="48A9272B" w14:textId="355D2A14" w:rsidR="005B2812" w:rsidRPr="005B2812" w:rsidRDefault="005F49F9" w:rsidP="005B2812">
      <w:r>
        <w:t>SPIKEVAX</w:t>
      </w:r>
      <w:r w:rsidR="004B19C8">
        <w:t xml:space="preserve"> has no or negligible influence on the ability to drive and use machines. However, some of the effects mentioned under section 4.8</w:t>
      </w:r>
      <w:r w:rsidR="008F77E2" w:rsidRPr="008F77E2">
        <w:t xml:space="preserve"> Adverse Effects (Undesirable Effects)</w:t>
      </w:r>
      <w:r w:rsidR="008F77E2">
        <w:t xml:space="preserve"> </w:t>
      </w:r>
      <w:r w:rsidR="004B19C8">
        <w:t>may temporarily affect the ability to drive or use machines.</w:t>
      </w:r>
    </w:p>
    <w:p w14:paraId="1C508B11" w14:textId="2624982B" w:rsidR="001A3992" w:rsidRDefault="001A3992" w:rsidP="009B748C">
      <w:pPr>
        <w:pStyle w:val="Heading2"/>
        <w:keepNext/>
        <w:keepLines/>
        <w:spacing w:before="0" w:after="120"/>
      </w:pPr>
      <w:r w:rsidRPr="00C13CC7">
        <w:t>Adverse effects (Undesirable effects)</w:t>
      </w:r>
    </w:p>
    <w:p w14:paraId="7F3E2871" w14:textId="24966229" w:rsidR="00D83EFC" w:rsidRPr="000210A4" w:rsidRDefault="00D83EFC" w:rsidP="000210A4">
      <w:pPr>
        <w:pStyle w:val="Heading3"/>
      </w:pPr>
      <w:r w:rsidRPr="000210A4">
        <w:t>Participants 18 years of age and older</w:t>
      </w:r>
    </w:p>
    <w:p w14:paraId="608E0326" w14:textId="52A4A499" w:rsidR="00AC655D" w:rsidRDefault="00AC655D" w:rsidP="005B2812">
      <w:r>
        <w:t xml:space="preserve">The safety of </w:t>
      </w:r>
      <w:r w:rsidR="005F49F9">
        <w:t>SPIKEVAX</w:t>
      </w:r>
      <w:r>
        <w:t xml:space="preserve"> was evaluated in an ongoing Phase 3 randomised, placebo-controlled, observer-blind clinical </w:t>
      </w:r>
      <w:r w:rsidR="00C20C0B">
        <w:t xml:space="preserve">study </w:t>
      </w:r>
      <w:r>
        <w:t xml:space="preserve">conducted in the United States involving 30,351 participants 18 years of age and older who received at least one dose of </w:t>
      </w:r>
      <w:r w:rsidR="005F49F9">
        <w:t>SPIKEVAX</w:t>
      </w:r>
      <w:r>
        <w:t xml:space="preserve"> (n=15,185) or placebo (n=15,166) (</w:t>
      </w:r>
      <w:r w:rsidR="002A1724">
        <w:t xml:space="preserve">Study P301, </w:t>
      </w:r>
      <w:r>
        <w:t xml:space="preserve">NCT04470427). At the time of vaccination, the mean age of the population was 52 years </w:t>
      </w:r>
      <w:r>
        <w:lastRenderedPageBreak/>
        <w:t xml:space="preserve">(range 18-95); 22,831 (75.2%) of participants were 18 to 64 years of age and 7,520 (24.8%) of participants were 65 years of age and older. </w:t>
      </w:r>
    </w:p>
    <w:p w14:paraId="1ADE9034" w14:textId="261A92E6" w:rsidR="00AC655D" w:rsidRDefault="009B730D" w:rsidP="005B2812">
      <w:r w:rsidRPr="009B730D">
        <w:t>Solicited adverse reactions were reported more frequently among vaccine participants than placebo</w:t>
      </w:r>
      <w:r>
        <w:t>.</w:t>
      </w:r>
      <w:r w:rsidRPr="009B730D">
        <w:t xml:space="preserve"> </w:t>
      </w:r>
      <w:r w:rsidR="00AC655D">
        <w:t xml:space="preserve">The most frequently reported adverse reactions were pain at the injection site (92%), fatigue (70%), headache (64.7%), myalgia (61.5%), arthralgia (46.4%), chills (45.4%), nausea/vomiting (23%), axillary swelling/tenderness (19.8%), fever (15.5%), injection site swelling (14.7%) and redness (10%). Adverse reactions were usually mild or moderate in intensity and resolved within a few days after vaccination. A slightly lower frequency of reactogenicity events was associated with greater age. </w:t>
      </w:r>
    </w:p>
    <w:p w14:paraId="1D47526B" w14:textId="17160D30" w:rsidR="00A31655" w:rsidRPr="00D67EB5" w:rsidRDefault="00A31655" w:rsidP="00D67EB5">
      <w:r w:rsidRPr="00D67EB5">
        <w:t>Delayed injection site reactions that began &gt;7 days after vaccination were reported in 1.2% of vaccine recipients and 0.4% of placebo recipients. Delayed injection site reactions included pain, erythema, and swelling</w:t>
      </w:r>
      <w:r w:rsidR="009736BB" w:rsidRPr="00D67EB5">
        <w:t>,</w:t>
      </w:r>
      <w:r w:rsidRPr="00D67EB5">
        <w:t xml:space="preserve"> and are likely related to vaccination.</w:t>
      </w:r>
    </w:p>
    <w:p w14:paraId="58E4B490" w14:textId="392D8285" w:rsidR="00AC655D" w:rsidRDefault="00AC655D" w:rsidP="00981B01">
      <w:pPr>
        <w:spacing w:after="0"/>
      </w:pPr>
      <w:r>
        <w:t>Overall, there was a higher incidence of some adverse reactions in younger age groups: the incidence of axillary swelling/tenderness, fatigue, headache, myalgia, arthralgia, chills, nausea/</w:t>
      </w:r>
      <w:r w:rsidR="00E531D3">
        <w:t>vomiting,</w:t>
      </w:r>
      <w:r>
        <w:t xml:space="preserve"> and fever was higher in adults aged 18 to &lt; 65 years than in those aged 65 years and above. </w:t>
      </w:r>
      <w:r w:rsidR="009B730D" w:rsidRPr="009B730D">
        <w:t xml:space="preserve">Grade 3 solicited local adverse reactions were more frequently reported after Dose 2 than after Dose 1. </w:t>
      </w:r>
      <w:r w:rsidR="009B730D">
        <w:t>S</w:t>
      </w:r>
      <w:r w:rsidR="009B730D" w:rsidRPr="009B730D">
        <w:t>ystemic adverse reactions were reported more frequently by vaccine participants after Dose 2 than after Dose 1. Grade 3 systemic adverse reactions (fatigue, myalgia, arthralgia, and headache) were reported more frequently after Dose 2 than after Dose 1</w:t>
      </w:r>
      <w:r w:rsidR="009B730D">
        <w:t>.</w:t>
      </w:r>
    </w:p>
    <w:p w14:paraId="28711143" w14:textId="2195F22E" w:rsidR="00AC655D" w:rsidRDefault="00AC655D" w:rsidP="00981B01">
      <w:pPr>
        <w:spacing w:after="0" w:line="240" w:lineRule="auto"/>
      </w:pPr>
    </w:p>
    <w:p w14:paraId="0855564F" w14:textId="77777777" w:rsidR="0030113B" w:rsidRDefault="0030113B" w:rsidP="0030113B">
      <w:pPr>
        <w:pStyle w:val="Heading3"/>
      </w:pPr>
      <w:r>
        <w:t>Immunocompromised participants 18 years of age and older</w:t>
      </w:r>
    </w:p>
    <w:p w14:paraId="442654AA" w14:textId="78DBE087" w:rsidR="0030113B" w:rsidRDefault="0030113B" w:rsidP="00DE4960">
      <w:pPr>
        <w:spacing w:line="240" w:lineRule="auto"/>
      </w:pPr>
      <w:r w:rsidRPr="00F315DE">
        <w:rPr>
          <w:rFonts w:cstheme="minorHAnsi"/>
          <w:lang w:val="en-US"/>
        </w:rPr>
        <w:t>From an independent report (</w:t>
      </w:r>
      <w:r w:rsidRPr="00F315DE">
        <w:rPr>
          <w:rFonts w:cstheme="minorHAnsi"/>
          <w:i/>
          <w:iCs/>
          <w:lang w:val="en-US"/>
        </w:rPr>
        <w:t xml:space="preserve">Hall VG, Ferreira VH, Ku T et al. Randomized Trial of a Third Dose of mRNA-1273 Vaccine in Transplant Recipients. N </w:t>
      </w:r>
      <w:proofErr w:type="spellStart"/>
      <w:r w:rsidRPr="00F315DE">
        <w:rPr>
          <w:rFonts w:cstheme="minorHAnsi"/>
          <w:i/>
          <w:iCs/>
          <w:lang w:val="en-US"/>
        </w:rPr>
        <w:t>Engl</w:t>
      </w:r>
      <w:proofErr w:type="spellEnd"/>
      <w:r w:rsidRPr="00F315DE">
        <w:rPr>
          <w:rFonts w:cstheme="minorHAnsi"/>
          <w:i/>
          <w:iCs/>
          <w:lang w:val="en-US"/>
        </w:rPr>
        <w:t xml:space="preserve"> J Med</w:t>
      </w:r>
      <w:r w:rsidRPr="00F315DE">
        <w:rPr>
          <w:rFonts w:cstheme="minorHAnsi"/>
          <w:lang w:val="en-US"/>
        </w:rPr>
        <w:t xml:space="preserve">) </w:t>
      </w:r>
      <w:r w:rsidRPr="00F315DE">
        <w:rPr>
          <w:rFonts w:cstheme="minorHAnsi"/>
        </w:rPr>
        <w:t xml:space="preserve">in 60 participants who had undergone various solid organ transplant procedures (heart, kidney, kidney-pancreas, liver, lung, pancreas) a median of 3.57 years previously (range 1.99-6.75 years) who received a third vaccine dose, the adverse event profile was </w:t>
      </w:r>
      <w:proofErr w:type="gramStart"/>
      <w:r w:rsidRPr="00F315DE">
        <w:rPr>
          <w:rFonts w:cstheme="minorHAnsi"/>
        </w:rPr>
        <w:t>similar to</w:t>
      </w:r>
      <w:proofErr w:type="gramEnd"/>
      <w:r w:rsidRPr="00F315DE">
        <w:rPr>
          <w:rFonts w:cstheme="minorHAnsi"/>
        </w:rPr>
        <w:t xml:space="preserve"> that after the second dose and no grade 3 or grade 4 events were reported.</w:t>
      </w:r>
    </w:p>
    <w:p w14:paraId="32F4D64C" w14:textId="77777777" w:rsidR="00D83EFC" w:rsidRPr="00726CAF" w:rsidRDefault="00D83EFC" w:rsidP="000210A4">
      <w:pPr>
        <w:pStyle w:val="Heading3"/>
        <w:rPr>
          <w:lang w:val="en-US" w:eastAsia="ja-JP"/>
        </w:rPr>
      </w:pPr>
      <w:r w:rsidRPr="00726CAF">
        <w:rPr>
          <w:lang w:val="en-US" w:eastAsia="ja-JP"/>
        </w:rPr>
        <w:t xml:space="preserve">Adolescents 12 </w:t>
      </w:r>
      <w:r>
        <w:rPr>
          <w:lang w:val="en-US" w:eastAsia="ja-JP"/>
        </w:rPr>
        <w:t>-</w:t>
      </w:r>
      <w:r w:rsidRPr="00726CAF">
        <w:rPr>
          <w:lang w:val="en-US" w:eastAsia="ja-JP"/>
        </w:rPr>
        <w:t>17 years of age</w:t>
      </w:r>
    </w:p>
    <w:p w14:paraId="102F19A9" w14:textId="77777777" w:rsidR="00D25C2A" w:rsidRDefault="00D83EFC" w:rsidP="00D83EFC">
      <w:pPr>
        <w:spacing w:line="240" w:lineRule="auto"/>
        <w:rPr>
          <w:rFonts w:cstheme="minorHAnsi"/>
          <w:kern w:val="24"/>
          <w:lang w:val="en-US" w:eastAsia="ja-JP"/>
        </w:rPr>
      </w:pPr>
      <w:r w:rsidRPr="00C20C0B">
        <w:rPr>
          <w:rFonts w:cstheme="minorHAnsi"/>
        </w:rPr>
        <w:t xml:space="preserve">Safety data for </w:t>
      </w:r>
      <w:r w:rsidR="001C0A66">
        <w:rPr>
          <w:rFonts w:cstheme="minorHAnsi"/>
        </w:rPr>
        <w:t>SPIKEVAX</w:t>
      </w:r>
      <w:r w:rsidRPr="00C20C0B">
        <w:rPr>
          <w:rFonts w:cstheme="minorHAnsi"/>
        </w:rPr>
        <w:t xml:space="preserve"> in adolescents were collected in an ongoing Phase 2/3 randomised, placebo-controlled, observer-blind clinical study conducted in the United States involving </w:t>
      </w:r>
      <w:r w:rsidRPr="00C20C0B">
        <w:rPr>
          <w:rFonts w:cstheme="minorHAnsi"/>
          <w:kern w:val="24"/>
          <w:lang w:val="en-US" w:eastAsia="ja-JP"/>
        </w:rPr>
        <w:t xml:space="preserve">3,726 participants 12 through 17 years of age who received at least one dose of </w:t>
      </w:r>
      <w:r w:rsidR="001C0A66">
        <w:rPr>
          <w:rFonts w:cstheme="minorHAnsi"/>
          <w:kern w:val="24"/>
          <w:lang w:val="en-US" w:eastAsia="ja-JP"/>
        </w:rPr>
        <w:t xml:space="preserve">SPIKEVAX </w:t>
      </w:r>
      <w:r w:rsidRPr="00C20C0B">
        <w:rPr>
          <w:rFonts w:cstheme="minorHAnsi"/>
          <w:kern w:val="24"/>
          <w:lang w:val="en-US" w:eastAsia="ja-JP"/>
        </w:rPr>
        <w:t>(n=2,486) or placebo (n=1,240) (</w:t>
      </w:r>
      <w:r w:rsidR="002A1724">
        <w:rPr>
          <w:rFonts w:cstheme="minorHAnsi"/>
          <w:kern w:val="24"/>
          <w:lang w:val="en-US" w:eastAsia="ja-JP"/>
        </w:rPr>
        <w:t xml:space="preserve">Study P203, </w:t>
      </w:r>
      <w:r w:rsidRPr="00C20C0B">
        <w:rPr>
          <w:rFonts w:cstheme="minorHAnsi"/>
        </w:rPr>
        <w:t>NCT04649151</w:t>
      </w:r>
      <w:r w:rsidRPr="00A947DD">
        <w:rPr>
          <w:rFonts w:cstheme="minorHAnsi"/>
          <w:kern w:val="24"/>
          <w:lang w:val="en-US" w:eastAsia="ja-JP"/>
        </w:rPr>
        <w:t xml:space="preserve">). </w:t>
      </w:r>
      <w:r w:rsidR="00D25C2A" w:rsidRPr="00D25C2A">
        <w:rPr>
          <w:rFonts w:cstheme="minorHAnsi"/>
          <w:kern w:val="24"/>
          <w:lang w:val="en-US" w:eastAsia="ja-JP"/>
        </w:rPr>
        <w:t>Overall, 51.4% were male, 48.6% were female, 11.6% were Hispanic or Latino, 83.9% were White, 3.4% were African American, 5.9% were Asian, 0.5% were American Indian or Alaska Native, &lt;0.1% were Native Hawaiian or Pacific Islander, 1.0% were other races, and 4.5% were multiracial.</w:t>
      </w:r>
      <w:r w:rsidR="00D25C2A">
        <w:rPr>
          <w:rFonts w:cstheme="minorHAnsi"/>
          <w:kern w:val="24"/>
          <w:lang w:val="en-US" w:eastAsia="ja-JP"/>
        </w:rPr>
        <w:t xml:space="preserve"> </w:t>
      </w:r>
      <w:r w:rsidR="00D25C2A" w:rsidRPr="00A947DD">
        <w:rPr>
          <w:rFonts w:cstheme="minorHAnsi"/>
          <w:kern w:val="24"/>
          <w:lang w:val="en-US" w:eastAsia="ja-JP"/>
        </w:rPr>
        <w:t xml:space="preserve">Demographic characteristics were similar among participants who received </w:t>
      </w:r>
      <w:r w:rsidR="00D25C2A">
        <w:rPr>
          <w:rFonts w:cstheme="minorHAnsi"/>
          <w:kern w:val="24"/>
          <w:lang w:val="en-US" w:eastAsia="ja-JP"/>
        </w:rPr>
        <w:t xml:space="preserve">SPIKEVAX </w:t>
      </w:r>
      <w:r w:rsidR="00D25C2A" w:rsidRPr="002112DD">
        <w:rPr>
          <w:rFonts w:cstheme="minorHAnsi"/>
          <w:kern w:val="24"/>
          <w:lang w:val="en-US" w:eastAsia="ja-JP"/>
        </w:rPr>
        <w:t>and those who received placebo.</w:t>
      </w:r>
    </w:p>
    <w:p w14:paraId="75CDE38B" w14:textId="371EE956" w:rsidR="00D83EFC" w:rsidRDefault="00F52B1B" w:rsidP="00D83EFC">
      <w:pPr>
        <w:spacing w:line="240" w:lineRule="auto"/>
        <w:rPr>
          <w:rFonts w:cstheme="minorHAnsi"/>
          <w:kern w:val="24"/>
          <w:lang w:val="en-US" w:eastAsia="ja-JP"/>
        </w:rPr>
      </w:pPr>
      <w:r w:rsidRPr="00F52B1B">
        <w:rPr>
          <w:rFonts w:cstheme="minorHAnsi"/>
          <w:kern w:val="24"/>
          <w:lang w:val="en-US" w:eastAsia="ja-JP"/>
        </w:rPr>
        <w:t xml:space="preserve">In the </w:t>
      </w:r>
      <w:r w:rsidR="009701D1">
        <w:rPr>
          <w:rFonts w:cstheme="minorHAnsi"/>
          <w:kern w:val="24"/>
          <w:lang w:val="en-US" w:eastAsia="ja-JP"/>
        </w:rPr>
        <w:t>SPIKEVAX</w:t>
      </w:r>
      <w:r w:rsidRPr="00F52B1B">
        <w:rPr>
          <w:rFonts w:cstheme="minorHAnsi"/>
          <w:kern w:val="24"/>
          <w:lang w:val="en-US" w:eastAsia="ja-JP"/>
        </w:rPr>
        <w:t xml:space="preserve"> group and the placebo group, the median follow-up time after the second injection was 53 days and 51 days</w:t>
      </w:r>
      <w:r w:rsidR="00406284">
        <w:rPr>
          <w:rFonts w:cstheme="minorHAnsi"/>
          <w:kern w:val="24"/>
          <w:lang w:val="en-US" w:eastAsia="ja-JP"/>
        </w:rPr>
        <w:t>, respectively</w:t>
      </w:r>
      <w:r w:rsidR="00CE68BD">
        <w:rPr>
          <w:rFonts w:cstheme="minorHAnsi"/>
          <w:kern w:val="24"/>
          <w:lang w:val="en-US" w:eastAsia="ja-JP"/>
        </w:rPr>
        <w:t>.</w:t>
      </w:r>
      <w:r w:rsidRPr="00F52B1B">
        <w:rPr>
          <w:rFonts w:cstheme="minorHAnsi"/>
          <w:kern w:val="24"/>
          <w:lang w:val="en-US" w:eastAsia="ja-JP"/>
        </w:rPr>
        <w:t xml:space="preserve"> </w:t>
      </w:r>
    </w:p>
    <w:p w14:paraId="531F0851" w14:textId="41D6314B" w:rsidR="006B19C0" w:rsidRPr="00C20C0B" w:rsidRDefault="00D25C2A" w:rsidP="00D83EFC">
      <w:pPr>
        <w:spacing w:line="240" w:lineRule="auto"/>
        <w:rPr>
          <w:rFonts w:cstheme="minorHAnsi"/>
        </w:rPr>
      </w:pPr>
      <w:r>
        <w:rPr>
          <w:rFonts w:cstheme="minorHAnsi"/>
        </w:rPr>
        <w:t>In a clinical study, t</w:t>
      </w:r>
      <w:r w:rsidR="006B19C0" w:rsidRPr="006B19C0">
        <w:rPr>
          <w:rFonts w:cstheme="minorHAnsi"/>
        </w:rPr>
        <w:t xml:space="preserve">he most frequent adverse reactions in adolescents 12 to 17 years of age were injection site pain (97%), headache (78%), fatigue (75%), myalgia (54%), chills (49%), axillary </w:t>
      </w:r>
      <w:r w:rsidR="006B19C0" w:rsidRPr="006B19C0">
        <w:rPr>
          <w:rFonts w:cstheme="minorHAnsi"/>
        </w:rPr>
        <w:lastRenderedPageBreak/>
        <w:t>swelling/tenderness (35%), arthralgia (35%), nausea/vomiting (29%), injection site swelling (28%), injection site erythema (26%), and fever (14%).</w:t>
      </w:r>
    </w:p>
    <w:p w14:paraId="3AAA57C5" w14:textId="288C31C8" w:rsidR="009E4C46" w:rsidRPr="009E4C46" w:rsidRDefault="009E4C46" w:rsidP="009E4C46">
      <w:pPr>
        <w:pStyle w:val="Heading3"/>
      </w:pPr>
      <w:r w:rsidRPr="0030113B">
        <w:t>Children</w:t>
      </w:r>
      <w:r w:rsidRPr="009E4C46">
        <w:t xml:space="preserve"> 6</w:t>
      </w:r>
      <w:r w:rsidR="002A4FAF">
        <w:t xml:space="preserve"> years</w:t>
      </w:r>
      <w:r w:rsidRPr="009E4C46">
        <w:t xml:space="preserve"> through 11 years of age</w:t>
      </w:r>
    </w:p>
    <w:p w14:paraId="7D9E8AE5" w14:textId="5BD164EC" w:rsidR="00F65B8E" w:rsidRDefault="009E4C46" w:rsidP="009E4C46">
      <w:pPr>
        <w:spacing w:line="240" w:lineRule="auto"/>
        <w:rPr>
          <w:rFonts w:cstheme="minorHAnsi"/>
        </w:rPr>
      </w:pPr>
      <w:r w:rsidRPr="009E4C46">
        <w:rPr>
          <w:rFonts w:cstheme="minorHAnsi"/>
        </w:rPr>
        <w:t xml:space="preserve">Safety data for </w:t>
      </w:r>
      <w:r>
        <w:rPr>
          <w:rFonts w:cstheme="minorHAnsi"/>
        </w:rPr>
        <w:t>SPIKEVAX</w:t>
      </w:r>
      <w:r w:rsidRPr="009E4C46">
        <w:rPr>
          <w:rFonts w:cstheme="minorHAnsi"/>
        </w:rPr>
        <w:t xml:space="preserve"> in children were collected in an ongoing Phase 2/3 two-part randomised, observer-blind clinical trial conducted in the United States and Canada (</w:t>
      </w:r>
      <w:r w:rsidR="00A24F8B">
        <w:rPr>
          <w:rFonts w:cstheme="minorHAnsi"/>
        </w:rPr>
        <w:t xml:space="preserve">P204, </w:t>
      </w:r>
      <w:r w:rsidRPr="009E4C46">
        <w:rPr>
          <w:rFonts w:cstheme="minorHAnsi"/>
        </w:rPr>
        <w:t xml:space="preserve">NCT04796896). Part 1 is an open-label phase of the trial for safety, dose selection, and immunogenicity and included </w:t>
      </w:r>
      <w:r w:rsidRPr="002A60AF">
        <w:rPr>
          <w:rFonts w:cstheme="minorHAnsi"/>
        </w:rPr>
        <w:t>380</w:t>
      </w:r>
      <w:r w:rsidRPr="009E4C46">
        <w:rPr>
          <w:rFonts w:cstheme="minorHAnsi"/>
        </w:rPr>
        <w:t xml:space="preserve"> participants 6 through 11 years of age who received at least 1 dose (0.25 mL) of </w:t>
      </w:r>
      <w:r>
        <w:rPr>
          <w:rFonts w:cstheme="minorHAnsi"/>
        </w:rPr>
        <w:t>SPIKEVAX</w:t>
      </w:r>
      <w:r w:rsidRPr="009E4C46">
        <w:rPr>
          <w:rFonts w:cstheme="minorHAnsi"/>
        </w:rPr>
        <w:t xml:space="preserve">. Part 2 is the placebo-controlled phase for safety and included </w:t>
      </w:r>
      <w:r w:rsidRPr="00826B32">
        <w:rPr>
          <w:rFonts w:cstheme="minorHAnsi"/>
        </w:rPr>
        <w:t>4,002</w:t>
      </w:r>
      <w:r w:rsidRPr="009E4C46">
        <w:rPr>
          <w:rFonts w:cstheme="minorHAnsi"/>
        </w:rPr>
        <w:t xml:space="preserve"> participants 6 through 11 years of age who received at least one dose (0.25 mL) of </w:t>
      </w:r>
      <w:r>
        <w:rPr>
          <w:rFonts w:cstheme="minorHAnsi"/>
        </w:rPr>
        <w:t>SPIKEVAX</w:t>
      </w:r>
      <w:r w:rsidRPr="009E4C46">
        <w:rPr>
          <w:rFonts w:cstheme="minorHAnsi"/>
        </w:rPr>
        <w:t xml:space="preserve"> (n=</w:t>
      </w:r>
      <w:r w:rsidRPr="00826B32">
        <w:rPr>
          <w:rFonts w:cstheme="minorHAnsi"/>
        </w:rPr>
        <w:t>3,007</w:t>
      </w:r>
      <w:r w:rsidRPr="009E4C46">
        <w:rPr>
          <w:rFonts w:cstheme="minorHAnsi"/>
        </w:rPr>
        <w:t>) or placebo (n=</w:t>
      </w:r>
      <w:r w:rsidRPr="00826B32">
        <w:rPr>
          <w:rFonts w:cstheme="minorHAnsi"/>
        </w:rPr>
        <w:t>995</w:t>
      </w:r>
      <w:r w:rsidRPr="009E4C46">
        <w:rPr>
          <w:rFonts w:cstheme="minorHAnsi"/>
        </w:rPr>
        <w:t>).</w:t>
      </w:r>
      <w:r w:rsidR="0018008D">
        <w:rPr>
          <w:rFonts w:cstheme="minorHAnsi"/>
        </w:rPr>
        <w:t xml:space="preserve"> </w:t>
      </w:r>
      <w:r w:rsidR="00F65B8E" w:rsidRPr="00F65B8E">
        <w:rPr>
          <w:rFonts w:cstheme="minorHAnsi"/>
        </w:rPr>
        <w:t>In Part 2, the median follow</w:t>
      </w:r>
      <w:r w:rsidR="002365EF">
        <w:rPr>
          <w:rFonts w:cstheme="minorHAnsi"/>
        </w:rPr>
        <w:t>-</w:t>
      </w:r>
      <w:r w:rsidR="00F65B8E" w:rsidRPr="00F65B8E">
        <w:rPr>
          <w:rFonts w:cstheme="minorHAnsi"/>
        </w:rPr>
        <w:t xml:space="preserve">up duration was </w:t>
      </w:r>
      <w:r w:rsidR="00711F7E">
        <w:rPr>
          <w:rFonts w:cstheme="minorHAnsi"/>
        </w:rPr>
        <w:t>82</w:t>
      </w:r>
      <w:r w:rsidR="00F65B8E" w:rsidRPr="00F65B8E">
        <w:rPr>
          <w:rFonts w:cstheme="minorHAnsi"/>
        </w:rPr>
        <w:t xml:space="preserve"> days after dose 1 and </w:t>
      </w:r>
      <w:r w:rsidR="009E18A1">
        <w:rPr>
          <w:rFonts w:cstheme="minorHAnsi"/>
        </w:rPr>
        <w:t>51</w:t>
      </w:r>
      <w:r w:rsidR="00F65B8E" w:rsidRPr="00F65B8E">
        <w:rPr>
          <w:rFonts w:cstheme="minorHAnsi"/>
        </w:rPr>
        <w:t xml:space="preserve"> days after dose 2. A total of </w:t>
      </w:r>
      <w:r w:rsidR="00F30266">
        <w:rPr>
          <w:rFonts w:cstheme="minorHAnsi"/>
        </w:rPr>
        <w:t>2981</w:t>
      </w:r>
      <w:r w:rsidR="00BA582E">
        <w:rPr>
          <w:rFonts w:cstheme="minorHAnsi"/>
        </w:rPr>
        <w:t xml:space="preserve"> (99.1%)</w:t>
      </w:r>
      <w:r w:rsidR="00F65B8E" w:rsidRPr="00F65B8E">
        <w:rPr>
          <w:rFonts w:cstheme="minorHAnsi"/>
        </w:rPr>
        <w:t xml:space="preserve"> subjects in the mRNA-1273 group and </w:t>
      </w:r>
      <w:r w:rsidR="00BA582E" w:rsidRPr="002A60AF">
        <w:rPr>
          <w:rFonts w:cstheme="minorHAnsi"/>
        </w:rPr>
        <w:t>966</w:t>
      </w:r>
      <w:r w:rsidR="00F65B8E" w:rsidRPr="002A60AF">
        <w:rPr>
          <w:rFonts w:cstheme="minorHAnsi"/>
        </w:rPr>
        <w:t xml:space="preserve"> (</w:t>
      </w:r>
      <w:r w:rsidR="00BA582E" w:rsidRPr="002A60AF">
        <w:rPr>
          <w:rFonts w:cstheme="minorHAnsi"/>
        </w:rPr>
        <w:t>97.1</w:t>
      </w:r>
      <w:r w:rsidR="00F65B8E" w:rsidRPr="002A60AF">
        <w:rPr>
          <w:rFonts w:cstheme="minorHAnsi"/>
        </w:rPr>
        <w:t>%)</w:t>
      </w:r>
      <w:r w:rsidR="00F65B8E" w:rsidRPr="00F65B8E">
        <w:rPr>
          <w:rFonts w:cstheme="minorHAnsi"/>
        </w:rPr>
        <w:t xml:space="preserve"> in the placebo group have been followed for </w:t>
      </w:r>
      <w:r w:rsidR="00BA582E">
        <w:rPr>
          <w:rFonts w:cstheme="minorHAnsi"/>
        </w:rPr>
        <w:t>28</w:t>
      </w:r>
      <w:r w:rsidR="00F65B8E" w:rsidRPr="00F65B8E">
        <w:rPr>
          <w:rFonts w:cstheme="minorHAnsi"/>
        </w:rPr>
        <w:t xml:space="preserve"> days or more after dose 2. A total </w:t>
      </w:r>
      <w:r w:rsidR="00F65B8E" w:rsidRPr="002A60AF">
        <w:rPr>
          <w:rFonts w:cstheme="minorHAnsi"/>
        </w:rPr>
        <w:t xml:space="preserve">of </w:t>
      </w:r>
      <w:r w:rsidR="00957FBC" w:rsidRPr="002A60AF">
        <w:rPr>
          <w:rFonts w:cstheme="minorHAnsi"/>
        </w:rPr>
        <w:t>1,066</w:t>
      </w:r>
      <w:r w:rsidR="00F65B8E" w:rsidRPr="002A60AF">
        <w:rPr>
          <w:rFonts w:cstheme="minorHAnsi"/>
        </w:rPr>
        <w:t xml:space="preserve"> (</w:t>
      </w:r>
      <w:r w:rsidR="00957FBC" w:rsidRPr="002A60AF">
        <w:rPr>
          <w:rFonts w:cstheme="minorHAnsi"/>
        </w:rPr>
        <w:t>35.3</w:t>
      </w:r>
      <w:r w:rsidR="00F65B8E" w:rsidRPr="002A60AF">
        <w:rPr>
          <w:rFonts w:cstheme="minorHAnsi"/>
        </w:rPr>
        <w:t>%)</w:t>
      </w:r>
      <w:r w:rsidR="00F65B8E" w:rsidRPr="00F65B8E">
        <w:rPr>
          <w:rFonts w:cstheme="minorHAnsi"/>
        </w:rPr>
        <w:t xml:space="preserve"> subjects in the mRNA-1273 group and </w:t>
      </w:r>
      <w:r w:rsidR="005313B6" w:rsidRPr="002A60AF">
        <w:rPr>
          <w:rFonts w:cstheme="minorHAnsi"/>
        </w:rPr>
        <w:t>218</w:t>
      </w:r>
      <w:r w:rsidR="00F65B8E" w:rsidRPr="002A60AF">
        <w:rPr>
          <w:rFonts w:cstheme="minorHAnsi"/>
        </w:rPr>
        <w:t xml:space="preserve"> (</w:t>
      </w:r>
      <w:r w:rsidR="005313B6" w:rsidRPr="002A60AF">
        <w:rPr>
          <w:rFonts w:cstheme="minorHAnsi"/>
        </w:rPr>
        <w:t>21.9</w:t>
      </w:r>
      <w:r w:rsidR="00F65B8E" w:rsidRPr="002A60AF">
        <w:rPr>
          <w:rFonts w:cstheme="minorHAnsi"/>
        </w:rPr>
        <w:t xml:space="preserve">%) in the placebo group have been followed for </w:t>
      </w:r>
      <w:r w:rsidR="005313B6" w:rsidRPr="002A60AF">
        <w:rPr>
          <w:rFonts w:cstheme="minorHAnsi"/>
        </w:rPr>
        <w:t>56</w:t>
      </w:r>
      <w:r w:rsidR="00F65B8E" w:rsidRPr="002A60AF">
        <w:rPr>
          <w:rFonts w:cstheme="minorHAnsi"/>
        </w:rPr>
        <w:t xml:space="preserve"> days</w:t>
      </w:r>
      <w:r w:rsidR="00F65B8E" w:rsidRPr="00156625">
        <w:rPr>
          <w:rFonts w:cstheme="minorHAnsi"/>
        </w:rPr>
        <w:t xml:space="preserve"> or more after dose 2. </w:t>
      </w:r>
    </w:p>
    <w:p w14:paraId="33F5F516" w14:textId="775E743F" w:rsidR="009E4C46" w:rsidRPr="009E4C46" w:rsidRDefault="009E4C46" w:rsidP="009E4C46">
      <w:pPr>
        <w:spacing w:line="240" w:lineRule="auto"/>
        <w:rPr>
          <w:rFonts w:cstheme="minorHAnsi"/>
        </w:rPr>
      </w:pPr>
      <w:r w:rsidRPr="009E4C46">
        <w:rPr>
          <w:rFonts w:cstheme="minorHAnsi"/>
        </w:rPr>
        <w:t xml:space="preserve">No participants in Part 1 participated in Part 2. Demographic characteristics were similar among participants who received </w:t>
      </w:r>
      <w:r>
        <w:rPr>
          <w:rFonts w:cstheme="minorHAnsi"/>
        </w:rPr>
        <w:t>SPIKEVAX</w:t>
      </w:r>
      <w:r w:rsidRPr="009E4C46">
        <w:rPr>
          <w:rFonts w:cstheme="minorHAnsi"/>
        </w:rPr>
        <w:t xml:space="preserve"> and those who received placebo.</w:t>
      </w:r>
    </w:p>
    <w:p w14:paraId="21D06665" w14:textId="102A78FA" w:rsidR="00A13921" w:rsidRDefault="009E4C46" w:rsidP="00CE00DF">
      <w:pPr>
        <w:spacing w:line="240" w:lineRule="auto"/>
        <w:rPr>
          <w:rFonts w:cstheme="minorHAnsi"/>
        </w:rPr>
      </w:pPr>
      <w:r w:rsidRPr="009E4C46">
        <w:rPr>
          <w:rFonts w:cstheme="minorHAnsi"/>
        </w:rPr>
        <w:t xml:space="preserve">The most frequent adverse reactions in children 6 through 11 years of age following administration of the primary series </w:t>
      </w:r>
      <w:r w:rsidRPr="00B02CFF">
        <w:rPr>
          <w:rFonts w:cstheme="minorHAnsi"/>
        </w:rPr>
        <w:t>were injection site pain (</w:t>
      </w:r>
      <w:r w:rsidR="00276947" w:rsidRPr="004F259A">
        <w:rPr>
          <w:rFonts w:cstheme="minorHAnsi"/>
        </w:rPr>
        <w:t>94.8</w:t>
      </w:r>
      <w:r w:rsidRPr="004F259A">
        <w:rPr>
          <w:rFonts w:cstheme="minorHAnsi"/>
        </w:rPr>
        <w:t>%), fatigue (</w:t>
      </w:r>
      <w:r w:rsidR="007F7509" w:rsidRPr="004F259A">
        <w:rPr>
          <w:rFonts w:cstheme="minorHAnsi"/>
        </w:rPr>
        <w:t>64.5</w:t>
      </w:r>
      <w:r w:rsidRPr="004F259A">
        <w:rPr>
          <w:rFonts w:cstheme="minorHAnsi"/>
        </w:rPr>
        <w:t>%), headache (</w:t>
      </w:r>
      <w:r w:rsidR="00871A56" w:rsidRPr="004F259A">
        <w:rPr>
          <w:rFonts w:cstheme="minorHAnsi"/>
        </w:rPr>
        <w:t>54.3</w:t>
      </w:r>
      <w:r w:rsidRPr="004F259A">
        <w:rPr>
          <w:rFonts w:cstheme="minorHAnsi"/>
        </w:rPr>
        <w:t xml:space="preserve">%), </w:t>
      </w:r>
      <w:r w:rsidR="00B13031" w:rsidRPr="004F259A">
        <w:rPr>
          <w:rFonts w:cstheme="minorHAnsi"/>
        </w:rPr>
        <w:t>chills (30.3%),</w:t>
      </w:r>
      <w:r w:rsidR="00B13031">
        <w:rPr>
          <w:rFonts w:cstheme="minorHAnsi"/>
        </w:rPr>
        <w:t xml:space="preserve"> </w:t>
      </w:r>
      <w:r w:rsidRPr="004F259A">
        <w:rPr>
          <w:rFonts w:cstheme="minorHAnsi"/>
        </w:rPr>
        <w:t>myalgia (</w:t>
      </w:r>
      <w:r w:rsidR="00382A17" w:rsidRPr="004F259A">
        <w:rPr>
          <w:rFonts w:cstheme="minorHAnsi"/>
        </w:rPr>
        <w:t>28</w:t>
      </w:r>
      <w:r w:rsidRPr="004F259A">
        <w:rPr>
          <w:rFonts w:cstheme="minorHAnsi"/>
        </w:rPr>
        <w:t>.2%), nausea/vomiting (</w:t>
      </w:r>
      <w:r w:rsidR="002114CC" w:rsidRPr="004F259A">
        <w:rPr>
          <w:rFonts w:cstheme="minorHAnsi"/>
        </w:rPr>
        <w:t>24</w:t>
      </w:r>
      <w:r w:rsidRPr="004F259A">
        <w:rPr>
          <w:rFonts w:cstheme="minorHAnsi"/>
        </w:rPr>
        <w:t xml:space="preserve">%), </w:t>
      </w:r>
      <w:r w:rsidR="00B13031" w:rsidRPr="004F259A">
        <w:rPr>
          <w:rFonts w:cstheme="minorHAnsi"/>
        </w:rPr>
        <w:t>fever (23.9%), injection site erythema (18.7%),</w:t>
      </w:r>
      <w:r w:rsidR="00B13031">
        <w:rPr>
          <w:rFonts w:cstheme="minorHAnsi"/>
        </w:rPr>
        <w:t xml:space="preserve"> </w:t>
      </w:r>
      <w:r w:rsidRPr="004F259A">
        <w:rPr>
          <w:rFonts w:cstheme="minorHAnsi"/>
        </w:rPr>
        <w:t>axillary swelling/tenderness (</w:t>
      </w:r>
      <w:r w:rsidR="00B76948" w:rsidRPr="004F259A">
        <w:rPr>
          <w:rFonts w:cstheme="minorHAnsi"/>
        </w:rPr>
        <w:t>18</w:t>
      </w:r>
      <w:r w:rsidRPr="004F259A">
        <w:rPr>
          <w:rFonts w:cstheme="minorHAnsi"/>
        </w:rPr>
        <w:t>%), injection site swelling (</w:t>
      </w:r>
      <w:r w:rsidR="00A832F2" w:rsidRPr="004F259A">
        <w:rPr>
          <w:rFonts w:cstheme="minorHAnsi"/>
        </w:rPr>
        <w:t>17</w:t>
      </w:r>
      <w:r w:rsidRPr="004F259A">
        <w:rPr>
          <w:rFonts w:cstheme="minorHAnsi"/>
        </w:rPr>
        <w:t>%), and arthralgia (</w:t>
      </w:r>
      <w:r w:rsidR="00522A61" w:rsidRPr="00B02CFF">
        <w:rPr>
          <w:rFonts w:cstheme="minorHAnsi"/>
        </w:rPr>
        <w:t>16.1</w:t>
      </w:r>
      <w:r w:rsidRPr="00B02CFF">
        <w:rPr>
          <w:rFonts w:cstheme="minorHAnsi"/>
        </w:rPr>
        <w:t>%).</w:t>
      </w:r>
      <w:r w:rsidR="00316855">
        <w:rPr>
          <w:rFonts w:cstheme="minorHAnsi"/>
        </w:rPr>
        <w:t xml:space="preserve"> </w:t>
      </w:r>
      <w:r w:rsidR="00A13921" w:rsidRPr="00A13921">
        <w:rPr>
          <w:rFonts w:cstheme="minorHAnsi"/>
        </w:rPr>
        <w:t>While fever rates were observed to be higher among children</w:t>
      </w:r>
      <w:r w:rsidR="00A13921">
        <w:rPr>
          <w:rFonts w:cstheme="minorHAnsi"/>
        </w:rPr>
        <w:t xml:space="preserve"> </w:t>
      </w:r>
      <w:r w:rsidR="00A13921" w:rsidRPr="00A13921">
        <w:rPr>
          <w:rFonts w:cstheme="minorHAnsi"/>
        </w:rPr>
        <w:t xml:space="preserve">6 to &lt; 12 years old (23.9%) when compared to </w:t>
      </w:r>
      <w:r w:rsidR="00A13921">
        <w:rPr>
          <w:rFonts w:cstheme="minorHAnsi"/>
        </w:rPr>
        <w:t>18 to &lt;</w:t>
      </w:r>
      <w:proofErr w:type="gramStart"/>
      <w:r w:rsidR="00A13921">
        <w:rPr>
          <w:rFonts w:cstheme="minorHAnsi"/>
        </w:rPr>
        <w:t xml:space="preserve">25 year </w:t>
      </w:r>
      <w:proofErr w:type="spellStart"/>
      <w:r w:rsidR="00A13921">
        <w:rPr>
          <w:rFonts w:cstheme="minorHAnsi"/>
        </w:rPr>
        <w:t>old</w:t>
      </w:r>
      <w:r w:rsidR="001D2590">
        <w:rPr>
          <w:rFonts w:cstheme="minorHAnsi"/>
        </w:rPr>
        <w:t>s</w:t>
      </w:r>
      <w:proofErr w:type="spellEnd"/>
      <w:proofErr w:type="gramEnd"/>
      <w:r w:rsidR="00A13921">
        <w:rPr>
          <w:rFonts w:cstheme="minorHAnsi"/>
        </w:rPr>
        <w:t xml:space="preserve"> (18.1%), they were found to be </w:t>
      </w:r>
      <w:r w:rsidR="00A13921" w:rsidRPr="00A13921">
        <w:rPr>
          <w:rFonts w:cstheme="minorHAnsi"/>
        </w:rPr>
        <w:t>generally of short duration (&lt;24 hours</w:t>
      </w:r>
      <w:r w:rsidR="00A13921">
        <w:rPr>
          <w:rFonts w:cstheme="minorHAnsi"/>
        </w:rPr>
        <w:t>).</w:t>
      </w:r>
      <w:r w:rsidR="00A13921" w:rsidRPr="00A13921">
        <w:t xml:space="preserve"> </w:t>
      </w:r>
      <w:r w:rsidR="00A13921" w:rsidRPr="00A13921">
        <w:rPr>
          <w:rFonts w:cstheme="minorHAnsi"/>
        </w:rPr>
        <w:t xml:space="preserve">No </w:t>
      </w:r>
      <w:r w:rsidR="008C7B92">
        <w:rPr>
          <w:rFonts w:cstheme="minorHAnsi"/>
        </w:rPr>
        <w:t>febrile seizure</w:t>
      </w:r>
      <w:r w:rsidR="00A13921" w:rsidRPr="00A13921">
        <w:rPr>
          <w:rFonts w:cstheme="minorHAnsi"/>
        </w:rPr>
        <w:t xml:space="preserve"> and no grade 4 fevers</w:t>
      </w:r>
      <w:r w:rsidR="008C7B92">
        <w:rPr>
          <w:rFonts w:cstheme="minorHAnsi"/>
        </w:rPr>
        <w:t xml:space="preserve"> are</w:t>
      </w:r>
      <w:r w:rsidR="00A13921" w:rsidRPr="00A13921">
        <w:rPr>
          <w:rFonts w:cstheme="minorHAnsi"/>
        </w:rPr>
        <w:t xml:space="preserve"> reported</w:t>
      </w:r>
      <w:r w:rsidR="00A13921">
        <w:rPr>
          <w:rFonts w:cstheme="minorHAnsi"/>
        </w:rPr>
        <w:t>.</w:t>
      </w:r>
    </w:p>
    <w:p w14:paraId="51E1EA87" w14:textId="509A5726" w:rsidR="0046250A" w:rsidRPr="00603598" w:rsidRDefault="0046250A" w:rsidP="00603598">
      <w:pPr>
        <w:pStyle w:val="Heading3"/>
      </w:pPr>
      <w:r w:rsidRPr="00603598">
        <w:t>Children 6 months through 5 years of age</w:t>
      </w:r>
    </w:p>
    <w:p w14:paraId="0D10A274" w14:textId="475AE7B9" w:rsidR="0046250A" w:rsidRPr="0046250A" w:rsidRDefault="0046250A" w:rsidP="0046250A">
      <w:pPr>
        <w:spacing w:line="240" w:lineRule="auto"/>
        <w:rPr>
          <w:rFonts w:cstheme="minorHAnsi"/>
          <w:lang w:val="en-GB"/>
        </w:rPr>
      </w:pPr>
      <w:r w:rsidRPr="0046250A">
        <w:rPr>
          <w:rFonts w:cstheme="minorHAnsi"/>
          <w:lang w:val="en-GB"/>
        </w:rPr>
        <w:t>An ongoing Phase 2/3 randomised, placebo-controlled, observer-blind study</w:t>
      </w:r>
      <w:r w:rsidR="00A24F8B">
        <w:rPr>
          <w:rFonts w:cstheme="minorHAnsi"/>
          <w:lang w:val="en-GB"/>
        </w:rPr>
        <w:t xml:space="preserve"> </w:t>
      </w:r>
      <w:r w:rsidRPr="0046250A">
        <w:rPr>
          <w:rFonts w:cstheme="minorHAnsi"/>
          <w:lang w:val="en-GB"/>
        </w:rPr>
        <w:t xml:space="preserve">to evaluate the safety, tolerability, reactogenicity, and effectiveness of </w:t>
      </w:r>
      <w:r w:rsidR="009F693A">
        <w:rPr>
          <w:rFonts w:cstheme="minorHAnsi"/>
          <w:lang w:val="en-US"/>
        </w:rPr>
        <w:t>SPIKEVAX</w:t>
      </w:r>
      <w:r w:rsidRPr="0046250A">
        <w:rPr>
          <w:rFonts w:cstheme="minorHAnsi"/>
          <w:lang w:val="en-GB"/>
        </w:rPr>
        <w:t xml:space="preserve"> was conducted in the United States and Canada</w:t>
      </w:r>
      <w:r w:rsidR="00603598">
        <w:rPr>
          <w:rFonts w:cstheme="minorHAnsi"/>
          <w:lang w:val="en-GB"/>
        </w:rPr>
        <w:t xml:space="preserve"> </w:t>
      </w:r>
      <w:r w:rsidR="00603598" w:rsidRPr="0046250A">
        <w:rPr>
          <w:rFonts w:cstheme="minorHAnsi"/>
          <w:lang w:val="en-US"/>
        </w:rPr>
        <w:t>(</w:t>
      </w:r>
      <w:r w:rsidR="00F9289E">
        <w:rPr>
          <w:rFonts w:cstheme="minorHAnsi"/>
          <w:lang w:val="en-US"/>
        </w:rPr>
        <w:t xml:space="preserve">P204, </w:t>
      </w:r>
      <w:r w:rsidR="00603598" w:rsidRPr="0046250A">
        <w:rPr>
          <w:rFonts w:cstheme="minorHAnsi"/>
          <w:lang w:val="en-US"/>
        </w:rPr>
        <w:t>NCT04796896)</w:t>
      </w:r>
      <w:r w:rsidRPr="0046250A">
        <w:rPr>
          <w:rFonts w:cstheme="minorHAnsi"/>
          <w:lang w:val="en-GB"/>
        </w:rPr>
        <w:t xml:space="preserve">. This study </w:t>
      </w:r>
      <w:r w:rsidRPr="0046250A">
        <w:rPr>
          <w:rFonts w:cstheme="minorHAnsi"/>
          <w:lang w:val="en-US"/>
        </w:rPr>
        <w:t xml:space="preserve">involved 10,390 participants 6 months through 11 years of age who received at least one dose of </w:t>
      </w:r>
      <w:r w:rsidR="009F693A">
        <w:rPr>
          <w:rFonts w:cstheme="minorHAnsi"/>
          <w:lang w:val="en-US"/>
        </w:rPr>
        <w:t>SPIKEVAX</w:t>
      </w:r>
      <w:r w:rsidRPr="0046250A">
        <w:rPr>
          <w:rFonts w:cstheme="minorHAnsi"/>
          <w:lang w:val="en-US"/>
        </w:rPr>
        <w:t xml:space="preserve"> (n=7,798) or placebo (n=2,592).</w:t>
      </w:r>
    </w:p>
    <w:p w14:paraId="53DC31F1" w14:textId="57ADCA76" w:rsidR="0046250A" w:rsidRPr="0046250A" w:rsidRDefault="0046250A" w:rsidP="0046250A">
      <w:pPr>
        <w:spacing w:line="240" w:lineRule="auto"/>
        <w:rPr>
          <w:rFonts w:cstheme="minorHAnsi"/>
          <w:iCs/>
          <w:lang w:val="en-US"/>
        </w:rPr>
      </w:pPr>
      <w:r w:rsidRPr="0046250A">
        <w:rPr>
          <w:rFonts w:cstheme="minorHAnsi"/>
          <w:lang w:val="en-GB"/>
        </w:rPr>
        <w:t xml:space="preserve">The study enrolled children in 3 age groups: 6 through 11 years; 2 through 5 years; and 6 months through 23 months. </w:t>
      </w:r>
      <w:bookmarkStart w:id="6" w:name="_Hlk98835577"/>
      <w:r w:rsidRPr="0046250A">
        <w:rPr>
          <w:rFonts w:cstheme="minorHAnsi"/>
          <w:lang w:val="en-GB"/>
        </w:rPr>
        <w:t xml:space="preserve">This paediatric </w:t>
      </w:r>
      <w:r w:rsidRPr="0046250A">
        <w:rPr>
          <w:rFonts w:cstheme="minorHAnsi"/>
          <w:iCs/>
          <w:lang w:val="en-US"/>
        </w:rPr>
        <w:t xml:space="preserve">study involved 6,388 participants 6 months through 5 years of age who received at least one dose of </w:t>
      </w:r>
      <w:r w:rsidR="009F693A">
        <w:rPr>
          <w:rFonts w:cstheme="minorHAnsi"/>
          <w:lang w:val="en-US"/>
        </w:rPr>
        <w:t>SPIKEVAX</w:t>
      </w:r>
      <w:r w:rsidRPr="0046250A">
        <w:rPr>
          <w:rFonts w:cstheme="minorHAnsi"/>
          <w:iCs/>
          <w:lang w:val="en-US"/>
        </w:rPr>
        <w:t xml:space="preserve"> (n=4,791) or placebo (n=1,597). </w:t>
      </w:r>
      <w:bookmarkEnd w:id="6"/>
      <w:r w:rsidRPr="0046250A">
        <w:rPr>
          <w:rFonts w:cstheme="minorHAnsi"/>
          <w:iCs/>
          <w:lang w:val="en-US"/>
        </w:rPr>
        <w:t xml:space="preserve">Demographic characteristics were similar among participants who received </w:t>
      </w:r>
      <w:r w:rsidR="009F693A">
        <w:rPr>
          <w:rFonts w:cstheme="minorHAnsi"/>
          <w:lang w:val="en-US"/>
        </w:rPr>
        <w:t>SPIKEVAX</w:t>
      </w:r>
      <w:r w:rsidRPr="0046250A">
        <w:rPr>
          <w:rFonts w:cstheme="minorHAnsi"/>
          <w:iCs/>
          <w:lang w:val="en-US"/>
        </w:rPr>
        <w:t xml:space="preserve"> and those who received placebo.</w:t>
      </w:r>
      <w:r w:rsidR="00A24F8B" w:rsidRPr="00A24F8B">
        <w:rPr>
          <w:rStyle w:val="Heading1Char"/>
        </w:rPr>
        <w:t xml:space="preserve"> </w:t>
      </w:r>
    </w:p>
    <w:p w14:paraId="36EFA9E4" w14:textId="38FFE5AC" w:rsidR="0046250A" w:rsidRDefault="0046250A" w:rsidP="0046250A">
      <w:pPr>
        <w:spacing w:line="240" w:lineRule="auto"/>
        <w:rPr>
          <w:rFonts w:cstheme="minorHAnsi"/>
          <w:lang w:val="en-US"/>
        </w:rPr>
      </w:pPr>
      <w:r w:rsidRPr="0046250A">
        <w:rPr>
          <w:rFonts w:cstheme="minorHAnsi"/>
          <w:lang w:val="en-US"/>
        </w:rPr>
        <w:t>In this clinical study, the adverse reactions in participants 6 through 23 months of age following administration of the primary series were irritability/crying (81.5%), pain at the injection site (56.2%), sleepiness (51.1%), loss of appetite (45.7%), fever (21.8%), swelling at the injection site (18.4%), erythema at the injection site (17.9%), and axillary swelling/tenderness (12.2%).</w:t>
      </w:r>
    </w:p>
    <w:p w14:paraId="4C1AB97F" w14:textId="398AE844" w:rsidR="008D66AD" w:rsidRPr="0046250A" w:rsidRDefault="008D66AD" w:rsidP="0046250A">
      <w:pPr>
        <w:spacing w:line="240" w:lineRule="auto"/>
        <w:rPr>
          <w:rFonts w:cstheme="minorHAnsi"/>
          <w:lang w:val="en-US"/>
        </w:rPr>
      </w:pPr>
      <w:r w:rsidRPr="00EC46BD">
        <w:rPr>
          <w:rFonts w:cstheme="minorHAnsi"/>
          <w:lang w:val="en-US"/>
        </w:rPr>
        <w:t xml:space="preserve">In participants 6 months through 23 months of age who received the vaccine, a 1-year-old female experienced serious adverse events of a </w:t>
      </w:r>
      <w:r>
        <w:rPr>
          <w:rFonts w:cstheme="minorHAnsi"/>
          <w:lang w:val="en-US"/>
        </w:rPr>
        <w:t>g</w:t>
      </w:r>
      <w:r w:rsidRPr="00EC46BD">
        <w:rPr>
          <w:rFonts w:cstheme="minorHAnsi"/>
          <w:lang w:val="en-US"/>
        </w:rPr>
        <w:t xml:space="preserve">rade 3 fever 6 hours after </w:t>
      </w:r>
      <w:r>
        <w:rPr>
          <w:rFonts w:cstheme="minorHAnsi"/>
          <w:lang w:val="en-US"/>
        </w:rPr>
        <w:t>d</w:t>
      </w:r>
      <w:r w:rsidRPr="00EC46BD">
        <w:rPr>
          <w:rFonts w:cstheme="minorHAnsi"/>
          <w:lang w:val="en-US"/>
        </w:rPr>
        <w:t xml:space="preserve">ose 1 and a febrile convulsion 1 day after </w:t>
      </w:r>
      <w:r>
        <w:rPr>
          <w:rFonts w:cstheme="minorHAnsi"/>
          <w:lang w:val="en-US"/>
        </w:rPr>
        <w:t>d</w:t>
      </w:r>
      <w:r w:rsidRPr="00EC46BD">
        <w:rPr>
          <w:rFonts w:cstheme="minorHAnsi"/>
          <w:lang w:val="en-US"/>
        </w:rPr>
        <w:t>ose 1. These events were considered related to vaccination.</w:t>
      </w:r>
    </w:p>
    <w:p w14:paraId="1C201530" w14:textId="7982E23A" w:rsidR="0046250A" w:rsidRPr="0046250A" w:rsidRDefault="0046250A" w:rsidP="0046250A">
      <w:pPr>
        <w:spacing w:line="240" w:lineRule="auto"/>
        <w:rPr>
          <w:rFonts w:cstheme="minorHAnsi"/>
          <w:lang w:val="en-US"/>
        </w:rPr>
      </w:pPr>
      <w:r w:rsidRPr="0046250A">
        <w:rPr>
          <w:rFonts w:cstheme="minorHAnsi"/>
          <w:lang w:val="en-US"/>
        </w:rPr>
        <w:lastRenderedPageBreak/>
        <w:t>In a clinical study, the adverse reactions in participants 24 through 36 months of age following administration of the primary series were pain at the injection site (76.8%), irritability/crying (71.0%), sleepiness (49.7%), loss of appetite (42.4%), fever (26.1%), erythema at the injection site (17.9%), swelling at the injection site (15.7%), and axillary swelling/tenderness (11.5%).</w:t>
      </w:r>
    </w:p>
    <w:p w14:paraId="09EA52DA" w14:textId="77777777" w:rsidR="008D66AD" w:rsidRDefault="0046250A" w:rsidP="0046250A">
      <w:pPr>
        <w:spacing w:line="240" w:lineRule="auto"/>
        <w:rPr>
          <w:rFonts w:cstheme="minorHAnsi"/>
          <w:lang w:val="en-US"/>
        </w:rPr>
      </w:pPr>
      <w:r w:rsidRPr="0046250A">
        <w:rPr>
          <w:rFonts w:cstheme="minorHAnsi"/>
          <w:lang w:val="en-US"/>
        </w:rPr>
        <w:t>In a clinical study, the adverse reactions in participants 37 months through 5 years of age following administration of the primary series were pain at the injection site (83.8%), fatigue (61.9%), headache (22.9%), myalgia (22.1%), fever (20.9%), chills (16.8%), nausea/vomiting (15.2%), axillary swelling/tenderness (14.3%), arthralgia (12.8%), erythema at the injection site (9.5%), and swelling at the injection site (8.2%).</w:t>
      </w:r>
    </w:p>
    <w:p w14:paraId="5649444A" w14:textId="5ECBFA8D" w:rsidR="0046250A" w:rsidRPr="0046250A" w:rsidRDefault="00DF190C" w:rsidP="008D66AD">
      <w:pPr>
        <w:spacing w:line="240" w:lineRule="auto"/>
        <w:rPr>
          <w:rFonts w:cstheme="minorHAnsi"/>
          <w:lang w:val="en-US"/>
        </w:rPr>
      </w:pPr>
      <w:r w:rsidRPr="00DF190C">
        <w:rPr>
          <w:rFonts w:cstheme="minorHAnsi"/>
          <w:lang w:val="en-US"/>
        </w:rPr>
        <w:t>Among vaccine recipients 6 months through 23 months with evidence of prior SARS-CoV-2 infection, the rate of fever was higher compared to vaccine recipients without evidence of prior infection and was 20.2%.  For the vaccine recipients 2 years through 5 years of age with evidence of prior SARS-CoV-2 infection, rate of fever was also higher compared to vaccine recipients without evidence of prior infection and was 20.3%.</w:t>
      </w:r>
      <w:r w:rsidRPr="008D66AD" w:rsidDel="00DF190C">
        <w:rPr>
          <w:rFonts w:cstheme="minorHAnsi"/>
          <w:lang w:val="en-US"/>
        </w:rPr>
        <w:t xml:space="preserve"> </w:t>
      </w:r>
    </w:p>
    <w:p w14:paraId="33752641" w14:textId="77777777" w:rsidR="00760627" w:rsidRPr="00760627" w:rsidRDefault="00760627" w:rsidP="00DF190C">
      <w:pPr>
        <w:spacing w:line="240" w:lineRule="auto"/>
        <w:rPr>
          <w:lang w:val="en-GB"/>
        </w:rPr>
      </w:pPr>
      <w:r w:rsidRPr="00760627">
        <w:rPr>
          <w:lang w:val="en-GB"/>
        </w:rPr>
        <w:t>Tabulated list of adverse reactions from clinical studies and post-authorisation experience in individuals 6 months of age and older </w:t>
      </w:r>
    </w:p>
    <w:p w14:paraId="08983DE8" w14:textId="55A8422F" w:rsidR="00760627" w:rsidRPr="00760627" w:rsidRDefault="00760627" w:rsidP="006F2131">
      <w:pPr>
        <w:spacing w:after="60" w:line="240" w:lineRule="auto"/>
        <w:rPr>
          <w:rFonts w:cstheme="minorHAnsi"/>
          <w:lang w:val="en-GB"/>
        </w:rPr>
      </w:pPr>
      <w:r w:rsidRPr="00760627">
        <w:rPr>
          <w:rFonts w:cstheme="minorHAnsi"/>
          <w:lang w:val="en-GB"/>
        </w:rPr>
        <w:t>The safety profile presented below is based on data generated in several placebo-controlled clinical studies: </w:t>
      </w:r>
    </w:p>
    <w:p w14:paraId="538B9A2A" w14:textId="77777777" w:rsidR="00760627" w:rsidRPr="00760627" w:rsidRDefault="00760627" w:rsidP="006F2131">
      <w:pPr>
        <w:numPr>
          <w:ilvl w:val="0"/>
          <w:numId w:val="15"/>
        </w:numPr>
        <w:spacing w:after="60" w:line="240" w:lineRule="auto"/>
        <w:rPr>
          <w:rFonts w:cstheme="minorHAnsi"/>
          <w:lang w:val="en-GB"/>
        </w:rPr>
      </w:pPr>
      <w:r w:rsidRPr="00760627">
        <w:rPr>
          <w:rFonts w:cstheme="minorHAnsi"/>
          <w:lang w:val="en-GB"/>
        </w:rPr>
        <w:t>30,346 adults ≥ 18 years of age</w:t>
      </w:r>
    </w:p>
    <w:p w14:paraId="2DA60F88" w14:textId="77777777" w:rsidR="00760627" w:rsidRPr="00760627" w:rsidRDefault="00760627" w:rsidP="006F2131">
      <w:pPr>
        <w:numPr>
          <w:ilvl w:val="0"/>
          <w:numId w:val="15"/>
        </w:numPr>
        <w:spacing w:after="60" w:line="240" w:lineRule="auto"/>
        <w:rPr>
          <w:rFonts w:cstheme="minorHAnsi"/>
          <w:lang w:val="en-GB"/>
        </w:rPr>
      </w:pPr>
      <w:r w:rsidRPr="00760627">
        <w:rPr>
          <w:rFonts w:cstheme="minorHAnsi"/>
          <w:lang w:val="en-US"/>
        </w:rPr>
        <w:t>3,726 participants 12 through 17 years of age</w:t>
      </w:r>
    </w:p>
    <w:p w14:paraId="56AE98D1" w14:textId="77777777" w:rsidR="00760627" w:rsidRPr="00760627" w:rsidRDefault="00760627" w:rsidP="006F2131">
      <w:pPr>
        <w:numPr>
          <w:ilvl w:val="0"/>
          <w:numId w:val="15"/>
        </w:numPr>
        <w:spacing w:after="60" w:line="240" w:lineRule="auto"/>
        <w:rPr>
          <w:rFonts w:cstheme="minorHAnsi"/>
          <w:lang w:val="en-GB"/>
        </w:rPr>
      </w:pPr>
      <w:r w:rsidRPr="00760627">
        <w:rPr>
          <w:rFonts w:cstheme="minorHAnsi"/>
          <w:lang w:val="en-US"/>
        </w:rPr>
        <w:t>4,002 participants 6 through 11 years of age</w:t>
      </w:r>
    </w:p>
    <w:p w14:paraId="03295D8D" w14:textId="77777777" w:rsidR="00760627" w:rsidRPr="00760627" w:rsidRDefault="00760627" w:rsidP="006F2131">
      <w:pPr>
        <w:numPr>
          <w:ilvl w:val="0"/>
          <w:numId w:val="15"/>
        </w:numPr>
        <w:spacing w:after="60" w:line="240" w:lineRule="auto"/>
        <w:rPr>
          <w:rFonts w:cstheme="minorHAnsi"/>
          <w:lang w:val="en-GB"/>
        </w:rPr>
      </w:pPr>
      <w:r w:rsidRPr="00760627">
        <w:rPr>
          <w:rFonts w:cstheme="minorHAnsi"/>
          <w:lang w:val="en-US"/>
        </w:rPr>
        <w:t>6,388 children aged 6 months through 5 years of age</w:t>
      </w:r>
    </w:p>
    <w:p w14:paraId="64F6929B" w14:textId="77777777" w:rsidR="00760627" w:rsidRPr="00760627" w:rsidRDefault="00760627" w:rsidP="00760627">
      <w:pPr>
        <w:numPr>
          <w:ilvl w:val="0"/>
          <w:numId w:val="15"/>
        </w:numPr>
        <w:spacing w:line="240" w:lineRule="auto"/>
        <w:rPr>
          <w:rFonts w:cstheme="minorHAnsi"/>
          <w:lang w:val="en-GB"/>
        </w:rPr>
      </w:pPr>
      <w:r w:rsidRPr="00760627">
        <w:rPr>
          <w:rFonts w:cstheme="minorHAnsi"/>
          <w:lang w:val="en-US"/>
        </w:rPr>
        <w:t>and post-marketing experience</w:t>
      </w:r>
      <w:r w:rsidRPr="00760627">
        <w:rPr>
          <w:rFonts w:cstheme="minorHAnsi"/>
          <w:lang w:val="en-GB"/>
        </w:rPr>
        <w:t xml:space="preserve">. </w:t>
      </w:r>
    </w:p>
    <w:p w14:paraId="4ECFEA67" w14:textId="77777777" w:rsidR="00760627" w:rsidRPr="00760627" w:rsidRDefault="00760627" w:rsidP="00C06A03">
      <w:pPr>
        <w:spacing w:after="120" w:line="240" w:lineRule="auto"/>
        <w:rPr>
          <w:rFonts w:cstheme="minorHAnsi"/>
          <w:lang w:val="en-GB"/>
        </w:rPr>
      </w:pPr>
      <w:r w:rsidRPr="00760627">
        <w:rPr>
          <w:rFonts w:cstheme="minorHAnsi"/>
          <w:lang w:val="en-GB"/>
        </w:rPr>
        <w:t>Adverse reactions reported are listed according to the following frequency convention: </w:t>
      </w:r>
    </w:p>
    <w:p w14:paraId="20C3572A" w14:textId="77777777" w:rsidR="00760627" w:rsidRPr="00760627" w:rsidRDefault="00760627" w:rsidP="00C06A03">
      <w:pPr>
        <w:spacing w:after="60" w:line="240" w:lineRule="auto"/>
        <w:rPr>
          <w:rFonts w:cstheme="minorHAnsi"/>
          <w:lang w:val="en-GB"/>
        </w:rPr>
      </w:pPr>
      <w:r w:rsidRPr="00760627">
        <w:rPr>
          <w:rFonts w:cstheme="minorHAnsi"/>
          <w:lang w:val="en-GB"/>
        </w:rPr>
        <w:t>Very common (≥1/10) </w:t>
      </w:r>
    </w:p>
    <w:p w14:paraId="00F3ACC5" w14:textId="77777777" w:rsidR="00760627" w:rsidRPr="00760627" w:rsidRDefault="00760627" w:rsidP="00C06A03">
      <w:pPr>
        <w:spacing w:after="60" w:line="240" w:lineRule="auto"/>
        <w:rPr>
          <w:rFonts w:cstheme="minorHAnsi"/>
          <w:lang w:val="en-GB"/>
        </w:rPr>
      </w:pPr>
      <w:r w:rsidRPr="00760627">
        <w:rPr>
          <w:rFonts w:cstheme="minorHAnsi"/>
          <w:lang w:val="en-GB"/>
        </w:rPr>
        <w:t>Common (≥1/100 to &lt;1/10) </w:t>
      </w:r>
    </w:p>
    <w:p w14:paraId="1F37B21F" w14:textId="77777777" w:rsidR="00760627" w:rsidRPr="00760627" w:rsidRDefault="00760627" w:rsidP="00C06A03">
      <w:pPr>
        <w:spacing w:after="60" w:line="240" w:lineRule="auto"/>
        <w:rPr>
          <w:rFonts w:cstheme="minorHAnsi"/>
          <w:lang w:val="en-GB"/>
        </w:rPr>
      </w:pPr>
      <w:r w:rsidRPr="00760627">
        <w:rPr>
          <w:rFonts w:cstheme="minorHAnsi"/>
          <w:lang w:val="en-GB"/>
        </w:rPr>
        <w:t>Uncommon (≥1/1,000 to &lt;1/100) </w:t>
      </w:r>
    </w:p>
    <w:p w14:paraId="36B91DB7" w14:textId="77777777" w:rsidR="00760627" w:rsidRPr="00760627" w:rsidRDefault="00760627" w:rsidP="00C06A03">
      <w:pPr>
        <w:spacing w:after="60" w:line="240" w:lineRule="auto"/>
        <w:rPr>
          <w:rFonts w:cstheme="minorHAnsi"/>
          <w:lang w:val="en-GB"/>
        </w:rPr>
      </w:pPr>
      <w:r w:rsidRPr="00760627">
        <w:rPr>
          <w:rFonts w:cstheme="minorHAnsi"/>
          <w:lang w:val="en-GB"/>
        </w:rPr>
        <w:t>Rare (≥1/10,000 to &lt;1/1,000) </w:t>
      </w:r>
    </w:p>
    <w:p w14:paraId="76B5BB46" w14:textId="77777777" w:rsidR="00760627" w:rsidRPr="00760627" w:rsidRDefault="00760627" w:rsidP="00C06A03">
      <w:pPr>
        <w:spacing w:after="60" w:line="240" w:lineRule="auto"/>
        <w:rPr>
          <w:rFonts w:cstheme="minorHAnsi"/>
          <w:lang w:val="en-GB"/>
        </w:rPr>
      </w:pPr>
      <w:r w:rsidRPr="00760627">
        <w:rPr>
          <w:rFonts w:cstheme="minorHAnsi"/>
          <w:lang w:val="en-GB"/>
        </w:rPr>
        <w:t>Very rare (&lt;1/10,000) </w:t>
      </w:r>
    </w:p>
    <w:p w14:paraId="34DE6105" w14:textId="77777777" w:rsidR="00760627" w:rsidRPr="00760627" w:rsidRDefault="00760627" w:rsidP="00C06A03">
      <w:pPr>
        <w:spacing w:after="240" w:line="240" w:lineRule="auto"/>
        <w:rPr>
          <w:rFonts w:cstheme="minorHAnsi"/>
          <w:lang w:val="en-GB"/>
        </w:rPr>
      </w:pPr>
      <w:r w:rsidRPr="00760627">
        <w:rPr>
          <w:rFonts w:cstheme="minorHAnsi"/>
          <w:lang w:val="en-GB"/>
        </w:rPr>
        <w:t>Not known (cannot be estimated from the available data)</w:t>
      </w:r>
    </w:p>
    <w:p w14:paraId="00E75505" w14:textId="413CE503" w:rsidR="00760627" w:rsidRPr="00760627" w:rsidRDefault="00760627" w:rsidP="00760627">
      <w:pPr>
        <w:spacing w:line="240" w:lineRule="auto"/>
        <w:rPr>
          <w:rFonts w:cstheme="minorHAnsi"/>
          <w:lang w:val="en-GB"/>
        </w:rPr>
      </w:pPr>
      <w:r w:rsidRPr="00760627">
        <w:rPr>
          <w:rFonts w:cstheme="minorHAnsi"/>
          <w:lang w:val="en-GB"/>
        </w:rPr>
        <w:t xml:space="preserve">Within each frequency grouping, adverse reactions are presented in order of decreasing seriousness (Table </w:t>
      </w:r>
      <w:r w:rsidR="008C7DB9">
        <w:rPr>
          <w:rFonts w:cstheme="minorHAnsi"/>
          <w:lang w:val="en-GB"/>
        </w:rPr>
        <w:t>3</w:t>
      </w:r>
      <w:r w:rsidRPr="00760627">
        <w:rPr>
          <w:rFonts w:cstheme="minorHAnsi"/>
          <w:lang w:val="en-GB"/>
        </w:rPr>
        <w:t>). </w:t>
      </w:r>
    </w:p>
    <w:p w14:paraId="493F07F2" w14:textId="582A7D41" w:rsidR="00760627" w:rsidRPr="00760627" w:rsidRDefault="00760627" w:rsidP="00804ED7">
      <w:pPr>
        <w:pageBreakBefore/>
        <w:spacing w:line="240" w:lineRule="auto"/>
        <w:rPr>
          <w:rFonts w:cstheme="minorHAnsi"/>
          <w:lang w:val="en-GB"/>
        </w:rPr>
      </w:pPr>
      <w:r w:rsidRPr="00760627">
        <w:rPr>
          <w:rFonts w:cstheme="minorHAnsi"/>
          <w:b/>
          <w:bCs/>
          <w:lang w:val="en-GB"/>
        </w:rPr>
        <w:lastRenderedPageBreak/>
        <w:t xml:space="preserve">Table </w:t>
      </w:r>
      <w:r w:rsidR="008C7DB9">
        <w:rPr>
          <w:rFonts w:cstheme="minorHAnsi"/>
          <w:b/>
          <w:bCs/>
          <w:lang w:val="en-GB"/>
        </w:rPr>
        <w:t>3</w:t>
      </w:r>
      <w:r w:rsidRPr="00760627">
        <w:rPr>
          <w:rFonts w:cstheme="minorHAnsi"/>
          <w:b/>
          <w:bCs/>
          <w:lang w:val="en-GB"/>
        </w:rPr>
        <w:t>:</w:t>
      </w:r>
      <w:r w:rsidRPr="00760627">
        <w:rPr>
          <w:rFonts w:cstheme="minorHAnsi"/>
          <w:lang w:val="en-GB"/>
        </w:rPr>
        <w:t xml:space="preserve"> </w:t>
      </w:r>
      <w:r w:rsidRPr="00760627">
        <w:rPr>
          <w:rFonts w:cstheme="minorHAnsi"/>
          <w:b/>
          <w:bCs/>
          <w:lang w:val="en-GB"/>
        </w:rPr>
        <w:t xml:space="preserve">Adverse reactions from </w:t>
      </w:r>
      <w:r w:rsidR="00055EB4">
        <w:rPr>
          <w:rFonts w:cstheme="minorHAnsi"/>
          <w:b/>
          <w:bCs/>
          <w:lang w:val="en-GB"/>
        </w:rPr>
        <w:t>SPIKEVAX</w:t>
      </w:r>
      <w:r w:rsidRPr="00760627">
        <w:rPr>
          <w:rFonts w:cstheme="minorHAnsi"/>
          <w:b/>
          <w:bCs/>
          <w:lang w:val="en-GB"/>
        </w:rPr>
        <w:t xml:space="preserve"> clinical trials and post authorisation experience in individuals 6 months of age and older</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3"/>
        <w:gridCol w:w="2835"/>
        <w:gridCol w:w="2403"/>
      </w:tblGrid>
      <w:tr w:rsidR="00760627" w:rsidRPr="00760627" w14:paraId="05BB798D" w14:textId="77777777" w:rsidTr="00C06A03">
        <w:trPr>
          <w:trHeight w:val="20"/>
        </w:trPr>
        <w:tc>
          <w:tcPr>
            <w:tcW w:w="3823" w:type="dxa"/>
            <w:shd w:val="clear" w:color="auto" w:fill="auto"/>
            <w:hideMark/>
          </w:tcPr>
          <w:p w14:paraId="1220B857" w14:textId="77777777" w:rsidR="00760627" w:rsidRPr="00760627" w:rsidRDefault="00760627" w:rsidP="00760627">
            <w:pPr>
              <w:spacing w:line="240" w:lineRule="auto"/>
              <w:rPr>
                <w:rFonts w:cstheme="minorHAnsi"/>
                <w:b/>
                <w:bCs/>
                <w:lang w:val="en-GB"/>
              </w:rPr>
            </w:pPr>
            <w:r w:rsidRPr="00760627">
              <w:rPr>
                <w:rFonts w:cstheme="minorHAnsi"/>
                <w:b/>
                <w:bCs/>
                <w:lang w:val="en-GB"/>
              </w:rPr>
              <w:t>MedDRA system organ class</w:t>
            </w:r>
            <w:r w:rsidRPr="00760627">
              <w:rPr>
                <w:rFonts w:cstheme="minorHAnsi"/>
                <w:b/>
                <w:bCs/>
                <w:vertAlign w:val="superscript"/>
                <w:lang w:val="en-GB"/>
              </w:rPr>
              <w:t> </w:t>
            </w:r>
          </w:p>
        </w:tc>
        <w:tc>
          <w:tcPr>
            <w:tcW w:w="2835" w:type="dxa"/>
            <w:shd w:val="clear" w:color="auto" w:fill="auto"/>
            <w:hideMark/>
          </w:tcPr>
          <w:p w14:paraId="0C4CAAE4" w14:textId="77777777" w:rsidR="00760627" w:rsidRPr="00760627" w:rsidRDefault="00760627" w:rsidP="00760627">
            <w:pPr>
              <w:spacing w:line="240" w:lineRule="auto"/>
              <w:rPr>
                <w:rFonts w:cstheme="minorHAnsi"/>
                <w:b/>
                <w:bCs/>
                <w:lang w:val="en-GB"/>
              </w:rPr>
            </w:pPr>
            <w:r w:rsidRPr="00760627">
              <w:rPr>
                <w:rFonts w:cstheme="minorHAnsi"/>
                <w:b/>
                <w:bCs/>
                <w:lang w:val="en-GB"/>
              </w:rPr>
              <w:t>Frequency </w:t>
            </w:r>
          </w:p>
        </w:tc>
        <w:tc>
          <w:tcPr>
            <w:tcW w:w="2403" w:type="dxa"/>
            <w:shd w:val="clear" w:color="auto" w:fill="auto"/>
            <w:hideMark/>
          </w:tcPr>
          <w:p w14:paraId="744492AA" w14:textId="77777777" w:rsidR="00760627" w:rsidRPr="00760627" w:rsidRDefault="00760627" w:rsidP="00760627">
            <w:pPr>
              <w:spacing w:line="240" w:lineRule="auto"/>
              <w:rPr>
                <w:rFonts w:cstheme="minorHAnsi"/>
                <w:b/>
                <w:bCs/>
                <w:lang w:val="en-GB"/>
              </w:rPr>
            </w:pPr>
            <w:r w:rsidRPr="00760627">
              <w:rPr>
                <w:rFonts w:cstheme="minorHAnsi"/>
                <w:b/>
                <w:bCs/>
                <w:lang w:val="en-GB"/>
              </w:rPr>
              <w:t>Adverse reaction(s) </w:t>
            </w:r>
          </w:p>
        </w:tc>
      </w:tr>
      <w:tr w:rsidR="00760627" w:rsidRPr="00760627" w14:paraId="30EE143F" w14:textId="77777777" w:rsidTr="00C06A03">
        <w:trPr>
          <w:trHeight w:val="20"/>
        </w:trPr>
        <w:tc>
          <w:tcPr>
            <w:tcW w:w="3823" w:type="dxa"/>
            <w:shd w:val="clear" w:color="auto" w:fill="auto"/>
            <w:hideMark/>
          </w:tcPr>
          <w:p w14:paraId="0432B805" w14:textId="77777777" w:rsidR="00760627" w:rsidRPr="00760627" w:rsidRDefault="00760627" w:rsidP="00760627">
            <w:pPr>
              <w:spacing w:line="240" w:lineRule="auto"/>
              <w:rPr>
                <w:rFonts w:cstheme="minorHAnsi"/>
                <w:b/>
                <w:bCs/>
                <w:lang w:val="en-GB"/>
              </w:rPr>
            </w:pPr>
            <w:r w:rsidRPr="00760627">
              <w:rPr>
                <w:rFonts w:cstheme="minorHAnsi"/>
                <w:b/>
                <w:bCs/>
                <w:lang w:val="en-GB"/>
              </w:rPr>
              <w:t>Blood and lymphatic system disorders </w:t>
            </w:r>
          </w:p>
        </w:tc>
        <w:tc>
          <w:tcPr>
            <w:tcW w:w="2835" w:type="dxa"/>
            <w:shd w:val="clear" w:color="auto" w:fill="auto"/>
            <w:hideMark/>
          </w:tcPr>
          <w:p w14:paraId="28CA4839" w14:textId="77777777" w:rsidR="00760627" w:rsidRPr="00760627" w:rsidRDefault="00760627" w:rsidP="00760627">
            <w:pPr>
              <w:spacing w:line="240" w:lineRule="auto"/>
              <w:rPr>
                <w:rFonts w:cstheme="minorHAnsi"/>
                <w:lang w:val="en-GB"/>
              </w:rPr>
            </w:pPr>
            <w:r w:rsidRPr="00760627">
              <w:rPr>
                <w:rFonts w:cstheme="minorHAnsi"/>
                <w:lang w:val="en-GB"/>
              </w:rPr>
              <w:t>Very common </w:t>
            </w:r>
          </w:p>
        </w:tc>
        <w:tc>
          <w:tcPr>
            <w:tcW w:w="2403" w:type="dxa"/>
            <w:shd w:val="clear" w:color="auto" w:fill="auto"/>
            <w:hideMark/>
          </w:tcPr>
          <w:p w14:paraId="73417338" w14:textId="77777777" w:rsidR="00760627" w:rsidRPr="00760627" w:rsidRDefault="00760627" w:rsidP="00760627">
            <w:pPr>
              <w:spacing w:line="240" w:lineRule="auto"/>
              <w:rPr>
                <w:rFonts w:cstheme="minorHAnsi"/>
                <w:lang w:val="en-GB"/>
              </w:rPr>
            </w:pPr>
            <w:r w:rsidRPr="00760627">
              <w:rPr>
                <w:rFonts w:cstheme="minorHAnsi"/>
                <w:lang w:val="en-GB"/>
              </w:rPr>
              <w:t xml:space="preserve">Lymphadenopathy* </w:t>
            </w:r>
          </w:p>
        </w:tc>
      </w:tr>
      <w:tr w:rsidR="00760627" w:rsidRPr="00760627" w14:paraId="42C1CDB6" w14:textId="77777777" w:rsidTr="00C06A03">
        <w:trPr>
          <w:trHeight w:val="20"/>
        </w:trPr>
        <w:tc>
          <w:tcPr>
            <w:tcW w:w="3823" w:type="dxa"/>
          </w:tcPr>
          <w:p w14:paraId="388B73C1" w14:textId="77777777" w:rsidR="00760627" w:rsidRPr="00760627" w:rsidRDefault="00760627" w:rsidP="00760627">
            <w:pPr>
              <w:spacing w:line="240" w:lineRule="auto"/>
              <w:rPr>
                <w:rFonts w:cstheme="minorHAnsi"/>
                <w:b/>
                <w:bCs/>
                <w:lang w:val="en-GB"/>
              </w:rPr>
            </w:pPr>
            <w:r w:rsidRPr="00760627">
              <w:rPr>
                <w:rFonts w:cstheme="minorHAnsi"/>
                <w:b/>
                <w:bCs/>
                <w:lang w:val="en-GB"/>
              </w:rPr>
              <w:t>Immune system disorders</w:t>
            </w:r>
          </w:p>
        </w:tc>
        <w:tc>
          <w:tcPr>
            <w:tcW w:w="2835" w:type="dxa"/>
            <w:shd w:val="clear" w:color="auto" w:fill="auto"/>
          </w:tcPr>
          <w:p w14:paraId="58E475CC" w14:textId="77777777" w:rsidR="00760627" w:rsidRPr="00760627" w:rsidRDefault="00760627" w:rsidP="00760627">
            <w:pPr>
              <w:spacing w:line="240" w:lineRule="auto"/>
              <w:rPr>
                <w:rFonts w:cstheme="minorHAnsi"/>
                <w:lang w:val="en-GB"/>
              </w:rPr>
            </w:pPr>
            <w:r w:rsidRPr="00760627">
              <w:rPr>
                <w:rFonts w:cstheme="minorHAnsi"/>
                <w:lang w:val="en-GB"/>
              </w:rPr>
              <w:t>Not known </w:t>
            </w:r>
          </w:p>
        </w:tc>
        <w:tc>
          <w:tcPr>
            <w:tcW w:w="2403" w:type="dxa"/>
            <w:shd w:val="clear" w:color="auto" w:fill="auto"/>
          </w:tcPr>
          <w:p w14:paraId="4F880646" w14:textId="77777777" w:rsidR="00760627" w:rsidRPr="00760627" w:rsidRDefault="00760627" w:rsidP="00C06A03">
            <w:pPr>
              <w:spacing w:after="60" w:line="240" w:lineRule="auto"/>
              <w:rPr>
                <w:rFonts w:cstheme="minorHAnsi"/>
                <w:lang w:val="en-GB"/>
              </w:rPr>
            </w:pPr>
            <w:r w:rsidRPr="00760627">
              <w:rPr>
                <w:rFonts w:cstheme="minorHAnsi"/>
                <w:lang w:val="en-GB"/>
              </w:rPr>
              <w:t>Anaphylaxis </w:t>
            </w:r>
          </w:p>
          <w:p w14:paraId="30658C3D" w14:textId="77777777" w:rsidR="00760627" w:rsidRPr="00760627" w:rsidRDefault="00760627" w:rsidP="00760627">
            <w:pPr>
              <w:spacing w:line="240" w:lineRule="auto"/>
              <w:rPr>
                <w:rFonts w:cstheme="minorHAnsi"/>
                <w:lang w:val="en-GB"/>
              </w:rPr>
            </w:pPr>
            <w:r w:rsidRPr="00760627">
              <w:rPr>
                <w:rFonts w:cstheme="minorHAnsi"/>
                <w:lang w:val="en-GB"/>
              </w:rPr>
              <w:t>Hypersensitivity</w:t>
            </w:r>
          </w:p>
        </w:tc>
      </w:tr>
      <w:tr w:rsidR="00760627" w:rsidRPr="00760627" w14:paraId="2043502F" w14:textId="77777777" w:rsidTr="00C06A03">
        <w:trPr>
          <w:trHeight w:val="20"/>
        </w:trPr>
        <w:tc>
          <w:tcPr>
            <w:tcW w:w="3823" w:type="dxa"/>
            <w:shd w:val="clear" w:color="auto" w:fill="auto"/>
          </w:tcPr>
          <w:p w14:paraId="1FFD98E2" w14:textId="77777777" w:rsidR="00760627" w:rsidRPr="00A048AD" w:rsidRDefault="00760627" w:rsidP="00760627">
            <w:pPr>
              <w:spacing w:line="240" w:lineRule="auto"/>
              <w:rPr>
                <w:rFonts w:cstheme="minorHAnsi"/>
                <w:b/>
                <w:bCs/>
                <w:lang w:val="en-GB"/>
              </w:rPr>
            </w:pPr>
            <w:r w:rsidRPr="00A048AD">
              <w:rPr>
                <w:rFonts w:cstheme="minorHAnsi"/>
                <w:b/>
                <w:bCs/>
                <w:lang w:val="en-GB"/>
              </w:rPr>
              <w:t>Metabolism and nutrition disorders</w:t>
            </w:r>
          </w:p>
        </w:tc>
        <w:tc>
          <w:tcPr>
            <w:tcW w:w="2835" w:type="dxa"/>
            <w:shd w:val="clear" w:color="auto" w:fill="auto"/>
          </w:tcPr>
          <w:p w14:paraId="5EDEE0CE" w14:textId="77777777" w:rsidR="00760627" w:rsidRPr="00A048AD" w:rsidRDefault="00760627" w:rsidP="00760627">
            <w:pPr>
              <w:spacing w:line="240" w:lineRule="auto"/>
              <w:rPr>
                <w:rFonts w:cstheme="minorHAnsi"/>
                <w:lang w:val="en-GB"/>
              </w:rPr>
            </w:pPr>
            <w:r w:rsidRPr="00A048AD">
              <w:rPr>
                <w:rFonts w:cstheme="minorHAnsi"/>
                <w:lang w:val="en-GB"/>
              </w:rPr>
              <w:t>Very common</w:t>
            </w:r>
          </w:p>
        </w:tc>
        <w:tc>
          <w:tcPr>
            <w:tcW w:w="2403" w:type="dxa"/>
            <w:shd w:val="clear" w:color="auto" w:fill="auto"/>
          </w:tcPr>
          <w:p w14:paraId="27631C59" w14:textId="77777777" w:rsidR="00760627" w:rsidRPr="00A048AD" w:rsidRDefault="00760627" w:rsidP="00C06A03">
            <w:pPr>
              <w:spacing w:after="60" w:line="240" w:lineRule="auto"/>
              <w:rPr>
                <w:rFonts w:cstheme="minorHAnsi"/>
                <w:lang w:val="en-GB"/>
              </w:rPr>
            </w:pPr>
            <w:r w:rsidRPr="00A048AD">
              <w:rPr>
                <w:rFonts w:cstheme="minorHAnsi"/>
                <w:lang w:val="en-GB"/>
              </w:rPr>
              <w:t>Decreased appetite†</w:t>
            </w:r>
          </w:p>
        </w:tc>
      </w:tr>
      <w:tr w:rsidR="00760627" w:rsidRPr="00760627" w14:paraId="2861A795" w14:textId="77777777" w:rsidTr="00C06A03">
        <w:trPr>
          <w:trHeight w:val="20"/>
        </w:trPr>
        <w:tc>
          <w:tcPr>
            <w:tcW w:w="3823" w:type="dxa"/>
            <w:shd w:val="clear" w:color="auto" w:fill="auto"/>
          </w:tcPr>
          <w:p w14:paraId="5167EA59" w14:textId="77777777" w:rsidR="00760627" w:rsidRPr="00A048AD" w:rsidRDefault="00760627" w:rsidP="00760627">
            <w:pPr>
              <w:spacing w:line="240" w:lineRule="auto"/>
              <w:rPr>
                <w:rFonts w:cstheme="minorHAnsi"/>
                <w:b/>
                <w:bCs/>
                <w:lang w:val="en-GB"/>
              </w:rPr>
            </w:pPr>
            <w:r w:rsidRPr="00A048AD">
              <w:rPr>
                <w:rFonts w:cstheme="minorHAnsi"/>
                <w:b/>
                <w:bCs/>
                <w:lang w:val="en-GB"/>
              </w:rPr>
              <w:t>Psychiatric disorders</w:t>
            </w:r>
          </w:p>
        </w:tc>
        <w:tc>
          <w:tcPr>
            <w:tcW w:w="2835" w:type="dxa"/>
            <w:shd w:val="clear" w:color="auto" w:fill="auto"/>
          </w:tcPr>
          <w:p w14:paraId="1A9638EB" w14:textId="77777777" w:rsidR="00760627" w:rsidRPr="00A048AD" w:rsidRDefault="00760627" w:rsidP="00760627">
            <w:pPr>
              <w:spacing w:line="240" w:lineRule="auto"/>
              <w:rPr>
                <w:rFonts w:cstheme="minorHAnsi"/>
                <w:lang w:val="en-GB"/>
              </w:rPr>
            </w:pPr>
            <w:r w:rsidRPr="00A048AD">
              <w:rPr>
                <w:rFonts w:cstheme="minorHAnsi"/>
                <w:lang w:val="en-GB"/>
              </w:rPr>
              <w:t>Very common</w:t>
            </w:r>
          </w:p>
        </w:tc>
        <w:tc>
          <w:tcPr>
            <w:tcW w:w="2403" w:type="dxa"/>
            <w:shd w:val="clear" w:color="auto" w:fill="auto"/>
          </w:tcPr>
          <w:p w14:paraId="10124805" w14:textId="77777777" w:rsidR="00760627" w:rsidRPr="00A048AD" w:rsidRDefault="00760627" w:rsidP="00760627">
            <w:pPr>
              <w:spacing w:line="240" w:lineRule="auto"/>
              <w:rPr>
                <w:rFonts w:cstheme="minorHAnsi"/>
                <w:lang w:val="en-GB"/>
              </w:rPr>
            </w:pPr>
            <w:r w:rsidRPr="00A048AD">
              <w:rPr>
                <w:rFonts w:cstheme="minorHAnsi"/>
                <w:lang w:val="en-GB"/>
              </w:rPr>
              <w:t>Irritability/crying†</w:t>
            </w:r>
          </w:p>
        </w:tc>
      </w:tr>
      <w:tr w:rsidR="00B162F5" w:rsidRPr="00760627" w14:paraId="6740AA18" w14:textId="77777777" w:rsidTr="00C06A03">
        <w:trPr>
          <w:trHeight w:val="20"/>
        </w:trPr>
        <w:tc>
          <w:tcPr>
            <w:tcW w:w="3823" w:type="dxa"/>
            <w:vMerge w:val="restart"/>
            <w:shd w:val="clear" w:color="auto" w:fill="auto"/>
            <w:hideMark/>
          </w:tcPr>
          <w:p w14:paraId="4566C8B5" w14:textId="77777777" w:rsidR="00B162F5" w:rsidRPr="00760627" w:rsidRDefault="00B162F5" w:rsidP="00760627">
            <w:pPr>
              <w:spacing w:line="240" w:lineRule="auto"/>
              <w:rPr>
                <w:rFonts w:cstheme="minorHAnsi"/>
                <w:b/>
                <w:bCs/>
                <w:lang w:val="en-GB"/>
              </w:rPr>
            </w:pPr>
            <w:r w:rsidRPr="00760627">
              <w:rPr>
                <w:rFonts w:cstheme="minorHAnsi"/>
                <w:b/>
                <w:bCs/>
                <w:lang w:val="en-GB"/>
              </w:rPr>
              <w:t>Nervous system disorders </w:t>
            </w:r>
          </w:p>
        </w:tc>
        <w:tc>
          <w:tcPr>
            <w:tcW w:w="2835" w:type="dxa"/>
            <w:shd w:val="clear" w:color="auto" w:fill="auto"/>
            <w:hideMark/>
          </w:tcPr>
          <w:p w14:paraId="132EAFD5" w14:textId="77777777" w:rsidR="00B162F5" w:rsidRPr="00760627" w:rsidRDefault="00B162F5" w:rsidP="00760627">
            <w:pPr>
              <w:spacing w:line="240" w:lineRule="auto"/>
              <w:rPr>
                <w:rFonts w:cstheme="minorHAnsi"/>
                <w:lang w:val="en-GB"/>
              </w:rPr>
            </w:pPr>
            <w:r w:rsidRPr="00760627">
              <w:rPr>
                <w:rFonts w:cstheme="minorHAnsi"/>
                <w:lang w:val="en-GB"/>
              </w:rPr>
              <w:t>Very common </w:t>
            </w:r>
          </w:p>
        </w:tc>
        <w:tc>
          <w:tcPr>
            <w:tcW w:w="2403" w:type="dxa"/>
            <w:shd w:val="clear" w:color="auto" w:fill="auto"/>
            <w:hideMark/>
          </w:tcPr>
          <w:p w14:paraId="011C3D53" w14:textId="77777777" w:rsidR="00B162F5" w:rsidRPr="00760627" w:rsidRDefault="00B162F5" w:rsidP="00C06A03">
            <w:pPr>
              <w:spacing w:after="60" w:line="240" w:lineRule="auto"/>
              <w:rPr>
                <w:rFonts w:cstheme="minorHAnsi"/>
                <w:lang w:val="en-GB"/>
              </w:rPr>
            </w:pPr>
            <w:r w:rsidRPr="00760627">
              <w:rPr>
                <w:rFonts w:cstheme="minorHAnsi"/>
                <w:lang w:val="en-GB"/>
              </w:rPr>
              <w:t>Headache</w:t>
            </w:r>
          </w:p>
          <w:p w14:paraId="33693C72" w14:textId="77777777" w:rsidR="00B162F5" w:rsidRPr="00760627" w:rsidRDefault="00B162F5" w:rsidP="00760627">
            <w:pPr>
              <w:spacing w:line="240" w:lineRule="auto"/>
              <w:rPr>
                <w:rFonts w:cstheme="minorHAnsi"/>
                <w:lang w:val="en-GB"/>
              </w:rPr>
            </w:pPr>
            <w:r w:rsidRPr="00A048AD">
              <w:rPr>
                <w:rFonts w:cstheme="minorHAnsi"/>
                <w:lang w:val="en-GB"/>
              </w:rPr>
              <w:t>Sleepiness†</w:t>
            </w:r>
          </w:p>
        </w:tc>
      </w:tr>
      <w:tr w:rsidR="00B162F5" w:rsidRPr="00760627" w14:paraId="1BA8FA56" w14:textId="77777777" w:rsidTr="00C06A03">
        <w:trPr>
          <w:trHeight w:val="20"/>
        </w:trPr>
        <w:tc>
          <w:tcPr>
            <w:tcW w:w="3823" w:type="dxa"/>
            <w:vMerge/>
            <w:shd w:val="clear" w:color="auto" w:fill="auto"/>
          </w:tcPr>
          <w:p w14:paraId="36CA4767" w14:textId="77777777" w:rsidR="00B162F5" w:rsidRPr="00760627" w:rsidRDefault="00B162F5" w:rsidP="00760627">
            <w:pPr>
              <w:spacing w:line="240" w:lineRule="auto"/>
              <w:rPr>
                <w:rFonts w:cstheme="minorHAnsi"/>
                <w:b/>
                <w:bCs/>
                <w:lang w:val="en-GB"/>
              </w:rPr>
            </w:pPr>
          </w:p>
        </w:tc>
        <w:tc>
          <w:tcPr>
            <w:tcW w:w="2835" w:type="dxa"/>
            <w:shd w:val="clear" w:color="auto" w:fill="auto"/>
          </w:tcPr>
          <w:p w14:paraId="09221323" w14:textId="77777777" w:rsidR="00B162F5" w:rsidRPr="00DD395C" w:rsidRDefault="00B162F5" w:rsidP="00760627">
            <w:pPr>
              <w:spacing w:line="240" w:lineRule="auto"/>
              <w:rPr>
                <w:rFonts w:cstheme="minorHAnsi"/>
                <w:lang w:val="en-GB"/>
              </w:rPr>
            </w:pPr>
            <w:r w:rsidRPr="00DD395C">
              <w:rPr>
                <w:rFonts w:cstheme="minorHAnsi"/>
                <w:lang w:val="en-GB"/>
              </w:rPr>
              <w:t>Uncommon</w:t>
            </w:r>
          </w:p>
        </w:tc>
        <w:tc>
          <w:tcPr>
            <w:tcW w:w="2403" w:type="dxa"/>
            <w:shd w:val="clear" w:color="auto" w:fill="auto"/>
          </w:tcPr>
          <w:p w14:paraId="7B44DB96" w14:textId="77777777" w:rsidR="00B162F5" w:rsidRPr="00DD395C" w:rsidRDefault="00B162F5" w:rsidP="00760627">
            <w:pPr>
              <w:spacing w:line="240" w:lineRule="auto"/>
              <w:rPr>
                <w:rFonts w:cstheme="minorHAnsi"/>
                <w:lang w:val="en-GB"/>
              </w:rPr>
            </w:pPr>
            <w:r w:rsidRPr="00DD395C">
              <w:rPr>
                <w:rFonts w:cstheme="minorHAnsi"/>
                <w:lang w:val="en-GB"/>
              </w:rPr>
              <w:t>Dizziness</w:t>
            </w:r>
          </w:p>
        </w:tc>
      </w:tr>
      <w:tr w:rsidR="00B162F5" w:rsidRPr="00BC2726" w14:paraId="19DE40C8" w14:textId="77777777" w:rsidTr="00C06A03">
        <w:trPr>
          <w:trHeight w:val="20"/>
        </w:trPr>
        <w:tc>
          <w:tcPr>
            <w:tcW w:w="3823" w:type="dxa"/>
            <w:vMerge/>
            <w:shd w:val="clear" w:color="auto" w:fill="auto"/>
          </w:tcPr>
          <w:p w14:paraId="3C987E00" w14:textId="77777777" w:rsidR="00B162F5" w:rsidRPr="00760627" w:rsidRDefault="00B162F5" w:rsidP="00760627">
            <w:pPr>
              <w:spacing w:line="240" w:lineRule="auto"/>
              <w:rPr>
                <w:rFonts w:cstheme="minorHAnsi"/>
                <w:b/>
                <w:bCs/>
                <w:lang w:val="en-GB"/>
              </w:rPr>
            </w:pPr>
          </w:p>
        </w:tc>
        <w:tc>
          <w:tcPr>
            <w:tcW w:w="2835" w:type="dxa"/>
            <w:shd w:val="clear" w:color="auto" w:fill="auto"/>
          </w:tcPr>
          <w:p w14:paraId="412687CA" w14:textId="77777777" w:rsidR="00B162F5" w:rsidRPr="00760627" w:rsidRDefault="00B162F5" w:rsidP="00760627">
            <w:pPr>
              <w:spacing w:line="240" w:lineRule="auto"/>
              <w:rPr>
                <w:rFonts w:cstheme="minorHAnsi"/>
                <w:lang w:val="en-GB"/>
              </w:rPr>
            </w:pPr>
            <w:r w:rsidRPr="00760627">
              <w:rPr>
                <w:rFonts w:cstheme="minorHAnsi"/>
                <w:lang w:val="en-GB"/>
              </w:rPr>
              <w:t>Rare</w:t>
            </w:r>
          </w:p>
        </w:tc>
        <w:tc>
          <w:tcPr>
            <w:tcW w:w="2403" w:type="dxa"/>
            <w:shd w:val="clear" w:color="auto" w:fill="auto"/>
          </w:tcPr>
          <w:p w14:paraId="7E34164A" w14:textId="77777777" w:rsidR="00B162F5" w:rsidRPr="00E70FB5" w:rsidRDefault="00B162F5" w:rsidP="00C06A03">
            <w:pPr>
              <w:spacing w:after="60" w:line="240" w:lineRule="auto"/>
              <w:rPr>
                <w:rFonts w:cstheme="minorHAnsi"/>
                <w:lang w:val="es-ES"/>
              </w:rPr>
            </w:pPr>
            <w:r w:rsidRPr="00E70FB5">
              <w:rPr>
                <w:rFonts w:cstheme="minorHAnsi"/>
                <w:lang w:val="es-ES"/>
              </w:rPr>
              <w:t xml:space="preserve">Acute </w:t>
            </w:r>
            <w:proofErr w:type="spellStart"/>
            <w:r w:rsidRPr="00E70FB5">
              <w:rPr>
                <w:rFonts w:cstheme="minorHAnsi"/>
                <w:lang w:val="es-ES"/>
              </w:rPr>
              <w:t>peripheral</w:t>
            </w:r>
            <w:proofErr w:type="spellEnd"/>
            <w:r w:rsidRPr="00E70FB5">
              <w:rPr>
                <w:rFonts w:cstheme="minorHAnsi"/>
                <w:lang w:val="es-ES"/>
              </w:rPr>
              <w:t xml:space="preserve"> facial </w:t>
            </w:r>
            <w:proofErr w:type="spellStart"/>
            <w:r w:rsidRPr="00E70FB5">
              <w:rPr>
                <w:rFonts w:cstheme="minorHAnsi"/>
                <w:lang w:val="es-ES"/>
              </w:rPr>
              <w:t>paralysis</w:t>
            </w:r>
            <w:proofErr w:type="spellEnd"/>
            <w:r w:rsidRPr="00E70FB5">
              <w:rPr>
                <w:rFonts w:cstheme="minorHAnsi"/>
                <w:lang w:val="es-ES"/>
              </w:rPr>
              <w:t>‡</w:t>
            </w:r>
          </w:p>
          <w:p w14:paraId="7852C1B5" w14:textId="57A4D521" w:rsidR="00B162F5" w:rsidRPr="00E70FB5" w:rsidRDefault="00B162F5" w:rsidP="00C06A03">
            <w:pPr>
              <w:spacing w:line="240" w:lineRule="auto"/>
              <w:rPr>
                <w:rFonts w:cstheme="minorHAnsi"/>
                <w:lang w:val="es-ES"/>
              </w:rPr>
            </w:pPr>
            <w:proofErr w:type="spellStart"/>
            <w:r w:rsidRPr="00E70FB5">
              <w:rPr>
                <w:rFonts w:cstheme="minorHAnsi"/>
                <w:lang w:val="es-ES"/>
              </w:rPr>
              <w:t>Hypoaesthesia</w:t>
            </w:r>
            <w:proofErr w:type="spellEnd"/>
            <w:r w:rsidRPr="00E70FB5">
              <w:rPr>
                <w:rFonts w:cstheme="minorHAnsi"/>
                <w:lang w:val="es-ES"/>
              </w:rPr>
              <w:t xml:space="preserve">/ </w:t>
            </w:r>
            <w:proofErr w:type="spellStart"/>
            <w:r w:rsidRPr="00E70FB5">
              <w:rPr>
                <w:rFonts w:cstheme="minorHAnsi"/>
                <w:lang w:val="es-ES"/>
              </w:rPr>
              <w:t>paraesthesia</w:t>
            </w:r>
            <w:proofErr w:type="spellEnd"/>
          </w:p>
        </w:tc>
      </w:tr>
      <w:tr w:rsidR="00760627" w:rsidRPr="00760627" w14:paraId="7E950670" w14:textId="77777777" w:rsidTr="00C06A03">
        <w:trPr>
          <w:trHeight w:val="20"/>
        </w:trPr>
        <w:tc>
          <w:tcPr>
            <w:tcW w:w="3823" w:type="dxa"/>
            <w:shd w:val="clear" w:color="auto" w:fill="auto"/>
          </w:tcPr>
          <w:p w14:paraId="7E67EE3A" w14:textId="77777777" w:rsidR="00760627" w:rsidRPr="00760627" w:rsidRDefault="00760627" w:rsidP="00760627">
            <w:pPr>
              <w:spacing w:line="240" w:lineRule="auto"/>
              <w:rPr>
                <w:rFonts w:cstheme="minorHAnsi"/>
                <w:b/>
                <w:bCs/>
                <w:lang w:val="en-GB"/>
              </w:rPr>
            </w:pPr>
            <w:r w:rsidRPr="00760627">
              <w:rPr>
                <w:rFonts w:cstheme="minorHAnsi"/>
                <w:b/>
                <w:bCs/>
                <w:lang w:val="en-GB"/>
              </w:rPr>
              <w:t>Cardiac disorders</w:t>
            </w:r>
          </w:p>
        </w:tc>
        <w:tc>
          <w:tcPr>
            <w:tcW w:w="2835" w:type="dxa"/>
            <w:shd w:val="clear" w:color="auto" w:fill="auto"/>
          </w:tcPr>
          <w:p w14:paraId="742B2266" w14:textId="77777777" w:rsidR="00760627" w:rsidRPr="00760627" w:rsidRDefault="00760627" w:rsidP="00760627">
            <w:pPr>
              <w:spacing w:line="240" w:lineRule="auto"/>
              <w:rPr>
                <w:rFonts w:cstheme="minorHAnsi"/>
                <w:lang w:val="en-GB"/>
              </w:rPr>
            </w:pPr>
            <w:r w:rsidRPr="00760627">
              <w:rPr>
                <w:rFonts w:cstheme="minorHAnsi"/>
                <w:lang w:val="en-GB"/>
              </w:rPr>
              <w:t>Very rare</w:t>
            </w:r>
          </w:p>
        </w:tc>
        <w:tc>
          <w:tcPr>
            <w:tcW w:w="2403" w:type="dxa"/>
            <w:shd w:val="clear" w:color="auto" w:fill="auto"/>
          </w:tcPr>
          <w:p w14:paraId="35D3A2A9" w14:textId="6B70202C" w:rsidR="00760627" w:rsidRPr="00CA681B" w:rsidRDefault="00760627" w:rsidP="00C06A03">
            <w:pPr>
              <w:spacing w:after="60" w:line="240" w:lineRule="auto"/>
              <w:rPr>
                <w:rFonts w:cstheme="minorHAnsi"/>
                <w:vertAlign w:val="superscript"/>
                <w:lang w:val="en-GB"/>
              </w:rPr>
            </w:pPr>
            <w:r w:rsidRPr="00760627">
              <w:rPr>
                <w:rFonts w:cstheme="minorHAnsi"/>
                <w:lang w:val="en-GB"/>
              </w:rPr>
              <w:t>Myocarditis</w:t>
            </w:r>
            <w:r w:rsidR="00CA681B">
              <w:rPr>
                <w:rFonts w:cstheme="minorHAnsi"/>
                <w:vertAlign w:val="superscript"/>
                <w:lang w:val="en-GB"/>
              </w:rPr>
              <w:t>#</w:t>
            </w:r>
          </w:p>
          <w:p w14:paraId="1313EDC3" w14:textId="14358318" w:rsidR="00760627" w:rsidRPr="00760627" w:rsidRDefault="00760627" w:rsidP="00760627">
            <w:pPr>
              <w:spacing w:line="240" w:lineRule="auto"/>
              <w:rPr>
                <w:rFonts w:cstheme="minorHAnsi"/>
                <w:lang w:val="en-GB"/>
              </w:rPr>
            </w:pPr>
            <w:r w:rsidRPr="00760627">
              <w:rPr>
                <w:rFonts w:cstheme="minorHAnsi"/>
                <w:lang w:val="en-GB"/>
              </w:rPr>
              <w:t>Pericarditis</w:t>
            </w:r>
            <w:r w:rsidR="00CA681B">
              <w:rPr>
                <w:rFonts w:cstheme="minorHAnsi"/>
                <w:vertAlign w:val="superscript"/>
                <w:lang w:val="en-GB"/>
              </w:rPr>
              <w:t>#</w:t>
            </w:r>
          </w:p>
        </w:tc>
      </w:tr>
      <w:tr w:rsidR="00453572" w:rsidRPr="00760627" w14:paraId="29744541" w14:textId="77777777" w:rsidTr="00C06A03">
        <w:trPr>
          <w:trHeight w:val="20"/>
        </w:trPr>
        <w:tc>
          <w:tcPr>
            <w:tcW w:w="3823" w:type="dxa"/>
            <w:vMerge w:val="restart"/>
            <w:shd w:val="clear" w:color="auto" w:fill="auto"/>
            <w:hideMark/>
          </w:tcPr>
          <w:p w14:paraId="3624E429" w14:textId="77777777" w:rsidR="00453572" w:rsidRPr="00760627" w:rsidRDefault="00453572" w:rsidP="00760627">
            <w:pPr>
              <w:spacing w:line="240" w:lineRule="auto"/>
              <w:rPr>
                <w:rFonts w:cstheme="minorHAnsi"/>
                <w:b/>
                <w:bCs/>
                <w:lang w:val="en-GB"/>
              </w:rPr>
            </w:pPr>
            <w:r w:rsidRPr="00760627">
              <w:rPr>
                <w:rFonts w:cstheme="minorHAnsi"/>
                <w:b/>
                <w:bCs/>
                <w:lang w:val="en-GB"/>
              </w:rPr>
              <w:t>Gastrointestinal disorders </w:t>
            </w:r>
          </w:p>
        </w:tc>
        <w:tc>
          <w:tcPr>
            <w:tcW w:w="2835" w:type="dxa"/>
            <w:shd w:val="clear" w:color="auto" w:fill="auto"/>
            <w:hideMark/>
          </w:tcPr>
          <w:p w14:paraId="4051BAE8" w14:textId="77777777" w:rsidR="00453572" w:rsidRPr="00760627" w:rsidRDefault="00453572" w:rsidP="00760627">
            <w:pPr>
              <w:spacing w:line="240" w:lineRule="auto"/>
              <w:rPr>
                <w:rFonts w:cstheme="minorHAnsi"/>
                <w:lang w:val="en-GB"/>
              </w:rPr>
            </w:pPr>
            <w:r w:rsidRPr="00760627">
              <w:rPr>
                <w:rFonts w:cstheme="minorHAnsi"/>
                <w:lang w:val="en-GB"/>
              </w:rPr>
              <w:t>Very common </w:t>
            </w:r>
          </w:p>
        </w:tc>
        <w:tc>
          <w:tcPr>
            <w:tcW w:w="2403" w:type="dxa"/>
            <w:shd w:val="clear" w:color="auto" w:fill="auto"/>
            <w:hideMark/>
          </w:tcPr>
          <w:p w14:paraId="1A7C3119" w14:textId="77777777" w:rsidR="00453572" w:rsidRPr="00760627" w:rsidRDefault="00453572" w:rsidP="00760627">
            <w:pPr>
              <w:spacing w:line="240" w:lineRule="auto"/>
              <w:rPr>
                <w:rFonts w:cstheme="minorHAnsi"/>
                <w:lang w:val="en-GB"/>
              </w:rPr>
            </w:pPr>
            <w:r w:rsidRPr="00760627">
              <w:rPr>
                <w:rFonts w:cstheme="minorHAnsi"/>
                <w:lang w:val="en-GB"/>
              </w:rPr>
              <w:t>Nausea/vomiting</w:t>
            </w:r>
          </w:p>
        </w:tc>
      </w:tr>
      <w:tr w:rsidR="00453572" w:rsidRPr="00760627" w14:paraId="3EB95E76" w14:textId="77777777" w:rsidTr="00C06A03">
        <w:trPr>
          <w:trHeight w:val="20"/>
        </w:trPr>
        <w:tc>
          <w:tcPr>
            <w:tcW w:w="3823" w:type="dxa"/>
            <w:vMerge/>
            <w:shd w:val="clear" w:color="auto" w:fill="auto"/>
          </w:tcPr>
          <w:p w14:paraId="70E81866" w14:textId="77777777" w:rsidR="00453572" w:rsidRPr="00760627" w:rsidRDefault="00453572" w:rsidP="00760627">
            <w:pPr>
              <w:spacing w:line="240" w:lineRule="auto"/>
              <w:rPr>
                <w:rFonts w:cstheme="minorHAnsi"/>
                <w:b/>
                <w:bCs/>
                <w:lang w:val="en-GB"/>
              </w:rPr>
            </w:pPr>
          </w:p>
        </w:tc>
        <w:tc>
          <w:tcPr>
            <w:tcW w:w="2835" w:type="dxa"/>
            <w:shd w:val="clear" w:color="auto" w:fill="auto"/>
          </w:tcPr>
          <w:p w14:paraId="12FD00BC" w14:textId="65BB74C9" w:rsidR="00453572" w:rsidRPr="00760627" w:rsidRDefault="00453572" w:rsidP="00760627">
            <w:pPr>
              <w:spacing w:line="240" w:lineRule="auto"/>
              <w:rPr>
                <w:rFonts w:cstheme="minorHAnsi"/>
                <w:lang w:val="en-GB"/>
              </w:rPr>
            </w:pPr>
            <w:r>
              <w:rPr>
                <w:rFonts w:cstheme="minorHAnsi"/>
                <w:lang w:val="en-GB"/>
              </w:rPr>
              <w:t>Uncommon</w:t>
            </w:r>
          </w:p>
        </w:tc>
        <w:tc>
          <w:tcPr>
            <w:tcW w:w="2403" w:type="dxa"/>
            <w:shd w:val="clear" w:color="auto" w:fill="auto"/>
          </w:tcPr>
          <w:p w14:paraId="0F11F38F" w14:textId="0CEC89BA" w:rsidR="00453572" w:rsidRPr="00760627" w:rsidRDefault="00453572" w:rsidP="00760627">
            <w:pPr>
              <w:spacing w:line="240" w:lineRule="auto"/>
              <w:rPr>
                <w:rFonts w:cstheme="minorHAnsi"/>
                <w:lang w:val="en-GB"/>
              </w:rPr>
            </w:pPr>
            <w:r>
              <w:rPr>
                <w:rFonts w:cstheme="minorHAnsi"/>
                <w:lang w:val="en-GB"/>
              </w:rPr>
              <w:t>Abdominal pain***</w:t>
            </w:r>
          </w:p>
        </w:tc>
      </w:tr>
      <w:tr w:rsidR="00453572" w:rsidRPr="00760627" w14:paraId="56F18B5B" w14:textId="77777777" w:rsidTr="00C06A03">
        <w:trPr>
          <w:trHeight w:val="20"/>
        </w:trPr>
        <w:tc>
          <w:tcPr>
            <w:tcW w:w="3823" w:type="dxa"/>
            <w:vMerge w:val="restart"/>
            <w:shd w:val="clear" w:color="auto" w:fill="auto"/>
          </w:tcPr>
          <w:p w14:paraId="6C9198CA" w14:textId="77777777" w:rsidR="00453572" w:rsidRPr="00760627" w:rsidRDefault="00453572" w:rsidP="00760627">
            <w:pPr>
              <w:spacing w:line="240" w:lineRule="auto"/>
              <w:rPr>
                <w:rFonts w:cstheme="minorHAnsi"/>
                <w:b/>
                <w:bCs/>
                <w:lang w:val="en-GB"/>
              </w:rPr>
            </w:pPr>
            <w:r w:rsidRPr="00760627">
              <w:rPr>
                <w:rFonts w:cstheme="minorHAnsi"/>
                <w:b/>
                <w:bCs/>
                <w:lang w:val="en-GB"/>
              </w:rPr>
              <w:t>Skin and subcutaneous tissue disorders</w:t>
            </w:r>
            <w:r w:rsidRPr="00760627">
              <w:rPr>
                <w:rFonts w:cstheme="minorHAnsi"/>
                <w:lang w:val="en-GB"/>
              </w:rPr>
              <w:t> </w:t>
            </w:r>
          </w:p>
        </w:tc>
        <w:tc>
          <w:tcPr>
            <w:tcW w:w="2835" w:type="dxa"/>
            <w:shd w:val="clear" w:color="auto" w:fill="auto"/>
          </w:tcPr>
          <w:p w14:paraId="289F76D8" w14:textId="77777777" w:rsidR="00453572" w:rsidRPr="00760627" w:rsidRDefault="00453572" w:rsidP="00760627">
            <w:pPr>
              <w:spacing w:line="240" w:lineRule="auto"/>
              <w:rPr>
                <w:rFonts w:cstheme="minorHAnsi"/>
                <w:lang w:val="en-GB"/>
              </w:rPr>
            </w:pPr>
            <w:r w:rsidRPr="00760627">
              <w:rPr>
                <w:rFonts w:cstheme="minorHAnsi"/>
                <w:lang w:val="en-GB"/>
              </w:rPr>
              <w:t>Common  </w:t>
            </w:r>
          </w:p>
        </w:tc>
        <w:tc>
          <w:tcPr>
            <w:tcW w:w="2403" w:type="dxa"/>
            <w:shd w:val="clear" w:color="auto" w:fill="auto"/>
          </w:tcPr>
          <w:p w14:paraId="089F00E2" w14:textId="77777777" w:rsidR="00453572" w:rsidRPr="00760627" w:rsidRDefault="00453572" w:rsidP="00760627">
            <w:pPr>
              <w:spacing w:line="240" w:lineRule="auto"/>
              <w:rPr>
                <w:rFonts w:cstheme="minorHAnsi"/>
                <w:lang w:val="en-GB"/>
              </w:rPr>
            </w:pPr>
            <w:r w:rsidRPr="00760627">
              <w:rPr>
                <w:rFonts w:cstheme="minorHAnsi"/>
                <w:lang w:val="en-GB"/>
              </w:rPr>
              <w:t>Rash</w:t>
            </w:r>
          </w:p>
        </w:tc>
      </w:tr>
      <w:tr w:rsidR="00453572" w:rsidRPr="00760627" w14:paraId="5005E79E" w14:textId="77777777" w:rsidTr="00C06A03">
        <w:trPr>
          <w:trHeight w:val="20"/>
        </w:trPr>
        <w:tc>
          <w:tcPr>
            <w:tcW w:w="3823" w:type="dxa"/>
            <w:vMerge/>
            <w:shd w:val="clear" w:color="auto" w:fill="auto"/>
          </w:tcPr>
          <w:p w14:paraId="73F7920E" w14:textId="77777777" w:rsidR="00453572" w:rsidRPr="00760627" w:rsidRDefault="00453572" w:rsidP="00760627">
            <w:pPr>
              <w:spacing w:line="240" w:lineRule="auto"/>
              <w:rPr>
                <w:rFonts w:cstheme="minorHAnsi"/>
                <w:b/>
                <w:bCs/>
                <w:lang w:val="en-GB"/>
              </w:rPr>
            </w:pPr>
          </w:p>
        </w:tc>
        <w:tc>
          <w:tcPr>
            <w:tcW w:w="2835" w:type="dxa"/>
            <w:shd w:val="clear" w:color="auto" w:fill="auto"/>
          </w:tcPr>
          <w:p w14:paraId="7BAB0C48" w14:textId="2BD7868E" w:rsidR="00453572" w:rsidRPr="00760627" w:rsidRDefault="00453572" w:rsidP="00760627">
            <w:pPr>
              <w:spacing w:line="240" w:lineRule="auto"/>
              <w:rPr>
                <w:rFonts w:cstheme="minorHAnsi"/>
                <w:lang w:val="en-GB"/>
              </w:rPr>
            </w:pPr>
            <w:r>
              <w:rPr>
                <w:rFonts w:cstheme="minorHAnsi"/>
                <w:lang w:val="en-GB"/>
              </w:rPr>
              <w:t>Rare</w:t>
            </w:r>
          </w:p>
        </w:tc>
        <w:tc>
          <w:tcPr>
            <w:tcW w:w="2403" w:type="dxa"/>
            <w:shd w:val="clear" w:color="auto" w:fill="auto"/>
          </w:tcPr>
          <w:p w14:paraId="6C032741" w14:textId="29507BF2" w:rsidR="00453572" w:rsidRPr="00760627" w:rsidRDefault="00453572" w:rsidP="00760627">
            <w:pPr>
              <w:spacing w:line="240" w:lineRule="auto"/>
              <w:rPr>
                <w:rFonts w:cstheme="minorHAnsi"/>
                <w:lang w:val="en-GB"/>
              </w:rPr>
            </w:pPr>
            <w:r>
              <w:rPr>
                <w:rFonts w:cstheme="minorHAnsi"/>
                <w:lang w:val="en-GB"/>
              </w:rPr>
              <w:t>Acute and delayed urticaria</w:t>
            </w:r>
          </w:p>
        </w:tc>
      </w:tr>
      <w:tr w:rsidR="00453572" w:rsidRPr="00760627" w14:paraId="48A92883" w14:textId="77777777" w:rsidTr="00C06A03">
        <w:trPr>
          <w:trHeight w:val="20"/>
        </w:trPr>
        <w:tc>
          <w:tcPr>
            <w:tcW w:w="3823" w:type="dxa"/>
            <w:vMerge/>
            <w:shd w:val="clear" w:color="auto" w:fill="auto"/>
          </w:tcPr>
          <w:p w14:paraId="4F5A040E" w14:textId="77777777" w:rsidR="00453572" w:rsidRPr="00760627" w:rsidRDefault="00453572" w:rsidP="00867780">
            <w:pPr>
              <w:spacing w:line="240" w:lineRule="auto"/>
              <w:rPr>
                <w:rFonts w:cstheme="minorHAnsi"/>
                <w:b/>
                <w:bCs/>
                <w:lang w:val="en-GB"/>
              </w:rPr>
            </w:pPr>
          </w:p>
        </w:tc>
        <w:tc>
          <w:tcPr>
            <w:tcW w:w="2835" w:type="dxa"/>
            <w:shd w:val="clear" w:color="auto" w:fill="auto"/>
          </w:tcPr>
          <w:p w14:paraId="4B5A79BB" w14:textId="243BA878" w:rsidR="00453572" w:rsidRPr="00760627" w:rsidRDefault="00453572" w:rsidP="00867780">
            <w:pPr>
              <w:spacing w:line="240" w:lineRule="auto"/>
              <w:rPr>
                <w:rFonts w:cstheme="minorHAnsi"/>
                <w:lang w:val="en-GB"/>
              </w:rPr>
            </w:pPr>
            <w:r w:rsidRPr="00355B8C">
              <w:t>Rare</w:t>
            </w:r>
          </w:p>
        </w:tc>
        <w:tc>
          <w:tcPr>
            <w:tcW w:w="2403" w:type="dxa"/>
            <w:shd w:val="clear" w:color="auto" w:fill="auto"/>
          </w:tcPr>
          <w:p w14:paraId="68FCE34E" w14:textId="3405D41E" w:rsidR="00453572" w:rsidRPr="00760627" w:rsidRDefault="00453572" w:rsidP="00867780">
            <w:pPr>
              <w:spacing w:line="240" w:lineRule="auto"/>
              <w:rPr>
                <w:rFonts w:cstheme="minorHAnsi"/>
                <w:lang w:val="en-GB"/>
              </w:rPr>
            </w:pPr>
            <w:r w:rsidRPr="00355B8C">
              <w:t xml:space="preserve">Erythema </w:t>
            </w:r>
            <w:r>
              <w:t>m</w:t>
            </w:r>
            <w:r w:rsidRPr="00355B8C">
              <w:t>ultiforme</w:t>
            </w:r>
            <w:r w:rsidRPr="008B01F9">
              <w:rPr>
                <w:vertAlign w:val="superscript"/>
              </w:rPr>
              <w:t>£</w:t>
            </w:r>
          </w:p>
        </w:tc>
      </w:tr>
      <w:tr w:rsidR="00760627" w:rsidRPr="00760627" w14:paraId="4F58B9C9" w14:textId="77777777" w:rsidTr="00C06A03">
        <w:trPr>
          <w:trHeight w:val="20"/>
        </w:trPr>
        <w:tc>
          <w:tcPr>
            <w:tcW w:w="3823" w:type="dxa"/>
            <w:shd w:val="clear" w:color="auto" w:fill="auto"/>
            <w:hideMark/>
          </w:tcPr>
          <w:p w14:paraId="0B7C172D" w14:textId="77777777" w:rsidR="00760627" w:rsidRPr="00760627" w:rsidRDefault="00760627" w:rsidP="00760627">
            <w:pPr>
              <w:spacing w:line="240" w:lineRule="auto"/>
              <w:rPr>
                <w:rFonts w:cstheme="minorHAnsi"/>
                <w:b/>
                <w:bCs/>
                <w:lang w:val="en-GB"/>
              </w:rPr>
            </w:pPr>
            <w:r w:rsidRPr="00760627">
              <w:rPr>
                <w:rFonts w:cstheme="minorHAnsi"/>
                <w:b/>
                <w:bCs/>
                <w:lang w:val="en-GB"/>
              </w:rPr>
              <w:t>Musculoskeletal and connective tissue disorders </w:t>
            </w:r>
          </w:p>
        </w:tc>
        <w:tc>
          <w:tcPr>
            <w:tcW w:w="2835" w:type="dxa"/>
            <w:shd w:val="clear" w:color="auto" w:fill="auto"/>
            <w:hideMark/>
          </w:tcPr>
          <w:p w14:paraId="3291C927" w14:textId="77777777" w:rsidR="00760627" w:rsidRPr="00760627" w:rsidRDefault="00760627" w:rsidP="00760627">
            <w:pPr>
              <w:spacing w:line="240" w:lineRule="auto"/>
              <w:rPr>
                <w:rFonts w:cstheme="minorHAnsi"/>
                <w:lang w:val="en-GB"/>
              </w:rPr>
            </w:pPr>
            <w:r w:rsidRPr="00760627">
              <w:rPr>
                <w:rFonts w:cstheme="minorHAnsi"/>
                <w:lang w:val="en-GB"/>
              </w:rPr>
              <w:t>Very common </w:t>
            </w:r>
          </w:p>
        </w:tc>
        <w:tc>
          <w:tcPr>
            <w:tcW w:w="2403" w:type="dxa"/>
            <w:shd w:val="clear" w:color="auto" w:fill="auto"/>
            <w:hideMark/>
          </w:tcPr>
          <w:p w14:paraId="1DDEB2AA" w14:textId="77777777" w:rsidR="00760627" w:rsidRPr="00760627" w:rsidRDefault="00760627" w:rsidP="00C06A03">
            <w:pPr>
              <w:spacing w:after="60" w:line="240" w:lineRule="auto"/>
              <w:rPr>
                <w:rFonts w:cstheme="minorHAnsi"/>
                <w:lang w:val="en-GB"/>
              </w:rPr>
            </w:pPr>
            <w:r w:rsidRPr="00760627">
              <w:rPr>
                <w:rFonts w:cstheme="minorHAnsi"/>
                <w:lang w:val="en-GB"/>
              </w:rPr>
              <w:t>Myalgia</w:t>
            </w:r>
          </w:p>
          <w:p w14:paraId="0378E0E7" w14:textId="77777777" w:rsidR="00760627" w:rsidRPr="00760627" w:rsidRDefault="00760627" w:rsidP="00760627">
            <w:pPr>
              <w:spacing w:line="240" w:lineRule="auto"/>
              <w:rPr>
                <w:rFonts w:cstheme="minorHAnsi"/>
                <w:lang w:val="en-GB"/>
              </w:rPr>
            </w:pPr>
            <w:r w:rsidRPr="00760627">
              <w:rPr>
                <w:rFonts w:cstheme="minorHAnsi"/>
                <w:lang w:val="en-GB"/>
              </w:rPr>
              <w:t>Arthralgia</w:t>
            </w:r>
          </w:p>
        </w:tc>
      </w:tr>
      <w:tr w:rsidR="00760627" w:rsidRPr="00760627" w14:paraId="6E016050" w14:textId="77777777" w:rsidTr="00C06A03">
        <w:trPr>
          <w:trHeight w:val="20"/>
        </w:trPr>
        <w:tc>
          <w:tcPr>
            <w:tcW w:w="3823" w:type="dxa"/>
            <w:vMerge w:val="restart"/>
            <w:shd w:val="clear" w:color="auto" w:fill="auto"/>
          </w:tcPr>
          <w:p w14:paraId="19DC32E2" w14:textId="77777777" w:rsidR="00760627" w:rsidRPr="00760627" w:rsidRDefault="00760627" w:rsidP="00760627">
            <w:pPr>
              <w:spacing w:line="240" w:lineRule="auto"/>
              <w:rPr>
                <w:rFonts w:cstheme="minorHAnsi"/>
                <w:b/>
                <w:bCs/>
                <w:lang w:val="en-GB"/>
              </w:rPr>
            </w:pPr>
            <w:r w:rsidRPr="00760627">
              <w:rPr>
                <w:rFonts w:cstheme="minorHAnsi"/>
                <w:b/>
                <w:bCs/>
                <w:lang w:val="en-GB"/>
              </w:rPr>
              <w:t>General disorders and administration site conditions </w:t>
            </w:r>
          </w:p>
        </w:tc>
        <w:tc>
          <w:tcPr>
            <w:tcW w:w="2835" w:type="dxa"/>
            <w:shd w:val="clear" w:color="auto" w:fill="auto"/>
          </w:tcPr>
          <w:p w14:paraId="2F98B9EE" w14:textId="77777777" w:rsidR="00760627" w:rsidRPr="00760627" w:rsidRDefault="00760627" w:rsidP="00760627">
            <w:pPr>
              <w:spacing w:line="240" w:lineRule="auto"/>
              <w:rPr>
                <w:rFonts w:cstheme="minorHAnsi"/>
                <w:lang w:val="en-GB"/>
              </w:rPr>
            </w:pPr>
            <w:r w:rsidRPr="00760627">
              <w:rPr>
                <w:rFonts w:cstheme="minorHAnsi"/>
                <w:lang w:val="en-GB"/>
              </w:rPr>
              <w:t>Very common </w:t>
            </w:r>
          </w:p>
        </w:tc>
        <w:tc>
          <w:tcPr>
            <w:tcW w:w="2403" w:type="dxa"/>
            <w:shd w:val="clear" w:color="auto" w:fill="auto"/>
          </w:tcPr>
          <w:p w14:paraId="1121B149" w14:textId="77777777" w:rsidR="00760627" w:rsidRPr="00E70FB5" w:rsidRDefault="00760627" w:rsidP="00C06A03">
            <w:pPr>
              <w:spacing w:after="60" w:line="240" w:lineRule="auto"/>
              <w:rPr>
                <w:rFonts w:cstheme="minorHAnsi"/>
                <w:lang w:val="en-NZ"/>
              </w:rPr>
            </w:pPr>
            <w:r w:rsidRPr="00E70FB5">
              <w:rPr>
                <w:rFonts w:cstheme="minorHAnsi"/>
                <w:lang w:val="en-NZ"/>
              </w:rPr>
              <w:t>Injection site pain</w:t>
            </w:r>
          </w:p>
          <w:p w14:paraId="549AFE7B" w14:textId="77777777" w:rsidR="00760627" w:rsidRPr="00E70FB5" w:rsidRDefault="00760627" w:rsidP="00C06A03">
            <w:pPr>
              <w:spacing w:after="60" w:line="240" w:lineRule="auto"/>
              <w:rPr>
                <w:rFonts w:cstheme="minorHAnsi"/>
                <w:lang w:val="en-NZ"/>
              </w:rPr>
            </w:pPr>
            <w:r w:rsidRPr="00E70FB5">
              <w:rPr>
                <w:rFonts w:cstheme="minorHAnsi"/>
                <w:lang w:val="en-NZ"/>
              </w:rPr>
              <w:t>Fatigue</w:t>
            </w:r>
          </w:p>
          <w:p w14:paraId="5921A107" w14:textId="695CA7D6" w:rsidR="00760627" w:rsidRPr="00E70FB5" w:rsidRDefault="00760627" w:rsidP="00C06A03">
            <w:pPr>
              <w:spacing w:after="60" w:line="240" w:lineRule="auto"/>
              <w:rPr>
                <w:rFonts w:cstheme="minorHAnsi"/>
                <w:lang w:val="en-NZ"/>
              </w:rPr>
            </w:pPr>
            <w:r w:rsidRPr="00E70FB5">
              <w:rPr>
                <w:rFonts w:cstheme="minorHAnsi"/>
                <w:lang w:val="en-NZ"/>
              </w:rPr>
              <w:t>Chills</w:t>
            </w:r>
          </w:p>
          <w:p w14:paraId="229FB754" w14:textId="6B037D1E" w:rsidR="00702971" w:rsidRPr="00E70FB5" w:rsidRDefault="00702971" w:rsidP="00C06A03">
            <w:pPr>
              <w:spacing w:after="60" w:line="240" w:lineRule="auto"/>
              <w:rPr>
                <w:rFonts w:cstheme="minorHAnsi"/>
                <w:lang w:val="en-NZ"/>
              </w:rPr>
            </w:pPr>
            <w:r w:rsidRPr="00044C80">
              <w:t>Axillary swelling/tenderness</w:t>
            </w:r>
          </w:p>
          <w:p w14:paraId="7A2B7C68" w14:textId="77777777" w:rsidR="00760627" w:rsidRPr="00E70FB5" w:rsidRDefault="00760627" w:rsidP="00C06A03">
            <w:pPr>
              <w:spacing w:after="60" w:line="240" w:lineRule="auto"/>
              <w:rPr>
                <w:rFonts w:cstheme="minorHAnsi"/>
                <w:lang w:val="en-NZ"/>
              </w:rPr>
            </w:pPr>
            <w:r w:rsidRPr="00E70FB5">
              <w:rPr>
                <w:rFonts w:cstheme="minorHAnsi"/>
                <w:lang w:val="en-NZ"/>
              </w:rPr>
              <w:t>Pyrexia</w:t>
            </w:r>
          </w:p>
          <w:p w14:paraId="71508D13" w14:textId="77777777" w:rsidR="00760627" w:rsidRPr="00760627" w:rsidRDefault="00760627" w:rsidP="00C06A03">
            <w:pPr>
              <w:spacing w:after="60" w:line="240" w:lineRule="auto"/>
              <w:rPr>
                <w:rFonts w:cstheme="minorHAnsi"/>
                <w:lang w:val="en-GB"/>
              </w:rPr>
            </w:pPr>
            <w:r w:rsidRPr="00760627">
              <w:rPr>
                <w:rFonts w:cstheme="minorHAnsi"/>
                <w:lang w:val="en-GB"/>
              </w:rPr>
              <w:t>Injection site swelling</w:t>
            </w:r>
          </w:p>
          <w:p w14:paraId="3A41164D" w14:textId="77777777" w:rsidR="00760627" w:rsidRPr="00E70FB5" w:rsidRDefault="00760627" w:rsidP="00760627">
            <w:pPr>
              <w:spacing w:line="240" w:lineRule="auto"/>
              <w:rPr>
                <w:rFonts w:cstheme="minorHAnsi"/>
                <w:lang w:val="en-NZ"/>
              </w:rPr>
            </w:pPr>
            <w:r w:rsidRPr="00E70FB5">
              <w:rPr>
                <w:rFonts w:cstheme="minorHAnsi"/>
                <w:lang w:val="en-NZ"/>
              </w:rPr>
              <w:lastRenderedPageBreak/>
              <w:t xml:space="preserve">Injection site erythema </w:t>
            </w:r>
            <w:r w:rsidRPr="00760627">
              <w:rPr>
                <w:rFonts w:cstheme="minorHAnsi"/>
                <w:lang w:val="en-GB"/>
              </w:rPr>
              <w:t> </w:t>
            </w:r>
          </w:p>
        </w:tc>
      </w:tr>
      <w:tr w:rsidR="00760627" w:rsidRPr="00760627" w14:paraId="6273A8D8" w14:textId="77777777" w:rsidTr="00C06A03">
        <w:trPr>
          <w:trHeight w:val="20"/>
        </w:trPr>
        <w:tc>
          <w:tcPr>
            <w:tcW w:w="3823" w:type="dxa"/>
            <w:vMerge/>
            <w:shd w:val="clear" w:color="auto" w:fill="auto"/>
          </w:tcPr>
          <w:p w14:paraId="45D8BCD2" w14:textId="77777777" w:rsidR="00760627" w:rsidRPr="00760627" w:rsidRDefault="00760627" w:rsidP="00760627">
            <w:pPr>
              <w:spacing w:line="240" w:lineRule="auto"/>
              <w:rPr>
                <w:rFonts w:cstheme="minorHAnsi"/>
                <w:b/>
                <w:bCs/>
                <w:lang w:val="en-GB"/>
              </w:rPr>
            </w:pPr>
          </w:p>
        </w:tc>
        <w:tc>
          <w:tcPr>
            <w:tcW w:w="2835" w:type="dxa"/>
            <w:shd w:val="clear" w:color="auto" w:fill="auto"/>
          </w:tcPr>
          <w:p w14:paraId="26D0A386" w14:textId="77777777" w:rsidR="00760627" w:rsidRPr="00760627" w:rsidRDefault="00760627" w:rsidP="00760627">
            <w:pPr>
              <w:spacing w:line="240" w:lineRule="auto"/>
              <w:rPr>
                <w:rFonts w:cstheme="minorHAnsi"/>
                <w:lang w:val="en-GB"/>
              </w:rPr>
            </w:pPr>
            <w:r w:rsidRPr="00760627">
              <w:rPr>
                <w:rFonts w:cstheme="minorHAnsi"/>
                <w:lang w:val="en-GB"/>
              </w:rPr>
              <w:t>Common </w:t>
            </w:r>
          </w:p>
        </w:tc>
        <w:tc>
          <w:tcPr>
            <w:tcW w:w="2403" w:type="dxa"/>
            <w:shd w:val="clear" w:color="auto" w:fill="auto"/>
          </w:tcPr>
          <w:p w14:paraId="584F0F40" w14:textId="77777777" w:rsidR="00C06A03" w:rsidRPr="00E70FB5" w:rsidRDefault="00760627" w:rsidP="00C06A03">
            <w:pPr>
              <w:spacing w:after="60" w:line="240" w:lineRule="auto"/>
              <w:rPr>
                <w:rFonts w:cstheme="minorHAnsi"/>
                <w:lang w:val="en-NZ"/>
              </w:rPr>
            </w:pPr>
            <w:r w:rsidRPr="00E70FB5">
              <w:rPr>
                <w:rFonts w:cstheme="minorHAnsi"/>
                <w:lang w:val="en-NZ"/>
              </w:rPr>
              <w:t xml:space="preserve">Injection site urticaria </w:t>
            </w:r>
          </w:p>
          <w:p w14:paraId="2D1E205A" w14:textId="60813805" w:rsidR="00760627" w:rsidRPr="00E70FB5" w:rsidRDefault="00760627" w:rsidP="00C06A03">
            <w:pPr>
              <w:spacing w:after="60" w:line="240" w:lineRule="auto"/>
              <w:rPr>
                <w:rFonts w:cstheme="minorHAnsi"/>
                <w:lang w:val="en-NZ"/>
              </w:rPr>
            </w:pPr>
            <w:r w:rsidRPr="00E70FB5">
              <w:rPr>
                <w:rFonts w:cstheme="minorHAnsi"/>
                <w:lang w:val="en-NZ"/>
              </w:rPr>
              <w:t>Injection site rash</w:t>
            </w:r>
          </w:p>
          <w:p w14:paraId="77CBD9E9" w14:textId="77777777" w:rsidR="00760627" w:rsidRPr="00E70FB5" w:rsidRDefault="00760627" w:rsidP="00760627">
            <w:pPr>
              <w:spacing w:line="240" w:lineRule="auto"/>
              <w:rPr>
                <w:rFonts w:cstheme="minorHAnsi"/>
                <w:lang w:val="en-NZ"/>
              </w:rPr>
            </w:pPr>
            <w:r w:rsidRPr="00760627">
              <w:rPr>
                <w:rFonts w:cstheme="minorHAnsi"/>
                <w:lang w:val="en-GB"/>
              </w:rPr>
              <w:t>Delayed injection site reaction§</w:t>
            </w:r>
          </w:p>
        </w:tc>
      </w:tr>
      <w:tr w:rsidR="00760627" w:rsidRPr="00760627" w14:paraId="5FC1F793" w14:textId="77777777" w:rsidTr="00C06A03">
        <w:trPr>
          <w:trHeight w:val="20"/>
        </w:trPr>
        <w:tc>
          <w:tcPr>
            <w:tcW w:w="3823" w:type="dxa"/>
            <w:vMerge/>
          </w:tcPr>
          <w:p w14:paraId="0A214136" w14:textId="77777777" w:rsidR="00760627" w:rsidRPr="00E70FB5" w:rsidRDefault="00760627" w:rsidP="00760627">
            <w:pPr>
              <w:spacing w:line="240" w:lineRule="auto"/>
              <w:rPr>
                <w:rFonts w:cstheme="minorHAnsi"/>
                <w:b/>
                <w:bCs/>
                <w:lang w:val="en-NZ"/>
              </w:rPr>
            </w:pPr>
          </w:p>
        </w:tc>
        <w:tc>
          <w:tcPr>
            <w:tcW w:w="2835" w:type="dxa"/>
            <w:shd w:val="clear" w:color="auto" w:fill="auto"/>
          </w:tcPr>
          <w:p w14:paraId="38CF66D2" w14:textId="77777777" w:rsidR="00760627" w:rsidRPr="00760627" w:rsidRDefault="00760627" w:rsidP="00760627">
            <w:pPr>
              <w:spacing w:line="240" w:lineRule="auto"/>
              <w:rPr>
                <w:rFonts w:cstheme="minorHAnsi"/>
                <w:lang w:val="en-GB"/>
              </w:rPr>
            </w:pPr>
            <w:r w:rsidRPr="00760627">
              <w:rPr>
                <w:rFonts w:cstheme="minorHAnsi"/>
                <w:lang w:val="en-GB"/>
              </w:rPr>
              <w:t>Uncommon</w:t>
            </w:r>
          </w:p>
        </w:tc>
        <w:tc>
          <w:tcPr>
            <w:tcW w:w="2403" w:type="dxa"/>
            <w:shd w:val="clear" w:color="auto" w:fill="auto"/>
          </w:tcPr>
          <w:p w14:paraId="07A85498" w14:textId="77777777" w:rsidR="00760627" w:rsidRPr="00760627" w:rsidRDefault="00760627" w:rsidP="00760627">
            <w:pPr>
              <w:spacing w:line="240" w:lineRule="auto"/>
              <w:rPr>
                <w:rFonts w:cstheme="minorHAnsi"/>
                <w:lang w:val="en-GB"/>
              </w:rPr>
            </w:pPr>
            <w:r w:rsidRPr="00760627">
              <w:rPr>
                <w:rFonts w:cstheme="minorHAnsi"/>
                <w:lang w:val="en-GB"/>
              </w:rPr>
              <w:t>Injection site pruritus</w:t>
            </w:r>
          </w:p>
        </w:tc>
      </w:tr>
      <w:tr w:rsidR="00760627" w:rsidRPr="00760627" w14:paraId="44BEEFF7" w14:textId="77777777" w:rsidTr="00C06A03">
        <w:trPr>
          <w:trHeight w:val="20"/>
        </w:trPr>
        <w:tc>
          <w:tcPr>
            <w:tcW w:w="3823" w:type="dxa"/>
            <w:vMerge/>
            <w:vAlign w:val="center"/>
          </w:tcPr>
          <w:p w14:paraId="2F43B0A0" w14:textId="77777777" w:rsidR="00760627" w:rsidRPr="00760627" w:rsidRDefault="00760627" w:rsidP="00760627">
            <w:pPr>
              <w:spacing w:line="240" w:lineRule="auto"/>
              <w:rPr>
                <w:rFonts w:cstheme="minorHAnsi"/>
                <w:b/>
                <w:bCs/>
                <w:lang w:val="en-GB"/>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2DBA505" w14:textId="77777777" w:rsidR="00760627" w:rsidRPr="00760627" w:rsidRDefault="00760627" w:rsidP="00760627">
            <w:pPr>
              <w:spacing w:line="240" w:lineRule="auto"/>
              <w:rPr>
                <w:rFonts w:cstheme="minorHAnsi"/>
                <w:lang w:val="en-GB"/>
              </w:rPr>
            </w:pPr>
            <w:r w:rsidRPr="00760627">
              <w:rPr>
                <w:rFonts w:cstheme="minorHAnsi"/>
                <w:lang w:val="en-GB"/>
              </w:rPr>
              <w:t>Rare</w:t>
            </w:r>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1B311F6E" w14:textId="77777777" w:rsidR="00760627" w:rsidRDefault="00760627" w:rsidP="00E85293">
            <w:pPr>
              <w:spacing w:after="0" w:line="240" w:lineRule="auto"/>
              <w:rPr>
                <w:rFonts w:cstheme="minorHAnsi"/>
                <w:lang w:val="en-GB"/>
              </w:rPr>
            </w:pPr>
            <w:r w:rsidRPr="00760627">
              <w:rPr>
                <w:rFonts w:cstheme="minorHAnsi"/>
                <w:lang w:val="en-GB"/>
              </w:rPr>
              <w:t>Facial swelling</w:t>
            </w:r>
            <w:r w:rsidRPr="00760627">
              <w:rPr>
                <w:rFonts w:cstheme="minorHAnsi"/>
                <w:vertAlign w:val="superscript"/>
                <w:lang w:val="en-GB"/>
              </w:rPr>
              <w:t>¶</w:t>
            </w:r>
          </w:p>
          <w:p w14:paraId="4F5681D0" w14:textId="18A2C985" w:rsidR="00881B08" w:rsidRPr="00881B08" w:rsidRDefault="00881B08" w:rsidP="00E85293">
            <w:pPr>
              <w:spacing w:after="0" w:line="240" w:lineRule="auto"/>
              <w:rPr>
                <w:rFonts w:cstheme="minorHAnsi"/>
                <w:lang w:val="en-GB"/>
              </w:rPr>
            </w:pPr>
            <w:r>
              <w:rPr>
                <w:rFonts w:cstheme="minorHAnsi"/>
                <w:lang w:val="en-GB"/>
              </w:rPr>
              <w:t xml:space="preserve">Febrile </w:t>
            </w:r>
            <w:r w:rsidR="006E4D30">
              <w:rPr>
                <w:rFonts w:cstheme="minorHAnsi"/>
                <w:lang w:val="en-GB"/>
              </w:rPr>
              <w:t>convulsion</w:t>
            </w:r>
            <w:r w:rsidR="0074506F">
              <w:rPr>
                <w:rFonts w:cstheme="minorHAnsi"/>
                <w:lang w:val="en-GB"/>
              </w:rPr>
              <w:t>**</w:t>
            </w:r>
          </w:p>
        </w:tc>
      </w:tr>
    </w:tbl>
    <w:p w14:paraId="6C08A3AE" w14:textId="77777777" w:rsidR="00760627" w:rsidRPr="000C62AA" w:rsidRDefault="00760627" w:rsidP="000C62AA">
      <w:pPr>
        <w:spacing w:before="60" w:after="60" w:line="240" w:lineRule="auto"/>
        <w:rPr>
          <w:rFonts w:cstheme="minorHAnsi"/>
          <w:sz w:val="20"/>
          <w:szCs w:val="20"/>
          <w:lang w:val="en-GB"/>
        </w:rPr>
      </w:pPr>
      <w:r w:rsidRPr="000C62AA">
        <w:rPr>
          <w:rFonts w:cstheme="minorHAnsi"/>
          <w:sz w:val="20"/>
          <w:szCs w:val="20"/>
          <w:lang w:val="en-GB"/>
        </w:rPr>
        <w:t xml:space="preserve">*Lymphadenopathy was captured as axillary lymphadenopathy on the same side as the injection site. </w:t>
      </w:r>
      <w:r w:rsidRPr="00044C80">
        <w:rPr>
          <w:rFonts w:cstheme="minorHAnsi"/>
          <w:sz w:val="20"/>
          <w:szCs w:val="20"/>
          <w:lang w:val="en-GB"/>
        </w:rPr>
        <w:t>Other lymph nodes (e.g., cervical, supraclavicular) were affected in some cases.</w:t>
      </w:r>
    </w:p>
    <w:p w14:paraId="227C38F5" w14:textId="77777777" w:rsidR="00760627" w:rsidRPr="000C62AA" w:rsidRDefault="00760627" w:rsidP="000C62AA">
      <w:pPr>
        <w:spacing w:after="60" w:line="240" w:lineRule="auto"/>
        <w:rPr>
          <w:rFonts w:cstheme="minorHAnsi"/>
          <w:sz w:val="20"/>
          <w:szCs w:val="20"/>
          <w:lang w:val="en-GB"/>
        </w:rPr>
      </w:pPr>
      <w:r w:rsidRPr="000C62AA">
        <w:rPr>
          <w:rFonts w:cstheme="minorHAnsi"/>
          <w:sz w:val="20"/>
          <w:szCs w:val="20"/>
          <w:lang w:val="en-GB"/>
        </w:rPr>
        <w:t>† Observed in the paediatric population (6 months to 36 months of age).</w:t>
      </w:r>
    </w:p>
    <w:p w14:paraId="12A1D477" w14:textId="27CE547D" w:rsidR="00760627" w:rsidRDefault="00760627" w:rsidP="000C62AA">
      <w:pPr>
        <w:spacing w:after="60" w:line="240" w:lineRule="auto"/>
        <w:rPr>
          <w:rFonts w:cstheme="minorHAnsi"/>
          <w:sz w:val="20"/>
          <w:szCs w:val="20"/>
          <w:lang w:val="en-GB"/>
        </w:rPr>
      </w:pPr>
      <w:r w:rsidRPr="000C62AA">
        <w:rPr>
          <w:rFonts w:cstheme="minorHAnsi"/>
          <w:sz w:val="20"/>
          <w:szCs w:val="20"/>
          <w:lang w:val="en-GB"/>
        </w:rPr>
        <w:t>‡Throughout the safety follow-up period, acute peripheral facial paralysis (or palsy) was reported</w:t>
      </w:r>
      <w:r w:rsidR="00A36607">
        <w:rPr>
          <w:rFonts w:cstheme="minorHAnsi"/>
          <w:sz w:val="20"/>
          <w:szCs w:val="20"/>
          <w:lang w:val="en-GB"/>
        </w:rPr>
        <w:t xml:space="preserve"> </w:t>
      </w:r>
      <w:r w:rsidRPr="000C62AA">
        <w:rPr>
          <w:rFonts w:cstheme="minorHAnsi"/>
          <w:sz w:val="20"/>
          <w:szCs w:val="20"/>
          <w:lang w:val="en-GB"/>
        </w:rPr>
        <w:t>by three </w:t>
      </w:r>
      <w:r w:rsidR="00994213">
        <w:rPr>
          <w:rFonts w:cstheme="minorHAnsi"/>
          <w:sz w:val="20"/>
          <w:szCs w:val="20"/>
          <w:lang w:val="en-GB"/>
        </w:rPr>
        <w:t xml:space="preserve">adult </w:t>
      </w:r>
      <w:r w:rsidRPr="000C62AA">
        <w:rPr>
          <w:rFonts w:cstheme="minorHAnsi"/>
          <w:sz w:val="20"/>
          <w:szCs w:val="20"/>
          <w:lang w:val="en-GB"/>
        </w:rPr>
        <w:t xml:space="preserve">participants in the </w:t>
      </w:r>
      <w:r w:rsidRPr="00044C80">
        <w:rPr>
          <w:rFonts w:cstheme="minorHAnsi"/>
          <w:sz w:val="20"/>
          <w:szCs w:val="20"/>
          <w:lang w:val="en-GB"/>
        </w:rPr>
        <w:t>vaccine</w:t>
      </w:r>
      <w:r w:rsidRPr="000C62AA">
        <w:rPr>
          <w:rFonts w:cstheme="minorHAnsi"/>
          <w:sz w:val="20"/>
          <w:szCs w:val="20"/>
          <w:lang w:val="en-GB"/>
        </w:rPr>
        <w:t xml:space="preserve"> group and one </w:t>
      </w:r>
      <w:r w:rsidR="00994213">
        <w:rPr>
          <w:rFonts w:cstheme="minorHAnsi"/>
          <w:sz w:val="20"/>
          <w:szCs w:val="20"/>
          <w:lang w:val="en-GB"/>
        </w:rPr>
        <w:t xml:space="preserve">adult </w:t>
      </w:r>
      <w:r w:rsidRPr="000C62AA">
        <w:rPr>
          <w:rFonts w:cstheme="minorHAnsi"/>
          <w:sz w:val="20"/>
          <w:szCs w:val="20"/>
          <w:lang w:val="en-GB"/>
        </w:rPr>
        <w:t>participant in the placebo group. Onset in the vaccine group participants was 22 days, 28 days, and 32 days after Dose 2. </w:t>
      </w:r>
    </w:p>
    <w:p w14:paraId="318C0B50" w14:textId="130E9740" w:rsidR="00FD0B54" w:rsidRPr="00114F58" w:rsidRDefault="00FD0B54" w:rsidP="000C62AA">
      <w:pPr>
        <w:spacing w:after="60" w:line="240" w:lineRule="auto"/>
        <w:rPr>
          <w:rFonts w:cstheme="minorHAnsi"/>
          <w:sz w:val="20"/>
          <w:szCs w:val="20"/>
          <w:lang w:val="en-US"/>
        </w:rPr>
      </w:pPr>
      <w:bookmarkStart w:id="7" w:name="_Hlk108524667"/>
      <w:r w:rsidRPr="00114F58">
        <w:rPr>
          <w:rFonts w:cstheme="minorHAnsi"/>
          <w:sz w:val="20"/>
          <w:szCs w:val="20"/>
          <w:lang w:val="en-US"/>
        </w:rPr>
        <w:t xml:space="preserve">*** </w:t>
      </w:r>
      <w:r w:rsidR="00114F58" w:rsidRPr="00114F58">
        <w:rPr>
          <w:rFonts w:cstheme="minorHAnsi"/>
          <w:sz w:val="20"/>
          <w:szCs w:val="20"/>
          <w:lang w:val="en-US"/>
        </w:rPr>
        <w:t>During the 28-day follow-up period following any dose, events of abdominal pain (including abdominal pain, abdominal pain upper, and abdominal discomfort) were reported by 0.7% of vaccine recipients and 0.4% of placebo recipients who were 2 years through 5 years of age. Currently available information is insufficient to determine a causal relationship with the vaccine.</w:t>
      </w:r>
      <w:bookmarkEnd w:id="7"/>
      <w:r w:rsidR="00114F58" w:rsidRPr="00114F58">
        <w:rPr>
          <w:rFonts w:cstheme="minorHAnsi"/>
          <w:sz w:val="20"/>
          <w:szCs w:val="20"/>
          <w:lang w:val="en-US"/>
        </w:rPr>
        <w:t xml:space="preserve"> </w:t>
      </w:r>
    </w:p>
    <w:p w14:paraId="65609B51" w14:textId="77777777" w:rsidR="00760627" w:rsidRPr="000C62AA" w:rsidRDefault="00760627" w:rsidP="000C62AA">
      <w:pPr>
        <w:spacing w:after="60" w:line="240" w:lineRule="auto"/>
        <w:rPr>
          <w:rFonts w:cstheme="minorHAnsi"/>
          <w:sz w:val="20"/>
          <w:szCs w:val="20"/>
          <w:lang w:val="en-GB"/>
        </w:rPr>
      </w:pPr>
      <w:r w:rsidRPr="000C62AA">
        <w:rPr>
          <w:rFonts w:cstheme="minorHAnsi"/>
          <w:sz w:val="20"/>
          <w:szCs w:val="20"/>
          <w:lang w:val="en-GB"/>
        </w:rPr>
        <w:t>§</w:t>
      </w:r>
      <w:r w:rsidRPr="000C62AA">
        <w:rPr>
          <w:rFonts w:cstheme="minorHAnsi"/>
          <w:sz w:val="20"/>
          <w:szCs w:val="20"/>
          <w:lang w:val="en-US"/>
        </w:rPr>
        <w:t xml:space="preserve"> </w:t>
      </w:r>
      <w:r w:rsidRPr="00044C80">
        <w:rPr>
          <w:rFonts w:cstheme="minorHAnsi"/>
          <w:sz w:val="20"/>
          <w:szCs w:val="20"/>
          <w:lang w:val="en-US"/>
        </w:rPr>
        <w:t>Median time to onset was 9 days after the first injection, and 11 days after the second injection. Median duration was 4 days after the first injection, and 4 days after the second injection.</w:t>
      </w:r>
    </w:p>
    <w:p w14:paraId="46335435" w14:textId="700B6018" w:rsidR="00760627" w:rsidRDefault="00760627" w:rsidP="00CA681B">
      <w:pPr>
        <w:spacing w:after="60" w:line="240" w:lineRule="auto"/>
        <w:rPr>
          <w:rFonts w:cstheme="minorHAnsi"/>
          <w:lang w:val="en-GB"/>
        </w:rPr>
      </w:pPr>
      <w:r w:rsidRPr="000C62AA">
        <w:rPr>
          <w:rFonts w:cstheme="minorHAnsi"/>
          <w:sz w:val="20"/>
          <w:szCs w:val="20"/>
          <w:vertAlign w:val="superscript"/>
          <w:lang w:val="en-GB"/>
        </w:rPr>
        <w:t>¶</w:t>
      </w:r>
      <w:r w:rsidRPr="000C62AA">
        <w:rPr>
          <w:rFonts w:cstheme="minorHAnsi"/>
          <w:sz w:val="20"/>
          <w:szCs w:val="20"/>
          <w:lang w:val="en-GB"/>
        </w:rPr>
        <w:t xml:space="preserve"> There were two serious adverse events of facial swelling in </w:t>
      </w:r>
      <w:r w:rsidR="00997D5E">
        <w:rPr>
          <w:rFonts w:cstheme="minorHAnsi"/>
          <w:sz w:val="20"/>
          <w:szCs w:val="20"/>
          <w:lang w:val="en-GB"/>
        </w:rPr>
        <w:t xml:space="preserve">adult </w:t>
      </w:r>
      <w:r w:rsidRPr="000C62AA">
        <w:rPr>
          <w:rFonts w:cstheme="minorHAnsi"/>
          <w:sz w:val="20"/>
          <w:szCs w:val="20"/>
          <w:lang w:val="en-GB"/>
        </w:rPr>
        <w:t xml:space="preserve">vaccine recipients with a history of injection of dermatological fillers. The onset of swelling was reported </w:t>
      </w:r>
      <w:r w:rsidRPr="00044C80">
        <w:rPr>
          <w:rFonts w:cstheme="minorHAnsi"/>
          <w:sz w:val="20"/>
          <w:szCs w:val="20"/>
          <w:lang w:val="en-GB"/>
        </w:rPr>
        <w:t>1 and 2 days, respectively, after vaccination</w:t>
      </w:r>
      <w:r w:rsidRPr="000C62AA">
        <w:rPr>
          <w:rFonts w:cstheme="minorHAnsi"/>
          <w:sz w:val="20"/>
          <w:szCs w:val="20"/>
          <w:lang w:val="en-GB"/>
        </w:rPr>
        <w:t>.</w:t>
      </w:r>
      <w:r w:rsidRPr="00760627">
        <w:rPr>
          <w:rFonts w:cstheme="minorHAnsi"/>
          <w:lang w:val="en-GB"/>
        </w:rPr>
        <w:t xml:space="preserve"> </w:t>
      </w:r>
    </w:p>
    <w:p w14:paraId="788700E2" w14:textId="3D033405" w:rsidR="00CA681B" w:rsidRDefault="00CA681B" w:rsidP="00441633">
      <w:pPr>
        <w:spacing w:after="0" w:line="240" w:lineRule="auto"/>
        <w:rPr>
          <w:rFonts w:cstheme="minorHAnsi"/>
          <w:sz w:val="20"/>
          <w:szCs w:val="20"/>
          <w:lang w:val="en-GB"/>
        </w:rPr>
      </w:pPr>
      <w:r w:rsidRPr="00CA681B">
        <w:rPr>
          <w:rFonts w:cstheme="minorHAnsi"/>
          <w:sz w:val="20"/>
          <w:szCs w:val="20"/>
          <w:vertAlign w:val="superscript"/>
          <w:lang w:val="en-GB"/>
        </w:rPr>
        <w:t>#</w:t>
      </w:r>
      <w:r w:rsidRPr="00CA681B">
        <w:rPr>
          <w:rFonts w:cstheme="minorHAnsi"/>
          <w:sz w:val="20"/>
          <w:szCs w:val="20"/>
          <w:lang w:val="en-GB"/>
        </w:rPr>
        <w:t xml:space="preserve"> T</w:t>
      </w:r>
      <w:bookmarkStart w:id="8" w:name="_Hlk106835005"/>
      <w:r w:rsidRPr="00CA681B">
        <w:rPr>
          <w:rFonts w:cstheme="minorHAnsi"/>
          <w:sz w:val="20"/>
          <w:szCs w:val="20"/>
          <w:lang w:val="en-GB"/>
        </w:rPr>
        <w:t>he frequency of myocarditis and pericarditis is unknown in the 6</w:t>
      </w:r>
      <w:r w:rsidR="00997D5E">
        <w:rPr>
          <w:rFonts w:cstheme="minorHAnsi"/>
          <w:sz w:val="20"/>
          <w:szCs w:val="20"/>
          <w:lang w:val="en-GB"/>
        </w:rPr>
        <w:t xml:space="preserve"> </w:t>
      </w:r>
      <w:proofErr w:type="gramStart"/>
      <w:r w:rsidR="00997D5E">
        <w:rPr>
          <w:rFonts w:cstheme="minorHAnsi"/>
          <w:sz w:val="20"/>
          <w:szCs w:val="20"/>
          <w:lang w:val="en-GB"/>
        </w:rPr>
        <w:t>month</w:t>
      </w:r>
      <w:proofErr w:type="gramEnd"/>
      <w:r w:rsidRPr="00CA681B">
        <w:rPr>
          <w:rFonts w:cstheme="minorHAnsi"/>
          <w:sz w:val="20"/>
          <w:szCs w:val="20"/>
          <w:lang w:val="en-GB"/>
        </w:rPr>
        <w:t xml:space="preserve"> through 11 year old age group, as there is currently no post marketing experience.</w:t>
      </w:r>
      <w:bookmarkEnd w:id="8"/>
    </w:p>
    <w:p w14:paraId="3EEF77E3" w14:textId="43D3F2C9" w:rsidR="00CE1CB8" w:rsidRDefault="00441633" w:rsidP="00441633">
      <w:pPr>
        <w:spacing w:after="0" w:line="240" w:lineRule="auto"/>
        <w:rPr>
          <w:rFonts w:cstheme="minorHAnsi"/>
          <w:sz w:val="20"/>
          <w:szCs w:val="20"/>
          <w:lang w:val="en-GB"/>
        </w:rPr>
      </w:pPr>
      <w:r w:rsidRPr="00441633">
        <w:rPr>
          <w:rFonts w:cstheme="minorHAnsi"/>
          <w:sz w:val="20"/>
          <w:szCs w:val="20"/>
          <w:vertAlign w:val="superscript"/>
          <w:lang w:val="en-GB"/>
        </w:rPr>
        <w:t>£</w:t>
      </w:r>
      <w:r>
        <w:rPr>
          <w:rFonts w:cstheme="minorHAnsi"/>
          <w:sz w:val="20"/>
          <w:szCs w:val="20"/>
          <w:lang w:val="en-GB"/>
        </w:rPr>
        <w:t xml:space="preserve"> </w:t>
      </w:r>
      <w:r w:rsidRPr="00441633">
        <w:rPr>
          <w:rFonts w:cstheme="minorHAnsi"/>
          <w:sz w:val="20"/>
          <w:szCs w:val="20"/>
          <w:lang w:val="en-GB"/>
        </w:rPr>
        <w:t xml:space="preserve">Observed in </w:t>
      </w:r>
      <w:r w:rsidR="008A1BA9">
        <w:rPr>
          <w:rFonts w:cstheme="minorHAnsi"/>
          <w:sz w:val="20"/>
          <w:szCs w:val="20"/>
          <w:lang w:val="en-GB"/>
        </w:rPr>
        <w:t>a few</w:t>
      </w:r>
      <w:r w:rsidRPr="00441633">
        <w:rPr>
          <w:rFonts w:cstheme="minorHAnsi"/>
          <w:sz w:val="20"/>
          <w:szCs w:val="20"/>
          <w:lang w:val="en-GB"/>
        </w:rPr>
        <w:t xml:space="preserve"> participant</w:t>
      </w:r>
      <w:r w:rsidR="008A1BA9">
        <w:rPr>
          <w:rFonts w:cstheme="minorHAnsi"/>
          <w:sz w:val="20"/>
          <w:szCs w:val="20"/>
          <w:lang w:val="en-GB"/>
        </w:rPr>
        <w:t>s</w:t>
      </w:r>
      <w:r w:rsidRPr="00441633">
        <w:rPr>
          <w:rFonts w:cstheme="minorHAnsi"/>
          <w:sz w:val="20"/>
          <w:szCs w:val="20"/>
          <w:lang w:val="en-GB"/>
        </w:rPr>
        <w:t xml:space="preserve"> aged 6 months through 5 years of age</w:t>
      </w:r>
      <w:r w:rsidR="008A1BA9">
        <w:rPr>
          <w:rFonts w:cstheme="minorHAnsi"/>
          <w:sz w:val="20"/>
          <w:szCs w:val="20"/>
          <w:lang w:val="en-GB"/>
        </w:rPr>
        <w:t>, but a causal association has not been established.</w:t>
      </w:r>
    </w:p>
    <w:p w14:paraId="3515EE2D" w14:textId="6100E2D4" w:rsidR="0074506F" w:rsidRDefault="0074506F" w:rsidP="00441633">
      <w:pPr>
        <w:spacing w:after="0" w:line="240" w:lineRule="auto"/>
        <w:rPr>
          <w:rFonts w:cstheme="minorHAnsi"/>
          <w:sz w:val="20"/>
          <w:szCs w:val="20"/>
          <w:lang w:val="en-GB"/>
        </w:rPr>
      </w:pPr>
      <w:r>
        <w:rPr>
          <w:rFonts w:cstheme="minorHAnsi"/>
          <w:sz w:val="20"/>
          <w:szCs w:val="20"/>
          <w:lang w:val="en-GB"/>
        </w:rPr>
        <w:t>**</w:t>
      </w:r>
      <w:r w:rsidRPr="006A3B1F">
        <w:rPr>
          <w:rFonts w:cstheme="minorHAnsi"/>
          <w:sz w:val="20"/>
          <w:szCs w:val="20"/>
          <w:lang w:val="en-GB"/>
        </w:rPr>
        <w:t xml:space="preserve"> </w:t>
      </w:r>
      <w:r w:rsidRPr="000C62AA">
        <w:rPr>
          <w:rFonts w:cstheme="minorHAnsi"/>
          <w:sz w:val="20"/>
          <w:szCs w:val="20"/>
          <w:lang w:val="en-GB"/>
        </w:rPr>
        <w:t xml:space="preserve">Observed in the paediatric population (6 months to </w:t>
      </w:r>
      <w:r>
        <w:rPr>
          <w:rFonts w:cstheme="minorHAnsi"/>
          <w:sz w:val="20"/>
          <w:szCs w:val="20"/>
          <w:lang w:val="en-GB"/>
        </w:rPr>
        <w:t>24</w:t>
      </w:r>
      <w:r w:rsidRPr="000C62AA">
        <w:rPr>
          <w:rFonts w:cstheme="minorHAnsi"/>
          <w:sz w:val="20"/>
          <w:szCs w:val="20"/>
          <w:lang w:val="en-GB"/>
        </w:rPr>
        <w:t xml:space="preserve"> months of age).</w:t>
      </w:r>
    </w:p>
    <w:p w14:paraId="17587874" w14:textId="77777777" w:rsidR="00441633" w:rsidRPr="00CA681B" w:rsidRDefault="00441633" w:rsidP="00441633">
      <w:pPr>
        <w:spacing w:after="0" w:line="240" w:lineRule="auto"/>
        <w:rPr>
          <w:rFonts w:cstheme="minorHAnsi"/>
          <w:sz w:val="20"/>
          <w:szCs w:val="20"/>
          <w:lang w:val="en-GB"/>
        </w:rPr>
      </w:pPr>
    </w:p>
    <w:p w14:paraId="447378E7" w14:textId="77777777" w:rsidR="0017068F" w:rsidRPr="00DE1DD7" w:rsidRDefault="0017068F" w:rsidP="0017068F">
      <w:pPr>
        <w:pStyle w:val="Heading3"/>
      </w:pPr>
      <w:r w:rsidRPr="00DE1DD7">
        <w:t>Booster dose participants</w:t>
      </w:r>
    </w:p>
    <w:p w14:paraId="1CF206FE" w14:textId="2BFF37E9" w:rsidR="0017068F" w:rsidRDefault="0017068F" w:rsidP="0017068F">
      <w:pPr>
        <w:spacing w:line="240" w:lineRule="auto"/>
        <w:rPr>
          <w:lang w:val="en-US"/>
        </w:rPr>
      </w:pPr>
      <w:r w:rsidRPr="000924AA">
        <w:rPr>
          <w:lang w:val="en-US"/>
        </w:rPr>
        <w:t xml:space="preserve">Study </w:t>
      </w:r>
      <w:r>
        <w:rPr>
          <w:lang w:val="en-US"/>
        </w:rPr>
        <w:t>3</w:t>
      </w:r>
      <w:r w:rsidRPr="000924AA">
        <w:rPr>
          <w:lang w:val="en-US"/>
        </w:rPr>
        <w:t xml:space="preserve"> is an ongoing Phase 2, </w:t>
      </w:r>
      <w:proofErr w:type="spellStart"/>
      <w:r w:rsidRPr="000924AA">
        <w:rPr>
          <w:lang w:val="en-US"/>
        </w:rPr>
        <w:t>randomi</w:t>
      </w:r>
      <w:r>
        <w:rPr>
          <w:lang w:val="en-US"/>
        </w:rPr>
        <w:t>s</w:t>
      </w:r>
      <w:r w:rsidRPr="000924AA">
        <w:rPr>
          <w:lang w:val="en-US"/>
        </w:rPr>
        <w:t>ed</w:t>
      </w:r>
      <w:proofErr w:type="spellEnd"/>
      <w:r w:rsidRPr="000924AA">
        <w:rPr>
          <w:lang w:val="en-US"/>
        </w:rPr>
        <w:t xml:space="preserve">, observer-blind, placebo-controlled, dose-confirmation study to evaluate the safety, reactogenicity, and immunogenicity of </w:t>
      </w:r>
      <w:bookmarkStart w:id="9" w:name="_Hlk86923121"/>
      <w:r>
        <w:rPr>
          <w:lang w:val="en-US"/>
        </w:rPr>
        <w:t>SPIKEVAX</w:t>
      </w:r>
      <w:r w:rsidRPr="000924AA">
        <w:rPr>
          <w:lang w:val="en-US"/>
        </w:rPr>
        <w:t xml:space="preserve"> </w:t>
      </w:r>
      <w:bookmarkEnd w:id="9"/>
      <w:r w:rsidRPr="000924AA">
        <w:rPr>
          <w:lang w:val="en-US"/>
        </w:rPr>
        <w:t>in participants 18 year</w:t>
      </w:r>
      <w:r>
        <w:rPr>
          <w:lang w:val="en-US"/>
        </w:rPr>
        <w:t>s</w:t>
      </w:r>
      <w:r w:rsidRPr="000924AA">
        <w:rPr>
          <w:lang w:val="en-US"/>
        </w:rPr>
        <w:t xml:space="preserve"> of age and older (NCT04405076). In </w:t>
      </w:r>
      <w:r>
        <w:rPr>
          <w:lang w:val="en-US"/>
        </w:rPr>
        <w:t>this</w:t>
      </w:r>
      <w:r w:rsidRPr="000924AA">
        <w:rPr>
          <w:lang w:val="en-US"/>
        </w:rPr>
        <w:t xml:space="preserve"> study, </w:t>
      </w:r>
      <w:r>
        <w:rPr>
          <w:lang w:val="en-US"/>
        </w:rPr>
        <w:t>198 </w:t>
      </w:r>
      <w:r w:rsidRPr="000924AA">
        <w:rPr>
          <w:lang w:val="en-US"/>
        </w:rPr>
        <w:t xml:space="preserve">participants received two doses (0.5 mL 1 </w:t>
      </w:r>
      <w:r w:rsidRPr="000210A4">
        <w:rPr>
          <w:rFonts w:cstheme="minorHAnsi"/>
        </w:rPr>
        <w:t>month</w:t>
      </w:r>
      <w:r w:rsidRPr="000924AA">
        <w:rPr>
          <w:lang w:val="en-US"/>
        </w:rPr>
        <w:t xml:space="preserve"> apart) of </w:t>
      </w:r>
      <w:r>
        <w:rPr>
          <w:lang w:val="en-US"/>
        </w:rPr>
        <w:t>SPIKEVAX</w:t>
      </w:r>
      <w:r w:rsidRPr="000924AA">
        <w:rPr>
          <w:lang w:val="en-US"/>
        </w:rPr>
        <w:t xml:space="preserve"> </w:t>
      </w:r>
      <w:r>
        <w:rPr>
          <w:lang w:val="en-US"/>
        </w:rPr>
        <w:t>(</w:t>
      </w:r>
      <w:r w:rsidRPr="000924AA">
        <w:rPr>
          <w:lang w:val="en-US"/>
        </w:rPr>
        <w:t>primary series</w:t>
      </w:r>
      <w:r>
        <w:rPr>
          <w:lang w:val="en-US"/>
        </w:rPr>
        <w:t>)</w:t>
      </w:r>
      <w:r w:rsidRPr="000924AA">
        <w:rPr>
          <w:lang w:val="en-US"/>
        </w:rPr>
        <w:t xml:space="preserve">. </w:t>
      </w:r>
      <w:r>
        <w:rPr>
          <w:lang w:val="en-US"/>
        </w:rPr>
        <w:t>In an open-label phase of this study</w:t>
      </w:r>
      <w:r w:rsidRPr="000924AA">
        <w:rPr>
          <w:lang w:val="en-US"/>
        </w:rPr>
        <w:t xml:space="preserve">, </w:t>
      </w:r>
      <w:r>
        <w:rPr>
          <w:lang w:val="en-US"/>
        </w:rPr>
        <w:t xml:space="preserve">167 of those </w:t>
      </w:r>
      <w:r w:rsidRPr="000924AA">
        <w:rPr>
          <w:lang w:val="en-US"/>
        </w:rPr>
        <w:t xml:space="preserve">participants received a single booster dose (0.25 mL) at least 6 months after receiving the second dose of the primary series. The </w:t>
      </w:r>
      <w:r>
        <w:rPr>
          <w:lang w:val="en-US"/>
        </w:rPr>
        <w:t>solicited adverse reaction profile</w:t>
      </w:r>
      <w:r w:rsidRPr="000924AA">
        <w:rPr>
          <w:lang w:val="en-US"/>
        </w:rPr>
        <w:t xml:space="preserve"> </w:t>
      </w:r>
      <w:r>
        <w:rPr>
          <w:lang w:val="en-US"/>
        </w:rPr>
        <w:t xml:space="preserve">for </w:t>
      </w:r>
      <w:r w:rsidRPr="000924AA">
        <w:rPr>
          <w:lang w:val="en-US"/>
        </w:rPr>
        <w:t xml:space="preserve">the booster dose </w:t>
      </w:r>
      <w:r>
        <w:rPr>
          <w:lang w:val="en-US"/>
        </w:rPr>
        <w:t>was</w:t>
      </w:r>
      <w:r w:rsidRPr="000924AA">
        <w:rPr>
          <w:lang w:val="en-US"/>
        </w:rPr>
        <w:t xml:space="preserve"> </w:t>
      </w:r>
      <w:proofErr w:type="gramStart"/>
      <w:r w:rsidRPr="000924AA">
        <w:rPr>
          <w:lang w:val="en-US"/>
        </w:rPr>
        <w:t>similar to</w:t>
      </w:r>
      <w:proofErr w:type="gramEnd"/>
      <w:r w:rsidRPr="000924AA">
        <w:rPr>
          <w:lang w:val="en-US"/>
        </w:rPr>
        <w:t xml:space="preserve"> </w:t>
      </w:r>
      <w:r>
        <w:rPr>
          <w:lang w:val="en-US"/>
        </w:rPr>
        <w:t>that</w:t>
      </w:r>
      <w:r w:rsidRPr="000924AA">
        <w:rPr>
          <w:lang w:val="en-US"/>
        </w:rPr>
        <w:t xml:space="preserve"> after the second dose in </w:t>
      </w:r>
      <w:r>
        <w:rPr>
          <w:lang w:val="en-US"/>
        </w:rPr>
        <w:t xml:space="preserve">the </w:t>
      </w:r>
      <w:r w:rsidRPr="000924AA">
        <w:rPr>
          <w:lang w:val="en-US"/>
        </w:rPr>
        <w:t>primary series.</w:t>
      </w:r>
    </w:p>
    <w:p w14:paraId="119A74B7" w14:textId="77777777" w:rsidR="00DF643E" w:rsidRPr="0039547D" w:rsidRDefault="00DF643E" w:rsidP="0039547D">
      <w:pPr>
        <w:pStyle w:val="Heading3"/>
      </w:pPr>
      <w:bookmarkStart w:id="10" w:name="_Hlk87888494"/>
      <w:r w:rsidRPr="0039547D">
        <w:t>Booster dose following primary vaccination with another authorised or approved COVID</w:t>
      </w:r>
      <w:r w:rsidRPr="0039547D">
        <w:noBreakHyphen/>
        <w:t>19 vaccine</w:t>
      </w:r>
      <w:bookmarkEnd w:id="10"/>
      <w:r w:rsidRPr="0039547D">
        <w:t xml:space="preserve"> </w:t>
      </w:r>
    </w:p>
    <w:p w14:paraId="7910B91D" w14:textId="2530F7CD" w:rsidR="00DF643E" w:rsidRDefault="00DF643E" w:rsidP="00DF643E">
      <w:pPr>
        <w:spacing w:after="0" w:line="240" w:lineRule="auto"/>
        <w:rPr>
          <w:lang w:val="en-GB"/>
        </w:rPr>
      </w:pPr>
      <w:r w:rsidRPr="00374713">
        <w:rPr>
          <w:lang w:val="en-GB"/>
        </w:rPr>
        <w:t xml:space="preserve">The safety of a </w:t>
      </w:r>
      <w:r w:rsidR="0039547D" w:rsidRPr="0039547D">
        <w:rPr>
          <w:lang w:val="en-GB"/>
        </w:rPr>
        <w:t>SPIKEVAX</w:t>
      </w:r>
      <w:r w:rsidRPr="00374713">
        <w:rPr>
          <w:lang w:val="en-GB"/>
        </w:rPr>
        <w:t xml:space="preserve"> (0.25 mL) booster dose in individuals who completed primary vaccination with another authorised or approved COVID-19 Vaccine (heterologous booster dose) is inferred from the safety of a </w:t>
      </w:r>
      <w:r w:rsidR="0039547D" w:rsidRPr="0039547D">
        <w:rPr>
          <w:lang w:val="en-GB"/>
        </w:rPr>
        <w:t xml:space="preserve">SPIKEVAX </w:t>
      </w:r>
      <w:r w:rsidRPr="00374713">
        <w:rPr>
          <w:lang w:val="en-GB"/>
        </w:rPr>
        <w:t xml:space="preserve">(0.25 mL) booster dose administered following completion of a </w:t>
      </w:r>
      <w:r w:rsidR="009F693A">
        <w:rPr>
          <w:rFonts w:cstheme="minorHAnsi"/>
          <w:lang w:val="en-US"/>
        </w:rPr>
        <w:t>SPIKEVAX</w:t>
      </w:r>
      <w:r w:rsidRPr="00374713">
        <w:rPr>
          <w:lang w:val="en-GB"/>
        </w:rPr>
        <w:t xml:space="preserve"> primary series (homologous booster dose) and from data from an independent Phase 1/2 open</w:t>
      </w:r>
      <w:r w:rsidRPr="00374713">
        <w:rPr>
          <w:lang w:val="en-GB"/>
        </w:rPr>
        <w:noBreakHyphen/>
        <w:t xml:space="preserve">label clinical trial (NCT04889209) conducted in the United States that evaluated a heterologous booster </w:t>
      </w:r>
      <w:r w:rsidRPr="00374713">
        <w:rPr>
          <w:lang w:val="en-GB"/>
        </w:rPr>
        <w:lastRenderedPageBreak/>
        <w:t xml:space="preserve">dose (0.5 mL) of </w:t>
      </w:r>
      <w:r w:rsidR="0039547D" w:rsidRPr="0039547D">
        <w:rPr>
          <w:lang w:val="en-GB"/>
        </w:rPr>
        <w:t>SPIKEVAX</w:t>
      </w:r>
      <w:r w:rsidRPr="00374713">
        <w:rPr>
          <w:lang w:val="en-GB"/>
        </w:rPr>
        <w:t xml:space="preserve">. In this study, adults who had completed primary vaccination with a </w:t>
      </w:r>
      <w:r w:rsidR="0039547D" w:rsidRPr="0039547D">
        <w:rPr>
          <w:lang w:val="en-GB"/>
        </w:rPr>
        <w:t xml:space="preserve">SPIKEVAX </w:t>
      </w:r>
      <w:r w:rsidRPr="00374713">
        <w:rPr>
          <w:lang w:val="en-GB"/>
        </w:rPr>
        <w:t xml:space="preserve">2-dose series (N=151), a </w:t>
      </w:r>
      <w:r w:rsidR="00E15CD5" w:rsidRPr="00E15CD5">
        <w:rPr>
          <w:lang w:val="en-GB"/>
        </w:rPr>
        <w:t>COVID-19 Vaccine Janssen</w:t>
      </w:r>
      <w:r w:rsidR="00E15CD5" w:rsidRPr="00E15CD5" w:rsidDel="00E15CD5">
        <w:rPr>
          <w:lang w:val="en-GB"/>
        </w:rPr>
        <w:t xml:space="preserve"> </w:t>
      </w:r>
      <w:r w:rsidRPr="00374713">
        <w:rPr>
          <w:lang w:val="en-GB"/>
        </w:rPr>
        <w:t xml:space="preserve">single dose (N=156), or a </w:t>
      </w:r>
      <w:r w:rsidR="00E15CD5">
        <w:rPr>
          <w:lang w:val="en-GB"/>
        </w:rPr>
        <w:t>COMIRNATY</w:t>
      </w:r>
      <w:r w:rsidRPr="00374713">
        <w:rPr>
          <w:lang w:val="en-GB"/>
        </w:rPr>
        <w:t xml:space="preserve"> 2-dose series (N=151) at least 12 weeks prior to enrolment and who reported no history of SARS</w:t>
      </w:r>
      <w:r w:rsidR="00681D64">
        <w:rPr>
          <w:lang w:val="en-GB"/>
        </w:rPr>
        <w:t>-</w:t>
      </w:r>
      <w:r w:rsidRPr="00374713">
        <w:rPr>
          <w:lang w:val="en-GB"/>
        </w:rPr>
        <w:t xml:space="preserve">CoV-2 infection were randomised 1:1:1 to receive a booster dose of one of three vaccines: </w:t>
      </w:r>
      <w:r w:rsidR="0039547D" w:rsidRPr="0039547D">
        <w:rPr>
          <w:lang w:val="en-GB"/>
        </w:rPr>
        <w:t xml:space="preserve">SPIKEVAX </w:t>
      </w:r>
      <w:r w:rsidRPr="00374713">
        <w:rPr>
          <w:lang w:val="en-GB"/>
        </w:rPr>
        <w:t xml:space="preserve">(0.5 mL), </w:t>
      </w:r>
      <w:r w:rsidR="00E15CD5" w:rsidRPr="00E15CD5">
        <w:rPr>
          <w:lang w:val="en-GB"/>
        </w:rPr>
        <w:t>COVID-19 Vaccine Janssen</w:t>
      </w:r>
      <w:r w:rsidRPr="00374713">
        <w:rPr>
          <w:lang w:val="en-GB"/>
        </w:rPr>
        <w:t xml:space="preserve">, or </w:t>
      </w:r>
      <w:r w:rsidR="00E15CD5">
        <w:rPr>
          <w:lang w:val="en-GB"/>
        </w:rPr>
        <w:t>COMIRNATY</w:t>
      </w:r>
      <w:r w:rsidRPr="00374713">
        <w:rPr>
          <w:lang w:val="en-GB"/>
        </w:rPr>
        <w:t xml:space="preserve">. Adverse events were assessed through 28 days after the booster dose. An overall review of adverse reactions reported following the </w:t>
      </w:r>
      <w:r w:rsidR="0039547D" w:rsidRPr="0039547D">
        <w:rPr>
          <w:lang w:val="en-GB"/>
        </w:rPr>
        <w:t>SPIKEVAX</w:t>
      </w:r>
      <w:r w:rsidR="001A5D10">
        <w:rPr>
          <w:lang w:val="en-GB"/>
        </w:rPr>
        <w:t>,</w:t>
      </w:r>
      <w:r w:rsidR="0039547D" w:rsidRPr="0039547D">
        <w:rPr>
          <w:lang w:val="en-GB"/>
        </w:rPr>
        <w:t xml:space="preserve"> </w:t>
      </w:r>
      <w:r w:rsidRPr="00374713">
        <w:rPr>
          <w:lang w:val="en-GB"/>
        </w:rPr>
        <w:t xml:space="preserve">heterologous booster dose (0.5 mL) did not identify any new safety concerns, as compared with adverse reactions reported following </w:t>
      </w:r>
      <w:r w:rsidR="0039547D" w:rsidRPr="0039547D">
        <w:rPr>
          <w:lang w:val="en-GB"/>
        </w:rPr>
        <w:t xml:space="preserve">SPIKEVAX </w:t>
      </w:r>
      <w:r w:rsidRPr="00374713">
        <w:rPr>
          <w:lang w:val="en-GB"/>
        </w:rPr>
        <w:t>primary series doses or homologous booster dose (0.25 mL).</w:t>
      </w:r>
      <w:r w:rsidR="0059132A">
        <w:t xml:space="preserve"> </w:t>
      </w:r>
    </w:p>
    <w:p w14:paraId="13663CBD" w14:textId="77777777" w:rsidR="00DF643E" w:rsidRPr="00DF643E" w:rsidRDefault="00DF643E" w:rsidP="00DF643E">
      <w:pPr>
        <w:spacing w:after="0" w:line="240" w:lineRule="auto"/>
        <w:rPr>
          <w:lang w:val="en-GB"/>
        </w:rPr>
      </w:pPr>
    </w:p>
    <w:p w14:paraId="7E87A22C" w14:textId="39C3DA4E" w:rsidR="00872843" w:rsidRPr="00E91818" w:rsidRDefault="00872843" w:rsidP="00AD4D05">
      <w:pPr>
        <w:pStyle w:val="Heading3"/>
      </w:pPr>
      <w:r w:rsidRPr="00E91818">
        <w:t>Selected adverse reactions</w:t>
      </w:r>
    </w:p>
    <w:p w14:paraId="107D68A0" w14:textId="77777777" w:rsidR="00E97A25" w:rsidRPr="00313AC3" w:rsidRDefault="00E97A25" w:rsidP="00E97A25">
      <w:pPr>
        <w:pStyle w:val="Heading4"/>
      </w:pPr>
      <w:r w:rsidRPr="00313AC3">
        <w:t>Myocarditis</w:t>
      </w:r>
    </w:p>
    <w:p w14:paraId="362374A1" w14:textId="094CB367" w:rsidR="00E97A25" w:rsidRDefault="00E97A25" w:rsidP="00E97A25">
      <w:r>
        <w:t xml:space="preserve">The increased risk of myocarditis after vaccination with </w:t>
      </w:r>
      <w:proofErr w:type="spellStart"/>
      <w:r>
        <w:t>Spikevax</w:t>
      </w:r>
      <w:proofErr w:type="spellEnd"/>
      <w:r>
        <w:t xml:space="preserve"> is highest in younger males (see section 4.4).</w:t>
      </w:r>
      <w:r w:rsidR="00E70FB5" w:rsidRPr="00E70FB5">
        <w:t xml:space="preserve"> </w:t>
      </w:r>
      <w:r w:rsidR="00EA0921" w:rsidRPr="00EA0921">
        <w:t>There have also been reports in females.</w:t>
      </w:r>
    </w:p>
    <w:p w14:paraId="093E084D" w14:textId="5EAE15A5" w:rsidR="00E97A25" w:rsidRDefault="00E97A25" w:rsidP="00E97A25">
      <w:r>
        <w:t xml:space="preserve">Two large European </w:t>
      </w:r>
      <w:proofErr w:type="spellStart"/>
      <w:r>
        <w:t>pharmacoepidemiological</w:t>
      </w:r>
      <w:proofErr w:type="spellEnd"/>
      <w:r>
        <w:t xml:space="preserve"> studies have estimated the excess risk in younger males following the second dose of </w:t>
      </w:r>
      <w:proofErr w:type="spellStart"/>
      <w:r>
        <w:t>Spikevax</w:t>
      </w:r>
      <w:proofErr w:type="spellEnd"/>
      <w:r>
        <w:t xml:space="preserve">. One study showed that in a period of 7 days after the second dose, there were about 1.316 (95% CI 1.299 – 1.333) extra cases of myocarditis in </w:t>
      </w:r>
      <w:proofErr w:type="gramStart"/>
      <w:r>
        <w:t>12 to 29 year old</w:t>
      </w:r>
      <w:proofErr w:type="gramEnd"/>
      <w:r>
        <w:t xml:space="preserve"> males per 10,000 compared to unexposed persons. In another study, in a period of 28 days after the second dose, there were 1.88 (95% CI 0.956 – 2.804) extra cases of myocarditis in </w:t>
      </w:r>
      <w:proofErr w:type="gramStart"/>
      <w:r>
        <w:t>16 to 24 year old</w:t>
      </w:r>
      <w:proofErr w:type="gramEnd"/>
      <w:r>
        <w:t xml:space="preserve"> males per 10,000 compared to unexposed persons.</w:t>
      </w:r>
    </w:p>
    <w:p w14:paraId="578134B4" w14:textId="4F1EFE4E" w:rsidR="00EA0921" w:rsidRDefault="00EA0921" w:rsidP="00E97A25">
      <w:r w:rsidRPr="00E70FB5">
        <w:t>Myocarditis and pericarditis have been reported following booster doses of SPIKEVAX.</w:t>
      </w:r>
    </w:p>
    <w:p w14:paraId="0C7D44EB" w14:textId="4F8D2FA2" w:rsidR="003962B7" w:rsidRPr="00594C02" w:rsidRDefault="003962B7" w:rsidP="00DD7C09">
      <w:pPr>
        <w:pStyle w:val="Heading3"/>
      </w:pPr>
      <w:r w:rsidRPr="00594C02">
        <w:t>Reporting suspected adverse effects</w:t>
      </w:r>
    </w:p>
    <w:p w14:paraId="3CC99B53" w14:textId="77777777" w:rsidR="003962B7" w:rsidRPr="00594C02" w:rsidRDefault="003962B7" w:rsidP="003962B7">
      <w:pPr>
        <w:rPr>
          <w:rFonts w:cstheme="minorHAnsi"/>
          <w:lang w:val="en"/>
        </w:rPr>
      </w:pPr>
      <w:r w:rsidRPr="00594C02">
        <w:rPr>
          <w:rFonts w:cstheme="minorHAnsi"/>
          <w:lang w:val="en"/>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6" w:history="1">
        <w:r w:rsidRPr="00594C02">
          <w:rPr>
            <w:rStyle w:val="Hyperlink"/>
            <w:rFonts w:cstheme="minorHAnsi"/>
            <w:lang w:val="en"/>
          </w:rPr>
          <w:t>www.tga.gov.au/reporting-problems</w:t>
        </w:r>
      </w:hyperlink>
      <w:r w:rsidRPr="00594C02">
        <w:rPr>
          <w:rFonts w:cstheme="minorHAnsi"/>
          <w:lang w:val="en"/>
        </w:rPr>
        <w:t>.</w:t>
      </w:r>
    </w:p>
    <w:p w14:paraId="7687E3AA" w14:textId="77777777" w:rsidR="001A3992" w:rsidRDefault="001A3992" w:rsidP="001A3992">
      <w:pPr>
        <w:pStyle w:val="Heading2"/>
        <w:keepNext/>
        <w:keepLines/>
        <w:spacing w:before="0" w:after="120"/>
      </w:pPr>
      <w:r>
        <w:t>Overdose</w:t>
      </w:r>
    </w:p>
    <w:p w14:paraId="113278CA" w14:textId="4387CCC5" w:rsidR="00AC655D" w:rsidRDefault="00AC655D" w:rsidP="005B2812">
      <w:r>
        <w:t>No case of overdose has been reported.</w:t>
      </w:r>
    </w:p>
    <w:p w14:paraId="5635D982" w14:textId="75324883" w:rsidR="005B2812" w:rsidRDefault="005B2812" w:rsidP="005B2812">
      <w:pPr>
        <w:rPr>
          <w:rFonts w:asciiTheme="majorHAnsi" w:hAnsiTheme="majorHAnsi" w:cstheme="minorHAnsi"/>
          <w:lang w:val="en"/>
        </w:rPr>
      </w:pPr>
      <w:r w:rsidRPr="002506EC">
        <w:rPr>
          <w:rFonts w:cstheme="minorHAnsi"/>
          <w:lang w:val="en"/>
        </w:rPr>
        <w:t>For information on the management of overdose, contact the Poisons Information Centre on 13 11 26 (Australia</w:t>
      </w:r>
      <w:r w:rsidRPr="00497C85">
        <w:rPr>
          <w:rFonts w:asciiTheme="majorHAnsi" w:hAnsiTheme="majorHAnsi" w:cstheme="minorHAnsi"/>
          <w:lang w:val="en"/>
        </w:rPr>
        <w:t>).</w:t>
      </w:r>
    </w:p>
    <w:p w14:paraId="6AE627AA" w14:textId="77777777" w:rsidR="001A3992" w:rsidRDefault="001A3992" w:rsidP="000A640E">
      <w:pPr>
        <w:pStyle w:val="Heading1"/>
        <w:rPr>
          <w:lang w:val="en-US"/>
        </w:rPr>
      </w:pPr>
      <w:r w:rsidRPr="00035C95">
        <w:rPr>
          <w:lang w:val="en-US"/>
        </w:rPr>
        <w:t>Pharmacolog</w:t>
      </w:r>
      <w:r>
        <w:rPr>
          <w:lang w:val="en-US"/>
        </w:rPr>
        <w:t>ical properties</w:t>
      </w:r>
    </w:p>
    <w:p w14:paraId="1A8CA3FD" w14:textId="5850914F" w:rsidR="001A3992" w:rsidRDefault="001A3992" w:rsidP="001A3992">
      <w:pPr>
        <w:pStyle w:val="Heading2"/>
        <w:spacing w:before="0" w:after="120"/>
        <w:rPr>
          <w:lang w:val="en-US"/>
        </w:rPr>
      </w:pPr>
      <w:r w:rsidRPr="00EC3C40">
        <w:rPr>
          <w:lang w:val="en-US"/>
        </w:rPr>
        <w:t xml:space="preserve">Pharmacodynamic properties </w:t>
      </w:r>
    </w:p>
    <w:p w14:paraId="25E36452" w14:textId="783B1B14" w:rsidR="00AC655D" w:rsidRPr="00AC655D" w:rsidRDefault="00AC655D" w:rsidP="00AC655D">
      <w:pPr>
        <w:rPr>
          <w:lang w:val="en-US"/>
        </w:rPr>
      </w:pPr>
      <w:r>
        <w:t>Pharmacotherapeutic group: Vaccine, other viral vaccines, ATC code: J07BX03</w:t>
      </w:r>
    </w:p>
    <w:p w14:paraId="207BE4DF" w14:textId="20436416" w:rsidR="001A3992" w:rsidRDefault="001A3992" w:rsidP="00DD7C09">
      <w:pPr>
        <w:pStyle w:val="Heading3"/>
      </w:pPr>
      <w:r w:rsidRPr="00B878CC">
        <w:lastRenderedPageBreak/>
        <w:t>Mechanism of action</w:t>
      </w:r>
    </w:p>
    <w:p w14:paraId="5463557D" w14:textId="4A0B9278" w:rsidR="009C5B4F" w:rsidRDefault="005F49F9" w:rsidP="009C5B4F">
      <w:r>
        <w:t>SPIKEVAX</w:t>
      </w:r>
      <w:r w:rsidR="009C5B4F">
        <w:t xml:space="preserve"> contains mRNA encapsulated in lipid nanoparticles. The mRNA encodes for the full-length SARS-CoV-2 spike protein modified with 2 proline substitutions within the heptad repeat 1 domain (S-2P) to stabilise the spike protein into a prefusion conformation. After intramuscular injection, cells at the injection site and the draining lymph nodes take up the lipid nanoparticle, effectively delivering the mRNA sequence into cells for translation into viral </w:t>
      </w:r>
      <w:r w:rsidR="00E475ED">
        <w:t xml:space="preserve">spike </w:t>
      </w:r>
      <w:r w:rsidR="009C5B4F">
        <w:t>protein. The delivered mRNA does not enter the cellular nucleus or interact with the genome, is nonreplicating, and is expressed transiently mainly by dendritic cells and subcapsular sinus macrophages. The expressed, membrane-bound spike protein of SARS-CoV-2 is then recognised by immune cells as a foreign antigen. This elicits both T-cell and B-cell responses to generate neutralising antibodies, which may contribute to protection against COVID-19.</w:t>
      </w:r>
    </w:p>
    <w:p w14:paraId="3EC25B11" w14:textId="4D5BB57C" w:rsidR="001A33BA" w:rsidRDefault="001A33BA" w:rsidP="00DD7C09">
      <w:pPr>
        <w:pStyle w:val="Heading3"/>
      </w:pPr>
      <w:r>
        <w:t xml:space="preserve">Clinical </w:t>
      </w:r>
      <w:r w:rsidR="0027766D">
        <w:t>t</w:t>
      </w:r>
      <w:r>
        <w:t>rials</w:t>
      </w:r>
    </w:p>
    <w:p w14:paraId="524E23E6" w14:textId="24EE1E4F" w:rsidR="00707C6A" w:rsidRPr="00707C6A" w:rsidRDefault="00707C6A" w:rsidP="0051292C">
      <w:pPr>
        <w:pStyle w:val="Heading4"/>
      </w:pPr>
      <w:r>
        <w:t>Clinical efficacy in adults</w:t>
      </w:r>
    </w:p>
    <w:p w14:paraId="4B77D51F" w14:textId="5CC5ACC6" w:rsidR="00A947DD" w:rsidRDefault="00A947DD" w:rsidP="00597DA5">
      <w:r>
        <w:t xml:space="preserve">Study </w:t>
      </w:r>
      <w:r w:rsidR="006B19C0">
        <w:t>P301</w:t>
      </w:r>
      <w:r>
        <w:t xml:space="preserve"> was a </w:t>
      </w:r>
      <w:r w:rsidR="00597DA5">
        <w:t xml:space="preserve">randomised, placebo-controlled, observer-blind Phase 3 clinical study (NCT04470427) </w:t>
      </w:r>
      <w:r>
        <w:t xml:space="preserve">that </w:t>
      </w:r>
      <w:r w:rsidR="00597DA5">
        <w:t xml:space="preserve">excluded individuals who were immunocompromised or </w:t>
      </w:r>
      <w:r w:rsidR="003A78C9">
        <w:t xml:space="preserve">who </w:t>
      </w:r>
      <w:r w:rsidR="00597DA5">
        <w:t xml:space="preserve">had received immunosuppressants within 6 months, as well as participants who were pregnant, or with a known history of SARS-CoV-2 infection. Participants with stable HIV disease were not excluded. Influenza vaccines could be administered 14 days before or 14 days after any dose of </w:t>
      </w:r>
      <w:r w:rsidR="005F49F9">
        <w:t>SPIKEVAX</w:t>
      </w:r>
      <w:r w:rsidR="00597DA5">
        <w:t xml:space="preserve">. Participants were also required to observe a minimum interval of 3 months after receipt of blood/plasma products or immunoglobulins prior to the study </w:t>
      </w:r>
      <w:proofErr w:type="gramStart"/>
      <w:r w:rsidR="00597DA5">
        <w:t>in order to</w:t>
      </w:r>
      <w:proofErr w:type="gramEnd"/>
      <w:r w:rsidR="00597DA5">
        <w:t xml:space="preserve"> receive either placebo or </w:t>
      </w:r>
      <w:r w:rsidR="005F49F9">
        <w:t>SPIKEVAX</w:t>
      </w:r>
      <w:r w:rsidR="00597DA5">
        <w:t xml:space="preserve">. </w:t>
      </w:r>
    </w:p>
    <w:p w14:paraId="30773645" w14:textId="1E1FEF56" w:rsidR="00A947DD" w:rsidRDefault="00597DA5" w:rsidP="00597DA5">
      <w:r>
        <w:t xml:space="preserve">A total of 30,351 subjects were followed for a median of 92 days (range: 1-122) for the development of COVID-19 disease. </w:t>
      </w:r>
    </w:p>
    <w:p w14:paraId="71D335D7" w14:textId="77777777" w:rsidR="00331B38" w:rsidRPr="00331B38" w:rsidRDefault="00331B38" w:rsidP="00331B38">
      <w:pPr>
        <w:rPr>
          <w:bCs/>
          <w:lang w:val="en-GB"/>
        </w:rPr>
      </w:pPr>
      <w:r w:rsidRPr="00331B38">
        <w:rPr>
          <w:bCs/>
          <w:lang w:val="en-GB"/>
        </w:rPr>
        <w:t>COVID-19 was defined as symptomatic COVID-19 requiring positive RT-PCR result and at least 2 systemic symptoms or 1 respiratory symptom. Cases starting 14 days after the second dose. </w:t>
      </w:r>
    </w:p>
    <w:p w14:paraId="3B52C2C6" w14:textId="31C729C9" w:rsidR="00597DA5" w:rsidRDefault="00597DA5" w:rsidP="00597DA5">
      <w:r>
        <w:t xml:space="preserve">The primary efficacy analysis population (referred to as the Per Protocol Set or PPS), included 28,207 subjects who received either </w:t>
      </w:r>
      <w:r w:rsidR="005F49F9">
        <w:t>SPIKEVAX</w:t>
      </w:r>
      <w:r>
        <w:t xml:space="preserve"> (n=14,134) or placebo (n=14,073) and had a negative baseline SARS-CoV-2 status. The PPS study population included 47.4% female, 52.6% male, 79.5% White, 9.7% African American, 4.6% Asian, and 6.2% other. 19.7% of participants identified as Hispanic or Latino. The median age of subjects was 53 years (range 18-94). A dosing window of –7 to +14 days for administration of the second dose (scheduled at day 29) was allowed for inclusion in the PPS. 98% of vaccine recipients received the second dose 25 days to 35 days after dose 1 (corresponding to -3 to +7 days around the interval of 28 days). COVID-19 cases were confirmed by Reverse Transcriptase Polymerase Chain Reaction (RT PCR) and by a Clinical Adjudication Committee. Vaccine efficacy overall and by key age groups are presented in Table </w:t>
      </w:r>
      <w:r w:rsidR="008C7DB9">
        <w:t>4</w:t>
      </w:r>
      <w:r>
        <w:t>.</w:t>
      </w:r>
    </w:p>
    <w:p w14:paraId="279FA0AF" w14:textId="0F553D13" w:rsidR="00597DA5" w:rsidRPr="001D044F" w:rsidRDefault="00597DA5" w:rsidP="00804ED7">
      <w:pPr>
        <w:pageBreakBefore/>
        <w:spacing w:line="240" w:lineRule="auto"/>
        <w:rPr>
          <w:b/>
          <w:bCs/>
        </w:rPr>
      </w:pPr>
      <w:r w:rsidRPr="001D044F">
        <w:rPr>
          <w:b/>
          <w:bCs/>
        </w:rPr>
        <w:lastRenderedPageBreak/>
        <w:t xml:space="preserve">Table </w:t>
      </w:r>
      <w:r w:rsidR="008C7DB9">
        <w:rPr>
          <w:b/>
          <w:bCs/>
        </w:rPr>
        <w:t>4</w:t>
      </w:r>
      <w:r w:rsidRPr="001D044F">
        <w:rPr>
          <w:b/>
          <w:bCs/>
        </w:rPr>
        <w:t xml:space="preserve">: Vaccine </w:t>
      </w:r>
      <w:r w:rsidR="00A947DD" w:rsidRPr="001D044F">
        <w:rPr>
          <w:b/>
          <w:bCs/>
        </w:rPr>
        <w:t>e</w:t>
      </w:r>
      <w:r w:rsidRPr="001D044F">
        <w:rPr>
          <w:b/>
          <w:bCs/>
        </w:rPr>
        <w:t xml:space="preserve">fficacy </w:t>
      </w:r>
      <w:r w:rsidR="00A947DD" w:rsidRPr="001D044F">
        <w:rPr>
          <w:b/>
          <w:bCs/>
        </w:rPr>
        <w:t>a</w:t>
      </w:r>
      <w:r w:rsidRPr="001D044F">
        <w:rPr>
          <w:b/>
          <w:bCs/>
        </w:rPr>
        <w:t xml:space="preserve">nalysis: confirmed COVID-19# regardless of severity starting 14 days after the 2nd dose – </w:t>
      </w:r>
      <w:r w:rsidR="00A947DD" w:rsidRPr="001D044F">
        <w:rPr>
          <w:b/>
          <w:bCs/>
        </w:rPr>
        <w:t>p</w:t>
      </w:r>
      <w:r w:rsidRPr="001D044F">
        <w:rPr>
          <w:b/>
          <w:bCs/>
        </w:rPr>
        <w:t>er-</w:t>
      </w:r>
      <w:r w:rsidR="00A947DD" w:rsidRPr="001D044F">
        <w:rPr>
          <w:b/>
          <w:bCs/>
        </w:rPr>
        <w:t>p</w:t>
      </w:r>
      <w:r w:rsidRPr="001D044F">
        <w:rPr>
          <w:b/>
          <w:bCs/>
        </w:rPr>
        <w:t xml:space="preserve">rotocol </w:t>
      </w:r>
      <w:r w:rsidR="00A947DD" w:rsidRPr="001D044F">
        <w:rPr>
          <w:b/>
          <w:bCs/>
        </w:rPr>
        <w:t>s</w:t>
      </w:r>
      <w:r w:rsidRPr="001D044F">
        <w:rPr>
          <w:b/>
          <w:bCs/>
        </w:rPr>
        <w:t xml:space="preserve">et </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8A3EC8" w14:paraId="71E3347A" w14:textId="77777777" w:rsidTr="00295672">
        <w:trPr>
          <w:tblHeader/>
        </w:trPr>
        <w:tc>
          <w:tcPr>
            <w:tcW w:w="1127" w:type="dxa"/>
            <w:vMerge w:val="restart"/>
            <w:vAlign w:val="center"/>
          </w:tcPr>
          <w:p w14:paraId="721393FB" w14:textId="60000A88" w:rsidR="008A3EC8" w:rsidRDefault="008A3EC8" w:rsidP="000A640E">
            <w:pPr>
              <w:jc w:val="center"/>
              <w:rPr>
                <w:lang w:val="en-US"/>
              </w:rPr>
            </w:pPr>
            <w:r>
              <w:rPr>
                <w:lang w:val="en-US"/>
              </w:rPr>
              <w:t>Age group</w:t>
            </w:r>
          </w:p>
          <w:p w14:paraId="64F7E003" w14:textId="7CA0EBB4" w:rsidR="008A3EC8" w:rsidRDefault="008A3EC8" w:rsidP="000A640E">
            <w:pPr>
              <w:jc w:val="center"/>
              <w:rPr>
                <w:lang w:val="en-US"/>
              </w:rPr>
            </w:pPr>
            <w:r>
              <w:rPr>
                <w:lang w:val="en-US"/>
              </w:rPr>
              <w:t>(years)</w:t>
            </w:r>
          </w:p>
        </w:tc>
        <w:tc>
          <w:tcPr>
            <w:tcW w:w="3381" w:type="dxa"/>
            <w:gridSpan w:val="3"/>
            <w:vAlign w:val="center"/>
          </w:tcPr>
          <w:p w14:paraId="4547B956" w14:textId="157638AB" w:rsidR="008A3EC8" w:rsidRDefault="005F49F9" w:rsidP="008A3EC8">
            <w:pPr>
              <w:jc w:val="center"/>
              <w:rPr>
                <w:lang w:val="en-US"/>
              </w:rPr>
            </w:pPr>
            <w:r>
              <w:rPr>
                <w:lang w:val="en-US"/>
              </w:rPr>
              <w:t>SPIKEVAX</w:t>
            </w:r>
          </w:p>
        </w:tc>
        <w:tc>
          <w:tcPr>
            <w:tcW w:w="3381" w:type="dxa"/>
            <w:gridSpan w:val="3"/>
            <w:vAlign w:val="center"/>
          </w:tcPr>
          <w:p w14:paraId="674A5135" w14:textId="48ED43DB" w:rsidR="008A3EC8" w:rsidRDefault="008A3EC8" w:rsidP="008A3EC8">
            <w:pPr>
              <w:jc w:val="center"/>
              <w:rPr>
                <w:lang w:val="en-US"/>
              </w:rPr>
            </w:pPr>
            <w:r>
              <w:rPr>
                <w:lang w:val="en-US"/>
              </w:rPr>
              <w:t>Placebo</w:t>
            </w:r>
          </w:p>
        </w:tc>
        <w:tc>
          <w:tcPr>
            <w:tcW w:w="1127" w:type="dxa"/>
            <w:vMerge w:val="restart"/>
            <w:vAlign w:val="center"/>
          </w:tcPr>
          <w:p w14:paraId="52E9BFE7" w14:textId="77777777" w:rsidR="008A3EC8" w:rsidRDefault="008A3EC8" w:rsidP="000A640E">
            <w:pPr>
              <w:jc w:val="center"/>
              <w:rPr>
                <w:lang w:val="en-US"/>
              </w:rPr>
            </w:pPr>
            <w:r>
              <w:rPr>
                <w:lang w:val="en-US"/>
              </w:rPr>
              <w:t>% Vaccine</w:t>
            </w:r>
          </w:p>
          <w:p w14:paraId="6C73CFF7" w14:textId="77777777" w:rsidR="008A3EC8" w:rsidRDefault="008A3EC8" w:rsidP="000A640E">
            <w:pPr>
              <w:jc w:val="center"/>
              <w:rPr>
                <w:lang w:val="en-US"/>
              </w:rPr>
            </w:pPr>
            <w:r>
              <w:rPr>
                <w:lang w:val="en-US"/>
              </w:rPr>
              <w:t>efficacy</w:t>
            </w:r>
          </w:p>
          <w:p w14:paraId="291A52B2" w14:textId="31FE28C6" w:rsidR="008A3EC8" w:rsidRDefault="008A3EC8" w:rsidP="000A640E">
            <w:pPr>
              <w:jc w:val="center"/>
              <w:rPr>
                <w:lang w:val="en-US"/>
              </w:rPr>
            </w:pPr>
            <w:r>
              <w:rPr>
                <w:lang w:val="en-US"/>
              </w:rPr>
              <w:t xml:space="preserve">(95% </w:t>
            </w:r>
            <w:proofErr w:type="gramStart"/>
            <w:r>
              <w:rPr>
                <w:lang w:val="en-US"/>
              </w:rPr>
              <w:t>CI)*</w:t>
            </w:r>
            <w:proofErr w:type="gramEnd"/>
          </w:p>
        </w:tc>
      </w:tr>
      <w:tr w:rsidR="008A3EC8" w14:paraId="08AD948F" w14:textId="77777777" w:rsidTr="00295672">
        <w:trPr>
          <w:tblHeader/>
        </w:trPr>
        <w:tc>
          <w:tcPr>
            <w:tcW w:w="1127" w:type="dxa"/>
            <w:vMerge/>
            <w:vAlign w:val="center"/>
          </w:tcPr>
          <w:p w14:paraId="6D120D53" w14:textId="6E007435" w:rsidR="008A3EC8" w:rsidRDefault="008A3EC8" w:rsidP="000A640E">
            <w:pPr>
              <w:jc w:val="center"/>
              <w:rPr>
                <w:lang w:val="en-US"/>
              </w:rPr>
            </w:pPr>
          </w:p>
        </w:tc>
        <w:tc>
          <w:tcPr>
            <w:tcW w:w="1127" w:type="dxa"/>
            <w:vAlign w:val="center"/>
          </w:tcPr>
          <w:p w14:paraId="3AC28C92" w14:textId="77777777" w:rsidR="008A3EC8" w:rsidRDefault="008A3EC8" w:rsidP="000A640E">
            <w:pPr>
              <w:jc w:val="center"/>
              <w:rPr>
                <w:lang w:val="en-US"/>
              </w:rPr>
            </w:pPr>
            <w:r>
              <w:rPr>
                <w:lang w:val="en-US"/>
              </w:rPr>
              <w:t>Subjects</w:t>
            </w:r>
          </w:p>
          <w:p w14:paraId="68960E87" w14:textId="54979A66" w:rsidR="008A3EC8" w:rsidRDefault="008A3EC8" w:rsidP="000A640E">
            <w:pPr>
              <w:jc w:val="center"/>
              <w:rPr>
                <w:lang w:val="en-US"/>
              </w:rPr>
            </w:pPr>
            <w:r>
              <w:rPr>
                <w:lang w:val="en-US"/>
              </w:rPr>
              <w:t>N</w:t>
            </w:r>
          </w:p>
        </w:tc>
        <w:tc>
          <w:tcPr>
            <w:tcW w:w="1127" w:type="dxa"/>
            <w:vAlign w:val="center"/>
          </w:tcPr>
          <w:p w14:paraId="06401FA5" w14:textId="447F5299" w:rsidR="008A3EC8" w:rsidRDefault="008A3EC8" w:rsidP="000A640E">
            <w:pPr>
              <w:jc w:val="center"/>
              <w:rPr>
                <w:lang w:val="en-US"/>
              </w:rPr>
            </w:pPr>
            <w:r>
              <w:rPr>
                <w:lang w:val="en-US"/>
              </w:rPr>
              <w:t>COVID-19 cases</w:t>
            </w:r>
          </w:p>
          <w:p w14:paraId="5FB8481A" w14:textId="650AB85C" w:rsidR="008A3EC8" w:rsidRDefault="008A3EC8" w:rsidP="000A640E">
            <w:pPr>
              <w:jc w:val="center"/>
              <w:rPr>
                <w:lang w:val="en-US"/>
              </w:rPr>
            </w:pPr>
            <w:r>
              <w:rPr>
                <w:lang w:val="en-US"/>
              </w:rPr>
              <w:t>N</w:t>
            </w:r>
          </w:p>
        </w:tc>
        <w:tc>
          <w:tcPr>
            <w:tcW w:w="1127" w:type="dxa"/>
            <w:vAlign w:val="center"/>
          </w:tcPr>
          <w:p w14:paraId="3BB2FF56" w14:textId="3596103D" w:rsidR="008A3EC8" w:rsidRDefault="008A3EC8" w:rsidP="000A640E">
            <w:pPr>
              <w:jc w:val="center"/>
              <w:rPr>
                <w:lang w:val="en-US"/>
              </w:rPr>
            </w:pPr>
            <w:r>
              <w:rPr>
                <w:lang w:val="en-US"/>
              </w:rPr>
              <w:t>Incidence rate of COVID-19 per 1000 person-years</w:t>
            </w:r>
          </w:p>
        </w:tc>
        <w:tc>
          <w:tcPr>
            <w:tcW w:w="1127" w:type="dxa"/>
            <w:vAlign w:val="center"/>
          </w:tcPr>
          <w:p w14:paraId="2B42C9CB" w14:textId="77777777" w:rsidR="008A3EC8" w:rsidRDefault="008A3EC8" w:rsidP="000A640E">
            <w:pPr>
              <w:jc w:val="center"/>
              <w:rPr>
                <w:lang w:val="en-US"/>
              </w:rPr>
            </w:pPr>
            <w:r>
              <w:rPr>
                <w:lang w:val="en-US"/>
              </w:rPr>
              <w:t>Subjects</w:t>
            </w:r>
          </w:p>
          <w:p w14:paraId="5CFA63AD" w14:textId="3C4441E5" w:rsidR="008A3EC8" w:rsidRDefault="008A3EC8" w:rsidP="000A640E">
            <w:pPr>
              <w:jc w:val="center"/>
              <w:rPr>
                <w:lang w:val="en-US"/>
              </w:rPr>
            </w:pPr>
            <w:r>
              <w:rPr>
                <w:lang w:val="en-US"/>
              </w:rPr>
              <w:t>N</w:t>
            </w:r>
          </w:p>
        </w:tc>
        <w:tc>
          <w:tcPr>
            <w:tcW w:w="1127" w:type="dxa"/>
            <w:vAlign w:val="center"/>
          </w:tcPr>
          <w:p w14:paraId="01AFDA3F" w14:textId="58F9CD79" w:rsidR="008A3EC8" w:rsidRDefault="008A3EC8" w:rsidP="000A640E">
            <w:pPr>
              <w:jc w:val="center"/>
              <w:rPr>
                <w:lang w:val="en-US"/>
              </w:rPr>
            </w:pPr>
            <w:r>
              <w:rPr>
                <w:lang w:val="en-US"/>
              </w:rPr>
              <w:t>COVIV-19 cases</w:t>
            </w:r>
          </w:p>
          <w:p w14:paraId="0CCED119" w14:textId="52544A13" w:rsidR="008A3EC8" w:rsidRDefault="008A3EC8" w:rsidP="000A640E">
            <w:pPr>
              <w:jc w:val="center"/>
              <w:rPr>
                <w:lang w:val="en-US"/>
              </w:rPr>
            </w:pPr>
            <w:r>
              <w:rPr>
                <w:lang w:val="en-US"/>
              </w:rPr>
              <w:t>N</w:t>
            </w:r>
          </w:p>
        </w:tc>
        <w:tc>
          <w:tcPr>
            <w:tcW w:w="1127" w:type="dxa"/>
            <w:vAlign w:val="center"/>
          </w:tcPr>
          <w:p w14:paraId="7538591C" w14:textId="6EE8102E" w:rsidR="008A3EC8" w:rsidRDefault="008A3EC8" w:rsidP="000A640E">
            <w:pPr>
              <w:jc w:val="center"/>
              <w:rPr>
                <w:lang w:val="en-US"/>
              </w:rPr>
            </w:pPr>
            <w:r>
              <w:rPr>
                <w:lang w:val="en-US"/>
              </w:rPr>
              <w:t>Incidence rate of COVID-19 per 1000 person-years</w:t>
            </w:r>
          </w:p>
        </w:tc>
        <w:tc>
          <w:tcPr>
            <w:tcW w:w="1127" w:type="dxa"/>
            <w:vMerge/>
            <w:vAlign w:val="center"/>
          </w:tcPr>
          <w:p w14:paraId="0DBF8DBF" w14:textId="3E580CA4" w:rsidR="008A3EC8" w:rsidRDefault="008A3EC8" w:rsidP="000A640E">
            <w:pPr>
              <w:jc w:val="center"/>
              <w:rPr>
                <w:lang w:val="en-US"/>
              </w:rPr>
            </w:pPr>
          </w:p>
        </w:tc>
      </w:tr>
      <w:tr w:rsidR="00597DA5" w14:paraId="52BE7ECF" w14:textId="77777777" w:rsidTr="000A640E">
        <w:tc>
          <w:tcPr>
            <w:tcW w:w="1127" w:type="dxa"/>
          </w:tcPr>
          <w:p w14:paraId="3D00D198" w14:textId="77777777" w:rsidR="00597DA5" w:rsidRDefault="00597DA5" w:rsidP="00597DA5">
            <w:pPr>
              <w:rPr>
                <w:lang w:val="en-US"/>
              </w:rPr>
            </w:pPr>
            <w:r>
              <w:rPr>
                <w:lang w:val="en-US"/>
              </w:rPr>
              <w:t>Overall</w:t>
            </w:r>
          </w:p>
          <w:p w14:paraId="0628DFF6" w14:textId="5413C31E" w:rsidR="00597DA5" w:rsidRDefault="00597DA5" w:rsidP="00597DA5">
            <w:pPr>
              <w:rPr>
                <w:lang w:val="en-US"/>
              </w:rPr>
            </w:pPr>
            <w:r>
              <w:rPr>
                <w:lang w:val="en-US"/>
              </w:rPr>
              <w:t>(</w:t>
            </w:r>
            <w:r>
              <w:rPr>
                <w:rFonts w:cstheme="minorHAnsi"/>
                <w:lang w:val="en-US"/>
              </w:rPr>
              <w:t>≥</w:t>
            </w:r>
            <w:r>
              <w:rPr>
                <w:lang w:val="en-US"/>
              </w:rPr>
              <w:t>18)</w:t>
            </w:r>
          </w:p>
        </w:tc>
        <w:tc>
          <w:tcPr>
            <w:tcW w:w="1127" w:type="dxa"/>
          </w:tcPr>
          <w:p w14:paraId="692481B5" w14:textId="032343B2" w:rsidR="00597DA5" w:rsidRDefault="00597DA5" w:rsidP="000A640E">
            <w:pPr>
              <w:jc w:val="center"/>
              <w:rPr>
                <w:lang w:val="en-US"/>
              </w:rPr>
            </w:pPr>
            <w:r>
              <w:rPr>
                <w:lang w:val="en-US"/>
              </w:rPr>
              <w:t>14,134</w:t>
            </w:r>
          </w:p>
        </w:tc>
        <w:tc>
          <w:tcPr>
            <w:tcW w:w="1127" w:type="dxa"/>
          </w:tcPr>
          <w:p w14:paraId="3890F670" w14:textId="4BF7BB10" w:rsidR="00597DA5" w:rsidRDefault="00597DA5" w:rsidP="000A640E">
            <w:pPr>
              <w:jc w:val="center"/>
              <w:rPr>
                <w:lang w:val="en-US"/>
              </w:rPr>
            </w:pPr>
            <w:r>
              <w:rPr>
                <w:lang w:val="en-US"/>
              </w:rPr>
              <w:t>11</w:t>
            </w:r>
          </w:p>
        </w:tc>
        <w:tc>
          <w:tcPr>
            <w:tcW w:w="1127" w:type="dxa"/>
          </w:tcPr>
          <w:p w14:paraId="2C4AFFEE" w14:textId="72BB3D4A" w:rsidR="00597DA5" w:rsidRDefault="00597DA5" w:rsidP="000A640E">
            <w:pPr>
              <w:jc w:val="center"/>
              <w:rPr>
                <w:lang w:val="en-US"/>
              </w:rPr>
            </w:pPr>
            <w:r>
              <w:rPr>
                <w:lang w:val="en-US"/>
              </w:rPr>
              <w:t>3.328</w:t>
            </w:r>
          </w:p>
        </w:tc>
        <w:tc>
          <w:tcPr>
            <w:tcW w:w="1127" w:type="dxa"/>
          </w:tcPr>
          <w:p w14:paraId="54490DC0" w14:textId="6EC2A95A" w:rsidR="00597DA5" w:rsidRDefault="00597DA5" w:rsidP="000A640E">
            <w:pPr>
              <w:jc w:val="center"/>
              <w:rPr>
                <w:lang w:val="en-US"/>
              </w:rPr>
            </w:pPr>
            <w:r>
              <w:rPr>
                <w:lang w:val="en-US"/>
              </w:rPr>
              <w:t>14,073</w:t>
            </w:r>
          </w:p>
        </w:tc>
        <w:tc>
          <w:tcPr>
            <w:tcW w:w="1127" w:type="dxa"/>
          </w:tcPr>
          <w:p w14:paraId="11A152BF" w14:textId="20E17A06" w:rsidR="00597DA5" w:rsidRDefault="00597DA5" w:rsidP="000A640E">
            <w:pPr>
              <w:jc w:val="center"/>
              <w:rPr>
                <w:lang w:val="en-US"/>
              </w:rPr>
            </w:pPr>
            <w:r>
              <w:rPr>
                <w:lang w:val="en-US"/>
              </w:rPr>
              <w:t>185</w:t>
            </w:r>
          </w:p>
        </w:tc>
        <w:tc>
          <w:tcPr>
            <w:tcW w:w="1127" w:type="dxa"/>
          </w:tcPr>
          <w:p w14:paraId="74F0349D" w14:textId="575FA1B6" w:rsidR="00597DA5" w:rsidRDefault="00597DA5" w:rsidP="000A640E">
            <w:pPr>
              <w:jc w:val="center"/>
              <w:rPr>
                <w:lang w:val="en-US"/>
              </w:rPr>
            </w:pPr>
            <w:r>
              <w:rPr>
                <w:lang w:val="en-US"/>
              </w:rPr>
              <w:t>56.510</w:t>
            </w:r>
          </w:p>
        </w:tc>
        <w:tc>
          <w:tcPr>
            <w:tcW w:w="1127" w:type="dxa"/>
          </w:tcPr>
          <w:p w14:paraId="5DAA8632" w14:textId="77777777" w:rsidR="00597DA5" w:rsidRDefault="00597DA5" w:rsidP="000A640E">
            <w:pPr>
              <w:jc w:val="center"/>
              <w:rPr>
                <w:lang w:val="en-US"/>
              </w:rPr>
            </w:pPr>
            <w:r>
              <w:rPr>
                <w:lang w:val="en-US"/>
              </w:rPr>
              <w:t>94.1</w:t>
            </w:r>
          </w:p>
          <w:p w14:paraId="3E1F52F6" w14:textId="2E2A8DAE" w:rsidR="00597DA5" w:rsidRDefault="00597DA5" w:rsidP="000A640E">
            <w:pPr>
              <w:jc w:val="center"/>
              <w:rPr>
                <w:lang w:val="en-US"/>
              </w:rPr>
            </w:pPr>
            <w:r>
              <w:rPr>
                <w:lang w:val="en-US"/>
              </w:rPr>
              <w:t xml:space="preserve">(89.3, </w:t>
            </w:r>
            <w:proofErr w:type="gramStart"/>
            <w:r>
              <w:rPr>
                <w:lang w:val="en-US"/>
              </w:rPr>
              <w:t>96.8)*</w:t>
            </w:r>
            <w:proofErr w:type="gramEnd"/>
            <w:r>
              <w:rPr>
                <w:lang w:val="en-US"/>
              </w:rPr>
              <w:t>*</w:t>
            </w:r>
          </w:p>
        </w:tc>
      </w:tr>
      <w:tr w:rsidR="00597DA5" w14:paraId="737D147E" w14:textId="77777777" w:rsidTr="000A640E">
        <w:tc>
          <w:tcPr>
            <w:tcW w:w="1127" w:type="dxa"/>
          </w:tcPr>
          <w:p w14:paraId="7113A410" w14:textId="41952D0F" w:rsidR="00597DA5" w:rsidRDefault="00597DA5" w:rsidP="00597DA5">
            <w:pPr>
              <w:rPr>
                <w:lang w:val="en-US"/>
              </w:rPr>
            </w:pPr>
            <w:r>
              <w:rPr>
                <w:lang w:val="en-US"/>
              </w:rPr>
              <w:t>18 to &lt;65</w:t>
            </w:r>
          </w:p>
        </w:tc>
        <w:tc>
          <w:tcPr>
            <w:tcW w:w="1127" w:type="dxa"/>
          </w:tcPr>
          <w:p w14:paraId="1989E3FD" w14:textId="253FBF0D" w:rsidR="00597DA5" w:rsidRDefault="00597DA5" w:rsidP="000A640E">
            <w:pPr>
              <w:jc w:val="center"/>
              <w:rPr>
                <w:lang w:val="en-US"/>
              </w:rPr>
            </w:pPr>
            <w:r>
              <w:rPr>
                <w:lang w:val="en-US"/>
              </w:rPr>
              <w:t>10,551</w:t>
            </w:r>
          </w:p>
        </w:tc>
        <w:tc>
          <w:tcPr>
            <w:tcW w:w="1127" w:type="dxa"/>
          </w:tcPr>
          <w:p w14:paraId="59FC2338" w14:textId="19911138" w:rsidR="00597DA5" w:rsidRDefault="00597DA5" w:rsidP="000A640E">
            <w:pPr>
              <w:jc w:val="center"/>
              <w:rPr>
                <w:lang w:val="en-US"/>
              </w:rPr>
            </w:pPr>
            <w:r>
              <w:rPr>
                <w:lang w:val="en-US"/>
              </w:rPr>
              <w:t>7</w:t>
            </w:r>
          </w:p>
        </w:tc>
        <w:tc>
          <w:tcPr>
            <w:tcW w:w="1127" w:type="dxa"/>
          </w:tcPr>
          <w:p w14:paraId="38E01208" w14:textId="32621C2B" w:rsidR="00597DA5" w:rsidRDefault="00597DA5" w:rsidP="000A640E">
            <w:pPr>
              <w:jc w:val="center"/>
              <w:rPr>
                <w:lang w:val="en-US"/>
              </w:rPr>
            </w:pPr>
            <w:r>
              <w:rPr>
                <w:lang w:val="en-US"/>
              </w:rPr>
              <w:t>2.875</w:t>
            </w:r>
          </w:p>
        </w:tc>
        <w:tc>
          <w:tcPr>
            <w:tcW w:w="1127" w:type="dxa"/>
          </w:tcPr>
          <w:p w14:paraId="07208BF6" w14:textId="4BBF1C57" w:rsidR="00597DA5" w:rsidRDefault="00597DA5" w:rsidP="000A640E">
            <w:pPr>
              <w:jc w:val="center"/>
              <w:rPr>
                <w:lang w:val="en-US"/>
              </w:rPr>
            </w:pPr>
            <w:r>
              <w:rPr>
                <w:lang w:val="en-US"/>
              </w:rPr>
              <w:t>10.521</w:t>
            </w:r>
          </w:p>
        </w:tc>
        <w:tc>
          <w:tcPr>
            <w:tcW w:w="1127" w:type="dxa"/>
          </w:tcPr>
          <w:p w14:paraId="06A601AF" w14:textId="10898869" w:rsidR="00597DA5" w:rsidRDefault="00597DA5" w:rsidP="000A640E">
            <w:pPr>
              <w:jc w:val="center"/>
              <w:rPr>
                <w:lang w:val="en-US"/>
              </w:rPr>
            </w:pPr>
            <w:r>
              <w:rPr>
                <w:lang w:val="en-US"/>
              </w:rPr>
              <w:t>156</w:t>
            </w:r>
          </w:p>
        </w:tc>
        <w:tc>
          <w:tcPr>
            <w:tcW w:w="1127" w:type="dxa"/>
          </w:tcPr>
          <w:p w14:paraId="299B5B96" w14:textId="0E12DCEC" w:rsidR="00597DA5" w:rsidRDefault="00597DA5" w:rsidP="000A640E">
            <w:pPr>
              <w:jc w:val="center"/>
              <w:rPr>
                <w:lang w:val="en-US"/>
              </w:rPr>
            </w:pPr>
            <w:r>
              <w:rPr>
                <w:lang w:val="en-US"/>
              </w:rPr>
              <w:t>64.625</w:t>
            </w:r>
          </w:p>
        </w:tc>
        <w:tc>
          <w:tcPr>
            <w:tcW w:w="1127" w:type="dxa"/>
          </w:tcPr>
          <w:p w14:paraId="227E6B67" w14:textId="77777777" w:rsidR="00597DA5" w:rsidRDefault="00597DA5" w:rsidP="000A640E">
            <w:pPr>
              <w:jc w:val="center"/>
              <w:rPr>
                <w:lang w:val="en-US"/>
              </w:rPr>
            </w:pPr>
            <w:r>
              <w:rPr>
                <w:lang w:val="en-US"/>
              </w:rPr>
              <w:t>95.6</w:t>
            </w:r>
          </w:p>
          <w:p w14:paraId="48154822" w14:textId="53A1E23B" w:rsidR="00597DA5" w:rsidRDefault="00597DA5" w:rsidP="000A640E">
            <w:pPr>
              <w:jc w:val="center"/>
              <w:rPr>
                <w:lang w:val="en-US"/>
              </w:rPr>
            </w:pPr>
            <w:r>
              <w:rPr>
                <w:lang w:val="en-US"/>
              </w:rPr>
              <w:t>(90.6, 97.9)</w:t>
            </w:r>
          </w:p>
        </w:tc>
      </w:tr>
      <w:tr w:rsidR="00597DA5" w14:paraId="66C14635" w14:textId="77777777" w:rsidTr="000A640E">
        <w:tc>
          <w:tcPr>
            <w:tcW w:w="1127" w:type="dxa"/>
          </w:tcPr>
          <w:p w14:paraId="2088254E" w14:textId="2D3F4B7F" w:rsidR="00597DA5" w:rsidRDefault="00597DA5" w:rsidP="00597DA5">
            <w:pPr>
              <w:rPr>
                <w:lang w:val="en-US"/>
              </w:rPr>
            </w:pPr>
            <w:r>
              <w:rPr>
                <w:rFonts w:cstheme="minorHAnsi"/>
                <w:lang w:val="en-US"/>
              </w:rPr>
              <w:t>≥</w:t>
            </w:r>
            <w:r>
              <w:rPr>
                <w:lang w:val="en-US"/>
              </w:rPr>
              <w:t>65</w:t>
            </w:r>
          </w:p>
        </w:tc>
        <w:tc>
          <w:tcPr>
            <w:tcW w:w="1127" w:type="dxa"/>
          </w:tcPr>
          <w:p w14:paraId="220BDACF" w14:textId="079187EC" w:rsidR="00597DA5" w:rsidRDefault="00597DA5" w:rsidP="000A640E">
            <w:pPr>
              <w:jc w:val="center"/>
              <w:rPr>
                <w:lang w:val="en-US"/>
              </w:rPr>
            </w:pPr>
            <w:r>
              <w:rPr>
                <w:lang w:val="en-US"/>
              </w:rPr>
              <w:t>3,583</w:t>
            </w:r>
          </w:p>
        </w:tc>
        <w:tc>
          <w:tcPr>
            <w:tcW w:w="1127" w:type="dxa"/>
          </w:tcPr>
          <w:p w14:paraId="3BD5F6E4" w14:textId="75181218" w:rsidR="00597DA5" w:rsidRDefault="00597DA5" w:rsidP="000A640E">
            <w:pPr>
              <w:jc w:val="center"/>
              <w:rPr>
                <w:lang w:val="en-US"/>
              </w:rPr>
            </w:pPr>
            <w:r>
              <w:rPr>
                <w:lang w:val="en-US"/>
              </w:rPr>
              <w:t>4</w:t>
            </w:r>
          </w:p>
        </w:tc>
        <w:tc>
          <w:tcPr>
            <w:tcW w:w="1127" w:type="dxa"/>
          </w:tcPr>
          <w:p w14:paraId="1A6D4B71" w14:textId="3178C2D5" w:rsidR="00597DA5" w:rsidRDefault="00597DA5" w:rsidP="000A640E">
            <w:pPr>
              <w:jc w:val="center"/>
              <w:rPr>
                <w:lang w:val="en-US"/>
              </w:rPr>
            </w:pPr>
            <w:r>
              <w:rPr>
                <w:lang w:val="en-US"/>
              </w:rPr>
              <w:t>4.595</w:t>
            </w:r>
          </w:p>
        </w:tc>
        <w:tc>
          <w:tcPr>
            <w:tcW w:w="1127" w:type="dxa"/>
          </w:tcPr>
          <w:p w14:paraId="6DF3F3E2" w14:textId="07D1743F" w:rsidR="00597DA5" w:rsidRDefault="00597DA5" w:rsidP="000A640E">
            <w:pPr>
              <w:jc w:val="center"/>
              <w:rPr>
                <w:lang w:val="en-US"/>
              </w:rPr>
            </w:pPr>
            <w:r>
              <w:rPr>
                <w:lang w:val="en-US"/>
              </w:rPr>
              <w:t>3,552</w:t>
            </w:r>
          </w:p>
        </w:tc>
        <w:tc>
          <w:tcPr>
            <w:tcW w:w="1127" w:type="dxa"/>
          </w:tcPr>
          <w:p w14:paraId="42E00A08" w14:textId="0EC0DC03" w:rsidR="00597DA5" w:rsidRDefault="00597DA5" w:rsidP="000A640E">
            <w:pPr>
              <w:jc w:val="center"/>
              <w:rPr>
                <w:lang w:val="en-US"/>
              </w:rPr>
            </w:pPr>
            <w:r>
              <w:rPr>
                <w:lang w:val="en-US"/>
              </w:rPr>
              <w:t>29</w:t>
            </w:r>
          </w:p>
        </w:tc>
        <w:tc>
          <w:tcPr>
            <w:tcW w:w="1127" w:type="dxa"/>
          </w:tcPr>
          <w:p w14:paraId="27EDA229" w14:textId="60B879ED" w:rsidR="00597DA5" w:rsidRDefault="00597DA5" w:rsidP="000A640E">
            <w:pPr>
              <w:jc w:val="center"/>
              <w:rPr>
                <w:lang w:val="en-US"/>
              </w:rPr>
            </w:pPr>
            <w:r>
              <w:rPr>
                <w:lang w:val="en-US"/>
              </w:rPr>
              <w:t>33.728</w:t>
            </w:r>
          </w:p>
        </w:tc>
        <w:tc>
          <w:tcPr>
            <w:tcW w:w="1127" w:type="dxa"/>
          </w:tcPr>
          <w:p w14:paraId="6272BCC9" w14:textId="3AA1E4EB" w:rsidR="00597DA5" w:rsidRDefault="00597DA5" w:rsidP="000A640E">
            <w:pPr>
              <w:jc w:val="center"/>
              <w:rPr>
                <w:lang w:val="en-US"/>
              </w:rPr>
            </w:pPr>
            <w:r>
              <w:rPr>
                <w:lang w:val="en-US"/>
              </w:rPr>
              <w:t>86.4 (61.4, 95.2)</w:t>
            </w:r>
          </w:p>
        </w:tc>
      </w:tr>
      <w:tr w:rsidR="00597DA5" w14:paraId="374DB466" w14:textId="77777777" w:rsidTr="000A640E">
        <w:tc>
          <w:tcPr>
            <w:tcW w:w="1127" w:type="dxa"/>
          </w:tcPr>
          <w:p w14:paraId="1FAF3B45" w14:textId="647BB032" w:rsidR="00597DA5" w:rsidRDefault="00597DA5" w:rsidP="00597DA5">
            <w:pPr>
              <w:rPr>
                <w:lang w:val="en-US"/>
              </w:rPr>
            </w:pPr>
            <w:r>
              <w:rPr>
                <w:rFonts w:cstheme="minorHAnsi"/>
                <w:lang w:val="en-US"/>
              </w:rPr>
              <w:t>≥</w:t>
            </w:r>
            <w:r>
              <w:rPr>
                <w:lang w:val="en-US"/>
              </w:rPr>
              <w:t>65 to &lt;75</w:t>
            </w:r>
          </w:p>
        </w:tc>
        <w:tc>
          <w:tcPr>
            <w:tcW w:w="1127" w:type="dxa"/>
          </w:tcPr>
          <w:p w14:paraId="20817BA4" w14:textId="0435E2C9" w:rsidR="00597DA5" w:rsidRDefault="00597DA5" w:rsidP="000A640E">
            <w:pPr>
              <w:jc w:val="center"/>
              <w:rPr>
                <w:lang w:val="en-US"/>
              </w:rPr>
            </w:pPr>
            <w:r>
              <w:rPr>
                <w:lang w:val="en-US"/>
              </w:rPr>
              <w:t>2,953</w:t>
            </w:r>
          </w:p>
        </w:tc>
        <w:tc>
          <w:tcPr>
            <w:tcW w:w="1127" w:type="dxa"/>
          </w:tcPr>
          <w:p w14:paraId="2271178D" w14:textId="2249E1B5" w:rsidR="00597DA5" w:rsidRDefault="00597DA5" w:rsidP="000A640E">
            <w:pPr>
              <w:jc w:val="center"/>
              <w:rPr>
                <w:lang w:val="en-US"/>
              </w:rPr>
            </w:pPr>
            <w:r>
              <w:rPr>
                <w:lang w:val="en-US"/>
              </w:rPr>
              <w:t>4</w:t>
            </w:r>
          </w:p>
        </w:tc>
        <w:tc>
          <w:tcPr>
            <w:tcW w:w="1127" w:type="dxa"/>
          </w:tcPr>
          <w:p w14:paraId="67A12EF2" w14:textId="2945880E" w:rsidR="00597DA5" w:rsidRDefault="00597DA5" w:rsidP="000A640E">
            <w:pPr>
              <w:jc w:val="center"/>
              <w:rPr>
                <w:lang w:val="en-US"/>
              </w:rPr>
            </w:pPr>
            <w:r>
              <w:rPr>
                <w:lang w:val="en-US"/>
              </w:rPr>
              <w:t>5.586</w:t>
            </w:r>
          </w:p>
        </w:tc>
        <w:tc>
          <w:tcPr>
            <w:tcW w:w="1127" w:type="dxa"/>
          </w:tcPr>
          <w:p w14:paraId="2D92F8FE" w14:textId="3FF7C70B" w:rsidR="00597DA5" w:rsidRDefault="00597DA5" w:rsidP="000A640E">
            <w:pPr>
              <w:jc w:val="center"/>
              <w:rPr>
                <w:lang w:val="en-US"/>
              </w:rPr>
            </w:pPr>
            <w:r>
              <w:rPr>
                <w:lang w:val="en-US"/>
              </w:rPr>
              <w:t>2,864</w:t>
            </w:r>
          </w:p>
        </w:tc>
        <w:tc>
          <w:tcPr>
            <w:tcW w:w="1127" w:type="dxa"/>
          </w:tcPr>
          <w:p w14:paraId="7A670482" w14:textId="354B963A" w:rsidR="00597DA5" w:rsidRDefault="00597DA5" w:rsidP="000A640E">
            <w:pPr>
              <w:jc w:val="center"/>
              <w:rPr>
                <w:lang w:val="en-US"/>
              </w:rPr>
            </w:pPr>
            <w:r>
              <w:rPr>
                <w:lang w:val="en-US"/>
              </w:rPr>
              <w:t>22</w:t>
            </w:r>
          </w:p>
        </w:tc>
        <w:tc>
          <w:tcPr>
            <w:tcW w:w="1127" w:type="dxa"/>
          </w:tcPr>
          <w:p w14:paraId="5D24E011" w14:textId="185A0B09" w:rsidR="00597DA5" w:rsidRDefault="00597DA5" w:rsidP="000A640E">
            <w:pPr>
              <w:jc w:val="center"/>
              <w:rPr>
                <w:lang w:val="en-US"/>
              </w:rPr>
            </w:pPr>
            <w:r>
              <w:rPr>
                <w:lang w:val="en-US"/>
              </w:rPr>
              <w:t>31.744</w:t>
            </w:r>
          </w:p>
        </w:tc>
        <w:tc>
          <w:tcPr>
            <w:tcW w:w="1127" w:type="dxa"/>
          </w:tcPr>
          <w:p w14:paraId="6AB4DB4B" w14:textId="21C509BC" w:rsidR="00597DA5" w:rsidRDefault="00597DA5" w:rsidP="000A640E">
            <w:pPr>
              <w:jc w:val="center"/>
              <w:rPr>
                <w:lang w:val="en-US"/>
              </w:rPr>
            </w:pPr>
            <w:r>
              <w:rPr>
                <w:lang w:val="en-US"/>
              </w:rPr>
              <w:t>82.4% (48.6, 93.9)</w:t>
            </w:r>
          </w:p>
        </w:tc>
      </w:tr>
      <w:tr w:rsidR="00597DA5" w14:paraId="3156BAF6" w14:textId="77777777" w:rsidTr="000A640E">
        <w:tc>
          <w:tcPr>
            <w:tcW w:w="1127" w:type="dxa"/>
          </w:tcPr>
          <w:p w14:paraId="3B0E72F7" w14:textId="742C7F83" w:rsidR="00597DA5" w:rsidRDefault="00597DA5" w:rsidP="00597DA5">
            <w:pPr>
              <w:rPr>
                <w:lang w:val="en-US"/>
              </w:rPr>
            </w:pPr>
            <w:r>
              <w:rPr>
                <w:rFonts w:cstheme="minorHAnsi"/>
                <w:lang w:val="en-US"/>
              </w:rPr>
              <w:t>≥</w:t>
            </w:r>
            <w:r>
              <w:rPr>
                <w:lang w:val="en-US"/>
              </w:rPr>
              <w:t>75</w:t>
            </w:r>
          </w:p>
        </w:tc>
        <w:tc>
          <w:tcPr>
            <w:tcW w:w="1127" w:type="dxa"/>
          </w:tcPr>
          <w:p w14:paraId="345D3344" w14:textId="285A9BF2" w:rsidR="00597DA5" w:rsidRDefault="00597DA5" w:rsidP="000A640E">
            <w:pPr>
              <w:jc w:val="center"/>
              <w:rPr>
                <w:lang w:val="en-US"/>
              </w:rPr>
            </w:pPr>
            <w:r>
              <w:rPr>
                <w:lang w:val="en-US"/>
              </w:rPr>
              <w:t>630</w:t>
            </w:r>
          </w:p>
        </w:tc>
        <w:tc>
          <w:tcPr>
            <w:tcW w:w="1127" w:type="dxa"/>
          </w:tcPr>
          <w:p w14:paraId="768480C1" w14:textId="371D4C89" w:rsidR="00597DA5" w:rsidRDefault="00597DA5" w:rsidP="000A640E">
            <w:pPr>
              <w:jc w:val="center"/>
              <w:rPr>
                <w:lang w:val="en-US"/>
              </w:rPr>
            </w:pPr>
            <w:r>
              <w:rPr>
                <w:lang w:val="en-US"/>
              </w:rPr>
              <w:t>0</w:t>
            </w:r>
          </w:p>
        </w:tc>
        <w:tc>
          <w:tcPr>
            <w:tcW w:w="1127" w:type="dxa"/>
          </w:tcPr>
          <w:p w14:paraId="544C7023" w14:textId="7A0DF164" w:rsidR="00597DA5" w:rsidRDefault="00597DA5" w:rsidP="000A640E">
            <w:pPr>
              <w:jc w:val="center"/>
              <w:rPr>
                <w:lang w:val="en-US"/>
              </w:rPr>
            </w:pPr>
            <w:r>
              <w:rPr>
                <w:lang w:val="en-US"/>
              </w:rPr>
              <w:t>0</w:t>
            </w:r>
          </w:p>
        </w:tc>
        <w:tc>
          <w:tcPr>
            <w:tcW w:w="1127" w:type="dxa"/>
          </w:tcPr>
          <w:p w14:paraId="1376CAA8" w14:textId="6494DE77" w:rsidR="00597DA5" w:rsidRDefault="00597DA5" w:rsidP="000A640E">
            <w:pPr>
              <w:jc w:val="center"/>
              <w:rPr>
                <w:lang w:val="en-US"/>
              </w:rPr>
            </w:pPr>
            <w:r>
              <w:rPr>
                <w:lang w:val="en-US"/>
              </w:rPr>
              <w:t>688</w:t>
            </w:r>
          </w:p>
        </w:tc>
        <w:tc>
          <w:tcPr>
            <w:tcW w:w="1127" w:type="dxa"/>
          </w:tcPr>
          <w:p w14:paraId="4F493DA3" w14:textId="3E2767CD" w:rsidR="00597DA5" w:rsidRDefault="00597DA5" w:rsidP="000A640E">
            <w:pPr>
              <w:jc w:val="center"/>
              <w:rPr>
                <w:lang w:val="en-US"/>
              </w:rPr>
            </w:pPr>
            <w:r>
              <w:rPr>
                <w:lang w:val="en-US"/>
              </w:rPr>
              <w:t>7</w:t>
            </w:r>
          </w:p>
        </w:tc>
        <w:tc>
          <w:tcPr>
            <w:tcW w:w="1127" w:type="dxa"/>
          </w:tcPr>
          <w:p w14:paraId="47CE6F4E" w14:textId="6F697D7C" w:rsidR="00597DA5" w:rsidRDefault="00597DA5" w:rsidP="000A640E">
            <w:pPr>
              <w:jc w:val="center"/>
              <w:rPr>
                <w:lang w:val="en-US"/>
              </w:rPr>
            </w:pPr>
            <w:r>
              <w:rPr>
                <w:lang w:val="en-US"/>
              </w:rPr>
              <w:t>41.968</w:t>
            </w:r>
          </w:p>
        </w:tc>
        <w:tc>
          <w:tcPr>
            <w:tcW w:w="1127" w:type="dxa"/>
          </w:tcPr>
          <w:p w14:paraId="6B602018" w14:textId="6EE1ABC8" w:rsidR="00597DA5" w:rsidRDefault="00597DA5" w:rsidP="000A640E">
            <w:pPr>
              <w:jc w:val="center"/>
              <w:rPr>
                <w:lang w:val="en-US"/>
              </w:rPr>
            </w:pPr>
            <w:r>
              <w:rPr>
                <w:lang w:val="en-US"/>
              </w:rPr>
              <w:t>100%</w:t>
            </w:r>
          </w:p>
          <w:p w14:paraId="5590DC0D" w14:textId="716E5962" w:rsidR="00597DA5" w:rsidRDefault="00597DA5" w:rsidP="000A640E">
            <w:pPr>
              <w:jc w:val="center"/>
              <w:rPr>
                <w:lang w:val="en-US"/>
              </w:rPr>
            </w:pPr>
            <w:r>
              <w:rPr>
                <w:lang w:val="en-US"/>
              </w:rPr>
              <w:t>(NE, 100)</w:t>
            </w:r>
          </w:p>
        </w:tc>
      </w:tr>
    </w:tbl>
    <w:p w14:paraId="78FF1F52" w14:textId="77777777" w:rsidR="00B40EFA" w:rsidRPr="00AE1A15" w:rsidRDefault="00597DA5" w:rsidP="00DD4BE6">
      <w:pPr>
        <w:spacing w:after="0" w:line="240" w:lineRule="auto"/>
        <w:rPr>
          <w:sz w:val="18"/>
          <w:szCs w:val="18"/>
        </w:rPr>
      </w:pPr>
      <w:r w:rsidRPr="00AE1A15">
        <w:rPr>
          <w:sz w:val="18"/>
          <w:szCs w:val="18"/>
        </w:rPr>
        <w:t xml:space="preserve"># COVID-19: symptomatic COVID-19 requiring positive RT-PCR result and at least 2 systemic symptoms or 1 respiratory symptom. Cases starting 14 days after the 2nd dose. </w:t>
      </w:r>
    </w:p>
    <w:p w14:paraId="470C10AB" w14:textId="3BFB7C34" w:rsidR="00597DA5" w:rsidRPr="00AE1A15" w:rsidRDefault="00597DA5" w:rsidP="00187642">
      <w:pPr>
        <w:spacing w:after="0" w:line="240" w:lineRule="auto"/>
        <w:rPr>
          <w:sz w:val="18"/>
          <w:szCs w:val="18"/>
        </w:rPr>
      </w:pPr>
      <w:r w:rsidRPr="00AE1A15">
        <w:rPr>
          <w:sz w:val="18"/>
          <w:szCs w:val="18"/>
        </w:rPr>
        <w:t>*Vaccine efficacy and 95% confidence interval (CI) from the stratified Cox proportional hazard model ** CI not adjusted for multiplicity. Multiplicity adjusted statistical analyses were carried out in an interim analysis based on less COVID-19 cases, not reported here.</w:t>
      </w:r>
    </w:p>
    <w:p w14:paraId="39D8AD49" w14:textId="77777777" w:rsidR="00187642" w:rsidRDefault="00187642" w:rsidP="00DD4BE6">
      <w:pPr>
        <w:spacing w:after="0" w:line="240" w:lineRule="auto"/>
      </w:pPr>
    </w:p>
    <w:p w14:paraId="610A46E1" w14:textId="5D4C2209" w:rsidR="00597DA5" w:rsidRDefault="00597DA5" w:rsidP="00597DA5">
      <w:r>
        <w:t xml:space="preserve">Among all subjects in the PPS, no cases of severe COVID-19 were reported in the vaccine group compared with 30 of 185 (16%) cases reported in the placebo group. Of the 30 participants with severe disease, 9 were hospitalised, 2 of which were admitted to an intensive care unit. </w:t>
      </w:r>
      <w:proofErr w:type="gramStart"/>
      <w:r>
        <w:t>The majority of</w:t>
      </w:r>
      <w:proofErr w:type="gramEnd"/>
      <w:r>
        <w:t xml:space="preserve"> the remaining severe cases fulfilled only the oxygen saturation (SpO2) criterion for severe disease (≤ 93% on room air). </w:t>
      </w:r>
    </w:p>
    <w:p w14:paraId="5DEB1D1E" w14:textId="7368C55F" w:rsidR="009352D5" w:rsidRDefault="00597DA5" w:rsidP="00597DA5">
      <w:r>
        <w:t xml:space="preserve">The vaccine efficacy of </w:t>
      </w:r>
      <w:r w:rsidR="005F49F9">
        <w:t>SPIKEVAX</w:t>
      </w:r>
      <w:r>
        <w:t xml:space="preserve"> to prevent COVID-19, regardless of prior SARS-CoV-2 infection (determined by baseline serology and nasopharyngeal swab sample testing) from 14 days after Dose 2 was 93.6% (95% confidence interval 88.5, 96.4%). </w:t>
      </w:r>
    </w:p>
    <w:p w14:paraId="00C735EE" w14:textId="7BD0C2FC" w:rsidR="00597DA5" w:rsidRDefault="00597DA5" w:rsidP="00597DA5">
      <w:r>
        <w:t>Additionally, subgroup analyses of the primary efficacy endpoint showed similar efficacy point estimates across genders, ethnic groups, and participants with medical comorbidities associated with high risk of severe COVID-19.</w:t>
      </w:r>
    </w:p>
    <w:p w14:paraId="1938E5E0" w14:textId="77777777" w:rsidR="00563EAA" w:rsidRPr="001A33BA" w:rsidRDefault="00563EAA" w:rsidP="0051292C">
      <w:pPr>
        <w:pStyle w:val="Heading4"/>
      </w:pPr>
      <w:r w:rsidRPr="001A33BA">
        <w:lastRenderedPageBreak/>
        <w:t>Clinical efficacy in adolescents 12 through 17 years of age</w:t>
      </w:r>
    </w:p>
    <w:p w14:paraId="36D792D9" w14:textId="2AFAB1DC" w:rsidR="00563EAA" w:rsidRPr="00B60F81" w:rsidRDefault="00563EAA" w:rsidP="00563EAA">
      <w:pPr>
        <w:rPr>
          <w:rFonts w:cs="Arial"/>
          <w:bCs/>
        </w:rPr>
      </w:pPr>
      <w:r w:rsidRPr="001A33BA">
        <w:t>Study</w:t>
      </w:r>
      <w:r w:rsidRPr="00B60F81">
        <w:rPr>
          <w:rFonts w:cs="Arial"/>
          <w:bCs/>
        </w:rPr>
        <w:t xml:space="preserve"> </w:t>
      </w:r>
      <w:bookmarkStart w:id="11" w:name="_Hlk80000158"/>
      <w:r w:rsidR="006B19C0">
        <w:rPr>
          <w:rFonts w:cs="Arial"/>
          <w:bCs/>
        </w:rPr>
        <w:t>P203</w:t>
      </w:r>
      <w:bookmarkEnd w:id="11"/>
      <w:r w:rsidRPr="00B60F81">
        <w:rPr>
          <w:rFonts w:cs="Arial"/>
          <w:bCs/>
        </w:rPr>
        <w:t xml:space="preserve"> is an ongoing Phase 2/3 randomi</w:t>
      </w:r>
      <w:r>
        <w:rPr>
          <w:rFonts w:cs="Arial"/>
          <w:bCs/>
        </w:rPr>
        <w:t>s</w:t>
      </w:r>
      <w:r w:rsidRPr="00B60F81">
        <w:rPr>
          <w:rFonts w:cs="Arial"/>
          <w:bCs/>
        </w:rPr>
        <w:t xml:space="preserve">ed, placebo-controlled, observer-blind, clinical </w:t>
      </w:r>
      <w:r>
        <w:rPr>
          <w:rFonts w:cs="Arial"/>
          <w:bCs/>
        </w:rPr>
        <w:t>study</w:t>
      </w:r>
      <w:r w:rsidRPr="00B60F81">
        <w:rPr>
          <w:rFonts w:cs="Arial"/>
          <w:bCs/>
        </w:rPr>
        <w:t xml:space="preserve"> </w:t>
      </w:r>
      <w:r>
        <w:rPr>
          <w:rFonts w:asciiTheme="majorBidi" w:hAnsiTheme="majorBidi" w:cstheme="majorBidi"/>
        </w:rPr>
        <w:t>(</w:t>
      </w:r>
      <w:r w:rsidRPr="004C79A3">
        <w:t>NCT04649151</w:t>
      </w:r>
      <w:r>
        <w:rPr>
          <w:rFonts w:asciiTheme="majorBidi" w:hAnsiTheme="majorBidi" w:cstheme="majorBidi"/>
        </w:rPr>
        <w:t xml:space="preserve">) </w:t>
      </w:r>
      <w:r w:rsidRPr="00B60F81">
        <w:rPr>
          <w:rFonts w:cs="Arial"/>
          <w:bCs/>
        </w:rPr>
        <w:t xml:space="preserve">to evaluate the safety, reactogenicity, and effectiveness of </w:t>
      </w:r>
      <w:r w:rsidR="001C0A66">
        <w:rPr>
          <w:rFonts w:cs="Arial"/>
          <w:bCs/>
        </w:rPr>
        <w:t>SPIKEVAX</w:t>
      </w:r>
      <w:r>
        <w:rPr>
          <w:rFonts w:cs="Arial"/>
          <w:bCs/>
        </w:rPr>
        <w:t xml:space="preserve"> </w:t>
      </w:r>
      <w:r w:rsidRPr="00B60F81">
        <w:rPr>
          <w:rFonts w:cs="Arial"/>
          <w:bCs/>
        </w:rPr>
        <w:t xml:space="preserve">in adolescents </w:t>
      </w:r>
      <w:r w:rsidRPr="001A33BA">
        <w:t>ages</w:t>
      </w:r>
      <w:r w:rsidRPr="00B60F81">
        <w:rPr>
          <w:rFonts w:cs="Arial"/>
          <w:bCs/>
        </w:rPr>
        <w:t xml:space="preserve"> 12 to 17 years in the United States. Participants with a known history of SARS-CoV-2 infection were excluded from the study. A total of 3,73</w:t>
      </w:r>
      <w:r>
        <w:rPr>
          <w:rFonts w:cs="Arial"/>
          <w:bCs/>
        </w:rPr>
        <w:t>2</w:t>
      </w:r>
      <w:r w:rsidRPr="00B60F81">
        <w:rPr>
          <w:rFonts w:cs="Arial"/>
          <w:bCs/>
        </w:rPr>
        <w:t xml:space="preserve"> participants were randomi</w:t>
      </w:r>
      <w:r>
        <w:rPr>
          <w:rFonts w:cs="Arial"/>
          <w:bCs/>
        </w:rPr>
        <w:t>s</w:t>
      </w:r>
      <w:r w:rsidRPr="00B60F81">
        <w:rPr>
          <w:rFonts w:cs="Arial"/>
          <w:bCs/>
        </w:rPr>
        <w:t xml:space="preserve">ed 2:1 to receive 2 doses of </w:t>
      </w:r>
      <w:r w:rsidR="001C0A66">
        <w:rPr>
          <w:rFonts w:cs="Arial"/>
          <w:bCs/>
        </w:rPr>
        <w:t>SPIKEVAX</w:t>
      </w:r>
      <w:r>
        <w:rPr>
          <w:rFonts w:cs="Arial"/>
          <w:bCs/>
        </w:rPr>
        <w:t xml:space="preserve"> </w:t>
      </w:r>
      <w:r w:rsidRPr="00B60F81">
        <w:rPr>
          <w:rFonts w:cs="Arial"/>
          <w:bCs/>
        </w:rPr>
        <w:t xml:space="preserve">or saline placebo 1 month apart. Participants will be followed for efficacy and safety until 1 year after the second dose. </w:t>
      </w:r>
    </w:p>
    <w:p w14:paraId="07296BD2" w14:textId="64F13C96" w:rsidR="00563EAA" w:rsidRPr="00B60F81" w:rsidRDefault="00563EAA" w:rsidP="00563EAA">
      <w:pPr>
        <w:rPr>
          <w:rFonts w:cs="Arial"/>
          <w:bCs/>
        </w:rPr>
      </w:pPr>
      <w:r w:rsidRPr="00B60F81">
        <w:rPr>
          <w:rFonts w:cs="Arial"/>
          <w:bCs/>
        </w:rPr>
        <w:t>A</w:t>
      </w:r>
      <w:r w:rsidR="0017400E">
        <w:rPr>
          <w:rFonts w:cs="Arial"/>
          <w:bCs/>
        </w:rPr>
        <w:t xml:space="preserve"> secondary</w:t>
      </w:r>
      <w:r>
        <w:rPr>
          <w:rFonts w:cs="Arial"/>
          <w:bCs/>
        </w:rPr>
        <w:t xml:space="preserve"> </w:t>
      </w:r>
      <w:r w:rsidRPr="00B60F81">
        <w:rPr>
          <w:rFonts w:cs="Arial"/>
          <w:bCs/>
        </w:rPr>
        <w:t xml:space="preserve">efficacy analysis was </w:t>
      </w:r>
      <w:r w:rsidRPr="00F34099">
        <w:rPr>
          <w:rFonts w:cs="Arial"/>
          <w:bCs/>
        </w:rPr>
        <w:t>performed in 3,236 participants who received at least Dose 1 of either</w:t>
      </w:r>
      <w:r>
        <w:rPr>
          <w:rFonts w:cs="Arial"/>
          <w:bCs/>
        </w:rPr>
        <w:t xml:space="preserve"> </w:t>
      </w:r>
      <w:r w:rsidR="001C0A66">
        <w:rPr>
          <w:rFonts w:cs="Arial"/>
          <w:bCs/>
        </w:rPr>
        <w:t>SPIKEVAX</w:t>
      </w:r>
      <w:r w:rsidRPr="00F34099">
        <w:rPr>
          <w:rFonts w:cs="Arial"/>
          <w:bCs/>
        </w:rPr>
        <w:t xml:space="preserve"> (n=2,163) or placebo (n=1,073</w:t>
      </w:r>
      <w:proofErr w:type="gramStart"/>
      <w:r w:rsidRPr="00F34099">
        <w:rPr>
          <w:rFonts w:cs="Arial"/>
          <w:bCs/>
        </w:rPr>
        <w:t>), and</w:t>
      </w:r>
      <w:proofErr w:type="gramEnd"/>
      <w:r w:rsidRPr="00F34099">
        <w:rPr>
          <w:rFonts w:cs="Arial"/>
          <w:bCs/>
        </w:rPr>
        <w:t xml:space="preserve"> had a negative baseline SARS-CoV-2 status (referred to as the modified Intent-to-Treat Set). In the </w:t>
      </w:r>
      <w:proofErr w:type="spellStart"/>
      <w:r w:rsidRPr="00F34099">
        <w:rPr>
          <w:rFonts w:cs="Arial"/>
          <w:bCs/>
        </w:rPr>
        <w:t>mITT</w:t>
      </w:r>
      <w:proofErr w:type="spellEnd"/>
      <w:r w:rsidRPr="00F34099">
        <w:rPr>
          <w:rFonts w:cs="Arial"/>
          <w:bCs/>
        </w:rPr>
        <w:t xml:space="preserve"> set, </w:t>
      </w:r>
      <w:r>
        <w:rPr>
          <w:rFonts w:cs="Arial"/>
          <w:bCs/>
        </w:rPr>
        <w:t>48.5</w:t>
      </w:r>
      <w:r w:rsidRPr="00F34099">
        <w:rPr>
          <w:rFonts w:cs="Arial"/>
          <w:bCs/>
        </w:rPr>
        <w:t xml:space="preserve">% were female, </w:t>
      </w:r>
      <w:r>
        <w:rPr>
          <w:rFonts w:cs="Arial"/>
          <w:bCs/>
        </w:rPr>
        <w:t>11.2</w:t>
      </w:r>
      <w:r w:rsidRPr="00F34099">
        <w:rPr>
          <w:rFonts w:cs="Arial"/>
          <w:bCs/>
        </w:rPr>
        <w:t>% were Hispanic or Latino</w:t>
      </w:r>
      <w:r>
        <w:rPr>
          <w:rFonts w:cs="Arial"/>
          <w:bCs/>
        </w:rPr>
        <w:t>,</w:t>
      </w:r>
      <w:r w:rsidRPr="00F34099">
        <w:rPr>
          <w:rFonts w:cs="Arial"/>
          <w:bCs/>
        </w:rPr>
        <w:t xml:space="preserve"> </w:t>
      </w:r>
      <w:r>
        <w:rPr>
          <w:rFonts w:cs="Arial"/>
          <w:bCs/>
        </w:rPr>
        <w:t>83.9</w:t>
      </w:r>
      <w:r w:rsidRPr="00F34099">
        <w:rPr>
          <w:rFonts w:cs="Arial"/>
          <w:bCs/>
        </w:rPr>
        <w:t xml:space="preserve">% were White, </w:t>
      </w:r>
      <w:r>
        <w:rPr>
          <w:rFonts w:cs="Arial"/>
          <w:bCs/>
        </w:rPr>
        <w:t>2.8</w:t>
      </w:r>
      <w:r w:rsidRPr="00F34099">
        <w:rPr>
          <w:rFonts w:cs="Arial"/>
          <w:bCs/>
        </w:rPr>
        <w:t xml:space="preserve">% were African American, </w:t>
      </w:r>
      <w:r>
        <w:rPr>
          <w:rFonts w:cs="Arial"/>
          <w:bCs/>
        </w:rPr>
        <w:t>6.3</w:t>
      </w:r>
      <w:r w:rsidRPr="00F34099">
        <w:rPr>
          <w:rFonts w:cs="Arial"/>
          <w:bCs/>
        </w:rPr>
        <w:t xml:space="preserve">% were Asian, and </w:t>
      </w:r>
      <w:r>
        <w:rPr>
          <w:rFonts w:cs="Arial"/>
          <w:bCs/>
        </w:rPr>
        <w:t>0.9</w:t>
      </w:r>
      <w:r w:rsidRPr="00F34099">
        <w:rPr>
          <w:rFonts w:cs="Arial"/>
          <w:bCs/>
        </w:rPr>
        <w:t>% other races. Between participants</w:t>
      </w:r>
      <w:r w:rsidRPr="00B60F81">
        <w:rPr>
          <w:rFonts w:cs="Arial"/>
          <w:bCs/>
        </w:rPr>
        <w:t xml:space="preserve"> who received </w:t>
      </w:r>
      <w:r w:rsidR="001C0A66">
        <w:rPr>
          <w:rFonts w:cs="Arial"/>
          <w:bCs/>
        </w:rPr>
        <w:t>SPIKEVAX</w:t>
      </w:r>
      <w:r>
        <w:rPr>
          <w:rFonts w:cs="Arial"/>
          <w:bCs/>
        </w:rPr>
        <w:t xml:space="preserve"> </w:t>
      </w:r>
      <w:r w:rsidRPr="00B60F81">
        <w:rPr>
          <w:rFonts w:cs="Arial"/>
          <w:bCs/>
        </w:rPr>
        <w:t>and those who received placebo, there were no notable differences in demographics or pre-existing medical conditions.</w:t>
      </w:r>
    </w:p>
    <w:p w14:paraId="5B1A1AB9" w14:textId="77777777" w:rsidR="00563EAA" w:rsidRPr="00B60F81" w:rsidRDefault="00563EAA" w:rsidP="00563EAA">
      <w:pPr>
        <w:rPr>
          <w:rFonts w:cs="Arial"/>
          <w:bCs/>
        </w:rPr>
      </w:pPr>
      <w:r w:rsidRPr="001A33BA">
        <w:t>COVID</w:t>
      </w:r>
      <w:r w:rsidRPr="00B60F81">
        <w:rPr>
          <w:rFonts w:cs="Arial"/>
          <w:bCs/>
        </w:rPr>
        <w:t xml:space="preserve">-19 was defined as the presence of at least one symptom from a list of COVID-19 symptoms occurring at least 14 days after Dose 1 </w:t>
      </w:r>
      <w:bookmarkStart w:id="12" w:name="_Hlk70434448"/>
      <w:r w:rsidRPr="00B60F81">
        <w:rPr>
          <w:rFonts w:cs="Arial"/>
          <w:bCs/>
        </w:rPr>
        <w:t xml:space="preserve">and a positive </w:t>
      </w:r>
      <w:r w:rsidRPr="00CB7568">
        <w:rPr>
          <w:shd w:val="clear" w:color="auto" w:fill="FFFFFF"/>
        </w:rPr>
        <w:t>nasopharyngeal</w:t>
      </w:r>
      <w:r>
        <w:rPr>
          <w:shd w:val="clear" w:color="auto" w:fill="FFFFFF"/>
        </w:rPr>
        <w:t xml:space="preserve"> (NP)</w:t>
      </w:r>
      <w:r w:rsidRPr="00B60F81">
        <w:rPr>
          <w:rFonts w:cs="Arial"/>
          <w:bCs/>
        </w:rPr>
        <w:t xml:space="preserve"> swab or saliva sample for SARS-CoV-2 by RT-</w:t>
      </w:r>
      <w:r w:rsidRPr="003B3917">
        <w:rPr>
          <w:rFonts w:cs="Arial"/>
          <w:bCs/>
        </w:rPr>
        <w:t>PCR</w:t>
      </w:r>
      <w:bookmarkEnd w:id="12"/>
      <w:r w:rsidRPr="003B3917">
        <w:rPr>
          <w:rFonts w:cs="Arial"/>
          <w:bCs/>
        </w:rPr>
        <w:t xml:space="preserve"> (</w:t>
      </w:r>
      <w:r w:rsidRPr="00CB7568">
        <w:rPr>
          <w:shd w:val="clear" w:color="auto" w:fill="FFFFFF"/>
        </w:rPr>
        <w:t>reverse transcription-polymerase chain reaction)</w:t>
      </w:r>
      <w:r w:rsidRPr="003B3917">
        <w:rPr>
          <w:rFonts w:cs="Arial"/>
          <w:bCs/>
        </w:rPr>
        <w:t>. Listed</w:t>
      </w:r>
      <w:r w:rsidRPr="00B60F81">
        <w:rPr>
          <w:rFonts w:cs="Arial"/>
          <w:bCs/>
        </w:rPr>
        <w:t xml:space="preserve"> symptoms were fever (temperature &gt; 38ºC/≥ 100.4ºF), or chills, cough, shortness of breath or difficulty breathing, fatigue, muscle aches, or body aches, headache, new loss of taste or smell, sore throat, congestion or runny nose, nausea, or vomiting or diarrh</w:t>
      </w:r>
      <w:r>
        <w:rPr>
          <w:rFonts w:cs="Arial"/>
          <w:bCs/>
        </w:rPr>
        <w:t>o</w:t>
      </w:r>
      <w:r w:rsidRPr="00B60F81">
        <w:rPr>
          <w:rFonts w:cs="Arial"/>
          <w:bCs/>
        </w:rPr>
        <w:t xml:space="preserve">ea. </w:t>
      </w:r>
    </w:p>
    <w:p w14:paraId="13801755" w14:textId="74BE4909" w:rsidR="00563EAA" w:rsidRDefault="00563EAA" w:rsidP="00563EAA">
      <w:pPr>
        <w:rPr>
          <w:rFonts w:cs="Arial"/>
          <w:bCs/>
        </w:rPr>
      </w:pPr>
      <w:r w:rsidRPr="00FD5F13">
        <w:rPr>
          <w:rFonts w:cs="Arial"/>
          <w:bCs/>
        </w:rPr>
        <w:t xml:space="preserve">There were 2 COVID-19 cases in the </w:t>
      </w:r>
      <w:r w:rsidR="001C0A66">
        <w:rPr>
          <w:rFonts w:cs="Arial"/>
          <w:bCs/>
        </w:rPr>
        <w:t>SPIKEVAX</w:t>
      </w:r>
      <w:r>
        <w:rPr>
          <w:rFonts w:cs="Arial"/>
          <w:bCs/>
        </w:rPr>
        <w:t xml:space="preserve"> </w:t>
      </w:r>
      <w:r w:rsidRPr="00FD5F13">
        <w:rPr>
          <w:rFonts w:cs="Arial"/>
          <w:bCs/>
        </w:rPr>
        <w:t xml:space="preserve">group and 13 cases in the placebo group, with a </w:t>
      </w:r>
      <w:r w:rsidRPr="001A33BA">
        <w:t>vaccine</w:t>
      </w:r>
      <w:r w:rsidRPr="00FD5F13">
        <w:rPr>
          <w:rFonts w:cs="Arial"/>
          <w:bCs/>
        </w:rPr>
        <w:t xml:space="preserve"> efficacy of </w:t>
      </w:r>
      <w:bookmarkStart w:id="13" w:name="_Hlk70411767"/>
      <w:r w:rsidRPr="00FD5F13">
        <w:rPr>
          <w:rFonts w:cs="Arial"/>
          <w:bCs/>
        </w:rPr>
        <w:t>92.7% (95% confidence interval of 67.8% to 99.2%)</w:t>
      </w:r>
      <w:bookmarkEnd w:id="13"/>
      <w:r w:rsidRPr="00FD5F13">
        <w:rPr>
          <w:rFonts w:cs="Arial"/>
          <w:bCs/>
        </w:rPr>
        <w:t>.</w:t>
      </w:r>
    </w:p>
    <w:p w14:paraId="21830F5B" w14:textId="77777777" w:rsidR="00563EAA" w:rsidRPr="00CE00DF" w:rsidRDefault="00563EAA" w:rsidP="00CE00DF">
      <w:pPr>
        <w:pStyle w:val="Heading4"/>
      </w:pPr>
      <w:r w:rsidRPr="00CE00DF">
        <w:t>Immunogenicity in adolescents 12 through 17 years of age</w:t>
      </w:r>
    </w:p>
    <w:p w14:paraId="3BF0D393" w14:textId="37B61079" w:rsidR="00563EAA" w:rsidRDefault="00563EAA" w:rsidP="00DC2F43">
      <w:pPr>
        <w:rPr>
          <w:rFonts w:cstheme="minorHAnsi"/>
        </w:rPr>
      </w:pPr>
      <w:r>
        <w:t xml:space="preserve">In Study </w:t>
      </w:r>
      <w:r w:rsidR="00124B3A">
        <w:rPr>
          <w:rFonts w:cs="Arial"/>
          <w:bCs/>
        </w:rPr>
        <w:t>P203</w:t>
      </w:r>
      <w:r w:rsidR="00896233">
        <w:rPr>
          <w:rFonts w:cs="Arial"/>
          <w:bCs/>
        </w:rPr>
        <w:t xml:space="preserve"> </w:t>
      </w:r>
      <w:r w:rsidR="00896233" w:rsidRPr="00896233">
        <w:rPr>
          <w:rFonts w:cs="Arial"/>
          <w:bCs/>
        </w:rPr>
        <w:t>(NCT04649151)</w:t>
      </w:r>
      <w:r>
        <w:t xml:space="preserve">, an analysis was conducted of SARS-CoV-2 50% neutralising </w:t>
      </w:r>
      <w:proofErr w:type="spellStart"/>
      <w:r>
        <w:t>titers</w:t>
      </w:r>
      <w:proofErr w:type="spellEnd"/>
      <w:r>
        <w:t xml:space="preserve"> and </w:t>
      </w:r>
      <w:proofErr w:type="spellStart"/>
      <w:r>
        <w:t>seroresponse</w:t>
      </w:r>
      <w:proofErr w:type="spellEnd"/>
      <w:r>
        <w:t xml:space="preserve"> rates 28 days after Dose 2 in a subset of adolescents aged 12 through 17 in Study </w:t>
      </w:r>
      <w:r w:rsidR="00124B3A">
        <w:rPr>
          <w:rFonts w:cs="Arial"/>
          <w:bCs/>
        </w:rPr>
        <w:t>P203</w:t>
      </w:r>
      <w:r>
        <w:t xml:space="preserve"> and in participants aged 18 through 25 in Study </w:t>
      </w:r>
      <w:r w:rsidR="00124B3A">
        <w:t>P301</w:t>
      </w:r>
      <w:r>
        <w:t xml:space="preserve"> who had no immunologic or virologic evidence of prior COVID-19 at baseline. Noninferior immune responses and </w:t>
      </w:r>
      <w:proofErr w:type="spellStart"/>
      <w:r>
        <w:t>seroresponse</w:t>
      </w:r>
      <w:proofErr w:type="spellEnd"/>
      <w:r>
        <w:t xml:space="preserve"> rates were demonstrated in a comparison of adolescents aged 12 through 17 years to participants aged 18 through 25</w:t>
      </w:r>
      <w:r w:rsidRPr="00E279BA">
        <w:t xml:space="preserve"> </w:t>
      </w:r>
      <w:r w:rsidRPr="00CD7180">
        <w:rPr>
          <w:rFonts w:cstheme="minorHAnsi"/>
        </w:rPr>
        <w:t xml:space="preserve">(Table </w:t>
      </w:r>
      <w:r w:rsidR="008C7DB9">
        <w:rPr>
          <w:rFonts w:cstheme="minorHAnsi"/>
        </w:rPr>
        <w:t>5</w:t>
      </w:r>
      <w:r w:rsidRPr="00CD7180">
        <w:rPr>
          <w:rFonts w:cstheme="minorHAnsi"/>
        </w:rPr>
        <w:t>).</w:t>
      </w:r>
    </w:p>
    <w:p w14:paraId="20F18D1D" w14:textId="26D5BE42" w:rsidR="00563EAA" w:rsidRPr="001D044F" w:rsidRDefault="00563EAA" w:rsidP="00563EAA">
      <w:pPr>
        <w:keepNext/>
        <w:spacing w:line="240" w:lineRule="auto"/>
        <w:rPr>
          <w:b/>
          <w:bCs/>
        </w:rPr>
      </w:pPr>
      <w:r w:rsidRPr="001A33BA">
        <w:rPr>
          <w:b/>
          <w:bCs/>
        </w:rPr>
        <w:lastRenderedPageBreak/>
        <w:t xml:space="preserve">Table </w:t>
      </w:r>
      <w:r w:rsidR="008C7DB9">
        <w:rPr>
          <w:b/>
          <w:bCs/>
        </w:rPr>
        <w:t>5</w:t>
      </w:r>
      <w:r w:rsidRPr="001A33BA">
        <w:rPr>
          <w:b/>
          <w:bCs/>
        </w:rPr>
        <w:t xml:space="preserve">: Summary of geometric mean </w:t>
      </w:r>
      <w:proofErr w:type="spellStart"/>
      <w:r w:rsidRPr="001A33BA">
        <w:rPr>
          <w:b/>
          <w:bCs/>
        </w:rPr>
        <w:t>titer</w:t>
      </w:r>
      <w:proofErr w:type="spellEnd"/>
      <w:r w:rsidRPr="001A33BA">
        <w:rPr>
          <w:b/>
          <w:bCs/>
        </w:rPr>
        <w:t xml:space="preserve"> and </w:t>
      </w:r>
      <w:proofErr w:type="spellStart"/>
      <w:r w:rsidRPr="001A33BA">
        <w:rPr>
          <w:b/>
          <w:bCs/>
        </w:rPr>
        <w:t>seroresponse</w:t>
      </w:r>
      <w:proofErr w:type="spellEnd"/>
      <w:r w:rsidRPr="001A33BA">
        <w:rPr>
          <w:b/>
          <w:bCs/>
        </w:rPr>
        <w:t xml:space="preserve"> rate – comparison of adolescents 12 through 17 years of age to participants 18 through 25 years of age – per-protocol immunogenicity subset</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563EAA" w:rsidRPr="0017400E" w14:paraId="192F20C0" w14:textId="77777777" w:rsidTr="003C3B7F">
        <w:tc>
          <w:tcPr>
            <w:tcW w:w="1502" w:type="dxa"/>
            <w:vMerge w:val="restart"/>
            <w:vAlign w:val="center"/>
          </w:tcPr>
          <w:p w14:paraId="6DBF5BC9" w14:textId="77777777" w:rsidR="00563EAA" w:rsidRPr="00124B3A" w:rsidRDefault="00563EAA" w:rsidP="003C3B7F">
            <w:pPr>
              <w:keepNext/>
              <w:rPr>
                <w:rFonts w:cstheme="minorHAnsi"/>
                <w:b/>
                <w:bCs/>
              </w:rPr>
            </w:pPr>
            <w:r w:rsidRPr="00124B3A">
              <w:rPr>
                <w:rFonts w:cstheme="minorHAnsi"/>
                <w:b/>
                <w:bCs/>
              </w:rPr>
              <w:t>Assay</w:t>
            </w:r>
          </w:p>
        </w:tc>
        <w:tc>
          <w:tcPr>
            <w:tcW w:w="1502" w:type="dxa"/>
            <w:vMerge w:val="restart"/>
            <w:vAlign w:val="center"/>
          </w:tcPr>
          <w:p w14:paraId="61312E72" w14:textId="77777777" w:rsidR="00563EAA" w:rsidRPr="00124B3A" w:rsidRDefault="00563EAA" w:rsidP="003C3B7F">
            <w:pPr>
              <w:keepNext/>
              <w:rPr>
                <w:rFonts w:cstheme="minorHAnsi"/>
                <w:b/>
                <w:bCs/>
              </w:rPr>
            </w:pPr>
            <w:r w:rsidRPr="00124B3A">
              <w:rPr>
                <w:rFonts w:cstheme="minorHAnsi"/>
                <w:b/>
                <w:bCs/>
              </w:rPr>
              <w:t>Time point</w:t>
            </w:r>
          </w:p>
        </w:tc>
        <w:tc>
          <w:tcPr>
            <w:tcW w:w="3006" w:type="dxa"/>
            <w:gridSpan w:val="2"/>
          </w:tcPr>
          <w:p w14:paraId="36CFB224" w14:textId="76776AF8" w:rsidR="00563EAA" w:rsidRPr="00917260" w:rsidRDefault="001C0A66" w:rsidP="003C3B7F">
            <w:pPr>
              <w:keepNext/>
              <w:jc w:val="center"/>
              <w:rPr>
                <w:rFonts w:cstheme="minorHAnsi"/>
                <w:b/>
                <w:bCs/>
              </w:rPr>
            </w:pPr>
            <w:r>
              <w:rPr>
                <w:rFonts w:cstheme="minorHAnsi"/>
                <w:b/>
                <w:bCs/>
              </w:rPr>
              <w:t>SPIKEVAX</w:t>
            </w:r>
          </w:p>
        </w:tc>
        <w:tc>
          <w:tcPr>
            <w:tcW w:w="3006" w:type="dxa"/>
            <w:gridSpan w:val="2"/>
            <w:vMerge w:val="restart"/>
          </w:tcPr>
          <w:p w14:paraId="58F1EA0A" w14:textId="77777777" w:rsidR="00563EAA" w:rsidRPr="00917260" w:rsidRDefault="00563EAA" w:rsidP="003C3B7F">
            <w:pPr>
              <w:keepNext/>
              <w:jc w:val="center"/>
              <w:rPr>
                <w:rFonts w:cstheme="minorHAnsi"/>
                <w:b/>
                <w:bCs/>
              </w:rPr>
            </w:pPr>
          </w:p>
          <w:p w14:paraId="53AC6F1A" w14:textId="77777777" w:rsidR="00563EAA" w:rsidRPr="00917260" w:rsidRDefault="00563EAA" w:rsidP="003C3B7F">
            <w:pPr>
              <w:keepNext/>
              <w:jc w:val="center"/>
              <w:rPr>
                <w:rFonts w:cstheme="minorHAnsi"/>
                <w:b/>
                <w:bCs/>
              </w:rPr>
            </w:pPr>
            <w:r w:rsidRPr="00917260">
              <w:rPr>
                <w:rFonts w:cstheme="minorHAnsi"/>
                <w:b/>
                <w:bCs/>
              </w:rPr>
              <w:t>12-17 years/18-25 years</w:t>
            </w:r>
          </w:p>
        </w:tc>
      </w:tr>
      <w:tr w:rsidR="00563EAA" w:rsidRPr="0017400E" w14:paraId="0C7D1B52" w14:textId="77777777" w:rsidTr="003C3B7F">
        <w:tc>
          <w:tcPr>
            <w:tcW w:w="1502" w:type="dxa"/>
            <w:vMerge/>
          </w:tcPr>
          <w:p w14:paraId="4008133B" w14:textId="77777777" w:rsidR="00563EAA" w:rsidRPr="0017400E" w:rsidRDefault="00563EAA" w:rsidP="003C3B7F">
            <w:pPr>
              <w:keepNext/>
              <w:rPr>
                <w:rFonts w:cstheme="minorHAnsi"/>
              </w:rPr>
            </w:pPr>
          </w:p>
        </w:tc>
        <w:tc>
          <w:tcPr>
            <w:tcW w:w="1502" w:type="dxa"/>
            <w:vMerge/>
          </w:tcPr>
          <w:p w14:paraId="10D6A217" w14:textId="77777777" w:rsidR="00563EAA" w:rsidRPr="0017400E" w:rsidRDefault="00563EAA" w:rsidP="003C3B7F">
            <w:pPr>
              <w:keepNext/>
              <w:rPr>
                <w:rFonts w:cstheme="minorHAnsi"/>
              </w:rPr>
            </w:pPr>
          </w:p>
        </w:tc>
        <w:tc>
          <w:tcPr>
            <w:tcW w:w="1503" w:type="dxa"/>
          </w:tcPr>
          <w:p w14:paraId="1515162A" w14:textId="77777777" w:rsidR="00563EAA" w:rsidRPr="0017400E" w:rsidRDefault="00563EAA" w:rsidP="003C3B7F">
            <w:pPr>
              <w:keepNext/>
              <w:jc w:val="center"/>
              <w:rPr>
                <w:rFonts w:cstheme="minorHAnsi"/>
              </w:rPr>
            </w:pPr>
            <w:r w:rsidRPr="0017400E">
              <w:rPr>
                <w:rFonts w:cstheme="minorHAnsi"/>
              </w:rPr>
              <w:t>12 – 17 years</w:t>
            </w:r>
          </w:p>
          <w:p w14:paraId="64FFF982" w14:textId="77777777" w:rsidR="00563EAA" w:rsidRPr="0017400E" w:rsidRDefault="00563EAA" w:rsidP="003C3B7F">
            <w:pPr>
              <w:keepNext/>
              <w:jc w:val="center"/>
              <w:rPr>
                <w:rFonts w:cstheme="minorHAnsi"/>
              </w:rPr>
            </w:pPr>
            <w:r w:rsidRPr="0017400E">
              <w:rPr>
                <w:rFonts w:cstheme="minorHAnsi"/>
              </w:rPr>
              <w:t>N=340</w:t>
            </w:r>
          </w:p>
        </w:tc>
        <w:tc>
          <w:tcPr>
            <w:tcW w:w="1503" w:type="dxa"/>
          </w:tcPr>
          <w:p w14:paraId="4B13EF88" w14:textId="77777777" w:rsidR="00563EAA" w:rsidRPr="0017400E" w:rsidRDefault="00563EAA" w:rsidP="003C3B7F">
            <w:pPr>
              <w:keepNext/>
              <w:jc w:val="center"/>
              <w:rPr>
                <w:rFonts w:cstheme="minorHAnsi"/>
              </w:rPr>
            </w:pPr>
            <w:r w:rsidRPr="0017400E">
              <w:rPr>
                <w:rFonts w:cstheme="minorHAnsi"/>
              </w:rPr>
              <w:t>18-25 years</w:t>
            </w:r>
          </w:p>
          <w:p w14:paraId="56D8FF2F" w14:textId="77777777" w:rsidR="00563EAA" w:rsidRPr="0017400E" w:rsidRDefault="00563EAA" w:rsidP="003C3B7F">
            <w:pPr>
              <w:keepNext/>
              <w:jc w:val="center"/>
              <w:rPr>
                <w:rFonts w:cstheme="minorHAnsi"/>
              </w:rPr>
            </w:pPr>
            <w:r w:rsidRPr="0017400E">
              <w:rPr>
                <w:rFonts w:cstheme="minorHAnsi"/>
              </w:rPr>
              <w:t>N=305</w:t>
            </w:r>
          </w:p>
        </w:tc>
        <w:tc>
          <w:tcPr>
            <w:tcW w:w="3006" w:type="dxa"/>
            <w:gridSpan w:val="2"/>
            <w:vMerge/>
          </w:tcPr>
          <w:p w14:paraId="5DC2928D" w14:textId="77777777" w:rsidR="00563EAA" w:rsidRPr="0017400E" w:rsidRDefault="00563EAA" w:rsidP="003C3B7F">
            <w:pPr>
              <w:keepNext/>
              <w:rPr>
                <w:rFonts w:cstheme="minorHAnsi"/>
              </w:rPr>
            </w:pPr>
          </w:p>
        </w:tc>
      </w:tr>
      <w:tr w:rsidR="00563EAA" w:rsidRPr="0017400E" w14:paraId="0781183A" w14:textId="77777777" w:rsidTr="003C3B7F">
        <w:tc>
          <w:tcPr>
            <w:tcW w:w="1502" w:type="dxa"/>
            <w:vMerge/>
          </w:tcPr>
          <w:p w14:paraId="368DC213" w14:textId="77777777" w:rsidR="00563EAA" w:rsidRPr="0017400E" w:rsidRDefault="00563EAA" w:rsidP="003C3B7F">
            <w:pPr>
              <w:keepNext/>
              <w:rPr>
                <w:rFonts w:cstheme="minorHAnsi"/>
              </w:rPr>
            </w:pPr>
          </w:p>
        </w:tc>
        <w:tc>
          <w:tcPr>
            <w:tcW w:w="1502" w:type="dxa"/>
            <w:vMerge/>
          </w:tcPr>
          <w:p w14:paraId="775B2FF6" w14:textId="77777777" w:rsidR="00563EAA" w:rsidRPr="0017400E" w:rsidRDefault="00563EAA" w:rsidP="003C3B7F">
            <w:pPr>
              <w:keepNext/>
              <w:rPr>
                <w:rFonts w:cstheme="minorHAnsi"/>
              </w:rPr>
            </w:pPr>
          </w:p>
        </w:tc>
        <w:tc>
          <w:tcPr>
            <w:tcW w:w="1503" w:type="dxa"/>
          </w:tcPr>
          <w:p w14:paraId="004BE123" w14:textId="77777777" w:rsidR="00563EAA" w:rsidRPr="0017400E" w:rsidRDefault="00563EAA" w:rsidP="003C3B7F">
            <w:pPr>
              <w:keepNext/>
              <w:jc w:val="center"/>
              <w:rPr>
                <w:rFonts w:cstheme="minorHAnsi"/>
              </w:rPr>
            </w:pPr>
            <w:r w:rsidRPr="0017400E">
              <w:rPr>
                <w:rFonts w:cstheme="minorHAnsi"/>
              </w:rPr>
              <w:t>GLSM</w:t>
            </w:r>
          </w:p>
          <w:p w14:paraId="7A08BD6C" w14:textId="77777777" w:rsidR="00563EAA" w:rsidRPr="0017400E" w:rsidRDefault="00563EAA" w:rsidP="003C3B7F">
            <w:pPr>
              <w:keepNext/>
              <w:jc w:val="center"/>
              <w:rPr>
                <w:rFonts w:cstheme="minorHAnsi"/>
              </w:rPr>
            </w:pPr>
            <w:r w:rsidRPr="0017400E">
              <w:rPr>
                <w:rFonts w:cstheme="minorHAnsi"/>
              </w:rPr>
              <w:t xml:space="preserve">(95% </w:t>
            </w:r>
            <w:proofErr w:type="gramStart"/>
            <w:r w:rsidRPr="0017400E">
              <w:rPr>
                <w:rFonts w:cstheme="minorHAnsi"/>
              </w:rPr>
              <w:t>CI)*</w:t>
            </w:r>
            <w:proofErr w:type="gramEnd"/>
          </w:p>
        </w:tc>
        <w:tc>
          <w:tcPr>
            <w:tcW w:w="1503" w:type="dxa"/>
          </w:tcPr>
          <w:p w14:paraId="3C57E3E7" w14:textId="77777777" w:rsidR="00563EAA" w:rsidRPr="0017400E" w:rsidRDefault="00563EAA" w:rsidP="003C3B7F">
            <w:pPr>
              <w:keepNext/>
              <w:jc w:val="center"/>
              <w:rPr>
                <w:rFonts w:cstheme="minorHAnsi"/>
              </w:rPr>
            </w:pPr>
            <w:r w:rsidRPr="0017400E">
              <w:rPr>
                <w:rFonts w:cstheme="minorHAnsi"/>
              </w:rPr>
              <w:t>GLSM</w:t>
            </w:r>
          </w:p>
          <w:p w14:paraId="12CEECF6" w14:textId="77777777" w:rsidR="00563EAA" w:rsidRPr="0017400E" w:rsidRDefault="00563EAA" w:rsidP="003C3B7F">
            <w:pPr>
              <w:keepNext/>
              <w:jc w:val="center"/>
              <w:rPr>
                <w:rFonts w:cstheme="minorHAnsi"/>
              </w:rPr>
            </w:pPr>
            <w:r w:rsidRPr="0017400E">
              <w:rPr>
                <w:rFonts w:cstheme="minorHAnsi"/>
              </w:rPr>
              <w:t xml:space="preserve">(95% </w:t>
            </w:r>
            <w:proofErr w:type="gramStart"/>
            <w:r w:rsidRPr="0017400E">
              <w:rPr>
                <w:rFonts w:cstheme="minorHAnsi"/>
              </w:rPr>
              <w:t>CI)*</w:t>
            </w:r>
            <w:proofErr w:type="gramEnd"/>
          </w:p>
        </w:tc>
        <w:tc>
          <w:tcPr>
            <w:tcW w:w="1503" w:type="dxa"/>
          </w:tcPr>
          <w:p w14:paraId="27655D41" w14:textId="77777777" w:rsidR="00563EAA" w:rsidRPr="0017400E" w:rsidRDefault="00563EAA" w:rsidP="003C3B7F">
            <w:pPr>
              <w:keepNext/>
              <w:jc w:val="center"/>
              <w:rPr>
                <w:rFonts w:cstheme="minorHAnsi"/>
              </w:rPr>
            </w:pPr>
            <w:r w:rsidRPr="0017400E">
              <w:rPr>
                <w:rFonts w:cstheme="minorHAnsi"/>
              </w:rPr>
              <w:t>GMR</w:t>
            </w:r>
          </w:p>
          <w:p w14:paraId="76B74FD1" w14:textId="77777777" w:rsidR="00563EAA" w:rsidRPr="0017400E" w:rsidRDefault="00563EAA" w:rsidP="003C3B7F">
            <w:pPr>
              <w:keepNext/>
              <w:jc w:val="center"/>
              <w:rPr>
                <w:rFonts w:cstheme="minorHAnsi"/>
              </w:rPr>
            </w:pPr>
            <w:r w:rsidRPr="0017400E">
              <w:rPr>
                <w:rFonts w:cstheme="minorHAnsi"/>
              </w:rPr>
              <w:t xml:space="preserve">(95% </w:t>
            </w:r>
            <w:proofErr w:type="gramStart"/>
            <w:r w:rsidRPr="0017400E">
              <w:rPr>
                <w:rFonts w:cstheme="minorHAnsi"/>
              </w:rPr>
              <w:t>CI)*</w:t>
            </w:r>
            <w:proofErr w:type="gramEnd"/>
            <w:r w:rsidRPr="0017400E">
              <w:rPr>
                <w:rFonts w:cstheme="minorHAnsi"/>
              </w:rPr>
              <w:t>*</w:t>
            </w:r>
          </w:p>
        </w:tc>
        <w:tc>
          <w:tcPr>
            <w:tcW w:w="1503" w:type="dxa"/>
          </w:tcPr>
          <w:p w14:paraId="717DF085" w14:textId="77777777" w:rsidR="00563EAA" w:rsidRPr="0017400E" w:rsidRDefault="00563EAA" w:rsidP="003C3B7F">
            <w:pPr>
              <w:keepNext/>
              <w:jc w:val="center"/>
              <w:rPr>
                <w:rFonts w:cstheme="minorHAnsi"/>
              </w:rPr>
            </w:pPr>
            <w:r w:rsidRPr="0017400E">
              <w:rPr>
                <w:rFonts w:cstheme="minorHAnsi"/>
              </w:rPr>
              <w:t>Met noninferiority objective (Y/</w:t>
            </w:r>
            <w:proofErr w:type="gramStart"/>
            <w:r w:rsidRPr="0017400E">
              <w:rPr>
                <w:rFonts w:cstheme="minorHAnsi"/>
              </w:rPr>
              <w:t>N)*</w:t>
            </w:r>
            <w:proofErr w:type="gramEnd"/>
            <w:r w:rsidRPr="0017400E">
              <w:rPr>
                <w:rFonts w:cstheme="minorHAnsi"/>
              </w:rPr>
              <w:t>**</w:t>
            </w:r>
          </w:p>
        </w:tc>
      </w:tr>
      <w:tr w:rsidR="00563EAA" w:rsidRPr="00124B3A" w14:paraId="7F6596D4" w14:textId="77777777" w:rsidTr="003C3B7F">
        <w:tc>
          <w:tcPr>
            <w:tcW w:w="1502" w:type="dxa"/>
          </w:tcPr>
          <w:p w14:paraId="7E8B30EC" w14:textId="552B34D1" w:rsidR="00563EAA" w:rsidRPr="00124B3A" w:rsidRDefault="00563EAA" w:rsidP="003C3B7F">
            <w:pPr>
              <w:keepNext/>
              <w:rPr>
                <w:rFonts w:cstheme="minorHAnsi"/>
              </w:rPr>
            </w:pPr>
            <w:r w:rsidRPr="00A060EE">
              <w:rPr>
                <w:rFonts w:cstheme="minorHAnsi"/>
              </w:rPr>
              <w:t>SARS-CoV-2 neutralisation assay – ID50 (</w:t>
            </w:r>
            <w:proofErr w:type="spellStart"/>
            <w:r w:rsidRPr="00A060EE">
              <w:rPr>
                <w:rFonts w:cstheme="minorHAnsi"/>
              </w:rPr>
              <w:t>titer</w:t>
            </w:r>
            <w:proofErr w:type="spellEnd"/>
            <w:r w:rsidRPr="00A060EE">
              <w:rPr>
                <w:rFonts w:cstheme="minorHAnsi"/>
              </w:rPr>
              <w:t>)****</w:t>
            </w:r>
          </w:p>
        </w:tc>
        <w:tc>
          <w:tcPr>
            <w:tcW w:w="1502" w:type="dxa"/>
          </w:tcPr>
          <w:p w14:paraId="3CE0D55B" w14:textId="77777777" w:rsidR="00563EAA" w:rsidRPr="00124B3A" w:rsidRDefault="00563EAA" w:rsidP="003C3B7F">
            <w:pPr>
              <w:keepNext/>
              <w:rPr>
                <w:rFonts w:cstheme="minorHAnsi"/>
              </w:rPr>
            </w:pPr>
            <w:r w:rsidRPr="00A060EE">
              <w:rPr>
                <w:rFonts w:cstheme="minorHAnsi"/>
              </w:rPr>
              <w:t>28 days after Dose 2</w:t>
            </w:r>
          </w:p>
        </w:tc>
        <w:tc>
          <w:tcPr>
            <w:tcW w:w="1503" w:type="dxa"/>
          </w:tcPr>
          <w:p w14:paraId="1865D535" w14:textId="77777777" w:rsidR="00563EAA" w:rsidRPr="00124B3A" w:rsidRDefault="00563EAA" w:rsidP="003C3B7F">
            <w:pPr>
              <w:keepNext/>
              <w:jc w:val="center"/>
              <w:rPr>
                <w:rFonts w:cstheme="minorHAnsi"/>
              </w:rPr>
            </w:pPr>
            <w:r w:rsidRPr="00124B3A">
              <w:rPr>
                <w:rFonts w:cstheme="minorHAnsi"/>
              </w:rPr>
              <w:t>1401.7</w:t>
            </w:r>
          </w:p>
          <w:p w14:paraId="15B1213B" w14:textId="77777777" w:rsidR="00563EAA" w:rsidRPr="00917260" w:rsidRDefault="00563EAA" w:rsidP="003C3B7F">
            <w:pPr>
              <w:keepNext/>
              <w:jc w:val="center"/>
              <w:rPr>
                <w:rFonts w:cstheme="minorHAnsi"/>
              </w:rPr>
            </w:pPr>
            <w:r w:rsidRPr="00917260">
              <w:rPr>
                <w:rFonts w:cstheme="minorHAnsi"/>
              </w:rPr>
              <w:t>(1276.3, 1539.4)</w:t>
            </w:r>
          </w:p>
        </w:tc>
        <w:tc>
          <w:tcPr>
            <w:tcW w:w="1503" w:type="dxa"/>
          </w:tcPr>
          <w:p w14:paraId="47549925" w14:textId="77777777" w:rsidR="00563EAA" w:rsidRPr="00917260" w:rsidRDefault="00563EAA" w:rsidP="003C3B7F">
            <w:pPr>
              <w:keepNext/>
              <w:jc w:val="center"/>
              <w:rPr>
                <w:rFonts w:cstheme="minorHAnsi"/>
              </w:rPr>
            </w:pPr>
            <w:r w:rsidRPr="00917260">
              <w:rPr>
                <w:rFonts w:cstheme="minorHAnsi"/>
              </w:rPr>
              <w:t>1301.3 (1177.0, 1438.8)</w:t>
            </w:r>
          </w:p>
        </w:tc>
        <w:tc>
          <w:tcPr>
            <w:tcW w:w="1503" w:type="dxa"/>
          </w:tcPr>
          <w:p w14:paraId="1383E993" w14:textId="77777777" w:rsidR="00563EAA" w:rsidRPr="00917260" w:rsidRDefault="00563EAA" w:rsidP="003C3B7F">
            <w:pPr>
              <w:keepNext/>
              <w:rPr>
                <w:rFonts w:cstheme="minorHAnsi"/>
              </w:rPr>
            </w:pPr>
            <w:r w:rsidRPr="00917260">
              <w:rPr>
                <w:rFonts w:cstheme="minorHAnsi"/>
              </w:rPr>
              <w:t xml:space="preserve">1.08 </w:t>
            </w:r>
          </w:p>
          <w:p w14:paraId="46A46AAB" w14:textId="77777777" w:rsidR="00563EAA" w:rsidRPr="00917260" w:rsidRDefault="00563EAA" w:rsidP="003C3B7F">
            <w:pPr>
              <w:keepNext/>
              <w:rPr>
                <w:rFonts w:cstheme="minorHAnsi"/>
              </w:rPr>
            </w:pPr>
            <w:r w:rsidRPr="00917260">
              <w:rPr>
                <w:rFonts w:cstheme="minorHAnsi"/>
              </w:rPr>
              <w:t>(0.94, 1.24)</w:t>
            </w:r>
          </w:p>
        </w:tc>
        <w:tc>
          <w:tcPr>
            <w:tcW w:w="1503" w:type="dxa"/>
            <w:vMerge w:val="restart"/>
          </w:tcPr>
          <w:p w14:paraId="2C9CF9CA" w14:textId="77777777" w:rsidR="00563EAA" w:rsidRPr="0017400E" w:rsidRDefault="00563EAA" w:rsidP="003C3B7F">
            <w:pPr>
              <w:keepNext/>
              <w:jc w:val="center"/>
              <w:rPr>
                <w:rFonts w:cstheme="minorHAnsi"/>
              </w:rPr>
            </w:pPr>
          </w:p>
          <w:p w14:paraId="1D2781CB" w14:textId="77777777" w:rsidR="00563EAA" w:rsidRPr="0017400E" w:rsidRDefault="00563EAA" w:rsidP="003C3B7F">
            <w:pPr>
              <w:keepNext/>
              <w:jc w:val="center"/>
              <w:rPr>
                <w:rFonts w:cstheme="minorHAnsi"/>
              </w:rPr>
            </w:pPr>
          </w:p>
          <w:p w14:paraId="0FAB0032" w14:textId="77777777" w:rsidR="00563EAA" w:rsidRPr="0017400E" w:rsidRDefault="00563EAA" w:rsidP="003C3B7F">
            <w:pPr>
              <w:keepNext/>
              <w:jc w:val="center"/>
              <w:rPr>
                <w:rFonts w:cstheme="minorHAnsi"/>
              </w:rPr>
            </w:pPr>
          </w:p>
          <w:p w14:paraId="2E334187" w14:textId="77777777" w:rsidR="00563EAA" w:rsidRPr="0017400E" w:rsidRDefault="00563EAA" w:rsidP="003C3B7F">
            <w:pPr>
              <w:keepNext/>
              <w:jc w:val="center"/>
              <w:rPr>
                <w:rFonts w:cstheme="minorHAnsi"/>
              </w:rPr>
            </w:pPr>
            <w:r w:rsidRPr="0017400E">
              <w:rPr>
                <w:rFonts w:cstheme="minorHAnsi"/>
              </w:rPr>
              <w:t>Y</w:t>
            </w:r>
          </w:p>
        </w:tc>
      </w:tr>
      <w:tr w:rsidR="00563EAA" w:rsidRPr="00124B3A" w14:paraId="5BA8702A" w14:textId="77777777" w:rsidTr="003C3B7F">
        <w:tc>
          <w:tcPr>
            <w:tcW w:w="1502" w:type="dxa"/>
          </w:tcPr>
          <w:p w14:paraId="77584B75" w14:textId="77777777" w:rsidR="00563EAA" w:rsidRPr="001C0A66" w:rsidRDefault="00563EAA" w:rsidP="003C3B7F">
            <w:pPr>
              <w:keepNext/>
              <w:rPr>
                <w:rFonts w:cstheme="minorHAnsi"/>
              </w:rPr>
            </w:pPr>
          </w:p>
        </w:tc>
        <w:tc>
          <w:tcPr>
            <w:tcW w:w="1502" w:type="dxa"/>
          </w:tcPr>
          <w:p w14:paraId="1153BEDE" w14:textId="77777777" w:rsidR="00563EAA" w:rsidRPr="001C0A66" w:rsidRDefault="00563EAA" w:rsidP="003C3B7F">
            <w:pPr>
              <w:keepNext/>
              <w:rPr>
                <w:rFonts w:cstheme="minorHAnsi"/>
              </w:rPr>
            </w:pPr>
          </w:p>
        </w:tc>
        <w:tc>
          <w:tcPr>
            <w:tcW w:w="1503" w:type="dxa"/>
          </w:tcPr>
          <w:p w14:paraId="54CE0BC3" w14:textId="77777777" w:rsidR="00563EAA" w:rsidRPr="001C0A66" w:rsidRDefault="00563EAA" w:rsidP="003C3B7F">
            <w:pPr>
              <w:keepNext/>
              <w:jc w:val="center"/>
              <w:rPr>
                <w:rFonts w:cstheme="minorHAnsi"/>
                <w:b/>
                <w:bCs/>
              </w:rPr>
            </w:pPr>
            <w:proofErr w:type="spellStart"/>
            <w:r w:rsidRPr="001C0A66">
              <w:rPr>
                <w:rFonts w:cstheme="minorHAnsi"/>
                <w:b/>
                <w:bCs/>
              </w:rPr>
              <w:t>Seroresponse</w:t>
            </w:r>
            <w:proofErr w:type="spellEnd"/>
            <w:r w:rsidRPr="001C0A66">
              <w:rPr>
                <w:rFonts w:cstheme="minorHAnsi"/>
                <w:b/>
                <w:bCs/>
              </w:rPr>
              <w:t xml:space="preserve"> %</w:t>
            </w:r>
          </w:p>
          <w:p w14:paraId="7FA60BC2" w14:textId="77777777" w:rsidR="00563EAA" w:rsidRPr="00EF6086" w:rsidRDefault="00563EAA" w:rsidP="003C3B7F">
            <w:pPr>
              <w:keepNext/>
              <w:jc w:val="center"/>
              <w:rPr>
                <w:rFonts w:cstheme="minorHAnsi"/>
              </w:rPr>
            </w:pPr>
            <w:r w:rsidRPr="00EF6086">
              <w:rPr>
                <w:rFonts w:cstheme="minorHAnsi"/>
              </w:rPr>
              <w:t xml:space="preserve">(95% </w:t>
            </w:r>
            <w:proofErr w:type="gramStart"/>
            <w:r w:rsidRPr="00EF6086">
              <w:rPr>
                <w:rFonts w:cstheme="minorHAnsi"/>
              </w:rPr>
              <w:t>CI)*</w:t>
            </w:r>
            <w:proofErr w:type="gramEnd"/>
          </w:p>
          <w:p w14:paraId="201DFC1A" w14:textId="77777777" w:rsidR="00563EAA" w:rsidRPr="00FD457A" w:rsidRDefault="00563EAA" w:rsidP="003C3B7F">
            <w:pPr>
              <w:keepNext/>
              <w:jc w:val="center"/>
              <w:rPr>
                <w:rFonts w:cstheme="minorHAnsi"/>
              </w:rPr>
            </w:pPr>
            <w:r w:rsidRPr="00FD457A">
              <w:rPr>
                <w:rFonts w:cstheme="minorHAnsi"/>
              </w:rPr>
              <w:t>98.8</w:t>
            </w:r>
          </w:p>
          <w:p w14:paraId="395D3734" w14:textId="77777777" w:rsidR="00563EAA" w:rsidRPr="00124B3A" w:rsidRDefault="00563EAA" w:rsidP="003C3B7F">
            <w:pPr>
              <w:keepNext/>
              <w:jc w:val="center"/>
              <w:rPr>
                <w:rFonts w:cstheme="minorHAnsi"/>
              </w:rPr>
            </w:pPr>
            <w:r w:rsidRPr="00FD457A">
              <w:rPr>
                <w:rFonts w:cstheme="minorHAnsi"/>
              </w:rPr>
              <w:t>(97.0, 99.7)</w:t>
            </w:r>
            <w:r w:rsidRPr="00A060EE">
              <w:rPr>
                <w:rFonts w:cstheme="minorHAnsi"/>
                <w:vertAlign w:val="superscript"/>
              </w:rPr>
              <w:t xml:space="preserve"> ¶</w:t>
            </w:r>
          </w:p>
        </w:tc>
        <w:tc>
          <w:tcPr>
            <w:tcW w:w="1503" w:type="dxa"/>
          </w:tcPr>
          <w:p w14:paraId="481BA3DA" w14:textId="77777777" w:rsidR="00563EAA" w:rsidRPr="00917260" w:rsidRDefault="00563EAA" w:rsidP="003C3B7F">
            <w:pPr>
              <w:keepNext/>
              <w:jc w:val="center"/>
              <w:rPr>
                <w:rFonts w:cstheme="minorHAnsi"/>
                <w:b/>
                <w:bCs/>
              </w:rPr>
            </w:pPr>
            <w:proofErr w:type="spellStart"/>
            <w:r w:rsidRPr="00124B3A">
              <w:rPr>
                <w:rFonts w:cstheme="minorHAnsi"/>
                <w:b/>
                <w:bCs/>
              </w:rPr>
              <w:t>Seroresponse</w:t>
            </w:r>
            <w:proofErr w:type="spellEnd"/>
            <w:r w:rsidRPr="00124B3A">
              <w:rPr>
                <w:rFonts w:cstheme="minorHAnsi"/>
                <w:b/>
                <w:bCs/>
              </w:rPr>
              <w:t xml:space="preserve"> %</w:t>
            </w:r>
          </w:p>
          <w:p w14:paraId="6769B37E" w14:textId="77777777" w:rsidR="00563EAA" w:rsidRPr="00917260" w:rsidRDefault="00563EAA" w:rsidP="003C3B7F">
            <w:pPr>
              <w:keepNext/>
              <w:jc w:val="center"/>
              <w:rPr>
                <w:rFonts w:cstheme="minorHAnsi"/>
              </w:rPr>
            </w:pPr>
            <w:r w:rsidRPr="00917260">
              <w:rPr>
                <w:rFonts w:cstheme="minorHAnsi"/>
              </w:rPr>
              <w:t xml:space="preserve">(95% </w:t>
            </w:r>
            <w:proofErr w:type="gramStart"/>
            <w:r w:rsidRPr="00917260">
              <w:rPr>
                <w:rFonts w:cstheme="minorHAnsi"/>
              </w:rPr>
              <w:t>CI)*</w:t>
            </w:r>
            <w:proofErr w:type="gramEnd"/>
          </w:p>
          <w:p w14:paraId="5D17C5AF" w14:textId="77777777" w:rsidR="00563EAA" w:rsidRPr="00917260" w:rsidRDefault="00563EAA" w:rsidP="003C3B7F">
            <w:pPr>
              <w:keepNext/>
              <w:jc w:val="center"/>
              <w:rPr>
                <w:rFonts w:cstheme="minorHAnsi"/>
              </w:rPr>
            </w:pPr>
            <w:r w:rsidRPr="00917260">
              <w:rPr>
                <w:rFonts w:cstheme="minorHAnsi"/>
              </w:rPr>
              <w:t>98.6</w:t>
            </w:r>
          </w:p>
          <w:p w14:paraId="7407AD67" w14:textId="77777777" w:rsidR="00563EAA" w:rsidRPr="00124B3A" w:rsidRDefault="00563EAA" w:rsidP="003C3B7F">
            <w:pPr>
              <w:keepNext/>
              <w:jc w:val="center"/>
              <w:rPr>
                <w:rFonts w:cstheme="minorHAnsi"/>
              </w:rPr>
            </w:pPr>
            <w:r w:rsidRPr="00917260">
              <w:rPr>
                <w:rFonts w:cstheme="minorHAnsi"/>
              </w:rPr>
              <w:t>(96.6, 99.6)</w:t>
            </w:r>
            <w:r w:rsidRPr="00A060EE">
              <w:rPr>
                <w:rFonts w:cstheme="minorHAnsi"/>
                <w:vertAlign w:val="superscript"/>
              </w:rPr>
              <w:t xml:space="preserve"> ¶</w:t>
            </w:r>
          </w:p>
        </w:tc>
        <w:tc>
          <w:tcPr>
            <w:tcW w:w="1503" w:type="dxa"/>
          </w:tcPr>
          <w:p w14:paraId="659438A9" w14:textId="77777777" w:rsidR="00563EAA" w:rsidRPr="00917260" w:rsidRDefault="00563EAA" w:rsidP="003C3B7F">
            <w:pPr>
              <w:keepNext/>
              <w:jc w:val="center"/>
              <w:rPr>
                <w:rFonts w:cstheme="minorHAnsi"/>
                <w:b/>
                <w:bCs/>
              </w:rPr>
            </w:pPr>
            <w:r w:rsidRPr="00124B3A">
              <w:rPr>
                <w:rFonts w:cstheme="minorHAnsi"/>
                <w:b/>
                <w:bCs/>
              </w:rPr>
              <w:t xml:space="preserve">Difference in </w:t>
            </w:r>
            <w:proofErr w:type="spellStart"/>
            <w:r w:rsidRPr="00124B3A">
              <w:rPr>
                <w:rFonts w:cstheme="minorHAnsi"/>
                <w:b/>
                <w:bCs/>
              </w:rPr>
              <w:t>seroresponse</w:t>
            </w:r>
            <w:proofErr w:type="spellEnd"/>
            <w:r w:rsidRPr="00124B3A">
              <w:rPr>
                <w:rFonts w:cstheme="minorHAnsi"/>
                <w:b/>
                <w:bCs/>
              </w:rPr>
              <w:t xml:space="preserve"> rate %</w:t>
            </w:r>
          </w:p>
          <w:p w14:paraId="024E8922" w14:textId="77777777" w:rsidR="00563EAA" w:rsidRPr="00124B3A" w:rsidRDefault="00563EAA" w:rsidP="003C3B7F">
            <w:pPr>
              <w:keepNext/>
              <w:jc w:val="center"/>
              <w:rPr>
                <w:rFonts w:cstheme="minorHAnsi"/>
              </w:rPr>
            </w:pPr>
            <w:r w:rsidRPr="00917260">
              <w:rPr>
                <w:rFonts w:cstheme="minorHAnsi"/>
              </w:rPr>
              <w:t>(95% CI)</w:t>
            </w:r>
            <w:r w:rsidRPr="00A060EE">
              <w:rPr>
                <w:rFonts w:cstheme="minorHAnsi"/>
                <w:vertAlign w:val="superscript"/>
              </w:rPr>
              <w:t xml:space="preserve"> #</w:t>
            </w:r>
          </w:p>
          <w:p w14:paraId="19EF99BF" w14:textId="77777777" w:rsidR="00563EAA" w:rsidRPr="00124B3A" w:rsidRDefault="00563EAA" w:rsidP="003C3B7F">
            <w:pPr>
              <w:keepNext/>
              <w:jc w:val="center"/>
              <w:rPr>
                <w:rFonts w:cstheme="minorHAnsi"/>
              </w:rPr>
            </w:pPr>
            <w:r w:rsidRPr="00124B3A">
              <w:rPr>
                <w:rFonts w:cstheme="minorHAnsi"/>
              </w:rPr>
              <w:t>0.2</w:t>
            </w:r>
          </w:p>
          <w:p w14:paraId="17E9F74E" w14:textId="77777777" w:rsidR="00563EAA" w:rsidRPr="00124B3A" w:rsidRDefault="00563EAA" w:rsidP="003C3B7F">
            <w:pPr>
              <w:keepNext/>
              <w:jc w:val="center"/>
              <w:rPr>
                <w:rFonts w:cstheme="minorHAnsi"/>
              </w:rPr>
            </w:pPr>
            <w:r w:rsidRPr="00124B3A">
              <w:rPr>
                <w:rFonts w:cstheme="minorHAnsi"/>
              </w:rPr>
              <w:t>(-1.8, 2.4)</w:t>
            </w:r>
          </w:p>
        </w:tc>
        <w:tc>
          <w:tcPr>
            <w:tcW w:w="1503" w:type="dxa"/>
            <w:vMerge/>
          </w:tcPr>
          <w:p w14:paraId="05C11753" w14:textId="77777777" w:rsidR="00563EAA" w:rsidRPr="00A060EE" w:rsidRDefault="00563EAA" w:rsidP="003C3B7F">
            <w:pPr>
              <w:keepNext/>
              <w:rPr>
                <w:rFonts w:cstheme="minorHAnsi"/>
              </w:rPr>
            </w:pPr>
          </w:p>
        </w:tc>
      </w:tr>
    </w:tbl>
    <w:p w14:paraId="67E3F11E" w14:textId="77777777" w:rsidR="00563EAA" w:rsidRPr="001B5E83" w:rsidRDefault="00563EAA" w:rsidP="00563EAA">
      <w:pPr>
        <w:spacing w:after="0" w:line="240" w:lineRule="auto"/>
        <w:rPr>
          <w:sz w:val="20"/>
        </w:rPr>
      </w:pPr>
      <w:r w:rsidRPr="001B5E83">
        <w:rPr>
          <w:sz w:val="20"/>
        </w:rPr>
        <w:t>GLSM = Geometric least squares mean</w:t>
      </w:r>
    </w:p>
    <w:p w14:paraId="2EA60163" w14:textId="77777777" w:rsidR="00563EAA" w:rsidRPr="001B5E83" w:rsidRDefault="00563EAA" w:rsidP="00563EAA">
      <w:pPr>
        <w:spacing w:after="0" w:line="240" w:lineRule="auto"/>
        <w:rPr>
          <w:sz w:val="20"/>
        </w:rPr>
      </w:pPr>
      <w:r w:rsidRPr="001B5E83">
        <w:rPr>
          <w:sz w:val="20"/>
        </w:rPr>
        <w:t>GMR = Geometric mean ratio</w:t>
      </w:r>
    </w:p>
    <w:p w14:paraId="3190059D" w14:textId="77777777" w:rsidR="00563EAA" w:rsidRPr="001B5E83" w:rsidRDefault="00563EAA" w:rsidP="00563EAA">
      <w:pPr>
        <w:spacing w:after="0" w:line="240" w:lineRule="auto"/>
        <w:rPr>
          <w:sz w:val="20"/>
        </w:rPr>
      </w:pPr>
      <w:r w:rsidRPr="001B5E83">
        <w:rPr>
          <w:sz w:val="20"/>
        </w:rPr>
        <w:t>n = Number of subjects with non-missing data at the corresponding timepoint</w:t>
      </w:r>
    </w:p>
    <w:p w14:paraId="7D3418EB" w14:textId="77777777" w:rsidR="00563EAA" w:rsidRPr="001B5E83" w:rsidRDefault="00563EAA" w:rsidP="00563EAA">
      <w:pPr>
        <w:spacing w:after="0" w:line="240" w:lineRule="auto"/>
        <w:rPr>
          <w:sz w:val="20"/>
        </w:rPr>
      </w:pPr>
      <w:r w:rsidRPr="001B5E83">
        <w:rPr>
          <w:sz w:val="20"/>
        </w:rPr>
        <w:t>* Antibody values reported as below the lower limit of quantification (LLOQ) are replaced by 0.5 x LLOQ. Values greater than the upper limit of quantification (ULOQ) are replaced by the ULOQ if actual values are not available.</w:t>
      </w:r>
    </w:p>
    <w:p w14:paraId="52ACFB1D" w14:textId="2E197965" w:rsidR="00563EAA" w:rsidRPr="001B5E83" w:rsidRDefault="00563EAA" w:rsidP="00563EAA">
      <w:pPr>
        <w:spacing w:after="0" w:line="240" w:lineRule="auto"/>
        <w:rPr>
          <w:sz w:val="20"/>
        </w:rPr>
      </w:pPr>
      <w:r>
        <w:rPr>
          <w:sz w:val="20"/>
        </w:rPr>
        <w:t>**</w:t>
      </w:r>
      <w:r w:rsidRPr="001B5E83">
        <w:rPr>
          <w:sz w:val="20"/>
        </w:rPr>
        <w:t xml:space="preserve"> The log-transformed antibody levels are analy</w:t>
      </w:r>
      <w:r>
        <w:rPr>
          <w:sz w:val="20"/>
        </w:rPr>
        <w:t>s</w:t>
      </w:r>
      <w:r w:rsidRPr="001B5E83">
        <w:rPr>
          <w:sz w:val="20"/>
        </w:rPr>
        <w:t xml:space="preserve">ed using an analysis of covariance (ANCOVA) model with the group variable (adolescents in Study </w:t>
      </w:r>
      <w:r w:rsidR="00124B3A" w:rsidRPr="00124B3A">
        <w:rPr>
          <w:sz w:val="20"/>
        </w:rPr>
        <w:t>P203</w:t>
      </w:r>
      <w:r w:rsidRPr="001B5E83">
        <w:rPr>
          <w:sz w:val="20"/>
        </w:rPr>
        <w:t xml:space="preserve"> and young adults in Study </w:t>
      </w:r>
      <w:r w:rsidR="00124B3A">
        <w:rPr>
          <w:sz w:val="20"/>
        </w:rPr>
        <w:t>P301</w:t>
      </w:r>
      <w:r w:rsidRPr="001B5E83">
        <w:rPr>
          <w:sz w:val="20"/>
        </w:rPr>
        <w:t>) as fixed effect. The resulted LS means, difference of LS means, and 95% CI are back transformed to the original scale for presentation.</w:t>
      </w:r>
    </w:p>
    <w:p w14:paraId="512A583B" w14:textId="77777777" w:rsidR="00563EAA" w:rsidRPr="001B5E83" w:rsidRDefault="00563EAA" w:rsidP="00563EAA">
      <w:pPr>
        <w:spacing w:after="0" w:line="240" w:lineRule="auto"/>
        <w:rPr>
          <w:sz w:val="20"/>
        </w:rPr>
      </w:pPr>
      <w:r>
        <w:rPr>
          <w:sz w:val="20"/>
        </w:rPr>
        <w:t>***</w:t>
      </w:r>
      <w:r w:rsidRPr="001B5E83">
        <w:rPr>
          <w:sz w:val="20"/>
        </w:rPr>
        <w:t xml:space="preserve"> </w:t>
      </w:r>
      <w:r w:rsidRPr="006C2568">
        <w:rPr>
          <w:sz w:val="20"/>
        </w:rPr>
        <w:t>Noninferiority is declared if the lower bound of the 2-sided 95% CI for the GMR is greater than 0</w:t>
      </w:r>
      <w:r w:rsidRPr="00D350B6">
        <w:rPr>
          <w:sz w:val="20"/>
        </w:rPr>
        <w:t>.67 and</w:t>
      </w:r>
      <w:r>
        <w:rPr>
          <w:sz w:val="20"/>
        </w:rPr>
        <w:t xml:space="preserve"> the lower bound of the 2-sided 95% CI for difference in </w:t>
      </w:r>
      <w:proofErr w:type="spellStart"/>
      <w:r>
        <w:rPr>
          <w:sz w:val="20"/>
        </w:rPr>
        <w:t>seroresponse</w:t>
      </w:r>
      <w:proofErr w:type="spellEnd"/>
      <w:r>
        <w:rPr>
          <w:sz w:val="20"/>
        </w:rPr>
        <w:t xml:space="preserve"> rate is greater than -10%.</w:t>
      </w:r>
    </w:p>
    <w:p w14:paraId="6087C153" w14:textId="0C48BCF3" w:rsidR="00563EAA" w:rsidRPr="00ED142F" w:rsidRDefault="00563EAA" w:rsidP="00563EAA">
      <w:pPr>
        <w:spacing w:after="0" w:line="240" w:lineRule="auto"/>
        <w:rPr>
          <w:sz w:val="20"/>
        </w:rPr>
      </w:pPr>
      <w:r>
        <w:rPr>
          <w:sz w:val="20"/>
        </w:rPr>
        <w:t>****</w:t>
      </w:r>
      <w:r w:rsidRPr="001B5E83">
        <w:rPr>
          <w:sz w:val="20"/>
        </w:rPr>
        <w:t xml:space="preserve"> </w:t>
      </w:r>
      <w:r w:rsidRPr="009F1D15">
        <w:rPr>
          <w:sz w:val="20"/>
          <w:lang w:val="en-US"/>
        </w:rPr>
        <w:t xml:space="preserve">SARS-CoV-2 50% inhibitory dose (ID50) </w:t>
      </w:r>
      <w:proofErr w:type="spellStart"/>
      <w:r w:rsidRPr="009F1D15">
        <w:rPr>
          <w:sz w:val="20"/>
          <w:lang w:val="en-US"/>
        </w:rPr>
        <w:t>neutrali</w:t>
      </w:r>
      <w:r>
        <w:rPr>
          <w:sz w:val="20"/>
          <w:lang w:val="en-US"/>
        </w:rPr>
        <w:t>s</w:t>
      </w:r>
      <w:r w:rsidRPr="009F1D15">
        <w:rPr>
          <w:sz w:val="20"/>
          <w:lang w:val="en-US"/>
        </w:rPr>
        <w:t>ation</w:t>
      </w:r>
      <w:proofErr w:type="spellEnd"/>
      <w:r w:rsidRPr="009F1D15">
        <w:rPr>
          <w:sz w:val="20"/>
          <w:lang w:val="en-US"/>
        </w:rPr>
        <w:t xml:space="preserve"> titers were determined using a SARS-CoV-2 Spike-</w:t>
      </w:r>
      <w:proofErr w:type="spellStart"/>
      <w:r w:rsidRPr="009F1D15">
        <w:rPr>
          <w:sz w:val="20"/>
          <w:lang w:val="en-US"/>
        </w:rPr>
        <w:t>Pseudotyped</w:t>
      </w:r>
      <w:proofErr w:type="spellEnd"/>
      <w:r w:rsidRPr="009F1D15">
        <w:rPr>
          <w:sz w:val="20"/>
          <w:lang w:val="en-US"/>
        </w:rPr>
        <w:t xml:space="preserve"> Virus </w:t>
      </w:r>
      <w:proofErr w:type="spellStart"/>
      <w:r w:rsidRPr="009F1D15">
        <w:rPr>
          <w:sz w:val="20"/>
          <w:lang w:val="en-US"/>
        </w:rPr>
        <w:t>Neutrali</w:t>
      </w:r>
      <w:r>
        <w:rPr>
          <w:sz w:val="20"/>
          <w:lang w:val="en-US"/>
        </w:rPr>
        <w:t>s</w:t>
      </w:r>
      <w:r w:rsidRPr="009F1D15">
        <w:rPr>
          <w:sz w:val="20"/>
          <w:lang w:val="en-US"/>
        </w:rPr>
        <w:t>ation</w:t>
      </w:r>
      <w:proofErr w:type="spellEnd"/>
      <w:r w:rsidRPr="009F1D15">
        <w:rPr>
          <w:sz w:val="20"/>
          <w:lang w:val="en-US"/>
        </w:rPr>
        <w:t xml:space="preserve"> Assay. Quantification of SARS-CoV-2 </w:t>
      </w:r>
      <w:proofErr w:type="spellStart"/>
      <w:r w:rsidRPr="009F1D15">
        <w:rPr>
          <w:sz w:val="20"/>
          <w:lang w:val="en-US"/>
        </w:rPr>
        <w:t>neutrali</w:t>
      </w:r>
      <w:r>
        <w:rPr>
          <w:sz w:val="20"/>
          <w:lang w:val="en-US"/>
        </w:rPr>
        <w:t>s</w:t>
      </w:r>
      <w:r w:rsidRPr="009F1D15">
        <w:rPr>
          <w:sz w:val="20"/>
          <w:lang w:val="en-US"/>
        </w:rPr>
        <w:t>ing</w:t>
      </w:r>
      <w:proofErr w:type="spellEnd"/>
      <w:r w:rsidRPr="009F1D15">
        <w:rPr>
          <w:sz w:val="20"/>
          <w:lang w:val="en-US"/>
        </w:rPr>
        <w:t xml:space="preserve"> antibodies </w:t>
      </w:r>
      <w:proofErr w:type="spellStart"/>
      <w:r w:rsidRPr="009F1D15">
        <w:rPr>
          <w:sz w:val="20"/>
          <w:lang w:val="en-US"/>
        </w:rPr>
        <w:t>utili</w:t>
      </w:r>
      <w:r>
        <w:rPr>
          <w:sz w:val="20"/>
          <w:lang w:val="en-US"/>
        </w:rPr>
        <w:t>s</w:t>
      </w:r>
      <w:r w:rsidRPr="009F1D15">
        <w:rPr>
          <w:sz w:val="20"/>
          <w:lang w:val="en-US"/>
        </w:rPr>
        <w:t>es</w:t>
      </w:r>
      <w:proofErr w:type="spellEnd"/>
      <w:r w:rsidRPr="009F1D15">
        <w:rPr>
          <w:sz w:val="20"/>
          <w:lang w:val="en-US"/>
        </w:rPr>
        <w:t xml:space="preserve"> lentivirus particles expressing SARS-CoV-2 Spike protein on their surface and contains a firefly luciferase (Luc) reporter gene for quantitative measurements of infection by relative luminescence units (RLU). </w:t>
      </w:r>
      <w:proofErr w:type="spellStart"/>
      <w:r w:rsidRPr="009F1D15">
        <w:rPr>
          <w:sz w:val="20"/>
          <w:lang w:val="en-US"/>
        </w:rPr>
        <w:t>Neutrali</w:t>
      </w:r>
      <w:r>
        <w:rPr>
          <w:sz w:val="20"/>
          <w:lang w:val="en-US"/>
        </w:rPr>
        <w:t>s</w:t>
      </w:r>
      <w:r w:rsidRPr="009F1D15">
        <w:rPr>
          <w:sz w:val="20"/>
          <w:lang w:val="en-US"/>
        </w:rPr>
        <w:t>ation</w:t>
      </w:r>
      <w:proofErr w:type="spellEnd"/>
      <w:r w:rsidRPr="009F1D15">
        <w:rPr>
          <w:sz w:val="20"/>
          <w:lang w:val="en-US"/>
        </w:rPr>
        <w:t xml:space="preserve"> is measured as the serum dilution at which RLU is reduced by 50% (ID50) relative to mean RLU in virus control wells virus but after subtraction of mean RLU in cell control wells.</w:t>
      </w:r>
    </w:p>
    <w:p w14:paraId="53106A96" w14:textId="5D857943" w:rsidR="00563EAA" w:rsidRPr="00136F1B" w:rsidRDefault="00563EAA" w:rsidP="00563EAA">
      <w:pPr>
        <w:spacing w:after="0" w:line="240" w:lineRule="auto"/>
        <w:rPr>
          <w:sz w:val="20"/>
          <w:lang w:val="en-US"/>
        </w:rPr>
      </w:pPr>
      <w:r w:rsidRPr="00136F1B">
        <w:rPr>
          <w:sz w:val="20"/>
          <w:lang w:val="en-US"/>
        </w:rPr>
        <w:t xml:space="preserve">¶ </w:t>
      </w:r>
      <w:proofErr w:type="spellStart"/>
      <w:r w:rsidRPr="00136F1B">
        <w:rPr>
          <w:sz w:val="20"/>
          <w:lang w:val="en-US"/>
        </w:rPr>
        <w:t>Seroresponse</w:t>
      </w:r>
      <w:proofErr w:type="spellEnd"/>
      <w:r w:rsidRPr="00136F1B">
        <w:rPr>
          <w:sz w:val="20"/>
          <w:lang w:val="en-US"/>
        </w:rPr>
        <w:t xml:space="preserve"> due to vaccination specific to </w:t>
      </w:r>
      <w:proofErr w:type="spellStart"/>
      <w:r w:rsidRPr="00136F1B">
        <w:rPr>
          <w:sz w:val="20"/>
          <w:lang w:val="en-US"/>
        </w:rPr>
        <w:t>pseudovirus</w:t>
      </w:r>
      <w:proofErr w:type="spellEnd"/>
      <w:r w:rsidRPr="00136F1B">
        <w:rPr>
          <w:sz w:val="20"/>
          <w:lang w:val="en-US"/>
        </w:rPr>
        <w:t xml:space="preserve"> </w:t>
      </w:r>
      <w:proofErr w:type="spellStart"/>
      <w:r w:rsidRPr="00136F1B">
        <w:rPr>
          <w:sz w:val="20"/>
          <w:lang w:val="en-US"/>
        </w:rPr>
        <w:t>neutrali</w:t>
      </w:r>
      <w:r>
        <w:rPr>
          <w:sz w:val="20"/>
          <w:lang w:val="en-US"/>
        </w:rPr>
        <w:t>s</w:t>
      </w:r>
      <w:r w:rsidRPr="00136F1B">
        <w:rPr>
          <w:sz w:val="20"/>
          <w:lang w:val="en-US"/>
        </w:rPr>
        <w:t>ing</w:t>
      </w:r>
      <w:proofErr w:type="spellEnd"/>
      <w:r w:rsidRPr="00136F1B">
        <w:rPr>
          <w:sz w:val="20"/>
          <w:lang w:val="en-US"/>
        </w:rPr>
        <w:t xml:space="preserve"> antibody ID50 titer at a subject level is defined as a change from below LLOQ to equal or above LLOQ, or at least a 3.3-fold rise if baseline is equal to or above LLOQ.</w:t>
      </w:r>
    </w:p>
    <w:p w14:paraId="37D5E9BD" w14:textId="35D559B4" w:rsidR="00563EAA" w:rsidRDefault="00563EAA" w:rsidP="00563EAA">
      <w:pPr>
        <w:spacing w:after="0" w:line="240" w:lineRule="auto"/>
        <w:rPr>
          <w:sz w:val="20"/>
          <w:lang w:val="en-US"/>
        </w:rPr>
      </w:pPr>
      <w:r w:rsidRPr="00136F1B">
        <w:rPr>
          <w:sz w:val="20"/>
          <w:lang w:val="en-US"/>
        </w:rPr>
        <w:t xml:space="preserve"># Difference in </w:t>
      </w:r>
      <w:proofErr w:type="spellStart"/>
      <w:r w:rsidRPr="00136F1B">
        <w:rPr>
          <w:sz w:val="20"/>
          <w:lang w:val="en-US"/>
        </w:rPr>
        <w:t>seroresponse</w:t>
      </w:r>
      <w:proofErr w:type="spellEnd"/>
      <w:r w:rsidRPr="00136F1B">
        <w:rPr>
          <w:sz w:val="20"/>
          <w:lang w:val="en-US"/>
        </w:rPr>
        <w:t xml:space="preserve"> rate 95% CI is calculated using the Miettinen-</w:t>
      </w:r>
      <w:proofErr w:type="spellStart"/>
      <w:r w:rsidRPr="00136F1B">
        <w:rPr>
          <w:sz w:val="20"/>
          <w:lang w:val="en-US"/>
        </w:rPr>
        <w:t>Nurminen</w:t>
      </w:r>
      <w:proofErr w:type="spellEnd"/>
      <w:r w:rsidRPr="00136F1B">
        <w:rPr>
          <w:sz w:val="20"/>
          <w:lang w:val="en-US"/>
        </w:rPr>
        <w:t xml:space="preserve"> (score) confidence limits.</w:t>
      </w:r>
    </w:p>
    <w:p w14:paraId="54DF0ED4" w14:textId="77777777" w:rsidR="00CE00DF" w:rsidRPr="00136F1B" w:rsidRDefault="00CE00DF" w:rsidP="00563EAA">
      <w:pPr>
        <w:spacing w:after="0" w:line="240" w:lineRule="auto"/>
        <w:rPr>
          <w:sz w:val="20"/>
          <w:lang w:val="en-US"/>
        </w:rPr>
      </w:pPr>
    </w:p>
    <w:p w14:paraId="2851392E" w14:textId="154295AC" w:rsidR="009E4C46" w:rsidRPr="009E4C46" w:rsidRDefault="009E4C46" w:rsidP="009E4C46">
      <w:pPr>
        <w:pStyle w:val="Heading4"/>
      </w:pPr>
      <w:r>
        <w:t xml:space="preserve">Clinical </w:t>
      </w:r>
      <w:r w:rsidR="007C018C">
        <w:t>e</w:t>
      </w:r>
      <w:r w:rsidRPr="009E4C46">
        <w:t>fficacy in children 6 through 11 years of age</w:t>
      </w:r>
    </w:p>
    <w:p w14:paraId="4F0B74F9" w14:textId="77777777" w:rsidR="009E4C46" w:rsidRPr="009E4C46" w:rsidRDefault="009E4C46" w:rsidP="009E4C46">
      <w:pPr>
        <w:rPr>
          <w:rFonts w:cs="Arial"/>
          <w:bCs/>
        </w:rPr>
      </w:pPr>
      <w:r w:rsidRPr="009E4C46">
        <w:rPr>
          <w:rFonts w:cs="Arial"/>
          <w:bCs/>
        </w:rPr>
        <w:t xml:space="preserve">The paediatric study is an ongoing Phase 2/3 randomised, placebo-controlled, observer-blind, clinical trial to evaluate the safety, reactogenicity, and effectiveness of the </w:t>
      </w:r>
      <w:r>
        <w:rPr>
          <w:rFonts w:cs="Arial"/>
          <w:bCs/>
        </w:rPr>
        <w:t>SPIKEVAX</w:t>
      </w:r>
      <w:r w:rsidRPr="009E4C46">
        <w:rPr>
          <w:rFonts w:cs="Arial"/>
          <w:bCs/>
        </w:rPr>
        <w:t xml:space="preserve"> in children ages 6 through 11 years in the United States and Canada (NCT04796896). Participants with a known history of SARS-CoV-2 infection were excluded from the study. A total of 4,011 participants were </w:t>
      </w:r>
      <w:r w:rsidRPr="009E4C46">
        <w:rPr>
          <w:rFonts w:cs="Arial"/>
          <w:bCs/>
        </w:rPr>
        <w:lastRenderedPageBreak/>
        <w:t xml:space="preserve">randomised 3:1 to receive 2 doses of </w:t>
      </w:r>
      <w:r>
        <w:rPr>
          <w:rFonts w:cs="Arial"/>
          <w:bCs/>
        </w:rPr>
        <w:t>SPIKEVAX</w:t>
      </w:r>
      <w:r w:rsidRPr="009E4C46">
        <w:rPr>
          <w:rFonts w:cs="Arial"/>
          <w:bCs/>
        </w:rPr>
        <w:t xml:space="preserve"> or saline placebo 1 month apart. Participants will be followed for effectiveness and safety until 1 year after the second dose.</w:t>
      </w:r>
    </w:p>
    <w:p w14:paraId="05935771" w14:textId="18E745EC" w:rsidR="009E4C46" w:rsidRPr="009E4C46" w:rsidRDefault="009E4C46" w:rsidP="009E4C46">
      <w:pPr>
        <w:rPr>
          <w:rFonts w:cs="Arial"/>
          <w:bCs/>
        </w:rPr>
      </w:pPr>
      <w:r w:rsidRPr="009E4C46">
        <w:rPr>
          <w:rFonts w:cs="Arial"/>
          <w:bCs/>
        </w:rPr>
        <w:t xml:space="preserve">A descriptive efficacy analysis evaluating confirmed COVID-19 cases accrued up to the data </w:t>
      </w:r>
      <w:proofErr w:type="spellStart"/>
      <w:r w:rsidRPr="009E4C46">
        <w:rPr>
          <w:rFonts w:cs="Arial"/>
          <w:bCs/>
        </w:rPr>
        <w:t>cutoff</w:t>
      </w:r>
      <w:proofErr w:type="spellEnd"/>
      <w:r w:rsidRPr="009E4C46">
        <w:rPr>
          <w:rFonts w:cs="Arial"/>
          <w:bCs/>
        </w:rPr>
        <w:t xml:space="preserve"> date of </w:t>
      </w:r>
      <w:r w:rsidR="009C4453">
        <w:rPr>
          <w:rFonts w:cs="Arial"/>
          <w:bCs/>
        </w:rPr>
        <w:t>November</w:t>
      </w:r>
      <w:r w:rsidRPr="009E4C46">
        <w:rPr>
          <w:rFonts w:cs="Arial"/>
          <w:bCs/>
        </w:rPr>
        <w:t xml:space="preserve"> </w:t>
      </w:r>
      <w:r w:rsidR="009C4453">
        <w:rPr>
          <w:rFonts w:cs="Arial"/>
          <w:bCs/>
        </w:rPr>
        <w:t>10</w:t>
      </w:r>
      <w:r w:rsidRPr="009E4C46">
        <w:rPr>
          <w:rFonts w:cs="Arial"/>
          <w:bCs/>
        </w:rPr>
        <w:t xml:space="preserve">, </w:t>
      </w:r>
      <w:proofErr w:type="gramStart"/>
      <w:r w:rsidRPr="009E4C46">
        <w:rPr>
          <w:rFonts w:cs="Arial"/>
          <w:bCs/>
        </w:rPr>
        <w:t>2021</w:t>
      </w:r>
      <w:proofErr w:type="gramEnd"/>
      <w:r w:rsidRPr="009E4C46">
        <w:rPr>
          <w:rFonts w:cs="Arial"/>
          <w:bCs/>
        </w:rPr>
        <w:t xml:space="preserve"> was performed in </w:t>
      </w:r>
      <w:r w:rsidR="00121DAB">
        <w:rPr>
          <w:rFonts w:cs="Arial"/>
          <w:bCs/>
        </w:rPr>
        <w:t>3,583</w:t>
      </w:r>
      <w:r w:rsidRPr="004F259A">
        <w:rPr>
          <w:rFonts w:cs="Arial"/>
          <w:bCs/>
        </w:rPr>
        <w:t xml:space="preserve"> </w:t>
      </w:r>
      <w:r w:rsidRPr="009E4C46">
        <w:rPr>
          <w:rFonts w:cs="Arial"/>
          <w:bCs/>
        </w:rPr>
        <w:t xml:space="preserve">participants who received two doses (0.25 mL at 0 and 1 month) of either </w:t>
      </w:r>
      <w:r>
        <w:rPr>
          <w:rFonts w:cs="Arial"/>
          <w:bCs/>
        </w:rPr>
        <w:t>SPIKEVAX</w:t>
      </w:r>
      <w:r w:rsidRPr="009E4C46">
        <w:rPr>
          <w:rFonts w:cs="Arial"/>
          <w:bCs/>
        </w:rPr>
        <w:t xml:space="preserve"> (n=</w:t>
      </w:r>
      <w:r w:rsidR="00121DAB">
        <w:rPr>
          <w:rFonts w:cs="Arial"/>
          <w:bCs/>
        </w:rPr>
        <w:t>2,701</w:t>
      </w:r>
      <w:r w:rsidRPr="009E4C46">
        <w:rPr>
          <w:rFonts w:cs="Arial"/>
          <w:bCs/>
        </w:rPr>
        <w:t>) or placebo (n=</w:t>
      </w:r>
      <w:r w:rsidR="00121DAB">
        <w:rPr>
          <w:rFonts w:cs="Arial"/>
          <w:bCs/>
        </w:rPr>
        <w:t>882</w:t>
      </w:r>
      <w:r w:rsidRPr="009E4C46">
        <w:rPr>
          <w:rFonts w:cs="Arial"/>
          <w:bCs/>
        </w:rPr>
        <w:t>), and had a negative baseline SARS-CoV-2 status (referred to as the modified Intent-to-Treat Set [</w:t>
      </w:r>
      <w:proofErr w:type="spellStart"/>
      <w:r w:rsidRPr="009E4C46">
        <w:rPr>
          <w:rFonts w:cs="Arial"/>
          <w:bCs/>
        </w:rPr>
        <w:t>mITT</w:t>
      </w:r>
      <w:proofErr w:type="spellEnd"/>
      <w:r w:rsidRPr="009E4C46">
        <w:rPr>
          <w:rFonts w:cs="Arial"/>
          <w:bCs/>
        </w:rPr>
        <w:t xml:space="preserve">]). Between participants who received </w:t>
      </w:r>
      <w:r>
        <w:rPr>
          <w:rFonts w:cs="Arial"/>
          <w:bCs/>
        </w:rPr>
        <w:t>SPIKEVAX</w:t>
      </w:r>
      <w:r w:rsidRPr="009E4C46">
        <w:rPr>
          <w:rFonts w:cs="Arial"/>
          <w:bCs/>
        </w:rPr>
        <w:t xml:space="preserve"> and those who received placebo, there were no notable differences in demographics.</w:t>
      </w:r>
    </w:p>
    <w:p w14:paraId="008E3B82" w14:textId="5BDDA943" w:rsidR="009E4C46" w:rsidRDefault="00F65B8E" w:rsidP="009E4C46">
      <w:pPr>
        <w:rPr>
          <w:rFonts w:cs="Arial"/>
          <w:bCs/>
        </w:rPr>
      </w:pPr>
      <w:r w:rsidRPr="00F65B8E">
        <w:rPr>
          <w:rFonts w:cs="Arial"/>
          <w:bCs/>
        </w:rPr>
        <w:t xml:space="preserve">In Part 2, the median </w:t>
      </w:r>
      <w:proofErr w:type="gramStart"/>
      <w:r w:rsidRPr="00F65B8E">
        <w:rPr>
          <w:rFonts w:cs="Arial"/>
          <w:bCs/>
        </w:rPr>
        <w:t>follow</w:t>
      </w:r>
      <w:proofErr w:type="gramEnd"/>
      <w:r w:rsidRPr="00F65B8E">
        <w:rPr>
          <w:rFonts w:cs="Arial"/>
          <w:bCs/>
        </w:rPr>
        <w:t xml:space="preserve"> up duration was </w:t>
      </w:r>
      <w:r w:rsidR="007A5E9F">
        <w:rPr>
          <w:rFonts w:cs="Arial"/>
          <w:bCs/>
        </w:rPr>
        <w:t>82</w:t>
      </w:r>
      <w:r w:rsidRPr="00F65B8E">
        <w:rPr>
          <w:rFonts w:cs="Arial"/>
          <w:bCs/>
        </w:rPr>
        <w:t xml:space="preserve"> days after dose 1 and </w:t>
      </w:r>
      <w:r w:rsidR="007A5E9F">
        <w:rPr>
          <w:rFonts w:cs="Arial"/>
          <w:bCs/>
        </w:rPr>
        <w:t>51</w:t>
      </w:r>
      <w:r w:rsidRPr="00F65B8E">
        <w:rPr>
          <w:rFonts w:cs="Arial"/>
          <w:bCs/>
        </w:rPr>
        <w:t xml:space="preserve"> days after dose 2. A total of </w:t>
      </w:r>
      <w:r w:rsidRPr="00AC16EF">
        <w:rPr>
          <w:rFonts w:cs="Arial"/>
          <w:bCs/>
        </w:rPr>
        <w:t>29</w:t>
      </w:r>
      <w:r w:rsidR="002A314D" w:rsidRPr="00AC16EF">
        <w:rPr>
          <w:rFonts w:cs="Arial"/>
          <w:bCs/>
        </w:rPr>
        <w:t>81</w:t>
      </w:r>
      <w:r w:rsidRPr="00AC16EF">
        <w:rPr>
          <w:rFonts w:cs="Arial"/>
          <w:bCs/>
        </w:rPr>
        <w:t xml:space="preserve"> </w:t>
      </w:r>
      <w:r w:rsidR="006D215D" w:rsidRPr="00AC16EF">
        <w:rPr>
          <w:rFonts w:cs="Arial"/>
          <w:bCs/>
        </w:rPr>
        <w:t>(</w:t>
      </w:r>
      <w:r w:rsidR="006D215D">
        <w:rPr>
          <w:rFonts w:cs="Arial"/>
          <w:bCs/>
        </w:rPr>
        <w:t xml:space="preserve">99.1%) </w:t>
      </w:r>
      <w:r w:rsidRPr="00F65B8E">
        <w:rPr>
          <w:rFonts w:cs="Arial"/>
          <w:bCs/>
        </w:rPr>
        <w:t xml:space="preserve">subjects in the mRNA-1273 group </w:t>
      </w:r>
      <w:r w:rsidRPr="00AC16EF">
        <w:rPr>
          <w:rFonts w:cs="Arial"/>
          <w:bCs/>
        </w:rPr>
        <w:t>and 96</w:t>
      </w:r>
      <w:r w:rsidR="006D215D" w:rsidRPr="00AC16EF">
        <w:rPr>
          <w:rFonts w:cs="Arial"/>
          <w:bCs/>
        </w:rPr>
        <w:t>6</w:t>
      </w:r>
      <w:r w:rsidRPr="00AC16EF">
        <w:rPr>
          <w:rFonts w:cs="Arial"/>
          <w:bCs/>
        </w:rPr>
        <w:t xml:space="preserve"> (</w:t>
      </w:r>
      <w:r w:rsidR="006D215D" w:rsidRPr="0074386D">
        <w:rPr>
          <w:rFonts w:cs="Arial"/>
          <w:bCs/>
        </w:rPr>
        <w:t>97.1</w:t>
      </w:r>
      <w:r w:rsidRPr="00AC16EF">
        <w:rPr>
          <w:rFonts w:cs="Arial"/>
          <w:bCs/>
        </w:rPr>
        <w:t xml:space="preserve">%) in the placebo group have been followed for </w:t>
      </w:r>
      <w:r w:rsidR="006D215D" w:rsidRPr="00AC16EF">
        <w:rPr>
          <w:rFonts w:cs="Arial"/>
          <w:bCs/>
        </w:rPr>
        <w:t>28</w:t>
      </w:r>
      <w:r w:rsidRPr="00AC16EF">
        <w:rPr>
          <w:rFonts w:cs="Arial"/>
          <w:bCs/>
        </w:rPr>
        <w:t xml:space="preserve"> days or more after dose 2. A total of </w:t>
      </w:r>
      <w:r w:rsidR="00A91B31" w:rsidRPr="0074386D">
        <w:rPr>
          <w:rFonts w:cs="Arial"/>
          <w:bCs/>
        </w:rPr>
        <w:t>1,066</w:t>
      </w:r>
      <w:r w:rsidRPr="00AC16EF">
        <w:rPr>
          <w:rFonts w:cs="Arial"/>
          <w:bCs/>
        </w:rPr>
        <w:t xml:space="preserve"> (</w:t>
      </w:r>
      <w:r w:rsidR="00A91B31" w:rsidRPr="0074386D">
        <w:rPr>
          <w:rFonts w:cs="Arial"/>
          <w:bCs/>
        </w:rPr>
        <w:t>35.3</w:t>
      </w:r>
      <w:r w:rsidRPr="00AC16EF">
        <w:rPr>
          <w:rFonts w:cs="Arial"/>
          <w:bCs/>
        </w:rPr>
        <w:t xml:space="preserve">%) subjects in the mRNA-1273 group and </w:t>
      </w:r>
      <w:r w:rsidR="00A91B31" w:rsidRPr="0074386D">
        <w:rPr>
          <w:rFonts w:cs="Arial"/>
          <w:bCs/>
        </w:rPr>
        <w:t>218</w:t>
      </w:r>
      <w:r w:rsidRPr="00AC16EF">
        <w:rPr>
          <w:rFonts w:cs="Arial"/>
          <w:bCs/>
        </w:rPr>
        <w:t xml:space="preserve"> (</w:t>
      </w:r>
      <w:r w:rsidR="00A91B31" w:rsidRPr="0074386D">
        <w:rPr>
          <w:rFonts w:cs="Arial"/>
          <w:bCs/>
        </w:rPr>
        <w:t>21.9</w:t>
      </w:r>
      <w:r w:rsidRPr="00AC16EF">
        <w:rPr>
          <w:rFonts w:cs="Arial"/>
          <w:bCs/>
        </w:rPr>
        <w:t xml:space="preserve">%) in the placebo group have been followed for </w:t>
      </w:r>
      <w:r w:rsidR="00AC16EF" w:rsidRPr="0074386D">
        <w:rPr>
          <w:rFonts w:cs="Arial"/>
          <w:bCs/>
        </w:rPr>
        <w:t>56</w:t>
      </w:r>
      <w:r w:rsidRPr="00AC16EF">
        <w:rPr>
          <w:rFonts w:cs="Arial"/>
          <w:bCs/>
        </w:rPr>
        <w:t xml:space="preserve"> days or</w:t>
      </w:r>
      <w:r w:rsidRPr="00F65B8E">
        <w:rPr>
          <w:rFonts w:cs="Arial"/>
          <w:bCs/>
        </w:rPr>
        <w:t xml:space="preserve"> more after dose 2. </w:t>
      </w:r>
    </w:p>
    <w:p w14:paraId="6B8D9934" w14:textId="77777777" w:rsidR="009E4C46" w:rsidRPr="009E4C46" w:rsidRDefault="009E4C46" w:rsidP="009E4C46">
      <w:pPr>
        <w:pStyle w:val="Heading4"/>
      </w:pPr>
      <w:r w:rsidRPr="009E4C46">
        <w:t xml:space="preserve">Immunogenicity in </w:t>
      </w:r>
      <w:r w:rsidRPr="0011547C">
        <w:t>children</w:t>
      </w:r>
      <w:r w:rsidRPr="009E4C46">
        <w:t xml:space="preserve"> 6 through 11 years of age</w:t>
      </w:r>
    </w:p>
    <w:p w14:paraId="323B5BD3" w14:textId="69B0BE35" w:rsidR="009E4C46" w:rsidRDefault="009E4C46" w:rsidP="009E4C46">
      <w:pPr>
        <w:rPr>
          <w:rFonts w:cs="Arial"/>
          <w:bCs/>
        </w:rPr>
      </w:pPr>
      <w:r w:rsidRPr="009E4C46">
        <w:rPr>
          <w:rFonts w:cs="Arial"/>
          <w:bCs/>
        </w:rPr>
        <w:t xml:space="preserve">An analysis evaluating SARS-CoV-2 50% neutralising </w:t>
      </w:r>
      <w:proofErr w:type="spellStart"/>
      <w:r w:rsidRPr="009E4C46">
        <w:rPr>
          <w:rFonts w:cs="Arial"/>
          <w:bCs/>
        </w:rPr>
        <w:t>titers</w:t>
      </w:r>
      <w:proofErr w:type="spellEnd"/>
      <w:r w:rsidRPr="009E4C46">
        <w:rPr>
          <w:rFonts w:cs="Arial"/>
          <w:bCs/>
        </w:rPr>
        <w:t xml:space="preserve"> and </w:t>
      </w:r>
      <w:proofErr w:type="spellStart"/>
      <w:r w:rsidRPr="009E4C46">
        <w:rPr>
          <w:rFonts w:cs="Arial"/>
          <w:bCs/>
        </w:rPr>
        <w:t>seroresponse</w:t>
      </w:r>
      <w:proofErr w:type="spellEnd"/>
      <w:r w:rsidRPr="009E4C46">
        <w:rPr>
          <w:rFonts w:cs="Arial"/>
          <w:bCs/>
        </w:rPr>
        <w:t xml:space="preserve"> rates 28 days after Dose 2 was conducted in subset of children aged 6 through 11 (n=</w:t>
      </w:r>
      <w:r w:rsidRPr="008A04AB">
        <w:rPr>
          <w:rFonts w:cs="Arial"/>
          <w:bCs/>
        </w:rPr>
        <w:t>134)</w:t>
      </w:r>
      <w:r w:rsidRPr="009E4C46">
        <w:rPr>
          <w:rFonts w:cs="Arial"/>
          <w:bCs/>
        </w:rPr>
        <w:t xml:space="preserve"> in the paediatric study and in participants aged 18 through 25 (n=</w:t>
      </w:r>
      <w:r w:rsidRPr="008A04AB">
        <w:rPr>
          <w:rFonts w:cs="Arial"/>
          <w:bCs/>
        </w:rPr>
        <w:t>29</w:t>
      </w:r>
      <w:r w:rsidR="008A04AB" w:rsidRPr="008A04AB">
        <w:rPr>
          <w:rFonts w:cs="Arial"/>
          <w:bCs/>
        </w:rPr>
        <w:t>5</w:t>
      </w:r>
      <w:r w:rsidRPr="008A04AB">
        <w:rPr>
          <w:rFonts w:cs="Arial"/>
          <w:bCs/>
        </w:rPr>
        <w:t>) in</w:t>
      </w:r>
      <w:r w:rsidRPr="009E4C46">
        <w:rPr>
          <w:rFonts w:cs="Arial"/>
          <w:bCs/>
        </w:rPr>
        <w:t xml:space="preserve"> the adult study (NCT04796896). Subjects had no immunologic or virologic evidence of prior SARS-CoV-2 infection at baseline. The GMR of the neutralising antibody </w:t>
      </w:r>
      <w:proofErr w:type="spellStart"/>
      <w:r w:rsidRPr="009E4C46">
        <w:rPr>
          <w:rFonts w:cs="Arial"/>
          <w:bCs/>
        </w:rPr>
        <w:t>titers</w:t>
      </w:r>
      <w:proofErr w:type="spellEnd"/>
      <w:r w:rsidRPr="009E4C46">
        <w:rPr>
          <w:rFonts w:cs="Arial"/>
          <w:bCs/>
        </w:rPr>
        <w:t xml:space="preserve"> in children 6 through 11 years of age compared to the 18- to 25-year-olds </w:t>
      </w:r>
      <w:r w:rsidRPr="00683786">
        <w:rPr>
          <w:rFonts w:cs="Arial"/>
          <w:bCs/>
        </w:rPr>
        <w:t xml:space="preserve">was </w:t>
      </w:r>
      <w:r w:rsidR="00FE74B1" w:rsidRPr="00683786">
        <w:rPr>
          <w:rFonts w:cs="Arial"/>
          <w:bCs/>
        </w:rPr>
        <w:t>1.239</w:t>
      </w:r>
      <w:r w:rsidRPr="00683786">
        <w:rPr>
          <w:rFonts w:cs="Arial"/>
          <w:bCs/>
        </w:rPr>
        <w:t xml:space="preserve"> (95% CI: 1.</w:t>
      </w:r>
      <w:r w:rsidR="00FE74B1" w:rsidRPr="00683786">
        <w:rPr>
          <w:rFonts w:cs="Arial"/>
          <w:bCs/>
        </w:rPr>
        <w:t>072</w:t>
      </w:r>
      <w:r w:rsidRPr="00683786">
        <w:rPr>
          <w:rFonts w:cs="Arial"/>
          <w:bCs/>
        </w:rPr>
        <w:t>, 1.</w:t>
      </w:r>
      <w:r w:rsidR="00FE74B1" w:rsidRPr="00683786">
        <w:rPr>
          <w:rFonts w:cs="Arial"/>
          <w:bCs/>
        </w:rPr>
        <w:t>432</w:t>
      </w:r>
      <w:r w:rsidRPr="00683786">
        <w:rPr>
          <w:rFonts w:cs="Arial"/>
          <w:bCs/>
        </w:rPr>
        <w:t>). The</w:t>
      </w:r>
      <w:r w:rsidRPr="009E4C46">
        <w:rPr>
          <w:rFonts w:cs="Arial"/>
          <w:bCs/>
        </w:rPr>
        <w:t xml:space="preserve"> difference in </w:t>
      </w:r>
      <w:proofErr w:type="spellStart"/>
      <w:r w:rsidRPr="009E4C46">
        <w:rPr>
          <w:rFonts w:cs="Arial"/>
          <w:bCs/>
        </w:rPr>
        <w:t>seroresponse</w:t>
      </w:r>
      <w:proofErr w:type="spellEnd"/>
      <w:r w:rsidRPr="009E4C46">
        <w:rPr>
          <w:rFonts w:cs="Arial"/>
          <w:bCs/>
        </w:rPr>
        <w:t xml:space="preserve"> rate </w:t>
      </w:r>
      <w:r w:rsidRPr="007404C5">
        <w:rPr>
          <w:rFonts w:cs="Arial"/>
          <w:bCs/>
        </w:rPr>
        <w:t>was 0.</w:t>
      </w:r>
      <w:r w:rsidR="005B38BE" w:rsidRPr="00683786">
        <w:rPr>
          <w:rFonts w:cs="Arial"/>
          <w:bCs/>
        </w:rPr>
        <w:t>1</w:t>
      </w:r>
      <w:r w:rsidRPr="007404C5">
        <w:rPr>
          <w:rFonts w:cs="Arial"/>
          <w:bCs/>
        </w:rPr>
        <w:t>% (95% CI: -</w:t>
      </w:r>
      <w:r w:rsidR="007404C5" w:rsidRPr="00683786">
        <w:rPr>
          <w:rFonts w:cs="Arial"/>
          <w:bCs/>
        </w:rPr>
        <w:t>1.9</w:t>
      </w:r>
      <w:r w:rsidRPr="007404C5">
        <w:rPr>
          <w:rFonts w:cs="Arial"/>
          <w:bCs/>
        </w:rPr>
        <w:t>, 2.</w:t>
      </w:r>
      <w:r w:rsidR="007404C5" w:rsidRPr="00683786">
        <w:rPr>
          <w:rFonts w:cs="Arial"/>
          <w:bCs/>
        </w:rPr>
        <w:t>1</w:t>
      </w:r>
      <w:r w:rsidRPr="007404C5">
        <w:rPr>
          <w:rFonts w:cs="Arial"/>
          <w:bCs/>
        </w:rPr>
        <w:t>).</w:t>
      </w:r>
      <w:r w:rsidRPr="009E4C46">
        <w:rPr>
          <w:rFonts w:cs="Arial"/>
          <w:bCs/>
        </w:rPr>
        <w:t xml:space="preserve"> Non-inferiority criteria (lower bound of the 95% CI </w:t>
      </w:r>
      <w:r w:rsidRPr="00683786">
        <w:rPr>
          <w:rFonts w:cs="Arial"/>
          <w:bCs/>
        </w:rPr>
        <w:t>for GMR &gt; 0.67 and</w:t>
      </w:r>
      <w:r w:rsidRPr="009E4C46">
        <w:rPr>
          <w:rFonts w:cs="Arial"/>
          <w:bCs/>
        </w:rPr>
        <w:t xml:space="preserve"> lower bound of the 95% CI of the </w:t>
      </w:r>
      <w:proofErr w:type="spellStart"/>
      <w:r w:rsidRPr="009E4C46">
        <w:rPr>
          <w:rFonts w:cs="Arial"/>
          <w:bCs/>
        </w:rPr>
        <w:t>seroresponse</w:t>
      </w:r>
      <w:proofErr w:type="spellEnd"/>
      <w:r w:rsidRPr="009E4C46">
        <w:rPr>
          <w:rFonts w:cs="Arial"/>
          <w:bCs/>
        </w:rPr>
        <w:t xml:space="preserve"> rate difference &gt; -10%) were met.</w:t>
      </w:r>
    </w:p>
    <w:p w14:paraId="5F39F7D4" w14:textId="77777777" w:rsidR="0011547C" w:rsidRPr="0011547C" w:rsidRDefault="0011547C" w:rsidP="001E6E97">
      <w:pPr>
        <w:pStyle w:val="Heading4"/>
        <w:rPr>
          <w:lang w:val="en-GB"/>
        </w:rPr>
      </w:pPr>
      <w:r w:rsidRPr="0011547C">
        <w:rPr>
          <w:lang w:val="en-GB"/>
        </w:rPr>
        <w:t>Clinical efficacy in children 6 months through 5 years of age</w:t>
      </w:r>
    </w:p>
    <w:p w14:paraId="4DE56BFD" w14:textId="5F7D3D34" w:rsidR="0011547C" w:rsidRPr="0011547C" w:rsidRDefault="0011547C" w:rsidP="0011547C">
      <w:pPr>
        <w:rPr>
          <w:rFonts w:cs="Arial"/>
          <w:bCs/>
          <w:lang w:val="en-GB"/>
        </w:rPr>
      </w:pPr>
      <w:r w:rsidRPr="0011547C">
        <w:rPr>
          <w:rFonts w:cs="Arial"/>
          <w:bCs/>
          <w:lang w:val="en-GB"/>
        </w:rPr>
        <w:t xml:space="preserve">An ongoing Phase 2/3 study was conducted to evaluate the safety, tolerability, reactogenicity, and effectiveness of </w:t>
      </w:r>
      <w:r w:rsidR="006A6D43">
        <w:rPr>
          <w:rFonts w:cs="Arial"/>
          <w:bCs/>
          <w:lang w:val="en-US"/>
        </w:rPr>
        <w:t>SPIKEVAX</w:t>
      </w:r>
      <w:r w:rsidRPr="0011547C">
        <w:rPr>
          <w:rFonts w:cs="Arial"/>
          <w:bCs/>
          <w:lang w:val="en-GB"/>
        </w:rPr>
        <w:t xml:space="preserve"> in healthy children 6 months to through 11 years of age. The study enrolled children in 3 age groups: 6 years through 11 years; 2 years through 5 years; and 6 months through 23 months.</w:t>
      </w:r>
    </w:p>
    <w:p w14:paraId="6233E25D" w14:textId="23187C80" w:rsidR="0011547C" w:rsidRPr="0011547C" w:rsidRDefault="0011547C" w:rsidP="0011547C">
      <w:pPr>
        <w:rPr>
          <w:rFonts w:cs="Arial"/>
          <w:bCs/>
          <w:lang w:val="en-US"/>
        </w:rPr>
      </w:pPr>
      <w:r w:rsidRPr="0011547C">
        <w:rPr>
          <w:rFonts w:cs="Arial"/>
          <w:bCs/>
          <w:lang w:val="en-US"/>
        </w:rPr>
        <w:t xml:space="preserve">A descriptive efficacy analysis evaluating confirmed COVID-19 cases accrued up to the data cutoff date of 21 February 2022 was performed in 5,476 participants 6 months through 5 years of age who received two doses (at 0 and 1 month) of either </w:t>
      </w:r>
      <w:r w:rsidR="006A6D43">
        <w:rPr>
          <w:rFonts w:cs="Arial"/>
          <w:bCs/>
          <w:lang w:val="en-US"/>
        </w:rPr>
        <w:t>SPIKEVAX</w:t>
      </w:r>
      <w:r w:rsidRPr="0011547C">
        <w:rPr>
          <w:rFonts w:cs="Arial"/>
          <w:bCs/>
          <w:lang w:val="en-US"/>
        </w:rPr>
        <w:t xml:space="preserve"> (n=4,105) or placebo (n=1,371) and had a negative baseline SARS-CoV-2 status (referred to as the Per Protocol Set for Efficacy). Between participants who received </w:t>
      </w:r>
      <w:r w:rsidR="006A6D43">
        <w:rPr>
          <w:rFonts w:cs="Arial"/>
          <w:bCs/>
          <w:lang w:val="en-US"/>
        </w:rPr>
        <w:t>SPIKEVAX</w:t>
      </w:r>
      <w:r w:rsidRPr="0011547C">
        <w:rPr>
          <w:rFonts w:cs="Arial"/>
          <w:bCs/>
          <w:lang w:val="en-US"/>
        </w:rPr>
        <w:t xml:space="preserve"> and those who received placebo, there were no notable differences in demographics. </w:t>
      </w:r>
    </w:p>
    <w:p w14:paraId="74A83EA8" w14:textId="511045D1" w:rsidR="0011547C" w:rsidRPr="0011547C" w:rsidRDefault="0011547C" w:rsidP="0011547C">
      <w:pPr>
        <w:rPr>
          <w:rFonts w:cs="Arial"/>
          <w:bCs/>
          <w:lang w:val="en-US"/>
        </w:rPr>
      </w:pPr>
      <w:r w:rsidRPr="0011547C">
        <w:rPr>
          <w:rFonts w:cs="Arial"/>
          <w:bCs/>
          <w:lang w:val="en-US"/>
        </w:rPr>
        <w:t>The median length of follow-up for efficacy post-Dose 2 was 71 days for participants 2 through 5 years of age and 68 days for participants 6 months through 23 months of age.</w:t>
      </w:r>
    </w:p>
    <w:p w14:paraId="2FF17408" w14:textId="273102F3" w:rsidR="0011547C" w:rsidRPr="0011547C" w:rsidRDefault="0011547C" w:rsidP="0011547C">
      <w:pPr>
        <w:rPr>
          <w:rFonts w:cs="Arial"/>
          <w:bCs/>
          <w:lang w:val="en-US"/>
        </w:rPr>
      </w:pPr>
      <w:r w:rsidRPr="0011547C">
        <w:rPr>
          <w:rFonts w:cs="Arial"/>
          <w:bCs/>
          <w:lang w:val="en-US"/>
        </w:rPr>
        <w:lastRenderedPageBreak/>
        <w:t>Vaccine efficacy in this study was observed during the period when the B.1.1.529 (Omicron) variant was the predominant variant in circulation.</w:t>
      </w:r>
      <w:r w:rsidR="002C7B77">
        <w:rPr>
          <w:rFonts w:cs="Arial"/>
          <w:bCs/>
          <w:lang w:val="en-US"/>
        </w:rPr>
        <w:t xml:space="preserve"> No clinical data for efficacy against the Omicron strain has been assessed.</w:t>
      </w:r>
    </w:p>
    <w:p w14:paraId="7655774D" w14:textId="14900EA6" w:rsidR="0011547C" w:rsidRPr="0011547C" w:rsidRDefault="0011547C" w:rsidP="0011547C">
      <w:pPr>
        <w:rPr>
          <w:rFonts w:cs="Arial"/>
          <w:bCs/>
          <w:lang w:val="en-US"/>
        </w:rPr>
      </w:pPr>
      <w:r w:rsidRPr="0011547C">
        <w:rPr>
          <w:rFonts w:cs="Arial"/>
          <w:bCs/>
          <w:lang w:val="en-US"/>
        </w:rPr>
        <w:t xml:space="preserve">Vaccine efficacy (VE) in Part 2 for the Per Protocol Set for Efficacy for COVID-19 cases 14 days or more after dose 2 using the “CDC case definition” was 36.8% (95% CI: 12.5, 54.0). for children 2 through 5 years of age and 50.6% (95% CI: 21.4, 68.6) for children 6 months through 23 months of age. </w:t>
      </w:r>
    </w:p>
    <w:p w14:paraId="40E6763A" w14:textId="2D5042F3" w:rsidR="0011547C" w:rsidRPr="0011547C" w:rsidRDefault="0011547C" w:rsidP="001E6E97">
      <w:pPr>
        <w:pStyle w:val="Heading4"/>
        <w:rPr>
          <w:lang w:val="en-GB"/>
        </w:rPr>
      </w:pPr>
      <w:r w:rsidRPr="0011547C">
        <w:rPr>
          <w:lang w:val="en-GB"/>
        </w:rPr>
        <w:t>Immunogenicity in children 6 months through 5 years of age</w:t>
      </w:r>
    </w:p>
    <w:p w14:paraId="645274E5" w14:textId="77777777" w:rsidR="0011547C" w:rsidRPr="0011547C" w:rsidRDefault="0011547C" w:rsidP="0011547C">
      <w:pPr>
        <w:rPr>
          <w:rFonts w:cs="Arial"/>
          <w:bCs/>
          <w:lang w:val="en-US"/>
        </w:rPr>
      </w:pPr>
      <w:r w:rsidRPr="0011547C">
        <w:rPr>
          <w:rFonts w:cs="Arial"/>
          <w:bCs/>
          <w:lang w:val="en-US"/>
        </w:rPr>
        <w:t xml:space="preserve">For children aged 23 months through 5 years of age, comparison of Day 57 </w:t>
      </w:r>
      <w:proofErr w:type="spellStart"/>
      <w:proofErr w:type="gramStart"/>
      <w:r w:rsidRPr="0011547C">
        <w:rPr>
          <w:rFonts w:cs="Arial"/>
          <w:bCs/>
          <w:lang w:val="en-US"/>
        </w:rPr>
        <w:t>nAb</w:t>
      </w:r>
      <w:proofErr w:type="spellEnd"/>
      <w:proofErr w:type="gramEnd"/>
      <w:r w:rsidRPr="0011547C">
        <w:rPr>
          <w:rFonts w:cs="Arial"/>
          <w:bCs/>
          <w:lang w:val="en-US"/>
        </w:rPr>
        <w:t xml:space="preserve"> responses in this Part 2 Per Protocol Immunogenicity Subset (n = 264; 25 µg) to those of adolescents demonstrated a GMR of 1.014 (95% CI: 0.881, 1.167), meeting the noninferiority success criteria (i.e., lower bound of the 95% CI for GMR ≥ 0.67; point estimate ≥ 0.8). The geometric mean fold rise (GMFR) from baseline to Day 57 for these children was 183.3 (95% CI: 164.03, 204.91). The difference in </w:t>
      </w:r>
      <w:proofErr w:type="spellStart"/>
      <w:r w:rsidRPr="0011547C">
        <w:rPr>
          <w:rFonts w:cs="Arial"/>
          <w:bCs/>
          <w:lang w:val="en-US"/>
        </w:rPr>
        <w:t>seroresponse</w:t>
      </w:r>
      <w:proofErr w:type="spellEnd"/>
      <w:r w:rsidRPr="0011547C">
        <w:rPr>
          <w:rFonts w:cs="Arial"/>
          <w:bCs/>
          <w:lang w:val="en-US"/>
        </w:rPr>
        <w:t xml:space="preserve"> rates (SRR) between the children and young adults was </w:t>
      </w:r>
      <w:r w:rsidRPr="0011547C">
        <w:rPr>
          <w:rFonts w:cs="Arial"/>
          <w:bCs/>
          <w:lang w:val="en-US"/>
        </w:rPr>
        <w:noBreakHyphen/>
        <w:t>0.4%</w:t>
      </w:r>
      <w:r w:rsidRPr="0011547C" w:rsidDel="0015230E">
        <w:rPr>
          <w:rFonts w:cs="Arial"/>
          <w:bCs/>
          <w:lang w:val="en-US"/>
        </w:rPr>
        <w:t xml:space="preserve"> </w:t>
      </w:r>
      <w:r w:rsidRPr="0011547C">
        <w:rPr>
          <w:rFonts w:cs="Arial"/>
          <w:bCs/>
          <w:lang w:val="en-US"/>
        </w:rPr>
        <w:t xml:space="preserve">(95% CI: </w:t>
      </w:r>
      <w:r w:rsidRPr="0011547C">
        <w:rPr>
          <w:rFonts w:cs="Arial"/>
          <w:bCs/>
          <w:lang w:val="en-US"/>
        </w:rPr>
        <w:noBreakHyphen/>
        <w:t>2.7, 1.5), also meeting the noninferiority success criterion (lower bound of the 95% CI of the SRR difference &gt; </w:t>
      </w:r>
      <w:r w:rsidRPr="0011547C">
        <w:rPr>
          <w:rFonts w:cs="Arial"/>
          <w:bCs/>
          <w:lang w:val="en-US"/>
        </w:rPr>
        <w:noBreakHyphen/>
        <w:t xml:space="preserve">10%). </w:t>
      </w:r>
    </w:p>
    <w:p w14:paraId="30D61F53" w14:textId="77777777" w:rsidR="0011547C" w:rsidRPr="0011547C" w:rsidRDefault="0011547C" w:rsidP="0011547C">
      <w:pPr>
        <w:rPr>
          <w:rFonts w:cs="Arial"/>
          <w:bCs/>
          <w:lang w:val="en-US"/>
        </w:rPr>
      </w:pPr>
      <w:r w:rsidRPr="0011547C">
        <w:rPr>
          <w:rFonts w:cs="Arial"/>
          <w:bCs/>
          <w:lang w:val="en-US"/>
        </w:rPr>
        <w:t xml:space="preserve">For infants and toddlers from 6 months through 23 months of age, comparison of Day 57 </w:t>
      </w:r>
      <w:proofErr w:type="spellStart"/>
      <w:proofErr w:type="gramStart"/>
      <w:r w:rsidRPr="0011547C">
        <w:rPr>
          <w:rFonts w:cs="Arial"/>
          <w:bCs/>
          <w:lang w:val="en-US"/>
        </w:rPr>
        <w:t>nAb</w:t>
      </w:r>
      <w:proofErr w:type="spellEnd"/>
      <w:proofErr w:type="gramEnd"/>
      <w:r w:rsidRPr="0011547C">
        <w:rPr>
          <w:rFonts w:cs="Arial"/>
          <w:bCs/>
          <w:lang w:val="en-US"/>
        </w:rPr>
        <w:t xml:space="preserve"> responses in this Part 2 Per Protocol Immunogenicity Subset (n = 230; 25 µg) to those of adolescents demonstrated a GMR of 1.280 (95% CI: 1.115, 1.470), meeting the noninferiority success criterion (i.e., lower bound of the 95% CI for GMR ≥ 0.67; point estimate ≥ 0.8). The difference in SRR rates between the infants/toddlers and young adults was 0.7%</w:t>
      </w:r>
      <w:r w:rsidRPr="0011547C" w:rsidDel="0015230E">
        <w:rPr>
          <w:rFonts w:cs="Arial"/>
          <w:bCs/>
          <w:lang w:val="en-US"/>
        </w:rPr>
        <w:t xml:space="preserve"> </w:t>
      </w:r>
      <w:r w:rsidRPr="0011547C">
        <w:rPr>
          <w:rFonts w:cs="Arial"/>
          <w:bCs/>
          <w:lang w:val="en-US"/>
        </w:rPr>
        <w:t xml:space="preserve">(95% CI: -1.0, 2.5), also meeting the noninferiority success criteria (lower bound of the 95% CI of the </w:t>
      </w:r>
      <w:proofErr w:type="spellStart"/>
      <w:r w:rsidRPr="0011547C">
        <w:rPr>
          <w:rFonts w:cs="Arial"/>
          <w:bCs/>
          <w:lang w:val="en-US"/>
        </w:rPr>
        <w:t>seroresponse</w:t>
      </w:r>
      <w:proofErr w:type="spellEnd"/>
      <w:r w:rsidRPr="0011547C">
        <w:rPr>
          <w:rFonts w:cs="Arial"/>
          <w:bCs/>
          <w:lang w:val="en-US"/>
        </w:rPr>
        <w:t xml:space="preserve"> rate difference &gt; </w:t>
      </w:r>
      <w:r w:rsidRPr="0011547C">
        <w:rPr>
          <w:rFonts w:cs="Arial"/>
          <w:bCs/>
          <w:lang w:val="en-US"/>
        </w:rPr>
        <w:noBreakHyphen/>
        <w:t>10%).</w:t>
      </w:r>
    </w:p>
    <w:p w14:paraId="52F0890A" w14:textId="0C130358" w:rsidR="0011547C" w:rsidRPr="002571B2" w:rsidRDefault="0011547C" w:rsidP="009E4C46">
      <w:pPr>
        <w:rPr>
          <w:rFonts w:cs="Arial"/>
          <w:bCs/>
          <w:lang w:val="en-GB"/>
        </w:rPr>
      </w:pPr>
      <w:r w:rsidRPr="0011547C">
        <w:rPr>
          <w:rFonts w:cs="Arial"/>
          <w:bCs/>
          <w:lang w:val="en-US"/>
        </w:rPr>
        <w:t>Accordingly, the pre</w:t>
      </w:r>
      <w:r w:rsidRPr="0011547C" w:rsidDel="00175943">
        <w:rPr>
          <w:rFonts w:cs="Arial"/>
          <w:bCs/>
          <w:lang w:val="en-US"/>
        </w:rPr>
        <w:t>specified</w:t>
      </w:r>
      <w:r w:rsidRPr="0011547C">
        <w:rPr>
          <w:rFonts w:cs="Arial"/>
          <w:bCs/>
          <w:lang w:val="en-US"/>
        </w:rPr>
        <w:t xml:space="preserve"> success criteria for the primary immunogenicity objective were met for both age groups, allowing effectiveness of 25 ug to be inferred in both children 2 years through 5 years and infants and toddlers aged 6 months through 23 months.</w:t>
      </w:r>
    </w:p>
    <w:p w14:paraId="06918E3C" w14:textId="215B7F3B" w:rsidR="00296302" w:rsidRDefault="00296302" w:rsidP="00CE00DF">
      <w:pPr>
        <w:pStyle w:val="Heading4"/>
      </w:pPr>
      <w:r>
        <w:t>Immunogenicity in immunocompromised recipients</w:t>
      </w:r>
    </w:p>
    <w:p w14:paraId="449F8CF6" w14:textId="04F4B38C" w:rsidR="00296302" w:rsidRDefault="00296302" w:rsidP="00DC2F43">
      <w:pPr>
        <w:rPr>
          <w:rFonts w:cs="Arial"/>
          <w:bCs/>
        </w:rPr>
      </w:pPr>
      <w:r w:rsidRPr="00E10F09">
        <w:rPr>
          <w:lang w:val="en-US"/>
        </w:rPr>
        <w:t>From an independent report (</w:t>
      </w:r>
      <w:r w:rsidRPr="00E10F09">
        <w:rPr>
          <w:i/>
          <w:iCs/>
          <w:lang w:val="en-US"/>
        </w:rPr>
        <w:t xml:space="preserve">Hall VG, Ferreira VH, Ku T et al. Randomized Trial of a Third Dose of mRNA-1273 Vaccine in Transplant Recipients. N </w:t>
      </w:r>
      <w:proofErr w:type="spellStart"/>
      <w:r w:rsidRPr="00E10F09">
        <w:rPr>
          <w:i/>
          <w:iCs/>
          <w:lang w:val="en-US"/>
        </w:rPr>
        <w:t>Engl</w:t>
      </w:r>
      <w:proofErr w:type="spellEnd"/>
      <w:r w:rsidRPr="00E10F09">
        <w:rPr>
          <w:i/>
          <w:iCs/>
          <w:lang w:val="en-US"/>
        </w:rPr>
        <w:t xml:space="preserve"> J Med</w:t>
      </w:r>
      <w:r w:rsidRPr="00E10F09">
        <w:rPr>
          <w:lang w:val="en-US"/>
        </w:rPr>
        <w:t xml:space="preserve">), </w:t>
      </w:r>
      <w:r>
        <w:t xml:space="preserve">a separate randomised controlled study has been conducted in 120 participants who had undergone various solid organ transplant procedures (heart, kidney, kidney-pancreas, liver, lung, pancreas) a median of 3.57 years previously (range 1.99-6.75 years). A third dose (0.5 mL) of </w:t>
      </w:r>
      <w:r w:rsidR="00DE1DD7">
        <w:rPr>
          <w:rFonts w:cs="Arial"/>
          <w:bCs/>
        </w:rPr>
        <w:t>SPIKEVAX</w:t>
      </w:r>
      <w:r>
        <w:rPr>
          <w:rFonts w:cs="Arial"/>
          <w:bCs/>
        </w:rPr>
        <w:t xml:space="preserve"> was administered to 60 participants approximately 2 months after they had received a second dose; saline placebo was given to 60 individuals for comparison</w:t>
      </w:r>
      <w:r w:rsidR="00896233">
        <w:rPr>
          <w:rFonts w:cs="Arial"/>
          <w:bCs/>
        </w:rPr>
        <w:t xml:space="preserve"> (</w:t>
      </w:r>
      <w:r w:rsidR="00896233" w:rsidRPr="7CDE0494">
        <w:t>NCT04885907</w:t>
      </w:r>
      <w:r w:rsidR="00896233">
        <w:t>)</w:t>
      </w:r>
      <w:r>
        <w:rPr>
          <w:rFonts w:cs="Arial"/>
          <w:bCs/>
        </w:rPr>
        <w:t xml:space="preserve">. Significant increases in levels of SARS-CoV-2 antibodies occurred four weeks after the third dose in 55.0% of participants in the </w:t>
      </w:r>
      <w:r w:rsidR="00DE1DD7">
        <w:rPr>
          <w:rFonts w:cs="Arial"/>
          <w:bCs/>
        </w:rPr>
        <w:t>SPIKEVAX</w:t>
      </w:r>
      <w:r>
        <w:rPr>
          <w:rFonts w:cs="Arial"/>
          <w:bCs/>
        </w:rPr>
        <w:t xml:space="preserve"> group (33 of 60) and 17.5% of participants in the placebo group (10 of 57).</w:t>
      </w:r>
    </w:p>
    <w:p w14:paraId="042031EC" w14:textId="2CC00C11" w:rsidR="0017068F" w:rsidRDefault="0017068F" w:rsidP="0017068F">
      <w:pPr>
        <w:pStyle w:val="Heading4"/>
      </w:pPr>
      <w:r>
        <w:lastRenderedPageBreak/>
        <w:t>Immunogenicity in participants</w:t>
      </w:r>
      <w:r w:rsidR="001B7785">
        <w:t xml:space="preserve"> </w:t>
      </w:r>
      <w:r w:rsidR="001B7785" w:rsidRPr="001B7785">
        <w:t xml:space="preserve">18 years of age and older – after </w:t>
      </w:r>
      <w:r>
        <w:t xml:space="preserve">booster dose </w:t>
      </w:r>
      <w:r w:rsidR="001B7785" w:rsidRPr="001B7785">
        <w:t>(0.25 mL, 50 micrograms)</w:t>
      </w:r>
    </w:p>
    <w:p w14:paraId="6227E4E1" w14:textId="570C8F36" w:rsidR="0017068F" w:rsidRDefault="0017068F" w:rsidP="00DC2F43">
      <w:pPr>
        <w:rPr>
          <w:lang w:val="en-US"/>
        </w:rPr>
      </w:pPr>
      <w:r w:rsidRPr="008A2428">
        <w:rPr>
          <w:lang w:val="en-US"/>
        </w:rPr>
        <w:t xml:space="preserve">Study </w:t>
      </w:r>
      <w:r>
        <w:rPr>
          <w:lang w:val="en-US"/>
        </w:rPr>
        <w:t xml:space="preserve">3 </w:t>
      </w:r>
      <w:r w:rsidRPr="008A2428">
        <w:rPr>
          <w:lang w:val="en-US"/>
        </w:rPr>
        <w:t xml:space="preserve">is an ongoing Phase 2, </w:t>
      </w:r>
      <w:proofErr w:type="spellStart"/>
      <w:r w:rsidRPr="008A2428">
        <w:rPr>
          <w:lang w:val="en-US"/>
        </w:rPr>
        <w:t>randomi</w:t>
      </w:r>
      <w:r>
        <w:rPr>
          <w:lang w:val="en-US"/>
        </w:rPr>
        <w:t>s</w:t>
      </w:r>
      <w:r w:rsidRPr="008A2428">
        <w:rPr>
          <w:lang w:val="en-US"/>
        </w:rPr>
        <w:t>ed</w:t>
      </w:r>
      <w:proofErr w:type="spellEnd"/>
      <w:r w:rsidRPr="008A2428">
        <w:rPr>
          <w:lang w:val="en-US"/>
        </w:rPr>
        <w:t xml:space="preserve">, observer-blind, placebo-controlled, dose-confirmation study to evaluate the safety, reactogenicity, and immunogenicity of </w:t>
      </w:r>
      <w:r>
        <w:rPr>
          <w:lang w:val="en-US"/>
        </w:rPr>
        <w:t>SPIKEVAX</w:t>
      </w:r>
      <w:r w:rsidRPr="008A2428">
        <w:rPr>
          <w:lang w:val="en-US"/>
        </w:rPr>
        <w:t xml:space="preserve"> in participants 18 year</w:t>
      </w:r>
      <w:r>
        <w:rPr>
          <w:lang w:val="en-US"/>
        </w:rPr>
        <w:t>s</w:t>
      </w:r>
      <w:r w:rsidRPr="008A2428">
        <w:rPr>
          <w:lang w:val="en-US"/>
        </w:rPr>
        <w:t xml:space="preserve"> of age and older (NCT04405076). In </w:t>
      </w:r>
      <w:r>
        <w:rPr>
          <w:lang w:val="en-US"/>
        </w:rPr>
        <w:t>this</w:t>
      </w:r>
      <w:r w:rsidRPr="008A2428">
        <w:rPr>
          <w:lang w:val="en-US"/>
        </w:rPr>
        <w:t xml:space="preserve"> study, </w:t>
      </w:r>
      <w:r>
        <w:rPr>
          <w:lang w:val="en-US"/>
        </w:rPr>
        <w:t>198 </w:t>
      </w:r>
      <w:r w:rsidRPr="008A2428">
        <w:rPr>
          <w:lang w:val="en-US"/>
        </w:rPr>
        <w:t xml:space="preserve">participants received two doses (0.5 mL 1 month apart) of </w:t>
      </w:r>
      <w:r>
        <w:rPr>
          <w:lang w:val="en-US"/>
        </w:rPr>
        <w:t>SPIKEVAX (</w:t>
      </w:r>
      <w:r w:rsidRPr="008A2428">
        <w:rPr>
          <w:lang w:val="en-US"/>
        </w:rPr>
        <w:t>primary series</w:t>
      </w:r>
      <w:r>
        <w:rPr>
          <w:lang w:val="en-US"/>
        </w:rPr>
        <w:t>)</w:t>
      </w:r>
      <w:r w:rsidRPr="008A2428">
        <w:rPr>
          <w:lang w:val="en-US"/>
        </w:rPr>
        <w:t>.</w:t>
      </w:r>
      <w:r>
        <w:rPr>
          <w:rStyle w:val="EndnoteReference"/>
          <w:lang w:val="en-US"/>
        </w:rPr>
        <w:t xml:space="preserve"> </w:t>
      </w:r>
      <w:r w:rsidRPr="008A2428">
        <w:rPr>
          <w:lang w:val="en-US"/>
        </w:rPr>
        <w:t xml:space="preserve">In </w:t>
      </w:r>
      <w:r>
        <w:rPr>
          <w:lang w:val="en-US"/>
        </w:rPr>
        <w:t xml:space="preserve">an </w:t>
      </w:r>
      <w:r w:rsidRPr="008A2428">
        <w:rPr>
          <w:lang w:val="en-US"/>
        </w:rPr>
        <w:t xml:space="preserve">open-label phase, </w:t>
      </w:r>
      <w:r>
        <w:rPr>
          <w:lang w:val="en-US"/>
        </w:rPr>
        <w:t xml:space="preserve">149 of those </w:t>
      </w:r>
      <w:r w:rsidRPr="008A2428">
        <w:rPr>
          <w:lang w:val="en-US"/>
        </w:rPr>
        <w:t xml:space="preserve">participants </w:t>
      </w:r>
      <w:r>
        <w:rPr>
          <w:lang w:val="en-US"/>
        </w:rPr>
        <w:t xml:space="preserve">(Per-Protocol Set) </w:t>
      </w:r>
      <w:r w:rsidRPr="008A2428">
        <w:rPr>
          <w:lang w:val="en-US"/>
        </w:rPr>
        <w:t xml:space="preserve">received a single booster dose (0.25 mL) at least 6 months after receiving the second dose in the primary series. A single booster dose (0.25 mL) was shown to </w:t>
      </w:r>
      <w:r w:rsidR="0014269B" w:rsidRPr="0014269B">
        <w:rPr>
          <w:lang w:val="en-US"/>
        </w:rPr>
        <w:t>result in a geometric mean fold rise (GMFR) of 12.99 (95% CI: 11.04, 15.</w:t>
      </w:r>
      <w:r w:rsidRPr="008A2428">
        <w:rPr>
          <w:lang w:val="en-US"/>
        </w:rPr>
        <w:t>29</w:t>
      </w:r>
      <w:r w:rsidR="0014269B" w:rsidRPr="0014269B">
        <w:rPr>
          <w:lang w:val="en-US"/>
        </w:rPr>
        <w:t xml:space="preserve">) in </w:t>
      </w:r>
      <w:proofErr w:type="spellStart"/>
      <w:r w:rsidR="0014269B" w:rsidRPr="0014269B">
        <w:rPr>
          <w:lang w:val="en-US"/>
        </w:rPr>
        <w:t>neutralising</w:t>
      </w:r>
      <w:proofErr w:type="spellEnd"/>
      <w:r w:rsidR="0014269B" w:rsidRPr="0014269B">
        <w:rPr>
          <w:lang w:val="en-US"/>
        </w:rPr>
        <w:t xml:space="preserve"> antibodies from pre</w:t>
      </w:r>
      <w:r w:rsidRPr="008A2428">
        <w:rPr>
          <w:lang w:val="en-US"/>
        </w:rPr>
        <w:t>-boost</w:t>
      </w:r>
      <w:r>
        <w:rPr>
          <w:lang w:val="en-US"/>
        </w:rPr>
        <w:t xml:space="preserve">er </w:t>
      </w:r>
      <w:r w:rsidR="0014269B" w:rsidRPr="0014269B">
        <w:rPr>
          <w:lang w:val="en-US"/>
        </w:rPr>
        <w:t>compared</w:t>
      </w:r>
      <w:r w:rsidRPr="008A2428">
        <w:rPr>
          <w:lang w:val="en-US"/>
        </w:rPr>
        <w:t xml:space="preserve"> to </w:t>
      </w:r>
      <w:r w:rsidR="0014269B" w:rsidRPr="0014269B">
        <w:rPr>
          <w:lang w:val="en-US"/>
        </w:rPr>
        <w:t xml:space="preserve">28 days after </w:t>
      </w:r>
      <w:r w:rsidRPr="008A2428">
        <w:rPr>
          <w:lang w:val="en-US"/>
        </w:rPr>
        <w:t xml:space="preserve">the </w:t>
      </w:r>
      <w:r w:rsidR="0014269B" w:rsidRPr="0014269B">
        <w:rPr>
          <w:lang w:val="en-US"/>
        </w:rPr>
        <w:t xml:space="preserve">booster dose. The GMFR in </w:t>
      </w:r>
      <w:proofErr w:type="spellStart"/>
      <w:r w:rsidR="0014269B" w:rsidRPr="0014269B">
        <w:rPr>
          <w:lang w:val="en-US"/>
        </w:rPr>
        <w:t>neutralising</w:t>
      </w:r>
      <w:proofErr w:type="spellEnd"/>
      <w:r w:rsidR="0014269B" w:rsidRPr="0014269B">
        <w:rPr>
          <w:lang w:val="en-US"/>
        </w:rPr>
        <w:t xml:space="preserve"> antibodies was 1.53 (95% CI: 1.32, 1.77) when compared 28 days post dose 2 (</w:t>
      </w:r>
      <w:r w:rsidRPr="008A2428">
        <w:rPr>
          <w:lang w:val="en-US"/>
        </w:rPr>
        <w:t>primary series</w:t>
      </w:r>
      <w:r w:rsidR="0014269B" w:rsidRPr="0014269B">
        <w:rPr>
          <w:lang w:val="en-US"/>
        </w:rPr>
        <w:t>) to 28 days after the booster dose</w:t>
      </w:r>
      <w:r w:rsidRPr="008A2428">
        <w:rPr>
          <w:lang w:val="en-US"/>
        </w:rPr>
        <w:t>.</w:t>
      </w:r>
    </w:p>
    <w:p w14:paraId="47A4C3C2" w14:textId="616F92C7" w:rsidR="00173960" w:rsidRPr="00E15CD5" w:rsidRDefault="00173960" w:rsidP="00E15CD5">
      <w:pPr>
        <w:pStyle w:val="Heading4"/>
      </w:pPr>
      <w:bookmarkStart w:id="14" w:name="_Hlk87889382"/>
      <w:r w:rsidRPr="00E15CD5">
        <w:t>Immunogenicity of a booster dose following primary vaccination with another authorised or approved COVID-19 vaccine in adults 18 years of age and older</w:t>
      </w:r>
    </w:p>
    <w:bookmarkEnd w:id="14"/>
    <w:p w14:paraId="16F6BB73" w14:textId="2580A0F8" w:rsidR="00173960" w:rsidRPr="00173960" w:rsidRDefault="00173960" w:rsidP="00DC2F43">
      <w:pPr>
        <w:rPr>
          <w:rFonts w:cs="Arial"/>
          <w:bCs/>
          <w:lang w:val="en-US"/>
        </w:rPr>
      </w:pPr>
      <w:r w:rsidRPr="00173960">
        <w:rPr>
          <w:rFonts w:cs="Arial"/>
          <w:bCs/>
          <w:lang w:val="en-US"/>
        </w:rPr>
        <w:t xml:space="preserve">Effectiveness of a </w:t>
      </w:r>
      <w:r w:rsidR="0039547D" w:rsidRPr="0039547D">
        <w:rPr>
          <w:rFonts w:cs="Arial"/>
          <w:bCs/>
          <w:lang w:val="en-US"/>
        </w:rPr>
        <w:t xml:space="preserve">SPIKEVAX </w:t>
      </w:r>
      <w:r w:rsidRPr="00173960">
        <w:rPr>
          <w:rFonts w:cs="Arial"/>
          <w:bCs/>
          <w:lang w:val="en-US"/>
        </w:rPr>
        <w:t xml:space="preserve">(0.25 mL) booster dose in individuals who completed primary vaccination with another </w:t>
      </w:r>
      <w:proofErr w:type="spellStart"/>
      <w:r w:rsidRPr="00173960">
        <w:rPr>
          <w:rFonts w:cs="Arial"/>
          <w:bCs/>
          <w:lang w:val="en-US"/>
        </w:rPr>
        <w:t>authorised</w:t>
      </w:r>
      <w:proofErr w:type="spellEnd"/>
      <w:r w:rsidRPr="00173960">
        <w:rPr>
          <w:rFonts w:cs="Arial"/>
          <w:bCs/>
          <w:lang w:val="en-US"/>
        </w:rPr>
        <w:t xml:space="preserve"> or approved COVID-19 Vaccine (heterologous booster dose) is inferred from immunogenicity data supporting effectiveness of a </w:t>
      </w:r>
      <w:r w:rsidR="0039547D" w:rsidRPr="0039547D">
        <w:rPr>
          <w:rFonts w:cs="Arial"/>
          <w:bCs/>
          <w:lang w:val="en-US"/>
        </w:rPr>
        <w:t xml:space="preserve">SPIKEVAX </w:t>
      </w:r>
      <w:r w:rsidRPr="00173960">
        <w:rPr>
          <w:rFonts w:cs="Arial"/>
          <w:bCs/>
          <w:lang w:val="en-US"/>
        </w:rPr>
        <w:t xml:space="preserve">(0.25 mL) booster dose administered following completion of a </w:t>
      </w:r>
      <w:r w:rsidR="0039547D" w:rsidRPr="0039547D">
        <w:rPr>
          <w:rFonts w:cs="Arial"/>
          <w:bCs/>
          <w:lang w:val="en-US"/>
        </w:rPr>
        <w:t xml:space="preserve">SPIKEVAX </w:t>
      </w:r>
      <w:r w:rsidRPr="00173960">
        <w:rPr>
          <w:rFonts w:cs="Arial"/>
          <w:bCs/>
          <w:lang w:val="en-US"/>
        </w:rPr>
        <w:t xml:space="preserve">primary series and from immunogenicity data from an independent Phase 1/2 open-label clinical trial (NCT04889209) conducted in the United States that evaluated a heterologous booster dose (0.5 mL) of </w:t>
      </w:r>
      <w:r w:rsidR="0039547D" w:rsidRPr="0039547D">
        <w:rPr>
          <w:rFonts w:cs="Arial"/>
          <w:bCs/>
          <w:lang w:val="en-US"/>
        </w:rPr>
        <w:t>SPIKEVAX</w:t>
      </w:r>
      <w:r w:rsidRPr="00173960">
        <w:rPr>
          <w:rFonts w:cs="Arial"/>
          <w:bCs/>
          <w:lang w:val="en-US"/>
        </w:rPr>
        <w:t xml:space="preserve">. In this study, adults who had completed primary vaccination with a </w:t>
      </w:r>
      <w:r w:rsidR="0039547D" w:rsidRPr="0039547D">
        <w:rPr>
          <w:rFonts w:cs="Arial"/>
          <w:bCs/>
          <w:lang w:val="en-US"/>
        </w:rPr>
        <w:t xml:space="preserve">SPIKEVAX </w:t>
      </w:r>
      <w:r w:rsidRPr="00173960">
        <w:rPr>
          <w:rFonts w:cs="Arial"/>
          <w:bCs/>
          <w:lang w:val="en-US"/>
        </w:rPr>
        <w:t xml:space="preserve">2-dose series (N=151), a </w:t>
      </w:r>
      <w:r w:rsidR="00E15CD5" w:rsidRPr="00E15CD5">
        <w:rPr>
          <w:rFonts w:cs="Arial"/>
          <w:bCs/>
          <w:lang w:val="en-US"/>
        </w:rPr>
        <w:t>COVID-19 Vaccine Janssen</w:t>
      </w:r>
      <w:r w:rsidR="00E15CD5" w:rsidRPr="00E15CD5" w:rsidDel="00E15CD5">
        <w:rPr>
          <w:rFonts w:cs="Arial"/>
          <w:bCs/>
          <w:lang w:val="en-US"/>
        </w:rPr>
        <w:t xml:space="preserve"> </w:t>
      </w:r>
      <w:r w:rsidRPr="00173960">
        <w:rPr>
          <w:rFonts w:cs="Arial"/>
          <w:bCs/>
          <w:lang w:val="en-US"/>
        </w:rPr>
        <w:t xml:space="preserve">single dose (N=156), or a </w:t>
      </w:r>
      <w:r w:rsidR="00E15CD5">
        <w:rPr>
          <w:rFonts w:cs="Arial"/>
          <w:bCs/>
          <w:lang w:val="en-US"/>
        </w:rPr>
        <w:t>COMIRNATY</w:t>
      </w:r>
      <w:r w:rsidRPr="00173960">
        <w:rPr>
          <w:rFonts w:cs="Arial"/>
          <w:bCs/>
          <w:lang w:val="en-US"/>
        </w:rPr>
        <w:t xml:space="preserve"> 2-dose series (N=151) at least 12 weeks prior to enrollment and who reported no history of SARS-CoV-2 infection were randomized 1:1:1 to receive a booster dose of one of three vaccines: </w:t>
      </w:r>
      <w:r w:rsidR="0039547D" w:rsidRPr="0039547D">
        <w:rPr>
          <w:rFonts w:cs="Arial"/>
          <w:bCs/>
          <w:lang w:val="en-US"/>
        </w:rPr>
        <w:t>SPIKEVAX</w:t>
      </w:r>
      <w:r w:rsidRPr="00173960">
        <w:rPr>
          <w:rFonts w:cs="Arial"/>
          <w:bCs/>
          <w:lang w:val="en-US"/>
        </w:rPr>
        <w:t xml:space="preserve">, </w:t>
      </w:r>
      <w:bookmarkStart w:id="15" w:name="_Hlk86924229"/>
      <w:r w:rsidR="00E15CD5" w:rsidRPr="00E15CD5">
        <w:rPr>
          <w:rFonts w:cs="Arial"/>
          <w:bCs/>
          <w:lang w:val="en-US"/>
        </w:rPr>
        <w:t>COVID-19 Vaccine Janssen</w:t>
      </w:r>
      <w:bookmarkEnd w:id="15"/>
      <w:r w:rsidRPr="00173960">
        <w:rPr>
          <w:rFonts w:cs="Arial"/>
          <w:bCs/>
          <w:lang w:val="en-US"/>
        </w:rPr>
        <w:t xml:space="preserve">, or </w:t>
      </w:r>
      <w:r w:rsidR="00E15CD5">
        <w:rPr>
          <w:rFonts w:cs="Arial"/>
          <w:bCs/>
          <w:lang w:val="en-US"/>
        </w:rPr>
        <w:t>COMIRNATY</w:t>
      </w:r>
      <w:r w:rsidRPr="00173960">
        <w:rPr>
          <w:rFonts w:cs="Arial"/>
          <w:bCs/>
          <w:lang w:val="en-US"/>
        </w:rPr>
        <w:t xml:space="preserve">. Neutralizing antibody titers, as measured by a </w:t>
      </w:r>
      <w:proofErr w:type="spellStart"/>
      <w:r w:rsidRPr="00173960">
        <w:rPr>
          <w:rFonts w:cs="Arial"/>
          <w:bCs/>
          <w:lang w:val="en-US"/>
        </w:rPr>
        <w:t>pseudovirus</w:t>
      </w:r>
      <w:proofErr w:type="spellEnd"/>
      <w:r w:rsidRPr="00173960">
        <w:rPr>
          <w:rFonts w:cs="Arial"/>
          <w:bCs/>
          <w:lang w:val="en-US"/>
        </w:rPr>
        <w:t xml:space="preserve"> neutralization assay using a lentivirus expressing the SARS-CoV-2 Spike protein with D614G mutation, were assessed on Day 1 prior to administration of the booster dose and on Day 15 after the booster dose. A booster response to </w:t>
      </w:r>
      <w:r w:rsidR="0039547D" w:rsidRPr="0039547D">
        <w:rPr>
          <w:rFonts w:cs="Arial"/>
          <w:bCs/>
          <w:lang w:val="en-US"/>
        </w:rPr>
        <w:t xml:space="preserve">SPIKEVAX </w:t>
      </w:r>
      <w:r w:rsidRPr="00173960">
        <w:rPr>
          <w:rFonts w:cs="Arial"/>
          <w:bCs/>
          <w:lang w:val="en-US"/>
        </w:rPr>
        <w:t>(0.5 mL) was demonstrated regardless of primary vaccination.</w:t>
      </w:r>
    </w:p>
    <w:p w14:paraId="50AE0EA5" w14:textId="77777777" w:rsidR="00173960" w:rsidRPr="0017068F" w:rsidRDefault="00173960" w:rsidP="00CE00DF">
      <w:pPr>
        <w:spacing w:after="0" w:line="240" w:lineRule="auto"/>
        <w:rPr>
          <w:rFonts w:cs="Arial"/>
          <w:bCs/>
          <w:lang w:val="en-US"/>
        </w:rPr>
      </w:pPr>
    </w:p>
    <w:p w14:paraId="6C3B658C" w14:textId="03293C46" w:rsidR="001A3992" w:rsidRDefault="001A3992" w:rsidP="001A3992">
      <w:pPr>
        <w:pStyle w:val="Heading2"/>
        <w:keepNext/>
        <w:spacing w:before="0" w:after="120"/>
        <w:rPr>
          <w:lang w:val="en-US"/>
        </w:rPr>
      </w:pPr>
      <w:r w:rsidRPr="00EC3C40">
        <w:rPr>
          <w:lang w:val="en-US"/>
        </w:rPr>
        <w:t xml:space="preserve">Pharmacokinetic properties </w:t>
      </w:r>
    </w:p>
    <w:p w14:paraId="68BC7B1F" w14:textId="694B89FF" w:rsidR="00597DA5" w:rsidRPr="00597DA5" w:rsidRDefault="00DE1B60" w:rsidP="00597DA5">
      <w:pPr>
        <w:rPr>
          <w:lang w:val="en-US"/>
        </w:rPr>
      </w:pPr>
      <w:r>
        <w:rPr>
          <w:lang w:val="en-US"/>
        </w:rPr>
        <w:t>No</w:t>
      </w:r>
      <w:r w:rsidR="005A2B7E">
        <w:rPr>
          <w:lang w:val="en-US"/>
        </w:rPr>
        <w:t>t</w:t>
      </w:r>
      <w:r>
        <w:rPr>
          <w:lang w:val="en-US"/>
        </w:rPr>
        <w:t xml:space="preserve"> applicable</w:t>
      </w:r>
    </w:p>
    <w:p w14:paraId="489BC19C" w14:textId="7583B895" w:rsidR="001A3992" w:rsidRDefault="001A3992" w:rsidP="001A3992">
      <w:pPr>
        <w:pStyle w:val="Heading2"/>
        <w:spacing w:before="0" w:after="120"/>
        <w:rPr>
          <w:lang w:val="en-US"/>
        </w:rPr>
      </w:pPr>
      <w:r w:rsidRPr="00EC3C40">
        <w:rPr>
          <w:lang w:val="en-US"/>
        </w:rPr>
        <w:t>Preclinical safety data</w:t>
      </w:r>
    </w:p>
    <w:p w14:paraId="5E8E2273" w14:textId="77777777" w:rsidR="00313D19" w:rsidRDefault="00313D19" w:rsidP="00313D19">
      <w:r w:rsidRPr="00E716A9">
        <w:t>Non-clinical data reveal no special hazard for humans based on conventional studies of repeat dose toxicity and reproductive and developmental toxicity.</w:t>
      </w:r>
      <w:r>
        <w:t xml:space="preserve"> The </w:t>
      </w:r>
      <w:r w:rsidRPr="00F736DB">
        <w:t>full relevance of animal studies to human risk with vaccines for COVID-19 remains to be established.</w:t>
      </w:r>
    </w:p>
    <w:p w14:paraId="47544800" w14:textId="6A5DE50D" w:rsidR="00406C76" w:rsidRDefault="001A3992" w:rsidP="00DD7C09">
      <w:pPr>
        <w:pStyle w:val="Heading3"/>
      </w:pPr>
      <w:r w:rsidRPr="00B878CC">
        <w:lastRenderedPageBreak/>
        <w:t>Genotoxicity</w:t>
      </w:r>
    </w:p>
    <w:p w14:paraId="7B00CFBC" w14:textId="18077E89" w:rsidR="00630365" w:rsidRPr="00630365" w:rsidRDefault="00630365" w:rsidP="00630365">
      <w:r>
        <w:t>The novel lipid components SM-102 and PEG-2000-DMG of the vaccine were negative in the bacterial reverse mutation Ames test and in vitro micronucleus test in human peripheral blood lymphocytes. A luciferase mRNA in SM102-containing lipid nanoparticles was negative in a rat bone marrow micronucleus assay (IV dose of SM-102 28.5 mg/kg, PEG-2000-DMG 2.8 mg/kg), whilst a surrogate ZIKA mRNA-based vaccine formulated in SM-102-containing lipid nanoparticles induced micronuclei in male rats, but not in females (IV dose of SM-102 60 mg/kg, PEG-2000-DMG 6 mg/kg). The weight of evidence suggests the genotoxicity potential of the novel lipid components SM-102 and PEG-2000-DMG is very low. The other components of SPIKEVAX (other lipids and mRNA) are not expected to be genotoxic.</w:t>
      </w:r>
    </w:p>
    <w:p w14:paraId="1A5F5A36" w14:textId="684F5A9E" w:rsidR="001A3992" w:rsidRDefault="00BD599F" w:rsidP="00DD7C09">
      <w:pPr>
        <w:pStyle w:val="Heading3"/>
      </w:pPr>
      <w:r>
        <w:t>Carcinogenicity</w:t>
      </w:r>
    </w:p>
    <w:p w14:paraId="78D2C495" w14:textId="7F6DDAC3" w:rsidR="00BD599F" w:rsidRDefault="00BD599F" w:rsidP="00BD599F">
      <w:r>
        <w:t>Carcinogenicity studies were not performed.</w:t>
      </w:r>
      <w:r w:rsidR="00630365">
        <w:t xml:space="preserve"> The components of the vaccine (lipids and mRNA) are not expected to have carcinogenic potential.</w:t>
      </w:r>
    </w:p>
    <w:p w14:paraId="49EFDDCB" w14:textId="77777777" w:rsidR="001A3992" w:rsidRPr="000A640E" w:rsidRDefault="001A3992" w:rsidP="000A640E">
      <w:pPr>
        <w:pStyle w:val="Heading1"/>
      </w:pPr>
      <w:r w:rsidRPr="000A640E">
        <w:t>Pharmaceutical particulars</w:t>
      </w:r>
    </w:p>
    <w:p w14:paraId="121C9076" w14:textId="7EA5E4C3" w:rsidR="005B2812" w:rsidRPr="000A640E" w:rsidRDefault="005B2812" w:rsidP="000A640E">
      <w:pPr>
        <w:pStyle w:val="Heading2"/>
      </w:pPr>
      <w:r w:rsidRPr="000A640E">
        <w:t xml:space="preserve">List of excipients </w:t>
      </w:r>
    </w:p>
    <w:p w14:paraId="2EC4396F" w14:textId="41A3E830" w:rsidR="00681900" w:rsidRDefault="00153F16" w:rsidP="00B56B78">
      <w:pPr>
        <w:spacing w:after="0"/>
      </w:pPr>
      <w:r>
        <w:t>H</w:t>
      </w:r>
      <w:r w:rsidR="00B56B78">
        <w:t>eptadecan-9-yl 8-[2-hydroxyethyl-(6-oxo-6-</w:t>
      </w:r>
      <w:proofErr w:type="gramStart"/>
      <w:r w:rsidR="00B56B78">
        <w:t>undecoxyhexyl)amino</w:t>
      </w:r>
      <w:proofErr w:type="gramEnd"/>
      <w:r w:rsidR="00B56B78">
        <w:t>]octanoate</w:t>
      </w:r>
    </w:p>
    <w:p w14:paraId="19C75F05" w14:textId="234D42AE" w:rsidR="00CE2A49" w:rsidRDefault="00CE2A49" w:rsidP="00F511AB">
      <w:pPr>
        <w:spacing w:after="0"/>
      </w:pPr>
      <w:r>
        <w:t>Cholesterol</w:t>
      </w:r>
    </w:p>
    <w:p w14:paraId="4EF41D87" w14:textId="3A444D01" w:rsidR="00815A3E" w:rsidRDefault="00815A3E" w:rsidP="00FD04F9">
      <w:pPr>
        <w:spacing w:after="0"/>
      </w:pPr>
      <w:r w:rsidRPr="005B55F8">
        <w:t>D</w:t>
      </w:r>
      <w:r w:rsidR="005B55F8" w:rsidRPr="005B55F8">
        <w:t>istearoylphosphatidylcholine</w:t>
      </w:r>
    </w:p>
    <w:p w14:paraId="6D94CF6D" w14:textId="1D9F5E64" w:rsidR="00FD04F9" w:rsidRPr="008A3511" w:rsidRDefault="00952542" w:rsidP="00FD04F9">
      <w:pPr>
        <w:spacing w:after="0"/>
        <w:rPr>
          <w:lang w:val="en-US"/>
        </w:rPr>
      </w:pPr>
      <w:r>
        <w:rPr>
          <w:rFonts w:ascii="Calibri" w:hAnsi="Calibri" w:cs="Calibri"/>
          <w:lang w:eastAsia="ja-JP"/>
        </w:rPr>
        <w:t>1,</w:t>
      </w:r>
      <w:r w:rsidR="00B56B78">
        <w:rPr>
          <w:rFonts w:ascii="Calibri" w:hAnsi="Calibri" w:cs="Calibri"/>
          <w:lang w:eastAsia="ja-JP"/>
        </w:rPr>
        <w:t>2-dimyristoyl-rac-glycero-3-methoxypolyethylene glycol-2000</w:t>
      </w:r>
    </w:p>
    <w:p w14:paraId="3D461104" w14:textId="51881B86" w:rsidR="00CE2A49" w:rsidRDefault="00633ABF" w:rsidP="00F511AB">
      <w:pPr>
        <w:spacing w:after="0"/>
      </w:pPr>
      <w:r>
        <w:t>Trometamol</w:t>
      </w:r>
    </w:p>
    <w:p w14:paraId="74ED61C8" w14:textId="71F09036" w:rsidR="00CE2A49" w:rsidRDefault="00633ABF" w:rsidP="00F511AB">
      <w:pPr>
        <w:spacing w:after="0"/>
      </w:pPr>
      <w:r>
        <w:t xml:space="preserve">Trometamol </w:t>
      </w:r>
      <w:r w:rsidR="00CE2A49">
        <w:t>hydrochloride</w:t>
      </w:r>
    </w:p>
    <w:p w14:paraId="455F0FB6" w14:textId="74EA01CE" w:rsidR="00CE2A49" w:rsidRDefault="00CE2A49" w:rsidP="00F511AB">
      <w:pPr>
        <w:spacing w:after="0"/>
      </w:pPr>
      <w:r>
        <w:t>Acetic acid</w:t>
      </w:r>
    </w:p>
    <w:p w14:paraId="43093EB4" w14:textId="4914AE73" w:rsidR="00CE2A49" w:rsidRDefault="00CE2A49" w:rsidP="00F511AB">
      <w:pPr>
        <w:spacing w:after="0"/>
      </w:pPr>
      <w:r>
        <w:t>Sodium acetate trihydrate</w:t>
      </w:r>
    </w:p>
    <w:p w14:paraId="34054147" w14:textId="50543226" w:rsidR="00633ABF" w:rsidRDefault="00CE2A49" w:rsidP="00F511AB">
      <w:pPr>
        <w:spacing w:after="0"/>
      </w:pPr>
      <w:r>
        <w:t>Sucrose</w:t>
      </w:r>
    </w:p>
    <w:p w14:paraId="11BCB8FB" w14:textId="0D073FFC" w:rsidR="00974154" w:rsidRPr="00CE2A49" w:rsidRDefault="00CE2A49" w:rsidP="00F511AB">
      <w:pPr>
        <w:spacing w:after="0"/>
        <w:rPr>
          <w:lang w:val="en-US"/>
        </w:rPr>
      </w:pPr>
      <w:r>
        <w:t>Water for injections</w:t>
      </w:r>
    </w:p>
    <w:p w14:paraId="384F95EA" w14:textId="77777777" w:rsidR="005B2812" w:rsidRPr="000A640E" w:rsidRDefault="005B2812" w:rsidP="000A640E">
      <w:pPr>
        <w:pStyle w:val="Heading2"/>
      </w:pPr>
      <w:r w:rsidRPr="000A640E">
        <w:t xml:space="preserve">Incompatibilities </w:t>
      </w:r>
    </w:p>
    <w:p w14:paraId="603709BF" w14:textId="435F8638" w:rsidR="005B2812" w:rsidRPr="00037552" w:rsidRDefault="000B3560" w:rsidP="005B2812">
      <w:pPr>
        <w:rPr>
          <w:rFonts w:cstheme="minorHAnsi"/>
          <w:lang w:val="en-US"/>
        </w:rPr>
      </w:pPr>
      <w:r w:rsidRPr="00037552">
        <w:rPr>
          <w:rFonts w:cstheme="minorHAnsi"/>
          <w:lang w:val="en"/>
        </w:rPr>
        <w:t xml:space="preserve">This medicinal product </w:t>
      </w:r>
      <w:r w:rsidRPr="00037552">
        <w:rPr>
          <w:rFonts w:cstheme="minorHAnsi"/>
        </w:rPr>
        <w:t>must not be mixed with other medicinal products or diluted.</w:t>
      </w:r>
    </w:p>
    <w:p w14:paraId="3A7DD920" w14:textId="77777777" w:rsidR="005B2812" w:rsidRPr="000A640E" w:rsidRDefault="005B2812" w:rsidP="000A640E">
      <w:pPr>
        <w:pStyle w:val="Heading2"/>
      </w:pPr>
      <w:r w:rsidRPr="000A640E">
        <w:t xml:space="preserve">Shelf life </w:t>
      </w:r>
    </w:p>
    <w:p w14:paraId="08FF7A51" w14:textId="1D7DB78D" w:rsidR="005B2812" w:rsidRPr="00786C37" w:rsidRDefault="005B2812" w:rsidP="005B2812">
      <w:pPr>
        <w:rPr>
          <w:rFonts w:cstheme="minorHAnsi"/>
          <w:lang w:val="en"/>
        </w:rPr>
      </w:pPr>
      <w:r w:rsidRPr="00786C37">
        <w:rPr>
          <w:rFonts w:cstheme="minorHAnsi"/>
          <w:lang w:val="en"/>
        </w:rPr>
        <w:t xml:space="preserve">In Australia, information on the shelf life can be found on the public summary of the Australian Register of Therapeutic Goods (ARTG). The expiry date can be found on the packaging. </w:t>
      </w:r>
    </w:p>
    <w:p w14:paraId="66A94E85" w14:textId="741EF548" w:rsidR="003C440D" w:rsidRPr="000A640E" w:rsidRDefault="00BF665F" w:rsidP="000A640E">
      <w:pPr>
        <w:pStyle w:val="Heading4"/>
      </w:pPr>
      <w:r w:rsidRPr="000A640E">
        <w:t>Unopened vial</w:t>
      </w:r>
      <w:r w:rsidR="00192EB9">
        <w:t xml:space="preserve"> and pre-filled syringe</w:t>
      </w:r>
      <w:r w:rsidRPr="000A640E">
        <w:t xml:space="preserve">: </w:t>
      </w:r>
    </w:p>
    <w:p w14:paraId="4B55628F" w14:textId="7B252144" w:rsidR="00A93A80" w:rsidRDefault="00BF665F" w:rsidP="005B2812">
      <w:r>
        <w:t xml:space="preserve">The unopened </w:t>
      </w:r>
      <w:r w:rsidR="00192EB9">
        <w:t xml:space="preserve">vial and pre-filled syringes </w:t>
      </w:r>
      <w:r>
        <w:t>may be stored refrigerated at 2°C to 8°C, protected from light, for</w:t>
      </w:r>
      <w:r w:rsidR="00192EB9">
        <w:t xml:space="preserve"> a</w:t>
      </w:r>
      <w:r>
        <w:t xml:space="preserve"> maximum</w:t>
      </w:r>
      <w:r w:rsidR="00192EB9">
        <w:t xml:space="preserve"> of</w:t>
      </w:r>
      <w:r>
        <w:t xml:space="preserve"> 30 days. Once thawed the vaccine should not be re-frozen. </w:t>
      </w:r>
    </w:p>
    <w:p w14:paraId="450730D5" w14:textId="5A7A285C" w:rsidR="003C440D" w:rsidRDefault="00BF665F" w:rsidP="005B2812">
      <w:r>
        <w:lastRenderedPageBreak/>
        <w:t xml:space="preserve">The unopened </w:t>
      </w:r>
      <w:r w:rsidR="00192EB9">
        <w:t xml:space="preserve">vial and pre-filled syringes </w:t>
      </w:r>
      <w:r>
        <w:t xml:space="preserve">may be stored at 8°C to 25°C up to </w:t>
      </w:r>
      <w:r w:rsidR="00FA2A49">
        <w:t xml:space="preserve">24 </w:t>
      </w:r>
      <w:r>
        <w:t xml:space="preserve">hours after removal from refrigerated conditions. </w:t>
      </w:r>
    </w:p>
    <w:p w14:paraId="3D206430" w14:textId="4315684B" w:rsidR="00E07CA3" w:rsidRDefault="00E07CA3" w:rsidP="005B2812">
      <w:r>
        <w:t>The prefilled syringe is for single use in one patient only. Discard any residue</w:t>
      </w:r>
    </w:p>
    <w:p w14:paraId="709A37CA" w14:textId="0CF253E0" w:rsidR="003C440D" w:rsidRDefault="00BF665F" w:rsidP="000A640E">
      <w:pPr>
        <w:pStyle w:val="Heading4"/>
      </w:pPr>
      <w:r w:rsidRPr="003C440D">
        <w:t xml:space="preserve">Punctured </w:t>
      </w:r>
      <w:r w:rsidR="00153F16">
        <w:t>v</w:t>
      </w:r>
      <w:r w:rsidRPr="003C440D">
        <w:t>ial:</w:t>
      </w:r>
      <w:r>
        <w:t xml:space="preserve"> </w:t>
      </w:r>
    </w:p>
    <w:p w14:paraId="7A52CC0B" w14:textId="296A24FE" w:rsidR="00BF665F" w:rsidRPr="00497C85" w:rsidRDefault="00BF665F" w:rsidP="005B2812">
      <w:pPr>
        <w:rPr>
          <w:rFonts w:asciiTheme="majorHAnsi" w:hAnsiTheme="majorHAnsi" w:cstheme="minorHAnsi"/>
          <w:lang w:val="en-US"/>
        </w:rPr>
      </w:pPr>
      <w:r>
        <w:t xml:space="preserve">Chemical and physical in-use stability has been demonstrated for </w:t>
      </w:r>
      <w:r w:rsidR="00697283">
        <w:t xml:space="preserve">19 </w:t>
      </w:r>
      <w:r>
        <w:t>hours at 2°C to 25</w:t>
      </w:r>
      <w:r w:rsidR="000A6F66">
        <w:rPr>
          <w:rFonts w:cstheme="minorHAnsi"/>
        </w:rPr>
        <w:t>°</w:t>
      </w:r>
      <w:r>
        <w:t>C after initial puncture</w:t>
      </w:r>
      <w:r w:rsidR="00A564E5">
        <w:t xml:space="preserve"> </w:t>
      </w:r>
      <w:r w:rsidR="00A564E5" w:rsidRPr="00A564E5">
        <w:rPr>
          <w:lang w:val="en-US"/>
        </w:rPr>
        <w:t>(within the allowed use period of 30 days at 2°C to 8</w:t>
      </w:r>
      <w:r w:rsidR="00A564E5">
        <w:rPr>
          <w:rFonts w:cstheme="minorHAnsi"/>
          <w:lang w:val="en-US"/>
        </w:rPr>
        <w:t>°</w:t>
      </w:r>
      <w:r w:rsidR="00A564E5" w:rsidRPr="00A564E5">
        <w:rPr>
          <w:lang w:val="en-US"/>
        </w:rPr>
        <w:t>C and 24 hours at 8°C to 25</w:t>
      </w:r>
      <w:r w:rsidR="00A564E5">
        <w:rPr>
          <w:rFonts w:cstheme="minorHAnsi"/>
          <w:lang w:val="en-US"/>
        </w:rPr>
        <w:t>°</w:t>
      </w:r>
      <w:r w:rsidR="00A564E5" w:rsidRPr="00A564E5">
        <w:rPr>
          <w:lang w:val="en-US"/>
        </w:rPr>
        <w:t>C)</w:t>
      </w:r>
      <w:r>
        <w:t>.</w:t>
      </w:r>
      <w:r w:rsidR="000C3943">
        <w:t xml:space="preserve"> Contains no antimicrobial preservative. </w:t>
      </w:r>
      <w:r>
        <w:t xml:space="preserve">From a microbiological point of view, the product should be used immediately. </w:t>
      </w:r>
      <w:r w:rsidR="00E673BC" w:rsidRPr="00E673BC">
        <w:t xml:space="preserve"> Do not refreeze.</w:t>
      </w:r>
    </w:p>
    <w:p w14:paraId="4C043929" w14:textId="5D40C68C" w:rsidR="005B2812" w:rsidRPr="000A640E" w:rsidRDefault="005B2812" w:rsidP="000A640E">
      <w:pPr>
        <w:pStyle w:val="Heading2"/>
      </w:pPr>
      <w:r w:rsidRPr="000A640E">
        <w:t xml:space="preserve">Special precautions for storage </w:t>
      </w:r>
    </w:p>
    <w:p w14:paraId="54531B33" w14:textId="1B6B389A" w:rsidR="00BF665F" w:rsidRDefault="0006282E" w:rsidP="00E04E75">
      <w:pPr>
        <w:spacing w:after="0"/>
      </w:pPr>
      <w:r w:rsidRPr="0006282E">
        <w:rPr>
          <w:i/>
          <w:iCs/>
        </w:rPr>
        <w:t>0.20 mg/mL concentration:</w:t>
      </w:r>
      <w:r>
        <w:rPr>
          <w:i/>
          <w:iCs/>
        </w:rPr>
        <w:t xml:space="preserve"> </w:t>
      </w:r>
      <w:r w:rsidR="00BF665F">
        <w:t xml:space="preserve">Store frozen between </w:t>
      </w:r>
      <w:r w:rsidR="00BF665F" w:rsidRPr="0006282E">
        <w:t>-</w:t>
      </w:r>
      <w:r w:rsidR="00A84186">
        <w:t>50</w:t>
      </w:r>
      <w:r w:rsidR="008670FB" w:rsidRPr="0006282E">
        <w:rPr>
          <w:rFonts w:cstheme="minorHAnsi"/>
        </w:rPr>
        <w:t>°</w:t>
      </w:r>
      <w:r w:rsidR="00BF665F" w:rsidRPr="0006282E">
        <w:t>C</w:t>
      </w:r>
      <w:r w:rsidR="00BF665F">
        <w:t xml:space="preserve"> to -15</w:t>
      </w:r>
      <w:r w:rsidR="008670FB">
        <w:rPr>
          <w:rFonts w:cstheme="minorHAnsi"/>
        </w:rPr>
        <w:t>°</w:t>
      </w:r>
      <w:r w:rsidR="00BF665F">
        <w:t xml:space="preserve">C. </w:t>
      </w:r>
    </w:p>
    <w:p w14:paraId="5E0B48F8" w14:textId="517E20E7" w:rsidR="0006282E" w:rsidRDefault="0006282E" w:rsidP="003C440D">
      <w:pPr>
        <w:spacing w:after="120"/>
      </w:pPr>
      <w:r w:rsidRPr="0006282E">
        <w:rPr>
          <w:i/>
          <w:iCs/>
        </w:rPr>
        <w:t>0.</w:t>
      </w:r>
      <w:r>
        <w:rPr>
          <w:i/>
          <w:iCs/>
        </w:rPr>
        <w:t>1</w:t>
      </w:r>
      <w:r w:rsidRPr="0006282E">
        <w:rPr>
          <w:i/>
          <w:iCs/>
        </w:rPr>
        <w:t>0 mg/mL concentration:</w:t>
      </w:r>
      <w:r>
        <w:rPr>
          <w:i/>
          <w:iCs/>
        </w:rPr>
        <w:t xml:space="preserve"> </w:t>
      </w:r>
      <w:r>
        <w:t xml:space="preserve">Store frozen between </w:t>
      </w:r>
      <w:r w:rsidRPr="0006282E">
        <w:t>-5</w:t>
      </w:r>
      <w:r>
        <w:t>0</w:t>
      </w:r>
      <w:r w:rsidRPr="0006282E">
        <w:rPr>
          <w:rFonts w:cstheme="minorHAnsi"/>
        </w:rPr>
        <w:t>°</w:t>
      </w:r>
      <w:r w:rsidRPr="0006282E">
        <w:t>C</w:t>
      </w:r>
      <w:r>
        <w:t xml:space="preserve"> to -15</w:t>
      </w:r>
      <w:r>
        <w:rPr>
          <w:rFonts w:cstheme="minorHAnsi"/>
        </w:rPr>
        <w:t>°</w:t>
      </w:r>
      <w:r>
        <w:t>C.</w:t>
      </w:r>
    </w:p>
    <w:p w14:paraId="31646157" w14:textId="77777777" w:rsidR="00BF665F" w:rsidRDefault="00BF665F" w:rsidP="003C440D">
      <w:pPr>
        <w:spacing w:after="120"/>
      </w:pPr>
      <w:r>
        <w:t xml:space="preserve">Store in the original carton to protect from light. </w:t>
      </w:r>
    </w:p>
    <w:p w14:paraId="0A4BEDA1" w14:textId="7B6723FD" w:rsidR="00BF665F" w:rsidRDefault="00BF665F" w:rsidP="003C440D">
      <w:pPr>
        <w:spacing w:after="120"/>
      </w:pPr>
      <w:r>
        <w:t>Do not store below -</w:t>
      </w:r>
      <w:r w:rsidR="00F32DCE">
        <w:t>50</w:t>
      </w:r>
      <w:r w:rsidR="008670FB">
        <w:rPr>
          <w:rFonts w:cstheme="minorHAnsi"/>
        </w:rPr>
        <w:t>°</w:t>
      </w:r>
      <w:r>
        <w:t xml:space="preserve">C. </w:t>
      </w:r>
    </w:p>
    <w:p w14:paraId="190DBF41" w14:textId="7BD70543" w:rsidR="00BF665F" w:rsidRDefault="00BF665F" w:rsidP="00A573D2">
      <w:pPr>
        <w:spacing w:after="0" w:line="240" w:lineRule="auto"/>
      </w:pPr>
      <w:r>
        <w:t>For storage conditions after thawing and first opening see section 6.3.</w:t>
      </w:r>
    </w:p>
    <w:p w14:paraId="68F45A7C" w14:textId="77777777" w:rsidR="00F32DCE" w:rsidRDefault="00F32DCE" w:rsidP="00F32DCE">
      <w:pPr>
        <w:spacing w:after="0" w:line="240" w:lineRule="auto"/>
        <w:rPr>
          <w:u w:val="single"/>
          <w:lang w:val="en-US"/>
        </w:rPr>
      </w:pPr>
    </w:p>
    <w:p w14:paraId="112C1036" w14:textId="4136A8BE" w:rsidR="00F32DCE" w:rsidRPr="00A573D2" w:rsidRDefault="00F32DCE" w:rsidP="000A640E">
      <w:pPr>
        <w:pStyle w:val="Heading4"/>
        <w:rPr>
          <w:lang w:val="en-US"/>
        </w:rPr>
      </w:pPr>
      <w:r w:rsidRPr="00A573D2">
        <w:rPr>
          <w:lang w:val="en-US"/>
        </w:rPr>
        <w:t>Transportation of thawed vials in liquid state at 2°C to 8°C</w:t>
      </w:r>
    </w:p>
    <w:p w14:paraId="47DB3DE6" w14:textId="01E18A15" w:rsidR="00F94E53" w:rsidRDefault="00F32DCE" w:rsidP="000A640E">
      <w:pPr>
        <w:rPr>
          <w:lang w:val="en-US"/>
        </w:rPr>
      </w:pPr>
      <w:r w:rsidRPr="00F32DCE">
        <w:rPr>
          <w:lang w:val="en-US"/>
        </w:rPr>
        <w:t>If transport at -50°C to -15°C is not feasible, available data support transportation of one or more</w:t>
      </w:r>
      <w:r w:rsidR="001D044F">
        <w:rPr>
          <w:lang w:val="en-US"/>
        </w:rPr>
        <w:t xml:space="preserve"> </w:t>
      </w:r>
      <w:r w:rsidRPr="00F32DCE">
        <w:rPr>
          <w:lang w:val="en-US"/>
        </w:rPr>
        <w:t>thawed vials in liquid state for up to 12 hours at 2°C to 8°C (within the 30 days shelf life at 2°C to</w:t>
      </w:r>
      <w:r w:rsidR="001D044F">
        <w:rPr>
          <w:lang w:val="en-US"/>
        </w:rPr>
        <w:t xml:space="preserve"> </w:t>
      </w:r>
      <w:r w:rsidRPr="00F32DCE">
        <w:rPr>
          <w:lang w:val="en-US"/>
        </w:rPr>
        <w:t>8°C). Once thawed and transported in liquid state at 2°C to 8°C, vials should not be refrozen and</w:t>
      </w:r>
      <w:r w:rsidR="001D044F">
        <w:rPr>
          <w:lang w:val="en-US"/>
        </w:rPr>
        <w:t xml:space="preserve"> </w:t>
      </w:r>
      <w:r w:rsidRPr="00F32DCE">
        <w:rPr>
          <w:lang w:val="en-US"/>
        </w:rPr>
        <w:t>should be stored at 2°C to 8°C until use.</w:t>
      </w:r>
    </w:p>
    <w:p w14:paraId="1DC325EE" w14:textId="33395442" w:rsidR="00013D3D" w:rsidRPr="00A573D2" w:rsidRDefault="00013D3D" w:rsidP="00013D3D">
      <w:pPr>
        <w:pStyle w:val="Heading4"/>
        <w:rPr>
          <w:lang w:val="en-US"/>
        </w:rPr>
      </w:pPr>
      <w:r w:rsidRPr="00A573D2">
        <w:rPr>
          <w:lang w:val="en-US"/>
        </w:rPr>
        <w:t xml:space="preserve">Transportation of thawed </w:t>
      </w:r>
      <w:r>
        <w:rPr>
          <w:lang w:val="en-US"/>
        </w:rPr>
        <w:t>pre-filled syringes</w:t>
      </w:r>
      <w:r w:rsidRPr="00A573D2">
        <w:rPr>
          <w:lang w:val="en-US"/>
        </w:rPr>
        <w:t xml:space="preserve"> in liquid state at 2°C to 8°C</w:t>
      </w:r>
    </w:p>
    <w:p w14:paraId="447B0AB1" w14:textId="59C9C60F" w:rsidR="00013D3D" w:rsidRPr="00BF665F" w:rsidRDefault="00013D3D" w:rsidP="00013D3D">
      <w:pPr>
        <w:rPr>
          <w:lang w:val="en-US"/>
        </w:rPr>
      </w:pPr>
      <w:r>
        <w:rPr>
          <w:lang w:val="en-US"/>
        </w:rPr>
        <w:t>Pre-filled syringes can be transported at</w:t>
      </w:r>
      <w:r w:rsidRPr="00F32DCE">
        <w:rPr>
          <w:lang w:val="en-US"/>
        </w:rPr>
        <w:t xml:space="preserve"> </w:t>
      </w:r>
      <w:r>
        <w:rPr>
          <w:lang w:val="en-US"/>
        </w:rPr>
        <w:t>2</w:t>
      </w:r>
      <w:r w:rsidRPr="00F32DCE">
        <w:rPr>
          <w:lang w:val="en-US"/>
        </w:rPr>
        <w:t xml:space="preserve">°C to </w:t>
      </w:r>
      <w:r>
        <w:rPr>
          <w:lang w:val="en-US"/>
        </w:rPr>
        <w:t>8</w:t>
      </w:r>
      <w:r w:rsidRPr="00F32DCE">
        <w:rPr>
          <w:lang w:val="en-US"/>
        </w:rPr>
        <w:t xml:space="preserve">°C </w:t>
      </w:r>
      <w:r w:rsidRPr="00013D3D">
        <w:t>when shipped using shipping containers that have been qualified to maintain 2° to 8°C. Once thawed and transported in liquid state at 2° to 8°C, pre-filled syringes should not be refrozen and should be stored at 2° to 8°C until use</w:t>
      </w:r>
      <w:r>
        <w:t>.</w:t>
      </w:r>
    </w:p>
    <w:p w14:paraId="5911BB86" w14:textId="1DE7ECF7" w:rsidR="005B2812" w:rsidRPr="000A640E" w:rsidRDefault="005B2812" w:rsidP="000A640E">
      <w:pPr>
        <w:pStyle w:val="Heading2"/>
      </w:pPr>
      <w:r w:rsidRPr="000A640E">
        <w:t xml:space="preserve">Nature and contents of container </w:t>
      </w:r>
    </w:p>
    <w:p w14:paraId="03267279" w14:textId="75B2A893" w:rsidR="005E1769" w:rsidRDefault="005E1769" w:rsidP="005E1769">
      <w:pPr>
        <w:pStyle w:val="Heading4"/>
      </w:pPr>
      <w:r w:rsidRPr="005E1769">
        <w:rPr>
          <w:lang w:val="en-US"/>
        </w:rPr>
        <w:t>Multidose vial (0.20 mg/mL)</w:t>
      </w:r>
    </w:p>
    <w:p w14:paraId="56BACF77" w14:textId="427A733F" w:rsidR="00BF665F" w:rsidRDefault="00BF665F" w:rsidP="00BF665F">
      <w:r>
        <w:t>5 m</w:t>
      </w:r>
      <w:r w:rsidR="00B56B78">
        <w:t xml:space="preserve">L </w:t>
      </w:r>
      <w:r w:rsidR="00F50E76">
        <w:t>suspension</w:t>
      </w:r>
      <w:r>
        <w:t xml:space="preserve"> in a vial (type 1 or type 1 equivalent glass) with a stopper (</w:t>
      </w:r>
      <w:proofErr w:type="spellStart"/>
      <w:r>
        <w:t>chlorobutyl</w:t>
      </w:r>
      <w:proofErr w:type="spellEnd"/>
      <w:r>
        <w:t xml:space="preserve"> rubber) and a </w:t>
      </w:r>
      <w:r w:rsidR="005E1769">
        <w:t xml:space="preserve">red </w:t>
      </w:r>
      <w:r>
        <w:t xml:space="preserve">flip-off plastic cap with seal (aluminium seal). </w:t>
      </w:r>
    </w:p>
    <w:p w14:paraId="79FEC391" w14:textId="23432545" w:rsidR="00BF665F" w:rsidRDefault="00BF665F" w:rsidP="00BF665F">
      <w:r>
        <w:t xml:space="preserve">Each vial contains </w:t>
      </w:r>
      <w:r w:rsidR="00144D3E">
        <w:t>5</w:t>
      </w:r>
      <w:r w:rsidR="00124F8A">
        <w:t xml:space="preserve"> </w:t>
      </w:r>
      <w:proofErr w:type="spellStart"/>
      <w:r w:rsidR="00144D3E">
        <w:t>mL</w:t>
      </w:r>
      <w:r w:rsidR="00DE1F10">
        <w:t>.</w:t>
      </w:r>
      <w:proofErr w:type="spellEnd"/>
      <w:r>
        <w:t xml:space="preserve"> </w:t>
      </w:r>
    </w:p>
    <w:p w14:paraId="657A9166" w14:textId="380A7C92" w:rsidR="00BF665F" w:rsidRDefault="00BF665F" w:rsidP="00BF665F">
      <w:r>
        <w:t>Pack size: 10 multidose vials</w:t>
      </w:r>
    </w:p>
    <w:p w14:paraId="241FA5BD" w14:textId="77777777" w:rsidR="005E1769" w:rsidRPr="005E1769" w:rsidRDefault="005E1769" w:rsidP="005E1769">
      <w:pPr>
        <w:pStyle w:val="Heading4"/>
        <w:rPr>
          <w:lang w:val="en-US"/>
        </w:rPr>
      </w:pPr>
      <w:r w:rsidRPr="005E1769">
        <w:rPr>
          <w:lang w:val="en-US"/>
        </w:rPr>
        <w:lastRenderedPageBreak/>
        <w:t>Multidose vial (0.10 mg/mL)</w:t>
      </w:r>
    </w:p>
    <w:p w14:paraId="6D261854" w14:textId="45A0CB27" w:rsidR="005E1769" w:rsidRPr="00A335E9" w:rsidRDefault="005E1769" w:rsidP="005E1769">
      <w:pPr>
        <w:spacing w:after="0" w:line="240" w:lineRule="auto"/>
      </w:pPr>
      <w:r w:rsidRPr="00A335E9">
        <w:t xml:space="preserve">2.5 mL </w:t>
      </w:r>
      <w:r w:rsidR="00473F7D">
        <w:t xml:space="preserve">suspension </w:t>
      </w:r>
      <w:r w:rsidRPr="00A335E9">
        <w:t>in a vial (type 1 or type 1 equivalent glass) with a stopper (</w:t>
      </w:r>
      <w:proofErr w:type="spellStart"/>
      <w:r w:rsidRPr="00A335E9">
        <w:t>chlorobutyl</w:t>
      </w:r>
      <w:proofErr w:type="spellEnd"/>
      <w:r w:rsidRPr="00A335E9">
        <w:t xml:space="preserve"> rubber) and a blue flip-off plastic cap with seal (aluminium seal). </w:t>
      </w:r>
    </w:p>
    <w:p w14:paraId="69803218" w14:textId="77777777" w:rsidR="005E1769" w:rsidRPr="00A335E9" w:rsidRDefault="005E1769" w:rsidP="005E1769">
      <w:pPr>
        <w:spacing w:after="0" w:line="240" w:lineRule="auto"/>
      </w:pPr>
    </w:p>
    <w:p w14:paraId="760EABFD" w14:textId="77777777" w:rsidR="005E1769" w:rsidRPr="00A335E9" w:rsidRDefault="005E1769" w:rsidP="005E1769">
      <w:pPr>
        <w:spacing w:after="0" w:line="240" w:lineRule="auto"/>
      </w:pPr>
      <w:r w:rsidRPr="00A335E9">
        <w:t>Each vial contains 2.5 </w:t>
      </w:r>
      <w:proofErr w:type="spellStart"/>
      <w:r w:rsidRPr="00A335E9">
        <w:t>mL.</w:t>
      </w:r>
      <w:proofErr w:type="spellEnd"/>
      <w:r w:rsidRPr="00A335E9">
        <w:t xml:space="preserve"> </w:t>
      </w:r>
    </w:p>
    <w:p w14:paraId="2BE910FB" w14:textId="77777777" w:rsidR="005E1769" w:rsidRPr="00A335E9" w:rsidRDefault="005E1769" w:rsidP="005E1769">
      <w:pPr>
        <w:spacing w:after="0" w:line="240" w:lineRule="auto"/>
      </w:pPr>
    </w:p>
    <w:p w14:paraId="273D41A1" w14:textId="77777777" w:rsidR="005E1769" w:rsidRPr="00A335E9" w:rsidRDefault="005E1769" w:rsidP="005E1769">
      <w:pPr>
        <w:spacing w:after="0" w:line="240" w:lineRule="auto"/>
      </w:pPr>
      <w:r w:rsidRPr="00A335E9">
        <w:t>Pack size: 10 multidose vials</w:t>
      </w:r>
    </w:p>
    <w:p w14:paraId="740B8C29" w14:textId="77777777" w:rsidR="005E1769" w:rsidRDefault="005E1769" w:rsidP="005E1769">
      <w:pPr>
        <w:spacing w:after="0" w:line="240" w:lineRule="auto"/>
      </w:pPr>
    </w:p>
    <w:p w14:paraId="7A0CF674" w14:textId="77777777" w:rsidR="005E1769" w:rsidRPr="005E1769" w:rsidRDefault="005E1769" w:rsidP="005E1769">
      <w:pPr>
        <w:pStyle w:val="Heading4"/>
        <w:rPr>
          <w:lang w:val="en-US"/>
        </w:rPr>
      </w:pPr>
      <w:r w:rsidRPr="005E1769">
        <w:rPr>
          <w:lang w:val="en-US"/>
        </w:rPr>
        <w:t>Pre-filled syringe (0.10 mg/mL)</w:t>
      </w:r>
    </w:p>
    <w:p w14:paraId="5E57C031" w14:textId="7E8499C1" w:rsidR="005E1769" w:rsidRPr="001C5366" w:rsidRDefault="005E1769" w:rsidP="005E1769">
      <w:pPr>
        <w:spacing w:after="0" w:line="240" w:lineRule="auto"/>
      </w:pPr>
      <w:r w:rsidRPr="001C5366">
        <w:t xml:space="preserve">0.5 mL </w:t>
      </w:r>
      <w:r w:rsidR="00473F7D">
        <w:t xml:space="preserve">suspension </w:t>
      </w:r>
      <w:r w:rsidRPr="001C5366">
        <w:t>in a pre-filled syringe</w:t>
      </w:r>
      <w:r w:rsidR="005F2228">
        <w:t xml:space="preserve"> (</w:t>
      </w:r>
      <w:r w:rsidR="005F2228" w:rsidRPr="00E12756">
        <w:t>cyclo-olefin copolymer)</w:t>
      </w:r>
      <w:r w:rsidRPr="001C5366">
        <w:t xml:space="preserve">. </w:t>
      </w:r>
    </w:p>
    <w:p w14:paraId="677501F9" w14:textId="77777777" w:rsidR="005E1769" w:rsidRPr="001C5366" w:rsidRDefault="005E1769" w:rsidP="005E1769">
      <w:pPr>
        <w:spacing w:after="0" w:line="240" w:lineRule="auto"/>
      </w:pPr>
    </w:p>
    <w:p w14:paraId="0ED9960F" w14:textId="26D0813F" w:rsidR="005E1769" w:rsidRPr="001C5366" w:rsidRDefault="005E1769" w:rsidP="005E1769">
      <w:pPr>
        <w:spacing w:after="0" w:line="240" w:lineRule="auto"/>
      </w:pPr>
      <w:r w:rsidRPr="001C5366">
        <w:t>Each pre-filled syringe contains 0.5 </w:t>
      </w:r>
      <w:proofErr w:type="spellStart"/>
      <w:r w:rsidRPr="001C5366">
        <w:t>mL.</w:t>
      </w:r>
      <w:proofErr w:type="spellEnd"/>
      <w:r w:rsidRPr="001C5366">
        <w:t xml:space="preserve"> </w:t>
      </w:r>
      <w:r w:rsidR="00B645DB" w:rsidRPr="001C5366">
        <w:t>Do not use the pre-filled syringe to deliver a partial 0.25</w:t>
      </w:r>
      <w:r w:rsidR="00B645DB">
        <w:t> </w:t>
      </w:r>
      <w:r w:rsidR="00B645DB" w:rsidRPr="001C5366">
        <w:t>mL volume.</w:t>
      </w:r>
    </w:p>
    <w:p w14:paraId="4C5E86CE" w14:textId="77777777" w:rsidR="005E1769" w:rsidRPr="001C5366" w:rsidRDefault="005E1769" w:rsidP="005E1769">
      <w:pPr>
        <w:spacing w:after="0" w:line="240" w:lineRule="auto"/>
      </w:pPr>
    </w:p>
    <w:p w14:paraId="0559C96E" w14:textId="61666001" w:rsidR="005E1769" w:rsidRPr="00BF665F" w:rsidRDefault="005E1769" w:rsidP="005E1769">
      <w:pPr>
        <w:rPr>
          <w:lang w:val="en-US"/>
        </w:rPr>
      </w:pPr>
      <w:r w:rsidRPr="001C5366">
        <w:t>Pack size: 10 pre-filled syringes</w:t>
      </w:r>
    </w:p>
    <w:p w14:paraId="1853F786" w14:textId="77777777" w:rsidR="005B2812" w:rsidRPr="000A640E" w:rsidRDefault="005B2812" w:rsidP="000A640E">
      <w:pPr>
        <w:pStyle w:val="Heading2"/>
      </w:pPr>
      <w:r w:rsidRPr="000A640E">
        <w:t xml:space="preserve">Special precautions for disposal </w:t>
      </w:r>
    </w:p>
    <w:p w14:paraId="32E5335C" w14:textId="7ADAB248" w:rsidR="005B2812" w:rsidRDefault="0021200F" w:rsidP="0021200F">
      <w:pPr>
        <w:rPr>
          <w:rFonts w:cstheme="minorHAnsi"/>
          <w:lang w:val="en"/>
        </w:rPr>
      </w:pPr>
      <w:r w:rsidRPr="00253028">
        <w:rPr>
          <w:rFonts w:cstheme="minorHAnsi"/>
          <w:lang w:val="en"/>
        </w:rPr>
        <w:t xml:space="preserve">In Australia, any unused medicine or waste material should be disposed of in accordance with local requirements. </w:t>
      </w:r>
    </w:p>
    <w:p w14:paraId="1DF02D8F" w14:textId="77777777" w:rsidR="001A3992" w:rsidRPr="000A640E" w:rsidRDefault="001A3992" w:rsidP="000A640E">
      <w:pPr>
        <w:pStyle w:val="Heading2"/>
      </w:pPr>
      <w:r w:rsidRPr="000A640E">
        <w:t>Physicochemical properties</w:t>
      </w:r>
    </w:p>
    <w:p w14:paraId="71B065AA" w14:textId="3CE6899F" w:rsidR="001A3992" w:rsidRDefault="001A3992" w:rsidP="00DD7C09">
      <w:pPr>
        <w:pStyle w:val="Heading3"/>
        <w:rPr>
          <w:lang w:val="en-US"/>
        </w:rPr>
      </w:pPr>
      <w:r w:rsidRPr="00EC3C40">
        <w:rPr>
          <w:lang w:val="en-US"/>
        </w:rPr>
        <w:t>CAS number</w:t>
      </w:r>
    </w:p>
    <w:p w14:paraId="733A7BF7" w14:textId="1033D378" w:rsidR="00594C02" w:rsidRPr="00594C02" w:rsidRDefault="00B56B78" w:rsidP="00594C02">
      <w:pPr>
        <w:rPr>
          <w:lang w:val="en-US"/>
        </w:rPr>
      </w:pPr>
      <w:r w:rsidRPr="00B56B78">
        <w:rPr>
          <w:lang w:val="en-US"/>
        </w:rPr>
        <w:t>2457298-05-2</w:t>
      </w:r>
    </w:p>
    <w:p w14:paraId="17392FD5" w14:textId="44C5F358" w:rsidR="001A3992" w:rsidRPr="000A640E" w:rsidRDefault="001A3992" w:rsidP="000A640E">
      <w:pPr>
        <w:pStyle w:val="Heading1"/>
      </w:pPr>
      <w:r w:rsidRPr="000A640E">
        <w:t>Medicine schedule (Poisons Standard)</w:t>
      </w:r>
    </w:p>
    <w:p w14:paraId="791553A7" w14:textId="6F229A13" w:rsidR="007F228F" w:rsidRPr="007F228F" w:rsidRDefault="00307CE3" w:rsidP="000A640E">
      <w:pPr>
        <w:rPr>
          <w:lang w:val="en-US"/>
        </w:rPr>
      </w:pPr>
      <w:r>
        <w:rPr>
          <w:lang w:val="en-US"/>
        </w:rPr>
        <w:t>Prescription only medicine (Schedule 4)</w:t>
      </w:r>
    </w:p>
    <w:p w14:paraId="07ECC8A3" w14:textId="26AA6F5A" w:rsidR="00285173" w:rsidRPr="000A640E" w:rsidRDefault="001A3992" w:rsidP="000A640E">
      <w:pPr>
        <w:pStyle w:val="Heading1"/>
      </w:pPr>
      <w:r w:rsidRPr="000A640E">
        <w:t>Sponsor</w:t>
      </w:r>
      <w:r w:rsidR="00285173" w:rsidRPr="000A640E">
        <w:t xml:space="preserve"> </w:t>
      </w:r>
    </w:p>
    <w:p w14:paraId="737E88B7" w14:textId="10B74AC4" w:rsidR="007F228F" w:rsidRDefault="00DE64E8" w:rsidP="00594C02">
      <w:pPr>
        <w:spacing w:after="0"/>
        <w:rPr>
          <w:lang w:val="en-US"/>
        </w:rPr>
      </w:pPr>
      <w:r>
        <w:rPr>
          <w:lang w:val="en-US"/>
        </w:rPr>
        <w:t>Moderna Australia Pty Ltd</w:t>
      </w:r>
    </w:p>
    <w:p w14:paraId="62BBEE4F" w14:textId="60EAB479" w:rsidR="00DE64E8" w:rsidRDefault="00DE64E8" w:rsidP="00594C02">
      <w:pPr>
        <w:spacing w:after="0"/>
        <w:rPr>
          <w:lang w:val="en-US"/>
        </w:rPr>
      </w:pPr>
      <w:r>
        <w:rPr>
          <w:lang w:val="en-US"/>
        </w:rPr>
        <w:t>Level 6, 60 Martin Place</w:t>
      </w:r>
    </w:p>
    <w:p w14:paraId="271A65A4" w14:textId="34AF27F4" w:rsidR="00DE64E8" w:rsidRDefault="00DE64E8" w:rsidP="00594C02">
      <w:pPr>
        <w:spacing w:after="0"/>
        <w:rPr>
          <w:lang w:val="en-US"/>
        </w:rPr>
      </w:pPr>
      <w:r>
        <w:rPr>
          <w:lang w:val="en-US"/>
        </w:rPr>
        <w:t xml:space="preserve">Sydney </w:t>
      </w:r>
    </w:p>
    <w:p w14:paraId="7967159D" w14:textId="4DED2AC8" w:rsidR="00A651E3" w:rsidRDefault="00DE64E8" w:rsidP="00594C02">
      <w:pPr>
        <w:spacing w:after="0"/>
        <w:rPr>
          <w:lang w:val="en-US"/>
        </w:rPr>
      </w:pPr>
      <w:r>
        <w:rPr>
          <w:lang w:val="en-US"/>
        </w:rPr>
        <w:t>NSW, 2000</w:t>
      </w:r>
    </w:p>
    <w:p w14:paraId="1E8F0669" w14:textId="226E8F0C" w:rsidR="00D447BC" w:rsidRDefault="00D447BC" w:rsidP="00594C02">
      <w:pPr>
        <w:spacing w:after="0"/>
        <w:rPr>
          <w:lang w:val="en-US"/>
        </w:rPr>
      </w:pPr>
      <w:r w:rsidRPr="00D447BC">
        <w:rPr>
          <w:lang w:val="en-US"/>
        </w:rPr>
        <w:t>www.modernacovid19global.com/au/</w:t>
      </w:r>
    </w:p>
    <w:p w14:paraId="45FC1470" w14:textId="7307D592" w:rsidR="004A2DAC" w:rsidRDefault="00F864FA" w:rsidP="00594C02">
      <w:pPr>
        <w:spacing w:after="0"/>
      </w:pPr>
      <w:r w:rsidRPr="00F864FA">
        <w:rPr>
          <w:lang w:val="en-US"/>
        </w:rPr>
        <w:t xml:space="preserve">Phone: </w:t>
      </w:r>
      <w:r w:rsidR="00F2704D" w:rsidRPr="00F2704D">
        <w:t>1800</w:t>
      </w:r>
      <w:r w:rsidR="008447AC">
        <w:t xml:space="preserve"> </w:t>
      </w:r>
      <w:r w:rsidR="00F2704D" w:rsidRPr="00F2704D">
        <w:t>344</w:t>
      </w:r>
      <w:r w:rsidR="008447AC">
        <w:t xml:space="preserve"> </w:t>
      </w:r>
      <w:r w:rsidR="00F2704D" w:rsidRPr="00F2704D">
        <w:t>018</w:t>
      </w:r>
    </w:p>
    <w:p w14:paraId="0E9939C7" w14:textId="31EF466A" w:rsidR="00D447BC" w:rsidRDefault="00D447BC" w:rsidP="00594C02">
      <w:pPr>
        <w:spacing w:after="0"/>
        <w:rPr>
          <w:lang w:val="en-US"/>
        </w:rPr>
      </w:pPr>
      <w:r>
        <w:t xml:space="preserve">Email address: </w:t>
      </w:r>
      <w:hyperlink r:id="rId17" w:history="1">
        <w:r>
          <w:rPr>
            <w:rStyle w:val="Hyperlink"/>
            <w:lang w:val="en-US"/>
          </w:rPr>
          <w:t>apacmedinfo@modernatx.com</w:t>
        </w:r>
      </w:hyperlink>
    </w:p>
    <w:p w14:paraId="21D9C8EB" w14:textId="52B415D3" w:rsidR="00285173" w:rsidRDefault="00285173" w:rsidP="000A640E">
      <w:pPr>
        <w:pStyle w:val="Heading1"/>
        <w:rPr>
          <w:lang w:val="en-US"/>
        </w:rPr>
      </w:pPr>
      <w:r w:rsidRPr="007D497E">
        <w:rPr>
          <w:lang w:val="en-US"/>
        </w:rPr>
        <w:t xml:space="preserve">Date of first </w:t>
      </w:r>
      <w:r>
        <w:rPr>
          <w:lang w:val="en-US"/>
        </w:rPr>
        <w:t>approval</w:t>
      </w:r>
    </w:p>
    <w:p w14:paraId="434D658B" w14:textId="06492AAA" w:rsidR="00CA55F1" w:rsidRPr="00CA55F1" w:rsidRDefault="00101FC2" w:rsidP="00CA55F1">
      <w:pPr>
        <w:rPr>
          <w:lang w:val="en-US"/>
        </w:rPr>
      </w:pPr>
      <w:r>
        <w:rPr>
          <w:lang w:val="en-US"/>
        </w:rPr>
        <w:t>09 August 2021</w:t>
      </w:r>
    </w:p>
    <w:p w14:paraId="3AFD9F96" w14:textId="7FCCE66A" w:rsidR="00285173" w:rsidRPr="000A640E" w:rsidRDefault="00285173" w:rsidP="000A640E">
      <w:pPr>
        <w:pStyle w:val="Heading1"/>
      </w:pPr>
      <w:r w:rsidRPr="000A640E">
        <w:lastRenderedPageBreak/>
        <w:t xml:space="preserve">Date of revision </w:t>
      </w:r>
    </w:p>
    <w:p w14:paraId="5FF46148" w14:textId="24E23EEB" w:rsidR="008B425D" w:rsidRPr="00CA55F1" w:rsidRDefault="006831C4" w:rsidP="00CA55F1">
      <w:pPr>
        <w:rPr>
          <w:lang w:val="en-US"/>
        </w:rPr>
      </w:pPr>
      <w:r>
        <w:rPr>
          <w:lang w:val="en-US"/>
        </w:rPr>
        <w:t>21 October 2022</w:t>
      </w:r>
    </w:p>
    <w:p w14:paraId="2EE00A85" w14:textId="77777777" w:rsidR="00285173" w:rsidRDefault="00285173" w:rsidP="00285173">
      <w:pPr>
        <w:pStyle w:val="Heading2"/>
        <w:numPr>
          <w:ilvl w:val="0"/>
          <w:numId w:val="0"/>
        </w:numPr>
        <w:spacing w:before="0" w:after="120"/>
        <w:rPr>
          <w:lang w:val="en-US"/>
        </w:rPr>
      </w:pPr>
      <w:r w:rsidRPr="006F6E8B">
        <w:rPr>
          <w:lang w:val="en-US"/>
        </w:rPr>
        <w:t>Summary table of changes</w:t>
      </w:r>
    </w:p>
    <w:tbl>
      <w:tblPr>
        <w:tblStyle w:val="LightGrid"/>
        <w:tblW w:w="0" w:type="auto"/>
        <w:tblCellMar>
          <w:top w:w="57" w:type="dxa"/>
          <w:bottom w:w="57" w:type="dxa"/>
        </w:tblCellMar>
        <w:tblLook w:val="06A0" w:firstRow="1" w:lastRow="0" w:firstColumn="1" w:lastColumn="0" w:noHBand="1" w:noVBand="1"/>
      </w:tblPr>
      <w:tblGrid>
        <w:gridCol w:w="1371"/>
        <w:gridCol w:w="7635"/>
      </w:tblGrid>
      <w:tr w:rsidR="00285173" w14:paraId="55DD8596" w14:textId="77777777" w:rsidTr="00396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shd w:val="clear" w:color="auto" w:fill="F2F2F2" w:themeFill="background1" w:themeFillShade="F2"/>
            <w:vAlign w:val="center"/>
          </w:tcPr>
          <w:p w14:paraId="64005FAA" w14:textId="77777777" w:rsidR="00285173" w:rsidRPr="002E277D" w:rsidRDefault="00285173" w:rsidP="003C3B7F">
            <w:pPr>
              <w:rPr>
                <w:sz w:val="20"/>
                <w:lang w:val="en-US"/>
              </w:rPr>
            </w:pPr>
            <w:r w:rsidRPr="002E277D">
              <w:rPr>
                <w:sz w:val="20"/>
                <w:lang w:val="en-US"/>
              </w:rPr>
              <w:t>Section Changed</w:t>
            </w:r>
          </w:p>
        </w:tc>
        <w:tc>
          <w:tcPr>
            <w:tcW w:w="7635" w:type="dxa"/>
            <w:shd w:val="clear" w:color="auto" w:fill="F2F2F2" w:themeFill="background1" w:themeFillShade="F2"/>
            <w:vAlign w:val="center"/>
          </w:tcPr>
          <w:p w14:paraId="7D62E44E" w14:textId="77777777" w:rsidR="00285173" w:rsidRPr="002E277D" w:rsidRDefault="00285173" w:rsidP="003C3B7F">
            <w:pPr>
              <w:cnfStyle w:val="100000000000" w:firstRow="1" w:lastRow="0" w:firstColumn="0" w:lastColumn="0" w:oddVBand="0" w:evenVBand="0" w:oddHBand="0" w:evenHBand="0" w:firstRowFirstColumn="0" w:firstRowLastColumn="0" w:lastRowFirstColumn="0" w:lastRowLastColumn="0"/>
              <w:rPr>
                <w:sz w:val="20"/>
                <w:lang w:val="en-US"/>
              </w:rPr>
            </w:pPr>
            <w:r w:rsidRPr="002E277D">
              <w:rPr>
                <w:sz w:val="20"/>
                <w:lang w:val="en-US"/>
              </w:rPr>
              <w:t>Summary of new information</w:t>
            </w:r>
          </w:p>
        </w:tc>
      </w:tr>
      <w:tr w:rsidR="00D13605" w:rsidDel="00EA0921" w14:paraId="4FC81F8A" w14:textId="77777777" w:rsidTr="008B425D">
        <w:tc>
          <w:tcPr>
            <w:cnfStyle w:val="001000000000" w:firstRow="0" w:lastRow="0" w:firstColumn="1" w:lastColumn="0" w:oddVBand="0" w:evenVBand="0" w:oddHBand="0" w:evenHBand="0" w:firstRowFirstColumn="0" w:firstRowLastColumn="0" w:lastRowFirstColumn="0" w:lastRowLastColumn="0"/>
            <w:tcW w:w="1371" w:type="dxa"/>
            <w:shd w:val="clear" w:color="auto" w:fill="auto"/>
          </w:tcPr>
          <w:p w14:paraId="115F9C6A" w14:textId="2745BBE1" w:rsidR="00D13605" w:rsidRPr="008B425D" w:rsidRDefault="00D13605" w:rsidP="00EA0921">
            <w:pPr>
              <w:rPr>
                <w:rFonts w:cstheme="minorHAnsi"/>
                <w:lang w:val="en-US"/>
              </w:rPr>
            </w:pPr>
            <w:r>
              <w:rPr>
                <w:rFonts w:cstheme="minorHAnsi"/>
                <w:lang w:val="en-US"/>
              </w:rPr>
              <w:t>4.2</w:t>
            </w:r>
          </w:p>
        </w:tc>
        <w:tc>
          <w:tcPr>
            <w:tcW w:w="7635" w:type="dxa"/>
            <w:shd w:val="clear" w:color="auto" w:fill="auto"/>
          </w:tcPr>
          <w:p w14:paraId="6B5676C8" w14:textId="77777777" w:rsidR="00D13605" w:rsidRDefault="00D13605" w:rsidP="00D13605">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CB7ACF">
              <w:rPr>
                <w:rFonts w:cstheme="minorHAnsi"/>
                <w:lang w:val="en-US"/>
              </w:rPr>
              <w:t>Booster for adolescents 12 years to &lt; 18 years of age</w:t>
            </w:r>
            <w:r>
              <w:rPr>
                <w:rFonts w:cstheme="minorHAnsi"/>
                <w:lang w:val="en-US"/>
              </w:rPr>
              <w:t xml:space="preserve"> at a dose interval of 5 months.</w:t>
            </w:r>
          </w:p>
          <w:p w14:paraId="1C003A45" w14:textId="6F17C972" w:rsidR="00D13605" w:rsidRPr="008B425D" w:rsidRDefault="00D13605" w:rsidP="00D13605">
            <w:pPr>
              <w:cnfStyle w:val="000000000000" w:firstRow="0" w:lastRow="0" w:firstColumn="0" w:lastColumn="0" w:oddVBand="0" w:evenVBand="0" w:oddHBand="0" w:evenHBand="0" w:firstRowFirstColumn="0" w:firstRowLastColumn="0" w:lastRowFirstColumn="0" w:lastRowLastColumn="0"/>
            </w:pPr>
            <w:r w:rsidRPr="00CB7ACF">
              <w:t>Third dose for immunocompromised children 6 to &lt; 12 years of age</w:t>
            </w:r>
            <w:r>
              <w:t>.</w:t>
            </w:r>
          </w:p>
        </w:tc>
      </w:tr>
      <w:tr w:rsidR="00EA0921" w:rsidDel="00EA0921" w14:paraId="7C590363" w14:textId="77777777" w:rsidTr="008B425D">
        <w:tc>
          <w:tcPr>
            <w:cnfStyle w:val="001000000000" w:firstRow="0" w:lastRow="0" w:firstColumn="1" w:lastColumn="0" w:oddVBand="0" w:evenVBand="0" w:oddHBand="0" w:evenHBand="0" w:firstRowFirstColumn="0" w:firstRowLastColumn="0" w:lastRowFirstColumn="0" w:lastRowLastColumn="0"/>
            <w:tcW w:w="1371" w:type="dxa"/>
            <w:shd w:val="clear" w:color="auto" w:fill="auto"/>
          </w:tcPr>
          <w:p w14:paraId="3B0C8AE2" w14:textId="13B3B6D6" w:rsidR="00EA0921" w:rsidRPr="008B425D" w:rsidDel="00EA0921" w:rsidRDefault="00EA0921" w:rsidP="00EA0921">
            <w:pPr>
              <w:rPr>
                <w:sz w:val="20"/>
                <w:lang w:val="en-US"/>
              </w:rPr>
            </w:pPr>
            <w:r w:rsidRPr="008B425D">
              <w:rPr>
                <w:rFonts w:cstheme="minorHAnsi"/>
                <w:lang w:val="en-US"/>
              </w:rPr>
              <w:t>4.4, 4.8</w:t>
            </w:r>
          </w:p>
        </w:tc>
        <w:tc>
          <w:tcPr>
            <w:tcW w:w="7635" w:type="dxa"/>
            <w:shd w:val="clear" w:color="auto" w:fill="auto"/>
          </w:tcPr>
          <w:p w14:paraId="6B38C7E1" w14:textId="7079F520" w:rsidR="00EA0921" w:rsidRPr="008B425D" w:rsidDel="00EA0921" w:rsidRDefault="00EA0921" w:rsidP="00EA0921">
            <w:pPr>
              <w:cnfStyle w:val="000000000000" w:firstRow="0" w:lastRow="0" w:firstColumn="0" w:lastColumn="0" w:oddVBand="0" w:evenVBand="0" w:oddHBand="0" w:evenHBand="0" w:firstRowFirstColumn="0" w:firstRowLastColumn="0" w:lastRowFirstColumn="0" w:lastRowLastColumn="0"/>
              <w:rPr>
                <w:sz w:val="20"/>
                <w:lang w:val="en-US"/>
              </w:rPr>
            </w:pPr>
            <w:r w:rsidRPr="008B425D">
              <w:t>Clarification of information on pericarditis and myocarditis</w:t>
            </w:r>
          </w:p>
        </w:tc>
      </w:tr>
    </w:tbl>
    <w:p w14:paraId="301CD4AD" w14:textId="77777777" w:rsidR="00253DE2" w:rsidRPr="00253DE2" w:rsidRDefault="00253DE2" w:rsidP="00253DE2"/>
    <w:sectPr w:rsidR="00253DE2" w:rsidRPr="00253DE2">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FBE5D" w14:textId="77777777" w:rsidR="00025D59" w:rsidRDefault="00025D59" w:rsidP="001A3992">
      <w:pPr>
        <w:spacing w:after="0" w:line="240" w:lineRule="auto"/>
      </w:pPr>
      <w:r>
        <w:separator/>
      </w:r>
    </w:p>
    <w:p w14:paraId="4016B8B2" w14:textId="77777777" w:rsidR="00025D59" w:rsidRDefault="00025D59"/>
    <w:p w14:paraId="42B8665F" w14:textId="77777777" w:rsidR="00025D59" w:rsidRDefault="00025D59" w:rsidP="001A3992">
      <w:pPr>
        <w:spacing w:after="0" w:line="240" w:lineRule="auto"/>
      </w:pPr>
      <w:r>
        <w:continuationSeparator/>
      </w:r>
    </w:p>
    <w:p w14:paraId="373C1EF5" w14:textId="77777777" w:rsidR="00025D59" w:rsidRDefault="00025D59"/>
    <w:p w14:paraId="187C6BAE" w14:textId="77777777" w:rsidR="00025D59" w:rsidRDefault="00025D59">
      <w:pPr>
        <w:pStyle w:val="Header"/>
      </w:pPr>
    </w:p>
    <w:p w14:paraId="783BC168" w14:textId="77777777" w:rsidR="00025D59" w:rsidRDefault="00025D59"/>
    <w:p w14:paraId="2777B2C3" w14:textId="77777777" w:rsidR="00025D59" w:rsidRDefault="00025D59">
      <w:pPr>
        <w:pStyle w:val="Header"/>
      </w:pPr>
    </w:p>
    <w:p w14:paraId="36119F9C" w14:textId="77777777" w:rsidR="00025D59" w:rsidRDefault="00025D59"/>
    <w:p w14:paraId="5D24E30F" w14:textId="77777777" w:rsidR="00025D59" w:rsidRDefault="00025D59">
      <w:pPr>
        <w:pStyle w:val="Footer"/>
      </w:pPr>
    </w:p>
    <w:p w14:paraId="6B27A9E9" w14:textId="77777777" w:rsidR="00025D59" w:rsidRDefault="00025D59"/>
    <w:sdt>
      <w:sdtPr>
        <w:rPr>
          <w:rFonts w:asciiTheme="minorHAnsi" w:hAnsiTheme="minorHAnsi" w:cstheme="minorHAnsi"/>
        </w:rPr>
        <w:id w:val="1070933440"/>
        <w:docPartObj>
          <w:docPartGallery w:val="Page Numbers (Bottom of Page)"/>
          <w:docPartUnique/>
        </w:docPartObj>
      </w:sdtPr>
      <w:sdtEndPr>
        <w:rPr>
          <w:noProof/>
        </w:rPr>
      </w:sdtEndPr>
      <w:sdtContent>
        <w:p w14:paraId="6BAE4C53" w14:textId="77777777" w:rsidR="00025D59" w:rsidRPr="000A640E" w:rsidRDefault="00025D59" w:rsidP="004264B7">
          <w:pPr>
            <w:pStyle w:val="Footer"/>
            <w:rPr>
              <w:rFonts w:asciiTheme="minorHAnsi" w:hAnsiTheme="minorHAnsi" w:cstheme="minorHAnsi"/>
            </w:rPr>
          </w:pPr>
          <w:r>
            <w:rPr>
              <w:rFonts w:asciiTheme="minorHAnsi" w:hAnsiTheme="minorHAnsi" w:cstheme="minorHAnsi"/>
            </w:rPr>
            <w:t>SPIKEVAX 18yrs+</w:t>
          </w:r>
          <w:r w:rsidRPr="000A640E">
            <w:rPr>
              <w:rFonts w:asciiTheme="minorHAnsi" w:hAnsiTheme="minorHAnsi" w:cstheme="minorHAnsi"/>
            </w:rPr>
            <w:t>_PI_</w:t>
          </w:r>
          <w:r>
            <w:rPr>
              <w:rFonts w:asciiTheme="minorHAnsi" w:hAnsiTheme="minorHAnsi" w:cstheme="minorHAnsi"/>
            </w:rPr>
            <w:t>4.0</w:t>
          </w:r>
          <w:r w:rsidRPr="000A640E">
            <w:rPr>
              <w:rFonts w:asciiTheme="minorHAnsi" w:hAnsiTheme="minorHAnsi" w:cstheme="minorHAnsi"/>
            </w:rPr>
            <w:t>_</w:t>
          </w:r>
          <w:r>
            <w:rPr>
              <w:rFonts w:asciiTheme="minorHAnsi" w:hAnsiTheme="minorHAnsi" w:cstheme="minorHAnsi"/>
            </w:rPr>
            <w:t>20</w:t>
          </w:r>
          <w:r w:rsidRPr="000A640E">
            <w:rPr>
              <w:rFonts w:asciiTheme="minorHAnsi" w:hAnsiTheme="minorHAnsi" w:cstheme="minorHAnsi"/>
            </w:rPr>
            <w:t>July21</w:t>
          </w:r>
          <w:r w:rsidRPr="000A640E">
            <w:rPr>
              <w:rFonts w:asciiTheme="minorHAnsi" w:hAnsiTheme="minorHAnsi" w:cstheme="minorHAnsi"/>
            </w:rPr>
            <w:tab/>
          </w:r>
          <w:r w:rsidRPr="000A640E">
            <w:rPr>
              <w:rFonts w:asciiTheme="minorHAnsi" w:hAnsiTheme="minorHAnsi" w:cstheme="minorHAnsi"/>
            </w:rPr>
            <w:tab/>
          </w:r>
          <w:r w:rsidRPr="000A640E">
            <w:rPr>
              <w:rFonts w:asciiTheme="minorHAnsi" w:hAnsiTheme="minorHAnsi" w:cstheme="minorHAnsi"/>
            </w:rPr>
            <w:fldChar w:fldCharType="begin"/>
          </w:r>
          <w:r w:rsidRPr="00AE1A15">
            <w:rPr>
              <w:rFonts w:asciiTheme="minorHAnsi" w:hAnsiTheme="minorHAnsi" w:cstheme="minorHAnsi"/>
            </w:rPr>
            <w:instrText xml:space="preserve"> PAGE   \* MERGEFORMAT </w:instrText>
          </w:r>
          <w:r w:rsidRPr="000A640E">
            <w:rPr>
              <w:rFonts w:asciiTheme="minorHAnsi" w:hAnsiTheme="minorHAnsi" w:cstheme="minorHAnsi"/>
            </w:rPr>
            <w:fldChar w:fldCharType="separate"/>
          </w:r>
          <w:r w:rsidRPr="00AE1A15">
            <w:rPr>
              <w:rFonts w:asciiTheme="minorHAnsi" w:hAnsiTheme="minorHAnsi" w:cstheme="minorHAnsi"/>
              <w:noProof/>
            </w:rPr>
            <w:t>1</w:t>
          </w:r>
          <w:r w:rsidRPr="000A640E">
            <w:rPr>
              <w:rFonts w:asciiTheme="minorHAnsi" w:hAnsiTheme="minorHAnsi" w:cstheme="minorHAnsi"/>
              <w:noProof/>
            </w:rPr>
            <w:fldChar w:fldCharType="end"/>
          </w:r>
        </w:p>
      </w:sdtContent>
    </w:sdt>
  </w:endnote>
  <w:endnote w:type="continuationSeparator" w:id="0">
    <w:p w14:paraId="239E0278" w14:textId="77777777" w:rsidR="00025D59" w:rsidRDefault="00025D59" w:rsidP="001A3992">
      <w:pPr>
        <w:spacing w:after="0" w:line="240" w:lineRule="auto"/>
      </w:pPr>
      <w:r>
        <w:continuationSeparator/>
      </w:r>
    </w:p>
  </w:endnote>
  <w:endnote w:type="continuationNotice" w:id="1">
    <w:p w14:paraId="2222AD68" w14:textId="77777777" w:rsidR="00025D59" w:rsidRDefault="00025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593163430"/>
      <w:docPartObj>
        <w:docPartGallery w:val="Page Numbers (Bottom of Page)"/>
        <w:docPartUnique/>
      </w:docPartObj>
    </w:sdtPr>
    <w:sdtEndPr>
      <w:rPr>
        <w:noProof/>
      </w:rPr>
    </w:sdtEndPr>
    <w:sdtContent>
      <w:p w14:paraId="1111C1B7" w14:textId="4E17C642" w:rsidR="00371BEB" w:rsidRPr="000A640E" w:rsidRDefault="00371BEB" w:rsidP="004264B7">
        <w:pPr>
          <w:pStyle w:val="Footer"/>
          <w:rPr>
            <w:rFonts w:asciiTheme="minorHAnsi" w:hAnsiTheme="minorHAnsi" w:cstheme="minorHAnsi"/>
          </w:rPr>
        </w:pPr>
        <w:r>
          <w:rPr>
            <w:rFonts w:asciiTheme="minorHAnsi" w:hAnsiTheme="minorHAnsi" w:cstheme="minorHAnsi"/>
          </w:rPr>
          <w:t>SPIKEVAX</w:t>
        </w:r>
        <w:r w:rsidRPr="000A640E">
          <w:rPr>
            <w:rFonts w:asciiTheme="minorHAnsi" w:hAnsiTheme="minorHAnsi" w:cstheme="minorHAnsi"/>
          </w:rPr>
          <w:t>_PI_</w:t>
        </w:r>
        <w:r w:rsidR="006831C4">
          <w:rPr>
            <w:rFonts w:asciiTheme="minorHAnsi" w:hAnsiTheme="minorHAnsi" w:cstheme="minorHAnsi"/>
          </w:rPr>
          <w:t>12.0</w:t>
        </w:r>
        <w:r>
          <w:rPr>
            <w:rFonts w:asciiTheme="minorHAnsi" w:hAnsiTheme="minorHAnsi" w:cstheme="minorHAnsi"/>
          </w:rPr>
          <w:t>_</w:t>
        </w:r>
        <w:r w:rsidR="006831C4">
          <w:rPr>
            <w:rFonts w:asciiTheme="minorHAnsi" w:hAnsiTheme="minorHAnsi" w:cstheme="minorHAnsi"/>
          </w:rPr>
          <w:t>21Oct22</w:t>
        </w:r>
        <w:r w:rsidRPr="000A640E">
          <w:rPr>
            <w:rFonts w:asciiTheme="minorHAnsi" w:hAnsiTheme="minorHAnsi" w:cstheme="minorHAnsi"/>
          </w:rPr>
          <w:tab/>
        </w:r>
        <w:r w:rsidRPr="000A640E">
          <w:rPr>
            <w:rFonts w:asciiTheme="minorHAnsi" w:hAnsiTheme="minorHAnsi" w:cstheme="minorHAnsi"/>
          </w:rPr>
          <w:tab/>
        </w:r>
        <w:r w:rsidRPr="000A640E">
          <w:rPr>
            <w:rFonts w:asciiTheme="minorHAnsi" w:hAnsiTheme="minorHAnsi" w:cstheme="minorHAnsi"/>
          </w:rPr>
          <w:fldChar w:fldCharType="begin"/>
        </w:r>
        <w:r w:rsidRPr="00AE1A15">
          <w:rPr>
            <w:rFonts w:asciiTheme="minorHAnsi" w:hAnsiTheme="minorHAnsi" w:cstheme="minorHAnsi"/>
          </w:rPr>
          <w:instrText xml:space="preserve"> PAGE   \* MERGEFORMAT </w:instrText>
        </w:r>
        <w:r w:rsidRPr="000A640E">
          <w:rPr>
            <w:rFonts w:asciiTheme="minorHAnsi" w:hAnsiTheme="minorHAnsi" w:cstheme="minorHAnsi"/>
          </w:rPr>
          <w:fldChar w:fldCharType="separate"/>
        </w:r>
        <w:r w:rsidRPr="00AE1A15">
          <w:rPr>
            <w:rFonts w:asciiTheme="minorHAnsi" w:hAnsiTheme="minorHAnsi" w:cstheme="minorHAnsi"/>
            <w:noProof/>
          </w:rPr>
          <w:t>1</w:t>
        </w:r>
        <w:r w:rsidRPr="000A640E">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0EC78" w14:textId="77777777" w:rsidR="00025D59" w:rsidRDefault="00025D59" w:rsidP="001A3992">
      <w:pPr>
        <w:spacing w:after="0" w:line="240" w:lineRule="auto"/>
      </w:pPr>
      <w:r>
        <w:separator/>
      </w:r>
    </w:p>
  </w:footnote>
  <w:footnote w:type="continuationSeparator" w:id="0">
    <w:p w14:paraId="2CC5E0DA" w14:textId="77777777" w:rsidR="00025D59" w:rsidRDefault="00025D59" w:rsidP="001A3992">
      <w:pPr>
        <w:spacing w:after="0" w:line="240" w:lineRule="auto"/>
      </w:pPr>
      <w:r>
        <w:continuationSeparator/>
      </w:r>
    </w:p>
  </w:footnote>
  <w:footnote w:type="continuationNotice" w:id="1">
    <w:p w14:paraId="18632F58" w14:textId="77777777" w:rsidR="00025D59" w:rsidRDefault="00025D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shd w:val="clear" w:color="auto" w:fill="E4F2E0"/>
      <w:tblLook w:val="04A0" w:firstRow="1" w:lastRow="0" w:firstColumn="1" w:lastColumn="0" w:noHBand="0" w:noVBand="1"/>
    </w:tblPr>
    <w:tblGrid>
      <w:gridCol w:w="8720"/>
    </w:tblGrid>
    <w:tr w:rsidR="00804ED7" w:rsidRPr="00F207ED" w14:paraId="1221A4BB" w14:textId="77777777" w:rsidTr="006E4950">
      <w:tc>
        <w:tcPr>
          <w:tcW w:w="8720" w:type="dxa"/>
          <w:shd w:val="clear" w:color="auto" w:fill="E4F2E0"/>
        </w:tcPr>
        <w:p w14:paraId="55D2C6CE" w14:textId="52B6CF4F" w:rsidR="00804ED7" w:rsidRPr="00F207ED" w:rsidRDefault="00804ED7" w:rsidP="00804ED7">
          <w:pPr>
            <w:spacing w:before="180" w:after="180" w:line="240" w:lineRule="atLeast"/>
            <w:rPr>
              <w:b/>
              <w:sz w:val="18"/>
              <w:szCs w:val="18"/>
            </w:rPr>
          </w:pPr>
          <w:r w:rsidRPr="00F207ED">
            <w:rPr>
              <w:b/>
              <w:sz w:val="18"/>
              <w:szCs w:val="18"/>
            </w:rPr>
            <w:t xml:space="preserve">Attachment 1: Product information for </w:t>
          </w:r>
          <w:proofErr w:type="spellStart"/>
          <w:r w:rsidRPr="00804ED7">
            <w:rPr>
              <w:b/>
              <w:sz w:val="18"/>
              <w:szCs w:val="18"/>
            </w:rPr>
            <w:t>AusPAR</w:t>
          </w:r>
          <w:proofErr w:type="spellEnd"/>
          <w:r w:rsidRPr="00804ED7">
            <w:rPr>
              <w:b/>
              <w:sz w:val="18"/>
              <w:szCs w:val="18"/>
            </w:rPr>
            <w:t xml:space="preserve"> - </w:t>
          </w:r>
          <w:proofErr w:type="spellStart"/>
          <w:r w:rsidRPr="00804ED7">
            <w:rPr>
              <w:b/>
              <w:sz w:val="18"/>
              <w:szCs w:val="18"/>
            </w:rPr>
            <w:t>Spikevax</w:t>
          </w:r>
          <w:proofErr w:type="spellEnd"/>
          <w:r w:rsidRPr="00804ED7">
            <w:rPr>
              <w:b/>
              <w:sz w:val="18"/>
              <w:szCs w:val="18"/>
            </w:rPr>
            <w:t xml:space="preserve"> – </w:t>
          </w:r>
          <w:proofErr w:type="spellStart"/>
          <w:r w:rsidRPr="00804ED7">
            <w:rPr>
              <w:b/>
              <w:sz w:val="18"/>
              <w:szCs w:val="18"/>
            </w:rPr>
            <w:t>elasomeran</w:t>
          </w:r>
          <w:proofErr w:type="spellEnd"/>
          <w:r w:rsidRPr="00804ED7">
            <w:rPr>
              <w:b/>
              <w:sz w:val="18"/>
              <w:szCs w:val="18"/>
            </w:rPr>
            <w:t xml:space="preserve"> - Moderna Australia Pty Ltd - PM-2022-00685-1-2</w:t>
          </w:r>
          <w:r>
            <w:rPr>
              <w:b/>
              <w:sz w:val="18"/>
              <w:szCs w:val="18"/>
            </w:rPr>
            <w:t xml:space="preserve"> </w:t>
          </w:r>
          <w:r w:rsidRPr="00804ED7">
            <w:rPr>
              <w:b/>
              <w:sz w:val="18"/>
              <w:szCs w:val="18"/>
            </w:rPr>
            <w:t>FINAL 8 November 2022</w:t>
          </w:r>
          <w:r w:rsidRPr="00F207ED">
            <w:rPr>
              <w:b/>
              <w:sz w:val="18"/>
              <w:szCs w:val="18"/>
            </w:rPr>
            <w:t xml:space="preserve">. This is the Product Information that was approved with the submission described in this </w:t>
          </w:r>
          <w:proofErr w:type="spellStart"/>
          <w:r w:rsidRPr="00F207ED">
            <w:rPr>
              <w:b/>
              <w:sz w:val="18"/>
              <w:szCs w:val="18"/>
            </w:rPr>
            <w:t>AusPAR</w:t>
          </w:r>
          <w:proofErr w:type="spellEnd"/>
          <w:r w:rsidRPr="00F207ED">
            <w:rPr>
              <w:b/>
              <w:sz w:val="18"/>
              <w:szCs w:val="18"/>
            </w:rPr>
            <w:t>. It may have been superseded. For the most recent PI, please refer to the TGA website at &lt;</w:t>
          </w:r>
          <w:hyperlink r:id="rId1" w:history="1">
            <w:r w:rsidRPr="00F207ED">
              <w:rPr>
                <w:b/>
                <w:color w:val="0000FF"/>
                <w:sz w:val="18"/>
                <w:szCs w:val="18"/>
                <w:u w:val="single"/>
              </w:rPr>
              <w:t>https://www.tga.gov.au/products/australian-register-therapeutic-goods-artg/product-information-one</w:t>
            </w:r>
          </w:hyperlink>
          <w:r w:rsidRPr="00F207ED">
            <w:rPr>
              <w:b/>
              <w:color w:val="0000FF"/>
              <w:sz w:val="18"/>
              <w:szCs w:val="18"/>
              <w:u w:val="single"/>
            </w:rPr>
            <w:t>&gt;</w:t>
          </w:r>
        </w:p>
      </w:tc>
    </w:tr>
  </w:tbl>
  <w:p w14:paraId="67A4AB77" w14:textId="13DF9172" w:rsidR="00804ED7" w:rsidRDefault="00804E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733F3E"/>
    <w:multiLevelType w:val="hybridMultilevel"/>
    <w:tmpl w:val="5AB64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468D6"/>
    <w:multiLevelType w:val="hybridMultilevel"/>
    <w:tmpl w:val="C5EEA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660B4"/>
    <w:multiLevelType w:val="hybridMultilevel"/>
    <w:tmpl w:val="87043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8E575E"/>
    <w:multiLevelType w:val="hybridMultilevel"/>
    <w:tmpl w:val="2D50B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35439"/>
    <w:multiLevelType w:val="hybridMultilevel"/>
    <w:tmpl w:val="D23A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174A30"/>
    <w:multiLevelType w:val="hybridMultilevel"/>
    <w:tmpl w:val="B5EE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507084"/>
    <w:multiLevelType w:val="hybridMultilevel"/>
    <w:tmpl w:val="B9160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B3602FA"/>
    <w:multiLevelType w:val="hybridMultilevel"/>
    <w:tmpl w:val="3668AD9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D42C05"/>
    <w:multiLevelType w:val="multilevel"/>
    <w:tmpl w:val="88CA3A76"/>
    <w:lvl w:ilvl="0">
      <w:start w:val="1"/>
      <w:numFmt w:val="decimal"/>
      <w:lvlText w:val="Note %1:"/>
      <w:lvlJc w:val="left"/>
      <w:pPr>
        <w:ind w:left="1021" w:hanging="1021"/>
      </w:pPr>
      <w:rPr>
        <w:rFonts w:ascii="Cambria" w:hAnsi="Cambria"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76F49FC"/>
    <w:multiLevelType w:val="hybridMultilevel"/>
    <w:tmpl w:val="76C6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332797"/>
    <w:multiLevelType w:val="multilevel"/>
    <w:tmpl w:val="28302500"/>
    <w:lvl w:ilvl="0">
      <w:start w:val="1"/>
      <w:numFmt w:val="decimal"/>
      <w:pStyle w:val="Heading1"/>
      <w:lvlText w:val="%1"/>
      <w:lvlJc w:val="left"/>
      <w:pPr>
        <w:ind w:left="432" w:hanging="432"/>
      </w:pPr>
    </w:lvl>
    <w:lvl w:ilvl="1">
      <w:start w:val="1"/>
      <w:numFmt w:val="decimal"/>
      <w:pStyle w:val="Heading2"/>
      <w:lvlText w:val="%1.%2"/>
      <w:lvlJc w:val="left"/>
      <w:pPr>
        <w:ind w:left="128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2613446"/>
    <w:multiLevelType w:val="hybridMultilevel"/>
    <w:tmpl w:val="D384F4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11220D"/>
    <w:multiLevelType w:val="hybridMultilevel"/>
    <w:tmpl w:val="E814E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FB401D6"/>
    <w:multiLevelType w:val="hybridMultilevel"/>
    <w:tmpl w:val="270C4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7"/>
  </w:num>
  <w:num w:numId="5">
    <w:abstractNumId w:val="14"/>
  </w:num>
  <w:num w:numId="6">
    <w:abstractNumId w:val="12"/>
  </w:num>
  <w:num w:numId="7">
    <w:abstractNumId w:val="10"/>
  </w:num>
  <w:num w:numId="8">
    <w:abstractNumId w:val="13"/>
  </w:num>
  <w:num w:numId="9">
    <w:abstractNumId w:val="5"/>
  </w:num>
  <w:num w:numId="10">
    <w:abstractNumId w:val="9"/>
  </w:num>
  <w:num w:numId="11">
    <w:abstractNumId w:val="4"/>
  </w:num>
  <w:num w:numId="12">
    <w:abstractNumId w:val="0"/>
    <w:lvlOverride w:ilvl="0">
      <w:lvl w:ilvl="0">
        <w:start w:val="1"/>
        <w:numFmt w:val="bullet"/>
        <w:lvlText w:val="-"/>
        <w:lvlJc w:val="left"/>
        <w:pPr>
          <w:tabs>
            <w:tab w:val="num" w:pos="360"/>
          </w:tabs>
          <w:ind w:left="360" w:hanging="360"/>
        </w:pPr>
      </w:lvl>
    </w:lvlOverride>
  </w:num>
  <w:num w:numId="13">
    <w:abstractNumId w:val="2"/>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42D"/>
    <w:rsid w:val="000008C4"/>
    <w:rsid w:val="00000F4E"/>
    <w:rsid w:val="0000225D"/>
    <w:rsid w:val="00004874"/>
    <w:rsid w:val="00012336"/>
    <w:rsid w:val="00013D3D"/>
    <w:rsid w:val="0001509B"/>
    <w:rsid w:val="00017C3E"/>
    <w:rsid w:val="000210A4"/>
    <w:rsid w:val="000229A7"/>
    <w:rsid w:val="00023682"/>
    <w:rsid w:val="00023D88"/>
    <w:rsid w:val="00024D0D"/>
    <w:rsid w:val="0002572C"/>
    <w:rsid w:val="00025D59"/>
    <w:rsid w:val="00027006"/>
    <w:rsid w:val="00032BCA"/>
    <w:rsid w:val="00033592"/>
    <w:rsid w:val="000353BE"/>
    <w:rsid w:val="00036292"/>
    <w:rsid w:val="00037183"/>
    <w:rsid w:val="000371EF"/>
    <w:rsid w:val="00037552"/>
    <w:rsid w:val="00040122"/>
    <w:rsid w:val="000408C5"/>
    <w:rsid w:val="00040EC6"/>
    <w:rsid w:val="000422E7"/>
    <w:rsid w:val="00042302"/>
    <w:rsid w:val="00042E29"/>
    <w:rsid w:val="00044C80"/>
    <w:rsid w:val="00053E2B"/>
    <w:rsid w:val="00053E91"/>
    <w:rsid w:val="00054560"/>
    <w:rsid w:val="0005563A"/>
    <w:rsid w:val="00055EB4"/>
    <w:rsid w:val="0006282E"/>
    <w:rsid w:val="00063449"/>
    <w:rsid w:val="000639C4"/>
    <w:rsid w:val="00063E0F"/>
    <w:rsid w:val="00064A7E"/>
    <w:rsid w:val="00064A8F"/>
    <w:rsid w:val="00065F6D"/>
    <w:rsid w:val="000661F3"/>
    <w:rsid w:val="00066708"/>
    <w:rsid w:val="00066729"/>
    <w:rsid w:val="00066A5A"/>
    <w:rsid w:val="00066B12"/>
    <w:rsid w:val="00071782"/>
    <w:rsid w:val="00072728"/>
    <w:rsid w:val="0007430D"/>
    <w:rsid w:val="00074FE2"/>
    <w:rsid w:val="000775C8"/>
    <w:rsid w:val="00081B0A"/>
    <w:rsid w:val="00081D1F"/>
    <w:rsid w:val="000838E5"/>
    <w:rsid w:val="000847FB"/>
    <w:rsid w:val="00086E34"/>
    <w:rsid w:val="000908B0"/>
    <w:rsid w:val="00090E7D"/>
    <w:rsid w:val="00091557"/>
    <w:rsid w:val="00094E5E"/>
    <w:rsid w:val="000954CD"/>
    <w:rsid w:val="00096131"/>
    <w:rsid w:val="00096300"/>
    <w:rsid w:val="00096C87"/>
    <w:rsid w:val="000A0457"/>
    <w:rsid w:val="000A08F1"/>
    <w:rsid w:val="000A324B"/>
    <w:rsid w:val="000A374B"/>
    <w:rsid w:val="000A3A9F"/>
    <w:rsid w:val="000A460E"/>
    <w:rsid w:val="000A53C0"/>
    <w:rsid w:val="000A640E"/>
    <w:rsid w:val="000A649D"/>
    <w:rsid w:val="000A6F66"/>
    <w:rsid w:val="000B1042"/>
    <w:rsid w:val="000B1848"/>
    <w:rsid w:val="000B273C"/>
    <w:rsid w:val="000B3560"/>
    <w:rsid w:val="000B51BF"/>
    <w:rsid w:val="000B5FDF"/>
    <w:rsid w:val="000C04C7"/>
    <w:rsid w:val="000C1896"/>
    <w:rsid w:val="000C1E84"/>
    <w:rsid w:val="000C3943"/>
    <w:rsid w:val="000C4089"/>
    <w:rsid w:val="000C59E3"/>
    <w:rsid w:val="000C62AA"/>
    <w:rsid w:val="000C7870"/>
    <w:rsid w:val="000D0C1A"/>
    <w:rsid w:val="000D3E8E"/>
    <w:rsid w:val="000D73B5"/>
    <w:rsid w:val="000D73D4"/>
    <w:rsid w:val="000E141C"/>
    <w:rsid w:val="000E503B"/>
    <w:rsid w:val="000E740E"/>
    <w:rsid w:val="000F0CC0"/>
    <w:rsid w:val="000F1D31"/>
    <w:rsid w:val="000F2292"/>
    <w:rsid w:val="000F2DFD"/>
    <w:rsid w:val="000F39BD"/>
    <w:rsid w:val="00101FC2"/>
    <w:rsid w:val="001028AB"/>
    <w:rsid w:val="0011038D"/>
    <w:rsid w:val="00110403"/>
    <w:rsid w:val="00110805"/>
    <w:rsid w:val="00114F58"/>
    <w:rsid w:val="00114F66"/>
    <w:rsid w:val="0011547C"/>
    <w:rsid w:val="001155DE"/>
    <w:rsid w:val="00116B07"/>
    <w:rsid w:val="0011783E"/>
    <w:rsid w:val="00120487"/>
    <w:rsid w:val="00121DAB"/>
    <w:rsid w:val="00124B3A"/>
    <w:rsid w:val="00124F8A"/>
    <w:rsid w:val="00125E47"/>
    <w:rsid w:val="001265F6"/>
    <w:rsid w:val="00127BF0"/>
    <w:rsid w:val="00127D87"/>
    <w:rsid w:val="001313A9"/>
    <w:rsid w:val="00132014"/>
    <w:rsid w:val="00132BA7"/>
    <w:rsid w:val="0013460C"/>
    <w:rsid w:val="00140C59"/>
    <w:rsid w:val="00140D80"/>
    <w:rsid w:val="00141824"/>
    <w:rsid w:val="00142491"/>
    <w:rsid w:val="0014269B"/>
    <w:rsid w:val="00142A9A"/>
    <w:rsid w:val="00144D3E"/>
    <w:rsid w:val="001461CC"/>
    <w:rsid w:val="00147ABA"/>
    <w:rsid w:val="00150325"/>
    <w:rsid w:val="00152514"/>
    <w:rsid w:val="00153F16"/>
    <w:rsid w:val="00155E8B"/>
    <w:rsid w:val="00156625"/>
    <w:rsid w:val="0015787A"/>
    <w:rsid w:val="00160E48"/>
    <w:rsid w:val="00160FB8"/>
    <w:rsid w:val="00162F0C"/>
    <w:rsid w:val="001632CC"/>
    <w:rsid w:val="00170492"/>
    <w:rsid w:val="0017068F"/>
    <w:rsid w:val="00171323"/>
    <w:rsid w:val="00173195"/>
    <w:rsid w:val="0017341B"/>
    <w:rsid w:val="00173960"/>
    <w:rsid w:val="00173BAA"/>
    <w:rsid w:val="0017400E"/>
    <w:rsid w:val="00174547"/>
    <w:rsid w:val="00174C63"/>
    <w:rsid w:val="001756F6"/>
    <w:rsid w:val="00176028"/>
    <w:rsid w:val="00176DCE"/>
    <w:rsid w:val="0017716C"/>
    <w:rsid w:val="00177366"/>
    <w:rsid w:val="00177932"/>
    <w:rsid w:val="0018008D"/>
    <w:rsid w:val="00182A41"/>
    <w:rsid w:val="00186D46"/>
    <w:rsid w:val="00187396"/>
    <w:rsid w:val="00187642"/>
    <w:rsid w:val="00187A74"/>
    <w:rsid w:val="00191B79"/>
    <w:rsid w:val="00192EB9"/>
    <w:rsid w:val="00193D3E"/>
    <w:rsid w:val="0019551C"/>
    <w:rsid w:val="001A0CA1"/>
    <w:rsid w:val="001A33BA"/>
    <w:rsid w:val="001A3992"/>
    <w:rsid w:val="001A5D10"/>
    <w:rsid w:val="001A7F39"/>
    <w:rsid w:val="001B2B9D"/>
    <w:rsid w:val="001B2D90"/>
    <w:rsid w:val="001B3CD2"/>
    <w:rsid w:val="001B4F06"/>
    <w:rsid w:val="001B4FB8"/>
    <w:rsid w:val="001B7785"/>
    <w:rsid w:val="001B7FF6"/>
    <w:rsid w:val="001C0A66"/>
    <w:rsid w:val="001C0E33"/>
    <w:rsid w:val="001C1619"/>
    <w:rsid w:val="001C1C6E"/>
    <w:rsid w:val="001C45F1"/>
    <w:rsid w:val="001D044F"/>
    <w:rsid w:val="001D2590"/>
    <w:rsid w:val="001D3305"/>
    <w:rsid w:val="001D47D9"/>
    <w:rsid w:val="001D4AC7"/>
    <w:rsid w:val="001D5617"/>
    <w:rsid w:val="001D5A32"/>
    <w:rsid w:val="001E44A5"/>
    <w:rsid w:val="001E585A"/>
    <w:rsid w:val="001E6E97"/>
    <w:rsid w:val="001F03CC"/>
    <w:rsid w:val="001F03E5"/>
    <w:rsid w:val="001F24D6"/>
    <w:rsid w:val="001F4625"/>
    <w:rsid w:val="001F4FDC"/>
    <w:rsid w:val="001F6DAD"/>
    <w:rsid w:val="002107D5"/>
    <w:rsid w:val="00210834"/>
    <w:rsid w:val="00210A00"/>
    <w:rsid w:val="00210D03"/>
    <w:rsid w:val="002112DD"/>
    <w:rsid w:val="002114CC"/>
    <w:rsid w:val="00211C4B"/>
    <w:rsid w:val="0021200F"/>
    <w:rsid w:val="002122F9"/>
    <w:rsid w:val="002167A6"/>
    <w:rsid w:val="0022000C"/>
    <w:rsid w:val="00220484"/>
    <w:rsid w:val="002211D8"/>
    <w:rsid w:val="00221A8F"/>
    <w:rsid w:val="002233D8"/>
    <w:rsid w:val="00223E9F"/>
    <w:rsid w:val="00224144"/>
    <w:rsid w:val="002248EB"/>
    <w:rsid w:val="00225162"/>
    <w:rsid w:val="00225548"/>
    <w:rsid w:val="002267E6"/>
    <w:rsid w:val="00231CB2"/>
    <w:rsid w:val="00232144"/>
    <w:rsid w:val="002332C9"/>
    <w:rsid w:val="002365EF"/>
    <w:rsid w:val="00242B98"/>
    <w:rsid w:val="00242E1D"/>
    <w:rsid w:val="002506EC"/>
    <w:rsid w:val="00253028"/>
    <w:rsid w:val="002532E4"/>
    <w:rsid w:val="002534EF"/>
    <w:rsid w:val="00253DE2"/>
    <w:rsid w:val="00255DAD"/>
    <w:rsid w:val="00255FBA"/>
    <w:rsid w:val="002571B2"/>
    <w:rsid w:val="00257833"/>
    <w:rsid w:val="002632A5"/>
    <w:rsid w:val="00263EAB"/>
    <w:rsid w:val="00264C01"/>
    <w:rsid w:val="00265E39"/>
    <w:rsid w:val="00267E23"/>
    <w:rsid w:val="00270160"/>
    <w:rsid w:val="00272B47"/>
    <w:rsid w:val="00273EB6"/>
    <w:rsid w:val="00275EDC"/>
    <w:rsid w:val="00276947"/>
    <w:rsid w:val="0027766D"/>
    <w:rsid w:val="00277A51"/>
    <w:rsid w:val="0028018D"/>
    <w:rsid w:val="00280574"/>
    <w:rsid w:val="00282607"/>
    <w:rsid w:val="00285173"/>
    <w:rsid w:val="0028524F"/>
    <w:rsid w:val="0028611D"/>
    <w:rsid w:val="00290A3D"/>
    <w:rsid w:val="00292F02"/>
    <w:rsid w:val="00295672"/>
    <w:rsid w:val="00295BAE"/>
    <w:rsid w:val="00296302"/>
    <w:rsid w:val="002965E6"/>
    <w:rsid w:val="002A1724"/>
    <w:rsid w:val="002A314D"/>
    <w:rsid w:val="002A4FAF"/>
    <w:rsid w:val="002A4FFE"/>
    <w:rsid w:val="002A60AF"/>
    <w:rsid w:val="002A650F"/>
    <w:rsid w:val="002A6C26"/>
    <w:rsid w:val="002B0528"/>
    <w:rsid w:val="002B11DF"/>
    <w:rsid w:val="002B26E2"/>
    <w:rsid w:val="002B49AC"/>
    <w:rsid w:val="002C08E3"/>
    <w:rsid w:val="002C0B13"/>
    <w:rsid w:val="002C0E70"/>
    <w:rsid w:val="002C5708"/>
    <w:rsid w:val="002C6CEA"/>
    <w:rsid w:val="002C7B77"/>
    <w:rsid w:val="002D2959"/>
    <w:rsid w:val="002D46C5"/>
    <w:rsid w:val="002D5E6E"/>
    <w:rsid w:val="002D685E"/>
    <w:rsid w:val="002D6AEC"/>
    <w:rsid w:val="002E01B3"/>
    <w:rsid w:val="002E277D"/>
    <w:rsid w:val="002E36EE"/>
    <w:rsid w:val="002E5193"/>
    <w:rsid w:val="002E5BB1"/>
    <w:rsid w:val="002E6C82"/>
    <w:rsid w:val="002E6F78"/>
    <w:rsid w:val="002E70F2"/>
    <w:rsid w:val="002E7515"/>
    <w:rsid w:val="002F6C1B"/>
    <w:rsid w:val="003003B7"/>
    <w:rsid w:val="00300768"/>
    <w:rsid w:val="0030113B"/>
    <w:rsid w:val="00301EEE"/>
    <w:rsid w:val="00302DF7"/>
    <w:rsid w:val="00304759"/>
    <w:rsid w:val="00305E27"/>
    <w:rsid w:val="00306647"/>
    <w:rsid w:val="00307CE3"/>
    <w:rsid w:val="00313BB3"/>
    <w:rsid w:val="00313D19"/>
    <w:rsid w:val="00315EF5"/>
    <w:rsid w:val="0031654D"/>
    <w:rsid w:val="00316855"/>
    <w:rsid w:val="00316906"/>
    <w:rsid w:val="0031760B"/>
    <w:rsid w:val="00317DD4"/>
    <w:rsid w:val="00322D95"/>
    <w:rsid w:val="00325529"/>
    <w:rsid w:val="00326E05"/>
    <w:rsid w:val="0033151F"/>
    <w:rsid w:val="00331B38"/>
    <w:rsid w:val="003346B0"/>
    <w:rsid w:val="00334958"/>
    <w:rsid w:val="00337887"/>
    <w:rsid w:val="0034088D"/>
    <w:rsid w:val="00341208"/>
    <w:rsid w:val="003455B5"/>
    <w:rsid w:val="003465DC"/>
    <w:rsid w:val="003467CE"/>
    <w:rsid w:val="00351309"/>
    <w:rsid w:val="00351B44"/>
    <w:rsid w:val="003547EB"/>
    <w:rsid w:val="00354ECA"/>
    <w:rsid w:val="00356647"/>
    <w:rsid w:val="00357F8B"/>
    <w:rsid w:val="0036270C"/>
    <w:rsid w:val="00367454"/>
    <w:rsid w:val="00371BEB"/>
    <w:rsid w:val="00371E8D"/>
    <w:rsid w:val="00372495"/>
    <w:rsid w:val="00374713"/>
    <w:rsid w:val="00375250"/>
    <w:rsid w:val="00375DF3"/>
    <w:rsid w:val="00375F16"/>
    <w:rsid w:val="003763DB"/>
    <w:rsid w:val="00377C49"/>
    <w:rsid w:val="00382A17"/>
    <w:rsid w:val="00383A8E"/>
    <w:rsid w:val="00384DF5"/>
    <w:rsid w:val="00386CFB"/>
    <w:rsid w:val="00387630"/>
    <w:rsid w:val="00390292"/>
    <w:rsid w:val="00390D67"/>
    <w:rsid w:val="00391CE0"/>
    <w:rsid w:val="00393BEE"/>
    <w:rsid w:val="0039547D"/>
    <w:rsid w:val="003962B7"/>
    <w:rsid w:val="0039694E"/>
    <w:rsid w:val="00396EB7"/>
    <w:rsid w:val="003A0171"/>
    <w:rsid w:val="003A1E66"/>
    <w:rsid w:val="003A23D3"/>
    <w:rsid w:val="003A31BB"/>
    <w:rsid w:val="003A4AFA"/>
    <w:rsid w:val="003A78C9"/>
    <w:rsid w:val="003A7CE1"/>
    <w:rsid w:val="003B1223"/>
    <w:rsid w:val="003B1836"/>
    <w:rsid w:val="003B28B1"/>
    <w:rsid w:val="003B5254"/>
    <w:rsid w:val="003B5ACB"/>
    <w:rsid w:val="003B5D5B"/>
    <w:rsid w:val="003B5DD0"/>
    <w:rsid w:val="003B5E00"/>
    <w:rsid w:val="003B78F6"/>
    <w:rsid w:val="003C3B7F"/>
    <w:rsid w:val="003C440D"/>
    <w:rsid w:val="003C52F9"/>
    <w:rsid w:val="003C5807"/>
    <w:rsid w:val="003D612A"/>
    <w:rsid w:val="003E4F1B"/>
    <w:rsid w:val="003F43F1"/>
    <w:rsid w:val="003F4C01"/>
    <w:rsid w:val="003F5346"/>
    <w:rsid w:val="003F717A"/>
    <w:rsid w:val="003F784F"/>
    <w:rsid w:val="00405893"/>
    <w:rsid w:val="00405CA9"/>
    <w:rsid w:val="00405DC5"/>
    <w:rsid w:val="00406284"/>
    <w:rsid w:val="00406C76"/>
    <w:rsid w:val="00407072"/>
    <w:rsid w:val="00411311"/>
    <w:rsid w:val="00411933"/>
    <w:rsid w:val="00411F65"/>
    <w:rsid w:val="00412E63"/>
    <w:rsid w:val="00414629"/>
    <w:rsid w:val="00414DB0"/>
    <w:rsid w:val="00415823"/>
    <w:rsid w:val="00416690"/>
    <w:rsid w:val="004166C0"/>
    <w:rsid w:val="00422148"/>
    <w:rsid w:val="00422A1D"/>
    <w:rsid w:val="0042333F"/>
    <w:rsid w:val="00423B38"/>
    <w:rsid w:val="0042566E"/>
    <w:rsid w:val="0042635C"/>
    <w:rsid w:val="004264B7"/>
    <w:rsid w:val="0042696A"/>
    <w:rsid w:val="004277C1"/>
    <w:rsid w:val="0043063E"/>
    <w:rsid w:val="00431ACD"/>
    <w:rsid w:val="00431EC6"/>
    <w:rsid w:val="00432B47"/>
    <w:rsid w:val="0043449B"/>
    <w:rsid w:val="004355F8"/>
    <w:rsid w:val="0043705F"/>
    <w:rsid w:val="004370C6"/>
    <w:rsid w:val="0043762C"/>
    <w:rsid w:val="00437948"/>
    <w:rsid w:val="00441241"/>
    <w:rsid w:val="00441633"/>
    <w:rsid w:val="0044186B"/>
    <w:rsid w:val="00441B4C"/>
    <w:rsid w:val="00446D74"/>
    <w:rsid w:val="00450B0E"/>
    <w:rsid w:val="00451AD6"/>
    <w:rsid w:val="004529A7"/>
    <w:rsid w:val="00453572"/>
    <w:rsid w:val="004576CA"/>
    <w:rsid w:val="0046250A"/>
    <w:rsid w:val="004633F7"/>
    <w:rsid w:val="00463D72"/>
    <w:rsid w:val="00464AC9"/>
    <w:rsid w:val="00466884"/>
    <w:rsid w:val="004671F7"/>
    <w:rsid w:val="0047141C"/>
    <w:rsid w:val="00472803"/>
    <w:rsid w:val="00472FFA"/>
    <w:rsid w:val="00473F7D"/>
    <w:rsid w:val="00477B01"/>
    <w:rsid w:val="004805DB"/>
    <w:rsid w:val="00481098"/>
    <w:rsid w:val="00483478"/>
    <w:rsid w:val="004842D5"/>
    <w:rsid w:val="0048565C"/>
    <w:rsid w:val="00485F16"/>
    <w:rsid w:val="004879BC"/>
    <w:rsid w:val="004913FD"/>
    <w:rsid w:val="0049192D"/>
    <w:rsid w:val="00493CD5"/>
    <w:rsid w:val="0049513E"/>
    <w:rsid w:val="00495D3B"/>
    <w:rsid w:val="0049610D"/>
    <w:rsid w:val="00497DB2"/>
    <w:rsid w:val="004A0D71"/>
    <w:rsid w:val="004A11EE"/>
    <w:rsid w:val="004A2DAC"/>
    <w:rsid w:val="004A2F17"/>
    <w:rsid w:val="004A4C77"/>
    <w:rsid w:val="004A7628"/>
    <w:rsid w:val="004A7F23"/>
    <w:rsid w:val="004B0332"/>
    <w:rsid w:val="004B0AF8"/>
    <w:rsid w:val="004B19C8"/>
    <w:rsid w:val="004B2396"/>
    <w:rsid w:val="004B3815"/>
    <w:rsid w:val="004B3C4F"/>
    <w:rsid w:val="004B575A"/>
    <w:rsid w:val="004B6B19"/>
    <w:rsid w:val="004B6F03"/>
    <w:rsid w:val="004C0237"/>
    <w:rsid w:val="004C09A0"/>
    <w:rsid w:val="004C34B1"/>
    <w:rsid w:val="004C417D"/>
    <w:rsid w:val="004C530E"/>
    <w:rsid w:val="004C5949"/>
    <w:rsid w:val="004C5F7B"/>
    <w:rsid w:val="004C612A"/>
    <w:rsid w:val="004C78F2"/>
    <w:rsid w:val="004D0218"/>
    <w:rsid w:val="004D19C6"/>
    <w:rsid w:val="004D1AB3"/>
    <w:rsid w:val="004D5162"/>
    <w:rsid w:val="004D5400"/>
    <w:rsid w:val="004D5C83"/>
    <w:rsid w:val="004E2622"/>
    <w:rsid w:val="004E5708"/>
    <w:rsid w:val="004F259A"/>
    <w:rsid w:val="004F3DA6"/>
    <w:rsid w:val="004F4F3E"/>
    <w:rsid w:val="004F5859"/>
    <w:rsid w:val="004F71F4"/>
    <w:rsid w:val="00500244"/>
    <w:rsid w:val="00500646"/>
    <w:rsid w:val="00501B4F"/>
    <w:rsid w:val="0050327A"/>
    <w:rsid w:val="005035B7"/>
    <w:rsid w:val="00503AAA"/>
    <w:rsid w:val="0050788E"/>
    <w:rsid w:val="0051026D"/>
    <w:rsid w:val="00510A07"/>
    <w:rsid w:val="0051292C"/>
    <w:rsid w:val="00512E48"/>
    <w:rsid w:val="005132EA"/>
    <w:rsid w:val="00513621"/>
    <w:rsid w:val="005138F5"/>
    <w:rsid w:val="00514477"/>
    <w:rsid w:val="00517130"/>
    <w:rsid w:val="00517A40"/>
    <w:rsid w:val="00517ABF"/>
    <w:rsid w:val="00520187"/>
    <w:rsid w:val="00522A61"/>
    <w:rsid w:val="00524D54"/>
    <w:rsid w:val="0052662E"/>
    <w:rsid w:val="00530429"/>
    <w:rsid w:val="005313B6"/>
    <w:rsid w:val="00531E01"/>
    <w:rsid w:val="0053253E"/>
    <w:rsid w:val="00534ECA"/>
    <w:rsid w:val="00536574"/>
    <w:rsid w:val="005375D0"/>
    <w:rsid w:val="00540B6B"/>
    <w:rsid w:val="005417AF"/>
    <w:rsid w:val="005422A3"/>
    <w:rsid w:val="00543053"/>
    <w:rsid w:val="005436F3"/>
    <w:rsid w:val="00547ECE"/>
    <w:rsid w:val="005502E3"/>
    <w:rsid w:val="0055051E"/>
    <w:rsid w:val="00552ECE"/>
    <w:rsid w:val="00554127"/>
    <w:rsid w:val="00557F34"/>
    <w:rsid w:val="005600B1"/>
    <w:rsid w:val="00562765"/>
    <w:rsid w:val="005631B5"/>
    <w:rsid w:val="00563EAA"/>
    <w:rsid w:val="005653F5"/>
    <w:rsid w:val="0056726A"/>
    <w:rsid w:val="00571FB8"/>
    <w:rsid w:val="0057353E"/>
    <w:rsid w:val="00574B17"/>
    <w:rsid w:val="0058043D"/>
    <w:rsid w:val="0058166D"/>
    <w:rsid w:val="00581F69"/>
    <w:rsid w:val="00582830"/>
    <w:rsid w:val="00583AB7"/>
    <w:rsid w:val="0058407E"/>
    <w:rsid w:val="005866D7"/>
    <w:rsid w:val="00586A80"/>
    <w:rsid w:val="00587EB5"/>
    <w:rsid w:val="0059132A"/>
    <w:rsid w:val="00591577"/>
    <w:rsid w:val="00593EF1"/>
    <w:rsid w:val="00594C02"/>
    <w:rsid w:val="0059548F"/>
    <w:rsid w:val="00597DA5"/>
    <w:rsid w:val="005A06EA"/>
    <w:rsid w:val="005A18FE"/>
    <w:rsid w:val="005A203F"/>
    <w:rsid w:val="005A2B7E"/>
    <w:rsid w:val="005A7729"/>
    <w:rsid w:val="005B1443"/>
    <w:rsid w:val="005B2812"/>
    <w:rsid w:val="005B3314"/>
    <w:rsid w:val="005B38BE"/>
    <w:rsid w:val="005B3C83"/>
    <w:rsid w:val="005B5117"/>
    <w:rsid w:val="005B55F8"/>
    <w:rsid w:val="005B78EB"/>
    <w:rsid w:val="005C3A9A"/>
    <w:rsid w:val="005C56A2"/>
    <w:rsid w:val="005C71BE"/>
    <w:rsid w:val="005D49D5"/>
    <w:rsid w:val="005D7B07"/>
    <w:rsid w:val="005E021F"/>
    <w:rsid w:val="005E032D"/>
    <w:rsid w:val="005E07C3"/>
    <w:rsid w:val="005E0CE5"/>
    <w:rsid w:val="005E1769"/>
    <w:rsid w:val="005E179B"/>
    <w:rsid w:val="005E1D84"/>
    <w:rsid w:val="005E7435"/>
    <w:rsid w:val="005E77C6"/>
    <w:rsid w:val="005F0522"/>
    <w:rsid w:val="005F2228"/>
    <w:rsid w:val="005F32B3"/>
    <w:rsid w:val="005F365D"/>
    <w:rsid w:val="005F3DA3"/>
    <w:rsid w:val="005F49F9"/>
    <w:rsid w:val="005F6CDB"/>
    <w:rsid w:val="006018AE"/>
    <w:rsid w:val="006028D3"/>
    <w:rsid w:val="00603598"/>
    <w:rsid w:val="00603B51"/>
    <w:rsid w:val="0061010C"/>
    <w:rsid w:val="00610DE5"/>
    <w:rsid w:val="00610F6B"/>
    <w:rsid w:val="006134D1"/>
    <w:rsid w:val="006216CC"/>
    <w:rsid w:val="00623B6C"/>
    <w:rsid w:val="0062417F"/>
    <w:rsid w:val="00624E5A"/>
    <w:rsid w:val="00625216"/>
    <w:rsid w:val="0062573D"/>
    <w:rsid w:val="00630365"/>
    <w:rsid w:val="00630B75"/>
    <w:rsid w:val="00631360"/>
    <w:rsid w:val="00633471"/>
    <w:rsid w:val="00633ABF"/>
    <w:rsid w:val="00633F2F"/>
    <w:rsid w:val="006342EF"/>
    <w:rsid w:val="00634E35"/>
    <w:rsid w:val="00635C9C"/>
    <w:rsid w:val="00637923"/>
    <w:rsid w:val="0064675A"/>
    <w:rsid w:val="00646854"/>
    <w:rsid w:val="00647992"/>
    <w:rsid w:val="0065086A"/>
    <w:rsid w:val="0065212B"/>
    <w:rsid w:val="00656699"/>
    <w:rsid w:val="0066069A"/>
    <w:rsid w:val="006617E5"/>
    <w:rsid w:val="006637BC"/>
    <w:rsid w:val="00664631"/>
    <w:rsid w:val="00665AE9"/>
    <w:rsid w:val="00666340"/>
    <w:rsid w:val="0066677B"/>
    <w:rsid w:val="00666AEF"/>
    <w:rsid w:val="006678AC"/>
    <w:rsid w:val="0067147A"/>
    <w:rsid w:val="00672F1C"/>
    <w:rsid w:val="0067595F"/>
    <w:rsid w:val="00681608"/>
    <w:rsid w:val="00681900"/>
    <w:rsid w:val="006819B4"/>
    <w:rsid w:val="00681D64"/>
    <w:rsid w:val="006820DF"/>
    <w:rsid w:val="006831C4"/>
    <w:rsid w:val="00683786"/>
    <w:rsid w:val="00683AD5"/>
    <w:rsid w:val="006852B2"/>
    <w:rsid w:val="00690C5C"/>
    <w:rsid w:val="00692986"/>
    <w:rsid w:val="00694915"/>
    <w:rsid w:val="00697283"/>
    <w:rsid w:val="006A1955"/>
    <w:rsid w:val="006A3EA3"/>
    <w:rsid w:val="006A5F51"/>
    <w:rsid w:val="006A6D43"/>
    <w:rsid w:val="006A77C5"/>
    <w:rsid w:val="006B19C0"/>
    <w:rsid w:val="006B1CAA"/>
    <w:rsid w:val="006B4996"/>
    <w:rsid w:val="006B5662"/>
    <w:rsid w:val="006B6AD3"/>
    <w:rsid w:val="006B7C31"/>
    <w:rsid w:val="006C052C"/>
    <w:rsid w:val="006C0A07"/>
    <w:rsid w:val="006C0D1A"/>
    <w:rsid w:val="006C5B6B"/>
    <w:rsid w:val="006C6629"/>
    <w:rsid w:val="006C6D56"/>
    <w:rsid w:val="006D1E0E"/>
    <w:rsid w:val="006D215D"/>
    <w:rsid w:val="006D2828"/>
    <w:rsid w:val="006D4941"/>
    <w:rsid w:val="006D49AB"/>
    <w:rsid w:val="006D4CF7"/>
    <w:rsid w:val="006E19A8"/>
    <w:rsid w:val="006E4D30"/>
    <w:rsid w:val="006E571B"/>
    <w:rsid w:val="006E57FA"/>
    <w:rsid w:val="006E7B16"/>
    <w:rsid w:val="006F20FE"/>
    <w:rsid w:val="006F2131"/>
    <w:rsid w:val="006F4F85"/>
    <w:rsid w:val="006F5334"/>
    <w:rsid w:val="006F6E8B"/>
    <w:rsid w:val="00702971"/>
    <w:rsid w:val="00703278"/>
    <w:rsid w:val="00707C6A"/>
    <w:rsid w:val="00711F7E"/>
    <w:rsid w:val="00714601"/>
    <w:rsid w:val="00714C43"/>
    <w:rsid w:val="00715202"/>
    <w:rsid w:val="007215FC"/>
    <w:rsid w:val="007216E0"/>
    <w:rsid w:val="007220CE"/>
    <w:rsid w:val="007220FA"/>
    <w:rsid w:val="00722F1D"/>
    <w:rsid w:val="00723C80"/>
    <w:rsid w:val="0072402F"/>
    <w:rsid w:val="00725E1B"/>
    <w:rsid w:val="00726CAF"/>
    <w:rsid w:val="00730EF7"/>
    <w:rsid w:val="00735EF2"/>
    <w:rsid w:val="007404C5"/>
    <w:rsid w:val="0074225C"/>
    <w:rsid w:val="007423D3"/>
    <w:rsid w:val="00742897"/>
    <w:rsid w:val="0074386D"/>
    <w:rsid w:val="0074506F"/>
    <w:rsid w:val="00745FB2"/>
    <w:rsid w:val="0074660C"/>
    <w:rsid w:val="00754CE0"/>
    <w:rsid w:val="007553A3"/>
    <w:rsid w:val="00756361"/>
    <w:rsid w:val="00756CFD"/>
    <w:rsid w:val="0076036F"/>
    <w:rsid w:val="00760627"/>
    <w:rsid w:val="00762DB6"/>
    <w:rsid w:val="00764528"/>
    <w:rsid w:val="0076586C"/>
    <w:rsid w:val="0076768D"/>
    <w:rsid w:val="00767CF2"/>
    <w:rsid w:val="0077174F"/>
    <w:rsid w:val="007726EA"/>
    <w:rsid w:val="0077369E"/>
    <w:rsid w:val="00774C1F"/>
    <w:rsid w:val="00777BC8"/>
    <w:rsid w:val="00781FA8"/>
    <w:rsid w:val="00782D69"/>
    <w:rsid w:val="00785524"/>
    <w:rsid w:val="00786C37"/>
    <w:rsid w:val="00787975"/>
    <w:rsid w:val="00787C53"/>
    <w:rsid w:val="00787D93"/>
    <w:rsid w:val="007A1045"/>
    <w:rsid w:val="007A53E1"/>
    <w:rsid w:val="007A5E9F"/>
    <w:rsid w:val="007A7CC1"/>
    <w:rsid w:val="007B0284"/>
    <w:rsid w:val="007B363E"/>
    <w:rsid w:val="007B4264"/>
    <w:rsid w:val="007B5F93"/>
    <w:rsid w:val="007B79C4"/>
    <w:rsid w:val="007C018C"/>
    <w:rsid w:val="007C37DD"/>
    <w:rsid w:val="007C38A5"/>
    <w:rsid w:val="007C5BC0"/>
    <w:rsid w:val="007C6222"/>
    <w:rsid w:val="007C66C8"/>
    <w:rsid w:val="007C763E"/>
    <w:rsid w:val="007D0F1F"/>
    <w:rsid w:val="007D1065"/>
    <w:rsid w:val="007D1230"/>
    <w:rsid w:val="007D1625"/>
    <w:rsid w:val="007D1A0A"/>
    <w:rsid w:val="007D1FFE"/>
    <w:rsid w:val="007D22CD"/>
    <w:rsid w:val="007D3E3B"/>
    <w:rsid w:val="007D5F20"/>
    <w:rsid w:val="007D6992"/>
    <w:rsid w:val="007D6DA7"/>
    <w:rsid w:val="007E166C"/>
    <w:rsid w:val="007E25DC"/>
    <w:rsid w:val="007E4C48"/>
    <w:rsid w:val="007E5607"/>
    <w:rsid w:val="007E64E0"/>
    <w:rsid w:val="007E6DFC"/>
    <w:rsid w:val="007F228F"/>
    <w:rsid w:val="007F2969"/>
    <w:rsid w:val="007F363C"/>
    <w:rsid w:val="007F5CD4"/>
    <w:rsid w:val="007F7007"/>
    <w:rsid w:val="007F746F"/>
    <w:rsid w:val="007F7509"/>
    <w:rsid w:val="007F7CF1"/>
    <w:rsid w:val="008011F6"/>
    <w:rsid w:val="00801AC9"/>
    <w:rsid w:val="00804ED7"/>
    <w:rsid w:val="00806BD6"/>
    <w:rsid w:val="00806FAF"/>
    <w:rsid w:val="00807D28"/>
    <w:rsid w:val="008122F7"/>
    <w:rsid w:val="00814250"/>
    <w:rsid w:val="00815A3E"/>
    <w:rsid w:val="008168F6"/>
    <w:rsid w:val="0082052E"/>
    <w:rsid w:val="00822771"/>
    <w:rsid w:val="00824CEA"/>
    <w:rsid w:val="00826B32"/>
    <w:rsid w:val="00831C3C"/>
    <w:rsid w:val="00833BC5"/>
    <w:rsid w:val="00834307"/>
    <w:rsid w:val="00834C23"/>
    <w:rsid w:val="00841861"/>
    <w:rsid w:val="008447AC"/>
    <w:rsid w:val="00846588"/>
    <w:rsid w:val="00846DEB"/>
    <w:rsid w:val="00851774"/>
    <w:rsid w:val="00857DF4"/>
    <w:rsid w:val="00863166"/>
    <w:rsid w:val="00863BBF"/>
    <w:rsid w:val="008640A8"/>
    <w:rsid w:val="00864AB4"/>
    <w:rsid w:val="008670FB"/>
    <w:rsid w:val="00867780"/>
    <w:rsid w:val="0086797A"/>
    <w:rsid w:val="00871A56"/>
    <w:rsid w:val="00872773"/>
    <w:rsid w:val="00872843"/>
    <w:rsid w:val="00873D66"/>
    <w:rsid w:val="00875648"/>
    <w:rsid w:val="00880B3E"/>
    <w:rsid w:val="00880B67"/>
    <w:rsid w:val="00881B08"/>
    <w:rsid w:val="00882175"/>
    <w:rsid w:val="008826F3"/>
    <w:rsid w:val="00882CBB"/>
    <w:rsid w:val="00884635"/>
    <w:rsid w:val="00891500"/>
    <w:rsid w:val="00891C9B"/>
    <w:rsid w:val="00892399"/>
    <w:rsid w:val="00892CBC"/>
    <w:rsid w:val="0089489F"/>
    <w:rsid w:val="0089578E"/>
    <w:rsid w:val="00896233"/>
    <w:rsid w:val="0089646E"/>
    <w:rsid w:val="008A01DF"/>
    <w:rsid w:val="008A04AB"/>
    <w:rsid w:val="008A1BA9"/>
    <w:rsid w:val="008A26DC"/>
    <w:rsid w:val="008A3511"/>
    <w:rsid w:val="008A3EC8"/>
    <w:rsid w:val="008A4DBA"/>
    <w:rsid w:val="008A6020"/>
    <w:rsid w:val="008B01F9"/>
    <w:rsid w:val="008B1FCD"/>
    <w:rsid w:val="008B425D"/>
    <w:rsid w:val="008B457E"/>
    <w:rsid w:val="008B53CA"/>
    <w:rsid w:val="008B5797"/>
    <w:rsid w:val="008C0AEC"/>
    <w:rsid w:val="008C442D"/>
    <w:rsid w:val="008C529E"/>
    <w:rsid w:val="008C56B5"/>
    <w:rsid w:val="008C5974"/>
    <w:rsid w:val="008C68DE"/>
    <w:rsid w:val="008C7B92"/>
    <w:rsid w:val="008C7DB9"/>
    <w:rsid w:val="008D66AD"/>
    <w:rsid w:val="008E0BEC"/>
    <w:rsid w:val="008E3768"/>
    <w:rsid w:val="008E7735"/>
    <w:rsid w:val="008F077A"/>
    <w:rsid w:val="008F0844"/>
    <w:rsid w:val="008F2231"/>
    <w:rsid w:val="008F360D"/>
    <w:rsid w:val="008F6BDB"/>
    <w:rsid w:val="008F77E2"/>
    <w:rsid w:val="0090082F"/>
    <w:rsid w:val="009015C0"/>
    <w:rsid w:val="0090260B"/>
    <w:rsid w:val="00904E1E"/>
    <w:rsid w:val="00905FE6"/>
    <w:rsid w:val="00907F55"/>
    <w:rsid w:val="009128E0"/>
    <w:rsid w:val="00912DB1"/>
    <w:rsid w:val="0091386F"/>
    <w:rsid w:val="009140ED"/>
    <w:rsid w:val="009146A3"/>
    <w:rsid w:val="0091560B"/>
    <w:rsid w:val="0091577B"/>
    <w:rsid w:val="009157C0"/>
    <w:rsid w:val="00915CFA"/>
    <w:rsid w:val="00916257"/>
    <w:rsid w:val="00916AD2"/>
    <w:rsid w:val="00917260"/>
    <w:rsid w:val="00917EF8"/>
    <w:rsid w:val="0092070A"/>
    <w:rsid w:val="00920E69"/>
    <w:rsid w:val="00924794"/>
    <w:rsid w:val="009348D7"/>
    <w:rsid w:val="00935033"/>
    <w:rsid w:val="009352D5"/>
    <w:rsid w:val="00935822"/>
    <w:rsid w:val="00935B25"/>
    <w:rsid w:val="00935C58"/>
    <w:rsid w:val="009403D0"/>
    <w:rsid w:val="009445A8"/>
    <w:rsid w:val="009445C3"/>
    <w:rsid w:val="009448E4"/>
    <w:rsid w:val="00946245"/>
    <w:rsid w:val="00946CA1"/>
    <w:rsid w:val="009470F7"/>
    <w:rsid w:val="0094715F"/>
    <w:rsid w:val="00952542"/>
    <w:rsid w:val="00954E46"/>
    <w:rsid w:val="00955BFE"/>
    <w:rsid w:val="00956DA5"/>
    <w:rsid w:val="00957F79"/>
    <w:rsid w:val="00957FBC"/>
    <w:rsid w:val="00960048"/>
    <w:rsid w:val="00960325"/>
    <w:rsid w:val="009606F8"/>
    <w:rsid w:val="00960CD5"/>
    <w:rsid w:val="00961201"/>
    <w:rsid w:val="00964494"/>
    <w:rsid w:val="00965C6D"/>
    <w:rsid w:val="0096609C"/>
    <w:rsid w:val="009679C4"/>
    <w:rsid w:val="009701D1"/>
    <w:rsid w:val="00972904"/>
    <w:rsid w:val="009736BB"/>
    <w:rsid w:val="00974154"/>
    <w:rsid w:val="0097495C"/>
    <w:rsid w:val="00976932"/>
    <w:rsid w:val="00980A6C"/>
    <w:rsid w:val="00981B01"/>
    <w:rsid w:val="00982F40"/>
    <w:rsid w:val="0098525F"/>
    <w:rsid w:val="009858B2"/>
    <w:rsid w:val="00985FBD"/>
    <w:rsid w:val="009910F6"/>
    <w:rsid w:val="00991E9C"/>
    <w:rsid w:val="009920F5"/>
    <w:rsid w:val="00992C03"/>
    <w:rsid w:val="00994213"/>
    <w:rsid w:val="009943DF"/>
    <w:rsid w:val="00997D5E"/>
    <w:rsid w:val="009A1509"/>
    <w:rsid w:val="009A27A3"/>
    <w:rsid w:val="009A6396"/>
    <w:rsid w:val="009A7A03"/>
    <w:rsid w:val="009B00FD"/>
    <w:rsid w:val="009B094A"/>
    <w:rsid w:val="009B1056"/>
    <w:rsid w:val="009B11A6"/>
    <w:rsid w:val="009B247B"/>
    <w:rsid w:val="009B730D"/>
    <w:rsid w:val="009B748C"/>
    <w:rsid w:val="009C29FA"/>
    <w:rsid w:val="009C2DBE"/>
    <w:rsid w:val="009C4453"/>
    <w:rsid w:val="009C5B4F"/>
    <w:rsid w:val="009D111F"/>
    <w:rsid w:val="009D49BA"/>
    <w:rsid w:val="009D622F"/>
    <w:rsid w:val="009D709E"/>
    <w:rsid w:val="009E18A1"/>
    <w:rsid w:val="009E1D8A"/>
    <w:rsid w:val="009E3546"/>
    <w:rsid w:val="009E361B"/>
    <w:rsid w:val="009E4C46"/>
    <w:rsid w:val="009E7392"/>
    <w:rsid w:val="009F048F"/>
    <w:rsid w:val="009F2D5A"/>
    <w:rsid w:val="009F35E6"/>
    <w:rsid w:val="009F3EAE"/>
    <w:rsid w:val="009F4893"/>
    <w:rsid w:val="009F5496"/>
    <w:rsid w:val="009F693A"/>
    <w:rsid w:val="00A00BCA"/>
    <w:rsid w:val="00A01A24"/>
    <w:rsid w:val="00A0340B"/>
    <w:rsid w:val="00A048AD"/>
    <w:rsid w:val="00A04D76"/>
    <w:rsid w:val="00A060EE"/>
    <w:rsid w:val="00A114C6"/>
    <w:rsid w:val="00A130F0"/>
    <w:rsid w:val="00A13921"/>
    <w:rsid w:val="00A156E2"/>
    <w:rsid w:val="00A168F4"/>
    <w:rsid w:val="00A1691E"/>
    <w:rsid w:val="00A16DDC"/>
    <w:rsid w:val="00A200CC"/>
    <w:rsid w:val="00A21D54"/>
    <w:rsid w:val="00A22AE4"/>
    <w:rsid w:val="00A24855"/>
    <w:rsid w:val="00A24F8B"/>
    <w:rsid w:val="00A25B55"/>
    <w:rsid w:val="00A26FC3"/>
    <w:rsid w:val="00A2757D"/>
    <w:rsid w:val="00A27619"/>
    <w:rsid w:val="00A302C1"/>
    <w:rsid w:val="00A30534"/>
    <w:rsid w:val="00A31655"/>
    <w:rsid w:val="00A33430"/>
    <w:rsid w:val="00A3445E"/>
    <w:rsid w:val="00A35BAF"/>
    <w:rsid w:val="00A36607"/>
    <w:rsid w:val="00A4086B"/>
    <w:rsid w:val="00A4650A"/>
    <w:rsid w:val="00A4650F"/>
    <w:rsid w:val="00A46E03"/>
    <w:rsid w:val="00A471C1"/>
    <w:rsid w:val="00A47926"/>
    <w:rsid w:val="00A5467B"/>
    <w:rsid w:val="00A5504F"/>
    <w:rsid w:val="00A564E5"/>
    <w:rsid w:val="00A573D2"/>
    <w:rsid w:val="00A60E5B"/>
    <w:rsid w:val="00A61E86"/>
    <w:rsid w:val="00A63C0E"/>
    <w:rsid w:val="00A64655"/>
    <w:rsid w:val="00A651E3"/>
    <w:rsid w:val="00A660B2"/>
    <w:rsid w:val="00A72B49"/>
    <w:rsid w:val="00A7318D"/>
    <w:rsid w:val="00A7355A"/>
    <w:rsid w:val="00A74FE1"/>
    <w:rsid w:val="00A76188"/>
    <w:rsid w:val="00A762F9"/>
    <w:rsid w:val="00A76D38"/>
    <w:rsid w:val="00A77A10"/>
    <w:rsid w:val="00A832F2"/>
    <w:rsid w:val="00A839BA"/>
    <w:rsid w:val="00A84186"/>
    <w:rsid w:val="00A8540D"/>
    <w:rsid w:val="00A86E61"/>
    <w:rsid w:val="00A91495"/>
    <w:rsid w:val="00A91B31"/>
    <w:rsid w:val="00A92609"/>
    <w:rsid w:val="00A93A80"/>
    <w:rsid w:val="00A93AE7"/>
    <w:rsid w:val="00A94771"/>
    <w:rsid w:val="00A947DD"/>
    <w:rsid w:val="00A94966"/>
    <w:rsid w:val="00A95416"/>
    <w:rsid w:val="00AA050E"/>
    <w:rsid w:val="00AA0EAB"/>
    <w:rsid w:val="00AA1865"/>
    <w:rsid w:val="00AA1EAA"/>
    <w:rsid w:val="00AA40C2"/>
    <w:rsid w:val="00AA4F3C"/>
    <w:rsid w:val="00AA61FF"/>
    <w:rsid w:val="00AA6981"/>
    <w:rsid w:val="00AA7CC4"/>
    <w:rsid w:val="00AB3618"/>
    <w:rsid w:val="00AB55EE"/>
    <w:rsid w:val="00AB6596"/>
    <w:rsid w:val="00AB6EF5"/>
    <w:rsid w:val="00AB739A"/>
    <w:rsid w:val="00AB7D36"/>
    <w:rsid w:val="00AC0EC3"/>
    <w:rsid w:val="00AC16EF"/>
    <w:rsid w:val="00AC2272"/>
    <w:rsid w:val="00AC268C"/>
    <w:rsid w:val="00AC4819"/>
    <w:rsid w:val="00AC4945"/>
    <w:rsid w:val="00AC4EA4"/>
    <w:rsid w:val="00AC63E5"/>
    <w:rsid w:val="00AC655D"/>
    <w:rsid w:val="00AD1171"/>
    <w:rsid w:val="00AD1677"/>
    <w:rsid w:val="00AD1901"/>
    <w:rsid w:val="00AD4A7F"/>
    <w:rsid w:val="00AD4D05"/>
    <w:rsid w:val="00AD6671"/>
    <w:rsid w:val="00AE1A15"/>
    <w:rsid w:val="00AE2841"/>
    <w:rsid w:val="00AE359A"/>
    <w:rsid w:val="00AE3B86"/>
    <w:rsid w:val="00AE4C91"/>
    <w:rsid w:val="00AE5272"/>
    <w:rsid w:val="00AE7E7B"/>
    <w:rsid w:val="00AF190F"/>
    <w:rsid w:val="00AF1CF2"/>
    <w:rsid w:val="00AF238D"/>
    <w:rsid w:val="00AF49CF"/>
    <w:rsid w:val="00AF530C"/>
    <w:rsid w:val="00AF7F56"/>
    <w:rsid w:val="00B01434"/>
    <w:rsid w:val="00B02CFF"/>
    <w:rsid w:val="00B036DD"/>
    <w:rsid w:val="00B0709F"/>
    <w:rsid w:val="00B11321"/>
    <w:rsid w:val="00B13031"/>
    <w:rsid w:val="00B137C2"/>
    <w:rsid w:val="00B162F5"/>
    <w:rsid w:val="00B1703F"/>
    <w:rsid w:val="00B2001B"/>
    <w:rsid w:val="00B2020C"/>
    <w:rsid w:val="00B208E2"/>
    <w:rsid w:val="00B20EF0"/>
    <w:rsid w:val="00B21397"/>
    <w:rsid w:val="00B238CE"/>
    <w:rsid w:val="00B24981"/>
    <w:rsid w:val="00B24B33"/>
    <w:rsid w:val="00B279DC"/>
    <w:rsid w:val="00B27AA4"/>
    <w:rsid w:val="00B3138A"/>
    <w:rsid w:val="00B357DD"/>
    <w:rsid w:val="00B366EF"/>
    <w:rsid w:val="00B40E22"/>
    <w:rsid w:val="00B40EFA"/>
    <w:rsid w:val="00B42065"/>
    <w:rsid w:val="00B450FE"/>
    <w:rsid w:val="00B45B61"/>
    <w:rsid w:val="00B45D36"/>
    <w:rsid w:val="00B47D84"/>
    <w:rsid w:val="00B51852"/>
    <w:rsid w:val="00B5188A"/>
    <w:rsid w:val="00B55BA2"/>
    <w:rsid w:val="00B55CF3"/>
    <w:rsid w:val="00B56B78"/>
    <w:rsid w:val="00B60EF9"/>
    <w:rsid w:val="00B62232"/>
    <w:rsid w:val="00B6430E"/>
    <w:rsid w:val="00B645DB"/>
    <w:rsid w:val="00B6488A"/>
    <w:rsid w:val="00B65675"/>
    <w:rsid w:val="00B72DC8"/>
    <w:rsid w:val="00B73D62"/>
    <w:rsid w:val="00B75246"/>
    <w:rsid w:val="00B76948"/>
    <w:rsid w:val="00B8032C"/>
    <w:rsid w:val="00B81AFC"/>
    <w:rsid w:val="00B81DCE"/>
    <w:rsid w:val="00B82ABA"/>
    <w:rsid w:val="00B853C8"/>
    <w:rsid w:val="00B857B8"/>
    <w:rsid w:val="00B85969"/>
    <w:rsid w:val="00B86377"/>
    <w:rsid w:val="00B866F6"/>
    <w:rsid w:val="00B9274B"/>
    <w:rsid w:val="00B92A5F"/>
    <w:rsid w:val="00B94204"/>
    <w:rsid w:val="00B94B88"/>
    <w:rsid w:val="00B96DFC"/>
    <w:rsid w:val="00BA1DBC"/>
    <w:rsid w:val="00BA2DE9"/>
    <w:rsid w:val="00BA4038"/>
    <w:rsid w:val="00BA582E"/>
    <w:rsid w:val="00BA61E3"/>
    <w:rsid w:val="00BA6398"/>
    <w:rsid w:val="00BA7C9F"/>
    <w:rsid w:val="00BB2742"/>
    <w:rsid w:val="00BB28D5"/>
    <w:rsid w:val="00BB55DD"/>
    <w:rsid w:val="00BC0BA5"/>
    <w:rsid w:val="00BC10C3"/>
    <w:rsid w:val="00BC1FD1"/>
    <w:rsid w:val="00BC2726"/>
    <w:rsid w:val="00BC3417"/>
    <w:rsid w:val="00BC38A7"/>
    <w:rsid w:val="00BD107D"/>
    <w:rsid w:val="00BD2D09"/>
    <w:rsid w:val="00BD4F59"/>
    <w:rsid w:val="00BD599F"/>
    <w:rsid w:val="00BD7934"/>
    <w:rsid w:val="00BE1F0A"/>
    <w:rsid w:val="00BE2A26"/>
    <w:rsid w:val="00BE33F7"/>
    <w:rsid w:val="00BE5871"/>
    <w:rsid w:val="00BE6C46"/>
    <w:rsid w:val="00BE74E4"/>
    <w:rsid w:val="00BE7768"/>
    <w:rsid w:val="00BF2FFF"/>
    <w:rsid w:val="00BF4495"/>
    <w:rsid w:val="00BF665F"/>
    <w:rsid w:val="00C0307D"/>
    <w:rsid w:val="00C0641B"/>
    <w:rsid w:val="00C06A03"/>
    <w:rsid w:val="00C06DD2"/>
    <w:rsid w:val="00C12C8B"/>
    <w:rsid w:val="00C13BCA"/>
    <w:rsid w:val="00C13CC7"/>
    <w:rsid w:val="00C15334"/>
    <w:rsid w:val="00C174AE"/>
    <w:rsid w:val="00C20C0B"/>
    <w:rsid w:val="00C20F97"/>
    <w:rsid w:val="00C26A27"/>
    <w:rsid w:val="00C306FD"/>
    <w:rsid w:val="00C30EA8"/>
    <w:rsid w:val="00C332B1"/>
    <w:rsid w:val="00C349FF"/>
    <w:rsid w:val="00C34CFC"/>
    <w:rsid w:val="00C35D71"/>
    <w:rsid w:val="00C3631A"/>
    <w:rsid w:val="00C3687F"/>
    <w:rsid w:val="00C4201E"/>
    <w:rsid w:val="00C507AA"/>
    <w:rsid w:val="00C51688"/>
    <w:rsid w:val="00C532B9"/>
    <w:rsid w:val="00C54800"/>
    <w:rsid w:val="00C56852"/>
    <w:rsid w:val="00C60AED"/>
    <w:rsid w:val="00C60BB0"/>
    <w:rsid w:val="00C6176A"/>
    <w:rsid w:val="00C629D3"/>
    <w:rsid w:val="00C62EDF"/>
    <w:rsid w:val="00C63B29"/>
    <w:rsid w:val="00C65B13"/>
    <w:rsid w:val="00C67042"/>
    <w:rsid w:val="00C723A9"/>
    <w:rsid w:val="00C738CD"/>
    <w:rsid w:val="00C749E4"/>
    <w:rsid w:val="00C74F01"/>
    <w:rsid w:val="00C7504F"/>
    <w:rsid w:val="00C77BD0"/>
    <w:rsid w:val="00C81009"/>
    <w:rsid w:val="00C81EF6"/>
    <w:rsid w:val="00C84284"/>
    <w:rsid w:val="00C859DB"/>
    <w:rsid w:val="00C8636E"/>
    <w:rsid w:val="00C8730A"/>
    <w:rsid w:val="00C9035C"/>
    <w:rsid w:val="00C9044F"/>
    <w:rsid w:val="00C90E20"/>
    <w:rsid w:val="00C92F69"/>
    <w:rsid w:val="00C93C47"/>
    <w:rsid w:val="00C94DB1"/>
    <w:rsid w:val="00C95C02"/>
    <w:rsid w:val="00C96D11"/>
    <w:rsid w:val="00CA0CFD"/>
    <w:rsid w:val="00CA14A9"/>
    <w:rsid w:val="00CA1A6B"/>
    <w:rsid w:val="00CA1C16"/>
    <w:rsid w:val="00CA1F0C"/>
    <w:rsid w:val="00CA2058"/>
    <w:rsid w:val="00CA4316"/>
    <w:rsid w:val="00CA4CC3"/>
    <w:rsid w:val="00CA55F1"/>
    <w:rsid w:val="00CA681B"/>
    <w:rsid w:val="00CA7198"/>
    <w:rsid w:val="00CB0306"/>
    <w:rsid w:val="00CB339A"/>
    <w:rsid w:val="00CB3D13"/>
    <w:rsid w:val="00CB565B"/>
    <w:rsid w:val="00CB5B94"/>
    <w:rsid w:val="00CB61AD"/>
    <w:rsid w:val="00CC210D"/>
    <w:rsid w:val="00CC2578"/>
    <w:rsid w:val="00CC2EE0"/>
    <w:rsid w:val="00CC3E56"/>
    <w:rsid w:val="00CC4BC5"/>
    <w:rsid w:val="00CC645F"/>
    <w:rsid w:val="00CD0EF2"/>
    <w:rsid w:val="00CD1D99"/>
    <w:rsid w:val="00CD32DA"/>
    <w:rsid w:val="00CD51C8"/>
    <w:rsid w:val="00CD7180"/>
    <w:rsid w:val="00CE00DF"/>
    <w:rsid w:val="00CE0A77"/>
    <w:rsid w:val="00CE0F47"/>
    <w:rsid w:val="00CE1CB8"/>
    <w:rsid w:val="00CE2A49"/>
    <w:rsid w:val="00CE3CAC"/>
    <w:rsid w:val="00CE655F"/>
    <w:rsid w:val="00CE67EF"/>
    <w:rsid w:val="00CE68BD"/>
    <w:rsid w:val="00CF1F67"/>
    <w:rsid w:val="00CF4535"/>
    <w:rsid w:val="00CF4A60"/>
    <w:rsid w:val="00CF5293"/>
    <w:rsid w:val="00CF74EB"/>
    <w:rsid w:val="00CF77D4"/>
    <w:rsid w:val="00D039CB"/>
    <w:rsid w:val="00D040A9"/>
    <w:rsid w:val="00D05E2F"/>
    <w:rsid w:val="00D0636A"/>
    <w:rsid w:val="00D06E35"/>
    <w:rsid w:val="00D07303"/>
    <w:rsid w:val="00D13117"/>
    <w:rsid w:val="00D13605"/>
    <w:rsid w:val="00D15ECF"/>
    <w:rsid w:val="00D17580"/>
    <w:rsid w:val="00D209AA"/>
    <w:rsid w:val="00D22AFD"/>
    <w:rsid w:val="00D22F23"/>
    <w:rsid w:val="00D2363D"/>
    <w:rsid w:val="00D23866"/>
    <w:rsid w:val="00D23FFD"/>
    <w:rsid w:val="00D25C2A"/>
    <w:rsid w:val="00D32B32"/>
    <w:rsid w:val="00D33447"/>
    <w:rsid w:val="00D34EF8"/>
    <w:rsid w:val="00D37444"/>
    <w:rsid w:val="00D37C49"/>
    <w:rsid w:val="00D411C4"/>
    <w:rsid w:val="00D416B2"/>
    <w:rsid w:val="00D432A9"/>
    <w:rsid w:val="00D44663"/>
    <w:rsid w:val="00D447BC"/>
    <w:rsid w:val="00D44914"/>
    <w:rsid w:val="00D459BC"/>
    <w:rsid w:val="00D45EFA"/>
    <w:rsid w:val="00D465CD"/>
    <w:rsid w:val="00D46AAC"/>
    <w:rsid w:val="00D5097D"/>
    <w:rsid w:val="00D513A1"/>
    <w:rsid w:val="00D51BA7"/>
    <w:rsid w:val="00D52C63"/>
    <w:rsid w:val="00D62513"/>
    <w:rsid w:val="00D63CFB"/>
    <w:rsid w:val="00D6650C"/>
    <w:rsid w:val="00D667C4"/>
    <w:rsid w:val="00D67EB5"/>
    <w:rsid w:val="00D70825"/>
    <w:rsid w:val="00D7187A"/>
    <w:rsid w:val="00D72F94"/>
    <w:rsid w:val="00D73DC1"/>
    <w:rsid w:val="00D75738"/>
    <w:rsid w:val="00D76990"/>
    <w:rsid w:val="00D76C1E"/>
    <w:rsid w:val="00D81058"/>
    <w:rsid w:val="00D81298"/>
    <w:rsid w:val="00D82EE8"/>
    <w:rsid w:val="00D83EFC"/>
    <w:rsid w:val="00D84D65"/>
    <w:rsid w:val="00D87EAA"/>
    <w:rsid w:val="00D91AB5"/>
    <w:rsid w:val="00D93FE9"/>
    <w:rsid w:val="00D957D4"/>
    <w:rsid w:val="00D95B86"/>
    <w:rsid w:val="00D9610C"/>
    <w:rsid w:val="00D9767F"/>
    <w:rsid w:val="00DA0A41"/>
    <w:rsid w:val="00DA1553"/>
    <w:rsid w:val="00DA243C"/>
    <w:rsid w:val="00DA3A39"/>
    <w:rsid w:val="00DA3BB5"/>
    <w:rsid w:val="00DA3D20"/>
    <w:rsid w:val="00DA4C09"/>
    <w:rsid w:val="00DA7CE1"/>
    <w:rsid w:val="00DA7FB8"/>
    <w:rsid w:val="00DB11DD"/>
    <w:rsid w:val="00DB1B13"/>
    <w:rsid w:val="00DB2065"/>
    <w:rsid w:val="00DB223A"/>
    <w:rsid w:val="00DB6CFB"/>
    <w:rsid w:val="00DB7191"/>
    <w:rsid w:val="00DC2361"/>
    <w:rsid w:val="00DC2EBF"/>
    <w:rsid w:val="00DC2F43"/>
    <w:rsid w:val="00DC765D"/>
    <w:rsid w:val="00DC7788"/>
    <w:rsid w:val="00DC779D"/>
    <w:rsid w:val="00DD0AF9"/>
    <w:rsid w:val="00DD0ECD"/>
    <w:rsid w:val="00DD0F9F"/>
    <w:rsid w:val="00DD10B5"/>
    <w:rsid w:val="00DD383E"/>
    <w:rsid w:val="00DD395C"/>
    <w:rsid w:val="00DD4001"/>
    <w:rsid w:val="00DD4BE6"/>
    <w:rsid w:val="00DD52C9"/>
    <w:rsid w:val="00DD5330"/>
    <w:rsid w:val="00DD7C09"/>
    <w:rsid w:val="00DE11BC"/>
    <w:rsid w:val="00DE1B60"/>
    <w:rsid w:val="00DE1DD7"/>
    <w:rsid w:val="00DE1F10"/>
    <w:rsid w:val="00DE38E4"/>
    <w:rsid w:val="00DE3A3E"/>
    <w:rsid w:val="00DE4960"/>
    <w:rsid w:val="00DE561E"/>
    <w:rsid w:val="00DE64E8"/>
    <w:rsid w:val="00DF190C"/>
    <w:rsid w:val="00DF19EA"/>
    <w:rsid w:val="00DF39A5"/>
    <w:rsid w:val="00DF3D7F"/>
    <w:rsid w:val="00DF415E"/>
    <w:rsid w:val="00DF507A"/>
    <w:rsid w:val="00DF643E"/>
    <w:rsid w:val="00DF68CF"/>
    <w:rsid w:val="00DF7F90"/>
    <w:rsid w:val="00E04E75"/>
    <w:rsid w:val="00E059E6"/>
    <w:rsid w:val="00E05D87"/>
    <w:rsid w:val="00E07A83"/>
    <w:rsid w:val="00E07CA3"/>
    <w:rsid w:val="00E07D50"/>
    <w:rsid w:val="00E07D97"/>
    <w:rsid w:val="00E10535"/>
    <w:rsid w:val="00E12756"/>
    <w:rsid w:val="00E12C09"/>
    <w:rsid w:val="00E14638"/>
    <w:rsid w:val="00E15CD5"/>
    <w:rsid w:val="00E20225"/>
    <w:rsid w:val="00E22E01"/>
    <w:rsid w:val="00E25E2C"/>
    <w:rsid w:val="00E266B6"/>
    <w:rsid w:val="00E26F8E"/>
    <w:rsid w:val="00E31430"/>
    <w:rsid w:val="00E356CC"/>
    <w:rsid w:val="00E3668C"/>
    <w:rsid w:val="00E40E38"/>
    <w:rsid w:val="00E432BB"/>
    <w:rsid w:val="00E438D5"/>
    <w:rsid w:val="00E46D90"/>
    <w:rsid w:val="00E475ED"/>
    <w:rsid w:val="00E531D3"/>
    <w:rsid w:val="00E6130A"/>
    <w:rsid w:val="00E63570"/>
    <w:rsid w:val="00E673BC"/>
    <w:rsid w:val="00E67620"/>
    <w:rsid w:val="00E7081C"/>
    <w:rsid w:val="00E70FB5"/>
    <w:rsid w:val="00E732BB"/>
    <w:rsid w:val="00E74A56"/>
    <w:rsid w:val="00E75099"/>
    <w:rsid w:val="00E76525"/>
    <w:rsid w:val="00E82077"/>
    <w:rsid w:val="00E83701"/>
    <w:rsid w:val="00E84AC1"/>
    <w:rsid w:val="00E85293"/>
    <w:rsid w:val="00E852F0"/>
    <w:rsid w:val="00E91818"/>
    <w:rsid w:val="00E91E75"/>
    <w:rsid w:val="00E92660"/>
    <w:rsid w:val="00E92CCB"/>
    <w:rsid w:val="00E94496"/>
    <w:rsid w:val="00E97A25"/>
    <w:rsid w:val="00E97ED8"/>
    <w:rsid w:val="00EA003E"/>
    <w:rsid w:val="00EA0921"/>
    <w:rsid w:val="00EA0DA1"/>
    <w:rsid w:val="00EA4736"/>
    <w:rsid w:val="00EA4CD4"/>
    <w:rsid w:val="00EA726E"/>
    <w:rsid w:val="00EB065F"/>
    <w:rsid w:val="00EB0E02"/>
    <w:rsid w:val="00EB3D6F"/>
    <w:rsid w:val="00EB4AD2"/>
    <w:rsid w:val="00EC1058"/>
    <w:rsid w:val="00EC2FAA"/>
    <w:rsid w:val="00EC6DD8"/>
    <w:rsid w:val="00ED2161"/>
    <w:rsid w:val="00ED2626"/>
    <w:rsid w:val="00ED4523"/>
    <w:rsid w:val="00ED599C"/>
    <w:rsid w:val="00ED79E6"/>
    <w:rsid w:val="00ED7D91"/>
    <w:rsid w:val="00EE11B6"/>
    <w:rsid w:val="00EE3B58"/>
    <w:rsid w:val="00EE4FE5"/>
    <w:rsid w:val="00EE6A4B"/>
    <w:rsid w:val="00EE6E30"/>
    <w:rsid w:val="00EF126B"/>
    <w:rsid w:val="00EF173C"/>
    <w:rsid w:val="00EF6086"/>
    <w:rsid w:val="00EF6E8D"/>
    <w:rsid w:val="00F02CF0"/>
    <w:rsid w:val="00F03716"/>
    <w:rsid w:val="00F042A3"/>
    <w:rsid w:val="00F04BEF"/>
    <w:rsid w:val="00F0690F"/>
    <w:rsid w:val="00F076DE"/>
    <w:rsid w:val="00F1060A"/>
    <w:rsid w:val="00F11ADD"/>
    <w:rsid w:val="00F120B5"/>
    <w:rsid w:val="00F14D1F"/>
    <w:rsid w:val="00F152E1"/>
    <w:rsid w:val="00F15C8B"/>
    <w:rsid w:val="00F20654"/>
    <w:rsid w:val="00F20DC9"/>
    <w:rsid w:val="00F22C08"/>
    <w:rsid w:val="00F22CC0"/>
    <w:rsid w:val="00F25489"/>
    <w:rsid w:val="00F2704D"/>
    <w:rsid w:val="00F270A2"/>
    <w:rsid w:val="00F30266"/>
    <w:rsid w:val="00F30BC8"/>
    <w:rsid w:val="00F315DE"/>
    <w:rsid w:val="00F32DCE"/>
    <w:rsid w:val="00F32F9B"/>
    <w:rsid w:val="00F34E1D"/>
    <w:rsid w:val="00F36271"/>
    <w:rsid w:val="00F40C0E"/>
    <w:rsid w:val="00F41148"/>
    <w:rsid w:val="00F41D9E"/>
    <w:rsid w:val="00F41DB7"/>
    <w:rsid w:val="00F457EA"/>
    <w:rsid w:val="00F50E76"/>
    <w:rsid w:val="00F511AB"/>
    <w:rsid w:val="00F51656"/>
    <w:rsid w:val="00F51DEB"/>
    <w:rsid w:val="00F5209A"/>
    <w:rsid w:val="00F52B1B"/>
    <w:rsid w:val="00F60B2A"/>
    <w:rsid w:val="00F613F8"/>
    <w:rsid w:val="00F62D87"/>
    <w:rsid w:val="00F63CEA"/>
    <w:rsid w:val="00F65B8E"/>
    <w:rsid w:val="00F738B3"/>
    <w:rsid w:val="00F741A7"/>
    <w:rsid w:val="00F74801"/>
    <w:rsid w:val="00F75937"/>
    <w:rsid w:val="00F76FCA"/>
    <w:rsid w:val="00F77A88"/>
    <w:rsid w:val="00F77B6B"/>
    <w:rsid w:val="00F81F4C"/>
    <w:rsid w:val="00F85EDB"/>
    <w:rsid w:val="00F864FA"/>
    <w:rsid w:val="00F86E9A"/>
    <w:rsid w:val="00F9110B"/>
    <w:rsid w:val="00F9205E"/>
    <w:rsid w:val="00F924B9"/>
    <w:rsid w:val="00F9289E"/>
    <w:rsid w:val="00F94449"/>
    <w:rsid w:val="00F94BCD"/>
    <w:rsid w:val="00F94D0B"/>
    <w:rsid w:val="00F94E53"/>
    <w:rsid w:val="00F95133"/>
    <w:rsid w:val="00F979B8"/>
    <w:rsid w:val="00FA2070"/>
    <w:rsid w:val="00FA2A49"/>
    <w:rsid w:val="00FA2D2F"/>
    <w:rsid w:val="00FA360C"/>
    <w:rsid w:val="00FB0268"/>
    <w:rsid w:val="00FB0780"/>
    <w:rsid w:val="00FB4525"/>
    <w:rsid w:val="00FB49CC"/>
    <w:rsid w:val="00FB5DB5"/>
    <w:rsid w:val="00FC0357"/>
    <w:rsid w:val="00FC06C8"/>
    <w:rsid w:val="00FC32E1"/>
    <w:rsid w:val="00FC419C"/>
    <w:rsid w:val="00FC64CF"/>
    <w:rsid w:val="00FD04F9"/>
    <w:rsid w:val="00FD0AAB"/>
    <w:rsid w:val="00FD0B54"/>
    <w:rsid w:val="00FD37E8"/>
    <w:rsid w:val="00FD457A"/>
    <w:rsid w:val="00FD6507"/>
    <w:rsid w:val="00FD6E70"/>
    <w:rsid w:val="00FD7A82"/>
    <w:rsid w:val="00FE07D7"/>
    <w:rsid w:val="00FE33B4"/>
    <w:rsid w:val="00FE74B1"/>
    <w:rsid w:val="00FE75E6"/>
    <w:rsid w:val="00FF007F"/>
    <w:rsid w:val="00FF1215"/>
    <w:rsid w:val="00FF263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DE0577"/>
  <w15:docId w15:val="{0B46CCAE-222A-402E-9487-3411767CD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66D"/>
    <w:pPr>
      <w:keepNext/>
      <w:keepLines/>
      <w:numPr>
        <w:numId w:val="1"/>
      </w:numPr>
      <w:spacing w:before="240" w:after="240"/>
      <w:ind w:left="431" w:hanging="431"/>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iPriority w:val="9"/>
    <w:unhideWhenUsed/>
    <w:qFormat/>
    <w:rsid w:val="001A3992"/>
    <w:pPr>
      <w:numPr>
        <w:ilvl w:val="1"/>
        <w:numId w:val="1"/>
      </w:numPr>
      <w:spacing w:before="240"/>
      <w:ind w:left="578" w:hanging="578"/>
      <w:outlineLvl w:val="1"/>
    </w:pPr>
    <w:rPr>
      <w:rFonts w:asciiTheme="majorHAnsi" w:hAnsiTheme="majorHAnsi"/>
      <w:b/>
      <w:smallCaps/>
      <w:sz w:val="24"/>
    </w:rPr>
  </w:style>
  <w:style w:type="paragraph" w:styleId="Heading3">
    <w:name w:val="heading 3"/>
    <w:basedOn w:val="Normal"/>
    <w:next w:val="Normal"/>
    <w:link w:val="Heading3Char"/>
    <w:uiPriority w:val="9"/>
    <w:unhideWhenUsed/>
    <w:qFormat/>
    <w:rsid w:val="00DD7C09"/>
    <w:pPr>
      <w:keepNext/>
      <w:keepLines/>
      <w:spacing w:after="1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27766D"/>
    <w:pPr>
      <w:keepNext/>
      <w:outlineLvl w:val="3"/>
    </w:pPr>
    <w:rPr>
      <w:u w:val="single"/>
    </w:rPr>
  </w:style>
  <w:style w:type="paragraph" w:styleId="Heading5">
    <w:name w:val="heading 5"/>
    <w:basedOn w:val="Normal"/>
    <w:next w:val="Normal"/>
    <w:link w:val="Heading5Char"/>
    <w:uiPriority w:val="9"/>
    <w:unhideWhenUsed/>
    <w:qFormat/>
    <w:rsid w:val="00BA2DE9"/>
    <w:pPr>
      <w:keepNext/>
      <w:keepLines/>
      <w:spacing w:before="200" w:after="0"/>
      <w:outlineLvl w:val="4"/>
    </w:pPr>
    <w:rPr>
      <w:rFonts w:eastAsiaTheme="majorEastAsia" w:cstheme="minorHAnsi"/>
      <w:i/>
      <w:iCs/>
    </w:rPr>
  </w:style>
  <w:style w:type="paragraph" w:styleId="Heading6">
    <w:name w:val="heading 6"/>
    <w:basedOn w:val="Normal"/>
    <w:next w:val="Normal"/>
    <w:link w:val="Heading6Char"/>
    <w:uiPriority w:val="9"/>
    <w:semiHidden/>
    <w:unhideWhenUsed/>
    <w:qFormat/>
    <w:rsid w:val="001A39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39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39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39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66D"/>
    <w:rPr>
      <w:rFonts w:asciiTheme="majorHAnsi" w:eastAsiaTheme="majorEastAsia" w:hAnsiTheme="majorHAnsi" w:cstheme="majorBidi"/>
      <w:b/>
      <w:bCs/>
      <w:caps/>
      <w:sz w:val="28"/>
      <w:szCs w:val="28"/>
    </w:rPr>
  </w:style>
  <w:style w:type="character" w:customStyle="1" w:styleId="Heading2Char">
    <w:name w:val="Heading 2 Char"/>
    <w:basedOn w:val="DefaultParagraphFont"/>
    <w:link w:val="Heading2"/>
    <w:uiPriority w:val="9"/>
    <w:rsid w:val="001A3992"/>
    <w:rPr>
      <w:rFonts w:asciiTheme="majorHAnsi" w:hAnsiTheme="majorHAnsi"/>
      <w:b/>
      <w:smallCaps/>
      <w:sz w:val="24"/>
    </w:rPr>
  </w:style>
  <w:style w:type="character" w:customStyle="1" w:styleId="Heading3Char">
    <w:name w:val="Heading 3 Char"/>
    <w:basedOn w:val="DefaultParagraphFont"/>
    <w:link w:val="Heading3"/>
    <w:uiPriority w:val="9"/>
    <w:rsid w:val="00DD7C0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27766D"/>
    <w:rPr>
      <w:u w:val="single"/>
    </w:rPr>
  </w:style>
  <w:style w:type="character" w:customStyle="1" w:styleId="Heading5Char">
    <w:name w:val="Heading 5 Char"/>
    <w:basedOn w:val="DefaultParagraphFont"/>
    <w:link w:val="Heading5"/>
    <w:uiPriority w:val="9"/>
    <w:rsid w:val="00BA2DE9"/>
    <w:rPr>
      <w:rFonts w:eastAsiaTheme="majorEastAsia" w:cstheme="minorHAnsi"/>
      <w:i/>
      <w:iCs/>
    </w:rPr>
  </w:style>
  <w:style w:type="character" w:customStyle="1" w:styleId="Heading6Char">
    <w:name w:val="Heading 6 Char"/>
    <w:basedOn w:val="DefaultParagraphFont"/>
    <w:link w:val="Heading6"/>
    <w:uiPriority w:val="9"/>
    <w:semiHidden/>
    <w:rsid w:val="001A39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A39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A3992"/>
    <w:pPr>
      <w:ind w:left="720"/>
      <w:contextualSpacing/>
    </w:pPr>
    <w:rPr>
      <w:rFonts w:ascii="Cambria" w:hAnsi="Cambria"/>
    </w:rPr>
  </w:style>
  <w:style w:type="character" w:styleId="CommentReference">
    <w:name w:val="annotation reference"/>
    <w:basedOn w:val="DefaultParagraphFont"/>
    <w:uiPriority w:val="99"/>
    <w:unhideWhenUsed/>
    <w:rsid w:val="001A3992"/>
    <w:rPr>
      <w:sz w:val="16"/>
      <w:szCs w:val="16"/>
    </w:rPr>
  </w:style>
  <w:style w:type="paragraph" w:styleId="CommentText">
    <w:name w:val="annotation text"/>
    <w:aliases w:val="Annotationtext"/>
    <w:basedOn w:val="Normal"/>
    <w:link w:val="CommentTextChar"/>
    <w:uiPriority w:val="99"/>
    <w:unhideWhenUsed/>
    <w:rsid w:val="001A3992"/>
    <w:pPr>
      <w:spacing w:line="240" w:lineRule="auto"/>
    </w:pPr>
    <w:rPr>
      <w:rFonts w:ascii="Cambria" w:hAnsi="Cambria"/>
      <w:sz w:val="20"/>
      <w:szCs w:val="20"/>
    </w:rPr>
  </w:style>
  <w:style w:type="character" w:customStyle="1" w:styleId="CommentTextChar">
    <w:name w:val="Comment Text Char"/>
    <w:aliases w:val="Annotationtext Char"/>
    <w:basedOn w:val="DefaultParagraphFont"/>
    <w:link w:val="CommentText"/>
    <w:uiPriority w:val="99"/>
    <w:rsid w:val="001A3992"/>
    <w:rPr>
      <w:rFonts w:ascii="Cambria" w:hAnsi="Cambria"/>
      <w:sz w:val="20"/>
      <w:szCs w:val="20"/>
    </w:rPr>
  </w:style>
  <w:style w:type="paragraph" w:styleId="FootnoteText">
    <w:name w:val="footnote text"/>
    <w:basedOn w:val="Normal"/>
    <w:link w:val="FootnoteTextChar"/>
    <w:uiPriority w:val="99"/>
    <w:rsid w:val="001A3992"/>
    <w:pPr>
      <w:keepLines/>
      <w:spacing w:before="180" w:after="180"/>
    </w:pPr>
    <w:rPr>
      <w:rFonts w:ascii="Calibri" w:eastAsia="Calibri" w:hAnsi="Calibri" w:cs="Times New Roman"/>
      <w:sz w:val="20"/>
    </w:rPr>
  </w:style>
  <w:style w:type="character" w:customStyle="1" w:styleId="FootnoteTextChar">
    <w:name w:val="Footnote Text Char"/>
    <w:basedOn w:val="DefaultParagraphFont"/>
    <w:link w:val="FootnoteText"/>
    <w:uiPriority w:val="99"/>
    <w:rsid w:val="001A3992"/>
    <w:rPr>
      <w:rFonts w:ascii="Calibri" w:eastAsia="Calibri" w:hAnsi="Calibri" w:cs="Times New Roman"/>
      <w:sz w:val="20"/>
    </w:rPr>
  </w:style>
  <w:style w:type="character" w:styleId="FootnoteReference">
    <w:name w:val="footnote reference"/>
    <w:basedOn w:val="DefaultParagraphFont"/>
    <w:uiPriority w:val="99"/>
    <w:unhideWhenUsed/>
    <w:rsid w:val="001A3992"/>
    <w:rPr>
      <w:vertAlign w:val="superscript"/>
    </w:rPr>
  </w:style>
  <w:style w:type="paragraph" w:styleId="ListBullet">
    <w:name w:val="List Bullet"/>
    <w:basedOn w:val="Normal"/>
    <w:uiPriority w:val="99"/>
    <w:unhideWhenUsed/>
    <w:rsid w:val="001A3992"/>
    <w:pPr>
      <w:ind w:left="425" w:hanging="425"/>
      <w:contextualSpacing/>
    </w:pPr>
    <w:rPr>
      <w:rFonts w:ascii="Cambria" w:hAnsi="Cambria"/>
    </w:rPr>
  </w:style>
  <w:style w:type="character" w:styleId="Hyperlink">
    <w:name w:val="Hyperlink"/>
    <w:basedOn w:val="DefaultParagraphFont"/>
    <w:uiPriority w:val="99"/>
    <w:unhideWhenUsed/>
    <w:rsid w:val="001A3992"/>
    <w:rPr>
      <w:color w:val="0000FF" w:themeColor="hyperlink"/>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iPriority w:val="99"/>
    <w:unhideWhenUsed/>
    <w:rsid w:val="001A3992"/>
    <w:pPr>
      <w:tabs>
        <w:tab w:val="center" w:pos="4513"/>
        <w:tab w:val="right" w:pos="9026"/>
      </w:tabs>
      <w:spacing w:after="0" w:line="240" w:lineRule="auto"/>
    </w:pPr>
    <w:rPr>
      <w:rFonts w:ascii="Cambria" w:hAnsi="Cambria"/>
    </w:rPr>
  </w:style>
  <w:style w:type="character" w:customStyle="1" w:styleId="FooterChar">
    <w:name w:val="Footer Char"/>
    <w:basedOn w:val="DefaultParagraphFont"/>
    <w:link w:val="Footer"/>
    <w:uiPriority w:val="99"/>
    <w:rsid w:val="001A3992"/>
    <w:rPr>
      <w:rFonts w:ascii="Cambria" w:hAnsi="Cambria"/>
    </w:rPr>
  </w:style>
  <w:style w:type="paragraph" w:styleId="BalloonText">
    <w:name w:val="Balloon Text"/>
    <w:basedOn w:val="Normal"/>
    <w:link w:val="BalloonTextChar"/>
    <w:uiPriority w:val="99"/>
    <w:semiHidden/>
    <w:unhideWhenUsed/>
    <w:rsid w:val="001A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table" w:styleId="TableGrid">
    <w:name w:val="Table Grid"/>
    <w:basedOn w:val="TableNormal"/>
    <w:uiPriority w:val="59"/>
    <w:unhideWhenUsed/>
    <w:rsid w:val="00AC6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E2A49"/>
    <w:rPr>
      <w:rFonts w:asciiTheme="minorHAnsi" w:hAnsiTheme="minorHAnsi"/>
      <w:b/>
      <w:bCs/>
    </w:rPr>
  </w:style>
  <w:style w:type="character" w:customStyle="1" w:styleId="CommentSubjectChar">
    <w:name w:val="Comment Subject Char"/>
    <w:basedOn w:val="CommentTextChar"/>
    <w:link w:val="CommentSubject"/>
    <w:uiPriority w:val="99"/>
    <w:semiHidden/>
    <w:rsid w:val="00CE2A49"/>
    <w:rPr>
      <w:rFonts w:ascii="Cambria" w:hAnsi="Cambria"/>
      <w:b/>
      <w:bCs/>
      <w:sz w:val="20"/>
      <w:szCs w:val="20"/>
    </w:rPr>
  </w:style>
  <w:style w:type="paragraph" w:styleId="Header">
    <w:name w:val="header"/>
    <w:basedOn w:val="Normal"/>
    <w:link w:val="HeaderChar"/>
    <w:uiPriority w:val="99"/>
    <w:unhideWhenUsed/>
    <w:rsid w:val="004264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4B7"/>
  </w:style>
  <w:style w:type="paragraph" w:styleId="Revision">
    <w:name w:val="Revision"/>
    <w:hidden/>
    <w:uiPriority w:val="99"/>
    <w:semiHidden/>
    <w:rsid w:val="00AD4A7F"/>
    <w:pPr>
      <w:spacing w:after="0" w:line="240" w:lineRule="auto"/>
    </w:pPr>
  </w:style>
  <w:style w:type="paragraph" w:customStyle="1" w:styleId="TableParagraph">
    <w:name w:val="Table Paragraph"/>
    <w:basedOn w:val="Normal"/>
    <w:uiPriority w:val="1"/>
    <w:qFormat/>
    <w:rsid w:val="00065F6D"/>
    <w:pPr>
      <w:widowControl w:val="0"/>
      <w:autoSpaceDE w:val="0"/>
      <w:autoSpaceDN w:val="0"/>
      <w:spacing w:after="0" w:line="240" w:lineRule="auto"/>
      <w:jc w:val="center"/>
    </w:pPr>
    <w:rPr>
      <w:rFonts w:ascii="Times New Roman" w:eastAsia="Times New Roman" w:hAnsi="Times New Roman" w:cs="Times New Roman"/>
      <w:lang w:val="en-US"/>
    </w:rPr>
  </w:style>
  <w:style w:type="character" w:styleId="UnresolvedMention">
    <w:name w:val="Unresolved Mention"/>
    <w:basedOn w:val="DefaultParagraphFont"/>
    <w:uiPriority w:val="99"/>
    <w:unhideWhenUsed/>
    <w:rsid w:val="00E432BB"/>
    <w:rPr>
      <w:color w:val="605E5C"/>
      <w:shd w:val="clear" w:color="auto" w:fill="E1DFDD"/>
    </w:rPr>
  </w:style>
  <w:style w:type="character" w:styleId="FollowedHyperlink">
    <w:name w:val="FollowedHyperlink"/>
    <w:basedOn w:val="DefaultParagraphFont"/>
    <w:uiPriority w:val="99"/>
    <w:semiHidden/>
    <w:unhideWhenUsed/>
    <w:rsid w:val="00D447BC"/>
    <w:rPr>
      <w:color w:val="800080" w:themeColor="followedHyperlink"/>
      <w:u w:val="single"/>
    </w:rPr>
  </w:style>
  <w:style w:type="paragraph" w:styleId="BodyText">
    <w:name w:val="Body Text"/>
    <w:basedOn w:val="Normal"/>
    <w:link w:val="BodyTextChar"/>
    <w:uiPriority w:val="1"/>
    <w:rsid w:val="005A18FE"/>
    <w:pPr>
      <w:widowControl w:val="0"/>
      <w:spacing w:after="0" w:line="240" w:lineRule="auto"/>
      <w:ind w:left="100"/>
    </w:pPr>
    <w:rPr>
      <w:rFonts w:ascii="Times New Roman" w:eastAsia="Times New Roman" w:hAnsi="Times New Roman" w:cs="Times New Roman"/>
      <w:kern w:val="24"/>
      <w:sz w:val="24"/>
      <w:szCs w:val="24"/>
      <w:lang w:val="en-GB" w:eastAsia="ja-JP"/>
    </w:rPr>
  </w:style>
  <w:style w:type="character" w:customStyle="1" w:styleId="BodyTextChar">
    <w:name w:val="Body Text Char"/>
    <w:basedOn w:val="DefaultParagraphFont"/>
    <w:link w:val="BodyText"/>
    <w:uiPriority w:val="1"/>
    <w:rsid w:val="005A18FE"/>
    <w:rPr>
      <w:rFonts w:ascii="Times New Roman" w:eastAsia="Times New Roman" w:hAnsi="Times New Roman" w:cs="Times New Roman"/>
      <w:kern w:val="24"/>
      <w:sz w:val="24"/>
      <w:szCs w:val="24"/>
      <w:lang w:val="en-GB" w:eastAsia="ja-JP"/>
    </w:rPr>
  </w:style>
  <w:style w:type="paragraph" w:styleId="EndnoteText">
    <w:name w:val="endnote text"/>
    <w:basedOn w:val="Normal"/>
    <w:link w:val="EndnoteTextChar"/>
    <w:uiPriority w:val="99"/>
    <w:unhideWhenUsed/>
    <w:rsid w:val="00296302"/>
    <w:pPr>
      <w:spacing w:after="0" w:line="240" w:lineRule="auto"/>
    </w:pPr>
    <w:rPr>
      <w:rFonts w:ascii="Times New Roman" w:eastAsia="Times New Roman" w:hAnsi="Times New Roman" w:cs="Times New Roman"/>
      <w:kern w:val="24"/>
      <w:sz w:val="20"/>
      <w:szCs w:val="20"/>
      <w:lang w:val="en-GB" w:eastAsia="ja-JP"/>
    </w:rPr>
  </w:style>
  <w:style w:type="character" w:customStyle="1" w:styleId="EndnoteTextChar">
    <w:name w:val="Endnote Text Char"/>
    <w:basedOn w:val="DefaultParagraphFont"/>
    <w:link w:val="EndnoteText"/>
    <w:uiPriority w:val="99"/>
    <w:rsid w:val="00296302"/>
    <w:rPr>
      <w:rFonts w:ascii="Times New Roman" w:eastAsia="Times New Roman" w:hAnsi="Times New Roman" w:cs="Times New Roman"/>
      <w:kern w:val="24"/>
      <w:sz w:val="20"/>
      <w:szCs w:val="20"/>
      <w:lang w:val="en-GB" w:eastAsia="ja-JP"/>
    </w:rPr>
  </w:style>
  <w:style w:type="character" w:styleId="EndnoteReference">
    <w:name w:val="endnote reference"/>
    <w:basedOn w:val="DefaultParagraphFont"/>
    <w:uiPriority w:val="99"/>
    <w:semiHidden/>
    <w:unhideWhenUsed/>
    <w:rsid w:val="00296302"/>
    <w:rPr>
      <w:vertAlign w:val="superscript"/>
    </w:rPr>
  </w:style>
  <w:style w:type="paragraph" w:styleId="NormalWeb">
    <w:name w:val="Normal (Web)"/>
    <w:basedOn w:val="Normal"/>
    <w:uiPriority w:val="99"/>
    <w:unhideWhenUsed/>
    <w:rsid w:val="006216CC"/>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Default">
    <w:name w:val="Default"/>
    <w:rsid w:val="009A27A3"/>
    <w:pPr>
      <w:autoSpaceDE w:val="0"/>
      <w:autoSpaceDN w:val="0"/>
      <w:adjustRightInd w:val="0"/>
      <w:spacing w:after="0" w:line="240" w:lineRule="auto"/>
    </w:pPr>
    <w:rPr>
      <w:rFonts w:ascii="Cambria" w:hAnsi="Cambria" w:cs="Cambria"/>
      <w:color w:val="000000"/>
      <w:sz w:val="24"/>
      <w:szCs w:val="24"/>
    </w:rPr>
  </w:style>
  <w:style w:type="character" w:customStyle="1" w:styleId="cf01">
    <w:name w:val="cf01"/>
    <w:basedOn w:val="DefaultParagraphFont"/>
    <w:rsid w:val="00A24F8B"/>
    <w:rPr>
      <w:rFonts w:ascii="Segoe UI" w:hAnsi="Segoe UI" w:cs="Segoe UI" w:hint="default"/>
      <w:sz w:val="18"/>
      <w:szCs w:val="18"/>
      <w:shd w:val="clear" w:color="auto" w:fill="00FF00"/>
    </w:rPr>
  </w:style>
  <w:style w:type="table" w:customStyle="1" w:styleId="TableGrid1">
    <w:name w:val="Table Grid1"/>
    <w:basedOn w:val="TableNormal"/>
    <w:next w:val="TableGrid"/>
    <w:uiPriority w:val="59"/>
    <w:rsid w:val="00804ED7"/>
    <w:pPr>
      <w:spacing w:after="0" w:line="240" w:lineRule="auto"/>
    </w:pPr>
    <w:rPr>
      <w:rFonts w:ascii="Cambria" w:eastAsia="Cambria" w:hAnsi="Cambria" w:cs="Times New Roman"/>
    </w:rPr>
    <w:tblPr>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25290">
      <w:bodyDiv w:val="1"/>
      <w:marLeft w:val="0"/>
      <w:marRight w:val="0"/>
      <w:marTop w:val="0"/>
      <w:marBottom w:val="0"/>
      <w:divBdr>
        <w:top w:val="none" w:sz="0" w:space="0" w:color="auto"/>
        <w:left w:val="none" w:sz="0" w:space="0" w:color="auto"/>
        <w:bottom w:val="none" w:sz="0" w:space="0" w:color="auto"/>
        <w:right w:val="none" w:sz="0" w:space="0" w:color="auto"/>
      </w:divBdr>
    </w:div>
    <w:div w:id="788815722">
      <w:bodyDiv w:val="1"/>
      <w:marLeft w:val="0"/>
      <w:marRight w:val="0"/>
      <w:marTop w:val="0"/>
      <w:marBottom w:val="0"/>
      <w:divBdr>
        <w:top w:val="none" w:sz="0" w:space="0" w:color="auto"/>
        <w:left w:val="none" w:sz="0" w:space="0" w:color="auto"/>
        <w:bottom w:val="none" w:sz="0" w:space="0" w:color="auto"/>
        <w:right w:val="none" w:sz="0" w:space="0" w:color="auto"/>
      </w:divBdr>
    </w:div>
    <w:div w:id="213136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mailto:apacmedinfo@modernatx.com" TargetMode="External"/><Relationship Id="rId2" Type="http://schemas.openxmlformats.org/officeDocument/2006/relationships/customXml" Target="../customXml/item2.xml"/><Relationship Id="rId16" Type="http://schemas.openxmlformats.org/officeDocument/2006/relationships/hyperlink" Target="http://www.tga.gov.au/reporting-problem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ga.gov.au/reporting-problems"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s/australian-register-therapeutic-goods-artg/product-information-o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Folders\MTI%20Moderna\04%20Apps\04%20Cat%201%20NCE%20Subm\_PPF\Draft\pi_vaccine_v0.1_26_05_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478049D6F4B4408C09CDB7EF399612" ma:contentTypeVersion="6" ma:contentTypeDescription="Create a new document." ma:contentTypeScope="" ma:versionID="d6401d63c35a25716cef23dafbea2e3f">
  <xsd:schema xmlns:xsd="http://www.w3.org/2001/XMLSchema" xmlns:xs="http://www.w3.org/2001/XMLSchema" xmlns:p="http://schemas.microsoft.com/office/2006/metadata/properties" xmlns:ns2="fe8e9ee1-c2e3-4952-8c38-c734ea004ddf" xmlns:ns3="e75b8da0-2475-4e39-99e2-00680a850146" targetNamespace="http://schemas.microsoft.com/office/2006/metadata/properties" ma:root="true" ma:fieldsID="3df98d8d024c24262a452ea5b6f90bd5" ns2:_="" ns3:_="">
    <xsd:import namespace="fe8e9ee1-c2e3-4952-8c38-c734ea004ddf"/>
    <xsd:import namespace="e75b8da0-2475-4e39-99e2-00680a8501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9ee1-c2e3-4952-8c38-c734ea004d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5b8da0-2475-4e39-99e2-00680a8501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fe8e9ee1-c2e3-4952-8c38-c734ea004ddf">
      <UserInfo>
        <DisplayName/>
        <AccountId xsi:nil="true"/>
        <AccountType/>
      </UserInfo>
    </SharedWithUsers>
  </documentManagement>
</p:properties>
</file>

<file path=customXml/itemProps1.xml><?xml version="1.0" encoding="utf-8"?>
<ds:datastoreItem xmlns:ds="http://schemas.openxmlformats.org/officeDocument/2006/customXml" ds:itemID="{6816BA60-C62A-439A-9140-FF0BA450E18A}">
  <ds:schemaRefs>
    <ds:schemaRef ds:uri="http://schemas.microsoft.com/sharepoint/v3/contenttype/forms"/>
  </ds:schemaRefs>
</ds:datastoreItem>
</file>

<file path=customXml/itemProps2.xml><?xml version="1.0" encoding="utf-8"?>
<ds:datastoreItem xmlns:ds="http://schemas.openxmlformats.org/officeDocument/2006/customXml" ds:itemID="{0397DEF0-9E7B-4456-A0A3-8FF745484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9ee1-c2e3-4952-8c38-c734ea004ddf"/>
    <ds:schemaRef ds:uri="e75b8da0-2475-4e39-99e2-00680a8501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D4541E-7623-4BA6-BBEE-9B203A700057}">
  <ds:schemaRefs>
    <ds:schemaRef ds:uri="http://schemas.openxmlformats.org/officeDocument/2006/bibliography"/>
  </ds:schemaRefs>
</ds:datastoreItem>
</file>

<file path=customXml/itemProps4.xml><?xml version="1.0" encoding="utf-8"?>
<ds:datastoreItem xmlns:ds="http://schemas.openxmlformats.org/officeDocument/2006/customXml" ds:itemID="{E4EB7CEB-8B7A-40BA-AD82-54FA5CB6E196}">
  <ds:schemaRefs>
    <ds:schemaRef ds:uri="http://schemas.microsoft.com/office/2006/metadata/properties"/>
    <ds:schemaRef ds:uri="http://schemas.microsoft.com/office/infopath/2007/PartnerControls"/>
    <ds:schemaRef ds:uri="fe8e9ee1-c2e3-4952-8c38-c734ea004ddf"/>
  </ds:schemaRefs>
</ds:datastoreItem>
</file>

<file path=docProps/app.xml><?xml version="1.0" encoding="utf-8"?>
<Properties xmlns="http://schemas.openxmlformats.org/officeDocument/2006/extended-properties" xmlns:vt="http://schemas.openxmlformats.org/officeDocument/2006/docPropsVTypes">
  <Template>pi_vaccine_v0.1_26_05_21.dotx</Template>
  <TotalTime>3</TotalTime>
  <Pages>29</Pages>
  <Words>8921</Words>
  <Characters>48269</Characters>
  <Application>Microsoft Office Word</Application>
  <DocSecurity>0</DocSecurity>
  <Lines>861</Lines>
  <Paragraphs>353</Paragraphs>
  <ScaleCrop>false</ScaleCrop>
  <HeadingPairs>
    <vt:vector size="2" baseType="variant">
      <vt:variant>
        <vt:lpstr>Title</vt:lpstr>
      </vt:variant>
      <vt:variant>
        <vt:i4>1</vt:i4>
      </vt:variant>
    </vt:vector>
  </HeadingPairs>
  <TitlesOfParts>
    <vt:vector size="1" baseType="lpstr">
      <vt:lpstr>AusPAR Attachment 1: Product Information for Spikevax</vt:lpstr>
    </vt:vector>
  </TitlesOfParts>
  <Company>Therapeutic Goods Administration</Company>
  <LinksUpToDate>false</LinksUpToDate>
  <CharactersWithSpaces>56837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Spikevax</dc:title>
  <dc:creator>Moderna Australia Pty Ltd</dc:creator>
  <cp:lastModifiedBy>PITKIN, Brendan</cp:lastModifiedBy>
  <cp:revision>4</cp:revision>
  <cp:lastPrinted>2022-10-14T06:37:00Z</cp:lastPrinted>
  <dcterms:created xsi:type="dcterms:W3CDTF">2022-11-04T00:49:00Z</dcterms:created>
  <dcterms:modified xsi:type="dcterms:W3CDTF">2022-11-09T00:58:00Z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0x010100A0478049D6F4B4408C09CDB7EF399612</vt:lpwstr>
  </property>
</Properties>
</file>