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36794" w14:paraId="1EFA87F0" w14:textId="77777777" w:rsidTr="00BF1190">
        <w:trPr>
          <w:trHeight w:val="1863"/>
        </w:trPr>
        <w:tc>
          <w:tcPr>
            <w:tcW w:w="3652" w:type="dxa"/>
            <w:tcBorders>
              <w:top w:val="nil"/>
              <w:left w:val="nil"/>
              <w:bottom w:val="nil"/>
              <w:right w:val="nil"/>
            </w:tcBorders>
          </w:tcPr>
          <w:p w14:paraId="345AEB1D" w14:textId="1D7B8206" w:rsidR="008E7846" w:rsidRPr="00836794" w:rsidRDefault="00290EC1" w:rsidP="00290EC1">
            <w:pPr>
              <w:pStyle w:val="Date"/>
              <w:framePr w:hSpace="0" w:wrap="auto" w:vAnchor="margin" w:hAnchor="text" w:yAlign="inline"/>
              <w:suppressOverlap w:val="0"/>
            </w:pPr>
            <w:r>
              <w:t>October</w:t>
            </w:r>
            <w:r w:rsidR="00FD3EDC" w:rsidRPr="00836794">
              <w:t xml:space="preserve"> </w:t>
            </w:r>
            <w:r w:rsidR="00A97F4D" w:rsidRPr="00836794">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36794" w14:paraId="35DC7307" w14:textId="77777777" w:rsidTr="0032583B">
        <w:trPr>
          <w:trHeight w:val="868"/>
        </w:trPr>
        <w:tc>
          <w:tcPr>
            <w:tcW w:w="9079" w:type="dxa"/>
          </w:tcPr>
          <w:p w14:paraId="0C3DB1D8" w14:textId="3143B1AF" w:rsidR="0032583B" w:rsidRPr="00836794" w:rsidRDefault="0032583B" w:rsidP="00F931CE">
            <w:pPr>
              <w:pStyle w:val="Title"/>
              <w:framePr w:hSpace="0" w:wrap="auto" w:vAnchor="margin" w:yAlign="inline"/>
            </w:pPr>
            <w:r w:rsidRPr="00836794">
              <w:t>Australian Public Assessment Report for</w:t>
            </w:r>
            <w:r w:rsidR="00AF2313" w:rsidRPr="00836794">
              <w:t xml:space="preserve"> </w:t>
            </w:r>
            <w:r w:rsidR="00A97F4D" w:rsidRPr="00836794">
              <w:t>Rybelsus</w:t>
            </w:r>
          </w:p>
        </w:tc>
      </w:tr>
      <w:tr w:rsidR="0032583B" w:rsidRPr="00836794" w14:paraId="54389D94" w14:textId="77777777" w:rsidTr="0032583B">
        <w:tc>
          <w:tcPr>
            <w:tcW w:w="9079" w:type="dxa"/>
          </w:tcPr>
          <w:p w14:paraId="653598ED" w14:textId="6464C85D" w:rsidR="0032583B" w:rsidRPr="00836794" w:rsidRDefault="00BB75D6" w:rsidP="00F931CE">
            <w:pPr>
              <w:pStyle w:val="Subtitle"/>
              <w:framePr w:hSpace="0" w:wrap="auto" w:vAnchor="margin" w:yAlign="inline"/>
            </w:pPr>
            <w:r w:rsidRPr="00836794">
              <w:t>Active ingredient</w:t>
            </w:r>
            <w:r w:rsidR="0032583B" w:rsidRPr="00836794">
              <w:t xml:space="preserve">: </w:t>
            </w:r>
            <w:r w:rsidR="00A05581">
              <w:t>S</w:t>
            </w:r>
            <w:r w:rsidR="00A97F4D" w:rsidRPr="00836794">
              <w:t>emaglutide</w:t>
            </w:r>
          </w:p>
        </w:tc>
      </w:tr>
      <w:tr w:rsidR="0032583B" w:rsidRPr="00836794" w14:paraId="3B12A729" w14:textId="77777777" w:rsidTr="0032583B">
        <w:trPr>
          <w:trHeight w:val="486"/>
        </w:trPr>
        <w:tc>
          <w:tcPr>
            <w:tcW w:w="9079" w:type="dxa"/>
          </w:tcPr>
          <w:p w14:paraId="1B021CAC" w14:textId="2D165E89" w:rsidR="0032583B" w:rsidRPr="00836794" w:rsidRDefault="00460036" w:rsidP="009556D7">
            <w:pPr>
              <w:pStyle w:val="Subtitle"/>
              <w:framePr w:hSpace="0" w:wrap="auto" w:vAnchor="margin" w:yAlign="inline"/>
            </w:pPr>
            <w:r w:rsidRPr="00836794">
              <w:t xml:space="preserve">Sponsor: </w:t>
            </w:r>
            <w:r w:rsidR="00A97F4D" w:rsidRPr="00836794">
              <w:t>Novo Nordisk Pharmaceuticals Pty Ltd</w:t>
            </w:r>
          </w:p>
        </w:tc>
      </w:tr>
    </w:tbl>
    <w:p w14:paraId="55A39DF8" w14:textId="77777777" w:rsidR="008E7846" w:rsidRPr="00836794" w:rsidRDefault="008E7846" w:rsidP="0085156D">
      <w:r w:rsidRPr="00836794">
        <w:br w:type="page"/>
      </w:r>
    </w:p>
    <w:p w14:paraId="00F01747" w14:textId="77777777" w:rsidR="008E7846" w:rsidRPr="00836794" w:rsidRDefault="008E7846" w:rsidP="008E7846">
      <w:pPr>
        <w:pStyle w:val="NonTOCHeading2"/>
      </w:pPr>
      <w:r w:rsidRPr="00836794">
        <w:lastRenderedPageBreak/>
        <w:t>About the Therapeutic Goods Administration (TGA)</w:t>
      </w:r>
    </w:p>
    <w:p w14:paraId="15B9ACA7" w14:textId="77777777" w:rsidR="00AF2313" w:rsidRPr="00836794" w:rsidRDefault="00AF2313" w:rsidP="00AF2313">
      <w:pPr>
        <w:pStyle w:val="ListBullet"/>
      </w:pPr>
      <w:r w:rsidRPr="00836794">
        <w:t>The Therapeutic Goods Administration (TGA) is part of the Australian Government Department of Health and is responsible for regulating therapeutic goods, including medicines, medical devices, and biologicals.</w:t>
      </w:r>
    </w:p>
    <w:p w14:paraId="0F213C71" w14:textId="77777777" w:rsidR="00AF2313" w:rsidRPr="00836794" w:rsidRDefault="00AF2313" w:rsidP="00AF2313">
      <w:pPr>
        <w:pStyle w:val="ListBullet"/>
      </w:pPr>
      <w:r w:rsidRPr="00836794">
        <w:t xml:space="preserve">The TGA administers the </w:t>
      </w:r>
      <w:r w:rsidRPr="00836794">
        <w:rPr>
          <w:i/>
          <w:iCs/>
        </w:rPr>
        <w:t>Therapeutic Goods Act 1989</w:t>
      </w:r>
      <w:r w:rsidRPr="00836794">
        <w:t xml:space="preserve"> (the Act), applying a risk management approach designed to ensure therapeutic goods supplied in Australia meet acceptable standards of quality, </w:t>
      </w:r>
      <w:r w:rsidR="00CC5044" w:rsidRPr="00836794">
        <w:t>safety,</w:t>
      </w:r>
      <w:r w:rsidRPr="00836794">
        <w:t xml:space="preserve"> and efficacy.</w:t>
      </w:r>
    </w:p>
    <w:p w14:paraId="09187BC1" w14:textId="77777777" w:rsidR="00AF2313" w:rsidRPr="00836794" w:rsidRDefault="00AF2313" w:rsidP="00AF2313">
      <w:pPr>
        <w:pStyle w:val="ListBullet"/>
      </w:pPr>
      <w:r w:rsidRPr="00836794">
        <w:t>The work of the TGA is based on applying scientific and clinical expertise to decision-making, to ensure that the benefits to the Australian public outweigh any risks associated with the use of therapeutic goods.</w:t>
      </w:r>
    </w:p>
    <w:p w14:paraId="0B505BE4" w14:textId="77777777" w:rsidR="00AF2313" w:rsidRPr="00836794" w:rsidRDefault="00AF2313" w:rsidP="00AF2313">
      <w:pPr>
        <w:pStyle w:val="ListBullet"/>
      </w:pPr>
      <w:r w:rsidRPr="00836794">
        <w:t>The TGA relies on the public, healthcare professionals and industry to report problems with therapeutic goods. The TGA investigates reports received to determine any necessary regulatory action.</w:t>
      </w:r>
    </w:p>
    <w:p w14:paraId="24E20193" w14:textId="62ECEB9C" w:rsidR="00AF2313" w:rsidRPr="00836794" w:rsidRDefault="00AF2313" w:rsidP="00AF2313">
      <w:pPr>
        <w:pStyle w:val="ListBullet"/>
      </w:pPr>
      <w:r w:rsidRPr="00836794">
        <w:t xml:space="preserve">To report a problem with a therapeutic good, please see the information on the </w:t>
      </w:r>
      <w:hyperlink r:id="rId8" w:history="1">
        <w:r w:rsidRPr="00836794">
          <w:rPr>
            <w:rStyle w:val="Hyperlink"/>
          </w:rPr>
          <w:t>TGA website</w:t>
        </w:r>
      </w:hyperlink>
      <w:r w:rsidRPr="00836794">
        <w:t>.</w:t>
      </w:r>
    </w:p>
    <w:p w14:paraId="0D632807" w14:textId="77777777" w:rsidR="008E7846" w:rsidRPr="00836794" w:rsidRDefault="008E7846" w:rsidP="00875A6B">
      <w:pPr>
        <w:pStyle w:val="NonTOCHeading2"/>
      </w:pPr>
      <w:r w:rsidRPr="00836794">
        <w:t xml:space="preserve">About </w:t>
      </w:r>
      <w:proofErr w:type="spellStart"/>
      <w:r w:rsidRPr="00836794">
        <w:t>AusPARs</w:t>
      </w:r>
      <w:proofErr w:type="spellEnd"/>
    </w:p>
    <w:p w14:paraId="3003588B" w14:textId="3617A0A1" w:rsidR="00AF2313" w:rsidRPr="00836794" w:rsidRDefault="00AF2313" w:rsidP="00AF2313">
      <w:pPr>
        <w:pStyle w:val="ListBullet"/>
      </w:pPr>
      <w:r w:rsidRPr="00836794">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836794">
          <w:rPr>
            <w:rStyle w:val="Hyperlink"/>
          </w:rPr>
          <w:t>Australian Public Assessment Report (AusPAR) guidance</w:t>
        </w:r>
      </w:hyperlink>
      <w:r w:rsidRPr="00836794">
        <w:t>.</w:t>
      </w:r>
    </w:p>
    <w:p w14:paraId="0B688CFA" w14:textId="77777777" w:rsidR="00AF2313" w:rsidRPr="00836794" w:rsidRDefault="00AF2313" w:rsidP="00AF2313">
      <w:pPr>
        <w:pStyle w:val="ListBullet"/>
      </w:pPr>
      <w:proofErr w:type="spellStart"/>
      <w:r w:rsidRPr="00836794">
        <w:t>AusPARs</w:t>
      </w:r>
      <w:proofErr w:type="spellEnd"/>
      <w:r w:rsidRPr="00836794">
        <w:t xml:space="preserve"> are prepared and published by the TGA.</w:t>
      </w:r>
    </w:p>
    <w:p w14:paraId="44F4FEB1" w14:textId="77777777" w:rsidR="00AF2313" w:rsidRPr="00836794" w:rsidRDefault="00AF2313" w:rsidP="00AF2313">
      <w:pPr>
        <w:pStyle w:val="ListBullet"/>
      </w:pPr>
      <w:proofErr w:type="spellStart"/>
      <w:r w:rsidRPr="00836794">
        <w:t>AusPARs</w:t>
      </w:r>
      <w:proofErr w:type="spellEnd"/>
      <w:r w:rsidRPr="00836794">
        <w:t xml:space="preserve"> are static documents that provide information that relates to a submission at a particular point in time.</w:t>
      </w:r>
      <w:r w:rsidR="008110BC" w:rsidRPr="00836794">
        <w:t xml:space="preserve"> The publication of an AusPAR is an important part of the transparency of the TGA’s decision-making process.</w:t>
      </w:r>
    </w:p>
    <w:p w14:paraId="05DBA069" w14:textId="77777777" w:rsidR="00AF2313" w:rsidRPr="00836794" w:rsidRDefault="00AF2313" w:rsidP="00AF2313">
      <w:pPr>
        <w:pStyle w:val="ListBullet"/>
      </w:pPr>
      <w:r w:rsidRPr="00836794">
        <w:t>A new AusPAR may be provided to reflect changes to indications or major variations to a prescription medicine subject to evaluation by the TGA.</w:t>
      </w:r>
    </w:p>
    <w:p w14:paraId="55A59EAE" w14:textId="77777777" w:rsidR="00924482" w:rsidRPr="00836794" w:rsidRDefault="00924482" w:rsidP="00F54B65">
      <w:pPr>
        <w:pStyle w:val="LegalSubheading"/>
        <w:spacing w:before="3120"/>
      </w:pPr>
      <w:r w:rsidRPr="00836794">
        <w:t>Copyright</w:t>
      </w:r>
    </w:p>
    <w:p w14:paraId="4DC55E70" w14:textId="437A1BFA" w:rsidR="00924482" w:rsidRPr="00836794" w:rsidRDefault="00924482" w:rsidP="00924482">
      <w:pPr>
        <w:pStyle w:val="LegalCopy"/>
      </w:pPr>
      <w:r w:rsidRPr="00836794">
        <w:rPr>
          <w:rFonts w:cs="Arial"/>
          <w:lang w:val="en-GB"/>
        </w:rPr>
        <w:t>© Commonwealth of Australia 20</w:t>
      </w:r>
      <w:r w:rsidR="00460036" w:rsidRPr="00836794">
        <w:rPr>
          <w:rFonts w:cs="Arial"/>
          <w:lang w:val="en-GB"/>
        </w:rPr>
        <w:t>2</w:t>
      </w:r>
      <w:r w:rsidR="00AF2313" w:rsidRPr="00836794">
        <w:rPr>
          <w:rFonts w:cs="Arial"/>
          <w:lang w:val="en-GB"/>
        </w:rPr>
        <w:t>2</w:t>
      </w:r>
      <w:r w:rsidRPr="00836794">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36794">
        <w:rPr>
          <w:rFonts w:cs="Arial"/>
          <w:i/>
          <w:lang w:val="en-GB"/>
        </w:rPr>
        <w:t>Copyright Act 1968</w:t>
      </w:r>
      <w:r w:rsidRPr="00836794">
        <w:rPr>
          <w:rFonts w:cs="Arial"/>
          <w:lang w:val="en-GB"/>
        </w:rPr>
        <w:t xml:space="preserve"> or allowed by this copyright notice, all other rights are </w:t>
      </w:r>
      <w:r w:rsidR="00EB36D6" w:rsidRPr="00836794">
        <w:rPr>
          <w:rFonts w:cs="Arial"/>
          <w:lang w:val="en-GB"/>
        </w:rPr>
        <w:t>reserved,</w:t>
      </w:r>
      <w:r w:rsidRPr="00836794">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836794">
        <w:rPr>
          <w:rFonts w:cs="Arial"/>
          <w:lang w:val="en-GB"/>
        </w:rPr>
        <w:t>Woden</w:t>
      </w:r>
      <w:proofErr w:type="spellEnd"/>
      <w:r w:rsidRPr="00836794">
        <w:rPr>
          <w:rFonts w:cs="Arial"/>
          <w:lang w:val="en-GB"/>
        </w:rPr>
        <w:t xml:space="preserve"> ACT 2606 or emailed to &lt;</w:t>
      </w:r>
      <w:hyperlink r:id="rId10" w:history="1">
        <w:r w:rsidRPr="00836794">
          <w:rPr>
            <w:rStyle w:val="Hyperlink"/>
            <w:rFonts w:cs="Arial"/>
            <w:lang w:val="en-GB"/>
          </w:rPr>
          <w:t>tga.copyright@tga.gov.au</w:t>
        </w:r>
      </w:hyperlink>
      <w:r w:rsidRPr="00836794">
        <w:rPr>
          <w:rFonts w:cs="Arial"/>
        </w:rPr>
        <w:t>&gt;.</w:t>
      </w:r>
    </w:p>
    <w:p w14:paraId="27C4D7BD" w14:textId="77777777" w:rsidR="00924482" w:rsidRPr="00836794" w:rsidRDefault="00924482" w:rsidP="00924482">
      <w:pPr>
        <w:pStyle w:val="LegalCopy"/>
        <w:sectPr w:rsidR="00924482" w:rsidRPr="00836794"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5953A76" w14:textId="77777777" w:rsidR="0089635C" w:rsidRPr="00836794" w:rsidRDefault="0089635C" w:rsidP="0010788A">
          <w:pPr>
            <w:pStyle w:val="Contents"/>
          </w:pPr>
          <w:r w:rsidRPr="00836794">
            <w:t>Contents</w:t>
          </w:r>
        </w:p>
        <w:p w14:paraId="416EA3C1" w14:textId="459A501C" w:rsidR="00E5082D" w:rsidRDefault="00C525A2">
          <w:pPr>
            <w:pStyle w:val="TOC1"/>
            <w:rPr>
              <w:rFonts w:asciiTheme="minorHAnsi" w:eastAsiaTheme="minorEastAsia" w:hAnsiTheme="minorHAnsi" w:cstheme="minorBidi"/>
              <w:b w:val="0"/>
              <w:noProof/>
              <w:sz w:val="22"/>
              <w:lang w:eastAsia="en-AU"/>
            </w:rPr>
          </w:pPr>
          <w:r w:rsidRPr="00836794">
            <w:fldChar w:fldCharType="begin"/>
          </w:r>
          <w:r w:rsidRPr="00836794">
            <w:instrText xml:space="preserve"> TOC \h \z \t "Heading 2,1,Heading 3,2" </w:instrText>
          </w:r>
          <w:r w:rsidRPr="00836794">
            <w:fldChar w:fldCharType="separate"/>
          </w:r>
          <w:hyperlink w:anchor="_Toc117791811" w:history="1">
            <w:r w:rsidR="00E5082D" w:rsidRPr="000A1722">
              <w:rPr>
                <w:rStyle w:val="Hyperlink"/>
                <w:noProof/>
              </w:rPr>
              <w:t>List of abbreviations</w:t>
            </w:r>
            <w:r w:rsidR="00E5082D">
              <w:rPr>
                <w:noProof/>
                <w:webHidden/>
              </w:rPr>
              <w:tab/>
            </w:r>
            <w:r w:rsidR="00E5082D">
              <w:rPr>
                <w:noProof/>
                <w:webHidden/>
              </w:rPr>
              <w:fldChar w:fldCharType="begin"/>
            </w:r>
            <w:r w:rsidR="00E5082D">
              <w:rPr>
                <w:noProof/>
                <w:webHidden/>
              </w:rPr>
              <w:instrText xml:space="preserve"> PAGEREF _Toc117791811 \h </w:instrText>
            </w:r>
            <w:r w:rsidR="00E5082D">
              <w:rPr>
                <w:noProof/>
                <w:webHidden/>
              </w:rPr>
            </w:r>
            <w:r w:rsidR="00E5082D">
              <w:rPr>
                <w:noProof/>
                <w:webHidden/>
              </w:rPr>
              <w:fldChar w:fldCharType="separate"/>
            </w:r>
            <w:r w:rsidR="00D1673E">
              <w:rPr>
                <w:noProof/>
                <w:webHidden/>
              </w:rPr>
              <w:t>4</w:t>
            </w:r>
            <w:r w:rsidR="00E5082D">
              <w:rPr>
                <w:noProof/>
                <w:webHidden/>
              </w:rPr>
              <w:fldChar w:fldCharType="end"/>
            </w:r>
          </w:hyperlink>
        </w:p>
        <w:p w14:paraId="4C8CE7E6" w14:textId="5C9BE64E" w:rsidR="00E5082D" w:rsidRDefault="00D1673E">
          <w:pPr>
            <w:pStyle w:val="TOC1"/>
            <w:rPr>
              <w:rFonts w:asciiTheme="minorHAnsi" w:eastAsiaTheme="minorEastAsia" w:hAnsiTheme="minorHAnsi" w:cstheme="minorBidi"/>
              <w:b w:val="0"/>
              <w:noProof/>
              <w:sz w:val="22"/>
              <w:lang w:eastAsia="en-AU"/>
            </w:rPr>
          </w:pPr>
          <w:hyperlink w:anchor="_Toc117791812" w:history="1">
            <w:r w:rsidR="00E5082D" w:rsidRPr="000A1722">
              <w:rPr>
                <w:rStyle w:val="Hyperlink"/>
                <w:noProof/>
              </w:rPr>
              <w:t>Product submission</w:t>
            </w:r>
            <w:r w:rsidR="00E5082D">
              <w:rPr>
                <w:noProof/>
                <w:webHidden/>
              </w:rPr>
              <w:tab/>
            </w:r>
            <w:r w:rsidR="00E5082D">
              <w:rPr>
                <w:noProof/>
                <w:webHidden/>
              </w:rPr>
              <w:fldChar w:fldCharType="begin"/>
            </w:r>
            <w:r w:rsidR="00E5082D">
              <w:rPr>
                <w:noProof/>
                <w:webHidden/>
              </w:rPr>
              <w:instrText xml:space="preserve"> PAGEREF _Toc117791812 \h </w:instrText>
            </w:r>
            <w:r w:rsidR="00E5082D">
              <w:rPr>
                <w:noProof/>
                <w:webHidden/>
              </w:rPr>
            </w:r>
            <w:r w:rsidR="00E5082D">
              <w:rPr>
                <w:noProof/>
                <w:webHidden/>
              </w:rPr>
              <w:fldChar w:fldCharType="separate"/>
            </w:r>
            <w:r>
              <w:rPr>
                <w:noProof/>
                <w:webHidden/>
              </w:rPr>
              <w:t>6</w:t>
            </w:r>
            <w:r w:rsidR="00E5082D">
              <w:rPr>
                <w:noProof/>
                <w:webHidden/>
              </w:rPr>
              <w:fldChar w:fldCharType="end"/>
            </w:r>
          </w:hyperlink>
        </w:p>
        <w:p w14:paraId="54A932A7" w14:textId="3B7B208F" w:rsidR="00E5082D" w:rsidRDefault="00D1673E">
          <w:pPr>
            <w:pStyle w:val="TOC2"/>
            <w:rPr>
              <w:rFonts w:asciiTheme="minorHAnsi" w:eastAsiaTheme="minorEastAsia" w:hAnsiTheme="minorHAnsi" w:cstheme="minorBidi"/>
              <w:b w:val="0"/>
              <w:noProof/>
              <w:sz w:val="22"/>
              <w:lang w:eastAsia="en-AU"/>
            </w:rPr>
          </w:pPr>
          <w:hyperlink w:anchor="_Toc117791813" w:history="1">
            <w:r w:rsidR="00E5082D" w:rsidRPr="000A1722">
              <w:rPr>
                <w:rStyle w:val="Hyperlink"/>
                <w:noProof/>
                <w:lang w:eastAsia="en-AU"/>
              </w:rPr>
              <w:t>Submission details</w:t>
            </w:r>
            <w:r w:rsidR="00E5082D">
              <w:rPr>
                <w:noProof/>
                <w:webHidden/>
              </w:rPr>
              <w:tab/>
            </w:r>
            <w:r w:rsidR="00E5082D">
              <w:rPr>
                <w:noProof/>
                <w:webHidden/>
              </w:rPr>
              <w:fldChar w:fldCharType="begin"/>
            </w:r>
            <w:r w:rsidR="00E5082D">
              <w:rPr>
                <w:noProof/>
                <w:webHidden/>
              </w:rPr>
              <w:instrText xml:space="preserve"> PAGEREF _Toc117791813 \h </w:instrText>
            </w:r>
            <w:r w:rsidR="00E5082D">
              <w:rPr>
                <w:noProof/>
                <w:webHidden/>
              </w:rPr>
            </w:r>
            <w:r w:rsidR="00E5082D">
              <w:rPr>
                <w:noProof/>
                <w:webHidden/>
              </w:rPr>
              <w:fldChar w:fldCharType="separate"/>
            </w:r>
            <w:r>
              <w:rPr>
                <w:noProof/>
                <w:webHidden/>
              </w:rPr>
              <w:t>6</w:t>
            </w:r>
            <w:r w:rsidR="00E5082D">
              <w:rPr>
                <w:noProof/>
                <w:webHidden/>
              </w:rPr>
              <w:fldChar w:fldCharType="end"/>
            </w:r>
          </w:hyperlink>
        </w:p>
        <w:p w14:paraId="7A09112C" w14:textId="1CE4DC3B" w:rsidR="00E5082D" w:rsidRDefault="00D1673E">
          <w:pPr>
            <w:pStyle w:val="TOC2"/>
            <w:rPr>
              <w:rFonts w:asciiTheme="minorHAnsi" w:eastAsiaTheme="minorEastAsia" w:hAnsiTheme="minorHAnsi" w:cstheme="minorBidi"/>
              <w:b w:val="0"/>
              <w:noProof/>
              <w:sz w:val="22"/>
              <w:lang w:eastAsia="en-AU"/>
            </w:rPr>
          </w:pPr>
          <w:hyperlink w:anchor="_Toc117791814" w:history="1">
            <w:r w:rsidR="00E5082D" w:rsidRPr="000A1722">
              <w:rPr>
                <w:rStyle w:val="Hyperlink"/>
                <w:noProof/>
              </w:rPr>
              <w:t>Product background</w:t>
            </w:r>
            <w:r w:rsidR="00E5082D">
              <w:rPr>
                <w:noProof/>
                <w:webHidden/>
              </w:rPr>
              <w:tab/>
            </w:r>
            <w:r w:rsidR="00E5082D">
              <w:rPr>
                <w:noProof/>
                <w:webHidden/>
              </w:rPr>
              <w:fldChar w:fldCharType="begin"/>
            </w:r>
            <w:r w:rsidR="00E5082D">
              <w:rPr>
                <w:noProof/>
                <w:webHidden/>
              </w:rPr>
              <w:instrText xml:space="preserve"> PAGEREF _Toc117791814 \h </w:instrText>
            </w:r>
            <w:r w:rsidR="00E5082D">
              <w:rPr>
                <w:noProof/>
                <w:webHidden/>
              </w:rPr>
            </w:r>
            <w:r w:rsidR="00E5082D">
              <w:rPr>
                <w:noProof/>
                <w:webHidden/>
              </w:rPr>
              <w:fldChar w:fldCharType="separate"/>
            </w:r>
            <w:r>
              <w:rPr>
                <w:noProof/>
                <w:webHidden/>
              </w:rPr>
              <w:t>7</w:t>
            </w:r>
            <w:r w:rsidR="00E5082D">
              <w:rPr>
                <w:noProof/>
                <w:webHidden/>
              </w:rPr>
              <w:fldChar w:fldCharType="end"/>
            </w:r>
          </w:hyperlink>
        </w:p>
        <w:p w14:paraId="48E4C363" w14:textId="46C36FF5" w:rsidR="00E5082D" w:rsidRDefault="00D1673E">
          <w:pPr>
            <w:pStyle w:val="TOC2"/>
            <w:rPr>
              <w:rFonts w:asciiTheme="minorHAnsi" w:eastAsiaTheme="minorEastAsia" w:hAnsiTheme="minorHAnsi" w:cstheme="minorBidi"/>
              <w:b w:val="0"/>
              <w:noProof/>
              <w:sz w:val="22"/>
              <w:lang w:eastAsia="en-AU"/>
            </w:rPr>
          </w:pPr>
          <w:hyperlink w:anchor="_Toc117791815" w:history="1">
            <w:r w:rsidR="00E5082D" w:rsidRPr="000A1722">
              <w:rPr>
                <w:rStyle w:val="Hyperlink"/>
                <w:noProof/>
              </w:rPr>
              <w:t>Regulatory status</w:t>
            </w:r>
            <w:r w:rsidR="00E5082D">
              <w:rPr>
                <w:noProof/>
                <w:webHidden/>
              </w:rPr>
              <w:tab/>
            </w:r>
            <w:r w:rsidR="00E5082D">
              <w:rPr>
                <w:noProof/>
                <w:webHidden/>
              </w:rPr>
              <w:fldChar w:fldCharType="begin"/>
            </w:r>
            <w:r w:rsidR="00E5082D">
              <w:rPr>
                <w:noProof/>
                <w:webHidden/>
              </w:rPr>
              <w:instrText xml:space="preserve"> PAGEREF _Toc117791815 \h </w:instrText>
            </w:r>
            <w:r w:rsidR="00E5082D">
              <w:rPr>
                <w:noProof/>
                <w:webHidden/>
              </w:rPr>
            </w:r>
            <w:r w:rsidR="00E5082D">
              <w:rPr>
                <w:noProof/>
                <w:webHidden/>
              </w:rPr>
              <w:fldChar w:fldCharType="separate"/>
            </w:r>
            <w:r>
              <w:rPr>
                <w:noProof/>
                <w:webHidden/>
              </w:rPr>
              <w:t>10</w:t>
            </w:r>
            <w:r w:rsidR="00E5082D">
              <w:rPr>
                <w:noProof/>
                <w:webHidden/>
              </w:rPr>
              <w:fldChar w:fldCharType="end"/>
            </w:r>
          </w:hyperlink>
        </w:p>
        <w:p w14:paraId="0B28974B" w14:textId="2BB025EB" w:rsidR="00E5082D" w:rsidRDefault="00D1673E">
          <w:pPr>
            <w:pStyle w:val="TOC2"/>
            <w:rPr>
              <w:rFonts w:asciiTheme="minorHAnsi" w:eastAsiaTheme="minorEastAsia" w:hAnsiTheme="minorHAnsi" w:cstheme="minorBidi"/>
              <w:b w:val="0"/>
              <w:noProof/>
              <w:sz w:val="22"/>
              <w:lang w:eastAsia="en-AU"/>
            </w:rPr>
          </w:pPr>
          <w:hyperlink w:anchor="_Toc117791816" w:history="1">
            <w:r w:rsidR="00E5082D" w:rsidRPr="000A1722">
              <w:rPr>
                <w:rStyle w:val="Hyperlink"/>
                <w:noProof/>
              </w:rPr>
              <w:t>Product Information</w:t>
            </w:r>
            <w:r w:rsidR="00E5082D">
              <w:rPr>
                <w:noProof/>
                <w:webHidden/>
              </w:rPr>
              <w:tab/>
            </w:r>
            <w:r w:rsidR="00E5082D">
              <w:rPr>
                <w:noProof/>
                <w:webHidden/>
              </w:rPr>
              <w:fldChar w:fldCharType="begin"/>
            </w:r>
            <w:r w:rsidR="00E5082D">
              <w:rPr>
                <w:noProof/>
                <w:webHidden/>
              </w:rPr>
              <w:instrText xml:space="preserve"> PAGEREF _Toc117791816 \h </w:instrText>
            </w:r>
            <w:r w:rsidR="00E5082D">
              <w:rPr>
                <w:noProof/>
                <w:webHidden/>
              </w:rPr>
            </w:r>
            <w:r w:rsidR="00E5082D">
              <w:rPr>
                <w:noProof/>
                <w:webHidden/>
              </w:rPr>
              <w:fldChar w:fldCharType="separate"/>
            </w:r>
            <w:r>
              <w:rPr>
                <w:noProof/>
                <w:webHidden/>
              </w:rPr>
              <w:t>11</w:t>
            </w:r>
            <w:r w:rsidR="00E5082D">
              <w:rPr>
                <w:noProof/>
                <w:webHidden/>
              </w:rPr>
              <w:fldChar w:fldCharType="end"/>
            </w:r>
          </w:hyperlink>
        </w:p>
        <w:p w14:paraId="2F40C20F" w14:textId="5E5D6065" w:rsidR="00E5082D" w:rsidRDefault="00D1673E">
          <w:pPr>
            <w:pStyle w:val="TOC1"/>
            <w:rPr>
              <w:rFonts w:asciiTheme="minorHAnsi" w:eastAsiaTheme="minorEastAsia" w:hAnsiTheme="minorHAnsi" w:cstheme="minorBidi"/>
              <w:b w:val="0"/>
              <w:noProof/>
              <w:sz w:val="22"/>
              <w:lang w:eastAsia="en-AU"/>
            </w:rPr>
          </w:pPr>
          <w:hyperlink w:anchor="_Toc117791817" w:history="1">
            <w:r w:rsidR="00E5082D" w:rsidRPr="000A1722">
              <w:rPr>
                <w:rStyle w:val="Hyperlink"/>
                <w:noProof/>
              </w:rPr>
              <w:t>Registration timeline</w:t>
            </w:r>
            <w:r w:rsidR="00E5082D">
              <w:rPr>
                <w:noProof/>
                <w:webHidden/>
              </w:rPr>
              <w:tab/>
            </w:r>
            <w:r w:rsidR="00E5082D">
              <w:rPr>
                <w:noProof/>
                <w:webHidden/>
              </w:rPr>
              <w:fldChar w:fldCharType="begin"/>
            </w:r>
            <w:r w:rsidR="00E5082D">
              <w:rPr>
                <w:noProof/>
                <w:webHidden/>
              </w:rPr>
              <w:instrText xml:space="preserve"> PAGEREF _Toc117791817 \h </w:instrText>
            </w:r>
            <w:r w:rsidR="00E5082D">
              <w:rPr>
                <w:noProof/>
                <w:webHidden/>
              </w:rPr>
            </w:r>
            <w:r w:rsidR="00E5082D">
              <w:rPr>
                <w:noProof/>
                <w:webHidden/>
              </w:rPr>
              <w:fldChar w:fldCharType="separate"/>
            </w:r>
            <w:r>
              <w:rPr>
                <w:noProof/>
                <w:webHidden/>
              </w:rPr>
              <w:t>11</w:t>
            </w:r>
            <w:r w:rsidR="00E5082D">
              <w:rPr>
                <w:noProof/>
                <w:webHidden/>
              </w:rPr>
              <w:fldChar w:fldCharType="end"/>
            </w:r>
          </w:hyperlink>
        </w:p>
        <w:p w14:paraId="62617A8F" w14:textId="754C8451" w:rsidR="00E5082D" w:rsidRDefault="00D1673E">
          <w:pPr>
            <w:pStyle w:val="TOC1"/>
            <w:rPr>
              <w:rFonts w:asciiTheme="minorHAnsi" w:eastAsiaTheme="minorEastAsia" w:hAnsiTheme="minorHAnsi" w:cstheme="minorBidi"/>
              <w:b w:val="0"/>
              <w:noProof/>
              <w:sz w:val="22"/>
              <w:lang w:eastAsia="en-AU"/>
            </w:rPr>
          </w:pPr>
          <w:hyperlink w:anchor="_Toc117791818" w:history="1">
            <w:r w:rsidR="00E5082D" w:rsidRPr="000A1722">
              <w:rPr>
                <w:rStyle w:val="Hyperlink"/>
                <w:noProof/>
              </w:rPr>
              <w:t>Submission overview and risk/benefit assessment</w:t>
            </w:r>
            <w:r w:rsidR="00E5082D">
              <w:rPr>
                <w:noProof/>
                <w:webHidden/>
              </w:rPr>
              <w:tab/>
            </w:r>
            <w:r w:rsidR="00E5082D">
              <w:rPr>
                <w:noProof/>
                <w:webHidden/>
              </w:rPr>
              <w:fldChar w:fldCharType="begin"/>
            </w:r>
            <w:r w:rsidR="00E5082D">
              <w:rPr>
                <w:noProof/>
                <w:webHidden/>
              </w:rPr>
              <w:instrText xml:space="preserve"> PAGEREF _Toc117791818 \h </w:instrText>
            </w:r>
            <w:r w:rsidR="00E5082D">
              <w:rPr>
                <w:noProof/>
                <w:webHidden/>
              </w:rPr>
            </w:r>
            <w:r w:rsidR="00E5082D">
              <w:rPr>
                <w:noProof/>
                <w:webHidden/>
              </w:rPr>
              <w:fldChar w:fldCharType="separate"/>
            </w:r>
            <w:r>
              <w:rPr>
                <w:noProof/>
                <w:webHidden/>
              </w:rPr>
              <w:t>12</w:t>
            </w:r>
            <w:r w:rsidR="00E5082D">
              <w:rPr>
                <w:noProof/>
                <w:webHidden/>
              </w:rPr>
              <w:fldChar w:fldCharType="end"/>
            </w:r>
          </w:hyperlink>
        </w:p>
        <w:p w14:paraId="50A7BA3B" w14:textId="592A1543" w:rsidR="00E5082D" w:rsidRDefault="00D1673E">
          <w:pPr>
            <w:pStyle w:val="TOC2"/>
            <w:rPr>
              <w:rFonts w:asciiTheme="minorHAnsi" w:eastAsiaTheme="minorEastAsia" w:hAnsiTheme="minorHAnsi" w:cstheme="minorBidi"/>
              <w:b w:val="0"/>
              <w:noProof/>
              <w:sz w:val="22"/>
              <w:lang w:eastAsia="en-AU"/>
            </w:rPr>
          </w:pPr>
          <w:hyperlink w:anchor="_Toc117791819" w:history="1">
            <w:r w:rsidR="00E5082D" w:rsidRPr="000A1722">
              <w:rPr>
                <w:rStyle w:val="Hyperlink"/>
                <w:noProof/>
              </w:rPr>
              <w:t>Quality</w:t>
            </w:r>
            <w:r w:rsidR="00E5082D">
              <w:rPr>
                <w:noProof/>
                <w:webHidden/>
              </w:rPr>
              <w:tab/>
            </w:r>
            <w:r w:rsidR="00E5082D">
              <w:rPr>
                <w:noProof/>
                <w:webHidden/>
              </w:rPr>
              <w:fldChar w:fldCharType="begin"/>
            </w:r>
            <w:r w:rsidR="00E5082D">
              <w:rPr>
                <w:noProof/>
                <w:webHidden/>
              </w:rPr>
              <w:instrText xml:space="preserve"> PAGEREF _Toc117791819 \h </w:instrText>
            </w:r>
            <w:r w:rsidR="00E5082D">
              <w:rPr>
                <w:noProof/>
                <w:webHidden/>
              </w:rPr>
            </w:r>
            <w:r w:rsidR="00E5082D">
              <w:rPr>
                <w:noProof/>
                <w:webHidden/>
              </w:rPr>
              <w:fldChar w:fldCharType="separate"/>
            </w:r>
            <w:r>
              <w:rPr>
                <w:noProof/>
                <w:webHidden/>
              </w:rPr>
              <w:t>13</w:t>
            </w:r>
            <w:r w:rsidR="00E5082D">
              <w:rPr>
                <w:noProof/>
                <w:webHidden/>
              </w:rPr>
              <w:fldChar w:fldCharType="end"/>
            </w:r>
          </w:hyperlink>
        </w:p>
        <w:p w14:paraId="4DA0540E" w14:textId="57914E26" w:rsidR="00E5082D" w:rsidRDefault="00D1673E">
          <w:pPr>
            <w:pStyle w:val="TOC2"/>
            <w:rPr>
              <w:rFonts w:asciiTheme="minorHAnsi" w:eastAsiaTheme="minorEastAsia" w:hAnsiTheme="minorHAnsi" w:cstheme="minorBidi"/>
              <w:b w:val="0"/>
              <w:noProof/>
              <w:sz w:val="22"/>
              <w:lang w:eastAsia="en-AU"/>
            </w:rPr>
          </w:pPr>
          <w:hyperlink w:anchor="_Toc117791820" w:history="1">
            <w:r w:rsidR="00E5082D" w:rsidRPr="000A1722">
              <w:rPr>
                <w:rStyle w:val="Hyperlink"/>
                <w:noProof/>
              </w:rPr>
              <w:t>Nonclinical</w:t>
            </w:r>
            <w:r w:rsidR="00E5082D">
              <w:rPr>
                <w:noProof/>
                <w:webHidden/>
              </w:rPr>
              <w:tab/>
            </w:r>
            <w:r w:rsidR="00E5082D">
              <w:rPr>
                <w:noProof/>
                <w:webHidden/>
              </w:rPr>
              <w:fldChar w:fldCharType="begin"/>
            </w:r>
            <w:r w:rsidR="00E5082D">
              <w:rPr>
                <w:noProof/>
                <w:webHidden/>
              </w:rPr>
              <w:instrText xml:space="preserve"> PAGEREF _Toc117791820 \h </w:instrText>
            </w:r>
            <w:r w:rsidR="00E5082D">
              <w:rPr>
                <w:noProof/>
                <w:webHidden/>
              </w:rPr>
            </w:r>
            <w:r w:rsidR="00E5082D">
              <w:rPr>
                <w:noProof/>
                <w:webHidden/>
              </w:rPr>
              <w:fldChar w:fldCharType="separate"/>
            </w:r>
            <w:r>
              <w:rPr>
                <w:noProof/>
                <w:webHidden/>
              </w:rPr>
              <w:t>14</w:t>
            </w:r>
            <w:r w:rsidR="00E5082D">
              <w:rPr>
                <w:noProof/>
                <w:webHidden/>
              </w:rPr>
              <w:fldChar w:fldCharType="end"/>
            </w:r>
          </w:hyperlink>
        </w:p>
        <w:p w14:paraId="1AC58923" w14:textId="49828E3F" w:rsidR="00E5082D" w:rsidRDefault="00D1673E">
          <w:pPr>
            <w:pStyle w:val="TOC2"/>
            <w:rPr>
              <w:rFonts w:asciiTheme="minorHAnsi" w:eastAsiaTheme="minorEastAsia" w:hAnsiTheme="minorHAnsi" w:cstheme="minorBidi"/>
              <w:b w:val="0"/>
              <w:noProof/>
              <w:sz w:val="22"/>
              <w:lang w:eastAsia="en-AU"/>
            </w:rPr>
          </w:pPr>
          <w:hyperlink w:anchor="_Toc117791821" w:history="1">
            <w:r w:rsidR="00E5082D" w:rsidRPr="000A1722">
              <w:rPr>
                <w:rStyle w:val="Hyperlink"/>
                <w:noProof/>
              </w:rPr>
              <w:t>Clinical</w:t>
            </w:r>
            <w:r w:rsidR="00E5082D">
              <w:rPr>
                <w:noProof/>
                <w:webHidden/>
              </w:rPr>
              <w:tab/>
            </w:r>
            <w:r w:rsidR="00E5082D">
              <w:rPr>
                <w:noProof/>
                <w:webHidden/>
              </w:rPr>
              <w:fldChar w:fldCharType="begin"/>
            </w:r>
            <w:r w:rsidR="00E5082D">
              <w:rPr>
                <w:noProof/>
                <w:webHidden/>
              </w:rPr>
              <w:instrText xml:space="preserve"> PAGEREF _Toc117791821 \h </w:instrText>
            </w:r>
            <w:r w:rsidR="00E5082D">
              <w:rPr>
                <w:noProof/>
                <w:webHidden/>
              </w:rPr>
            </w:r>
            <w:r w:rsidR="00E5082D">
              <w:rPr>
                <w:noProof/>
                <w:webHidden/>
              </w:rPr>
              <w:fldChar w:fldCharType="separate"/>
            </w:r>
            <w:r>
              <w:rPr>
                <w:noProof/>
                <w:webHidden/>
              </w:rPr>
              <w:t>16</w:t>
            </w:r>
            <w:r w:rsidR="00E5082D">
              <w:rPr>
                <w:noProof/>
                <w:webHidden/>
              </w:rPr>
              <w:fldChar w:fldCharType="end"/>
            </w:r>
          </w:hyperlink>
        </w:p>
        <w:p w14:paraId="272AB458" w14:textId="5D34DA40" w:rsidR="00E5082D" w:rsidRDefault="00D1673E">
          <w:pPr>
            <w:pStyle w:val="TOC2"/>
            <w:rPr>
              <w:rFonts w:asciiTheme="minorHAnsi" w:eastAsiaTheme="minorEastAsia" w:hAnsiTheme="minorHAnsi" w:cstheme="minorBidi"/>
              <w:b w:val="0"/>
              <w:noProof/>
              <w:sz w:val="22"/>
              <w:lang w:eastAsia="en-AU"/>
            </w:rPr>
          </w:pPr>
          <w:hyperlink w:anchor="_Toc117791822" w:history="1">
            <w:r w:rsidR="00E5082D" w:rsidRPr="000A1722">
              <w:rPr>
                <w:rStyle w:val="Hyperlink"/>
                <w:noProof/>
                <w:lang w:eastAsia="en-AU"/>
              </w:rPr>
              <w:t>Risk management plan</w:t>
            </w:r>
            <w:r w:rsidR="00E5082D">
              <w:rPr>
                <w:noProof/>
                <w:webHidden/>
              </w:rPr>
              <w:tab/>
            </w:r>
            <w:r w:rsidR="00E5082D">
              <w:rPr>
                <w:noProof/>
                <w:webHidden/>
              </w:rPr>
              <w:fldChar w:fldCharType="begin"/>
            </w:r>
            <w:r w:rsidR="00E5082D">
              <w:rPr>
                <w:noProof/>
                <w:webHidden/>
              </w:rPr>
              <w:instrText xml:space="preserve"> PAGEREF _Toc117791822 \h </w:instrText>
            </w:r>
            <w:r w:rsidR="00E5082D">
              <w:rPr>
                <w:noProof/>
                <w:webHidden/>
              </w:rPr>
            </w:r>
            <w:r w:rsidR="00E5082D">
              <w:rPr>
                <w:noProof/>
                <w:webHidden/>
              </w:rPr>
              <w:fldChar w:fldCharType="separate"/>
            </w:r>
            <w:r>
              <w:rPr>
                <w:noProof/>
                <w:webHidden/>
              </w:rPr>
              <w:t>35</w:t>
            </w:r>
            <w:r w:rsidR="00E5082D">
              <w:rPr>
                <w:noProof/>
                <w:webHidden/>
              </w:rPr>
              <w:fldChar w:fldCharType="end"/>
            </w:r>
          </w:hyperlink>
        </w:p>
        <w:p w14:paraId="2C556963" w14:textId="5AAFB69D" w:rsidR="00E5082D" w:rsidRDefault="00D1673E">
          <w:pPr>
            <w:pStyle w:val="TOC2"/>
            <w:rPr>
              <w:rFonts w:asciiTheme="minorHAnsi" w:eastAsiaTheme="minorEastAsia" w:hAnsiTheme="minorHAnsi" w:cstheme="minorBidi"/>
              <w:b w:val="0"/>
              <w:noProof/>
              <w:sz w:val="22"/>
              <w:lang w:eastAsia="en-AU"/>
            </w:rPr>
          </w:pPr>
          <w:hyperlink w:anchor="_Toc117791823" w:history="1">
            <w:r w:rsidR="00E5082D" w:rsidRPr="000A1722">
              <w:rPr>
                <w:rStyle w:val="Hyperlink"/>
                <w:noProof/>
              </w:rPr>
              <w:t>Risk-benefit analysis</w:t>
            </w:r>
            <w:r w:rsidR="00E5082D">
              <w:rPr>
                <w:noProof/>
                <w:webHidden/>
              </w:rPr>
              <w:tab/>
            </w:r>
            <w:r w:rsidR="00E5082D">
              <w:rPr>
                <w:noProof/>
                <w:webHidden/>
              </w:rPr>
              <w:fldChar w:fldCharType="begin"/>
            </w:r>
            <w:r w:rsidR="00E5082D">
              <w:rPr>
                <w:noProof/>
                <w:webHidden/>
              </w:rPr>
              <w:instrText xml:space="preserve"> PAGEREF _Toc117791823 \h </w:instrText>
            </w:r>
            <w:r w:rsidR="00E5082D">
              <w:rPr>
                <w:noProof/>
                <w:webHidden/>
              </w:rPr>
            </w:r>
            <w:r w:rsidR="00E5082D">
              <w:rPr>
                <w:noProof/>
                <w:webHidden/>
              </w:rPr>
              <w:fldChar w:fldCharType="separate"/>
            </w:r>
            <w:r>
              <w:rPr>
                <w:noProof/>
                <w:webHidden/>
              </w:rPr>
              <w:t>36</w:t>
            </w:r>
            <w:r w:rsidR="00E5082D">
              <w:rPr>
                <w:noProof/>
                <w:webHidden/>
              </w:rPr>
              <w:fldChar w:fldCharType="end"/>
            </w:r>
          </w:hyperlink>
        </w:p>
        <w:p w14:paraId="63B8D780" w14:textId="2D908611" w:rsidR="00E5082D" w:rsidRDefault="00D1673E">
          <w:pPr>
            <w:pStyle w:val="TOC1"/>
            <w:rPr>
              <w:rFonts w:asciiTheme="minorHAnsi" w:eastAsiaTheme="minorEastAsia" w:hAnsiTheme="minorHAnsi" w:cstheme="minorBidi"/>
              <w:b w:val="0"/>
              <w:noProof/>
              <w:sz w:val="22"/>
              <w:lang w:eastAsia="en-AU"/>
            </w:rPr>
          </w:pPr>
          <w:hyperlink w:anchor="_Toc117791824" w:history="1">
            <w:r w:rsidR="00E5082D" w:rsidRPr="000A1722">
              <w:rPr>
                <w:rStyle w:val="Hyperlink"/>
                <w:noProof/>
              </w:rPr>
              <w:t>Outcome</w:t>
            </w:r>
            <w:r w:rsidR="00E5082D">
              <w:rPr>
                <w:noProof/>
                <w:webHidden/>
              </w:rPr>
              <w:tab/>
            </w:r>
            <w:r w:rsidR="00E5082D">
              <w:rPr>
                <w:noProof/>
                <w:webHidden/>
              </w:rPr>
              <w:fldChar w:fldCharType="begin"/>
            </w:r>
            <w:r w:rsidR="00E5082D">
              <w:rPr>
                <w:noProof/>
                <w:webHidden/>
              </w:rPr>
              <w:instrText xml:space="preserve"> PAGEREF _Toc117791824 \h </w:instrText>
            </w:r>
            <w:r w:rsidR="00E5082D">
              <w:rPr>
                <w:noProof/>
                <w:webHidden/>
              </w:rPr>
            </w:r>
            <w:r w:rsidR="00E5082D">
              <w:rPr>
                <w:noProof/>
                <w:webHidden/>
              </w:rPr>
              <w:fldChar w:fldCharType="separate"/>
            </w:r>
            <w:r>
              <w:rPr>
                <w:noProof/>
                <w:webHidden/>
              </w:rPr>
              <w:t>39</w:t>
            </w:r>
            <w:r w:rsidR="00E5082D">
              <w:rPr>
                <w:noProof/>
                <w:webHidden/>
              </w:rPr>
              <w:fldChar w:fldCharType="end"/>
            </w:r>
          </w:hyperlink>
        </w:p>
        <w:p w14:paraId="45302FDA" w14:textId="68CD3B86" w:rsidR="00E5082D" w:rsidRDefault="00D1673E">
          <w:pPr>
            <w:pStyle w:val="TOC2"/>
            <w:rPr>
              <w:rFonts w:asciiTheme="minorHAnsi" w:eastAsiaTheme="minorEastAsia" w:hAnsiTheme="minorHAnsi" w:cstheme="minorBidi"/>
              <w:b w:val="0"/>
              <w:noProof/>
              <w:sz w:val="22"/>
              <w:lang w:eastAsia="en-AU"/>
            </w:rPr>
          </w:pPr>
          <w:hyperlink w:anchor="_Toc117791825" w:history="1">
            <w:r w:rsidR="00E5082D" w:rsidRPr="000A1722">
              <w:rPr>
                <w:rStyle w:val="Hyperlink"/>
                <w:noProof/>
              </w:rPr>
              <w:t>Specific conditions of registration applying to these goods</w:t>
            </w:r>
            <w:r w:rsidR="00E5082D">
              <w:rPr>
                <w:noProof/>
                <w:webHidden/>
              </w:rPr>
              <w:tab/>
            </w:r>
            <w:r w:rsidR="00E5082D">
              <w:rPr>
                <w:noProof/>
                <w:webHidden/>
              </w:rPr>
              <w:fldChar w:fldCharType="begin"/>
            </w:r>
            <w:r w:rsidR="00E5082D">
              <w:rPr>
                <w:noProof/>
                <w:webHidden/>
              </w:rPr>
              <w:instrText xml:space="preserve"> PAGEREF _Toc117791825 \h </w:instrText>
            </w:r>
            <w:r w:rsidR="00E5082D">
              <w:rPr>
                <w:noProof/>
                <w:webHidden/>
              </w:rPr>
            </w:r>
            <w:r w:rsidR="00E5082D">
              <w:rPr>
                <w:noProof/>
                <w:webHidden/>
              </w:rPr>
              <w:fldChar w:fldCharType="separate"/>
            </w:r>
            <w:r>
              <w:rPr>
                <w:noProof/>
                <w:webHidden/>
              </w:rPr>
              <w:t>40</w:t>
            </w:r>
            <w:r w:rsidR="00E5082D">
              <w:rPr>
                <w:noProof/>
                <w:webHidden/>
              </w:rPr>
              <w:fldChar w:fldCharType="end"/>
            </w:r>
          </w:hyperlink>
        </w:p>
        <w:p w14:paraId="64A89CAE" w14:textId="777CAFD8" w:rsidR="00E5082D" w:rsidRDefault="00D1673E">
          <w:pPr>
            <w:pStyle w:val="TOC1"/>
            <w:rPr>
              <w:rFonts w:asciiTheme="minorHAnsi" w:eastAsiaTheme="minorEastAsia" w:hAnsiTheme="minorHAnsi" w:cstheme="minorBidi"/>
              <w:b w:val="0"/>
              <w:noProof/>
              <w:sz w:val="22"/>
              <w:lang w:eastAsia="en-AU"/>
            </w:rPr>
          </w:pPr>
          <w:hyperlink w:anchor="_Toc117791826" w:history="1">
            <w:r w:rsidR="00E5082D" w:rsidRPr="000A1722">
              <w:rPr>
                <w:rStyle w:val="Hyperlink"/>
                <w:noProof/>
              </w:rPr>
              <w:t>Attachment 1. Product Information</w:t>
            </w:r>
            <w:r w:rsidR="00E5082D">
              <w:rPr>
                <w:noProof/>
                <w:webHidden/>
              </w:rPr>
              <w:tab/>
            </w:r>
            <w:r w:rsidR="00E5082D">
              <w:rPr>
                <w:noProof/>
                <w:webHidden/>
              </w:rPr>
              <w:fldChar w:fldCharType="begin"/>
            </w:r>
            <w:r w:rsidR="00E5082D">
              <w:rPr>
                <w:noProof/>
                <w:webHidden/>
              </w:rPr>
              <w:instrText xml:space="preserve"> PAGEREF _Toc117791826 \h </w:instrText>
            </w:r>
            <w:r w:rsidR="00E5082D">
              <w:rPr>
                <w:noProof/>
                <w:webHidden/>
              </w:rPr>
            </w:r>
            <w:r w:rsidR="00E5082D">
              <w:rPr>
                <w:noProof/>
                <w:webHidden/>
              </w:rPr>
              <w:fldChar w:fldCharType="separate"/>
            </w:r>
            <w:r>
              <w:rPr>
                <w:noProof/>
                <w:webHidden/>
              </w:rPr>
              <w:t>40</w:t>
            </w:r>
            <w:r w:rsidR="00E5082D">
              <w:rPr>
                <w:noProof/>
                <w:webHidden/>
              </w:rPr>
              <w:fldChar w:fldCharType="end"/>
            </w:r>
          </w:hyperlink>
        </w:p>
        <w:p w14:paraId="0FD4E9B8" w14:textId="338F9AED" w:rsidR="003A7F6C" w:rsidRPr="00836794" w:rsidRDefault="00C525A2" w:rsidP="00EB36D6">
          <w:r w:rsidRPr="00836794">
            <w:fldChar w:fldCharType="end"/>
          </w:r>
        </w:p>
      </w:sdtContent>
    </w:sdt>
    <w:bookmarkStart w:id="2" w:name="_Toc314842482" w:displacedByCustomXml="prev"/>
    <w:p w14:paraId="7616E266" w14:textId="77777777" w:rsidR="00FD119B" w:rsidRPr="00836794" w:rsidRDefault="00FD119B">
      <w:pPr>
        <w:spacing w:before="0" w:after="200" w:line="0" w:lineRule="auto"/>
      </w:pPr>
      <w:r w:rsidRPr="00836794">
        <w:br w:type="page"/>
      </w:r>
    </w:p>
    <w:p w14:paraId="66F869D9" w14:textId="77777777" w:rsidR="00AF2313" w:rsidRPr="00836794" w:rsidRDefault="00AF2313" w:rsidP="00AF2313">
      <w:pPr>
        <w:pStyle w:val="Heading2"/>
      </w:pPr>
      <w:bookmarkStart w:id="3" w:name="_Toc98931917"/>
      <w:bookmarkStart w:id="4" w:name="_Toc117791811"/>
      <w:r w:rsidRPr="00836794">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836794" w14:paraId="43972B89"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6E69E134" w14:textId="77777777" w:rsidR="00AF2313" w:rsidRPr="00836794" w:rsidRDefault="00AF2313">
            <w:pPr>
              <w:rPr>
                <w:color w:val="FFFFFF"/>
              </w:rPr>
            </w:pPr>
            <w:bookmarkStart w:id="5" w:name="_Hlk107754860"/>
            <w:r w:rsidRPr="00836794">
              <w:t>Abbreviation</w:t>
            </w:r>
          </w:p>
        </w:tc>
        <w:tc>
          <w:tcPr>
            <w:tcW w:w="3282" w:type="pct"/>
            <w:hideMark/>
          </w:tcPr>
          <w:p w14:paraId="6EF18C10" w14:textId="77777777" w:rsidR="00AF2313" w:rsidRPr="00836794" w:rsidRDefault="00AF2313">
            <w:r w:rsidRPr="00836794">
              <w:t>Meaning</w:t>
            </w:r>
          </w:p>
        </w:tc>
      </w:tr>
      <w:tr w:rsidR="00615569" w:rsidRPr="00836794" w14:paraId="3B8A33F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4B581C8" w14:textId="22507D16" w:rsidR="00615569" w:rsidRPr="00836794" w:rsidRDefault="00615569" w:rsidP="00A85DC4">
            <w:r w:rsidRPr="00836794">
              <w:t>AACE</w:t>
            </w:r>
          </w:p>
        </w:tc>
        <w:tc>
          <w:tcPr>
            <w:tcW w:w="3987" w:type="pct"/>
            <w:gridSpan w:val="2"/>
            <w:tcBorders>
              <w:top w:val="single" w:sz="8" w:space="0" w:color="002C47"/>
              <w:left w:val="single" w:sz="8" w:space="0" w:color="002C47"/>
              <w:bottom w:val="single" w:sz="8" w:space="0" w:color="002C47"/>
              <w:right w:val="single" w:sz="8" w:space="0" w:color="002C47"/>
            </w:tcBorders>
          </w:tcPr>
          <w:p w14:paraId="7240D076" w14:textId="3289666D" w:rsidR="00615569" w:rsidRPr="00836794" w:rsidRDefault="00615569" w:rsidP="00A85DC4">
            <w:r w:rsidRPr="00836794">
              <w:t>American Association of Clinical Endocrinologists (United States of America)</w:t>
            </w:r>
          </w:p>
        </w:tc>
      </w:tr>
      <w:tr w:rsidR="00A85DC4" w:rsidRPr="00836794" w14:paraId="6675E2A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CB021A7" w14:textId="12DC1109" w:rsidR="00A85DC4" w:rsidRPr="00836794" w:rsidRDefault="00A85DC4" w:rsidP="00A85DC4">
            <w:r w:rsidRPr="00836794">
              <w:t>ABS</w:t>
            </w:r>
          </w:p>
        </w:tc>
        <w:tc>
          <w:tcPr>
            <w:tcW w:w="3987" w:type="pct"/>
            <w:gridSpan w:val="2"/>
            <w:tcBorders>
              <w:top w:val="single" w:sz="8" w:space="0" w:color="002C47"/>
              <w:left w:val="single" w:sz="8" w:space="0" w:color="002C47"/>
              <w:bottom w:val="single" w:sz="8" w:space="0" w:color="002C47"/>
              <w:right w:val="single" w:sz="8" w:space="0" w:color="002C47"/>
            </w:tcBorders>
          </w:tcPr>
          <w:p w14:paraId="4C07E8AC" w14:textId="1F864C41" w:rsidR="00A85DC4" w:rsidRPr="00836794" w:rsidRDefault="00A85DC4" w:rsidP="00A85DC4">
            <w:r w:rsidRPr="00836794">
              <w:t>Australian Bureau of Statistics</w:t>
            </w:r>
          </w:p>
        </w:tc>
      </w:tr>
      <w:tr w:rsidR="00A85DC4" w:rsidRPr="00836794" w14:paraId="59BCCDCF" w14:textId="77777777" w:rsidTr="00A85DC4">
        <w:trPr>
          <w:cantSplit/>
        </w:trPr>
        <w:tc>
          <w:tcPr>
            <w:tcW w:w="1013" w:type="pct"/>
            <w:tcBorders>
              <w:top w:val="single" w:sz="8" w:space="0" w:color="002C47"/>
              <w:left w:val="single" w:sz="8" w:space="0" w:color="002C47"/>
              <w:bottom w:val="single" w:sz="8" w:space="0" w:color="002C47"/>
              <w:right w:val="single" w:sz="8" w:space="0" w:color="002C47"/>
            </w:tcBorders>
          </w:tcPr>
          <w:p w14:paraId="538413A7" w14:textId="7E28261D" w:rsidR="00A85DC4" w:rsidRPr="00836794" w:rsidRDefault="00A85DC4" w:rsidP="00A85DC4">
            <w:r w:rsidRPr="00836794">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0CF2CD5B" w14:textId="654B11D5" w:rsidR="00A85DC4" w:rsidRPr="00836794" w:rsidRDefault="00A85DC4" w:rsidP="00A85DC4">
            <w:r w:rsidRPr="00836794">
              <w:t>Advisory Committee on Medicines</w:t>
            </w:r>
          </w:p>
        </w:tc>
      </w:tr>
      <w:tr w:rsidR="00A85DC4" w:rsidRPr="00836794" w14:paraId="1BE19FE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89294F1" w14:textId="38843CB8" w:rsidR="00A85DC4" w:rsidRPr="00836794" w:rsidRDefault="00A85DC4" w:rsidP="00A85DC4">
            <w:r w:rsidRPr="00836794">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7A68A728" w14:textId="0E15DC39" w:rsidR="00A85DC4" w:rsidRPr="00836794" w:rsidRDefault="00A85DC4" w:rsidP="00A85DC4">
            <w:bookmarkStart w:id="6" w:name="_Hlk107757086"/>
            <w:r w:rsidRPr="00836794">
              <w:t>American Diabetes Association</w:t>
            </w:r>
            <w:bookmarkEnd w:id="6"/>
            <w:r w:rsidR="00615569" w:rsidRPr="00836794">
              <w:t xml:space="preserve"> (United States of America)</w:t>
            </w:r>
          </w:p>
        </w:tc>
      </w:tr>
      <w:tr w:rsidR="00F802A8" w:rsidRPr="00836794" w14:paraId="61F751D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9B30073" w14:textId="22CE8DFE" w:rsidR="00F802A8" w:rsidRPr="00836794" w:rsidRDefault="00F802A8" w:rsidP="00A85DC4">
            <w: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23251DDC" w14:textId="45FB4130" w:rsidR="00F802A8" w:rsidRPr="00836794" w:rsidRDefault="00F802A8" w:rsidP="00A85DC4">
            <w:r>
              <w:t>Adverse event</w:t>
            </w:r>
          </w:p>
        </w:tc>
      </w:tr>
      <w:tr w:rsidR="00A85DC4" w:rsidRPr="00836794" w14:paraId="57119C3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9119807" w14:textId="2F0EB50B" w:rsidR="00A85DC4" w:rsidRPr="00836794" w:rsidRDefault="00A85DC4" w:rsidP="00A85DC4">
            <w:r w:rsidRPr="00836794">
              <w:t>ARGPM</w:t>
            </w:r>
          </w:p>
        </w:tc>
        <w:tc>
          <w:tcPr>
            <w:tcW w:w="3987" w:type="pct"/>
            <w:gridSpan w:val="2"/>
            <w:tcBorders>
              <w:top w:val="single" w:sz="8" w:space="0" w:color="002C47"/>
              <w:left w:val="single" w:sz="8" w:space="0" w:color="002C47"/>
              <w:bottom w:val="single" w:sz="8" w:space="0" w:color="002C47"/>
              <w:right w:val="single" w:sz="8" w:space="0" w:color="002C47"/>
            </w:tcBorders>
          </w:tcPr>
          <w:p w14:paraId="13023756" w14:textId="6244257C" w:rsidR="00A85DC4" w:rsidRPr="00836794" w:rsidRDefault="00A85DC4" w:rsidP="00A85DC4">
            <w:r w:rsidRPr="00836794">
              <w:t>Australian Regulatory Guidelines for Prescription Medicines</w:t>
            </w:r>
          </w:p>
        </w:tc>
      </w:tr>
      <w:tr w:rsidR="00A85DC4" w:rsidRPr="00836794" w14:paraId="703B5FA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AB839E" w14:textId="6B5EF29E" w:rsidR="00A85DC4" w:rsidRPr="00836794" w:rsidRDefault="00A85DC4" w:rsidP="00A85DC4">
            <w:r w:rsidRPr="00836794">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21E52EA6" w14:textId="348E78CE" w:rsidR="00A85DC4" w:rsidRPr="00836794" w:rsidRDefault="00A85DC4" w:rsidP="00A85DC4">
            <w:r w:rsidRPr="00836794">
              <w:t>Australian Register of Therapeutic Goods</w:t>
            </w:r>
          </w:p>
        </w:tc>
      </w:tr>
      <w:tr w:rsidR="00A85DC4" w:rsidRPr="00836794" w14:paraId="64660D0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E1D5408" w14:textId="23CFBE46" w:rsidR="00A85DC4" w:rsidRPr="00836794" w:rsidRDefault="00A85DC4" w:rsidP="00A85DC4">
            <w:r w:rsidRPr="00836794">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462DC186" w14:textId="73C344D7" w:rsidR="00A85DC4" w:rsidRPr="00836794" w:rsidRDefault="00A85DC4" w:rsidP="00A85DC4">
            <w:r w:rsidRPr="00836794">
              <w:t>Australia specific annex</w:t>
            </w:r>
          </w:p>
        </w:tc>
      </w:tr>
      <w:tr w:rsidR="00A85DC4" w:rsidRPr="00836794" w14:paraId="1CB2A52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70BDC1A" w14:textId="47FDCF0D" w:rsidR="00A85DC4" w:rsidRPr="00836794" w:rsidRDefault="0078534A" w:rsidP="00A85DC4">
            <w:r w:rsidRPr="00836794">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2D07BB8C" w14:textId="0FA7F4E4" w:rsidR="00A85DC4" w:rsidRPr="00836794" w:rsidRDefault="00A85DC4" w:rsidP="00A85DC4">
            <w:r w:rsidRPr="00836794">
              <w:t>Area under the concentration-time curve</w:t>
            </w:r>
          </w:p>
        </w:tc>
      </w:tr>
      <w:tr w:rsidR="00A85DC4" w:rsidRPr="00836794" w14:paraId="30C9605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A41F3F7" w14:textId="66EE3AFF" w:rsidR="00A85DC4" w:rsidRPr="00836794" w:rsidRDefault="00A85DC4" w:rsidP="00A85DC4">
            <w:r w:rsidRPr="00836794">
              <w:t>AUC</w:t>
            </w:r>
            <w:r w:rsidRPr="00836794">
              <w:rPr>
                <w:vertAlign w:val="subscript"/>
              </w:rPr>
              <w:t>0-24h</w:t>
            </w:r>
          </w:p>
        </w:tc>
        <w:tc>
          <w:tcPr>
            <w:tcW w:w="3987" w:type="pct"/>
            <w:gridSpan w:val="2"/>
            <w:tcBorders>
              <w:top w:val="single" w:sz="8" w:space="0" w:color="002C47"/>
              <w:left w:val="single" w:sz="8" w:space="0" w:color="002C47"/>
              <w:bottom w:val="single" w:sz="8" w:space="0" w:color="002C47"/>
              <w:right w:val="single" w:sz="8" w:space="0" w:color="002C47"/>
            </w:tcBorders>
          </w:tcPr>
          <w:p w14:paraId="5F393594" w14:textId="2637DA1A" w:rsidR="00A85DC4" w:rsidRPr="00836794" w:rsidRDefault="0078534A" w:rsidP="00A85DC4">
            <w:r w:rsidRPr="00836794">
              <w:t>Area under the concentration-time curve from time zero to 24</w:t>
            </w:r>
            <w:r w:rsidR="00290EC1">
              <w:t> </w:t>
            </w:r>
            <w:r w:rsidRPr="00836794">
              <w:t>hour</w:t>
            </w:r>
            <w:r w:rsidR="00290EC1">
              <w:t>s</w:t>
            </w:r>
          </w:p>
        </w:tc>
      </w:tr>
      <w:tr w:rsidR="0078534A" w:rsidRPr="00836794" w14:paraId="6BD84CA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6065AD4" w14:textId="1ED4F23A" w:rsidR="0078534A" w:rsidRPr="00836794" w:rsidRDefault="0078534A" w:rsidP="00A85DC4">
            <w:r w:rsidRPr="00836794">
              <w:t>AUC</w:t>
            </w:r>
            <w:r w:rsidRPr="00836794">
              <w:rPr>
                <w:vertAlign w:val="subscript"/>
              </w:rPr>
              <w:t>tau</w:t>
            </w:r>
          </w:p>
        </w:tc>
        <w:tc>
          <w:tcPr>
            <w:tcW w:w="3987" w:type="pct"/>
            <w:gridSpan w:val="2"/>
            <w:tcBorders>
              <w:top w:val="single" w:sz="8" w:space="0" w:color="002C47"/>
              <w:left w:val="single" w:sz="8" w:space="0" w:color="002C47"/>
              <w:bottom w:val="single" w:sz="8" w:space="0" w:color="002C47"/>
              <w:right w:val="single" w:sz="8" w:space="0" w:color="002C47"/>
            </w:tcBorders>
          </w:tcPr>
          <w:p w14:paraId="7CD754AC" w14:textId="19D3FAF3" w:rsidR="0078534A" w:rsidRPr="00836794" w:rsidRDefault="0078534A" w:rsidP="00A85DC4">
            <w:r w:rsidRPr="00836794">
              <w:t>Area under the concentration-time curve over a dosing interval</w:t>
            </w:r>
          </w:p>
        </w:tc>
      </w:tr>
      <w:tr w:rsidR="00A85DC4" w:rsidRPr="00836794" w14:paraId="36BCD9B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CA10262" w14:textId="0364F309" w:rsidR="00A85DC4" w:rsidRPr="00836794" w:rsidRDefault="00A85DC4" w:rsidP="00A85DC4">
            <w:r w:rsidRPr="00836794">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77E56767" w14:textId="52CC60EF" w:rsidR="00A85DC4" w:rsidRPr="00836794" w:rsidRDefault="00A85DC4" w:rsidP="00A85DC4">
            <w:r w:rsidRPr="00836794">
              <w:t>Committee for Human Medicinal Products (European Union)</w:t>
            </w:r>
          </w:p>
        </w:tc>
      </w:tr>
      <w:tr w:rsidR="00A85DC4" w:rsidRPr="00836794" w14:paraId="5BBDD28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3A6D2B2" w14:textId="05AF814D" w:rsidR="00A85DC4" w:rsidRPr="00836794" w:rsidRDefault="00A85DC4" w:rsidP="00A85DC4">
            <w:r w:rsidRPr="00836794">
              <w:t>CI</w:t>
            </w:r>
          </w:p>
        </w:tc>
        <w:tc>
          <w:tcPr>
            <w:tcW w:w="3987" w:type="pct"/>
            <w:gridSpan w:val="2"/>
            <w:tcBorders>
              <w:top w:val="single" w:sz="8" w:space="0" w:color="002C47"/>
              <w:left w:val="single" w:sz="8" w:space="0" w:color="002C47"/>
              <w:bottom w:val="single" w:sz="8" w:space="0" w:color="002C47"/>
              <w:right w:val="single" w:sz="8" w:space="0" w:color="002C47"/>
            </w:tcBorders>
          </w:tcPr>
          <w:p w14:paraId="41EDD2D3" w14:textId="39001D99" w:rsidR="00A85DC4" w:rsidRPr="00836794" w:rsidRDefault="00A85DC4" w:rsidP="00A85DC4">
            <w:r w:rsidRPr="00836794">
              <w:t>Confidence interval</w:t>
            </w:r>
          </w:p>
        </w:tc>
      </w:tr>
      <w:tr w:rsidR="00A85DC4" w:rsidRPr="00836794" w14:paraId="269C32E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6F1DA81" w14:textId="5875E14E" w:rsidR="00A85DC4" w:rsidRPr="00836794" w:rsidRDefault="00A85DC4" w:rsidP="00A85DC4">
            <w:proofErr w:type="spellStart"/>
            <w:r w:rsidRPr="00836794">
              <w:t>C</w:t>
            </w:r>
            <w:r w:rsidRPr="00836794">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7586EB7" w14:textId="3D515EB4" w:rsidR="00A85DC4" w:rsidRPr="00836794" w:rsidRDefault="00A85DC4" w:rsidP="00A85DC4">
            <w:r w:rsidRPr="00836794">
              <w:t>Maximum plasma concentration</w:t>
            </w:r>
          </w:p>
        </w:tc>
      </w:tr>
      <w:tr w:rsidR="000A2C1B" w:rsidRPr="00836794" w14:paraId="317167F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52A0C8E" w14:textId="242412EF" w:rsidR="000A2C1B" w:rsidRPr="00836794" w:rsidRDefault="000A2C1B" w:rsidP="00A85DC4">
            <w:r w:rsidRPr="00836794">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59306A78" w14:textId="485171C5" w:rsidR="000A2C1B" w:rsidRPr="00836794" w:rsidRDefault="000A2C1B" w:rsidP="00A85DC4">
            <w:r w:rsidRPr="00836794">
              <w:t>Consumer Medicines Information</w:t>
            </w:r>
          </w:p>
        </w:tc>
      </w:tr>
      <w:tr w:rsidR="00A85DC4" w:rsidRPr="00836794" w14:paraId="59E71A9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A133B3C" w14:textId="5A102739" w:rsidR="00A85DC4" w:rsidRPr="00836794" w:rsidRDefault="00A85DC4" w:rsidP="00A85DC4">
            <w:r w:rsidRPr="00836794">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6ED4199A" w14:textId="38BD8F2C" w:rsidR="00A85DC4" w:rsidRPr="00836794" w:rsidRDefault="00A85DC4" w:rsidP="00A85DC4">
            <w:r w:rsidRPr="00836794">
              <w:t>Certified Product Details</w:t>
            </w:r>
          </w:p>
        </w:tc>
      </w:tr>
      <w:tr w:rsidR="00A85DC4" w:rsidRPr="00836794" w14:paraId="55194CC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8DF894" w14:textId="5B2A602D" w:rsidR="00A85DC4" w:rsidRPr="00836794" w:rsidRDefault="00A85DC4" w:rsidP="00A85DC4">
            <w:r w:rsidRPr="00836794">
              <w:t>CPMP</w:t>
            </w:r>
          </w:p>
        </w:tc>
        <w:tc>
          <w:tcPr>
            <w:tcW w:w="3987" w:type="pct"/>
            <w:gridSpan w:val="2"/>
            <w:tcBorders>
              <w:top w:val="single" w:sz="8" w:space="0" w:color="002C47"/>
              <w:left w:val="single" w:sz="8" w:space="0" w:color="002C47"/>
              <w:bottom w:val="single" w:sz="8" w:space="0" w:color="002C47"/>
              <w:right w:val="single" w:sz="8" w:space="0" w:color="002C47"/>
            </w:tcBorders>
          </w:tcPr>
          <w:p w14:paraId="5E85FBCA" w14:textId="03B88C59" w:rsidR="00A85DC4" w:rsidRPr="00836794" w:rsidRDefault="00A85DC4" w:rsidP="00A85DC4">
            <w:r w:rsidRPr="00836794">
              <w:t>Committee for Proprietary Medicinal Products (European Union)</w:t>
            </w:r>
          </w:p>
        </w:tc>
      </w:tr>
      <w:tr w:rsidR="00A85DC4" w:rsidRPr="00836794" w14:paraId="62E80F2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688D239" w14:textId="4D6D5B15" w:rsidR="00A85DC4" w:rsidRPr="00836794" w:rsidRDefault="00A85DC4" w:rsidP="00A85DC4">
            <w:r w:rsidRPr="00836794">
              <w:t>CV</w:t>
            </w:r>
          </w:p>
        </w:tc>
        <w:tc>
          <w:tcPr>
            <w:tcW w:w="3987" w:type="pct"/>
            <w:gridSpan w:val="2"/>
            <w:tcBorders>
              <w:top w:val="single" w:sz="8" w:space="0" w:color="002C47"/>
              <w:left w:val="single" w:sz="8" w:space="0" w:color="002C47"/>
              <w:bottom w:val="single" w:sz="8" w:space="0" w:color="002C47"/>
              <w:right w:val="single" w:sz="8" w:space="0" w:color="002C47"/>
            </w:tcBorders>
          </w:tcPr>
          <w:p w14:paraId="79F5B9DB" w14:textId="774C0C38" w:rsidR="00A85DC4" w:rsidRPr="00836794" w:rsidRDefault="00A85DC4" w:rsidP="00A85DC4">
            <w:r w:rsidRPr="00836794">
              <w:t>Coefficient of variation</w:t>
            </w:r>
          </w:p>
        </w:tc>
      </w:tr>
      <w:tr w:rsidR="00A85DC4" w:rsidRPr="00836794" w14:paraId="2D02AA8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2D17A68" w14:textId="25BE228D" w:rsidR="00A85DC4" w:rsidRPr="00836794" w:rsidRDefault="00A85DC4" w:rsidP="00A85DC4">
            <w:r w:rsidRPr="00836794">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5951AA64" w14:textId="0A4036F2" w:rsidR="00A85DC4" w:rsidRPr="00836794" w:rsidRDefault="00A85DC4" w:rsidP="00A85DC4">
            <w:r w:rsidRPr="00836794">
              <w:t>Data lock point</w:t>
            </w:r>
          </w:p>
        </w:tc>
      </w:tr>
      <w:tr w:rsidR="00484415" w:rsidRPr="00836794" w14:paraId="0D0EDAD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4236DB3" w14:textId="1FA2E9F3" w:rsidR="00484415" w:rsidRPr="00836794" w:rsidRDefault="00484415" w:rsidP="00A85DC4">
            <w:r w:rsidRPr="00484415">
              <w:t>DNA</w:t>
            </w:r>
          </w:p>
        </w:tc>
        <w:tc>
          <w:tcPr>
            <w:tcW w:w="3987" w:type="pct"/>
            <w:gridSpan w:val="2"/>
            <w:tcBorders>
              <w:top w:val="single" w:sz="8" w:space="0" w:color="002C47"/>
              <w:left w:val="single" w:sz="8" w:space="0" w:color="002C47"/>
              <w:bottom w:val="single" w:sz="8" w:space="0" w:color="002C47"/>
              <w:right w:val="single" w:sz="8" w:space="0" w:color="002C47"/>
            </w:tcBorders>
          </w:tcPr>
          <w:p w14:paraId="0E34723A" w14:textId="501C56FA" w:rsidR="00484415" w:rsidRPr="00836794" w:rsidRDefault="00484415" w:rsidP="00A85DC4">
            <w:r w:rsidRPr="00484415">
              <w:t>Deoxyribonucleic acid</w:t>
            </w:r>
          </w:p>
        </w:tc>
      </w:tr>
      <w:tr w:rsidR="00A85DC4" w:rsidRPr="00836794" w14:paraId="29E8BC4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29D50C4" w14:textId="5C888C79" w:rsidR="00A85DC4" w:rsidRPr="00836794" w:rsidRDefault="00A85DC4" w:rsidP="00A85DC4">
            <w:r w:rsidRPr="00836794">
              <w:t>DPP-4</w:t>
            </w:r>
          </w:p>
        </w:tc>
        <w:tc>
          <w:tcPr>
            <w:tcW w:w="3987" w:type="pct"/>
            <w:gridSpan w:val="2"/>
            <w:tcBorders>
              <w:top w:val="single" w:sz="8" w:space="0" w:color="002C47"/>
              <w:left w:val="single" w:sz="8" w:space="0" w:color="002C47"/>
              <w:bottom w:val="single" w:sz="8" w:space="0" w:color="002C47"/>
              <w:right w:val="single" w:sz="8" w:space="0" w:color="002C47"/>
            </w:tcBorders>
          </w:tcPr>
          <w:p w14:paraId="3830242E" w14:textId="7D81DE63" w:rsidR="00A85DC4" w:rsidRPr="00836794" w:rsidRDefault="00A85DC4" w:rsidP="00A85DC4">
            <w:r w:rsidRPr="00836794">
              <w:t xml:space="preserve">Dipeptidyl </w:t>
            </w:r>
            <w:proofErr w:type="gramStart"/>
            <w:r w:rsidRPr="00836794">
              <w:t>peptidase-4</w:t>
            </w:r>
            <w:proofErr w:type="gramEnd"/>
          </w:p>
        </w:tc>
      </w:tr>
      <w:tr w:rsidR="00A85DC4" w:rsidRPr="00836794" w14:paraId="783A8F7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D5D9A67" w14:textId="11431D6A" w:rsidR="00A85DC4" w:rsidRPr="00836794" w:rsidRDefault="00A85DC4" w:rsidP="00A85DC4">
            <w:r w:rsidRPr="00836794">
              <w:t>eGFR</w:t>
            </w:r>
          </w:p>
        </w:tc>
        <w:tc>
          <w:tcPr>
            <w:tcW w:w="3987" w:type="pct"/>
            <w:gridSpan w:val="2"/>
            <w:tcBorders>
              <w:top w:val="single" w:sz="8" w:space="0" w:color="002C47"/>
              <w:left w:val="single" w:sz="8" w:space="0" w:color="002C47"/>
              <w:bottom w:val="single" w:sz="8" w:space="0" w:color="002C47"/>
              <w:right w:val="single" w:sz="8" w:space="0" w:color="002C47"/>
            </w:tcBorders>
          </w:tcPr>
          <w:p w14:paraId="6AF9478B" w14:textId="56CC2696" w:rsidR="00A85DC4" w:rsidRPr="00836794" w:rsidRDefault="00A85DC4" w:rsidP="00A85DC4">
            <w:r w:rsidRPr="00836794">
              <w:t>Estimated glomerular filtration rate</w:t>
            </w:r>
          </w:p>
        </w:tc>
      </w:tr>
      <w:tr w:rsidR="00A85DC4" w:rsidRPr="00836794" w14:paraId="776E8A5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7B8F3DA" w14:textId="70F13E17" w:rsidR="00A85DC4" w:rsidRPr="00836794" w:rsidRDefault="00A85DC4" w:rsidP="00A85DC4">
            <w:r w:rsidRPr="00836794">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6D6FDC97" w14:textId="71E7E898" w:rsidR="00A85DC4" w:rsidRPr="00836794" w:rsidRDefault="00A85DC4" w:rsidP="00A85DC4">
            <w:r w:rsidRPr="00836794">
              <w:t>European medicines agency (European Union)</w:t>
            </w:r>
          </w:p>
        </w:tc>
      </w:tr>
      <w:tr w:rsidR="00A85DC4" w:rsidRPr="00836794" w14:paraId="03DCB0D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FD362D" w14:textId="2EF6FE9F" w:rsidR="00A85DC4" w:rsidRPr="00836794" w:rsidRDefault="00A85DC4" w:rsidP="00A85DC4">
            <w:r w:rsidRPr="00836794">
              <w:t>EU</w:t>
            </w:r>
          </w:p>
        </w:tc>
        <w:tc>
          <w:tcPr>
            <w:tcW w:w="3987" w:type="pct"/>
            <w:gridSpan w:val="2"/>
            <w:tcBorders>
              <w:top w:val="single" w:sz="8" w:space="0" w:color="002C47"/>
              <w:left w:val="single" w:sz="8" w:space="0" w:color="002C47"/>
              <w:bottom w:val="single" w:sz="8" w:space="0" w:color="002C47"/>
              <w:right w:val="single" w:sz="8" w:space="0" w:color="002C47"/>
            </w:tcBorders>
          </w:tcPr>
          <w:p w14:paraId="60143FB3" w14:textId="5492F59F" w:rsidR="00A85DC4" w:rsidRPr="00836794" w:rsidRDefault="00A85DC4" w:rsidP="00A85DC4">
            <w:r w:rsidRPr="00836794">
              <w:t>European Union</w:t>
            </w:r>
          </w:p>
        </w:tc>
      </w:tr>
      <w:tr w:rsidR="00A85DC4" w:rsidRPr="00836794" w14:paraId="50D7279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CA92CAB" w14:textId="6627D9D5" w:rsidR="00A85DC4" w:rsidRPr="00836794" w:rsidRDefault="00A85DC4" w:rsidP="00A85DC4">
            <w:r w:rsidRPr="00836794">
              <w:lastRenderedPageBreak/>
              <w:t>GLP-1</w:t>
            </w:r>
          </w:p>
        </w:tc>
        <w:tc>
          <w:tcPr>
            <w:tcW w:w="3987" w:type="pct"/>
            <w:gridSpan w:val="2"/>
            <w:tcBorders>
              <w:top w:val="single" w:sz="8" w:space="0" w:color="002C47"/>
              <w:left w:val="single" w:sz="8" w:space="0" w:color="002C47"/>
              <w:bottom w:val="single" w:sz="8" w:space="0" w:color="002C47"/>
              <w:right w:val="single" w:sz="8" w:space="0" w:color="002C47"/>
            </w:tcBorders>
          </w:tcPr>
          <w:p w14:paraId="5123433C" w14:textId="21DCB472" w:rsidR="00A85DC4" w:rsidRPr="00836794" w:rsidRDefault="00A85DC4" w:rsidP="00A85DC4">
            <w:r w:rsidRPr="00836794">
              <w:t xml:space="preserve">Glucagon like </w:t>
            </w:r>
            <w:proofErr w:type="gramStart"/>
            <w:r w:rsidRPr="00836794">
              <w:t>peptide-1</w:t>
            </w:r>
            <w:proofErr w:type="gramEnd"/>
          </w:p>
        </w:tc>
      </w:tr>
      <w:tr w:rsidR="00A85DC4" w:rsidRPr="00836794" w14:paraId="382FC28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5E0CE0" w14:textId="1675A5AA" w:rsidR="00A85DC4" w:rsidRPr="00836794" w:rsidRDefault="00A85DC4" w:rsidP="00A85DC4">
            <w:r w:rsidRPr="00836794">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1C20FA51" w14:textId="3A613191" w:rsidR="00A85DC4" w:rsidRPr="00836794" w:rsidRDefault="00A85DC4" w:rsidP="00A85DC4">
            <w:r w:rsidRPr="00836794">
              <w:t>Good Manufacturing Practice</w:t>
            </w:r>
          </w:p>
        </w:tc>
      </w:tr>
      <w:tr w:rsidR="000A2C1B" w:rsidRPr="00836794" w14:paraId="6BD10D1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0120D44" w14:textId="5606F331" w:rsidR="000A2C1B" w:rsidRPr="00836794" w:rsidRDefault="000A2C1B" w:rsidP="00A85DC4">
            <w:r w:rsidRPr="00836794">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4F93953C" w14:textId="688CB0E7" w:rsidR="000A2C1B" w:rsidRPr="00836794" w:rsidRDefault="000A2C1B" w:rsidP="00A85DC4">
            <w:r w:rsidRPr="00836794">
              <w:t>Good Pharmacovigilance Practices</w:t>
            </w:r>
          </w:p>
        </w:tc>
      </w:tr>
      <w:tr w:rsidR="00A85DC4" w:rsidRPr="00836794" w14:paraId="1774E19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0D68DE7" w14:textId="680E8715" w:rsidR="00A85DC4" w:rsidRPr="00836794" w:rsidRDefault="00A85DC4" w:rsidP="00A85DC4">
            <w:r w:rsidRPr="00836794">
              <w:t>HbA1c</w:t>
            </w:r>
          </w:p>
        </w:tc>
        <w:tc>
          <w:tcPr>
            <w:tcW w:w="3987" w:type="pct"/>
            <w:gridSpan w:val="2"/>
            <w:tcBorders>
              <w:top w:val="single" w:sz="8" w:space="0" w:color="002C47"/>
              <w:left w:val="single" w:sz="8" w:space="0" w:color="002C47"/>
              <w:bottom w:val="single" w:sz="8" w:space="0" w:color="002C47"/>
              <w:right w:val="single" w:sz="8" w:space="0" w:color="002C47"/>
            </w:tcBorders>
          </w:tcPr>
          <w:p w14:paraId="520EA8F7" w14:textId="5B52019D" w:rsidR="00A85DC4" w:rsidRPr="00836794" w:rsidRDefault="000025F0" w:rsidP="00A85DC4">
            <w:r>
              <w:t>G</w:t>
            </w:r>
            <w:r w:rsidRPr="000025F0">
              <w:t xml:space="preserve">lycated </w:t>
            </w:r>
            <w:r w:rsidR="00A85DC4" w:rsidRPr="00836794">
              <w:t>haemoglobin A1c</w:t>
            </w:r>
          </w:p>
        </w:tc>
      </w:tr>
      <w:tr w:rsidR="00A85DC4" w:rsidRPr="00836794" w14:paraId="3704437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D3ADA0F" w14:textId="445DF63C" w:rsidR="00A85DC4" w:rsidRPr="00836794" w:rsidRDefault="00A85DC4" w:rsidP="00A85DC4">
            <w:r w:rsidRPr="00836794">
              <w:t>NICE</w:t>
            </w:r>
          </w:p>
        </w:tc>
        <w:tc>
          <w:tcPr>
            <w:tcW w:w="3987" w:type="pct"/>
            <w:gridSpan w:val="2"/>
            <w:tcBorders>
              <w:top w:val="single" w:sz="8" w:space="0" w:color="002C47"/>
              <w:left w:val="single" w:sz="8" w:space="0" w:color="002C47"/>
              <w:bottom w:val="single" w:sz="8" w:space="0" w:color="002C47"/>
              <w:right w:val="single" w:sz="8" w:space="0" w:color="002C47"/>
            </w:tcBorders>
          </w:tcPr>
          <w:p w14:paraId="75CC3B1A" w14:textId="47B6DA95" w:rsidR="00A85DC4" w:rsidRPr="00836794" w:rsidRDefault="00A85DC4" w:rsidP="00A85DC4">
            <w:r w:rsidRPr="00836794">
              <w:t>National Institute for Health and Care excellence (United</w:t>
            </w:r>
            <w:r w:rsidR="00290EC1">
              <w:t> </w:t>
            </w:r>
            <w:r w:rsidRPr="00836794">
              <w:t>Kingdom)</w:t>
            </w:r>
          </w:p>
        </w:tc>
      </w:tr>
      <w:tr w:rsidR="0031055B" w:rsidRPr="00836794" w14:paraId="77FF1AF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37FB8FB" w14:textId="39F31F25" w:rsidR="0031055B" w:rsidRPr="00836794" w:rsidRDefault="0031055B" w:rsidP="00A85DC4">
            <w:r>
              <w:t>PBS</w:t>
            </w:r>
          </w:p>
        </w:tc>
        <w:tc>
          <w:tcPr>
            <w:tcW w:w="3987" w:type="pct"/>
            <w:gridSpan w:val="2"/>
            <w:tcBorders>
              <w:top w:val="single" w:sz="8" w:space="0" w:color="002C47"/>
              <w:left w:val="single" w:sz="8" w:space="0" w:color="002C47"/>
              <w:bottom w:val="single" w:sz="8" w:space="0" w:color="002C47"/>
              <w:right w:val="single" w:sz="8" w:space="0" w:color="002C47"/>
            </w:tcBorders>
          </w:tcPr>
          <w:p w14:paraId="45E83326" w14:textId="3A587E31" w:rsidR="0031055B" w:rsidRPr="00836794" w:rsidRDefault="0031055B" w:rsidP="00A85DC4">
            <w:r>
              <w:t>Pharmaceutical Benefits Scheme</w:t>
            </w:r>
          </w:p>
        </w:tc>
      </w:tr>
      <w:tr w:rsidR="00A85DC4" w:rsidRPr="00836794" w14:paraId="0BF149C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2B9E27B" w14:textId="3409F84A" w:rsidR="00A85DC4" w:rsidRPr="00836794" w:rsidRDefault="00A85DC4" w:rsidP="00A85DC4">
            <w:r w:rsidRPr="00836794">
              <w:t>PI</w:t>
            </w:r>
          </w:p>
        </w:tc>
        <w:tc>
          <w:tcPr>
            <w:tcW w:w="3987" w:type="pct"/>
            <w:gridSpan w:val="2"/>
            <w:tcBorders>
              <w:top w:val="single" w:sz="8" w:space="0" w:color="002C47"/>
              <w:left w:val="single" w:sz="8" w:space="0" w:color="002C47"/>
              <w:bottom w:val="single" w:sz="8" w:space="0" w:color="002C47"/>
              <w:right w:val="single" w:sz="8" w:space="0" w:color="002C47"/>
            </w:tcBorders>
          </w:tcPr>
          <w:p w14:paraId="60327CF9" w14:textId="7D870F03" w:rsidR="00A85DC4" w:rsidRPr="00836794" w:rsidRDefault="00A85DC4" w:rsidP="00A85DC4">
            <w:r w:rsidRPr="00836794">
              <w:t>Product Information</w:t>
            </w:r>
          </w:p>
        </w:tc>
      </w:tr>
      <w:tr w:rsidR="00A85DC4" w:rsidRPr="00836794" w14:paraId="14AA030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A104C7C" w14:textId="3A2BFFFD" w:rsidR="00A85DC4" w:rsidRPr="00836794" w:rsidRDefault="00A85DC4" w:rsidP="00A85DC4">
            <w:r w:rsidRPr="00836794">
              <w:t>PK</w:t>
            </w:r>
          </w:p>
        </w:tc>
        <w:tc>
          <w:tcPr>
            <w:tcW w:w="3987" w:type="pct"/>
            <w:gridSpan w:val="2"/>
            <w:tcBorders>
              <w:top w:val="single" w:sz="8" w:space="0" w:color="002C47"/>
              <w:left w:val="single" w:sz="8" w:space="0" w:color="002C47"/>
              <w:bottom w:val="single" w:sz="8" w:space="0" w:color="002C47"/>
              <w:right w:val="single" w:sz="8" w:space="0" w:color="002C47"/>
            </w:tcBorders>
          </w:tcPr>
          <w:p w14:paraId="3E53171A" w14:textId="60461CCD" w:rsidR="00A85DC4" w:rsidRPr="00836794" w:rsidRDefault="00A85DC4" w:rsidP="00A85DC4">
            <w:r w:rsidRPr="00836794">
              <w:t>Pharmacokinetic</w:t>
            </w:r>
            <w:r w:rsidR="00F918C9" w:rsidRPr="00836794">
              <w:t>(</w:t>
            </w:r>
            <w:r w:rsidRPr="00836794">
              <w:t>s</w:t>
            </w:r>
            <w:r w:rsidR="00F918C9" w:rsidRPr="00836794">
              <w:t>)</w:t>
            </w:r>
          </w:p>
        </w:tc>
      </w:tr>
      <w:tr w:rsidR="00836794" w:rsidRPr="00836794" w14:paraId="7729DB1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28BCD9F" w14:textId="3A2C7F70" w:rsidR="00836794" w:rsidRPr="00836794" w:rsidRDefault="00836794" w:rsidP="00A85DC4">
            <w:proofErr w:type="spellStart"/>
            <w:r w:rsidRPr="00836794">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85C4759" w14:textId="56C07700" w:rsidR="00836794" w:rsidRPr="00836794" w:rsidRDefault="00836794" w:rsidP="00A85DC4">
            <w:r w:rsidRPr="00836794">
              <w:t>Population pharmacokinetic(s)</w:t>
            </w:r>
          </w:p>
        </w:tc>
      </w:tr>
      <w:tr w:rsidR="000A2C1B" w:rsidRPr="00836794" w14:paraId="2ED4869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1D68EBD" w14:textId="490F8EBA" w:rsidR="000A2C1B" w:rsidRPr="00836794" w:rsidRDefault="000A2C1B" w:rsidP="00A85DC4">
            <w:r w:rsidRPr="00836794">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2F2EBB4F" w14:textId="0F672E41" w:rsidR="000A2C1B" w:rsidRPr="00836794" w:rsidRDefault="000A2C1B" w:rsidP="00A85DC4">
            <w:r w:rsidRPr="00836794">
              <w:t>Periodic safety update reports</w:t>
            </w:r>
          </w:p>
        </w:tc>
      </w:tr>
      <w:tr w:rsidR="000025F0" w:rsidRPr="00836794" w14:paraId="474E72F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98713A0" w14:textId="1687E249" w:rsidR="000025F0" w:rsidRPr="00836794" w:rsidRDefault="000025F0" w:rsidP="00A85DC4">
            <w:r w:rsidRPr="000025F0">
              <w:t>QTc</w:t>
            </w:r>
          </w:p>
        </w:tc>
        <w:tc>
          <w:tcPr>
            <w:tcW w:w="3987" w:type="pct"/>
            <w:gridSpan w:val="2"/>
            <w:tcBorders>
              <w:top w:val="single" w:sz="8" w:space="0" w:color="002C47"/>
              <w:left w:val="single" w:sz="8" w:space="0" w:color="002C47"/>
              <w:bottom w:val="single" w:sz="8" w:space="0" w:color="002C47"/>
              <w:right w:val="single" w:sz="8" w:space="0" w:color="002C47"/>
            </w:tcBorders>
          </w:tcPr>
          <w:p w14:paraId="4E08EBE4" w14:textId="5E2D0292" w:rsidR="000025F0" w:rsidRPr="00836794" w:rsidRDefault="000025F0" w:rsidP="00A85DC4">
            <w:r>
              <w:t>C</w:t>
            </w:r>
            <w:r w:rsidRPr="000025F0">
              <w:t>orrected QT interval</w:t>
            </w:r>
          </w:p>
        </w:tc>
      </w:tr>
      <w:tr w:rsidR="00A85DC4" w:rsidRPr="00836794" w14:paraId="3D1B574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6A2B6AA" w14:textId="2F29C482" w:rsidR="00A85DC4" w:rsidRPr="00836794" w:rsidRDefault="00A85DC4" w:rsidP="00A85DC4">
            <w:r w:rsidRPr="00836794">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5B469051" w14:textId="706484CB" w:rsidR="00A85DC4" w:rsidRPr="00836794" w:rsidRDefault="00A85DC4" w:rsidP="00A85DC4">
            <w:r w:rsidRPr="00836794">
              <w:t>Risk management plan</w:t>
            </w:r>
          </w:p>
        </w:tc>
      </w:tr>
      <w:tr w:rsidR="00A85DC4" w:rsidRPr="00836794" w14:paraId="2AC1004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ACB32AE" w14:textId="1E2CC048" w:rsidR="00A85DC4" w:rsidRPr="00836794" w:rsidRDefault="00A85DC4" w:rsidP="00A85DC4">
            <w:r w:rsidRPr="00836794">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50641686" w14:textId="35D94979" w:rsidR="00A85DC4" w:rsidRPr="00836794" w:rsidRDefault="00A85DC4" w:rsidP="00A85DC4">
            <w:r w:rsidRPr="00836794">
              <w:t>Serious adverse event</w:t>
            </w:r>
          </w:p>
        </w:tc>
      </w:tr>
      <w:tr w:rsidR="00A85DC4" w:rsidRPr="00836794" w14:paraId="45BE47A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4D63D59" w14:textId="159BB6EE" w:rsidR="00A85DC4" w:rsidRPr="00836794" w:rsidRDefault="00A85DC4" w:rsidP="00A85DC4">
            <w:r w:rsidRPr="00836794">
              <w:t>SGLT-2</w:t>
            </w:r>
          </w:p>
        </w:tc>
        <w:tc>
          <w:tcPr>
            <w:tcW w:w="3987" w:type="pct"/>
            <w:gridSpan w:val="2"/>
            <w:tcBorders>
              <w:top w:val="single" w:sz="8" w:space="0" w:color="002C47"/>
              <w:left w:val="single" w:sz="8" w:space="0" w:color="002C47"/>
              <w:bottom w:val="single" w:sz="8" w:space="0" w:color="002C47"/>
              <w:right w:val="single" w:sz="8" w:space="0" w:color="002C47"/>
            </w:tcBorders>
          </w:tcPr>
          <w:p w14:paraId="59FC7917" w14:textId="11C5847B" w:rsidR="00A85DC4" w:rsidRPr="00836794" w:rsidRDefault="00A85DC4" w:rsidP="00A85DC4">
            <w:r w:rsidRPr="00836794">
              <w:t xml:space="preserve">Sodium glucose </w:t>
            </w:r>
            <w:proofErr w:type="gramStart"/>
            <w:r w:rsidRPr="00836794">
              <w:t>co-transporter-2</w:t>
            </w:r>
            <w:proofErr w:type="gramEnd"/>
          </w:p>
        </w:tc>
      </w:tr>
      <w:tr w:rsidR="00A85DC4" w:rsidRPr="00836794" w14:paraId="57F7AF4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06986B1" w14:textId="56A7DE67" w:rsidR="00A85DC4" w:rsidRPr="00836794" w:rsidRDefault="00A85DC4" w:rsidP="00A85DC4">
            <w:r w:rsidRPr="00836794">
              <w:t>SNAC</w:t>
            </w:r>
          </w:p>
        </w:tc>
        <w:tc>
          <w:tcPr>
            <w:tcW w:w="3987" w:type="pct"/>
            <w:gridSpan w:val="2"/>
            <w:tcBorders>
              <w:top w:val="single" w:sz="8" w:space="0" w:color="002C47"/>
              <w:left w:val="single" w:sz="8" w:space="0" w:color="002C47"/>
              <w:bottom w:val="single" w:sz="8" w:space="0" w:color="002C47"/>
              <w:right w:val="single" w:sz="8" w:space="0" w:color="002C47"/>
            </w:tcBorders>
          </w:tcPr>
          <w:p w14:paraId="7B611F38" w14:textId="010BF5B4" w:rsidR="00A85DC4" w:rsidRPr="00836794" w:rsidRDefault="00A85DC4" w:rsidP="00A85DC4">
            <w:r w:rsidRPr="00836794">
              <w:t xml:space="preserve">Sodium </w:t>
            </w:r>
            <w:r w:rsidRPr="0098100A">
              <w:rPr>
                <w:i/>
              </w:rPr>
              <w:t>N</w:t>
            </w:r>
            <w:r w:rsidRPr="00836794">
              <w:t xml:space="preserve">-(8-(2-hydroxylbenzoyl) amino) caprylate (also known as </w:t>
            </w:r>
            <w:proofErr w:type="spellStart"/>
            <w:r w:rsidRPr="00836794">
              <w:t>salcaprozate</w:t>
            </w:r>
            <w:proofErr w:type="spellEnd"/>
            <w:r w:rsidRPr="00836794">
              <w:t xml:space="preserve"> sodium)</w:t>
            </w:r>
          </w:p>
        </w:tc>
      </w:tr>
      <w:tr w:rsidR="00A85DC4" w:rsidRPr="00836794" w14:paraId="38E9A88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8EE5B1" w14:textId="6AAA7C8D" w:rsidR="00A85DC4" w:rsidRPr="00836794" w:rsidRDefault="00A85DC4" w:rsidP="00A85DC4">
            <w:r w:rsidRPr="00836794">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790E6946" w14:textId="61F32A68" w:rsidR="00A85DC4" w:rsidRPr="00836794" w:rsidRDefault="00A85DC4" w:rsidP="00A85DC4">
            <w:r w:rsidRPr="00836794">
              <w:t>Treatment</w:t>
            </w:r>
            <w:r w:rsidR="00F802A8">
              <w:t>-</w:t>
            </w:r>
            <w:r w:rsidRPr="00836794">
              <w:t>emergent adverse event</w:t>
            </w:r>
          </w:p>
        </w:tc>
      </w:tr>
      <w:tr w:rsidR="00A85DC4" w:rsidRPr="00836794" w14:paraId="003B2E1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990E96A" w14:textId="49ACB105" w:rsidR="00A85DC4" w:rsidRPr="00836794" w:rsidRDefault="0078534A" w:rsidP="00A85DC4">
            <w:proofErr w:type="spellStart"/>
            <w:r w:rsidRPr="00836794">
              <w:t>T</w:t>
            </w:r>
            <w:r w:rsidR="00A85DC4" w:rsidRPr="00836794">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7576E9C" w14:textId="2F0E1E3B" w:rsidR="00A85DC4" w:rsidRPr="00836794" w:rsidRDefault="00A85DC4" w:rsidP="00A85DC4">
            <w:r w:rsidRPr="00836794">
              <w:t>Time to maximum concentration</w:t>
            </w:r>
          </w:p>
        </w:tc>
      </w:tr>
      <w:tr w:rsidR="00A85DC4" w:rsidRPr="00836794" w14:paraId="037844D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7EB776D" w14:textId="37F516EA" w:rsidR="00A85DC4" w:rsidRPr="00836794" w:rsidRDefault="00A85DC4" w:rsidP="00A85DC4">
            <w:r w:rsidRPr="00836794">
              <w:t>ULN</w:t>
            </w:r>
          </w:p>
        </w:tc>
        <w:tc>
          <w:tcPr>
            <w:tcW w:w="3987" w:type="pct"/>
            <w:gridSpan w:val="2"/>
            <w:tcBorders>
              <w:top w:val="single" w:sz="8" w:space="0" w:color="002C47"/>
              <w:left w:val="single" w:sz="8" w:space="0" w:color="002C47"/>
              <w:bottom w:val="single" w:sz="8" w:space="0" w:color="002C47"/>
              <w:right w:val="single" w:sz="8" w:space="0" w:color="002C47"/>
            </w:tcBorders>
          </w:tcPr>
          <w:p w14:paraId="4F517813" w14:textId="507CD4B1" w:rsidR="00A85DC4" w:rsidRPr="00836794" w:rsidRDefault="00A85DC4" w:rsidP="00A85DC4">
            <w:r w:rsidRPr="00836794">
              <w:t>Upper limit of normal</w:t>
            </w:r>
          </w:p>
        </w:tc>
      </w:tr>
      <w:bookmarkEnd w:id="5"/>
    </w:tbl>
    <w:p w14:paraId="5026830F" w14:textId="77777777" w:rsidR="00FD119B" w:rsidRPr="00836794" w:rsidRDefault="00FD119B" w:rsidP="00FD119B">
      <w:pPr>
        <w:spacing w:before="0" w:after="200" w:line="0" w:lineRule="auto"/>
        <w:rPr>
          <w:b/>
          <w:i/>
          <w:sz w:val="24"/>
          <w:szCs w:val="24"/>
        </w:rPr>
      </w:pPr>
      <w:r w:rsidRPr="00836794">
        <w:rPr>
          <w:b/>
          <w:i/>
          <w:sz w:val="24"/>
          <w:szCs w:val="24"/>
        </w:rPr>
        <w:br w:type="page"/>
      </w:r>
    </w:p>
    <w:p w14:paraId="718FF18F" w14:textId="77777777" w:rsidR="008E7846" w:rsidRPr="00836794" w:rsidRDefault="009F2673" w:rsidP="008E7846">
      <w:pPr>
        <w:pStyle w:val="Heading2"/>
      </w:pPr>
      <w:bookmarkStart w:id="7" w:name="_Toc117791812"/>
      <w:r w:rsidRPr="00836794">
        <w:lastRenderedPageBreak/>
        <w:t>Pr</w:t>
      </w:r>
      <w:r w:rsidR="008E7846" w:rsidRPr="00836794">
        <w:t>oduct submission</w:t>
      </w:r>
      <w:bookmarkEnd w:id="7"/>
      <w:bookmarkEnd w:id="2"/>
      <w:bookmarkEnd w:id="0"/>
    </w:p>
    <w:p w14:paraId="50F97791" w14:textId="77777777" w:rsidR="008E7846" w:rsidRPr="00836794" w:rsidRDefault="008E7846" w:rsidP="009E5A87">
      <w:pPr>
        <w:pStyle w:val="Heading3"/>
        <w:rPr>
          <w:lang w:eastAsia="en-AU"/>
        </w:rPr>
      </w:pPr>
      <w:bookmarkStart w:id="8" w:name="_Toc247691502"/>
      <w:bookmarkStart w:id="9" w:name="_Toc314842483"/>
      <w:bookmarkStart w:id="10" w:name="_Toc117791813"/>
      <w:r w:rsidRPr="00836794">
        <w:rPr>
          <w:lang w:eastAsia="en-AU"/>
        </w:rPr>
        <w:t>Submission details</w:t>
      </w:r>
      <w:bookmarkEnd w:id="8"/>
      <w:bookmarkEnd w:id="9"/>
      <w:bookmarkEnd w:id="10"/>
    </w:p>
    <w:tbl>
      <w:tblPr>
        <w:tblW w:w="5000" w:type="pct"/>
        <w:tblLook w:val="01E0" w:firstRow="1" w:lastRow="1" w:firstColumn="1" w:lastColumn="1" w:noHBand="0" w:noVBand="0"/>
      </w:tblPr>
      <w:tblGrid>
        <w:gridCol w:w="2682"/>
        <w:gridCol w:w="5822"/>
      </w:tblGrid>
      <w:tr w:rsidR="009F2673" w:rsidRPr="00836794" w14:paraId="16E1EC01" w14:textId="77777777" w:rsidTr="00A97F4D">
        <w:tc>
          <w:tcPr>
            <w:tcW w:w="1577" w:type="pct"/>
          </w:tcPr>
          <w:p w14:paraId="0D6CD609" w14:textId="77777777" w:rsidR="009F2673" w:rsidRPr="00836794" w:rsidRDefault="009F2673" w:rsidP="009E5A87">
            <w:pPr>
              <w:rPr>
                <w:i/>
              </w:rPr>
            </w:pPr>
            <w:r w:rsidRPr="00836794">
              <w:rPr>
                <w:i/>
              </w:rPr>
              <w:t>Type of submission:</w:t>
            </w:r>
          </w:p>
        </w:tc>
        <w:tc>
          <w:tcPr>
            <w:tcW w:w="3423" w:type="pct"/>
          </w:tcPr>
          <w:p w14:paraId="235BE160" w14:textId="034CBB40" w:rsidR="009F2673" w:rsidRPr="00836794" w:rsidRDefault="00A97F4D" w:rsidP="009E5A87">
            <w:r w:rsidRPr="00836794">
              <w:t>New biological entity</w:t>
            </w:r>
          </w:p>
        </w:tc>
      </w:tr>
      <w:tr w:rsidR="009F2673" w:rsidRPr="00836794" w14:paraId="5DF5BF37" w14:textId="77777777" w:rsidTr="00A97F4D">
        <w:tc>
          <w:tcPr>
            <w:tcW w:w="1577" w:type="pct"/>
          </w:tcPr>
          <w:p w14:paraId="7427AAD1" w14:textId="4CE2AF5A" w:rsidR="009F2673" w:rsidRPr="00836794" w:rsidRDefault="009F2673" w:rsidP="009E5A87">
            <w:pPr>
              <w:rPr>
                <w:i/>
              </w:rPr>
            </w:pPr>
            <w:r w:rsidRPr="00836794">
              <w:rPr>
                <w:i/>
              </w:rPr>
              <w:t>Product name:</w:t>
            </w:r>
          </w:p>
        </w:tc>
        <w:tc>
          <w:tcPr>
            <w:tcW w:w="3423" w:type="pct"/>
          </w:tcPr>
          <w:p w14:paraId="30D10691" w14:textId="5D56F100" w:rsidR="009F2673" w:rsidRPr="00836794" w:rsidRDefault="00A97F4D" w:rsidP="009E5A87">
            <w:r w:rsidRPr="00836794">
              <w:t>Rybelsus</w:t>
            </w:r>
          </w:p>
        </w:tc>
      </w:tr>
      <w:tr w:rsidR="009F2673" w:rsidRPr="00836794" w14:paraId="1D9F5F42" w14:textId="77777777" w:rsidTr="00A97F4D">
        <w:tc>
          <w:tcPr>
            <w:tcW w:w="1577" w:type="pct"/>
          </w:tcPr>
          <w:p w14:paraId="37B59951" w14:textId="1E96EEFF" w:rsidR="009F2673" w:rsidRPr="00836794" w:rsidRDefault="009F2673" w:rsidP="009E5A87">
            <w:pPr>
              <w:rPr>
                <w:i/>
              </w:rPr>
            </w:pPr>
            <w:r w:rsidRPr="00836794">
              <w:rPr>
                <w:i/>
              </w:rPr>
              <w:t>Active ingredient:</w:t>
            </w:r>
          </w:p>
        </w:tc>
        <w:tc>
          <w:tcPr>
            <w:tcW w:w="3423" w:type="pct"/>
          </w:tcPr>
          <w:p w14:paraId="4CC78753" w14:textId="4B7F23EE" w:rsidR="009F2673" w:rsidRPr="00836794" w:rsidRDefault="00A97F4D" w:rsidP="009E5A87">
            <w:r w:rsidRPr="00836794">
              <w:t>Semaglutide</w:t>
            </w:r>
          </w:p>
        </w:tc>
      </w:tr>
      <w:tr w:rsidR="009F2673" w:rsidRPr="00836794" w14:paraId="1DE14058" w14:textId="77777777" w:rsidTr="00A97F4D">
        <w:tc>
          <w:tcPr>
            <w:tcW w:w="1577" w:type="pct"/>
          </w:tcPr>
          <w:p w14:paraId="0616343B" w14:textId="77777777" w:rsidR="009F2673" w:rsidRPr="00836794" w:rsidRDefault="009F2673" w:rsidP="009E5A87">
            <w:pPr>
              <w:rPr>
                <w:i/>
              </w:rPr>
            </w:pPr>
            <w:r w:rsidRPr="00836794">
              <w:rPr>
                <w:i/>
              </w:rPr>
              <w:t>Decision:</w:t>
            </w:r>
          </w:p>
        </w:tc>
        <w:tc>
          <w:tcPr>
            <w:tcW w:w="3423" w:type="pct"/>
          </w:tcPr>
          <w:p w14:paraId="1CDE7954" w14:textId="77E44A9C" w:rsidR="009F2673" w:rsidRPr="00836794" w:rsidRDefault="009F2673" w:rsidP="009E5A87">
            <w:r w:rsidRPr="00836794">
              <w:t>Approved</w:t>
            </w:r>
          </w:p>
        </w:tc>
      </w:tr>
      <w:tr w:rsidR="009F2673" w:rsidRPr="00836794" w14:paraId="73818A35" w14:textId="77777777" w:rsidTr="00A97F4D">
        <w:tc>
          <w:tcPr>
            <w:tcW w:w="1577" w:type="pct"/>
          </w:tcPr>
          <w:p w14:paraId="656E259E" w14:textId="77777777" w:rsidR="009F2673" w:rsidRPr="00836794" w:rsidRDefault="009F2673" w:rsidP="009E5A87">
            <w:pPr>
              <w:rPr>
                <w:i/>
              </w:rPr>
            </w:pPr>
            <w:r w:rsidRPr="00836794">
              <w:rPr>
                <w:i/>
              </w:rPr>
              <w:t>Date of decision:</w:t>
            </w:r>
          </w:p>
        </w:tc>
        <w:tc>
          <w:tcPr>
            <w:tcW w:w="3423" w:type="pct"/>
          </w:tcPr>
          <w:p w14:paraId="4DA5FA56" w14:textId="32BC85FC" w:rsidR="009F2673" w:rsidRPr="00836794" w:rsidRDefault="00A97F4D" w:rsidP="009E5A87">
            <w:r w:rsidRPr="00836794">
              <w:t>4 February 2022</w:t>
            </w:r>
          </w:p>
        </w:tc>
      </w:tr>
      <w:tr w:rsidR="009F2673" w:rsidRPr="00836794" w14:paraId="636EF1B3" w14:textId="77777777" w:rsidTr="00A97F4D">
        <w:tc>
          <w:tcPr>
            <w:tcW w:w="1577" w:type="pct"/>
          </w:tcPr>
          <w:p w14:paraId="4BA012B5" w14:textId="77777777" w:rsidR="009F2673" w:rsidRPr="00836794" w:rsidRDefault="009F2673" w:rsidP="009E5A87">
            <w:pPr>
              <w:rPr>
                <w:i/>
              </w:rPr>
            </w:pPr>
            <w:r w:rsidRPr="00836794">
              <w:rPr>
                <w:i/>
              </w:rPr>
              <w:t>Date of entry onto ARTG:</w:t>
            </w:r>
          </w:p>
        </w:tc>
        <w:tc>
          <w:tcPr>
            <w:tcW w:w="3423" w:type="pct"/>
          </w:tcPr>
          <w:p w14:paraId="56FA828B" w14:textId="1AE1E0A5" w:rsidR="009F2673" w:rsidRPr="00836794" w:rsidRDefault="00A97F4D" w:rsidP="009E5A87">
            <w:r w:rsidRPr="00836794">
              <w:t>7 February 2022</w:t>
            </w:r>
          </w:p>
        </w:tc>
      </w:tr>
      <w:tr w:rsidR="009F2673" w:rsidRPr="00836794" w14:paraId="10001EA1" w14:textId="77777777" w:rsidTr="00A97F4D">
        <w:tc>
          <w:tcPr>
            <w:tcW w:w="1577" w:type="pct"/>
          </w:tcPr>
          <w:p w14:paraId="323B4CC0" w14:textId="0EED90EF" w:rsidR="009F2673" w:rsidRPr="00836794" w:rsidRDefault="009F2673" w:rsidP="009E5A87">
            <w:pPr>
              <w:rPr>
                <w:i/>
              </w:rPr>
            </w:pPr>
            <w:r w:rsidRPr="00836794">
              <w:rPr>
                <w:i/>
              </w:rPr>
              <w:t>ARTG numbers:</w:t>
            </w:r>
          </w:p>
        </w:tc>
        <w:tc>
          <w:tcPr>
            <w:tcW w:w="3423" w:type="pct"/>
          </w:tcPr>
          <w:p w14:paraId="27FC2ABB" w14:textId="09C12285" w:rsidR="009F2673" w:rsidRPr="00836794" w:rsidRDefault="00A97F4D" w:rsidP="009E5A87">
            <w:r w:rsidRPr="00836794">
              <w:t>346198, 346199 and 346200</w:t>
            </w:r>
          </w:p>
        </w:tc>
      </w:tr>
      <w:tr w:rsidR="009F2673" w:rsidRPr="00836794" w14:paraId="6B50682F" w14:textId="77777777" w:rsidTr="00A97F4D">
        <w:tc>
          <w:tcPr>
            <w:tcW w:w="1577" w:type="pct"/>
          </w:tcPr>
          <w:p w14:paraId="6FA3C008" w14:textId="7F76BEBC" w:rsidR="009F2673" w:rsidRPr="00836794" w:rsidRDefault="001B1DA4" w:rsidP="009E5A87">
            <w:pPr>
              <w:rPr>
                <w:i/>
              </w:rPr>
            </w:pPr>
            <w:r w:rsidRPr="00836794">
              <w:rPr>
                <w:rFonts w:ascii="Wingdings 3" w:hAnsi="Wingdings 3"/>
                <w:sz w:val="34"/>
                <w:szCs w:val="34"/>
                <w:lang w:eastAsia="en-AU"/>
              </w:rPr>
              <w:t></w:t>
            </w:r>
            <w:hyperlink r:id="rId14" w:history="1">
              <w:r w:rsidR="009F2673" w:rsidRPr="00836794">
                <w:rPr>
                  <w:rStyle w:val="Hyperlink"/>
                  <w:i/>
                </w:rPr>
                <w:t>Black Triangle Scheme</w:t>
              </w:r>
            </w:hyperlink>
            <w:r w:rsidR="009F2673" w:rsidRPr="00836794">
              <w:rPr>
                <w:i/>
              </w:rPr>
              <w:t>:</w:t>
            </w:r>
          </w:p>
        </w:tc>
        <w:tc>
          <w:tcPr>
            <w:tcW w:w="3423" w:type="pct"/>
          </w:tcPr>
          <w:p w14:paraId="780ADFEC" w14:textId="3017D68A" w:rsidR="009F2673" w:rsidRPr="00836794" w:rsidRDefault="009F2673" w:rsidP="009E5A87">
            <w:r w:rsidRPr="00836794">
              <w:t>Yes</w:t>
            </w:r>
            <w:r w:rsidR="00A97F4D" w:rsidRPr="00836794">
              <w:t>.</w:t>
            </w:r>
          </w:p>
          <w:p w14:paraId="0E5EF101" w14:textId="77EC23E2" w:rsidR="009F2673" w:rsidRPr="00836794" w:rsidRDefault="009F2673" w:rsidP="009E5A87">
            <w:r w:rsidRPr="00836794">
              <w:t>This product will remain in the scheme for 5 years, starting on the date the product is first supplied in Australia</w:t>
            </w:r>
            <w:r w:rsidR="00A97F4D" w:rsidRPr="00836794">
              <w:t>.</w:t>
            </w:r>
          </w:p>
        </w:tc>
      </w:tr>
      <w:tr w:rsidR="009F2673" w:rsidRPr="00836794" w14:paraId="51A9D973" w14:textId="77777777" w:rsidTr="00A97F4D">
        <w:tc>
          <w:tcPr>
            <w:tcW w:w="1577" w:type="pct"/>
          </w:tcPr>
          <w:p w14:paraId="06B9D574" w14:textId="77777777" w:rsidR="009F2673" w:rsidRPr="00836794" w:rsidRDefault="009F2673" w:rsidP="009E5A87">
            <w:pPr>
              <w:rPr>
                <w:i/>
              </w:rPr>
            </w:pPr>
            <w:r w:rsidRPr="00836794">
              <w:rPr>
                <w:i/>
              </w:rPr>
              <w:t>Sponsor’s name and address:</w:t>
            </w:r>
          </w:p>
        </w:tc>
        <w:tc>
          <w:tcPr>
            <w:tcW w:w="3423" w:type="pct"/>
          </w:tcPr>
          <w:p w14:paraId="1C69248E" w14:textId="77777777" w:rsidR="009F2673" w:rsidRPr="00836794" w:rsidRDefault="00A97F4D" w:rsidP="009E5A87">
            <w:r w:rsidRPr="00836794">
              <w:t>Novo Nordisk Pharmaceuticals Pty Ltd</w:t>
            </w:r>
          </w:p>
          <w:p w14:paraId="6F313F43" w14:textId="77777777" w:rsidR="00A97F4D" w:rsidRPr="00F654AF" w:rsidRDefault="00A97F4D" w:rsidP="00A97F4D">
            <w:pPr>
              <w:rPr>
                <w:lang w:val="en-GB"/>
              </w:rPr>
            </w:pPr>
            <w:r w:rsidRPr="00F654AF">
              <w:rPr>
                <w:lang w:val="en-GB"/>
              </w:rPr>
              <w:t>Level 10, 118 Mount Street</w:t>
            </w:r>
          </w:p>
          <w:p w14:paraId="223E78B7" w14:textId="4F54D856" w:rsidR="00A97F4D" w:rsidRPr="00836794" w:rsidRDefault="00A97F4D" w:rsidP="00A97F4D">
            <w:r w:rsidRPr="00836794">
              <w:rPr>
                <w:lang w:val="es-ES"/>
              </w:rPr>
              <w:t>North Sydney, NSW 2060</w:t>
            </w:r>
          </w:p>
        </w:tc>
      </w:tr>
      <w:tr w:rsidR="009F2673" w:rsidRPr="00836794" w14:paraId="63644605" w14:textId="77777777" w:rsidTr="00A97F4D">
        <w:tc>
          <w:tcPr>
            <w:tcW w:w="1577" w:type="pct"/>
          </w:tcPr>
          <w:p w14:paraId="7C07E9DD" w14:textId="6F0DB22F" w:rsidR="009F2673" w:rsidRPr="00836794" w:rsidRDefault="009F2673" w:rsidP="009E5A87">
            <w:pPr>
              <w:rPr>
                <w:i/>
              </w:rPr>
            </w:pPr>
            <w:r w:rsidRPr="00836794">
              <w:rPr>
                <w:i/>
              </w:rPr>
              <w:t>Dose form:</w:t>
            </w:r>
          </w:p>
        </w:tc>
        <w:tc>
          <w:tcPr>
            <w:tcW w:w="3423" w:type="pct"/>
          </w:tcPr>
          <w:p w14:paraId="56A3C25D" w14:textId="15B84530" w:rsidR="009F2673" w:rsidRPr="00836794" w:rsidRDefault="00A97F4D" w:rsidP="009E5A87">
            <w:r w:rsidRPr="00836794">
              <w:t>Tablet</w:t>
            </w:r>
          </w:p>
        </w:tc>
      </w:tr>
      <w:tr w:rsidR="009F2673" w:rsidRPr="00836794" w14:paraId="42619437" w14:textId="77777777" w:rsidTr="00A97F4D">
        <w:tc>
          <w:tcPr>
            <w:tcW w:w="1577" w:type="pct"/>
          </w:tcPr>
          <w:p w14:paraId="18DF1EA9" w14:textId="04B0F333" w:rsidR="009F2673" w:rsidRPr="00836794" w:rsidRDefault="009F2673" w:rsidP="009E5A87">
            <w:pPr>
              <w:rPr>
                <w:i/>
              </w:rPr>
            </w:pPr>
            <w:r w:rsidRPr="00836794">
              <w:rPr>
                <w:i/>
              </w:rPr>
              <w:t>Strengths:</w:t>
            </w:r>
          </w:p>
        </w:tc>
        <w:tc>
          <w:tcPr>
            <w:tcW w:w="3423" w:type="pct"/>
          </w:tcPr>
          <w:p w14:paraId="42A80200" w14:textId="70CE18C9" w:rsidR="009F2673" w:rsidRPr="00836794" w:rsidRDefault="00A97F4D" w:rsidP="009E5A87">
            <w:r w:rsidRPr="00836794">
              <w:t>3 mg, 7 </w:t>
            </w:r>
            <w:proofErr w:type="gramStart"/>
            <w:r w:rsidRPr="00836794">
              <w:t>mg</w:t>
            </w:r>
            <w:proofErr w:type="gramEnd"/>
            <w:r w:rsidRPr="00836794">
              <w:t xml:space="preserve"> and 14 mg</w:t>
            </w:r>
          </w:p>
        </w:tc>
      </w:tr>
      <w:tr w:rsidR="009F2673" w:rsidRPr="00836794" w14:paraId="5C47A7D0" w14:textId="77777777" w:rsidTr="00A97F4D">
        <w:tc>
          <w:tcPr>
            <w:tcW w:w="1577" w:type="pct"/>
          </w:tcPr>
          <w:p w14:paraId="347FD022" w14:textId="1705FC6A" w:rsidR="009F2673" w:rsidRPr="00836794" w:rsidRDefault="009F2673" w:rsidP="009E5A87">
            <w:pPr>
              <w:rPr>
                <w:i/>
              </w:rPr>
            </w:pPr>
            <w:r w:rsidRPr="00836794">
              <w:rPr>
                <w:i/>
              </w:rPr>
              <w:t>Container:</w:t>
            </w:r>
          </w:p>
        </w:tc>
        <w:tc>
          <w:tcPr>
            <w:tcW w:w="3423" w:type="pct"/>
          </w:tcPr>
          <w:p w14:paraId="26606D23" w14:textId="73865B00" w:rsidR="009F2673" w:rsidRPr="00836794" w:rsidRDefault="00A97F4D" w:rsidP="009E5A87">
            <w:r w:rsidRPr="00836794">
              <w:t>Blister pack</w:t>
            </w:r>
          </w:p>
        </w:tc>
      </w:tr>
      <w:tr w:rsidR="009F2673" w:rsidRPr="00836794" w14:paraId="7993E903" w14:textId="77777777" w:rsidTr="00A97F4D">
        <w:tc>
          <w:tcPr>
            <w:tcW w:w="1577" w:type="pct"/>
          </w:tcPr>
          <w:p w14:paraId="43FDB712" w14:textId="3665E73A" w:rsidR="009F2673" w:rsidRPr="00836794" w:rsidRDefault="009F2673" w:rsidP="009E5A87">
            <w:pPr>
              <w:rPr>
                <w:i/>
              </w:rPr>
            </w:pPr>
            <w:r w:rsidRPr="00836794">
              <w:rPr>
                <w:i/>
              </w:rPr>
              <w:t>Pack sizes:</w:t>
            </w:r>
          </w:p>
        </w:tc>
        <w:tc>
          <w:tcPr>
            <w:tcW w:w="3423" w:type="pct"/>
          </w:tcPr>
          <w:p w14:paraId="77650594" w14:textId="2A197993" w:rsidR="009F2673" w:rsidRPr="00836794" w:rsidRDefault="00A97F4D" w:rsidP="009E5A87">
            <w:r w:rsidRPr="00836794">
              <w:t>30, 60 and 90</w:t>
            </w:r>
          </w:p>
        </w:tc>
      </w:tr>
      <w:tr w:rsidR="009F2673" w:rsidRPr="00836794" w14:paraId="31E2DEB0" w14:textId="77777777" w:rsidTr="00A97F4D">
        <w:tc>
          <w:tcPr>
            <w:tcW w:w="1577" w:type="pct"/>
          </w:tcPr>
          <w:p w14:paraId="3A5F07CF" w14:textId="77777777" w:rsidR="009F2673" w:rsidRPr="00836794" w:rsidRDefault="009F2673" w:rsidP="009E5A87">
            <w:pPr>
              <w:rPr>
                <w:i/>
              </w:rPr>
            </w:pPr>
            <w:r w:rsidRPr="00836794">
              <w:rPr>
                <w:i/>
              </w:rPr>
              <w:t>Approved therapeutic use:</w:t>
            </w:r>
          </w:p>
        </w:tc>
        <w:tc>
          <w:tcPr>
            <w:tcW w:w="3423" w:type="pct"/>
          </w:tcPr>
          <w:p w14:paraId="765BBEBC" w14:textId="77777777" w:rsidR="00A97F4D" w:rsidRPr="00836794" w:rsidRDefault="00A97F4D" w:rsidP="00A97F4D">
            <w:pPr>
              <w:rPr>
                <w:i/>
                <w:iCs/>
              </w:rPr>
            </w:pPr>
            <w:r w:rsidRPr="00836794">
              <w:rPr>
                <w:i/>
                <w:iCs/>
              </w:rPr>
              <w:t>Rybelsus is indicated for the treatment of adults with insufficiently controlled type 2 diabetes mellitus as an adjunct to diet and exercise:</w:t>
            </w:r>
          </w:p>
          <w:p w14:paraId="38B11A00" w14:textId="3BDC36B9" w:rsidR="00A97F4D" w:rsidRPr="0098100A" w:rsidRDefault="00A97F4D" w:rsidP="0098100A">
            <w:pPr>
              <w:pStyle w:val="ListBullet"/>
              <w:rPr>
                <w:i/>
              </w:rPr>
            </w:pPr>
            <w:r w:rsidRPr="0098100A">
              <w:rPr>
                <w:i/>
              </w:rPr>
              <w:t>as monotherapy if metformin is considered inappropriate due to intolerance or contraindications; or</w:t>
            </w:r>
          </w:p>
          <w:p w14:paraId="6ABB6371" w14:textId="79175372" w:rsidR="009F2673" w:rsidRPr="00836794" w:rsidRDefault="00A97F4D" w:rsidP="0098100A">
            <w:pPr>
              <w:pStyle w:val="ListBullet"/>
            </w:pPr>
            <w:r w:rsidRPr="0098100A">
              <w:rPr>
                <w:i/>
              </w:rPr>
              <w:t>in combination with other medicinal products for the treatment of type 2 diabetes mellitus.</w:t>
            </w:r>
          </w:p>
        </w:tc>
      </w:tr>
      <w:tr w:rsidR="009F2673" w:rsidRPr="00836794" w14:paraId="19F5DE65" w14:textId="77777777" w:rsidTr="00A97F4D">
        <w:tc>
          <w:tcPr>
            <w:tcW w:w="1577" w:type="pct"/>
          </w:tcPr>
          <w:p w14:paraId="6785CA58" w14:textId="5184F3DF" w:rsidR="009F2673" w:rsidRPr="00836794" w:rsidRDefault="009F2673" w:rsidP="009E5A87">
            <w:pPr>
              <w:rPr>
                <w:i/>
              </w:rPr>
            </w:pPr>
            <w:r w:rsidRPr="00836794">
              <w:rPr>
                <w:i/>
              </w:rPr>
              <w:t>Route of administration:</w:t>
            </w:r>
          </w:p>
        </w:tc>
        <w:tc>
          <w:tcPr>
            <w:tcW w:w="3423" w:type="pct"/>
          </w:tcPr>
          <w:p w14:paraId="12B08BF5" w14:textId="29470504" w:rsidR="009F2673" w:rsidRPr="00836794" w:rsidRDefault="00A97F4D" w:rsidP="009E5A87">
            <w:r w:rsidRPr="00836794">
              <w:t>Oral</w:t>
            </w:r>
          </w:p>
        </w:tc>
      </w:tr>
      <w:tr w:rsidR="009F2673" w:rsidRPr="00836794" w14:paraId="62EBE681" w14:textId="77777777" w:rsidTr="00A97F4D">
        <w:tc>
          <w:tcPr>
            <w:tcW w:w="1577" w:type="pct"/>
          </w:tcPr>
          <w:p w14:paraId="08617880" w14:textId="77777777" w:rsidR="009F2673" w:rsidRPr="00836794" w:rsidRDefault="009F2673" w:rsidP="009E5A87">
            <w:pPr>
              <w:rPr>
                <w:i/>
              </w:rPr>
            </w:pPr>
            <w:r w:rsidRPr="00836794">
              <w:rPr>
                <w:i/>
              </w:rPr>
              <w:t>Dosage:</w:t>
            </w:r>
          </w:p>
        </w:tc>
        <w:tc>
          <w:tcPr>
            <w:tcW w:w="3423" w:type="pct"/>
          </w:tcPr>
          <w:p w14:paraId="3C77AA29" w14:textId="77777777" w:rsidR="00A97F4D" w:rsidRPr="00836794" w:rsidRDefault="00A97F4D" w:rsidP="00A97F4D">
            <w:r w:rsidRPr="00836794">
              <w:t>The starting dose of Rybelsus is 3 mg once daily for one month. After one month, the dose should be increased to a maintenance dose of 7 mg once daily. After at least one month on a dose of 7 mg once daily, the dose can be increased to a maintenance dose of 14 mg once daily to further improve glycaemic control.</w:t>
            </w:r>
          </w:p>
          <w:p w14:paraId="4504DADA" w14:textId="77777777" w:rsidR="00290EC1" w:rsidRDefault="00A97F4D" w:rsidP="00A97F4D">
            <w:pPr>
              <w:rPr>
                <w:lang w:eastAsia="en-AU"/>
              </w:rPr>
            </w:pPr>
            <w:r w:rsidRPr="00836794">
              <w:rPr>
                <w:lang w:eastAsia="en-AU"/>
              </w:rPr>
              <w:lastRenderedPageBreak/>
              <w:t>The maximum recommended single daily dose of Rybelsus is 14 mg.</w:t>
            </w:r>
          </w:p>
          <w:p w14:paraId="55C7C275" w14:textId="7F843D81" w:rsidR="00A97F4D" w:rsidRDefault="00A97F4D" w:rsidP="00A97F4D">
            <w:pPr>
              <w:rPr>
                <w:lang w:eastAsia="en-AU"/>
              </w:rPr>
            </w:pPr>
            <w:r w:rsidRPr="00836794">
              <w:rPr>
                <w:lang w:eastAsia="en-AU"/>
              </w:rPr>
              <w:t>Taking two 7 mg tablets to achieve the effect of a 14 mg dose has not been studied and is therefore not recommended.</w:t>
            </w:r>
          </w:p>
          <w:p w14:paraId="574A0F22" w14:textId="2CF0327A" w:rsidR="00EE39DC" w:rsidRPr="0098100A" w:rsidRDefault="00EE39DC" w:rsidP="0098100A">
            <w:pPr>
              <w:spacing w:before="0" w:after="0" w:line="240" w:lineRule="auto"/>
              <w:rPr>
                <w:rFonts w:ascii="Times New Roman" w:eastAsiaTheme="minorHAnsi" w:hAnsi="Times New Roman"/>
                <w:sz w:val="24"/>
                <w:szCs w:val="24"/>
                <w:lang w:val="en-GB" w:eastAsia="en-GB"/>
              </w:rPr>
            </w:pPr>
            <w:r w:rsidRPr="0098100A">
              <w:t>Rybelsus should be taken on an empty stomach. Rybelsus should be swallowed whole with up to half a glass of water</w:t>
            </w:r>
            <w:r w:rsidR="0098100A">
              <w:t xml:space="preserve"> </w:t>
            </w:r>
            <w:r w:rsidR="0098100A" w:rsidRPr="0098100A">
              <w:t>equivalent to 120 ml</w:t>
            </w:r>
            <w:r>
              <w:rPr>
                <w:i/>
                <w:iCs/>
              </w:rPr>
              <w:t xml:space="preserve">. </w:t>
            </w:r>
            <w:r w:rsidRPr="0098100A">
              <w:t xml:space="preserve">Do not split, </w:t>
            </w:r>
            <w:proofErr w:type="gramStart"/>
            <w:r w:rsidRPr="0098100A">
              <w:t>crush</w:t>
            </w:r>
            <w:proofErr w:type="gramEnd"/>
            <w:r w:rsidRPr="0098100A">
              <w:t xml:space="preserve"> or chew the tablet. Wait at least 30 minutes before the first meal or drink of the day or taking other oral medicinal products. Waiting less than 30 minutes may decrease the absorption of semaglutide.</w:t>
            </w:r>
          </w:p>
          <w:p w14:paraId="6B7BE675" w14:textId="227DB3EB" w:rsidR="00A97F4D" w:rsidRPr="00836794" w:rsidRDefault="00A97F4D" w:rsidP="00A97F4D">
            <w:pPr>
              <w:rPr>
                <w:lang w:eastAsia="en-AU"/>
              </w:rPr>
            </w:pPr>
            <w:r w:rsidRPr="00836794">
              <w:rPr>
                <w:lang w:eastAsia="en-AU"/>
              </w:rPr>
              <w:t>Rybelsus can be used as monotherapy or in combination with one or more glucose lowering medicinal products (see Section 4.2</w:t>
            </w:r>
            <w:r w:rsidRPr="00836794">
              <w:t xml:space="preserve"> </w:t>
            </w:r>
            <w:r w:rsidRPr="00836794">
              <w:rPr>
                <w:lang w:eastAsia="en-AU"/>
              </w:rPr>
              <w:t xml:space="preserve">Dose </w:t>
            </w:r>
            <w:r w:rsidR="00B12FFA" w:rsidRPr="00836794">
              <w:rPr>
                <w:lang w:eastAsia="en-AU"/>
              </w:rPr>
              <w:t xml:space="preserve">and method of administration </w:t>
            </w:r>
            <w:r w:rsidRPr="00836794">
              <w:rPr>
                <w:lang w:eastAsia="en-AU"/>
              </w:rPr>
              <w:t xml:space="preserve">- Dosage adjustment of the </w:t>
            </w:r>
            <w:r w:rsidR="00B12FFA" w:rsidRPr="00836794">
              <w:rPr>
                <w:lang w:eastAsia="en-AU"/>
              </w:rPr>
              <w:t>Product Information</w:t>
            </w:r>
            <w:r w:rsidRPr="00836794">
              <w:rPr>
                <w:lang w:eastAsia="en-AU"/>
              </w:rPr>
              <w:t>).</w:t>
            </w:r>
          </w:p>
          <w:p w14:paraId="42A584FE" w14:textId="1697F838" w:rsidR="009F2673" w:rsidRPr="00836794" w:rsidRDefault="009F2673" w:rsidP="009E5A87">
            <w:r w:rsidRPr="00836794">
              <w:t>For further information regarding dosage, refer to the Product Information.</w:t>
            </w:r>
          </w:p>
        </w:tc>
      </w:tr>
      <w:tr w:rsidR="009F2673" w:rsidRPr="00836794" w14:paraId="4B30002C" w14:textId="77777777" w:rsidTr="00A97F4D">
        <w:tc>
          <w:tcPr>
            <w:tcW w:w="1577" w:type="pct"/>
          </w:tcPr>
          <w:p w14:paraId="0EF6C1BA" w14:textId="77777777" w:rsidR="009F2673" w:rsidRPr="00836794" w:rsidRDefault="009F2673" w:rsidP="009E5A87">
            <w:pPr>
              <w:rPr>
                <w:i/>
              </w:rPr>
            </w:pPr>
            <w:r w:rsidRPr="00836794">
              <w:rPr>
                <w:i/>
              </w:rPr>
              <w:lastRenderedPageBreak/>
              <w:t>Pregnancy category:</w:t>
            </w:r>
          </w:p>
        </w:tc>
        <w:tc>
          <w:tcPr>
            <w:tcW w:w="3423" w:type="pct"/>
          </w:tcPr>
          <w:p w14:paraId="1465A135" w14:textId="77777777" w:rsidR="00A97F4D" w:rsidRPr="00836794" w:rsidRDefault="00A97F4D" w:rsidP="00A97F4D">
            <w:r w:rsidRPr="00836794">
              <w:t>D</w:t>
            </w:r>
          </w:p>
          <w:p w14:paraId="19E62A0D" w14:textId="77777777" w:rsidR="00A97F4D" w:rsidRPr="00836794" w:rsidRDefault="00A97F4D" w:rsidP="00A97F4D">
            <w:r w:rsidRPr="0083679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3785A60" w14:textId="59657753" w:rsidR="009F2673" w:rsidRPr="00836794" w:rsidRDefault="009F2673" w:rsidP="009E5A87">
            <w:r w:rsidRPr="00836794">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B837606" w14:textId="77777777" w:rsidR="008E7846" w:rsidRPr="00836794" w:rsidRDefault="008E7846" w:rsidP="008E7846">
      <w:pPr>
        <w:pStyle w:val="Heading3"/>
      </w:pPr>
      <w:bookmarkStart w:id="11" w:name="_Toc247691503"/>
      <w:bookmarkStart w:id="12" w:name="_Toc314842484"/>
      <w:bookmarkStart w:id="13" w:name="_Toc117791814"/>
      <w:r w:rsidRPr="00836794">
        <w:t>Product background</w:t>
      </w:r>
      <w:bookmarkEnd w:id="11"/>
      <w:bookmarkEnd w:id="12"/>
      <w:bookmarkEnd w:id="13"/>
    </w:p>
    <w:p w14:paraId="4D537615" w14:textId="17FD3C31" w:rsidR="009F2673" w:rsidRPr="00836794" w:rsidRDefault="009F2673" w:rsidP="009F2673">
      <w:r w:rsidRPr="00836794">
        <w:t xml:space="preserve">This AusPAR describes the </w:t>
      </w:r>
      <w:r w:rsidR="001E359E" w:rsidRPr="00836794">
        <w:t>submission</w:t>
      </w:r>
      <w:r w:rsidRPr="00836794">
        <w:t xml:space="preserve"> by </w:t>
      </w:r>
      <w:r w:rsidR="00A97F4D" w:rsidRPr="00F654AF">
        <w:rPr>
          <w:lang w:val="en-GB"/>
        </w:rPr>
        <w:t>Novo Nordisk Pharmaceuticals Pty Ltd</w:t>
      </w:r>
      <w:r w:rsidRPr="00836794">
        <w:t xml:space="preserve"> (the sponsor) to register </w:t>
      </w:r>
      <w:r w:rsidR="00A97F4D" w:rsidRPr="00836794">
        <w:t xml:space="preserve">Rybelsus </w:t>
      </w:r>
      <w:r w:rsidRPr="00836794">
        <w:t>(</w:t>
      </w:r>
      <w:r w:rsidR="00A97F4D" w:rsidRPr="00836794">
        <w:t>semaglutide</w:t>
      </w:r>
      <w:r w:rsidRPr="00836794">
        <w:t xml:space="preserve">) </w:t>
      </w:r>
      <w:r w:rsidR="00A97F4D" w:rsidRPr="00836794">
        <w:t>3 mg, 7 mg and 14 mg</w:t>
      </w:r>
      <w:r w:rsidRPr="00836794">
        <w:t xml:space="preserve">, </w:t>
      </w:r>
      <w:r w:rsidR="00A97F4D" w:rsidRPr="00836794">
        <w:t>tablet</w:t>
      </w:r>
      <w:r w:rsidR="00290EC1">
        <w:t>s</w:t>
      </w:r>
      <w:r w:rsidRPr="00836794">
        <w:t xml:space="preserve"> for the following proposed indication:</w:t>
      </w:r>
    </w:p>
    <w:p w14:paraId="0566086C" w14:textId="3E4D5E14" w:rsidR="00A97F4D" w:rsidRPr="00836794" w:rsidRDefault="00A97F4D" w:rsidP="00A97F4D">
      <w:pPr>
        <w:ind w:left="360"/>
        <w:rPr>
          <w:i/>
          <w:iCs/>
        </w:rPr>
      </w:pPr>
      <w:r w:rsidRPr="00836794">
        <w:rPr>
          <w:i/>
          <w:iCs/>
        </w:rPr>
        <w:t>The treatment of adults with insufficiently controlled type 2 diabetes mellitus as an adjunct to diet and exercise</w:t>
      </w:r>
    </w:p>
    <w:p w14:paraId="46CC1E93" w14:textId="27EB703B" w:rsidR="00A97F4D" w:rsidRPr="00836794" w:rsidRDefault="00A97F4D" w:rsidP="00A97F4D">
      <w:pPr>
        <w:pStyle w:val="ListBullet"/>
        <w:ind w:left="720"/>
        <w:rPr>
          <w:i/>
          <w:iCs/>
        </w:rPr>
      </w:pPr>
      <w:r w:rsidRPr="00836794">
        <w:rPr>
          <w:i/>
          <w:iCs/>
        </w:rPr>
        <w:t>as monotherapy when metformin is considered inappropriate due to intolerance or contraindications</w:t>
      </w:r>
    </w:p>
    <w:p w14:paraId="31B2C162" w14:textId="5D0E6EC6" w:rsidR="00A97F4D" w:rsidRPr="00836794" w:rsidRDefault="00A97F4D" w:rsidP="00A97F4D">
      <w:pPr>
        <w:pStyle w:val="ListBullet"/>
        <w:ind w:left="720"/>
        <w:rPr>
          <w:i/>
          <w:iCs/>
        </w:rPr>
      </w:pPr>
      <w:r w:rsidRPr="00836794">
        <w:rPr>
          <w:i/>
          <w:iCs/>
        </w:rPr>
        <w:t>in combination with other medicinal products for the treatment of diabetes.</w:t>
      </w:r>
    </w:p>
    <w:p w14:paraId="697171B9" w14:textId="422A04FB" w:rsidR="00DF6926" w:rsidRPr="00836794" w:rsidRDefault="00DF6926" w:rsidP="00DF6926">
      <w:r w:rsidRPr="00836794">
        <w:t>Diabetes</w:t>
      </w:r>
      <w:r w:rsidR="00290EC1">
        <w:t xml:space="preserve"> mellitus</w:t>
      </w:r>
      <w:r w:rsidRPr="00836794">
        <w:t xml:space="preserve"> is a chronic disease that occurs either when the pancreas does not produce enough insulin or when the body cannot effectively use the insulin it produces. Insulin is one of the hormones that regulates blood sugar concentrations. Insulin interacts with insulin receptors to reduce blood glucose concentrations.</w:t>
      </w:r>
      <w:r w:rsidR="00780F3A" w:rsidRPr="00836794">
        <w:t xml:space="preserve"> </w:t>
      </w:r>
      <w:r w:rsidRPr="00836794">
        <w:t>Type 2 diabetes</w:t>
      </w:r>
      <w:r w:rsidR="00290EC1">
        <w:t>,</w:t>
      </w:r>
      <w:r w:rsidR="00631637" w:rsidRPr="00836794">
        <w:t xml:space="preserve"> </w:t>
      </w:r>
      <w:r w:rsidR="00290EC1">
        <w:t>(</w:t>
      </w:r>
      <w:r w:rsidRPr="00836794">
        <w:t>formerly called non-insulin</w:t>
      </w:r>
      <w:r w:rsidR="00BF3D1D" w:rsidRPr="00836794">
        <w:t xml:space="preserve"> </w:t>
      </w:r>
      <w:r w:rsidRPr="00836794">
        <w:t xml:space="preserve">dependent, or </w:t>
      </w:r>
      <w:proofErr w:type="gramStart"/>
      <w:r w:rsidRPr="00836794">
        <w:t>adult</w:t>
      </w:r>
      <w:r w:rsidR="00BF3D1D" w:rsidRPr="00836794">
        <w:t xml:space="preserve"> </w:t>
      </w:r>
      <w:r w:rsidRPr="00836794">
        <w:t>onset</w:t>
      </w:r>
      <w:proofErr w:type="gramEnd"/>
      <w:r w:rsidR="00290EC1">
        <w:t xml:space="preserve"> diabetes)</w:t>
      </w:r>
      <w:r w:rsidRPr="00836794">
        <w:t xml:space="preserve"> results from the body’s ineffective </w:t>
      </w:r>
      <w:r w:rsidRPr="00836794">
        <w:lastRenderedPageBreak/>
        <w:t xml:space="preserve">use of insulin. This is characterised by insulin resistance and impaired beta-cell function. </w:t>
      </w:r>
      <w:r w:rsidR="00631637" w:rsidRPr="00836794">
        <w:t xml:space="preserve">Type 2 diabetes </w:t>
      </w:r>
      <w:r w:rsidRPr="00836794">
        <w:t xml:space="preserve">comprises the majority of people with diabetes around the </w:t>
      </w:r>
      <w:proofErr w:type="gramStart"/>
      <w:r w:rsidRPr="00836794">
        <w:t>world, and</w:t>
      </w:r>
      <w:proofErr w:type="gramEnd"/>
      <w:r w:rsidRPr="00836794">
        <w:t xml:space="preserve"> is largely the result of excess body weight and physical inactivity. The course of </w:t>
      </w:r>
      <w:r w:rsidR="00631637" w:rsidRPr="00836794">
        <w:t xml:space="preserve">type 2 diabetes </w:t>
      </w:r>
      <w:r w:rsidRPr="00836794">
        <w:t>is marked by deteriorating beta-cell function and increasing insulin resistance.</w:t>
      </w:r>
    </w:p>
    <w:p w14:paraId="4024B5B3" w14:textId="315268FC" w:rsidR="00DF6926" w:rsidRPr="00836794" w:rsidRDefault="00DF6926" w:rsidP="00DF6926">
      <w:r w:rsidRPr="00836794">
        <w:t xml:space="preserve">Diabetes has long term complications due primarily to microangiopathy. These include retinopathy, nephropathy, coronary vascular disease, peripheral </w:t>
      </w:r>
      <w:proofErr w:type="gramStart"/>
      <w:r w:rsidRPr="00836794">
        <w:t>neuropathy</w:t>
      </w:r>
      <w:proofErr w:type="gramEnd"/>
      <w:r w:rsidRPr="00836794">
        <w:t xml:space="preserve"> and peripheral vascular disease. The risk of developing these complications increases with the duration of the illness, and with poor control of blood glucose concentrations. Because </w:t>
      </w:r>
      <w:r w:rsidR="005F3D23" w:rsidRPr="00836794">
        <w:t>glucagon like peptide-1 (</w:t>
      </w:r>
      <w:r w:rsidRPr="00836794">
        <w:t>GLP-1</w:t>
      </w:r>
      <w:r w:rsidR="005F3D23" w:rsidRPr="00836794">
        <w:t>)</w:t>
      </w:r>
      <w:r w:rsidRPr="00836794">
        <w:t xml:space="preserve"> receptors are also expressed in the heart, vasculature, immune </w:t>
      </w:r>
      <w:proofErr w:type="gramStart"/>
      <w:r w:rsidRPr="00836794">
        <w:t>system</w:t>
      </w:r>
      <w:proofErr w:type="gramEnd"/>
      <w:r w:rsidRPr="00836794">
        <w:t xml:space="preserve"> and kidneys from where it may mediate cardiovascular and microvascular effects, it is proposed that GLP-1 </w:t>
      </w:r>
      <w:r w:rsidR="00672D1A" w:rsidRPr="00836794">
        <w:t>receptor agonist</w:t>
      </w:r>
      <w:r w:rsidRPr="00836794">
        <w:t>s will be cardioprotective, in addition to their role in improving glycaemic control.</w:t>
      </w:r>
    </w:p>
    <w:p w14:paraId="5B5B78A8" w14:textId="6F99245B" w:rsidR="00DF6926" w:rsidRPr="00836794" w:rsidRDefault="00DF6926" w:rsidP="00DF6926">
      <w:r w:rsidRPr="00836794">
        <w:t xml:space="preserve">The prevalence of </w:t>
      </w:r>
      <w:r w:rsidR="00631637" w:rsidRPr="00836794">
        <w:t xml:space="preserve">type 2 diabetes </w:t>
      </w:r>
      <w:r w:rsidRPr="00836794">
        <w:t>in Australia is reported by the Australian Institute of Health and Welfare (2019)</w:t>
      </w:r>
      <w:r w:rsidR="001E68D4">
        <w:rPr>
          <w:rStyle w:val="FootnoteReference"/>
        </w:rPr>
        <w:footnoteReference w:id="1"/>
      </w:r>
      <w:r w:rsidR="001E68D4">
        <w:t xml:space="preserve"> as</w:t>
      </w:r>
      <w:r w:rsidRPr="00836794">
        <w:t>:</w:t>
      </w:r>
    </w:p>
    <w:p w14:paraId="5F309CB2" w14:textId="197DD02A" w:rsidR="00DF6926" w:rsidRPr="00836794" w:rsidRDefault="007013B0" w:rsidP="00DF6926">
      <w:pPr>
        <w:rPr>
          <w:i/>
          <w:iCs/>
        </w:rPr>
      </w:pPr>
      <w:r w:rsidRPr="00836794">
        <w:t>‘</w:t>
      </w:r>
      <w:r w:rsidR="00DF6926" w:rsidRPr="00836794">
        <w:rPr>
          <w:i/>
          <w:iCs/>
        </w:rPr>
        <w:t>An estimated</w:t>
      </w:r>
      <w:r w:rsidR="000025F0">
        <w:rPr>
          <w:i/>
          <w:iCs/>
        </w:rPr>
        <w:t xml:space="preserve"> one</w:t>
      </w:r>
      <w:r w:rsidR="00DF6926" w:rsidRPr="00836794">
        <w:rPr>
          <w:i/>
          <w:iCs/>
        </w:rPr>
        <w:t xml:space="preserve"> million Australian adults (5%) had type 2 diabetes in 2017</w:t>
      </w:r>
      <w:r w:rsidR="00322B68">
        <w:rPr>
          <w:i/>
          <w:iCs/>
        </w:rPr>
        <w:t>-</w:t>
      </w:r>
      <w:r w:rsidR="00DF6926" w:rsidRPr="00836794">
        <w:rPr>
          <w:i/>
          <w:iCs/>
        </w:rPr>
        <w:t>18, according to self-reported data from the ABS</w:t>
      </w:r>
      <w:r w:rsidR="005F3D23" w:rsidRPr="00836794">
        <w:rPr>
          <w:i/>
          <w:iCs/>
        </w:rPr>
        <w:t xml:space="preserve"> [Australian Bureau of Statistics]</w:t>
      </w:r>
      <w:r w:rsidR="00DF6926" w:rsidRPr="00836794">
        <w:rPr>
          <w:i/>
          <w:iCs/>
        </w:rPr>
        <w:t xml:space="preserve"> 2017</w:t>
      </w:r>
      <w:r w:rsidR="00322B68">
        <w:rPr>
          <w:i/>
          <w:iCs/>
        </w:rPr>
        <w:t>-</w:t>
      </w:r>
      <w:r w:rsidR="00DF6926" w:rsidRPr="00836794">
        <w:rPr>
          <w:i/>
          <w:iCs/>
        </w:rPr>
        <w:t>18 National Health Survey. Proportions were:</w:t>
      </w:r>
    </w:p>
    <w:p w14:paraId="66F8466F" w14:textId="03667DEC" w:rsidR="00DF6926" w:rsidRPr="00836794" w:rsidRDefault="00780F3A" w:rsidP="00DF6926">
      <w:pPr>
        <w:pStyle w:val="ListBullet"/>
        <w:rPr>
          <w:i/>
          <w:iCs/>
        </w:rPr>
      </w:pPr>
      <w:r w:rsidRPr="00836794">
        <w:rPr>
          <w:i/>
          <w:iCs/>
        </w:rPr>
        <w:t>slig</w:t>
      </w:r>
      <w:r w:rsidR="00DF6926" w:rsidRPr="00836794">
        <w:rPr>
          <w:i/>
          <w:iCs/>
        </w:rPr>
        <w:t xml:space="preserve">htly higher for men than women (6% and 4%). </w:t>
      </w:r>
      <w:r w:rsidRPr="00836794">
        <w:rPr>
          <w:i/>
          <w:iCs/>
        </w:rPr>
        <w:t>age-specific rates for males were higher than females from age 45 years onwards.</w:t>
      </w:r>
    </w:p>
    <w:p w14:paraId="5DB2EE22" w14:textId="3916E12A" w:rsidR="00DF6926" w:rsidRPr="00836794" w:rsidRDefault="00780F3A" w:rsidP="00DF6926">
      <w:pPr>
        <w:pStyle w:val="ListBullet"/>
        <w:rPr>
          <w:i/>
          <w:iCs/>
        </w:rPr>
      </w:pPr>
      <w:r w:rsidRPr="00836794">
        <w:rPr>
          <w:i/>
          <w:iCs/>
        </w:rPr>
        <w:t>relativel</w:t>
      </w:r>
      <w:r w:rsidR="00DF6926" w:rsidRPr="00836794">
        <w:rPr>
          <w:i/>
          <w:iCs/>
        </w:rPr>
        <w:t xml:space="preserve">y similar across </w:t>
      </w:r>
      <w:r w:rsidRPr="00836794">
        <w:rPr>
          <w:i/>
          <w:iCs/>
        </w:rPr>
        <w:t xml:space="preserve">major cities (5%), inner regional (4%) and outer regional and remote areas </w:t>
      </w:r>
      <w:r w:rsidR="00DF6926" w:rsidRPr="00836794">
        <w:rPr>
          <w:i/>
          <w:iCs/>
        </w:rPr>
        <w:t>(6%).</w:t>
      </w:r>
    </w:p>
    <w:p w14:paraId="34667814" w14:textId="6040179D" w:rsidR="00DF6926" w:rsidRPr="00836794" w:rsidRDefault="00780F3A" w:rsidP="00DF6926">
      <w:pPr>
        <w:pStyle w:val="ListBullet"/>
        <w:rPr>
          <w:i/>
          <w:iCs/>
        </w:rPr>
      </w:pPr>
      <w:r w:rsidRPr="00836794">
        <w:rPr>
          <w:i/>
          <w:iCs/>
        </w:rPr>
        <w:t>around tw</w:t>
      </w:r>
      <w:r w:rsidR="00DF6926" w:rsidRPr="00836794">
        <w:rPr>
          <w:i/>
          <w:iCs/>
        </w:rPr>
        <w:t>ice as high in the lowest socioeconomic group (7%) compared with the highest socioeconomic group (3%).</w:t>
      </w:r>
    </w:p>
    <w:p w14:paraId="5A19560E" w14:textId="777C504D" w:rsidR="00DF6926" w:rsidRPr="00836794" w:rsidRDefault="00DF6926" w:rsidP="00DF6926">
      <w:r w:rsidRPr="00836794">
        <w:rPr>
          <w:i/>
          <w:iCs/>
        </w:rPr>
        <w:t xml:space="preserve">Information based on </w:t>
      </w:r>
      <w:proofErr w:type="spellStart"/>
      <w:r w:rsidRPr="00836794">
        <w:rPr>
          <w:i/>
          <w:iCs/>
        </w:rPr>
        <w:t>self</w:t>
      </w:r>
      <w:r w:rsidR="00780F3A" w:rsidRPr="00836794">
        <w:rPr>
          <w:i/>
          <w:iCs/>
        </w:rPr>
        <w:t xml:space="preserve"> </w:t>
      </w:r>
      <w:r w:rsidRPr="00836794">
        <w:rPr>
          <w:i/>
          <w:iCs/>
        </w:rPr>
        <w:t>reported</w:t>
      </w:r>
      <w:proofErr w:type="spellEnd"/>
      <w:r w:rsidRPr="00836794">
        <w:rPr>
          <w:i/>
          <w:iCs/>
        </w:rPr>
        <w:t xml:space="preserve"> data only is likely to underestimate the prevalence of </w:t>
      </w:r>
      <w:r w:rsidR="00631637" w:rsidRPr="00836794">
        <w:rPr>
          <w:i/>
          <w:iCs/>
        </w:rPr>
        <w:t>type</w:t>
      </w:r>
      <w:r w:rsidR="00780F3A" w:rsidRPr="00836794">
        <w:rPr>
          <w:i/>
          <w:iCs/>
        </w:rPr>
        <w:t> </w:t>
      </w:r>
      <w:r w:rsidR="00631637" w:rsidRPr="00836794">
        <w:rPr>
          <w:i/>
          <w:iCs/>
        </w:rPr>
        <w:t>2 diabetes mellitus</w:t>
      </w:r>
      <w:r w:rsidRPr="00836794">
        <w:rPr>
          <w:i/>
          <w:iCs/>
        </w:rPr>
        <w:t xml:space="preserve"> as many cases remain unreported, due to survey participants either not knowing or accurately reporting their diabetes status.</w:t>
      </w:r>
      <w:r w:rsidR="007013B0" w:rsidRPr="00836794">
        <w:t>’</w:t>
      </w:r>
    </w:p>
    <w:p w14:paraId="7665EB50" w14:textId="57C95DB3" w:rsidR="00644AB3" w:rsidRDefault="00DF6926" w:rsidP="00644AB3">
      <w:bookmarkStart w:id="14" w:name="_Current_treatment_options"/>
      <w:bookmarkEnd w:id="14"/>
      <w:r w:rsidRPr="00836794">
        <w:t>The primary goal of treatment is to maximise the control of blood sugar concentrations, whilst minimising the risk of hypoglycaemia. Secondary goals are to manage cardiovascular risk factors and microvascular complications of diabetes.</w:t>
      </w:r>
    </w:p>
    <w:p w14:paraId="40C60DDA" w14:textId="0DD48A9E" w:rsidR="00644AB3" w:rsidRDefault="00644AB3" w:rsidP="00644AB3">
      <w:r w:rsidRPr="00836794">
        <w:t>Initial treatment of type 2 diabetes mellitus is lifestyle modification.</w:t>
      </w:r>
      <w:r w:rsidRPr="00A105DA">
        <w:rPr>
          <w:rStyle w:val="FootnoteReference"/>
        </w:rPr>
        <w:footnoteReference w:id="2"/>
      </w:r>
      <w:r w:rsidRPr="00836794">
        <w:t xml:space="preserve"> This includes dietary advice </w:t>
      </w:r>
      <w:proofErr w:type="gramStart"/>
      <w:r w:rsidRPr="00836794">
        <w:t>with regard to</w:t>
      </w:r>
      <w:proofErr w:type="gramEnd"/>
      <w:r w:rsidRPr="00836794">
        <w:t xml:space="preserve"> weight loss and increased physical activity. For adults with type 2 diabetes managed either by lifestyle and diet, or by lifestyle and diet combined with a single drug not associated with hypoglycaemia, the </w:t>
      </w:r>
      <w:r>
        <w:t xml:space="preserve">United Kingdom’s </w:t>
      </w:r>
      <w:r w:rsidRPr="00836794">
        <w:t xml:space="preserve">National Institute for Health and Care </w:t>
      </w:r>
      <w:r>
        <w:t>E</w:t>
      </w:r>
      <w:r w:rsidRPr="00836794">
        <w:t>xcellence (NICE) recommendation</w:t>
      </w:r>
      <w:r>
        <w:t xml:space="preserve">, </w:t>
      </w:r>
      <w:r w:rsidRPr="00836794">
        <w:t xml:space="preserve">is to support the patient to aim for </w:t>
      </w:r>
      <w:proofErr w:type="gramStart"/>
      <w:r w:rsidRPr="00836794">
        <w:t>an</w:t>
      </w:r>
      <w:proofErr w:type="gramEnd"/>
      <w:r w:rsidRPr="00836794">
        <w:t xml:space="preserve"> </w:t>
      </w:r>
      <w:r w:rsidRPr="000025F0">
        <w:t xml:space="preserve">glycated </w:t>
      </w:r>
      <w:r w:rsidRPr="00836794">
        <w:t>haemoglobin A1c (HbA1c)</w:t>
      </w:r>
      <w:r>
        <w:rPr>
          <w:rStyle w:val="FootnoteReference"/>
        </w:rPr>
        <w:footnoteReference w:id="3"/>
      </w:r>
      <w:r w:rsidRPr="00836794">
        <w:t xml:space="preserve"> level of 48 mmol/mol (6.5%). For adults on a drug associated with hypoglycaemia, support the patient to aim for an HbA1c level of </w:t>
      </w:r>
      <w:r w:rsidRPr="00836794">
        <w:lastRenderedPageBreak/>
        <w:t>53</w:t>
      </w:r>
      <w:r>
        <w:t> </w:t>
      </w:r>
      <w:r w:rsidRPr="00836794">
        <w:t>mmol/mol (7.0%)</w:t>
      </w:r>
      <w:r>
        <w:t>;</w:t>
      </w:r>
      <w:r w:rsidRPr="00836794">
        <w:t xml:space="preserve"> which is also the target in the Australian </w:t>
      </w:r>
      <w:r>
        <w:t>T</w:t>
      </w:r>
      <w:r w:rsidRPr="00836794">
        <w:t>ype</w:t>
      </w:r>
      <w:r>
        <w:t> </w:t>
      </w:r>
      <w:r w:rsidRPr="00836794">
        <w:t>2 Diabetes Guideline.</w:t>
      </w:r>
      <w:bookmarkStart w:id="15" w:name="_Ref115685988"/>
      <w:r>
        <w:rPr>
          <w:rStyle w:val="FootnoteReference"/>
        </w:rPr>
        <w:footnoteReference w:id="4"/>
      </w:r>
      <w:bookmarkEnd w:id="15"/>
    </w:p>
    <w:p w14:paraId="31B58C89" w14:textId="131EACB4" w:rsidR="000631F7" w:rsidRPr="00836794" w:rsidRDefault="00DF6926" w:rsidP="000631F7">
      <w:r w:rsidRPr="00836794">
        <w:t>The initial drug treatment is</w:t>
      </w:r>
      <w:r w:rsidR="00904FCB">
        <w:t xml:space="preserve"> as</w:t>
      </w:r>
      <w:r w:rsidRPr="00836794">
        <w:t xml:space="preserve"> monotherapy with metformin or, if metformin is contraindicated or not tolerated, a </w:t>
      </w:r>
      <w:r w:rsidR="007D192D">
        <w:t>sulf</w:t>
      </w:r>
      <w:r w:rsidR="000631F7">
        <w:t>onylurea</w:t>
      </w:r>
      <w:r w:rsidR="009A4D8F">
        <w:t xml:space="preserve"> is the </w:t>
      </w:r>
      <w:r w:rsidR="009A4D8F" w:rsidRPr="009A4D8F">
        <w:t>alternate approach</w:t>
      </w:r>
      <w:r w:rsidR="000631F7">
        <w:t>.</w:t>
      </w:r>
      <w:r w:rsidR="009A4D8F">
        <w:t xml:space="preserve"> </w:t>
      </w:r>
      <w:r w:rsidR="00EB76BB">
        <w:t>L</w:t>
      </w:r>
      <w:r w:rsidR="00904FCB">
        <w:t xml:space="preserve">ess commonly used </w:t>
      </w:r>
      <w:r w:rsidR="009A4D8F">
        <w:t>m</w:t>
      </w:r>
      <w:r w:rsidR="009A4D8F" w:rsidRPr="009A4D8F">
        <w:t>onotherap</w:t>
      </w:r>
      <w:r w:rsidR="009A4D8F">
        <w:t xml:space="preserve">ies </w:t>
      </w:r>
      <w:r w:rsidR="00904FCB">
        <w:t xml:space="preserve">are </w:t>
      </w:r>
      <w:r w:rsidR="00EB76BB" w:rsidRPr="00EB76BB">
        <w:t>insulin</w:t>
      </w:r>
      <w:r w:rsidR="00EB76BB">
        <w:t xml:space="preserve">, </w:t>
      </w:r>
      <w:r w:rsidR="00904FCB">
        <w:t>Pharmaceutical Benefits Scheme (PBS) approved acarbose or a TGA</w:t>
      </w:r>
      <w:r w:rsidR="00904FCB">
        <w:noBreakHyphen/>
        <w:t xml:space="preserve">approved (but not PBS approved for monotherapy) </w:t>
      </w:r>
      <w:r w:rsidR="0031055B" w:rsidRPr="0031055B">
        <w:t>dipeptidyl peptidase-4</w:t>
      </w:r>
      <w:r w:rsidR="0031055B">
        <w:t xml:space="preserve"> (</w:t>
      </w:r>
      <w:r w:rsidR="00904FCB">
        <w:t>DPP-4</w:t>
      </w:r>
      <w:r w:rsidR="0031055B">
        <w:t>)</w:t>
      </w:r>
      <w:r w:rsidR="00904FCB">
        <w:t xml:space="preserve"> inhibitor, </w:t>
      </w:r>
      <w:r w:rsidR="00EB76BB">
        <w:t xml:space="preserve">a </w:t>
      </w:r>
      <w:r w:rsidR="007D192D" w:rsidRPr="00836794">
        <w:t>sodium glucose co-transporter-2 (SGLT-2)</w:t>
      </w:r>
      <w:r w:rsidR="00904FCB">
        <w:t xml:space="preserve"> inhibitor,</w:t>
      </w:r>
      <w:r w:rsidR="009A4D8F">
        <w:t xml:space="preserve"> </w:t>
      </w:r>
      <w:r w:rsidR="00EB76BB">
        <w:t xml:space="preserve">a </w:t>
      </w:r>
      <w:r w:rsidR="00904FCB">
        <w:t xml:space="preserve">glucagon-like peptide-1 </w:t>
      </w:r>
      <w:r w:rsidR="007D192D">
        <w:t xml:space="preserve">(GLP-1) </w:t>
      </w:r>
      <w:r w:rsidR="00904FCB">
        <w:t xml:space="preserve">receptor agonist, or </w:t>
      </w:r>
      <w:r w:rsidR="00EB76BB">
        <w:t xml:space="preserve">a </w:t>
      </w:r>
      <w:r w:rsidR="0031055B" w:rsidRPr="0031055B">
        <w:t>thiazolidinedione</w:t>
      </w:r>
      <w:r w:rsidR="00904FCB">
        <w:t>.</w:t>
      </w:r>
      <w:r w:rsidR="00904FCB">
        <w:rPr>
          <w:vertAlign w:val="superscript"/>
        </w:rPr>
        <w:fldChar w:fldCharType="begin"/>
      </w:r>
      <w:r w:rsidR="00904FCB">
        <w:rPr>
          <w:vertAlign w:val="superscript"/>
        </w:rPr>
        <w:instrText xml:space="preserve"> NOTEREF _Ref115685988 \h </w:instrText>
      </w:r>
      <w:r w:rsidR="00904FCB">
        <w:rPr>
          <w:vertAlign w:val="superscript"/>
        </w:rPr>
      </w:r>
      <w:r w:rsidR="00904FCB">
        <w:rPr>
          <w:vertAlign w:val="superscript"/>
        </w:rPr>
        <w:fldChar w:fldCharType="separate"/>
      </w:r>
      <w:r w:rsidR="00E5082D">
        <w:rPr>
          <w:vertAlign w:val="superscript"/>
        </w:rPr>
        <w:t>4</w:t>
      </w:r>
      <w:r w:rsidR="00904FCB">
        <w:rPr>
          <w:vertAlign w:val="superscript"/>
        </w:rPr>
        <w:fldChar w:fldCharType="end"/>
      </w:r>
    </w:p>
    <w:p w14:paraId="191F25C7" w14:textId="7C891942" w:rsidR="00DF6926" w:rsidRPr="00836794" w:rsidRDefault="00D655C9" w:rsidP="00DF6926">
      <w:r>
        <w:t>I</w:t>
      </w:r>
      <w:r w:rsidR="00A105DA">
        <w:t>n</w:t>
      </w:r>
      <w:r w:rsidR="00DF6926" w:rsidRPr="00836794">
        <w:t xml:space="preserve"> adults with </w:t>
      </w:r>
      <w:r w:rsidR="00631637" w:rsidRPr="00836794">
        <w:t>type</w:t>
      </w:r>
      <w:r w:rsidR="00730CCF" w:rsidRPr="00836794">
        <w:t> </w:t>
      </w:r>
      <w:r w:rsidR="00631637" w:rsidRPr="00836794">
        <w:t>2 diabetes</w:t>
      </w:r>
      <w:r w:rsidR="00DF6926" w:rsidRPr="00836794">
        <w:t>, if HbA1c levels are not adequately controlled by a single drug and rise to 58</w:t>
      </w:r>
      <w:r w:rsidR="00730CCF" w:rsidRPr="00836794">
        <w:t> </w:t>
      </w:r>
      <w:r w:rsidR="00DF6926" w:rsidRPr="00836794">
        <w:t>mmol/mol (7.5%) or higher, a second drug should be added</w:t>
      </w:r>
      <w:r w:rsidR="00437EFE">
        <w:t>.</w:t>
      </w:r>
      <w:r w:rsidR="00437EFE">
        <w:rPr>
          <w:rStyle w:val="FootnoteReference"/>
        </w:rPr>
        <w:footnoteReference w:id="5"/>
      </w:r>
      <w:r>
        <w:t xml:space="preserve"> </w:t>
      </w:r>
      <w:r w:rsidR="00DF6926" w:rsidRPr="00836794">
        <w:t>Dual</w:t>
      </w:r>
      <w:r w:rsidR="007D192D">
        <w:t> </w:t>
      </w:r>
      <w:r w:rsidR="00DF6926" w:rsidRPr="00836794">
        <w:t>therapy can be considered with combinations of metformin, DPP-4</w:t>
      </w:r>
      <w:r w:rsidR="00A05BEB" w:rsidRPr="00836794">
        <w:t xml:space="preserve"> inhibitor</w:t>
      </w:r>
      <w:r w:rsidR="00DF6926" w:rsidRPr="00836794">
        <w:t xml:space="preserve">, </w:t>
      </w:r>
      <w:proofErr w:type="gramStart"/>
      <w:r w:rsidR="00DF6926" w:rsidRPr="00836794">
        <w:t>pioglitazone</w:t>
      </w:r>
      <w:proofErr w:type="gramEnd"/>
      <w:r w:rsidR="00DF6926" w:rsidRPr="00836794">
        <w:t xml:space="preserve"> or a </w:t>
      </w:r>
      <w:r w:rsidR="00AB6287" w:rsidRPr="00836794">
        <w:t>sul</w:t>
      </w:r>
      <w:r w:rsidR="007D192D">
        <w:t>f</w:t>
      </w:r>
      <w:r w:rsidR="00AB6287" w:rsidRPr="00836794">
        <w:t>onylurea</w:t>
      </w:r>
      <w:r w:rsidR="00DF6926" w:rsidRPr="00836794">
        <w:t>. If dual therapy is not effective, metformin can be considered with two of DPP-4</w:t>
      </w:r>
      <w:r w:rsidR="00A05BEB" w:rsidRPr="00836794">
        <w:t xml:space="preserve"> inhibitor</w:t>
      </w:r>
      <w:r w:rsidR="00DF6926" w:rsidRPr="00836794">
        <w:t xml:space="preserve">, </w:t>
      </w:r>
      <w:proofErr w:type="gramStart"/>
      <w:r w:rsidR="00DF6926" w:rsidRPr="00836794">
        <w:t>pioglitazone</w:t>
      </w:r>
      <w:proofErr w:type="gramEnd"/>
      <w:r w:rsidR="00DF6926" w:rsidRPr="00836794">
        <w:t xml:space="preserve"> or a </w:t>
      </w:r>
      <w:r w:rsidR="00AB6287" w:rsidRPr="00836794">
        <w:t>sul</w:t>
      </w:r>
      <w:r w:rsidR="001B5374">
        <w:t>f</w:t>
      </w:r>
      <w:r w:rsidR="00AB6287" w:rsidRPr="00836794">
        <w:t>onylurea</w:t>
      </w:r>
      <w:r w:rsidR="00DF6926" w:rsidRPr="00836794">
        <w:t>; alternatively, insulin therapy can be considered.</w:t>
      </w:r>
    </w:p>
    <w:p w14:paraId="1F52F062" w14:textId="36433528" w:rsidR="00DF6926" w:rsidRPr="00836794" w:rsidRDefault="00DF6926" w:rsidP="00DF6926">
      <w:r w:rsidRPr="00836794">
        <w:t>Choice of treatment is modified by comorbidity</w:t>
      </w:r>
      <w:r w:rsidR="00484415">
        <w:t>,</w:t>
      </w:r>
      <w:r w:rsidR="008027CC" w:rsidRPr="00836794">
        <w:t xml:space="preserve"> for example,</w:t>
      </w:r>
      <w:r w:rsidRPr="00836794">
        <w:t xml:space="preserve"> obesity, renal failure, pre</w:t>
      </w:r>
      <w:r w:rsidR="00730CCF" w:rsidRPr="00836794">
        <w:noBreakHyphen/>
      </w:r>
      <w:r w:rsidRPr="00836794">
        <w:t xml:space="preserve">existing cardiac disease. In patients with obesity some treatments aid weight loss (metformin, GLP-1 </w:t>
      </w:r>
      <w:r w:rsidR="00672D1A" w:rsidRPr="00836794">
        <w:t>receptor agonists</w:t>
      </w:r>
      <w:r w:rsidRPr="00836794">
        <w:t xml:space="preserve"> and DPP-4</w:t>
      </w:r>
      <w:r w:rsidR="00A05BEB" w:rsidRPr="00836794">
        <w:t xml:space="preserve"> inhibitor</w:t>
      </w:r>
      <w:r w:rsidRPr="00836794">
        <w:t xml:space="preserve">) whereas others contribute to weight gain (insulin, </w:t>
      </w:r>
      <w:r w:rsidR="00AB6287" w:rsidRPr="00836794">
        <w:t>sul</w:t>
      </w:r>
      <w:r w:rsidR="007D192D">
        <w:t>f</w:t>
      </w:r>
      <w:r w:rsidR="00AB6287" w:rsidRPr="00836794">
        <w:t>onylurea</w:t>
      </w:r>
      <w:r w:rsidRPr="00836794">
        <w:t xml:space="preserve"> and thiazolidinediones). In severe renal failure some treatments may be contraindicated or less effective (</w:t>
      </w:r>
      <w:r w:rsidR="008027CC" w:rsidRPr="00836794">
        <w:t>for example,</w:t>
      </w:r>
      <w:r w:rsidRPr="00836794">
        <w:t xml:space="preserve"> metformin and SGLT-2 inhibitors). In patients at higher risk of cardiovascular disease GLP-1 </w:t>
      </w:r>
      <w:r w:rsidR="00672D1A" w:rsidRPr="00836794">
        <w:t>receptor agonists</w:t>
      </w:r>
      <w:r w:rsidRPr="00836794">
        <w:t xml:space="preserve"> and/or SGLT-2 inhibitors may be preferred.</w:t>
      </w:r>
    </w:p>
    <w:p w14:paraId="4BDCA163" w14:textId="62AFCDFB" w:rsidR="00DF6926" w:rsidRPr="00836794" w:rsidRDefault="00DF6926" w:rsidP="00DF6926">
      <w:proofErr w:type="gramStart"/>
      <w:r w:rsidRPr="00836794">
        <w:t>With regard to</w:t>
      </w:r>
      <w:proofErr w:type="gramEnd"/>
      <w:r w:rsidRPr="00836794">
        <w:t xml:space="preserve"> GLP-1 </w:t>
      </w:r>
      <w:r w:rsidR="00672D1A" w:rsidRPr="00836794">
        <w:t>receptor agonist</w:t>
      </w:r>
      <w:r w:rsidRPr="00836794">
        <w:t xml:space="preserve"> therapy, the NICE guidance states:</w:t>
      </w:r>
    </w:p>
    <w:p w14:paraId="6A283F3C" w14:textId="2F66050B" w:rsidR="00DF6926" w:rsidRPr="00836794" w:rsidRDefault="007013B0" w:rsidP="00DF6926">
      <w:pPr>
        <w:pStyle w:val="ListBullet"/>
        <w:rPr>
          <w:i/>
          <w:iCs/>
        </w:rPr>
      </w:pPr>
      <w:r w:rsidRPr="00836794">
        <w:t>‘</w:t>
      </w:r>
      <w:r w:rsidR="00DF6926" w:rsidRPr="00836794">
        <w:rPr>
          <w:i/>
          <w:iCs/>
        </w:rPr>
        <w:t>Only continue GLP</w:t>
      </w:r>
      <w:r w:rsidR="00DF6926" w:rsidRPr="00836794">
        <w:rPr>
          <w:i/>
          <w:iCs/>
        </w:rPr>
        <w:noBreakHyphen/>
        <w:t xml:space="preserve">1 mimetic therapy if the person with type 2 diabetes has had a beneficial metabolic response (a reduction of at least 11 mmol/mol </w:t>
      </w:r>
      <w:r w:rsidRPr="00836794">
        <w:rPr>
          <w:i/>
          <w:iCs/>
        </w:rPr>
        <w:t>(</w:t>
      </w:r>
      <w:r w:rsidR="00DF6926" w:rsidRPr="00836794">
        <w:rPr>
          <w:i/>
          <w:iCs/>
        </w:rPr>
        <w:t>1.0%</w:t>
      </w:r>
      <w:r w:rsidRPr="00836794">
        <w:rPr>
          <w:i/>
          <w:iCs/>
        </w:rPr>
        <w:t>)</w:t>
      </w:r>
      <w:r w:rsidR="00DF6926" w:rsidRPr="00836794">
        <w:rPr>
          <w:i/>
          <w:iCs/>
        </w:rPr>
        <w:t xml:space="preserve"> in HbA1c and a weight loss of at least 3% of initial body weight in 6 months).</w:t>
      </w:r>
      <w:r w:rsidRPr="00836794">
        <w:rPr>
          <w:i/>
          <w:iCs/>
        </w:rPr>
        <w:t>’</w:t>
      </w:r>
    </w:p>
    <w:p w14:paraId="250ECCB2" w14:textId="32303AD7" w:rsidR="00DF6926" w:rsidRPr="00836794" w:rsidRDefault="007013B0" w:rsidP="00DF6926">
      <w:pPr>
        <w:pStyle w:val="ListBullet"/>
        <w:rPr>
          <w:i/>
          <w:iCs/>
        </w:rPr>
      </w:pPr>
      <w:r w:rsidRPr="00836794">
        <w:rPr>
          <w:i/>
          <w:iCs/>
        </w:rPr>
        <w:t>‘</w:t>
      </w:r>
      <w:r w:rsidR="00DF6926" w:rsidRPr="00836794">
        <w:rPr>
          <w:i/>
          <w:iCs/>
        </w:rPr>
        <w:t>In adults with type 2 diabetes, only offer a GLP</w:t>
      </w:r>
      <w:r w:rsidR="00DF6926" w:rsidRPr="00836794">
        <w:rPr>
          <w:i/>
          <w:iCs/>
        </w:rPr>
        <w:noBreakHyphen/>
        <w:t>1 mimetic in combination with insulin with specialist care advice and ongoing support from a consultant</w:t>
      </w:r>
      <w:r w:rsidR="00DF6926" w:rsidRPr="00836794">
        <w:rPr>
          <w:i/>
          <w:iCs/>
        </w:rPr>
        <w:noBreakHyphen/>
        <w:t>led multidisciplinary team</w:t>
      </w:r>
      <w:r w:rsidR="00730CCF" w:rsidRPr="00836794">
        <w:rPr>
          <w:i/>
          <w:iCs/>
        </w:rPr>
        <w:t>.</w:t>
      </w:r>
      <w:r w:rsidRPr="00836794">
        <w:rPr>
          <w:i/>
          <w:iCs/>
        </w:rPr>
        <w:t>’</w:t>
      </w:r>
    </w:p>
    <w:p w14:paraId="43CF91B8" w14:textId="500A6B3E" w:rsidR="00DF6926" w:rsidRPr="00836794" w:rsidRDefault="00DF6926" w:rsidP="00DF6926">
      <w:r w:rsidRPr="00836794">
        <w:t xml:space="preserve">When commencing insulin, the guidance states to continue to offer metformin to patients unless there are contraindications or intolerance. Insulin </w:t>
      </w:r>
      <w:r w:rsidR="007D192D">
        <w:t xml:space="preserve">therapy </w:t>
      </w:r>
      <w:r w:rsidRPr="00836794">
        <w:t xml:space="preserve">should be </w:t>
      </w:r>
      <w:r w:rsidR="007D192D">
        <w:t>initiated using</w:t>
      </w:r>
      <w:r w:rsidRPr="00836794">
        <w:t xml:space="preserve"> insulin </w:t>
      </w:r>
      <w:r w:rsidR="00A05BEB" w:rsidRPr="00836794">
        <w:t xml:space="preserve">neutral protamine </w:t>
      </w:r>
      <w:proofErr w:type="spellStart"/>
      <w:r w:rsidR="00A05BEB" w:rsidRPr="00836794">
        <w:t>hagedorn</w:t>
      </w:r>
      <w:proofErr w:type="spellEnd"/>
      <w:r w:rsidRPr="00836794">
        <w:t>, insulin detemir</w:t>
      </w:r>
      <w:r w:rsidR="007D192D">
        <w:t xml:space="preserve">, </w:t>
      </w:r>
      <w:r w:rsidRPr="00836794">
        <w:t>or insulin glargine.</w:t>
      </w:r>
    </w:p>
    <w:p w14:paraId="0D161D82" w14:textId="152C06A1" w:rsidR="00DF6926" w:rsidRDefault="00DF6926" w:rsidP="00DF6926">
      <w:r w:rsidRPr="00836794">
        <w:t>The American Diabetes Association</w:t>
      </w:r>
      <w:r w:rsidR="001E68D4">
        <w:t xml:space="preserve"> (ADA)</w:t>
      </w:r>
      <w:r w:rsidRPr="00836794">
        <w:t xml:space="preserve"> </w:t>
      </w:r>
      <w:r w:rsidR="00730CCF" w:rsidRPr="00836794">
        <w:t xml:space="preserve">Guidance </w:t>
      </w:r>
      <w:r w:rsidRPr="00836794">
        <w:t>2019</w:t>
      </w:r>
      <w:r w:rsidR="001E68D4">
        <w:t>;</w:t>
      </w:r>
      <w:r w:rsidR="001E68D4">
        <w:rPr>
          <w:rStyle w:val="FootnoteReference"/>
        </w:rPr>
        <w:footnoteReference w:id="6"/>
      </w:r>
      <w:r w:rsidRPr="00836794">
        <w:t xml:space="preserve"> states </w:t>
      </w:r>
      <w:r w:rsidR="007013B0" w:rsidRPr="00836794">
        <w:t>‘</w:t>
      </w:r>
      <w:r w:rsidRPr="000025F0">
        <w:rPr>
          <w:i/>
          <w:iCs/>
        </w:rPr>
        <w:t>In most patients who need the greater glucose-lowering effect of an injectable medication, glucagon</w:t>
      </w:r>
      <w:r w:rsidR="000025F0" w:rsidRPr="000025F0">
        <w:rPr>
          <w:i/>
          <w:iCs/>
        </w:rPr>
        <w:t xml:space="preserve"> </w:t>
      </w:r>
      <w:r w:rsidRPr="000025F0">
        <w:rPr>
          <w:i/>
          <w:iCs/>
        </w:rPr>
        <w:t>like peptide</w:t>
      </w:r>
      <w:r w:rsidR="00730CCF" w:rsidRPr="000025F0">
        <w:rPr>
          <w:i/>
          <w:iCs/>
        </w:rPr>
        <w:t> </w:t>
      </w:r>
      <w:r w:rsidRPr="000025F0">
        <w:rPr>
          <w:i/>
          <w:iCs/>
        </w:rPr>
        <w:t xml:space="preserve">1 </w:t>
      </w:r>
      <w:r w:rsidR="000025F0" w:rsidRPr="000025F0">
        <w:rPr>
          <w:i/>
          <w:iCs/>
        </w:rPr>
        <w:t xml:space="preserve">[GLP-1] </w:t>
      </w:r>
      <w:r w:rsidRPr="000025F0">
        <w:rPr>
          <w:i/>
          <w:iCs/>
        </w:rPr>
        <w:t>receptor agonists are preferred to insulin. B</w:t>
      </w:r>
      <w:r w:rsidR="007013B0" w:rsidRPr="00836794">
        <w:t>’</w:t>
      </w:r>
    </w:p>
    <w:p w14:paraId="70E6C71B" w14:textId="35D8C3AC" w:rsidR="00E032E4" w:rsidRDefault="005D24BC" w:rsidP="00DF6926">
      <w:r>
        <w:t>Semaglutide, in the form of a once-weekly subcutaneous injection with the tradename Ozempic, received approval in Australia in August 2019</w:t>
      </w:r>
      <w:r w:rsidR="00E032E4">
        <w:t>;</w:t>
      </w:r>
      <w:bookmarkStart w:id="16" w:name="_Ref115687851"/>
      <w:r>
        <w:rPr>
          <w:rStyle w:val="FootnoteReference"/>
        </w:rPr>
        <w:footnoteReference w:id="7"/>
      </w:r>
      <w:bookmarkEnd w:id="16"/>
      <w:r w:rsidR="00E032E4">
        <w:t>,</w:t>
      </w:r>
      <w:bookmarkStart w:id="17" w:name="_Ref115687853"/>
      <w:r w:rsidR="00E032E4">
        <w:rPr>
          <w:rStyle w:val="FootnoteReference"/>
        </w:rPr>
        <w:footnoteReference w:id="8"/>
      </w:r>
      <w:bookmarkEnd w:id="17"/>
      <w:r>
        <w:t xml:space="preserve"> </w:t>
      </w:r>
      <w:r w:rsidR="00E032E4">
        <w:t>for the following indication:</w:t>
      </w:r>
    </w:p>
    <w:p w14:paraId="22597127" w14:textId="77777777" w:rsidR="005D7260" w:rsidRDefault="00E032E4" w:rsidP="005D7260">
      <w:pPr>
        <w:ind w:left="360"/>
        <w:rPr>
          <w:i/>
        </w:rPr>
      </w:pPr>
      <w:r w:rsidRPr="005D7260">
        <w:rPr>
          <w:i/>
        </w:rPr>
        <w:t>Ozempic is indicated for the treatment of adults with insufficiently controlled type 2 diabetes mellitus as an adjunct to diet and exercise:</w:t>
      </w:r>
    </w:p>
    <w:p w14:paraId="392008DD" w14:textId="41A09353" w:rsidR="005D7260" w:rsidRPr="005D7260" w:rsidRDefault="00E032E4" w:rsidP="005D7260">
      <w:pPr>
        <w:pStyle w:val="ListBullet3"/>
        <w:numPr>
          <w:ilvl w:val="2"/>
          <w:numId w:val="15"/>
        </w:numPr>
        <w:ind w:left="720"/>
        <w:rPr>
          <w:i/>
          <w:iCs/>
        </w:rPr>
      </w:pPr>
      <w:r w:rsidRPr="005D7260">
        <w:rPr>
          <w:i/>
          <w:iCs/>
        </w:rPr>
        <w:lastRenderedPageBreak/>
        <w:t>as monotherapy when metformin is not tolerated or contraindicated.</w:t>
      </w:r>
    </w:p>
    <w:p w14:paraId="0C72FADF" w14:textId="76DB318A" w:rsidR="005D24BC" w:rsidRPr="005D7260" w:rsidRDefault="00E032E4" w:rsidP="005D7260">
      <w:pPr>
        <w:pStyle w:val="ListBullet3"/>
        <w:numPr>
          <w:ilvl w:val="2"/>
          <w:numId w:val="15"/>
        </w:numPr>
        <w:ind w:left="720"/>
        <w:rPr>
          <w:i/>
          <w:iCs/>
        </w:rPr>
      </w:pPr>
      <w:r w:rsidRPr="005D7260">
        <w:rPr>
          <w:i/>
          <w:iCs/>
        </w:rPr>
        <w:t>in addition to other medicinal products for the treatment of type 2 diabetes.</w:t>
      </w:r>
    </w:p>
    <w:p w14:paraId="78B7C2B7" w14:textId="407D4600" w:rsidR="005D24BC" w:rsidRPr="00836794" w:rsidRDefault="00E032E4" w:rsidP="00DF6926">
      <w:r>
        <w:t>Rybelsus contains the same active ingredient, semaglutide, but in the form of a once daily oral tablet as opposed to an injection.</w:t>
      </w:r>
    </w:p>
    <w:p w14:paraId="1728F024" w14:textId="3CD2493B" w:rsidR="007D192D" w:rsidRDefault="000A6A46" w:rsidP="000A6A46">
      <w:r w:rsidRPr="00836794">
        <w:t>Semaglutide</w:t>
      </w:r>
      <w:r w:rsidR="005D24BC">
        <w:t xml:space="preserve"> </w:t>
      </w:r>
      <w:r w:rsidRPr="00836794">
        <w:t>is</w:t>
      </w:r>
      <w:r w:rsidR="00E032E4">
        <w:t xml:space="preserve"> GLP-1</w:t>
      </w:r>
      <w:r w:rsidRPr="00836794">
        <w:t xml:space="preserve"> analogue for </w:t>
      </w:r>
      <w:r w:rsidR="00E032E4">
        <w:t>the management of</w:t>
      </w:r>
      <w:r w:rsidRPr="00836794">
        <w:t xml:space="preserve"> type 2 diabetes. Semaglutide acts as a GLP-1 receptor agonist that selectively binds to and activates the GLP-1 receptor, the target for native GLP-1.</w:t>
      </w:r>
    </w:p>
    <w:p w14:paraId="6BFDC7DB" w14:textId="6A503C90" w:rsidR="000A6A46" w:rsidRPr="00836794" w:rsidRDefault="000A6A46" w:rsidP="000A6A46">
      <w:r w:rsidRPr="00836794">
        <w:t xml:space="preserve">Compared to human GLP-1, semaglutide has a prolonged </w:t>
      </w:r>
      <w:proofErr w:type="spellStart"/>
      <w:r w:rsidRPr="00836794">
        <w:t>half life</w:t>
      </w:r>
      <w:proofErr w:type="spellEnd"/>
      <w:r w:rsidRPr="00836794">
        <w:t xml:space="preserve"> and the principal mechanism of protraction is albumin binding, which results in decreased renal clearance and protection from metabolic degradation. Furthermore, semaglutide is stabilised against degradation by the DPP-4 enzyme by the amino acid substitution Ala8 to Aib8. Semaglutide reduces blood glucose through a mechanism where it stimulates insulin secretion and lowers glucagon secretion, both in a glucose-dependent manner.</w:t>
      </w:r>
    </w:p>
    <w:p w14:paraId="01EAC268" w14:textId="77777777" w:rsidR="008E7846" w:rsidRPr="00836794" w:rsidRDefault="00386150" w:rsidP="008E7846">
      <w:pPr>
        <w:pStyle w:val="Heading3"/>
      </w:pPr>
      <w:bookmarkStart w:id="18" w:name="_Toc314842485"/>
      <w:bookmarkStart w:id="19" w:name="_Toc247691504"/>
      <w:bookmarkStart w:id="20" w:name="_Toc117791815"/>
      <w:r w:rsidRPr="00836794">
        <w:t>Regulatory s</w:t>
      </w:r>
      <w:r w:rsidR="008E7846" w:rsidRPr="00836794">
        <w:t>tatus</w:t>
      </w:r>
      <w:bookmarkEnd w:id="18"/>
      <w:bookmarkEnd w:id="19"/>
      <w:bookmarkEnd w:id="20"/>
    </w:p>
    <w:p w14:paraId="2630B120" w14:textId="36EDDA7B" w:rsidR="00332715" w:rsidRDefault="00332715" w:rsidP="00332715">
      <w:bookmarkStart w:id="21" w:name="_Toc247691505"/>
      <w:bookmarkStart w:id="22" w:name="_Toc314842486"/>
      <w:r w:rsidRPr="00836794">
        <w:t>This product is considered a new biological entity for Australian regulatory purposes.</w:t>
      </w:r>
    </w:p>
    <w:p w14:paraId="5DE37FD7" w14:textId="1E78ED7D" w:rsidR="00E032E4" w:rsidRPr="00E032E4" w:rsidRDefault="00E032E4">
      <w:r>
        <w:t xml:space="preserve">Semaglutide was approved in Australia in August 2019 </w:t>
      </w:r>
      <w:r w:rsidR="00BB71CC">
        <w:t>as</w:t>
      </w:r>
      <w:r>
        <w:t xml:space="preserve"> Ozempic, a once weekly subcutaneous injection for the management of type 2 diabetes.</w:t>
      </w:r>
      <w:r w:rsidRPr="005D7260">
        <w:rPr>
          <w:vertAlign w:val="superscript"/>
        </w:rPr>
        <w:fldChar w:fldCharType="begin"/>
      </w:r>
      <w:r w:rsidRPr="005D7260">
        <w:rPr>
          <w:vertAlign w:val="superscript"/>
        </w:rPr>
        <w:instrText xml:space="preserve"> NOTEREF _Ref115687851 \h </w:instrText>
      </w:r>
      <w:r>
        <w:rPr>
          <w:vertAlign w:val="superscript"/>
        </w:rPr>
        <w:instrText xml:space="preserve"> \* MERGEFORMAT </w:instrText>
      </w:r>
      <w:r w:rsidRPr="005D7260">
        <w:rPr>
          <w:vertAlign w:val="superscript"/>
        </w:rPr>
      </w:r>
      <w:r w:rsidRPr="005D7260">
        <w:rPr>
          <w:vertAlign w:val="superscript"/>
        </w:rPr>
        <w:fldChar w:fldCharType="separate"/>
      </w:r>
      <w:r w:rsidR="00E5082D">
        <w:rPr>
          <w:vertAlign w:val="superscript"/>
        </w:rPr>
        <w:t>7</w:t>
      </w:r>
      <w:r w:rsidRPr="005D7260">
        <w:rPr>
          <w:vertAlign w:val="superscript"/>
        </w:rPr>
        <w:fldChar w:fldCharType="end"/>
      </w:r>
      <w:r w:rsidRPr="005D7260">
        <w:rPr>
          <w:vertAlign w:val="superscript"/>
        </w:rPr>
        <w:t>,</w:t>
      </w:r>
      <w:r w:rsidRPr="00EC033B">
        <w:rPr>
          <w:vertAlign w:val="superscript"/>
        </w:rPr>
        <w:fldChar w:fldCharType="begin"/>
      </w:r>
      <w:r w:rsidRPr="005D7260">
        <w:rPr>
          <w:vertAlign w:val="superscript"/>
        </w:rPr>
        <w:instrText xml:space="preserve"> NOTEREF _Ref115687853 \h </w:instrText>
      </w:r>
      <w:r>
        <w:rPr>
          <w:vertAlign w:val="superscript"/>
        </w:rPr>
        <w:instrText xml:space="preserve"> \* MERGEFORMAT </w:instrText>
      </w:r>
      <w:r w:rsidRPr="00EC033B">
        <w:rPr>
          <w:vertAlign w:val="superscript"/>
        </w:rPr>
      </w:r>
      <w:r w:rsidRPr="00EC033B">
        <w:rPr>
          <w:vertAlign w:val="superscript"/>
        </w:rPr>
        <w:fldChar w:fldCharType="separate"/>
      </w:r>
      <w:r w:rsidR="00E5082D">
        <w:rPr>
          <w:vertAlign w:val="superscript"/>
        </w:rPr>
        <w:t>8</w:t>
      </w:r>
      <w:r w:rsidRPr="00EC033B">
        <w:rPr>
          <w:vertAlign w:val="superscript"/>
        </w:rPr>
        <w:fldChar w:fldCharType="end"/>
      </w:r>
      <w:r>
        <w:rPr>
          <w:vertAlign w:val="superscript"/>
        </w:rPr>
        <w:t xml:space="preserve"> </w:t>
      </w:r>
      <w:r>
        <w:t xml:space="preserve">This submission </w:t>
      </w:r>
      <w:r w:rsidR="00BB71CC">
        <w:t xml:space="preserve">(for Rybelsus) </w:t>
      </w:r>
      <w:r>
        <w:t>is for a different formulation, route of administration (oral tablet), and dosage</w:t>
      </w:r>
      <w:r w:rsidR="00BB71CC">
        <w:t>, and therefore treated as a new biological entity.</w:t>
      </w:r>
    </w:p>
    <w:p w14:paraId="27CA5A99" w14:textId="2D7A9FFD" w:rsidR="00332715" w:rsidRPr="00836794" w:rsidRDefault="00332715" w:rsidP="00332715">
      <w:r w:rsidRPr="00836794">
        <w:t xml:space="preserve">At the time the TGA considered this </w:t>
      </w:r>
      <w:r w:rsidR="00BB0B78" w:rsidRPr="00836794">
        <w:t>submission</w:t>
      </w:r>
      <w:r w:rsidRPr="00836794">
        <w:t xml:space="preserve">, similar </w:t>
      </w:r>
      <w:r w:rsidR="00BB0B78" w:rsidRPr="00836794">
        <w:t>submission</w:t>
      </w:r>
      <w:r w:rsidR="00BD6E5A" w:rsidRPr="00836794">
        <w:t>s</w:t>
      </w:r>
      <w:r w:rsidRPr="00836794">
        <w:t xml:space="preserve"> had been approved </w:t>
      </w:r>
      <w:r w:rsidR="00BD6E5A" w:rsidRPr="00836794">
        <w:t xml:space="preserve">in the </w:t>
      </w:r>
      <w:r w:rsidR="00A05BEB" w:rsidRPr="00836794">
        <w:t>European Union (</w:t>
      </w:r>
      <w:r w:rsidR="00BD6E5A" w:rsidRPr="00836794">
        <w:t>EU</w:t>
      </w:r>
      <w:r w:rsidR="00A05BEB" w:rsidRPr="00836794">
        <w:t>)</w:t>
      </w:r>
      <w:r w:rsidR="00BD6E5A" w:rsidRPr="00836794">
        <w:t xml:space="preserve"> on 3 April 2020, United States of America on 20 September 2019, Canada on 30</w:t>
      </w:r>
      <w:r w:rsidR="00730CCF" w:rsidRPr="00836794">
        <w:t> </w:t>
      </w:r>
      <w:r w:rsidR="00BD6E5A" w:rsidRPr="00836794">
        <w:t>March 2020, Singapore on 1 June 2021 and Switzerland on 24</w:t>
      </w:r>
      <w:r w:rsidR="005D24BC">
        <w:t> </w:t>
      </w:r>
      <w:r w:rsidR="00BD6E5A" w:rsidRPr="00836794">
        <w:t>March</w:t>
      </w:r>
      <w:r w:rsidR="005D24BC">
        <w:t> </w:t>
      </w:r>
      <w:r w:rsidR="00BD6E5A" w:rsidRPr="00836794">
        <w:t>2020.</w:t>
      </w:r>
    </w:p>
    <w:p w14:paraId="09787548" w14:textId="77777777" w:rsidR="00332715" w:rsidRPr="00836794" w:rsidRDefault="0072292E" w:rsidP="00332715">
      <w:r w:rsidRPr="00836794">
        <w:t xml:space="preserve">The following table </w:t>
      </w:r>
      <w:r w:rsidR="00332715" w:rsidRPr="00836794">
        <w:t xml:space="preserve">summarises these </w:t>
      </w:r>
      <w:r w:rsidR="00BB0B78" w:rsidRPr="00836794">
        <w:t>submissions</w:t>
      </w:r>
      <w:r w:rsidR="00332715" w:rsidRPr="00836794">
        <w:t xml:space="preserve"> and provides the indications where approved.</w:t>
      </w:r>
    </w:p>
    <w:p w14:paraId="6D37F03E" w14:textId="14F4BA3F" w:rsidR="00324E45" w:rsidRPr="00703318" w:rsidRDefault="00324E45" w:rsidP="00703318">
      <w:pPr>
        <w:pStyle w:val="TableTitle"/>
      </w:pPr>
      <w:bookmarkStart w:id="23" w:name="_Ref99705479"/>
      <w:r w:rsidRPr="00703318">
        <w:t xml:space="preserve">Table </w:t>
      </w:r>
      <w:fldSimple w:instr=" SEQ Table \* ARABIC ">
        <w:r w:rsidR="00E5082D">
          <w:rPr>
            <w:noProof/>
          </w:rPr>
          <w:t>1</w:t>
        </w:r>
      </w:fldSimple>
      <w:bookmarkEnd w:id="23"/>
      <w:r w:rsidRPr="00703318">
        <w:t>: International regulatory status</w:t>
      </w:r>
    </w:p>
    <w:tbl>
      <w:tblPr>
        <w:tblStyle w:val="TableTGAblue"/>
        <w:tblW w:w="8815" w:type="dxa"/>
        <w:tblLayout w:type="fixed"/>
        <w:tblLook w:val="04A0" w:firstRow="1" w:lastRow="0" w:firstColumn="1" w:lastColumn="0" w:noHBand="0" w:noVBand="1"/>
      </w:tblPr>
      <w:tblGrid>
        <w:gridCol w:w="1435"/>
        <w:gridCol w:w="1679"/>
        <w:gridCol w:w="1921"/>
        <w:gridCol w:w="3780"/>
      </w:tblGrid>
      <w:tr w:rsidR="00DF6926" w:rsidRPr="00836794" w14:paraId="07341B5B" w14:textId="77777777" w:rsidTr="00E847AB">
        <w:trPr>
          <w:cnfStyle w:val="100000000000" w:firstRow="1" w:lastRow="0" w:firstColumn="0" w:lastColumn="0" w:oddVBand="0" w:evenVBand="0" w:oddHBand="0" w:evenHBand="0" w:firstRowFirstColumn="0" w:firstRowLastColumn="0" w:lastRowFirstColumn="0" w:lastRowLastColumn="0"/>
        </w:trPr>
        <w:tc>
          <w:tcPr>
            <w:tcW w:w="1435" w:type="dxa"/>
            <w:tcBorders>
              <w:top w:val="single" w:sz="4" w:space="0" w:color="auto"/>
              <w:left w:val="single" w:sz="4" w:space="0" w:color="auto"/>
              <w:bottom w:val="single" w:sz="4" w:space="0" w:color="auto"/>
              <w:right w:val="single" w:sz="4" w:space="0" w:color="auto"/>
            </w:tcBorders>
          </w:tcPr>
          <w:p w14:paraId="1608775B" w14:textId="77777777" w:rsidR="00006FAB" w:rsidRPr="00E847AB" w:rsidRDefault="00006FAB" w:rsidP="00006FAB">
            <w:pPr>
              <w:ind w:left="0" w:right="0"/>
              <w:rPr>
                <w:sz w:val="20"/>
              </w:rPr>
            </w:pPr>
            <w:r w:rsidRPr="00E847AB">
              <w:rPr>
                <w:sz w:val="20"/>
              </w:rPr>
              <w:t>Region</w:t>
            </w:r>
          </w:p>
        </w:tc>
        <w:tc>
          <w:tcPr>
            <w:tcW w:w="1679" w:type="dxa"/>
            <w:tcBorders>
              <w:top w:val="single" w:sz="4" w:space="0" w:color="auto"/>
              <w:left w:val="single" w:sz="4" w:space="0" w:color="auto"/>
              <w:bottom w:val="single" w:sz="4" w:space="0" w:color="auto"/>
              <w:right w:val="single" w:sz="4" w:space="0" w:color="auto"/>
            </w:tcBorders>
          </w:tcPr>
          <w:p w14:paraId="5DD7A936" w14:textId="77777777" w:rsidR="00006FAB" w:rsidRPr="00E847AB" w:rsidRDefault="00006FAB" w:rsidP="00006FAB">
            <w:pPr>
              <w:ind w:left="0" w:right="0"/>
              <w:rPr>
                <w:sz w:val="20"/>
              </w:rPr>
            </w:pPr>
            <w:r w:rsidRPr="00E847AB">
              <w:rPr>
                <w:sz w:val="20"/>
              </w:rPr>
              <w:t>Submission date</w:t>
            </w:r>
          </w:p>
        </w:tc>
        <w:tc>
          <w:tcPr>
            <w:tcW w:w="1921" w:type="dxa"/>
            <w:tcBorders>
              <w:top w:val="single" w:sz="4" w:space="0" w:color="auto"/>
              <w:left w:val="single" w:sz="4" w:space="0" w:color="auto"/>
              <w:bottom w:val="single" w:sz="4" w:space="0" w:color="auto"/>
              <w:right w:val="single" w:sz="4" w:space="0" w:color="auto"/>
            </w:tcBorders>
          </w:tcPr>
          <w:p w14:paraId="35835D93" w14:textId="77777777" w:rsidR="00006FAB" w:rsidRPr="00E847AB" w:rsidRDefault="00006FAB" w:rsidP="00006FAB">
            <w:pPr>
              <w:ind w:left="0" w:right="0"/>
              <w:rPr>
                <w:sz w:val="20"/>
              </w:rPr>
            </w:pPr>
            <w:r w:rsidRPr="00E847AB">
              <w:rPr>
                <w:sz w:val="20"/>
              </w:rPr>
              <w:t>Status</w:t>
            </w:r>
          </w:p>
        </w:tc>
        <w:tc>
          <w:tcPr>
            <w:tcW w:w="3780" w:type="dxa"/>
            <w:tcBorders>
              <w:top w:val="single" w:sz="4" w:space="0" w:color="auto"/>
              <w:left w:val="single" w:sz="4" w:space="0" w:color="auto"/>
              <w:bottom w:val="single" w:sz="4" w:space="0" w:color="auto"/>
              <w:right w:val="single" w:sz="4" w:space="0" w:color="auto"/>
            </w:tcBorders>
          </w:tcPr>
          <w:p w14:paraId="0BA9ABE5" w14:textId="77777777" w:rsidR="00006FAB" w:rsidRPr="00E847AB" w:rsidRDefault="00006FAB" w:rsidP="00006FAB">
            <w:pPr>
              <w:ind w:left="0" w:right="0"/>
              <w:rPr>
                <w:sz w:val="20"/>
              </w:rPr>
            </w:pPr>
            <w:r w:rsidRPr="00E847AB">
              <w:rPr>
                <w:sz w:val="20"/>
              </w:rPr>
              <w:t>Approved indications</w:t>
            </w:r>
          </w:p>
        </w:tc>
      </w:tr>
      <w:tr w:rsidR="00DF6926" w:rsidRPr="00836794" w14:paraId="74425F7A" w14:textId="77777777" w:rsidTr="00E847AB">
        <w:tc>
          <w:tcPr>
            <w:tcW w:w="1435" w:type="dxa"/>
            <w:tcBorders>
              <w:top w:val="single" w:sz="4" w:space="0" w:color="auto"/>
            </w:tcBorders>
          </w:tcPr>
          <w:p w14:paraId="750A1725" w14:textId="0085D19D" w:rsidR="00006FAB" w:rsidRPr="00E847AB" w:rsidRDefault="00DF6926" w:rsidP="00006FAB">
            <w:pPr>
              <w:ind w:left="0" w:right="0"/>
              <w:rPr>
                <w:sz w:val="20"/>
              </w:rPr>
            </w:pPr>
            <w:r w:rsidRPr="00E847AB">
              <w:rPr>
                <w:sz w:val="20"/>
              </w:rPr>
              <w:t>E</w:t>
            </w:r>
            <w:r w:rsidR="00730CCF" w:rsidRPr="00E847AB">
              <w:rPr>
                <w:sz w:val="20"/>
              </w:rPr>
              <w:t xml:space="preserve">uropean </w:t>
            </w:r>
            <w:r w:rsidRPr="00E847AB">
              <w:rPr>
                <w:sz w:val="20"/>
              </w:rPr>
              <w:t>U</w:t>
            </w:r>
            <w:r w:rsidR="00836A9F" w:rsidRPr="00E847AB">
              <w:rPr>
                <w:sz w:val="20"/>
              </w:rPr>
              <w:t>nion</w:t>
            </w:r>
          </w:p>
        </w:tc>
        <w:tc>
          <w:tcPr>
            <w:tcW w:w="1679" w:type="dxa"/>
            <w:tcBorders>
              <w:top w:val="single" w:sz="4" w:space="0" w:color="auto"/>
            </w:tcBorders>
          </w:tcPr>
          <w:p w14:paraId="1F26E346" w14:textId="08757FDB" w:rsidR="00006FAB" w:rsidRPr="00E847AB" w:rsidRDefault="00DF6926" w:rsidP="00006FAB">
            <w:pPr>
              <w:ind w:left="0" w:right="0"/>
              <w:rPr>
                <w:sz w:val="20"/>
              </w:rPr>
            </w:pPr>
            <w:r w:rsidRPr="00E847AB">
              <w:rPr>
                <w:sz w:val="20"/>
              </w:rPr>
              <w:t>26 April 2019</w:t>
            </w:r>
          </w:p>
        </w:tc>
        <w:tc>
          <w:tcPr>
            <w:tcW w:w="1921" w:type="dxa"/>
            <w:tcBorders>
              <w:top w:val="single" w:sz="4" w:space="0" w:color="auto"/>
            </w:tcBorders>
          </w:tcPr>
          <w:p w14:paraId="31E9BF95" w14:textId="3FF305DE" w:rsidR="00006FAB" w:rsidRPr="00E847AB" w:rsidRDefault="00006FAB" w:rsidP="00006FAB">
            <w:pPr>
              <w:ind w:left="0" w:right="0"/>
              <w:rPr>
                <w:sz w:val="20"/>
              </w:rPr>
            </w:pPr>
            <w:r w:rsidRPr="00E847AB">
              <w:rPr>
                <w:sz w:val="20"/>
              </w:rPr>
              <w:t xml:space="preserve">Approved on </w:t>
            </w:r>
            <w:r w:rsidR="00DF6926" w:rsidRPr="00E847AB">
              <w:rPr>
                <w:sz w:val="20"/>
              </w:rPr>
              <w:t>3</w:t>
            </w:r>
            <w:r w:rsidR="007D192D">
              <w:rPr>
                <w:sz w:val="20"/>
              </w:rPr>
              <w:t> </w:t>
            </w:r>
            <w:r w:rsidR="00DF6926" w:rsidRPr="00E847AB">
              <w:rPr>
                <w:sz w:val="20"/>
              </w:rPr>
              <w:t>April 2020</w:t>
            </w:r>
          </w:p>
        </w:tc>
        <w:tc>
          <w:tcPr>
            <w:tcW w:w="3780" w:type="dxa"/>
            <w:tcBorders>
              <w:top w:val="single" w:sz="4" w:space="0" w:color="auto"/>
            </w:tcBorders>
          </w:tcPr>
          <w:p w14:paraId="2F169117" w14:textId="7BB3D036" w:rsidR="00DF6926" w:rsidRPr="00E847AB" w:rsidRDefault="00DF6926" w:rsidP="00DF6926">
            <w:pPr>
              <w:ind w:left="0"/>
              <w:rPr>
                <w:i/>
                <w:iCs/>
                <w:sz w:val="20"/>
              </w:rPr>
            </w:pPr>
            <w:r w:rsidRPr="00E847AB">
              <w:rPr>
                <w:i/>
                <w:iCs/>
                <w:sz w:val="20"/>
              </w:rPr>
              <w:t>Rybelsus is indicated for the treatment of adults with insufficiently controlled type</w:t>
            </w:r>
            <w:r w:rsidR="00836A9F" w:rsidRPr="00E847AB">
              <w:rPr>
                <w:i/>
                <w:iCs/>
                <w:sz w:val="20"/>
              </w:rPr>
              <w:t> </w:t>
            </w:r>
            <w:r w:rsidRPr="00E847AB">
              <w:rPr>
                <w:i/>
                <w:iCs/>
                <w:sz w:val="20"/>
              </w:rPr>
              <w:t>2 diabetes mellitus to improve glycaemic control as an adjunct to diet and exercise</w:t>
            </w:r>
          </w:p>
          <w:p w14:paraId="2C54A19B" w14:textId="2202C6E0" w:rsidR="00DF6926" w:rsidRPr="00E847AB" w:rsidRDefault="00DF6926" w:rsidP="00DF6926">
            <w:pPr>
              <w:pStyle w:val="ListBullet"/>
              <w:rPr>
                <w:i/>
                <w:iCs/>
                <w:sz w:val="20"/>
              </w:rPr>
            </w:pPr>
            <w:r w:rsidRPr="00E847AB">
              <w:rPr>
                <w:i/>
                <w:iCs/>
                <w:sz w:val="20"/>
              </w:rPr>
              <w:t>as monotherapy when metformin is considered inappropriate due to intolerance or contraindications</w:t>
            </w:r>
          </w:p>
          <w:p w14:paraId="6F679815" w14:textId="578BB788" w:rsidR="00006FAB" w:rsidRPr="00E847AB" w:rsidRDefault="00DF6926" w:rsidP="00DF6926">
            <w:pPr>
              <w:pStyle w:val="ListBullet"/>
              <w:rPr>
                <w:i/>
                <w:iCs/>
                <w:sz w:val="20"/>
              </w:rPr>
            </w:pPr>
            <w:r w:rsidRPr="00E847AB">
              <w:rPr>
                <w:i/>
                <w:iCs/>
                <w:sz w:val="20"/>
              </w:rPr>
              <w:t>in combination with other medicinal products</w:t>
            </w:r>
          </w:p>
        </w:tc>
      </w:tr>
      <w:tr w:rsidR="00DF6926" w:rsidRPr="00836794" w14:paraId="5A3226C8" w14:textId="77777777" w:rsidTr="00E847AB">
        <w:tc>
          <w:tcPr>
            <w:tcW w:w="1435" w:type="dxa"/>
          </w:tcPr>
          <w:p w14:paraId="3155C348" w14:textId="1B8497FC" w:rsidR="00006FAB" w:rsidRPr="00E847AB" w:rsidRDefault="00DF6926" w:rsidP="00DF6926">
            <w:pPr>
              <w:ind w:left="0"/>
              <w:rPr>
                <w:sz w:val="20"/>
              </w:rPr>
            </w:pPr>
            <w:r w:rsidRPr="00E847AB">
              <w:rPr>
                <w:sz w:val="20"/>
              </w:rPr>
              <w:t>United States of America</w:t>
            </w:r>
          </w:p>
        </w:tc>
        <w:tc>
          <w:tcPr>
            <w:tcW w:w="1679" w:type="dxa"/>
          </w:tcPr>
          <w:p w14:paraId="423173A7" w14:textId="3C52A676" w:rsidR="00006FAB" w:rsidRPr="00E847AB" w:rsidRDefault="00DF6926" w:rsidP="00006FAB">
            <w:pPr>
              <w:ind w:left="0" w:right="0"/>
              <w:rPr>
                <w:sz w:val="20"/>
              </w:rPr>
            </w:pPr>
            <w:r w:rsidRPr="00E847AB">
              <w:rPr>
                <w:sz w:val="20"/>
              </w:rPr>
              <w:t>20 March 2019</w:t>
            </w:r>
          </w:p>
        </w:tc>
        <w:tc>
          <w:tcPr>
            <w:tcW w:w="1921" w:type="dxa"/>
          </w:tcPr>
          <w:p w14:paraId="7E2EA6FB" w14:textId="6934E6F2" w:rsidR="00006FAB" w:rsidRPr="00E847AB" w:rsidRDefault="00DF6926" w:rsidP="00006FAB">
            <w:pPr>
              <w:ind w:left="0" w:right="0"/>
              <w:rPr>
                <w:sz w:val="20"/>
              </w:rPr>
            </w:pPr>
            <w:r w:rsidRPr="00E847AB">
              <w:rPr>
                <w:sz w:val="20"/>
              </w:rPr>
              <w:t>Approved on 20</w:t>
            </w:r>
            <w:r w:rsidR="007D192D">
              <w:rPr>
                <w:sz w:val="20"/>
              </w:rPr>
              <w:t> </w:t>
            </w:r>
            <w:r w:rsidRPr="00E847AB">
              <w:rPr>
                <w:sz w:val="20"/>
              </w:rPr>
              <w:t>September 2019</w:t>
            </w:r>
          </w:p>
        </w:tc>
        <w:tc>
          <w:tcPr>
            <w:tcW w:w="3780" w:type="dxa"/>
          </w:tcPr>
          <w:p w14:paraId="5EC8D8CD" w14:textId="07E4CBC7" w:rsidR="00006FAB" w:rsidRPr="00E847AB" w:rsidRDefault="007013B0" w:rsidP="00DF6926">
            <w:pPr>
              <w:ind w:left="0"/>
              <w:rPr>
                <w:i/>
                <w:iCs/>
                <w:sz w:val="20"/>
              </w:rPr>
            </w:pPr>
            <w:r w:rsidRPr="00E847AB">
              <w:rPr>
                <w:i/>
                <w:iCs/>
                <w:sz w:val="20"/>
              </w:rPr>
              <w:t>Rybelsus</w:t>
            </w:r>
            <w:r w:rsidR="00DF6926" w:rsidRPr="00E847AB">
              <w:rPr>
                <w:i/>
                <w:iCs/>
                <w:sz w:val="20"/>
              </w:rPr>
              <w:t xml:space="preserve"> is a glucagon-like peptide-1 (GLP-1) receptor agonist indicated as an adjunct to diet and exercise to improve </w:t>
            </w:r>
            <w:proofErr w:type="spellStart"/>
            <w:r w:rsidR="00DF6926" w:rsidRPr="00E847AB">
              <w:rPr>
                <w:i/>
                <w:iCs/>
                <w:sz w:val="20"/>
              </w:rPr>
              <w:t>glycemic</w:t>
            </w:r>
            <w:proofErr w:type="spellEnd"/>
            <w:r w:rsidR="00DF6926" w:rsidRPr="00E847AB">
              <w:rPr>
                <w:i/>
                <w:iCs/>
                <w:sz w:val="20"/>
              </w:rPr>
              <w:t xml:space="preserve"> control in adults with type 2 diabetes mellitus.</w:t>
            </w:r>
          </w:p>
        </w:tc>
      </w:tr>
      <w:tr w:rsidR="00DF6926" w:rsidRPr="00836794" w14:paraId="148136A5" w14:textId="77777777" w:rsidTr="00E847AB">
        <w:tc>
          <w:tcPr>
            <w:tcW w:w="1435" w:type="dxa"/>
          </w:tcPr>
          <w:p w14:paraId="3C25E706" w14:textId="08CB3FCE" w:rsidR="00DF6926" w:rsidRPr="00E847AB" w:rsidRDefault="00DF6926" w:rsidP="00DF6926">
            <w:pPr>
              <w:ind w:left="0"/>
              <w:rPr>
                <w:sz w:val="20"/>
              </w:rPr>
            </w:pPr>
            <w:r w:rsidRPr="00E847AB">
              <w:rPr>
                <w:sz w:val="20"/>
              </w:rPr>
              <w:lastRenderedPageBreak/>
              <w:t>Canada</w:t>
            </w:r>
          </w:p>
        </w:tc>
        <w:tc>
          <w:tcPr>
            <w:tcW w:w="1679" w:type="dxa"/>
          </w:tcPr>
          <w:p w14:paraId="151CA986" w14:textId="390D254B" w:rsidR="00DF6926" w:rsidRPr="00E847AB" w:rsidRDefault="00DF6926" w:rsidP="00DF6926">
            <w:pPr>
              <w:ind w:left="0"/>
              <w:rPr>
                <w:sz w:val="20"/>
              </w:rPr>
            </w:pPr>
            <w:r w:rsidRPr="00E847AB">
              <w:rPr>
                <w:sz w:val="20"/>
              </w:rPr>
              <w:t>17 April 2019</w:t>
            </w:r>
          </w:p>
        </w:tc>
        <w:tc>
          <w:tcPr>
            <w:tcW w:w="1921" w:type="dxa"/>
          </w:tcPr>
          <w:p w14:paraId="07A03314" w14:textId="2D8CAED4" w:rsidR="00DF6926" w:rsidRPr="00E847AB" w:rsidRDefault="00DF6926" w:rsidP="00DF6926">
            <w:pPr>
              <w:ind w:left="0"/>
              <w:rPr>
                <w:sz w:val="20"/>
              </w:rPr>
            </w:pPr>
            <w:r w:rsidRPr="00E847AB">
              <w:rPr>
                <w:sz w:val="20"/>
              </w:rPr>
              <w:t>Approved on 30</w:t>
            </w:r>
            <w:r w:rsidR="007D192D">
              <w:rPr>
                <w:sz w:val="20"/>
              </w:rPr>
              <w:t> </w:t>
            </w:r>
            <w:r w:rsidRPr="00E847AB">
              <w:rPr>
                <w:sz w:val="20"/>
              </w:rPr>
              <w:t>March 2020</w:t>
            </w:r>
          </w:p>
        </w:tc>
        <w:tc>
          <w:tcPr>
            <w:tcW w:w="3780" w:type="dxa"/>
          </w:tcPr>
          <w:p w14:paraId="2EEA2AB5" w14:textId="5DC2A9DF" w:rsidR="00DF6926" w:rsidRPr="00E847AB" w:rsidRDefault="007013B0" w:rsidP="00DF6926">
            <w:pPr>
              <w:ind w:left="0"/>
              <w:rPr>
                <w:i/>
                <w:iCs/>
                <w:sz w:val="20"/>
              </w:rPr>
            </w:pPr>
            <w:r w:rsidRPr="00E847AB">
              <w:rPr>
                <w:i/>
                <w:iCs/>
                <w:sz w:val="20"/>
              </w:rPr>
              <w:t>Rybelsus</w:t>
            </w:r>
            <w:r w:rsidR="00DF6926" w:rsidRPr="00E847AB">
              <w:rPr>
                <w:i/>
                <w:iCs/>
                <w:sz w:val="20"/>
              </w:rPr>
              <w:t xml:space="preserve"> is indicated as an adjunct to diet and exercise to improve </w:t>
            </w:r>
            <w:proofErr w:type="spellStart"/>
            <w:r w:rsidR="00DF6926" w:rsidRPr="00E847AB">
              <w:rPr>
                <w:i/>
                <w:iCs/>
                <w:sz w:val="20"/>
              </w:rPr>
              <w:t>glycemic</w:t>
            </w:r>
            <w:proofErr w:type="spellEnd"/>
            <w:r w:rsidR="00DF6926" w:rsidRPr="00E847AB">
              <w:rPr>
                <w:i/>
                <w:iCs/>
                <w:sz w:val="20"/>
              </w:rPr>
              <w:t xml:space="preserve"> control in adults with type 2 diabetes mellitus:</w:t>
            </w:r>
          </w:p>
          <w:p w14:paraId="746508EC" w14:textId="54953412" w:rsidR="00DF6926" w:rsidRPr="00E847AB" w:rsidRDefault="00DF6926" w:rsidP="00DF6926">
            <w:pPr>
              <w:pStyle w:val="ListBullet"/>
              <w:rPr>
                <w:i/>
                <w:iCs/>
                <w:sz w:val="20"/>
              </w:rPr>
            </w:pPr>
            <w:r w:rsidRPr="00E847AB">
              <w:rPr>
                <w:i/>
                <w:iCs/>
                <w:sz w:val="20"/>
              </w:rPr>
              <w:t>as monotherapy when metformin is considered inappropriate due to intolerance or contraindications</w:t>
            </w:r>
          </w:p>
          <w:p w14:paraId="27D43EFD" w14:textId="7E253A1E" w:rsidR="00DF6926" w:rsidRPr="00E847AB" w:rsidRDefault="00DF6926" w:rsidP="00DF6926">
            <w:pPr>
              <w:pStyle w:val="ListBullet"/>
              <w:rPr>
                <w:sz w:val="20"/>
              </w:rPr>
            </w:pPr>
            <w:r w:rsidRPr="00E847AB">
              <w:rPr>
                <w:i/>
                <w:iCs/>
                <w:sz w:val="20"/>
              </w:rPr>
              <w:t xml:space="preserve">in combination with other medicinal products for the treatment of diabetes (see </w:t>
            </w:r>
            <w:r w:rsidR="004A6C15" w:rsidRPr="00E847AB">
              <w:rPr>
                <w:i/>
                <w:iCs/>
                <w:sz w:val="20"/>
              </w:rPr>
              <w:t xml:space="preserve">Clinical trials </w:t>
            </w:r>
            <w:r w:rsidRPr="00E847AB">
              <w:rPr>
                <w:i/>
                <w:iCs/>
                <w:sz w:val="20"/>
              </w:rPr>
              <w:t>for patient populations and drug combinations tested).</w:t>
            </w:r>
          </w:p>
        </w:tc>
      </w:tr>
      <w:tr w:rsidR="00DF6926" w:rsidRPr="00836794" w14:paraId="59549C73" w14:textId="77777777" w:rsidTr="00E847AB">
        <w:trPr>
          <w:cantSplit/>
        </w:trPr>
        <w:tc>
          <w:tcPr>
            <w:tcW w:w="1435" w:type="dxa"/>
          </w:tcPr>
          <w:p w14:paraId="15189C00" w14:textId="74CF9AD6" w:rsidR="00DF6926" w:rsidRPr="00E847AB" w:rsidRDefault="00DF6926" w:rsidP="00BD6E5A">
            <w:pPr>
              <w:ind w:left="0"/>
              <w:rPr>
                <w:sz w:val="20"/>
              </w:rPr>
            </w:pPr>
            <w:r w:rsidRPr="00E847AB">
              <w:rPr>
                <w:sz w:val="20"/>
              </w:rPr>
              <w:t>Singapore</w:t>
            </w:r>
          </w:p>
        </w:tc>
        <w:tc>
          <w:tcPr>
            <w:tcW w:w="1679" w:type="dxa"/>
          </w:tcPr>
          <w:p w14:paraId="6C25786D" w14:textId="31C6A757" w:rsidR="00DF6926" w:rsidRPr="00E847AB" w:rsidRDefault="00DF6926" w:rsidP="00DF6926">
            <w:pPr>
              <w:ind w:left="0"/>
              <w:rPr>
                <w:sz w:val="20"/>
              </w:rPr>
            </w:pPr>
            <w:r w:rsidRPr="00E847AB">
              <w:rPr>
                <w:sz w:val="20"/>
              </w:rPr>
              <w:t>17 September 2020</w:t>
            </w:r>
          </w:p>
        </w:tc>
        <w:tc>
          <w:tcPr>
            <w:tcW w:w="1921" w:type="dxa"/>
          </w:tcPr>
          <w:p w14:paraId="7489D1EC" w14:textId="091BB77D" w:rsidR="00DF6926" w:rsidRPr="00E847AB" w:rsidRDefault="00DF6926" w:rsidP="00DF6926">
            <w:pPr>
              <w:ind w:left="0"/>
              <w:rPr>
                <w:sz w:val="20"/>
              </w:rPr>
            </w:pPr>
            <w:r w:rsidRPr="00E847AB">
              <w:rPr>
                <w:sz w:val="20"/>
              </w:rPr>
              <w:t>Approved on 1</w:t>
            </w:r>
            <w:r w:rsidR="005D24BC">
              <w:rPr>
                <w:sz w:val="20"/>
              </w:rPr>
              <w:t> </w:t>
            </w:r>
            <w:r w:rsidRPr="00E847AB">
              <w:rPr>
                <w:sz w:val="20"/>
              </w:rPr>
              <w:t>June 2021</w:t>
            </w:r>
          </w:p>
        </w:tc>
        <w:tc>
          <w:tcPr>
            <w:tcW w:w="3780" w:type="dxa"/>
          </w:tcPr>
          <w:p w14:paraId="0EA4AFFC" w14:textId="46424FC3" w:rsidR="00DF6926" w:rsidRPr="00E847AB" w:rsidRDefault="007013B0" w:rsidP="00DF6926">
            <w:pPr>
              <w:ind w:left="0"/>
              <w:rPr>
                <w:i/>
                <w:iCs/>
                <w:sz w:val="20"/>
              </w:rPr>
            </w:pPr>
            <w:r w:rsidRPr="00E847AB">
              <w:rPr>
                <w:i/>
                <w:iCs/>
                <w:sz w:val="20"/>
              </w:rPr>
              <w:t>Rybelsus</w:t>
            </w:r>
            <w:r w:rsidR="00DF6926" w:rsidRPr="00E847AB">
              <w:rPr>
                <w:i/>
                <w:iCs/>
                <w:sz w:val="20"/>
              </w:rPr>
              <w:t xml:space="preserve"> is indicated for the treatment of adults with insufficiently controlled type 2 diabetes mellitus to improve glycaemic control as an adjunct to diet and exercise</w:t>
            </w:r>
          </w:p>
          <w:p w14:paraId="1F343DDD" w14:textId="1432D926" w:rsidR="00DF6926" w:rsidRPr="00E847AB" w:rsidRDefault="00DF6926" w:rsidP="00DF6926">
            <w:pPr>
              <w:pStyle w:val="ListBullet"/>
              <w:rPr>
                <w:i/>
                <w:iCs/>
                <w:sz w:val="20"/>
              </w:rPr>
            </w:pPr>
            <w:r w:rsidRPr="00E847AB">
              <w:rPr>
                <w:i/>
                <w:iCs/>
                <w:sz w:val="20"/>
              </w:rPr>
              <w:t>as monotherapy when metformin is considered inappropriate due to intolerance or contraindications</w:t>
            </w:r>
          </w:p>
          <w:p w14:paraId="66475354" w14:textId="78C8EF1E" w:rsidR="00DF6926" w:rsidRPr="00E847AB" w:rsidRDefault="00DF6926" w:rsidP="00DF6926">
            <w:pPr>
              <w:pStyle w:val="ListBullet"/>
              <w:rPr>
                <w:sz w:val="20"/>
              </w:rPr>
            </w:pPr>
            <w:r w:rsidRPr="00E847AB">
              <w:rPr>
                <w:i/>
                <w:iCs/>
                <w:sz w:val="20"/>
              </w:rPr>
              <w:t>in combination with other medicinal products for the treatment of diabetes.</w:t>
            </w:r>
          </w:p>
        </w:tc>
      </w:tr>
      <w:tr w:rsidR="00DF6926" w:rsidRPr="00836794" w14:paraId="45C7E7E2" w14:textId="77777777" w:rsidTr="00E847AB">
        <w:tc>
          <w:tcPr>
            <w:tcW w:w="1435" w:type="dxa"/>
          </w:tcPr>
          <w:p w14:paraId="4051E692" w14:textId="2B364A42" w:rsidR="00DF6926" w:rsidRPr="00E847AB" w:rsidRDefault="00DF6926" w:rsidP="00DF6926">
            <w:pPr>
              <w:ind w:left="0"/>
              <w:rPr>
                <w:sz w:val="20"/>
              </w:rPr>
            </w:pPr>
            <w:r w:rsidRPr="00E847AB">
              <w:rPr>
                <w:sz w:val="20"/>
              </w:rPr>
              <w:t>Switzerland</w:t>
            </w:r>
          </w:p>
        </w:tc>
        <w:tc>
          <w:tcPr>
            <w:tcW w:w="1679" w:type="dxa"/>
          </w:tcPr>
          <w:p w14:paraId="210745E2" w14:textId="5088A1C4" w:rsidR="00DF6926" w:rsidRPr="00E847AB" w:rsidRDefault="00DF6926" w:rsidP="00DF6926">
            <w:pPr>
              <w:ind w:left="0"/>
              <w:rPr>
                <w:sz w:val="20"/>
              </w:rPr>
            </w:pPr>
            <w:r w:rsidRPr="00E847AB">
              <w:rPr>
                <w:sz w:val="20"/>
              </w:rPr>
              <w:t>15 May 2019</w:t>
            </w:r>
          </w:p>
        </w:tc>
        <w:tc>
          <w:tcPr>
            <w:tcW w:w="1921" w:type="dxa"/>
          </w:tcPr>
          <w:p w14:paraId="2F10B696" w14:textId="6C812F40" w:rsidR="00DF6926" w:rsidRPr="00E847AB" w:rsidRDefault="00DF6926" w:rsidP="00DF6926">
            <w:pPr>
              <w:ind w:left="0"/>
              <w:rPr>
                <w:sz w:val="20"/>
              </w:rPr>
            </w:pPr>
            <w:r w:rsidRPr="00E847AB">
              <w:rPr>
                <w:sz w:val="20"/>
              </w:rPr>
              <w:t>Approved on 24</w:t>
            </w:r>
            <w:r w:rsidR="007D192D">
              <w:rPr>
                <w:sz w:val="20"/>
              </w:rPr>
              <w:t> </w:t>
            </w:r>
            <w:r w:rsidRPr="00E847AB">
              <w:rPr>
                <w:sz w:val="20"/>
              </w:rPr>
              <w:t>March 2020</w:t>
            </w:r>
          </w:p>
        </w:tc>
        <w:tc>
          <w:tcPr>
            <w:tcW w:w="3780" w:type="dxa"/>
          </w:tcPr>
          <w:p w14:paraId="2602690B" w14:textId="57A1CA08" w:rsidR="00DF6926" w:rsidRPr="00E847AB" w:rsidRDefault="00DF6926" w:rsidP="00DF6926">
            <w:pPr>
              <w:ind w:left="0"/>
              <w:rPr>
                <w:i/>
                <w:iCs/>
                <w:sz w:val="20"/>
              </w:rPr>
            </w:pPr>
            <w:r w:rsidRPr="00E847AB">
              <w:rPr>
                <w:i/>
                <w:iCs/>
                <w:sz w:val="20"/>
              </w:rPr>
              <w:t>Rybelsus is used in addition to diet and exercise to treat adults with inadequately controlled type 2 diabetes mellitus:</w:t>
            </w:r>
          </w:p>
          <w:p w14:paraId="08D1E42A" w14:textId="5B1B1A27" w:rsidR="00DF6926" w:rsidRPr="00E847AB" w:rsidRDefault="00DF6926" w:rsidP="00DF6926">
            <w:pPr>
              <w:pStyle w:val="ListBullet"/>
              <w:rPr>
                <w:i/>
                <w:iCs/>
                <w:sz w:val="20"/>
              </w:rPr>
            </w:pPr>
            <w:r w:rsidRPr="00E847AB">
              <w:rPr>
                <w:i/>
                <w:iCs/>
                <w:sz w:val="20"/>
              </w:rPr>
              <w:t xml:space="preserve">as monotherapy in case of contraindication or intolerance of metformin (see </w:t>
            </w:r>
            <w:r w:rsidR="004A6C15" w:rsidRPr="00E847AB">
              <w:rPr>
                <w:i/>
                <w:iCs/>
                <w:sz w:val="20"/>
              </w:rPr>
              <w:t xml:space="preserve">Section </w:t>
            </w:r>
            <w:r w:rsidRPr="00E847AB">
              <w:rPr>
                <w:i/>
                <w:iCs/>
                <w:sz w:val="20"/>
              </w:rPr>
              <w:t>Properties/</w:t>
            </w:r>
            <w:r w:rsidR="004A6C15" w:rsidRPr="00E847AB">
              <w:rPr>
                <w:i/>
                <w:iCs/>
                <w:sz w:val="20"/>
              </w:rPr>
              <w:t>effects</w:t>
            </w:r>
            <w:r w:rsidRPr="00E847AB">
              <w:rPr>
                <w:i/>
                <w:iCs/>
                <w:sz w:val="20"/>
              </w:rPr>
              <w:t>).</w:t>
            </w:r>
          </w:p>
          <w:p w14:paraId="2F3956E9" w14:textId="5C38397F" w:rsidR="00DF6926" w:rsidRPr="00E847AB" w:rsidRDefault="00DF6926" w:rsidP="00DF6926">
            <w:pPr>
              <w:pStyle w:val="ListBullet"/>
              <w:rPr>
                <w:i/>
                <w:iCs/>
                <w:sz w:val="20"/>
              </w:rPr>
            </w:pPr>
            <w:r w:rsidRPr="00E847AB">
              <w:rPr>
                <w:i/>
                <w:iCs/>
                <w:sz w:val="20"/>
              </w:rPr>
              <w:t xml:space="preserve">in combination with other blood glucose-lowering medicines. See </w:t>
            </w:r>
            <w:r w:rsidR="004A6C15" w:rsidRPr="00E847AB">
              <w:rPr>
                <w:i/>
                <w:iCs/>
                <w:sz w:val="20"/>
              </w:rPr>
              <w:t xml:space="preserve">Section </w:t>
            </w:r>
            <w:r w:rsidRPr="00E847AB">
              <w:rPr>
                <w:i/>
                <w:iCs/>
                <w:sz w:val="20"/>
              </w:rPr>
              <w:t>Clinical efficacy for results on the combinations examined in clinical studies and on cardiovascular safety.</w:t>
            </w:r>
          </w:p>
        </w:tc>
      </w:tr>
    </w:tbl>
    <w:p w14:paraId="5106BF97" w14:textId="77777777" w:rsidR="008E7846" w:rsidRPr="00836794" w:rsidRDefault="008E7846" w:rsidP="00940A89">
      <w:pPr>
        <w:pStyle w:val="Heading3"/>
      </w:pPr>
      <w:bookmarkStart w:id="24" w:name="_Toc117791816"/>
      <w:r w:rsidRPr="00836794">
        <w:t>Product Information</w:t>
      </w:r>
      <w:bookmarkEnd w:id="21"/>
      <w:bookmarkEnd w:id="22"/>
      <w:bookmarkEnd w:id="24"/>
    </w:p>
    <w:p w14:paraId="0AF0E424" w14:textId="0B99ACB3" w:rsidR="00332715" w:rsidRPr="00836794" w:rsidRDefault="00332715" w:rsidP="00332715">
      <w:bookmarkStart w:id="25" w:name="_Toc504480011"/>
      <w:bookmarkStart w:id="26" w:name="_Toc247691506"/>
      <w:bookmarkStart w:id="27" w:name="_Toc314842487"/>
      <w:r w:rsidRPr="00836794">
        <w:t xml:space="preserve">The Product Information (PI) approved with the submission which is described in this AusPAR can be found as Attachment 1. For the most recent PI, please refer to the TGA </w:t>
      </w:r>
      <w:hyperlink r:id="rId15" w:history="1">
        <w:r w:rsidRPr="00836794">
          <w:rPr>
            <w:rStyle w:val="Hyperlink"/>
          </w:rPr>
          <w:t>PI/CMI search facility</w:t>
        </w:r>
        <w:r w:rsidRPr="00836794">
          <w:rPr>
            <w:rStyle w:val="Hyperlink"/>
            <w:color w:val="auto"/>
            <w:u w:val="none"/>
          </w:rPr>
          <w:t>.</w:t>
        </w:r>
      </w:hyperlink>
    </w:p>
    <w:p w14:paraId="2E149A3B" w14:textId="77777777" w:rsidR="00500337" w:rsidRPr="00836794" w:rsidRDefault="00500337" w:rsidP="00500337">
      <w:pPr>
        <w:pStyle w:val="Heading2"/>
      </w:pPr>
      <w:bookmarkStart w:id="28" w:name="_Toc117791817"/>
      <w:r w:rsidRPr="00836794">
        <w:t>Registration timeline</w:t>
      </w:r>
      <w:bookmarkEnd w:id="25"/>
      <w:bookmarkEnd w:id="28"/>
    </w:p>
    <w:p w14:paraId="676D9183" w14:textId="77777777" w:rsidR="0074163C" w:rsidRPr="00836794" w:rsidRDefault="0074163C" w:rsidP="0074163C">
      <w:r w:rsidRPr="00836794">
        <w:t xml:space="preserve">The following table captures the key steps and dates for this </w:t>
      </w:r>
      <w:r w:rsidR="00804D99" w:rsidRPr="00836794">
        <w:t>submission</w:t>
      </w:r>
      <w:r w:rsidRPr="00836794">
        <w:t>.</w:t>
      </w:r>
    </w:p>
    <w:p w14:paraId="26606265" w14:textId="4C451506" w:rsidR="0074163C" w:rsidRPr="00703318" w:rsidRDefault="0074163C" w:rsidP="00703318">
      <w:pPr>
        <w:pStyle w:val="TableTitle"/>
      </w:pPr>
      <w:r w:rsidRPr="00703318">
        <w:lastRenderedPageBreak/>
        <w:t xml:space="preserve">Table </w:t>
      </w:r>
      <w:fldSimple w:instr=" SEQ Table \* ARABIC ">
        <w:r w:rsidR="00E5082D">
          <w:rPr>
            <w:noProof/>
          </w:rPr>
          <w:t>2</w:t>
        </w:r>
      </w:fldSimple>
      <w:r w:rsidRPr="00703318">
        <w:t xml:space="preserve">: Timeline for Submission </w:t>
      </w:r>
      <w:r w:rsidR="00BD6E5A" w:rsidRPr="00703318">
        <w:t>PM-2020-03921-1-5</w:t>
      </w:r>
    </w:p>
    <w:tbl>
      <w:tblPr>
        <w:tblStyle w:val="TableTGAblue"/>
        <w:tblW w:w="0" w:type="auto"/>
        <w:tblLook w:val="04A0" w:firstRow="1" w:lastRow="0" w:firstColumn="1" w:lastColumn="0" w:noHBand="0" w:noVBand="1"/>
      </w:tblPr>
      <w:tblGrid>
        <w:gridCol w:w="4265"/>
        <w:gridCol w:w="4229"/>
      </w:tblGrid>
      <w:tr w:rsidR="0074163C" w:rsidRPr="00836794" w14:paraId="2B16C55D" w14:textId="77777777" w:rsidTr="006C699E">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0358F57B" w14:textId="77777777" w:rsidR="0074163C" w:rsidRPr="00836794" w:rsidRDefault="0074163C" w:rsidP="009E5A87">
            <w:r w:rsidRPr="00836794">
              <w:t>Description</w:t>
            </w:r>
          </w:p>
        </w:tc>
        <w:tc>
          <w:tcPr>
            <w:tcW w:w="4229" w:type="dxa"/>
            <w:tcBorders>
              <w:top w:val="single" w:sz="4" w:space="0" w:color="auto"/>
              <w:left w:val="single" w:sz="4" w:space="0" w:color="auto"/>
              <w:bottom w:val="single" w:sz="4" w:space="0" w:color="auto"/>
              <w:right w:val="single" w:sz="4" w:space="0" w:color="auto"/>
            </w:tcBorders>
          </w:tcPr>
          <w:p w14:paraId="06CE1560" w14:textId="77777777" w:rsidR="0074163C" w:rsidRPr="00836794" w:rsidRDefault="0074163C" w:rsidP="009E5A87">
            <w:r w:rsidRPr="00836794">
              <w:t>Date</w:t>
            </w:r>
          </w:p>
        </w:tc>
      </w:tr>
      <w:tr w:rsidR="006C699E" w:rsidRPr="00836794" w14:paraId="2CC9B647" w14:textId="77777777" w:rsidTr="006C699E">
        <w:tc>
          <w:tcPr>
            <w:tcW w:w="4265" w:type="dxa"/>
            <w:tcBorders>
              <w:top w:val="single" w:sz="4" w:space="0" w:color="auto"/>
            </w:tcBorders>
          </w:tcPr>
          <w:p w14:paraId="239E512F" w14:textId="77777777" w:rsidR="006C699E" w:rsidRPr="00836794" w:rsidRDefault="006C699E" w:rsidP="006C699E">
            <w:r w:rsidRPr="00836794">
              <w:t>Submission dossier accepted and first round evaluation commenced</w:t>
            </w:r>
          </w:p>
        </w:tc>
        <w:tc>
          <w:tcPr>
            <w:tcW w:w="4229" w:type="dxa"/>
          </w:tcPr>
          <w:p w14:paraId="0B9D4E18" w14:textId="77FBE66E" w:rsidR="006C699E" w:rsidRPr="00836794" w:rsidRDefault="006C699E" w:rsidP="006C699E">
            <w:r w:rsidRPr="00836794">
              <w:t>2 November 2020</w:t>
            </w:r>
          </w:p>
        </w:tc>
      </w:tr>
      <w:tr w:rsidR="006C699E" w:rsidRPr="00836794" w14:paraId="37EE6CEB" w14:textId="77777777" w:rsidTr="006C699E">
        <w:tc>
          <w:tcPr>
            <w:tcW w:w="4265" w:type="dxa"/>
          </w:tcPr>
          <w:p w14:paraId="5162872D" w14:textId="77777777" w:rsidR="006C699E" w:rsidRPr="00836794" w:rsidRDefault="006C699E" w:rsidP="006C699E">
            <w:r w:rsidRPr="00836794">
              <w:t>First round evaluation completed</w:t>
            </w:r>
          </w:p>
        </w:tc>
        <w:tc>
          <w:tcPr>
            <w:tcW w:w="4229" w:type="dxa"/>
            <w:tcBorders>
              <w:top w:val="single" w:sz="8" w:space="0" w:color="000000"/>
              <w:left w:val="single" w:sz="8" w:space="0" w:color="000000"/>
              <w:bottom w:val="single" w:sz="8" w:space="0" w:color="000000"/>
              <w:right w:val="single" w:sz="8" w:space="0" w:color="000000"/>
            </w:tcBorders>
          </w:tcPr>
          <w:p w14:paraId="4BE8AAD4" w14:textId="15C4140F" w:rsidR="006C699E" w:rsidRPr="00836794" w:rsidRDefault="006C699E" w:rsidP="006C699E">
            <w:r w:rsidRPr="00836794">
              <w:t>31 March 2021</w:t>
            </w:r>
          </w:p>
        </w:tc>
      </w:tr>
      <w:tr w:rsidR="006C699E" w:rsidRPr="00836794" w14:paraId="54FFA886" w14:textId="77777777" w:rsidTr="006C699E">
        <w:tc>
          <w:tcPr>
            <w:tcW w:w="4265" w:type="dxa"/>
          </w:tcPr>
          <w:p w14:paraId="50D54E69" w14:textId="77777777" w:rsidR="006C699E" w:rsidRPr="00836794" w:rsidRDefault="006C699E" w:rsidP="006C699E">
            <w:r w:rsidRPr="00836794">
              <w:t>Sponsor provides responses on questions raised in first round evaluation</w:t>
            </w:r>
          </w:p>
        </w:tc>
        <w:tc>
          <w:tcPr>
            <w:tcW w:w="4229" w:type="dxa"/>
            <w:tcBorders>
              <w:top w:val="single" w:sz="8" w:space="0" w:color="000000"/>
              <w:left w:val="single" w:sz="8" w:space="0" w:color="000000"/>
              <w:bottom w:val="single" w:sz="8" w:space="0" w:color="000000"/>
              <w:right w:val="single" w:sz="8" w:space="0" w:color="000000"/>
            </w:tcBorders>
          </w:tcPr>
          <w:p w14:paraId="222DE039" w14:textId="1E422DF0" w:rsidR="006C699E" w:rsidRPr="00836794" w:rsidRDefault="006C699E" w:rsidP="006C699E">
            <w:r w:rsidRPr="00836794">
              <w:t>1 June 2021</w:t>
            </w:r>
          </w:p>
        </w:tc>
      </w:tr>
      <w:tr w:rsidR="006C699E" w:rsidRPr="00836794" w14:paraId="0EA04694" w14:textId="77777777" w:rsidTr="006C699E">
        <w:tc>
          <w:tcPr>
            <w:tcW w:w="4265" w:type="dxa"/>
          </w:tcPr>
          <w:p w14:paraId="6EF0F0E6" w14:textId="77777777" w:rsidR="006C699E" w:rsidRPr="00836794" w:rsidRDefault="006C699E" w:rsidP="006C699E">
            <w:r w:rsidRPr="00836794">
              <w:t>Second round evaluation completed</w:t>
            </w:r>
          </w:p>
        </w:tc>
        <w:tc>
          <w:tcPr>
            <w:tcW w:w="4229" w:type="dxa"/>
            <w:tcBorders>
              <w:top w:val="single" w:sz="8" w:space="0" w:color="000000"/>
              <w:left w:val="single" w:sz="8" w:space="0" w:color="000000"/>
              <w:bottom w:val="single" w:sz="8" w:space="0" w:color="000000"/>
              <w:right w:val="single" w:sz="8" w:space="0" w:color="000000"/>
            </w:tcBorders>
          </w:tcPr>
          <w:p w14:paraId="2C5687B0" w14:textId="6BE90349" w:rsidR="006C699E" w:rsidRPr="00836794" w:rsidRDefault="006C699E" w:rsidP="006C699E">
            <w:r w:rsidRPr="00836794">
              <w:t>15 July 2021</w:t>
            </w:r>
          </w:p>
        </w:tc>
      </w:tr>
      <w:tr w:rsidR="006C699E" w:rsidRPr="00836794" w14:paraId="2836905B" w14:textId="77777777" w:rsidTr="006C699E">
        <w:tc>
          <w:tcPr>
            <w:tcW w:w="4265" w:type="dxa"/>
          </w:tcPr>
          <w:p w14:paraId="35C054DD" w14:textId="6A2C08DA" w:rsidR="006C699E" w:rsidRPr="00836794" w:rsidRDefault="006C699E" w:rsidP="006C699E">
            <w:r w:rsidRPr="00836794">
              <w:t>Delegate’s Overall benefit-risk assessment and request for Advisory Committee advice</w:t>
            </w:r>
          </w:p>
        </w:tc>
        <w:tc>
          <w:tcPr>
            <w:tcW w:w="4229" w:type="dxa"/>
            <w:tcBorders>
              <w:top w:val="single" w:sz="8" w:space="0" w:color="000000"/>
              <w:left w:val="single" w:sz="8" w:space="0" w:color="000000"/>
              <w:bottom w:val="single" w:sz="8" w:space="0" w:color="000000"/>
              <w:right w:val="single" w:sz="8" w:space="0" w:color="000000"/>
            </w:tcBorders>
          </w:tcPr>
          <w:p w14:paraId="2E84657F" w14:textId="65300313" w:rsidR="006C699E" w:rsidRPr="00836794" w:rsidRDefault="006C699E" w:rsidP="006C699E">
            <w:r w:rsidRPr="00836794">
              <w:t>2 November 2021</w:t>
            </w:r>
          </w:p>
        </w:tc>
      </w:tr>
      <w:tr w:rsidR="006C699E" w:rsidRPr="00836794" w14:paraId="2AB07363" w14:textId="77777777" w:rsidTr="006C699E">
        <w:tc>
          <w:tcPr>
            <w:tcW w:w="4265" w:type="dxa"/>
          </w:tcPr>
          <w:p w14:paraId="504CB705" w14:textId="77777777" w:rsidR="006C699E" w:rsidRPr="00836794" w:rsidRDefault="006C699E" w:rsidP="006C699E">
            <w:r w:rsidRPr="00836794">
              <w:t>Sponsor’s pre-Advisory Committee response</w:t>
            </w:r>
          </w:p>
        </w:tc>
        <w:tc>
          <w:tcPr>
            <w:tcW w:w="4229" w:type="dxa"/>
            <w:tcBorders>
              <w:top w:val="single" w:sz="8" w:space="0" w:color="000000"/>
              <w:left w:val="single" w:sz="8" w:space="0" w:color="000000"/>
              <w:bottom w:val="single" w:sz="8" w:space="0" w:color="000000"/>
              <w:right w:val="single" w:sz="8" w:space="0" w:color="000000"/>
            </w:tcBorders>
          </w:tcPr>
          <w:p w14:paraId="2A160AFE" w14:textId="7DF2DDF8" w:rsidR="006C699E" w:rsidRPr="00836794" w:rsidRDefault="006C699E" w:rsidP="006C699E">
            <w:r w:rsidRPr="00836794">
              <w:t>10 November 2021</w:t>
            </w:r>
          </w:p>
        </w:tc>
      </w:tr>
      <w:tr w:rsidR="006C699E" w:rsidRPr="00836794" w14:paraId="309E3D41" w14:textId="77777777" w:rsidTr="006C699E">
        <w:tc>
          <w:tcPr>
            <w:tcW w:w="4265" w:type="dxa"/>
          </w:tcPr>
          <w:p w14:paraId="4E4770E2" w14:textId="77777777" w:rsidR="006C699E" w:rsidRPr="00836794" w:rsidRDefault="006C699E" w:rsidP="006C699E">
            <w:r w:rsidRPr="00836794">
              <w:t>Advisory Committee meeting</w:t>
            </w:r>
          </w:p>
        </w:tc>
        <w:tc>
          <w:tcPr>
            <w:tcW w:w="4229" w:type="dxa"/>
            <w:tcBorders>
              <w:top w:val="single" w:sz="8" w:space="0" w:color="000000"/>
              <w:left w:val="single" w:sz="8" w:space="0" w:color="000000"/>
              <w:bottom w:val="single" w:sz="8" w:space="0" w:color="000000"/>
              <w:right w:val="single" w:sz="8" w:space="0" w:color="000000"/>
            </w:tcBorders>
          </w:tcPr>
          <w:p w14:paraId="25C278BA" w14:textId="693A6CC6" w:rsidR="006C699E" w:rsidRPr="00836794" w:rsidRDefault="006C699E" w:rsidP="006C699E">
            <w:r w:rsidRPr="00836794">
              <w:t>2 and 3 December 2021</w:t>
            </w:r>
          </w:p>
        </w:tc>
      </w:tr>
      <w:tr w:rsidR="006C699E" w:rsidRPr="00836794" w14:paraId="0739941C" w14:textId="77777777" w:rsidTr="006C699E">
        <w:tc>
          <w:tcPr>
            <w:tcW w:w="4265" w:type="dxa"/>
          </w:tcPr>
          <w:p w14:paraId="41A0BD9B" w14:textId="77777777" w:rsidR="006C699E" w:rsidRPr="00836794" w:rsidRDefault="006C699E" w:rsidP="006C699E">
            <w:r w:rsidRPr="00836794">
              <w:t>Registration decision (Outcome)</w:t>
            </w:r>
          </w:p>
        </w:tc>
        <w:tc>
          <w:tcPr>
            <w:tcW w:w="4229" w:type="dxa"/>
            <w:tcBorders>
              <w:top w:val="single" w:sz="8" w:space="0" w:color="000000"/>
              <w:left w:val="single" w:sz="8" w:space="0" w:color="000000"/>
              <w:bottom w:val="single" w:sz="8" w:space="0" w:color="000000"/>
              <w:right w:val="single" w:sz="8" w:space="0" w:color="000000"/>
            </w:tcBorders>
          </w:tcPr>
          <w:p w14:paraId="4E96B8BA" w14:textId="016BE789" w:rsidR="006C699E" w:rsidRPr="00836794" w:rsidRDefault="006C699E" w:rsidP="006C699E">
            <w:r w:rsidRPr="00836794">
              <w:t>4 February 2022</w:t>
            </w:r>
          </w:p>
        </w:tc>
      </w:tr>
      <w:tr w:rsidR="006C699E" w:rsidRPr="00836794" w14:paraId="302D61F4" w14:textId="77777777" w:rsidTr="006C699E">
        <w:tc>
          <w:tcPr>
            <w:tcW w:w="4265" w:type="dxa"/>
          </w:tcPr>
          <w:p w14:paraId="46F3B629" w14:textId="77777777" w:rsidR="006C699E" w:rsidRPr="00836794" w:rsidRDefault="006C699E" w:rsidP="006C699E">
            <w:r w:rsidRPr="00836794">
              <w:t>Completion of administrative activities and registration on the ARTG</w:t>
            </w:r>
          </w:p>
        </w:tc>
        <w:tc>
          <w:tcPr>
            <w:tcW w:w="4229" w:type="dxa"/>
            <w:tcBorders>
              <w:top w:val="single" w:sz="8" w:space="0" w:color="000000"/>
              <w:left w:val="single" w:sz="8" w:space="0" w:color="000000"/>
              <w:bottom w:val="single" w:sz="8" w:space="0" w:color="000000"/>
              <w:right w:val="single" w:sz="8" w:space="0" w:color="000000"/>
            </w:tcBorders>
          </w:tcPr>
          <w:p w14:paraId="0EA02162" w14:textId="239E330F" w:rsidR="006C699E" w:rsidRPr="00836794" w:rsidRDefault="006C699E" w:rsidP="006C699E">
            <w:r w:rsidRPr="00836794">
              <w:t>7 February 2022</w:t>
            </w:r>
          </w:p>
        </w:tc>
      </w:tr>
      <w:tr w:rsidR="006C699E" w:rsidRPr="00836794" w14:paraId="2D0F9110" w14:textId="77777777" w:rsidTr="006C699E">
        <w:tc>
          <w:tcPr>
            <w:tcW w:w="4265" w:type="dxa"/>
          </w:tcPr>
          <w:p w14:paraId="58138DB4" w14:textId="77777777" w:rsidR="006C699E" w:rsidRPr="00836794" w:rsidRDefault="006C699E" w:rsidP="006C699E">
            <w:r w:rsidRPr="00836794">
              <w:t>Number of working days from submission dossier acceptance to registration decision*</w:t>
            </w:r>
          </w:p>
        </w:tc>
        <w:tc>
          <w:tcPr>
            <w:tcW w:w="4229" w:type="dxa"/>
            <w:tcBorders>
              <w:top w:val="single" w:sz="8" w:space="0" w:color="000000"/>
              <w:left w:val="single" w:sz="8" w:space="0" w:color="000000"/>
              <w:bottom w:val="single" w:sz="8" w:space="0" w:color="000000"/>
              <w:right w:val="single" w:sz="8" w:space="0" w:color="000000"/>
            </w:tcBorders>
          </w:tcPr>
          <w:p w14:paraId="013017D9" w14:textId="07199A73" w:rsidR="006C699E" w:rsidRPr="00836794" w:rsidRDefault="006C699E" w:rsidP="006C699E">
            <w:r w:rsidRPr="00836794">
              <w:t>203</w:t>
            </w:r>
          </w:p>
        </w:tc>
      </w:tr>
    </w:tbl>
    <w:p w14:paraId="0D670895" w14:textId="232A15B0" w:rsidR="0074163C" w:rsidRPr="00836794" w:rsidRDefault="0074163C" w:rsidP="0074163C">
      <w:pPr>
        <w:pStyle w:val="TableDescription"/>
      </w:pPr>
      <w:r w:rsidRPr="00836794">
        <w:t xml:space="preserve">*Statutory timeframe for standard </w:t>
      </w:r>
      <w:r w:rsidR="00BB0B78" w:rsidRPr="00836794">
        <w:t>submission</w:t>
      </w:r>
      <w:r w:rsidRPr="00836794">
        <w:t>s is 255 working days</w:t>
      </w:r>
    </w:p>
    <w:p w14:paraId="44C1033C" w14:textId="77777777" w:rsidR="008E7846" w:rsidRPr="00836794" w:rsidRDefault="00006FAB" w:rsidP="008E7846">
      <w:pPr>
        <w:pStyle w:val="Heading2"/>
      </w:pPr>
      <w:bookmarkStart w:id="29" w:name="_Toc196046504"/>
      <w:bookmarkStart w:id="30" w:name="_Toc247691527"/>
      <w:bookmarkStart w:id="31" w:name="_Toc314842510"/>
      <w:bookmarkStart w:id="32" w:name="_Toc117791818"/>
      <w:bookmarkStart w:id="33" w:name="_Toc163441390"/>
      <w:bookmarkEnd w:id="26"/>
      <w:bookmarkEnd w:id="27"/>
      <w:bookmarkEnd w:id="1"/>
      <w:r w:rsidRPr="00836794">
        <w:t xml:space="preserve">Submission overview </w:t>
      </w:r>
      <w:r w:rsidR="008E7846" w:rsidRPr="00836794">
        <w:t>and risk/benefit assessment</w:t>
      </w:r>
      <w:bookmarkEnd w:id="29"/>
      <w:bookmarkEnd w:id="30"/>
      <w:bookmarkEnd w:id="31"/>
      <w:bookmarkEnd w:id="32"/>
    </w:p>
    <w:p w14:paraId="3BA5FD19" w14:textId="77777777" w:rsidR="005A79F5" w:rsidRPr="00836794" w:rsidRDefault="005A79F5" w:rsidP="0074163C">
      <w:pPr>
        <w:pStyle w:val="Instructions"/>
        <w:rPr>
          <w:i w:val="0"/>
          <w:color w:val="auto"/>
        </w:rPr>
      </w:pPr>
      <w:bookmarkStart w:id="34" w:name="_Toc247691528"/>
      <w:bookmarkStart w:id="35" w:name="_Toc314842511"/>
      <w:r w:rsidRPr="00836794">
        <w:rPr>
          <w:i w:val="0"/>
          <w:color w:val="auto"/>
        </w:rPr>
        <w:t>A summary of the TGA’s assessment for this submission is provided below.</w:t>
      </w:r>
    </w:p>
    <w:p w14:paraId="472F78D0" w14:textId="77777777" w:rsidR="009D7B52" w:rsidRPr="00836794" w:rsidRDefault="009D7B52" w:rsidP="009D7B52">
      <w:r w:rsidRPr="00836794">
        <w:t>Relevant guidelines or guidance documents referred to by the Delegate are listed below:</w:t>
      </w:r>
    </w:p>
    <w:p w14:paraId="61EB8784" w14:textId="371BF915" w:rsidR="009D7B52" w:rsidRPr="00836794" w:rsidRDefault="009D7B52" w:rsidP="009D7B52">
      <w:pPr>
        <w:pStyle w:val="ListBullet"/>
      </w:pPr>
      <w:r w:rsidRPr="00836794">
        <w:t>European medicines agency (EMA), Committee for Medicinal Products for Human Use (CHMP), Guideline on Clinical Investigation of Medicinal Products in the Treatment or Prevention of Diabetes Mellitus, CPMP/EWP/1080/00 Rev. 1, 14 May 2012.</w:t>
      </w:r>
    </w:p>
    <w:p w14:paraId="0D54BADB" w14:textId="77777777" w:rsidR="009D7B52" w:rsidRPr="00836794" w:rsidRDefault="009D7B52" w:rsidP="009D7B52">
      <w:pPr>
        <w:pStyle w:val="ListBullet"/>
      </w:pPr>
      <w:r w:rsidRPr="00836794">
        <w:t>European medicines agency (EMA)</w:t>
      </w:r>
      <w:r w:rsidR="00097992" w:rsidRPr="00836794">
        <w:t xml:space="preserve">, </w:t>
      </w:r>
      <w:r w:rsidRPr="00836794">
        <w:t>Committee for Medicinal Products for Human Use (</w:t>
      </w:r>
      <w:r w:rsidR="00097992" w:rsidRPr="00836794">
        <w:t>CHMP</w:t>
      </w:r>
      <w:r w:rsidRPr="00836794">
        <w:t>)</w:t>
      </w:r>
      <w:r w:rsidR="00097992" w:rsidRPr="00836794">
        <w:t xml:space="preserve">, ICH guideline S6 (R1) </w:t>
      </w:r>
      <w:r w:rsidRPr="00836794">
        <w:t>- Preclinical Safety Evaluation of Biotechnology-Derived Pharmaceuticals</w:t>
      </w:r>
      <w:r w:rsidR="00097992" w:rsidRPr="00836794">
        <w:t>, EMA/CHMP/ICH/731268/1998, June 2011.</w:t>
      </w:r>
    </w:p>
    <w:p w14:paraId="57CBB8F6" w14:textId="5921DB24" w:rsidR="00097992" w:rsidRPr="00836794" w:rsidRDefault="009D7B52" w:rsidP="009D7B52">
      <w:pPr>
        <w:pStyle w:val="ListBullet"/>
      </w:pPr>
      <w:r w:rsidRPr="00836794">
        <w:t>European medicines agency (EMA), Committee for Proprietary Medicinal Products (CPMP), ICH Guideline M3(R2) on Non-clinical Safety Studies for the Conduct of Human Clinical Trials and Marketing Authorisation for Pharmaceuticals, EMA/CPMP/ICH/286/1995, December 2009.</w:t>
      </w:r>
    </w:p>
    <w:p w14:paraId="768282F0" w14:textId="77777777" w:rsidR="008E7846" w:rsidRPr="00836794" w:rsidRDefault="008E7846" w:rsidP="008E7846">
      <w:pPr>
        <w:pStyle w:val="Heading3"/>
      </w:pPr>
      <w:bookmarkStart w:id="36" w:name="_Toc117791819"/>
      <w:r w:rsidRPr="00836794">
        <w:lastRenderedPageBreak/>
        <w:t>Quality</w:t>
      </w:r>
      <w:bookmarkEnd w:id="34"/>
      <w:bookmarkEnd w:id="35"/>
      <w:bookmarkEnd w:id="36"/>
    </w:p>
    <w:p w14:paraId="5C5140B2" w14:textId="7114B555" w:rsidR="00EF4A4C" w:rsidRPr="00836794" w:rsidRDefault="000A6A46" w:rsidP="00EF4A4C">
      <w:r w:rsidRPr="00836794">
        <w:t xml:space="preserve">Semaglutide is a GLP-1 analogue for patients with type 2 diabetes. The active ingredient was produced using recombinant </w:t>
      </w:r>
      <w:r w:rsidR="001C0C00" w:rsidRPr="00836794">
        <w:t xml:space="preserve">deoxyribonucleic acid </w:t>
      </w:r>
      <w:r w:rsidR="00484415">
        <w:t xml:space="preserve">(DNA) </w:t>
      </w:r>
      <w:r w:rsidRPr="00836794">
        <w:t>technology.</w:t>
      </w:r>
    </w:p>
    <w:p w14:paraId="3BCC6C65" w14:textId="1DEA178C" w:rsidR="000A6A46" w:rsidRPr="00836794" w:rsidRDefault="000A6A46" w:rsidP="000A6A46">
      <w:r w:rsidRPr="00836794">
        <w:t xml:space="preserve">Information about the manufacturing, storage and control facilities for the active substance has been provided in the dossier. </w:t>
      </w:r>
      <w:r w:rsidR="001C0C00" w:rsidRPr="00836794">
        <w:t>Good Manufacturing Practice (</w:t>
      </w:r>
      <w:r w:rsidRPr="00836794">
        <w:t>GMP</w:t>
      </w:r>
      <w:r w:rsidR="001C0C00" w:rsidRPr="00836794">
        <w:t>)</w:t>
      </w:r>
      <w:r w:rsidRPr="00836794">
        <w:t xml:space="preserve"> compliance for the manufacturers has been demonstrated and is acceptable.</w:t>
      </w:r>
    </w:p>
    <w:p w14:paraId="23CE3B3A" w14:textId="76FC98BE" w:rsidR="00097992" w:rsidRPr="00836794" w:rsidRDefault="00097992" w:rsidP="00097992">
      <w:r w:rsidRPr="00836794">
        <w:t xml:space="preserve">The proposed release specification for the active substance </w:t>
      </w:r>
      <w:r w:rsidR="00EF4A4C" w:rsidRPr="00836794">
        <w:t>and the approach used in the proposed specification limits are</w:t>
      </w:r>
      <w:r w:rsidRPr="00836794">
        <w:t xml:space="preserve"> found acceptable, with respect to test methods chosen.</w:t>
      </w:r>
    </w:p>
    <w:p w14:paraId="315DB701" w14:textId="77777777" w:rsidR="00415D91" w:rsidRDefault="00EF4A4C" w:rsidP="00EF4A4C">
      <w:r w:rsidRPr="00836794">
        <w:t>The finished product is presented as tablets in blister cards containing 3, 7 or 14 mg of the active ingredient. There are 10 tablets per blister, and 3 blisters (30 tablets) in the secondary pack.</w:t>
      </w:r>
    </w:p>
    <w:p w14:paraId="1DF5D814" w14:textId="25714695" w:rsidR="00EF4A4C" w:rsidRPr="005D24BC" w:rsidRDefault="00415D91">
      <w:r w:rsidRPr="005D24BC">
        <w:t>The real time data submitted support a drug product storage condition of 15 months when stored below 30</w:t>
      </w:r>
      <w:r w:rsidR="00D63DDD">
        <w:t>℃</w:t>
      </w:r>
      <w:r w:rsidRPr="005D24BC">
        <w:t xml:space="preserve"> (protect from light and moisture).</w:t>
      </w:r>
    </w:p>
    <w:p w14:paraId="23C3F3ED" w14:textId="4FDFFAB7" w:rsidR="00097992" w:rsidRPr="00836794" w:rsidRDefault="00097992" w:rsidP="00097992">
      <w:r w:rsidRPr="00836794">
        <w:t xml:space="preserve">The quality of this product </w:t>
      </w:r>
      <w:proofErr w:type="gramStart"/>
      <w:r w:rsidRPr="00836794">
        <w:t>is considered to be</w:t>
      </w:r>
      <w:proofErr w:type="gramEnd"/>
      <w:r w:rsidRPr="00836794">
        <w:t xml:space="preserve"> acceptable when used in accordance with the conditions defined in the PI, labels, consumer medicines information and the Australian Register of Therapeutic Goods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quality perspective, compliance with Therapeutic Goods Legislations (</w:t>
      </w:r>
      <w:r w:rsidR="00836794" w:rsidRPr="00836794">
        <w:t>Therapeutic Goods</w:t>
      </w:r>
      <w:r w:rsidR="00836794" w:rsidRPr="008E2BF4">
        <w:t xml:space="preserve"> Act</w:t>
      </w:r>
      <w:r w:rsidRPr="00836794">
        <w:t>/Reg</w:t>
      </w:r>
      <w:r w:rsidR="00836794" w:rsidRPr="00836794">
        <w:t>ulations</w:t>
      </w:r>
      <w:r w:rsidRPr="00836794">
        <w:t xml:space="preserve">) and relevant </w:t>
      </w:r>
      <w:r w:rsidR="00836794" w:rsidRPr="00836794">
        <w:t xml:space="preserve">Therapeutic Goods </w:t>
      </w:r>
      <w:r w:rsidRPr="00836794">
        <w:t xml:space="preserve">Orders as well as consistency with relevant guidelines and the </w:t>
      </w:r>
      <w:r w:rsidR="001C0C00" w:rsidRPr="00836794">
        <w:t>Australian Regulatory Guidelines for Prescription Medicines (</w:t>
      </w:r>
      <w:r w:rsidRPr="00836794">
        <w:t>ARGPM</w:t>
      </w:r>
      <w:r w:rsidR="001C0C00" w:rsidRPr="00836794">
        <w:t>)</w:t>
      </w:r>
      <w:r w:rsidRPr="00836794">
        <w:t xml:space="preserve"> has been demonstrated.</w:t>
      </w:r>
    </w:p>
    <w:p w14:paraId="075A9E10" w14:textId="61A25499" w:rsidR="00A30C42" w:rsidRPr="00836794" w:rsidRDefault="00A30C42" w:rsidP="00097992">
      <w:r w:rsidRPr="00836794">
        <w:t xml:space="preserve">There are no objections on quality grounds to the approval of </w:t>
      </w:r>
      <w:r w:rsidR="007013B0" w:rsidRPr="00836794">
        <w:t>Rybelsus</w:t>
      </w:r>
      <w:r w:rsidRPr="00836794">
        <w:t xml:space="preserve"> </w:t>
      </w:r>
      <w:r w:rsidR="00EF4A4C" w:rsidRPr="00836794">
        <w:t>(</w:t>
      </w:r>
      <w:r w:rsidRPr="00836794">
        <w:t>semaglutide</w:t>
      </w:r>
      <w:r w:rsidR="00EF4A4C" w:rsidRPr="00836794">
        <w:t>)</w:t>
      </w:r>
      <w:r w:rsidRPr="00836794">
        <w:t xml:space="preserve"> tablets.</w:t>
      </w:r>
    </w:p>
    <w:p w14:paraId="55F21562" w14:textId="77777777" w:rsidR="00A30C42" w:rsidRPr="00836794" w:rsidRDefault="00A30C42" w:rsidP="00A30C42">
      <w:pPr>
        <w:pStyle w:val="Heading4"/>
      </w:pPr>
      <w:r w:rsidRPr="00836794">
        <w:t>Proposed conditions of registration</w:t>
      </w:r>
    </w:p>
    <w:p w14:paraId="716D2052" w14:textId="0FFA92B1" w:rsidR="00A30C42" w:rsidRPr="00836794" w:rsidRDefault="00A30C42" w:rsidP="00A30C42">
      <w:r w:rsidRPr="00836794">
        <w:t xml:space="preserve">Laboratory testing </w:t>
      </w:r>
      <w:r w:rsidR="00EF4A4C" w:rsidRPr="00836794">
        <w:t>and</w:t>
      </w:r>
      <w:r w:rsidRPr="00836794">
        <w:t xml:space="preserve"> compliance with Certified Product Details (CPD)</w:t>
      </w:r>
    </w:p>
    <w:p w14:paraId="027DE4E6" w14:textId="5E2CE2BA" w:rsidR="00A30C42" w:rsidRPr="00836794" w:rsidRDefault="00A30C42" w:rsidP="00A30C42">
      <w:pPr>
        <w:pStyle w:val="ListBullet"/>
      </w:pPr>
      <w:r w:rsidRPr="00836794">
        <w:t xml:space="preserve">All batches of </w:t>
      </w:r>
      <w:r w:rsidR="007013B0" w:rsidRPr="00836794">
        <w:t>Rybelsus</w:t>
      </w:r>
      <w:r w:rsidRPr="00836794">
        <w:t xml:space="preserve"> supplied in Australia must comply with the product details and specifications approved during evaluation and detailed in the Certified Product Details (CPD).</w:t>
      </w:r>
    </w:p>
    <w:p w14:paraId="32C30FD1" w14:textId="11445E2D" w:rsidR="00A30C42" w:rsidRPr="00836794" w:rsidRDefault="00A30C42" w:rsidP="00A30C42">
      <w:pPr>
        <w:pStyle w:val="ListBullet"/>
      </w:pPr>
      <w:r w:rsidRPr="00836794">
        <w:t xml:space="preserve">When requested by the TGA, the </w:t>
      </w:r>
      <w:r w:rsidR="008D6287" w:rsidRPr="00836794">
        <w:t>s</w:t>
      </w:r>
      <w:r w:rsidRPr="00836794">
        <w:t xml:space="preserve">ponsor should be prepared to provide product samples, specified reference materials and documentary evidence to enable the TGA to conduct laboratory testing on the </w:t>
      </w:r>
      <w:r w:rsidR="008D6287" w:rsidRPr="00836794">
        <w:t>product</w:t>
      </w:r>
      <w:r w:rsidRPr="00836794">
        <w:t>. Outcomes of laboratory testing are published biannually in the TGA Database of Laboratory Testing Results (</w:t>
      </w:r>
      <w:hyperlink r:id="rId16" w:history="1">
        <w:r w:rsidRPr="00836794">
          <w:rPr>
            <w:rStyle w:val="Hyperlink"/>
          </w:rPr>
          <w:t>http://www.tga.gov.au/ws-labs-index</w:t>
        </w:r>
      </w:hyperlink>
      <w:r w:rsidRPr="00836794">
        <w:t>) and periodically in testing reports on the TGA website.</w:t>
      </w:r>
    </w:p>
    <w:p w14:paraId="00428A9E" w14:textId="77777777" w:rsidR="00A30C42" w:rsidRPr="00836794" w:rsidRDefault="00A30C42" w:rsidP="00A30C42">
      <w:r w:rsidRPr="00836794">
        <w:t>Certified Product Details</w:t>
      </w:r>
    </w:p>
    <w:p w14:paraId="649A0EDD" w14:textId="06DD9368" w:rsidR="00A30C42" w:rsidRPr="00836794" w:rsidRDefault="00A30C42" w:rsidP="00E847AB">
      <w:pPr>
        <w:pStyle w:val="ListBullet"/>
      </w:pPr>
      <w:r w:rsidRPr="00836794">
        <w:t xml:space="preserve">The Certified Product Details (CPD), as described in Guidance 7: Certified Product Details of the Australian Regulatory Guidelines for Prescription Medicines (ARGPM) </w:t>
      </w:r>
      <w:hyperlink r:id="rId17" w:history="1">
        <w:r w:rsidRPr="00836794">
          <w:rPr>
            <w:rStyle w:val="Hyperlink"/>
          </w:rPr>
          <w:t>http://www.tga.gov.au/industry/pm-argpm-guidance-7.htm</w:t>
        </w:r>
      </w:hyperlink>
      <w:r w:rsidRPr="00836794">
        <w:t xml:space="preserve">, in </w:t>
      </w:r>
      <w:r w:rsidR="001C0C00" w:rsidRPr="00836794">
        <w:t>portable document format</w:t>
      </w:r>
      <w:r w:rsidRPr="00836794">
        <w:t xml:space="preserve">, for the above products should be provided upon registration of these therapeutic goods. In addition, an updated CPD should be provided when changes to </w:t>
      </w:r>
      <w:r w:rsidRPr="00836794">
        <w:lastRenderedPageBreak/>
        <w:t>finished product specifications and test methods are approved in a Category 3 application</w:t>
      </w:r>
      <w:r w:rsidR="000025F0">
        <w:t>;</w:t>
      </w:r>
      <w:r w:rsidR="000025F0">
        <w:rPr>
          <w:rStyle w:val="FootnoteReference"/>
        </w:rPr>
        <w:footnoteReference w:id="9"/>
      </w:r>
      <w:r w:rsidRPr="00836794">
        <w:t xml:space="preserve"> or notified through a self-assessable change.</w:t>
      </w:r>
    </w:p>
    <w:p w14:paraId="53CB7850" w14:textId="100F743B" w:rsidR="008E7846" w:rsidRPr="00836794" w:rsidRDefault="008E7846" w:rsidP="008E7846">
      <w:pPr>
        <w:pStyle w:val="Heading3"/>
      </w:pPr>
      <w:bookmarkStart w:id="37" w:name="_Toc314842512"/>
      <w:bookmarkStart w:id="38" w:name="_Toc117791820"/>
      <w:r w:rsidRPr="00836794">
        <w:t>Nonclinical</w:t>
      </w:r>
      <w:bookmarkEnd w:id="37"/>
      <w:bookmarkEnd w:id="38"/>
    </w:p>
    <w:p w14:paraId="376719BF" w14:textId="082743EF" w:rsidR="00A30C42" w:rsidRPr="00836794" w:rsidRDefault="00A30C42" w:rsidP="00A30C42">
      <w:r w:rsidRPr="00836794">
        <w:t xml:space="preserve">Semaglutide is already registered as a solution for </w:t>
      </w:r>
      <w:r w:rsidR="004A699F" w:rsidRPr="00836794">
        <w:t>subcutaneous</w:t>
      </w:r>
      <w:r w:rsidRPr="00836794">
        <w:t xml:space="preserve"> injection (under the tradename Ozempic),</w:t>
      </w:r>
      <w:r w:rsidR="00BB71CC" w:rsidRPr="00CD3A57">
        <w:rPr>
          <w:vertAlign w:val="superscript"/>
        </w:rPr>
        <w:fldChar w:fldCharType="begin"/>
      </w:r>
      <w:r w:rsidR="00BB71CC" w:rsidRPr="00CD3A57">
        <w:rPr>
          <w:vertAlign w:val="superscript"/>
        </w:rPr>
        <w:instrText xml:space="preserve"> NOTEREF _Ref115687851 \h </w:instrText>
      </w:r>
      <w:r w:rsidR="00BB71CC">
        <w:rPr>
          <w:vertAlign w:val="superscript"/>
        </w:rPr>
        <w:instrText xml:space="preserve"> \* MERGEFORMAT </w:instrText>
      </w:r>
      <w:r w:rsidR="00BB71CC" w:rsidRPr="00CD3A57">
        <w:rPr>
          <w:vertAlign w:val="superscript"/>
        </w:rPr>
      </w:r>
      <w:r w:rsidR="00BB71CC" w:rsidRPr="00CD3A57">
        <w:rPr>
          <w:vertAlign w:val="superscript"/>
        </w:rPr>
        <w:fldChar w:fldCharType="separate"/>
      </w:r>
      <w:r w:rsidR="00E5082D">
        <w:rPr>
          <w:vertAlign w:val="superscript"/>
        </w:rPr>
        <w:t>7</w:t>
      </w:r>
      <w:r w:rsidR="00BB71CC" w:rsidRPr="00CD3A57">
        <w:rPr>
          <w:vertAlign w:val="superscript"/>
        </w:rPr>
        <w:fldChar w:fldCharType="end"/>
      </w:r>
      <w:r w:rsidR="00BB71CC" w:rsidRPr="00CD3A57">
        <w:rPr>
          <w:vertAlign w:val="superscript"/>
        </w:rPr>
        <w:t>,</w:t>
      </w:r>
      <w:r w:rsidR="00BB71CC" w:rsidRPr="00CD3A57">
        <w:rPr>
          <w:vertAlign w:val="superscript"/>
        </w:rPr>
        <w:fldChar w:fldCharType="begin"/>
      </w:r>
      <w:r w:rsidR="00BB71CC" w:rsidRPr="00CD3A57">
        <w:rPr>
          <w:vertAlign w:val="superscript"/>
        </w:rPr>
        <w:instrText xml:space="preserve"> NOTEREF _Ref115687853 \h </w:instrText>
      </w:r>
      <w:r w:rsidR="00BB71CC">
        <w:rPr>
          <w:vertAlign w:val="superscript"/>
        </w:rPr>
        <w:instrText xml:space="preserve"> \* MERGEFORMAT </w:instrText>
      </w:r>
      <w:r w:rsidR="00BB71CC" w:rsidRPr="00CD3A57">
        <w:rPr>
          <w:vertAlign w:val="superscript"/>
        </w:rPr>
      </w:r>
      <w:r w:rsidR="00BB71CC" w:rsidRPr="00CD3A57">
        <w:rPr>
          <w:vertAlign w:val="superscript"/>
        </w:rPr>
        <w:fldChar w:fldCharType="separate"/>
      </w:r>
      <w:r w:rsidR="00E5082D">
        <w:rPr>
          <w:vertAlign w:val="superscript"/>
        </w:rPr>
        <w:t>8</w:t>
      </w:r>
      <w:r w:rsidR="00BB71CC" w:rsidRPr="00CD3A57">
        <w:rPr>
          <w:vertAlign w:val="superscript"/>
        </w:rPr>
        <w:fldChar w:fldCharType="end"/>
      </w:r>
      <w:r w:rsidRPr="00836794">
        <w:t xml:space="preserve"> with a maximum recommended dose of 1 mg/week.</w:t>
      </w:r>
    </w:p>
    <w:p w14:paraId="09537E0B" w14:textId="1A2BE60D" w:rsidR="00A30C42" w:rsidRPr="00836794" w:rsidRDefault="00A30C42" w:rsidP="00A30C42">
      <w:r w:rsidRPr="00836794">
        <w:t xml:space="preserve">For oral administration, semaglutide is formulated with an absorption enhancer, </w:t>
      </w:r>
      <w:r w:rsidR="00F87D85" w:rsidRPr="00836794">
        <w:t xml:space="preserve">sodium </w:t>
      </w:r>
      <w:r w:rsidR="00F87D85" w:rsidRPr="00E847AB">
        <w:rPr>
          <w:i/>
        </w:rPr>
        <w:t>N</w:t>
      </w:r>
      <w:r w:rsidR="00F87D85" w:rsidRPr="00836794">
        <w:t>-(8-(2-hydroxylbenzoyl) amino) caprylate (</w:t>
      </w:r>
      <w:r w:rsidRPr="00836794">
        <w:t>SNAC</w:t>
      </w:r>
      <w:r w:rsidR="00AB4FA1" w:rsidRPr="00836794">
        <w:t xml:space="preserve">; also known as </w:t>
      </w:r>
      <w:proofErr w:type="spellStart"/>
      <w:r w:rsidR="00AB4FA1" w:rsidRPr="00836794">
        <w:t>salcaprozate</w:t>
      </w:r>
      <w:proofErr w:type="spellEnd"/>
      <w:r w:rsidR="00AB4FA1" w:rsidRPr="00836794">
        <w:t xml:space="preserve"> sodium</w:t>
      </w:r>
      <w:r w:rsidRPr="00836794">
        <w:t>), a</w:t>
      </w:r>
      <w:r w:rsidR="008D6287" w:rsidRPr="00836794">
        <w:t xml:space="preserve"> </w:t>
      </w:r>
      <w:r w:rsidRPr="00836794">
        <w:t>novel</w:t>
      </w:r>
      <w:r w:rsidR="008D6287" w:rsidRPr="00836794">
        <w:t xml:space="preserve"> </w:t>
      </w:r>
      <w:r w:rsidRPr="00836794">
        <w:t>excipient. The three proposed Rybelsus tablet strengths (3, 7 and 14 mg semaglutide) each contain the same amount of SNAC (300 mg).</w:t>
      </w:r>
    </w:p>
    <w:p w14:paraId="631734AD" w14:textId="17C4D0FF" w:rsidR="00A30C42" w:rsidRPr="00836794" w:rsidRDefault="00A30C42" w:rsidP="00A30C42">
      <w:r w:rsidRPr="00836794">
        <w:t xml:space="preserve">Newly submitted </w:t>
      </w:r>
      <w:r w:rsidR="008D6287" w:rsidRPr="00836794">
        <w:t>nonclinical</w:t>
      </w:r>
      <w:r w:rsidRPr="00836794">
        <w:t xml:space="preserve"> data mostly investigated SNAC, with further studies examining effects of semaglutide (formulated with SNAC) by the oral route. These are the focus of the nonclinical evaluation report. The nonclinical dossier also included studies with semaglutide submitted in the original application to register Ozempic.</w:t>
      </w:r>
    </w:p>
    <w:p w14:paraId="0C4CB208" w14:textId="47A541B7" w:rsidR="00A30C42" w:rsidRPr="00836794" w:rsidRDefault="00A30C42" w:rsidP="00A30C42">
      <w:r w:rsidRPr="00836794">
        <w:t>The nonclinical dossier was of good quality, and suitably comprehensive, consistent with relevant TGA-adopted guidelines.</w:t>
      </w:r>
      <w:r w:rsidR="00D64E7B" w:rsidRPr="00D64E7B">
        <w:rPr>
          <w:rStyle w:val="FootnoteReference"/>
        </w:rPr>
        <w:footnoteReference w:id="10"/>
      </w:r>
      <w:r w:rsidR="00D64E7B" w:rsidRPr="00D64E7B">
        <w:rPr>
          <w:vertAlign w:val="superscript"/>
        </w:rPr>
        <w:t>,</w:t>
      </w:r>
      <w:r w:rsidR="00D64E7B" w:rsidRPr="00D64E7B">
        <w:rPr>
          <w:rStyle w:val="FootnoteReference"/>
        </w:rPr>
        <w:footnoteReference w:id="11"/>
      </w:r>
      <w:r w:rsidRPr="00836794">
        <w:t xml:space="preserve"> All pivotal safety</w:t>
      </w:r>
      <w:r w:rsidR="00F87D85" w:rsidRPr="00836794">
        <w:t xml:space="preserve"> </w:t>
      </w:r>
      <w:r w:rsidRPr="00836794">
        <w:t xml:space="preserve">related studies were conducted according to </w:t>
      </w:r>
      <w:r w:rsidR="001C0C00" w:rsidRPr="00836794">
        <w:t>Good Laboratory Practice</w:t>
      </w:r>
      <w:r w:rsidRPr="00836794">
        <w:t>.</w:t>
      </w:r>
      <w:r w:rsidR="00BC3D3B">
        <w:rPr>
          <w:rStyle w:val="FootnoteReference"/>
        </w:rPr>
        <w:footnoteReference w:id="12"/>
      </w:r>
    </w:p>
    <w:p w14:paraId="7556A6EF" w14:textId="4977BF8B" w:rsidR="00A30C42" w:rsidRPr="00836794" w:rsidRDefault="00AB4FA1" w:rsidP="00A30C42">
      <w:proofErr w:type="spellStart"/>
      <w:r w:rsidRPr="00836794">
        <w:t>Salcaprozate</w:t>
      </w:r>
      <w:proofErr w:type="spellEnd"/>
      <w:r w:rsidRPr="00836794">
        <w:t xml:space="preserve"> sodium (</w:t>
      </w:r>
      <w:r w:rsidR="00A30C42" w:rsidRPr="00836794">
        <w:t>SNAC</w:t>
      </w:r>
      <w:r w:rsidRPr="00836794">
        <w:t>)</w:t>
      </w:r>
      <w:r w:rsidR="00A30C42" w:rsidRPr="00836794">
        <w:t xml:space="preserve"> acts to enhance absorption via the transcellular route (through membrane incorporation and </w:t>
      </w:r>
      <w:proofErr w:type="spellStart"/>
      <w:r w:rsidR="00A30C42" w:rsidRPr="00836794">
        <w:t>permeabilisation</w:t>
      </w:r>
      <w:proofErr w:type="spellEnd"/>
      <w:r w:rsidR="00A30C42" w:rsidRPr="00836794">
        <w:t xml:space="preserve">). The stomach is the key site for SNAC action and semaglutide absorption. An up to </w:t>
      </w:r>
      <w:r w:rsidR="00F87D85" w:rsidRPr="00836794">
        <w:t xml:space="preserve">approximate </w:t>
      </w:r>
      <w:r w:rsidR="00A30C42" w:rsidRPr="00836794">
        <w:t>7-fold increase in the apparent permeability of semaglutide was demonstrated in experiments with NCI</w:t>
      </w:r>
      <w:r w:rsidR="00A30C42" w:rsidRPr="00836794">
        <w:noBreakHyphen/>
        <w:t xml:space="preserve">N87 (human gastric epithelial) cell monolayers </w:t>
      </w:r>
      <w:r w:rsidR="00A30C42" w:rsidRPr="00836794">
        <w:rPr>
          <w:i/>
          <w:iCs/>
        </w:rPr>
        <w:t>in vitro</w:t>
      </w:r>
      <w:r w:rsidR="00A30C42" w:rsidRPr="00836794">
        <w:t>, and with the absorption enhancing effect of SNAC seen to be quickly reversed.</w:t>
      </w:r>
    </w:p>
    <w:p w14:paraId="56617C65" w14:textId="77777777" w:rsidR="00A30C42" w:rsidRPr="00836794" w:rsidRDefault="00A30C42" w:rsidP="00A30C42">
      <w:r w:rsidRPr="00836794">
        <w:t>No significant secondary pharmacological targets of SNAC were identified in screening assays.</w:t>
      </w:r>
    </w:p>
    <w:p w14:paraId="74EE1890" w14:textId="7DF8EBB1" w:rsidR="00A30C42" w:rsidRPr="00836794" w:rsidRDefault="00A30C42" w:rsidP="00A30C42">
      <w:r w:rsidRPr="00836794">
        <w:t xml:space="preserve">Safety pharmacology studies do not indicate clinically relevant effects of SNAC on </w:t>
      </w:r>
      <w:r w:rsidR="001C0C00" w:rsidRPr="00836794">
        <w:t>central nervous system</w:t>
      </w:r>
      <w:r w:rsidRPr="00836794">
        <w:t>, cardiovascular or respiratory function.</w:t>
      </w:r>
    </w:p>
    <w:p w14:paraId="6D313F66" w14:textId="6A9FA201" w:rsidR="00A30C42" w:rsidRPr="00836794" w:rsidRDefault="00A30C42" w:rsidP="00A30C42">
      <w:r w:rsidRPr="00836794">
        <w:t>The oral bioavailability of semaglutide in a tablet formulation was &lt;</w:t>
      </w:r>
      <w:r w:rsidR="00F87D85" w:rsidRPr="00836794">
        <w:t xml:space="preserve"> </w:t>
      </w:r>
      <w:r w:rsidRPr="00836794">
        <w:t>1% in monkeys and humans. Greater metabolism of semaglutide and greater faecal excretion of semaglutide</w:t>
      </w:r>
      <w:r w:rsidR="009F2AD7" w:rsidRPr="00836794">
        <w:t xml:space="preserve"> </w:t>
      </w:r>
      <w:r w:rsidRPr="00836794">
        <w:t xml:space="preserve">related material was seen in animals following oral dosing </w:t>
      </w:r>
      <w:r w:rsidR="001C0C00" w:rsidRPr="00836794">
        <w:t>compare</w:t>
      </w:r>
      <w:r w:rsidR="008E2BF4">
        <w:t>d</w:t>
      </w:r>
      <w:r w:rsidR="001C0C00" w:rsidRPr="00836794">
        <w:t xml:space="preserve"> to</w:t>
      </w:r>
      <w:r w:rsidRPr="00836794">
        <w:t xml:space="preserve"> </w:t>
      </w:r>
      <w:r w:rsidR="004A699F" w:rsidRPr="00836794">
        <w:t>subcutaneous</w:t>
      </w:r>
      <w:r w:rsidRPr="00836794">
        <w:t xml:space="preserve"> dosing. As the metabolites were not well characterised, it is uncertain if the metabolite profile of semaglutide is the same following </w:t>
      </w:r>
      <w:r w:rsidR="004A699F" w:rsidRPr="00836794">
        <w:t>subcutaneous</w:t>
      </w:r>
      <w:r w:rsidRPr="00836794">
        <w:t xml:space="preserve"> and </w:t>
      </w:r>
      <w:r w:rsidR="004A699F" w:rsidRPr="00836794">
        <w:t>oral</w:t>
      </w:r>
      <w:r w:rsidRPr="00836794">
        <w:t xml:space="preserve"> dosing. After oral administration, SNAC was rapidly absorbed but only low bioavailability was seen due to extensive first pass metabolism. SNAC was highly (98%) bound to human plasma proteins. Protein binding of SNAC and its metabolites was generally higher in human plasma than in plasma from animal species. In rats, SNAC</w:t>
      </w:r>
      <w:r w:rsidR="00F87D85" w:rsidRPr="00836794">
        <w:t xml:space="preserve"> </w:t>
      </w:r>
      <w:r w:rsidRPr="00836794">
        <w:t>related material rapidly and widely distributed to all tissues, with high levels seen in the lungs and excretory and gastrointestinal systems. SNAC</w:t>
      </w:r>
      <w:r w:rsidR="00F87D85" w:rsidRPr="00836794">
        <w:t xml:space="preserve"> </w:t>
      </w:r>
      <w:r w:rsidRPr="00836794">
        <w:t xml:space="preserve">related radioactivity was observed in the </w:t>
      </w:r>
      <w:r w:rsidR="001C0C00" w:rsidRPr="00836794">
        <w:t>central nervous system</w:t>
      </w:r>
      <w:r w:rsidRPr="00836794">
        <w:t xml:space="preserve"> at very low levels. </w:t>
      </w:r>
      <w:r w:rsidRPr="00836794">
        <w:lastRenderedPageBreak/>
        <w:t>SNAC</w:t>
      </w:r>
      <w:r w:rsidR="00F87D85" w:rsidRPr="00836794">
        <w:t xml:space="preserve"> </w:t>
      </w:r>
      <w:r w:rsidRPr="00836794">
        <w:t xml:space="preserve">related material was primarily excreted in urine after oral administration in mice, </w:t>
      </w:r>
      <w:proofErr w:type="gramStart"/>
      <w:r w:rsidRPr="00836794">
        <w:t>rats</w:t>
      </w:r>
      <w:proofErr w:type="gramEnd"/>
      <w:r w:rsidRPr="00836794">
        <w:t xml:space="preserve"> and humans.</w:t>
      </w:r>
    </w:p>
    <w:p w14:paraId="155A2C43" w14:textId="06968437" w:rsidR="00A30C42" w:rsidRPr="00836794" w:rsidRDefault="00A30C42" w:rsidP="00A30C42">
      <w:r w:rsidRPr="00836794">
        <w:t>The potential for pharmacokinetic</w:t>
      </w:r>
      <w:r w:rsidR="00F918C9" w:rsidRPr="00836794">
        <w:t xml:space="preserve"> (PK)</w:t>
      </w:r>
      <w:r w:rsidRPr="00836794">
        <w:t xml:space="preserve"> drug interactions involving SNAC (and its metabolites) is considered low.</w:t>
      </w:r>
    </w:p>
    <w:p w14:paraId="3F60B1B9" w14:textId="6C8003AE" w:rsidR="00A30C42" w:rsidRPr="00836794" w:rsidRDefault="00A30C42" w:rsidP="00A30C42">
      <w:r w:rsidRPr="00836794">
        <w:t>Repeat</w:t>
      </w:r>
      <w:r w:rsidR="00F87D85" w:rsidRPr="00836794">
        <w:t xml:space="preserve"> </w:t>
      </w:r>
      <w:r w:rsidRPr="00836794">
        <w:t>dose toxicity studies with SNAC by the oral route were conducted in mice (up to 13 weeks), rats (up to 52 weeks) and rhesus monkeys (up to 39 weeks). Maximum exposures (</w:t>
      </w:r>
      <w:r w:rsidR="00A62DCA" w:rsidRPr="00836794">
        <w:t>area under the concentration-time curve (</w:t>
      </w:r>
      <w:r w:rsidRPr="00836794">
        <w:t>AUC)</w:t>
      </w:r>
      <w:r w:rsidR="00A62DCA" w:rsidRPr="00836794">
        <w:t>)</w:t>
      </w:r>
      <w:r w:rsidRPr="00836794">
        <w:t xml:space="preserve"> were moderate to very high in animal studies. No clinically</w:t>
      </w:r>
      <w:r w:rsidR="00F87D85" w:rsidRPr="00836794">
        <w:t xml:space="preserve"> </w:t>
      </w:r>
      <w:r w:rsidRPr="00836794">
        <w:t xml:space="preserve">relevant toxicity findings were seen. Acute clinical signs observed at high doses included decreased activity, flat posture, lethargy, and, in monkeys, salivation and emesis. These clinical signs preceded death in some animals. </w:t>
      </w:r>
      <w:r w:rsidR="00331152" w:rsidRPr="00836794">
        <w:t>Gastrointestinal</w:t>
      </w:r>
      <w:r w:rsidRPr="00836794">
        <w:t xml:space="preserve"> tract irritation was seen in rats, correlating with high local concentrations of SNAC.</w:t>
      </w:r>
    </w:p>
    <w:p w14:paraId="7B8EE690" w14:textId="37F4D2C0" w:rsidR="00A30C42" w:rsidRPr="00836794" w:rsidRDefault="00A30C42" w:rsidP="00A30C42">
      <w:r w:rsidRPr="00836794">
        <w:t>Mechanistic studies with SNAC indicated the inhibition of cellular respiration (mainly via inhibition of complex</w:t>
      </w:r>
      <w:r w:rsidR="00F87D85" w:rsidRPr="00836794">
        <w:t> </w:t>
      </w:r>
      <w:r w:rsidRPr="00836794">
        <w:t>I in the electron transport chain on the inner mitochondrial membrane) is responsible for the mortality and clinical symptoms exhibited by the animals exposed to very high initial plasma concentration levels.</w:t>
      </w:r>
    </w:p>
    <w:p w14:paraId="343012C8" w14:textId="5C00BBBC" w:rsidR="00A30C42" w:rsidRPr="00836794" w:rsidRDefault="00A30C42" w:rsidP="00A30C42">
      <w:r w:rsidRPr="00836794">
        <w:t>Repeat</w:t>
      </w:r>
      <w:r w:rsidR="005F5334" w:rsidRPr="00836794">
        <w:t xml:space="preserve"> </w:t>
      </w:r>
      <w:r w:rsidRPr="00836794">
        <w:t>dose toxicity studies with semaglutide/SNAC by the oral route were conducted in rats (up to 26 weeks) and cynomolgus monkeys (up to 6 weeks). No new or exacerbated toxicities were evident. Toxicities observed could be attributed to either semaglutide or SNAC.</w:t>
      </w:r>
    </w:p>
    <w:p w14:paraId="334D4EDC" w14:textId="0916E9DE" w:rsidR="00A30C42" w:rsidRPr="00836794" w:rsidRDefault="00A30C42" w:rsidP="00A30C42">
      <w:r w:rsidRPr="00E723E2">
        <w:t>Peak and overall systemic exposure to semaglutide (</w:t>
      </w:r>
      <w:r w:rsidR="001C0C00" w:rsidRPr="00E723E2">
        <w:t>maximum plasma concentration (</w:t>
      </w:r>
      <w:proofErr w:type="spellStart"/>
      <w:r w:rsidRPr="00E723E2">
        <w:t>C</w:t>
      </w:r>
      <w:r w:rsidRPr="00E723E2">
        <w:rPr>
          <w:vertAlign w:val="subscript"/>
        </w:rPr>
        <w:t>max</w:t>
      </w:r>
      <w:proofErr w:type="spellEnd"/>
      <w:r w:rsidR="001C0C00" w:rsidRPr="00E723E2">
        <w:t>)</w:t>
      </w:r>
      <w:r w:rsidRPr="00E723E2">
        <w:t xml:space="preserve"> and AUC) in patients at the maximum recommended dose of semaglutide with Rybelsus therapy (14 mg/day </w:t>
      </w:r>
      <w:r w:rsidR="004A699F" w:rsidRPr="00E723E2">
        <w:t>orally</w:t>
      </w:r>
      <w:r w:rsidRPr="00E723E2">
        <w:t xml:space="preserve">) is lower </w:t>
      </w:r>
      <w:r w:rsidR="001C0C00" w:rsidRPr="00E723E2">
        <w:t>compare</w:t>
      </w:r>
      <w:r w:rsidR="008E2BF4">
        <w:t>d</w:t>
      </w:r>
      <w:r w:rsidR="001C0C00" w:rsidRPr="00E723E2">
        <w:t xml:space="preserve"> to</w:t>
      </w:r>
      <w:r w:rsidRPr="00E723E2">
        <w:t xml:space="preserve"> Ozempic therapy (1</w:t>
      </w:r>
      <w:r w:rsidR="00C863D8" w:rsidRPr="00E723E2">
        <w:t> </w:t>
      </w:r>
      <w:r w:rsidRPr="00E723E2">
        <w:t xml:space="preserve">mg/week </w:t>
      </w:r>
      <w:r w:rsidR="004A699F" w:rsidRPr="00E723E2">
        <w:t>subcutaneously</w:t>
      </w:r>
      <w:r w:rsidRPr="00E723E2">
        <w:t>).</w:t>
      </w:r>
    </w:p>
    <w:p w14:paraId="37D71D59" w14:textId="4DA2E8AA" w:rsidR="00A30C42" w:rsidRPr="00836794" w:rsidRDefault="00AB4FA1" w:rsidP="00A30C42">
      <w:proofErr w:type="spellStart"/>
      <w:r w:rsidRPr="00836794">
        <w:t>Salcaprozate</w:t>
      </w:r>
      <w:proofErr w:type="spellEnd"/>
      <w:r w:rsidRPr="00836794">
        <w:t xml:space="preserve"> sodium (SNAC) </w:t>
      </w:r>
      <w:r w:rsidR="00A30C42" w:rsidRPr="00836794">
        <w:t>was shown to be non-genotoxic in the standard battery of tests, and not carcinogenic in a 6</w:t>
      </w:r>
      <w:r w:rsidR="004A699F" w:rsidRPr="00836794">
        <w:t>-</w:t>
      </w:r>
      <w:r w:rsidR="00A30C42" w:rsidRPr="00836794">
        <w:t>month study in transgenic mice and a 2</w:t>
      </w:r>
      <w:r w:rsidR="004A699F" w:rsidRPr="00836794">
        <w:t>-</w:t>
      </w:r>
      <w:r w:rsidR="00A30C42" w:rsidRPr="00836794">
        <w:t>year study in rats.</w:t>
      </w:r>
    </w:p>
    <w:p w14:paraId="528DA77D" w14:textId="14BCAD1A" w:rsidR="00A30C42" w:rsidRPr="00836794" w:rsidRDefault="00AB4FA1" w:rsidP="00A30C42">
      <w:proofErr w:type="spellStart"/>
      <w:r w:rsidRPr="00836794">
        <w:t>Salcaprozate</w:t>
      </w:r>
      <w:proofErr w:type="spellEnd"/>
      <w:r w:rsidRPr="00836794">
        <w:t xml:space="preserve"> sodium (SNAC) </w:t>
      </w:r>
      <w:r w:rsidR="00A30C42" w:rsidRPr="00836794">
        <w:t xml:space="preserve">did not impair male or female fertility in </w:t>
      </w:r>
      <w:proofErr w:type="gramStart"/>
      <w:r w:rsidR="00A30C42" w:rsidRPr="00836794">
        <w:t>rats, or</w:t>
      </w:r>
      <w:proofErr w:type="gramEnd"/>
      <w:r w:rsidR="00A30C42" w:rsidRPr="00836794">
        <w:t xml:space="preserve"> cause adverse effects on embryofetal development in rats and rabbits. Increased stillbirths and decreased perinatal survival, accompanied by an increase in gestation duration, were observed with SNAC in a pre-</w:t>
      </w:r>
      <w:r w:rsidR="004A699F" w:rsidRPr="00836794">
        <w:t xml:space="preserve"> and </w:t>
      </w:r>
      <w:r w:rsidR="00A30C42" w:rsidRPr="00836794">
        <w:t>postnatal development study in rats, but no clinical relevance is seen considering the modest magnitude of the effect and the associated massive animal</w:t>
      </w:r>
      <w:r w:rsidR="004A699F" w:rsidRPr="00836794">
        <w:t xml:space="preserve"> to </w:t>
      </w:r>
      <w:r w:rsidR="00A30C42" w:rsidRPr="00836794">
        <w:t>human exposure ratio.</w:t>
      </w:r>
    </w:p>
    <w:p w14:paraId="1F5F3D2E" w14:textId="5185DEED" w:rsidR="00A30C42" w:rsidRPr="00836794" w:rsidRDefault="00A30C42" w:rsidP="00A30C42">
      <w:r w:rsidRPr="00836794">
        <w:t>The impurity specification for the Rybelsus drug product has been adequately qualified by submitted toxicity data.</w:t>
      </w:r>
    </w:p>
    <w:p w14:paraId="23BACE3A" w14:textId="77777777" w:rsidR="00A30C42" w:rsidRPr="00836794" w:rsidRDefault="00A30C42" w:rsidP="00A30C42">
      <w:pPr>
        <w:pStyle w:val="Heading4"/>
      </w:pPr>
      <w:bookmarkStart w:id="39" w:name="_Toc294861479"/>
      <w:bookmarkStart w:id="40" w:name="_Toc295290862"/>
      <w:bookmarkStart w:id="41" w:name="_Toc74832470"/>
      <w:bookmarkStart w:id="42" w:name="_Toc75353450"/>
      <w:bookmarkStart w:id="43" w:name="_Toc76654882"/>
      <w:bookmarkStart w:id="44" w:name="_Toc76721978"/>
      <w:r w:rsidRPr="00836794">
        <w:t xml:space="preserve">Conclusions and </w:t>
      </w:r>
      <w:bookmarkEnd w:id="39"/>
      <w:bookmarkEnd w:id="40"/>
      <w:r w:rsidRPr="00836794">
        <w:t>recommendation</w:t>
      </w:r>
      <w:bookmarkEnd w:id="41"/>
      <w:bookmarkEnd w:id="42"/>
      <w:bookmarkEnd w:id="43"/>
      <w:bookmarkEnd w:id="44"/>
      <w:r w:rsidRPr="00836794">
        <w:t>s</w:t>
      </w:r>
    </w:p>
    <w:p w14:paraId="5086499B" w14:textId="77777777" w:rsidR="00A30C42" w:rsidRPr="00836794" w:rsidRDefault="00A30C42" w:rsidP="00A30C42">
      <w:r w:rsidRPr="00836794">
        <w:t>The nonclinical dossier contained no major deficiencies.</w:t>
      </w:r>
    </w:p>
    <w:p w14:paraId="4AC2A489" w14:textId="228527EF" w:rsidR="00A30C42" w:rsidRPr="00836794" w:rsidRDefault="00A30C42" w:rsidP="00A30C42">
      <w:r w:rsidRPr="00836794">
        <w:t>The safety profile of orally</w:t>
      </w:r>
      <w:r w:rsidR="004A699F" w:rsidRPr="00836794">
        <w:t xml:space="preserve"> </w:t>
      </w:r>
      <w:r w:rsidRPr="00836794">
        <w:t xml:space="preserve">administered semaglutide in animals was </w:t>
      </w:r>
      <w:proofErr w:type="gramStart"/>
      <w:r w:rsidRPr="00836794">
        <w:t>similar to</w:t>
      </w:r>
      <w:proofErr w:type="gramEnd"/>
      <w:r w:rsidRPr="00836794">
        <w:t xml:space="preserve"> that seen in animals treated by the </w:t>
      </w:r>
      <w:r w:rsidR="004A699F" w:rsidRPr="00836794">
        <w:t>subcutaneous</w:t>
      </w:r>
      <w:r w:rsidRPr="00836794">
        <w:t xml:space="preserve"> route.</w:t>
      </w:r>
    </w:p>
    <w:p w14:paraId="282F04D2" w14:textId="4BEACF5E" w:rsidR="00A30C42" w:rsidRPr="00836794" w:rsidRDefault="00A30C42" w:rsidP="00A30C42">
      <w:r w:rsidRPr="00836794">
        <w:t xml:space="preserve">Safety of the absorption enhancer SNAC has been adequately demonstrated in nonclinical studies, along with a low potential for it to cause </w:t>
      </w:r>
      <w:r w:rsidR="00F918C9" w:rsidRPr="00836794">
        <w:t>PK</w:t>
      </w:r>
      <w:r w:rsidRPr="00836794">
        <w:t xml:space="preserve"> interactions with other medicines.</w:t>
      </w:r>
    </w:p>
    <w:p w14:paraId="2ED8B918" w14:textId="032C054B" w:rsidR="00A30C42" w:rsidRPr="00836794" w:rsidRDefault="00A30C42" w:rsidP="00A30C42">
      <w:r w:rsidRPr="00836794">
        <w:lastRenderedPageBreak/>
        <w:t>Pregnancy Category B3,</w:t>
      </w:r>
      <w:bookmarkStart w:id="45" w:name="_Ref117699505"/>
      <w:r w:rsidR="002E21A4">
        <w:rPr>
          <w:rStyle w:val="FootnoteReference"/>
        </w:rPr>
        <w:footnoteReference w:id="13"/>
      </w:r>
      <w:bookmarkEnd w:id="45"/>
      <w:r w:rsidRPr="00836794">
        <w:t xml:space="preserve"> as proposed by the </w:t>
      </w:r>
      <w:r w:rsidR="00DD79E3" w:rsidRPr="00836794">
        <w:t>sponsor</w:t>
      </w:r>
      <w:r w:rsidRPr="00836794">
        <w:t>, is not supported. This product should be assigned to Pregnancy Category D</w:t>
      </w:r>
      <w:r w:rsidR="002E21A4">
        <w:t>;</w:t>
      </w:r>
      <w:bookmarkStart w:id="46" w:name="_Ref117699522"/>
      <w:r w:rsidR="002E21A4">
        <w:rPr>
          <w:rStyle w:val="FootnoteReference"/>
        </w:rPr>
        <w:footnoteReference w:id="14"/>
      </w:r>
      <w:bookmarkEnd w:id="46"/>
      <w:r w:rsidRPr="00836794">
        <w:t xml:space="preserve"> instead due to demonstrated embryofetal lethality and toxicity, including malformations, observed with semaglutide at low or modest exposure margins in multiple laboratory animal species (and matching the existing categorisation for Ozempic).</w:t>
      </w:r>
    </w:p>
    <w:p w14:paraId="4B41882A" w14:textId="2585DDD9" w:rsidR="00A30C42" w:rsidRPr="00836794" w:rsidRDefault="00A30C42" w:rsidP="00A30C42">
      <w:r w:rsidRPr="00836794">
        <w:t>There are no nonclinical objections to the registration of Rybelsus for the proposed indications.</w:t>
      </w:r>
    </w:p>
    <w:p w14:paraId="3591E09A" w14:textId="77777777" w:rsidR="008E7846" w:rsidRPr="00836794" w:rsidRDefault="008E7846" w:rsidP="008E7846">
      <w:pPr>
        <w:pStyle w:val="Heading3"/>
      </w:pPr>
      <w:bookmarkStart w:id="47" w:name="_Toc247691530"/>
      <w:bookmarkStart w:id="48" w:name="_Toc314842513"/>
      <w:bookmarkStart w:id="49" w:name="_Toc117791821"/>
      <w:r w:rsidRPr="00836794">
        <w:t>Clinical</w:t>
      </w:r>
      <w:bookmarkEnd w:id="47"/>
      <w:bookmarkEnd w:id="48"/>
      <w:bookmarkEnd w:id="49"/>
    </w:p>
    <w:p w14:paraId="2D045891" w14:textId="77777777" w:rsidR="0074163C" w:rsidRPr="00836794" w:rsidRDefault="0074163C" w:rsidP="0074163C">
      <w:pPr>
        <w:pStyle w:val="Heading4"/>
      </w:pPr>
      <w:bookmarkStart w:id="50" w:name="_Toc98931928"/>
      <w:r w:rsidRPr="00836794">
        <w:t>Summary of clinical studies</w:t>
      </w:r>
      <w:bookmarkEnd w:id="50"/>
    </w:p>
    <w:p w14:paraId="1AC67344" w14:textId="77777777" w:rsidR="0074163C" w:rsidRPr="00836794" w:rsidRDefault="0074163C" w:rsidP="0074163C">
      <w:r w:rsidRPr="00836794">
        <w:t>The clinical dossier consisted of</w:t>
      </w:r>
      <w:r w:rsidR="00EB36D6" w:rsidRPr="00836794">
        <w:t>:</w:t>
      </w:r>
    </w:p>
    <w:p w14:paraId="6EAE2AFC" w14:textId="1AFA5A43" w:rsidR="004B6AD2" w:rsidRPr="00836794" w:rsidRDefault="004B6AD2" w:rsidP="004B6AD2">
      <w:pPr>
        <w:pStyle w:val="ListBullet"/>
      </w:pPr>
      <w:r w:rsidRPr="00836794">
        <w:t>2</w:t>
      </w:r>
      <w:r w:rsidR="00D64E7B">
        <w:t>2</w:t>
      </w:r>
      <w:r w:rsidR="0074163C" w:rsidRPr="00836794">
        <w:t xml:space="preserve"> Phase I studies</w:t>
      </w:r>
      <w:r w:rsidRPr="00836794">
        <w:t>: Stud</w:t>
      </w:r>
      <w:r w:rsidR="00DD79E3" w:rsidRPr="00836794">
        <w:t>ies</w:t>
      </w:r>
      <w:r w:rsidRPr="00836794">
        <w:t xml:space="preserve"> ERP-23, NN9924-4247, NN9924-3691, NN9924-3692. NN9924-3991, NN9924-4079, NN9924-4082, NN9924-4140, NN9924-4267, NN9924</w:t>
      </w:r>
      <w:r w:rsidR="00DD79E3" w:rsidRPr="00836794">
        <w:noBreakHyphen/>
      </w:r>
      <w:r w:rsidRPr="00836794">
        <w:t>3794, NN9924-3957, NN9924-4065, NN9924-4141, NN9924-4145, NN9924</w:t>
      </w:r>
      <w:r w:rsidR="00DD79E3" w:rsidRPr="00836794">
        <w:noBreakHyphen/>
      </w:r>
      <w:r w:rsidRPr="00836794">
        <w:t>4154, NN9924-4249, NN9924-4250, NN9929-4279, NN9924-4394, NN9924</w:t>
      </w:r>
      <w:r w:rsidR="00DD79E3" w:rsidRPr="00836794">
        <w:noBreakHyphen/>
      </w:r>
      <w:r w:rsidRPr="00836794">
        <w:t>4247</w:t>
      </w:r>
      <w:r w:rsidR="00D64E7B">
        <w:t xml:space="preserve">, </w:t>
      </w:r>
      <w:r w:rsidRPr="00836794">
        <w:t>NN9924-4248</w:t>
      </w:r>
      <w:r w:rsidR="00D64E7B" w:rsidRPr="00D64E7B">
        <w:t xml:space="preserve"> </w:t>
      </w:r>
      <w:r w:rsidR="00D64E7B">
        <w:t xml:space="preserve">and </w:t>
      </w:r>
      <w:proofErr w:type="spellStart"/>
      <w:r w:rsidR="00D64E7B" w:rsidRPr="00836794">
        <w:t>PopPK</w:t>
      </w:r>
      <w:proofErr w:type="spellEnd"/>
      <w:r w:rsidR="00D64E7B" w:rsidRPr="00836794">
        <w:t xml:space="preserve"> Analysis 1</w:t>
      </w:r>
      <w:r w:rsidR="00D64E7B">
        <w:t>.</w:t>
      </w:r>
    </w:p>
    <w:p w14:paraId="6446A5B6" w14:textId="1E98D948" w:rsidR="004B6AD2" w:rsidRPr="00836794" w:rsidRDefault="00D64E7B" w:rsidP="004B6AD2">
      <w:pPr>
        <w:pStyle w:val="ListBullet"/>
        <w:rPr>
          <w:lang w:eastAsia="ja-JP"/>
        </w:rPr>
      </w:pPr>
      <w:r>
        <w:rPr>
          <w:lang w:eastAsia="ja-JP"/>
        </w:rPr>
        <w:t>2</w:t>
      </w:r>
      <w:r w:rsidR="004B6AD2" w:rsidRPr="00836794">
        <w:rPr>
          <w:lang w:eastAsia="ja-JP"/>
        </w:rPr>
        <w:t xml:space="preserve"> Phase II study: Study NN9924-3790</w:t>
      </w:r>
      <w:r>
        <w:rPr>
          <w:lang w:eastAsia="ja-JP"/>
        </w:rPr>
        <w:t xml:space="preserve"> and </w:t>
      </w:r>
      <w:proofErr w:type="spellStart"/>
      <w:r w:rsidRPr="00836794">
        <w:t>PopPK</w:t>
      </w:r>
      <w:proofErr w:type="spellEnd"/>
      <w:r w:rsidRPr="00836794">
        <w:t xml:space="preserve"> Analysis 2</w:t>
      </w:r>
      <w:r>
        <w:t>.</w:t>
      </w:r>
    </w:p>
    <w:p w14:paraId="78E89D5C" w14:textId="25B1D565" w:rsidR="00D64E7B" w:rsidRPr="00836794" w:rsidRDefault="004B6AD2" w:rsidP="00D64E7B">
      <w:pPr>
        <w:pStyle w:val="ListBullet"/>
        <w:rPr>
          <w:lang w:eastAsia="ja-JP"/>
        </w:rPr>
      </w:pPr>
      <w:r w:rsidRPr="00836794">
        <w:rPr>
          <w:lang w:eastAsia="ja-JP"/>
        </w:rPr>
        <w:t>1</w:t>
      </w:r>
      <w:r w:rsidR="00D64E7B">
        <w:rPr>
          <w:lang w:eastAsia="ja-JP"/>
        </w:rPr>
        <w:t>1</w:t>
      </w:r>
      <w:r w:rsidRPr="00836794">
        <w:rPr>
          <w:lang w:eastAsia="ja-JP"/>
        </w:rPr>
        <w:t xml:space="preserve"> Phase III studies: </w:t>
      </w:r>
      <w:r w:rsidR="00DD79E3" w:rsidRPr="00836794">
        <w:rPr>
          <w:lang w:eastAsia="ja-JP"/>
        </w:rPr>
        <w:t xml:space="preserve">the </w:t>
      </w:r>
      <w:r w:rsidRPr="00836794">
        <w:rPr>
          <w:lang w:eastAsia="ja-JP"/>
        </w:rPr>
        <w:t>PIONEER 1, PIONEER 2, PIONEER 3, PIONEER 4, PIONEER</w:t>
      </w:r>
      <w:r w:rsidR="001837FF">
        <w:rPr>
          <w:lang w:eastAsia="ja-JP"/>
        </w:rPr>
        <w:t> </w:t>
      </w:r>
      <w:r w:rsidRPr="00836794">
        <w:rPr>
          <w:lang w:eastAsia="ja-JP"/>
        </w:rPr>
        <w:t xml:space="preserve">5, </w:t>
      </w:r>
      <w:r w:rsidRPr="00836794">
        <w:t xml:space="preserve">PIONEER 6, PIONEER 7, </w:t>
      </w:r>
      <w:r w:rsidRPr="00836794">
        <w:rPr>
          <w:lang w:eastAsia="ja-JP"/>
        </w:rPr>
        <w:t xml:space="preserve">PIONEER 8, </w:t>
      </w:r>
      <w:r w:rsidRPr="00836794">
        <w:t>PIONEER 9</w:t>
      </w:r>
      <w:r w:rsidR="00D64E7B">
        <w:t xml:space="preserve">, </w:t>
      </w:r>
      <w:r w:rsidRPr="00836794">
        <w:t>PIONEER 10</w:t>
      </w:r>
      <w:r w:rsidR="00DD79E3" w:rsidRPr="00836794">
        <w:t xml:space="preserve"> trials</w:t>
      </w:r>
      <w:r w:rsidR="00D64E7B">
        <w:t xml:space="preserve"> and </w:t>
      </w:r>
      <w:proofErr w:type="spellStart"/>
      <w:r w:rsidR="00D64E7B" w:rsidRPr="00836794">
        <w:t>PopPK</w:t>
      </w:r>
      <w:proofErr w:type="spellEnd"/>
      <w:r w:rsidR="001837FF">
        <w:t> </w:t>
      </w:r>
      <w:r w:rsidR="00D64E7B" w:rsidRPr="00836794">
        <w:t>Analysis 3</w:t>
      </w:r>
      <w:r w:rsidR="00D64E7B">
        <w:t>.</w:t>
      </w:r>
    </w:p>
    <w:p w14:paraId="259A712D" w14:textId="2D26E4B5" w:rsidR="00A30C42" w:rsidRPr="00836794" w:rsidRDefault="00A30C42" w:rsidP="00612622">
      <w:r w:rsidRPr="00836794">
        <w:t xml:space="preserve">The application is for registration of a novel formulation of a currently approved active ingredient. The novel formulation includes an excipient, SNAC, which is not inert, and which has an action on the gastrointestinal system that aids permeability and absorption. Data for the </w:t>
      </w:r>
      <w:r w:rsidR="00F918C9" w:rsidRPr="00836794">
        <w:t>PK</w:t>
      </w:r>
      <w:r w:rsidRPr="00836794">
        <w:t xml:space="preserve">, exposure and safety of SNAC have been provided. The </w:t>
      </w:r>
      <w:r w:rsidR="00DD79E3" w:rsidRPr="00836794">
        <w:t>sponsor</w:t>
      </w:r>
      <w:r w:rsidRPr="00836794">
        <w:t xml:space="preserve"> has also determined the minimal effective dose that aids absorption.</w:t>
      </w:r>
    </w:p>
    <w:p w14:paraId="30F4917B" w14:textId="41027DFE" w:rsidR="00A30C42" w:rsidRDefault="00A30C42" w:rsidP="00EE706A">
      <w:r w:rsidRPr="00836794">
        <w:t xml:space="preserve">The </w:t>
      </w:r>
      <w:r w:rsidR="00DD79E3" w:rsidRPr="00836794">
        <w:t>sponsor</w:t>
      </w:r>
      <w:r w:rsidRPr="00836794">
        <w:t xml:space="preserve"> has provided a complete development program for oral semaglutide that includes Phase </w:t>
      </w:r>
      <w:r w:rsidR="00DD79E3" w:rsidRPr="00836794">
        <w:t>III</w:t>
      </w:r>
      <w:r w:rsidRPr="00836794">
        <w:t xml:space="preserve"> studies. An overview of all relevant studies is shown in </w:t>
      </w:r>
      <w:r w:rsidRPr="00836794">
        <w:fldChar w:fldCharType="begin"/>
      </w:r>
      <w:r w:rsidRPr="00836794">
        <w:instrText xml:space="preserve"> REF _Ref80616027 \h  \* MERGEFORMAT </w:instrText>
      </w:r>
      <w:r w:rsidRPr="00836794">
        <w:fldChar w:fldCharType="separate"/>
      </w:r>
      <w:r w:rsidR="00E5082D" w:rsidRPr="00703318">
        <w:t xml:space="preserve">Table </w:t>
      </w:r>
      <w:r w:rsidR="00E5082D">
        <w:t>3</w:t>
      </w:r>
      <w:r w:rsidRPr="00836794">
        <w:fldChar w:fldCharType="end"/>
      </w:r>
      <w:r w:rsidRPr="00836794">
        <w:t xml:space="preserve"> (ongoing </w:t>
      </w:r>
      <w:r w:rsidR="00F918C9" w:rsidRPr="00836794">
        <w:t>P</w:t>
      </w:r>
      <w:r w:rsidRPr="00836794">
        <w:t>K</w:t>
      </w:r>
      <w:r w:rsidR="00F918C9" w:rsidRPr="00836794">
        <w:t>)</w:t>
      </w:r>
      <w:r w:rsidRPr="00836794">
        <w:t xml:space="preserve"> studies 4427 and 4248, and </w:t>
      </w:r>
      <w:r w:rsidR="00DD79E3" w:rsidRPr="00836794">
        <w:t xml:space="preserve">the </w:t>
      </w:r>
      <w:r w:rsidRPr="00836794">
        <w:t xml:space="preserve">PIONEER 7 </w:t>
      </w:r>
      <w:r w:rsidR="00DD79E3" w:rsidRPr="00836794">
        <w:t xml:space="preserve">trial </w:t>
      </w:r>
      <w:r w:rsidRPr="00836794">
        <w:t>extension are not shown).</w:t>
      </w:r>
    </w:p>
    <w:p w14:paraId="2EA5E2D9" w14:textId="5DF764FB" w:rsidR="00DD79E3" w:rsidRPr="00836794" w:rsidRDefault="00A30C42" w:rsidP="00EE706A">
      <w:r w:rsidRPr="00836794">
        <w:t xml:space="preserve">Additionally, three </w:t>
      </w:r>
      <w:r w:rsidR="00836794" w:rsidRPr="00836794">
        <w:t>population pharmacokinetics (</w:t>
      </w:r>
      <w:proofErr w:type="spellStart"/>
      <w:r w:rsidR="00FC4476" w:rsidRPr="00836794">
        <w:t>P</w:t>
      </w:r>
      <w:r w:rsidRPr="00836794">
        <w:t>opPK</w:t>
      </w:r>
      <w:proofErr w:type="spellEnd"/>
      <w:r w:rsidR="00836794" w:rsidRPr="00836794">
        <w:t>)</w:t>
      </w:r>
      <w:r w:rsidRPr="00836794">
        <w:t xml:space="preserve"> analyses were conducted</w:t>
      </w:r>
      <w:r w:rsidR="00DD79E3" w:rsidRPr="00836794">
        <w:t>:</w:t>
      </w:r>
    </w:p>
    <w:p w14:paraId="6A83691D" w14:textId="01A3C4CB" w:rsidR="00DD79E3" w:rsidRPr="00836794" w:rsidRDefault="00A30C42" w:rsidP="00484415">
      <w:pPr>
        <w:pStyle w:val="ListBullet"/>
      </w:pPr>
      <w:proofErr w:type="spellStart"/>
      <w:r w:rsidRPr="00836794">
        <w:t>PopPK</w:t>
      </w:r>
      <w:proofErr w:type="spellEnd"/>
      <w:r w:rsidRPr="00836794">
        <w:t xml:space="preserve"> </w:t>
      </w:r>
      <w:r w:rsidR="00DD79E3" w:rsidRPr="00836794">
        <w:t>A</w:t>
      </w:r>
      <w:r w:rsidRPr="00836794">
        <w:t xml:space="preserve">nalysis 1 of Phase </w:t>
      </w:r>
      <w:r w:rsidR="00DD79E3" w:rsidRPr="00836794">
        <w:t>I</w:t>
      </w:r>
      <w:r w:rsidRPr="00836794">
        <w:t xml:space="preserve"> studies</w:t>
      </w:r>
      <w:r w:rsidR="00484415">
        <w:t>.</w:t>
      </w:r>
    </w:p>
    <w:p w14:paraId="07858B73" w14:textId="3C8B0C62" w:rsidR="00DD79E3" w:rsidRPr="00836794" w:rsidRDefault="00A30C42" w:rsidP="00484415">
      <w:pPr>
        <w:pStyle w:val="ListBullet"/>
      </w:pPr>
      <w:proofErr w:type="spellStart"/>
      <w:r w:rsidRPr="00836794">
        <w:t>PopPK</w:t>
      </w:r>
      <w:proofErr w:type="spellEnd"/>
      <w:r w:rsidRPr="00836794">
        <w:t xml:space="preserve"> </w:t>
      </w:r>
      <w:r w:rsidR="00DD79E3" w:rsidRPr="00836794">
        <w:t>A</w:t>
      </w:r>
      <w:r w:rsidRPr="00836794">
        <w:t xml:space="preserve">nalysis 2 of Phase </w:t>
      </w:r>
      <w:r w:rsidR="00DD79E3" w:rsidRPr="00836794">
        <w:t>II</w:t>
      </w:r>
      <w:r w:rsidRPr="00836794">
        <w:t xml:space="preserve"> study</w:t>
      </w:r>
      <w:r w:rsidR="00484415">
        <w:t>.</w:t>
      </w:r>
    </w:p>
    <w:p w14:paraId="317DF620" w14:textId="02B95F87" w:rsidR="00A30C42" w:rsidRPr="00836794" w:rsidRDefault="00A30C42" w:rsidP="00484415">
      <w:pPr>
        <w:pStyle w:val="ListBullet"/>
      </w:pPr>
      <w:proofErr w:type="spellStart"/>
      <w:r w:rsidRPr="00836794">
        <w:t>PopPK</w:t>
      </w:r>
      <w:proofErr w:type="spellEnd"/>
      <w:r w:rsidRPr="00836794">
        <w:t xml:space="preserve"> </w:t>
      </w:r>
      <w:r w:rsidR="00DD79E3" w:rsidRPr="00836794">
        <w:t>A</w:t>
      </w:r>
      <w:r w:rsidRPr="00836794">
        <w:t xml:space="preserve">nalysis 3 of Phase </w:t>
      </w:r>
      <w:r w:rsidR="00DD79E3" w:rsidRPr="00836794">
        <w:t>III</w:t>
      </w:r>
      <w:r w:rsidRPr="00836794">
        <w:t xml:space="preserve"> studies.</w:t>
      </w:r>
    </w:p>
    <w:p w14:paraId="4857E651" w14:textId="003FD7DE" w:rsidR="00A30C42" w:rsidRPr="00703318" w:rsidRDefault="00A30C42" w:rsidP="00703318">
      <w:pPr>
        <w:pStyle w:val="TableTitle"/>
      </w:pPr>
      <w:bookmarkStart w:id="51" w:name="_Ref80616027"/>
      <w:r w:rsidRPr="00703318">
        <w:lastRenderedPageBreak/>
        <w:t xml:space="preserve">Table </w:t>
      </w:r>
      <w:fldSimple w:instr=" SEQ Table \* ARABIC ">
        <w:r w:rsidR="00E5082D">
          <w:rPr>
            <w:noProof/>
          </w:rPr>
          <w:t>3</w:t>
        </w:r>
      </w:fldSimple>
      <w:bookmarkEnd w:id="51"/>
      <w:r w:rsidR="001277FB" w:rsidRPr="00703318">
        <w:t>:</w:t>
      </w:r>
      <w:r w:rsidRPr="00703318">
        <w:t xml:space="preserve"> Overview of the </w:t>
      </w:r>
      <w:r w:rsidR="007013B0" w:rsidRPr="00703318">
        <w:t>Rybelsus</w:t>
      </w:r>
      <w:r w:rsidRPr="00703318">
        <w:t xml:space="preserve"> clinical trial program studies</w:t>
      </w:r>
    </w:p>
    <w:p w14:paraId="5961349C" w14:textId="5FF06B1D" w:rsidR="00016650" w:rsidRPr="00016650" w:rsidRDefault="00016650" w:rsidP="00703318">
      <w:r>
        <w:rPr>
          <w:noProof/>
          <w:lang w:val="en-GB" w:eastAsia="en-GB"/>
        </w:rPr>
        <w:drawing>
          <wp:inline distT="0" distB="0" distL="0" distR="0" wp14:anchorId="254A12F3" wp14:editId="4C67793F">
            <wp:extent cx="5400040" cy="3324860"/>
            <wp:effectExtent l="0" t="0" r="0" b="8890"/>
            <wp:docPr id="2" name="Picture 2" descr="Table 3: Overview of the Rybelsus clinical trial progra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 Overview of the Rybelsus clinical trial program studies"/>
                    <pic:cNvPicPr/>
                  </pic:nvPicPr>
                  <pic:blipFill>
                    <a:blip r:embed="rId18"/>
                    <a:stretch>
                      <a:fillRect/>
                    </a:stretch>
                  </pic:blipFill>
                  <pic:spPr>
                    <a:xfrm>
                      <a:off x="0" y="0"/>
                      <a:ext cx="5400040" cy="3324860"/>
                    </a:xfrm>
                    <a:prstGeom prst="rect">
                      <a:avLst/>
                    </a:prstGeom>
                  </pic:spPr>
                </pic:pic>
              </a:graphicData>
            </a:graphic>
          </wp:inline>
        </w:drawing>
      </w:r>
    </w:p>
    <w:p w14:paraId="1B5858D5" w14:textId="2D8EF846" w:rsidR="00E9191D" w:rsidRPr="00703318" w:rsidRDefault="00315285" w:rsidP="00703318">
      <w:pPr>
        <w:pStyle w:val="TableDescription"/>
      </w:pPr>
      <w:r>
        <w:t xml:space="preserve">Abbreviations: </w:t>
      </w:r>
      <w:r w:rsidR="00E9191D" w:rsidRPr="00703318">
        <w:t xml:space="preserve">AME = absorption, </w:t>
      </w:r>
      <w:proofErr w:type="gramStart"/>
      <w:r w:rsidR="00E9191D" w:rsidRPr="00703318">
        <w:t>metabolism</w:t>
      </w:r>
      <w:proofErr w:type="gramEnd"/>
      <w:r w:rsidR="00E9191D" w:rsidRPr="00703318">
        <w:t xml:space="preserve"> and excretion; CVOT = cardiovascular outcomes trial; FHD = first human dose; OAD = oral anti-diabetic drug; P = PIONEER trial; QTc = corrected QT interval; SNAC</w:t>
      </w:r>
      <w:r>
        <w:t> </w:t>
      </w:r>
      <w:r w:rsidR="00E9191D" w:rsidRPr="00703318">
        <w:t xml:space="preserve">= </w:t>
      </w:r>
      <w:proofErr w:type="spellStart"/>
      <w:r w:rsidR="00E9191D" w:rsidRPr="00703318">
        <w:t>salcaprozate</w:t>
      </w:r>
      <w:proofErr w:type="spellEnd"/>
      <w:r w:rsidR="00E9191D" w:rsidRPr="00703318">
        <w:t xml:space="preserve"> sodium; vs = versus.</w:t>
      </w:r>
    </w:p>
    <w:p w14:paraId="445C0A40" w14:textId="5B7695C1" w:rsidR="00016650" w:rsidRPr="00703318" w:rsidRDefault="00016650" w:rsidP="00703318">
      <w:pPr>
        <w:pStyle w:val="TableDescription"/>
      </w:pPr>
      <w:proofErr w:type="spellStart"/>
      <w:r w:rsidRPr="00703318">
        <w:t>a</w:t>
      </w:r>
      <w:proofErr w:type="spellEnd"/>
      <w:r w:rsidRPr="00703318">
        <w:t xml:space="preserve"> Includes an ongoing extension trial</w:t>
      </w:r>
      <w:r w:rsidR="00315285">
        <w:t>.</w:t>
      </w:r>
    </w:p>
    <w:p w14:paraId="6CC14BF0" w14:textId="6F5BF8DC" w:rsidR="00016650" w:rsidRPr="00703318" w:rsidRDefault="00016650" w:rsidP="00703318">
      <w:pPr>
        <w:pStyle w:val="TableDescription"/>
      </w:pPr>
      <w:r w:rsidRPr="00703318">
        <w:t>b Phase II/III trial</w:t>
      </w:r>
      <w:r w:rsidR="00315285">
        <w:t>.</w:t>
      </w:r>
    </w:p>
    <w:p w14:paraId="1D30ADE1" w14:textId="21D8D0D0" w:rsidR="00016650" w:rsidRPr="00703318" w:rsidRDefault="00016650" w:rsidP="00703318">
      <w:pPr>
        <w:pStyle w:val="TableDescription"/>
      </w:pPr>
      <w:r w:rsidRPr="00703318">
        <w:t>c Trials with subcutaneous semaglutide for type 2 diabetes (Ozempic). The sponsor’s project number NN9535 is included for these trials.</w:t>
      </w:r>
    </w:p>
    <w:p w14:paraId="6746C4F5" w14:textId="7DFC1D40" w:rsidR="00016650" w:rsidRPr="00703318" w:rsidRDefault="00016650" w:rsidP="00703318">
      <w:pPr>
        <w:pStyle w:val="TableDescription"/>
      </w:pPr>
      <w:r w:rsidRPr="00703318">
        <w:t xml:space="preserve">d Trial sponsored by </w:t>
      </w:r>
      <w:proofErr w:type="spellStart"/>
      <w:r w:rsidRPr="00703318">
        <w:t>Emisphere</w:t>
      </w:r>
      <w:proofErr w:type="spellEnd"/>
      <w:r w:rsidRPr="00703318">
        <w:t xml:space="preserve"> Technologies.</w:t>
      </w:r>
    </w:p>
    <w:p w14:paraId="754838D6" w14:textId="77777777" w:rsidR="00A30C42" w:rsidRPr="00836794" w:rsidRDefault="00A30C42" w:rsidP="004B6AD2">
      <w:pPr>
        <w:pStyle w:val="Heading4"/>
      </w:pPr>
      <w:r w:rsidRPr="00836794">
        <w:t>Pharmacology</w:t>
      </w:r>
    </w:p>
    <w:p w14:paraId="6EB9660C" w14:textId="2865593E" w:rsidR="00A30C42" w:rsidRPr="00836794" w:rsidRDefault="00A30C42" w:rsidP="004B6AD2">
      <w:pPr>
        <w:pStyle w:val="Heading5"/>
      </w:pPr>
      <w:r w:rsidRPr="00836794">
        <w:t>Pharmacokinetics</w:t>
      </w:r>
    </w:p>
    <w:p w14:paraId="598CC162" w14:textId="77777777" w:rsidR="00A30C42" w:rsidRPr="00836794" w:rsidRDefault="00A30C42" w:rsidP="004B6AD2">
      <w:pPr>
        <w:pStyle w:val="Heading6"/>
      </w:pPr>
      <w:bookmarkStart w:id="52" w:name="_Toc272414619"/>
      <w:bookmarkStart w:id="53" w:name="_Toc290888468"/>
      <w:bookmarkStart w:id="54" w:name="_Toc416353664"/>
      <w:r w:rsidRPr="00836794">
        <w:t>Absorption</w:t>
      </w:r>
      <w:bookmarkEnd w:id="52"/>
      <w:bookmarkEnd w:id="53"/>
      <w:bookmarkEnd w:id="54"/>
    </w:p>
    <w:p w14:paraId="7A940243" w14:textId="77777777" w:rsidR="00612622" w:rsidRPr="00836794" w:rsidRDefault="00A30C42" w:rsidP="00612622">
      <w:pPr>
        <w:pStyle w:val="Heading7"/>
        <w:rPr>
          <w:sz w:val="22"/>
          <w:szCs w:val="28"/>
        </w:rPr>
      </w:pPr>
      <w:r w:rsidRPr="00836794">
        <w:rPr>
          <w:sz w:val="22"/>
          <w:szCs w:val="28"/>
        </w:rPr>
        <w:t>Semaglutide</w:t>
      </w:r>
    </w:p>
    <w:p w14:paraId="07E3C384" w14:textId="2BC47B40" w:rsidR="00A30C42" w:rsidRPr="00836794" w:rsidRDefault="00A30C42" w:rsidP="00612622">
      <w:r w:rsidRPr="00836794">
        <w:t xml:space="preserve">The </w:t>
      </w:r>
      <w:r w:rsidR="00F918C9" w:rsidRPr="00836794">
        <w:t>PK</w:t>
      </w:r>
      <w:r w:rsidRPr="00836794">
        <w:t xml:space="preserve"> of oral semaglutide have been adequately characterised. Oral semaglutide appears to be dose proportional in the proposed dosing range. Semaglutide has a long </w:t>
      </w:r>
      <w:proofErr w:type="spellStart"/>
      <w:r w:rsidRPr="00836794">
        <w:t>half</w:t>
      </w:r>
      <w:r w:rsidR="00AB4FA1" w:rsidRPr="00836794">
        <w:t xml:space="preserve"> </w:t>
      </w:r>
      <w:r w:rsidRPr="00836794">
        <w:t>life</w:t>
      </w:r>
      <w:proofErr w:type="spellEnd"/>
      <w:r w:rsidRPr="00836794">
        <w:t xml:space="preserve"> and is degraded primarily by proteolytic cleavage.</w:t>
      </w:r>
    </w:p>
    <w:p w14:paraId="47D05C8B" w14:textId="02F18146" w:rsidR="00A30C42" w:rsidRPr="00836794" w:rsidRDefault="00A30C42" w:rsidP="00612622">
      <w:r w:rsidRPr="00836794">
        <w:t>Orally administered semaglutide has a low absolute bioavailability. Based on Phase</w:t>
      </w:r>
      <w:r w:rsidR="00AB4FA1" w:rsidRPr="00836794">
        <w:t> </w:t>
      </w:r>
      <w:r w:rsidRPr="00836794">
        <w:t xml:space="preserve">I </w:t>
      </w:r>
      <w:proofErr w:type="spellStart"/>
      <w:r w:rsidR="00FC4476" w:rsidRPr="00836794">
        <w:t>P</w:t>
      </w:r>
      <w:r w:rsidRPr="00836794">
        <w:t>opPK</w:t>
      </w:r>
      <w:proofErr w:type="spellEnd"/>
      <w:r w:rsidRPr="00836794">
        <w:t xml:space="preserve"> data (dosed with 120 mL water and 30 min post-dose fasting), absolute bioavailability was 0.76%, </w:t>
      </w:r>
      <w:r w:rsidR="00A62DCA" w:rsidRPr="00836794">
        <w:t>clearance</w:t>
      </w:r>
      <w:r w:rsidRPr="00836794">
        <w:t xml:space="preserve"> was 0.03 L/</w:t>
      </w:r>
      <w:proofErr w:type="gramStart"/>
      <w:r w:rsidRPr="00836794">
        <w:t>h</w:t>
      </w:r>
      <w:proofErr w:type="gramEnd"/>
      <w:r w:rsidRPr="00836794">
        <w:t xml:space="preserve"> and </w:t>
      </w:r>
      <w:proofErr w:type="spellStart"/>
      <w:r w:rsidR="00D2507B" w:rsidRPr="00836794">
        <w:t>half life</w:t>
      </w:r>
      <w:proofErr w:type="spellEnd"/>
      <w:r w:rsidR="00D2507B" w:rsidRPr="00836794">
        <w:t xml:space="preserve"> </w:t>
      </w:r>
      <w:r w:rsidRPr="00836794">
        <w:t xml:space="preserve">was 158 </w:t>
      </w:r>
      <w:r w:rsidR="00AB4FA1" w:rsidRPr="00836794">
        <w:t>hours</w:t>
      </w:r>
      <w:r w:rsidRPr="00836794">
        <w:t>. Absorption of semaglutide is decreased if taken with food or large volumes of water. A longer post</w:t>
      </w:r>
      <w:r w:rsidR="00BB71CC">
        <w:noBreakHyphen/>
      </w:r>
      <w:r w:rsidRPr="00836794">
        <w:t>dose fasting period results in higher absorption.</w:t>
      </w:r>
    </w:p>
    <w:p w14:paraId="1F7B262D" w14:textId="0EAFA81E" w:rsidR="00A30C42" w:rsidRPr="00836794" w:rsidRDefault="00A30C42" w:rsidP="00612622">
      <w:r w:rsidRPr="00836794">
        <w:t xml:space="preserve">Oral semaglutide has high variability in absorption/systemic exposure. In multiple dose Study NN9924-3692, inter-individual variability, although still high, was less than with single dosing: for </w:t>
      </w:r>
      <w:r w:rsidR="00F918C9" w:rsidRPr="00836794">
        <w:t>area under the concentration-time curve over a dosing interval (</w:t>
      </w:r>
      <w:r w:rsidRPr="00836794">
        <w:t>AUC</w:t>
      </w:r>
      <w:r w:rsidRPr="00836794">
        <w:rPr>
          <w:vertAlign w:val="subscript"/>
        </w:rPr>
        <w:t>tau</w:t>
      </w:r>
      <w:r w:rsidR="00F918C9" w:rsidRPr="00836794">
        <w:t>)</w:t>
      </w:r>
      <w:r w:rsidRPr="00836794">
        <w:t xml:space="preserve"> 63% to 140%. Intra-individual </w:t>
      </w:r>
      <w:r w:rsidR="0078534A" w:rsidRPr="00836794">
        <w:t>coefficient of variation (</w:t>
      </w:r>
      <w:r w:rsidRPr="00836794">
        <w:t>CV</w:t>
      </w:r>
      <w:r w:rsidR="0078534A" w:rsidRPr="00836794">
        <w:t>)</w:t>
      </w:r>
      <w:r w:rsidRPr="00836794">
        <w:t>% ranged from 23.6% to 102.6%. Inter-individual CV% ranged from 48.4% to 261.8%. Intra-individual and inter</w:t>
      </w:r>
      <w:r w:rsidR="00AB4FA1" w:rsidRPr="00836794">
        <w:noBreakHyphen/>
      </w:r>
      <w:r w:rsidRPr="00836794">
        <w:t xml:space="preserve">individual variability for </w:t>
      </w:r>
      <w:proofErr w:type="spellStart"/>
      <w:r w:rsidRPr="00836794">
        <w:t>C</w:t>
      </w:r>
      <w:r w:rsidRPr="00836794">
        <w:rPr>
          <w:vertAlign w:val="subscript"/>
        </w:rPr>
        <w:t>max</w:t>
      </w:r>
      <w:proofErr w:type="spellEnd"/>
      <w:r w:rsidRPr="00836794">
        <w:t xml:space="preserve"> were both high, particularly for the semaglutide 5 mg / SNAC 300</w:t>
      </w:r>
      <w:r w:rsidR="00AB4FA1" w:rsidRPr="00836794">
        <w:t> </w:t>
      </w:r>
      <w:r w:rsidRPr="00836794">
        <w:t>mg dose level.</w:t>
      </w:r>
    </w:p>
    <w:p w14:paraId="34DC3462" w14:textId="7E23D319" w:rsidR="00612622" w:rsidRPr="00836794" w:rsidRDefault="00AB4FA1" w:rsidP="00612622">
      <w:pPr>
        <w:pStyle w:val="Heading7"/>
        <w:rPr>
          <w:sz w:val="22"/>
          <w:szCs w:val="28"/>
          <w:lang w:eastAsia="ja-JP"/>
        </w:rPr>
      </w:pPr>
      <w:proofErr w:type="spellStart"/>
      <w:r w:rsidRPr="00836794">
        <w:rPr>
          <w:sz w:val="22"/>
          <w:szCs w:val="28"/>
          <w:lang w:eastAsia="ja-JP"/>
        </w:rPr>
        <w:lastRenderedPageBreak/>
        <w:t>Salcaprozate</w:t>
      </w:r>
      <w:proofErr w:type="spellEnd"/>
      <w:r w:rsidRPr="00836794">
        <w:rPr>
          <w:sz w:val="22"/>
          <w:szCs w:val="28"/>
          <w:lang w:eastAsia="ja-JP"/>
        </w:rPr>
        <w:t xml:space="preserve"> sodium</w:t>
      </w:r>
    </w:p>
    <w:p w14:paraId="5274527B" w14:textId="03D14BE9" w:rsidR="00A30C42" w:rsidRPr="00836794" w:rsidRDefault="00A30C42" w:rsidP="00612622">
      <w:proofErr w:type="spellStart"/>
      <w:r w:rsidRPr="00836794">
        <w:t>Salcaprozate</w:t>
      </w:r>
      <w:proofErr w:type="spellEnd"/>
      <w:r w:rsidRPr="00836794">
        <w:t xml:space="preserve"> sodium (SNAC) is rapidly and extensively absorbed, with a</w:t>
      </w:r>
      <w:r w:rsidR="0078534A" w:rsidRPr="00836794">
        <w:t xml:space="preserve"> time to maximum concentration</w:t>
      </w:r>
      <w:r w:rsidRPr="00836794">
        <w:t xml:space="preserve"> </w:t>
      </w:r>
      <w:r w:rsidR="0078534A" w:rsidRPr="00836794">
        <w:t>(</w:t>
      </w:r>
      <w:proofErr w:type="spellStart"/>
      <w:r w:rsidRPr="00836794">
        <w:t>T</w:t>
      </w:r>
      <w:r w:rsidRPr="00836794">
        <w:rPr>
          <w:vertAlign w:val="subscript"/>
        </w:rPr>
        <w:t>max</w:t>
      </w:r>
      <w:proofErr w:type="spellEnd"/>
      <w:r w:rsidR="0078534A" w:rsidRPr="00836794">
        <w:t>)</w:t>
      </w:r>
      <w:r w:rsidRPr="00836794">
        <w:t xml:space="preserve"> of 0.58 </w:t>
      </w:r>
      <w:r w:rsidR="00AB4FA1" w:rsidRPr="00836794">
        <w:t>hour</w:t>
      </w:r>
      <w:r w:rsidR="007C31A1">
        <w:t xml:space="preserve"> (Study ERP-23)</w:t>
      </w:r>
      <w:r w:rsidRPr="00836794">
        <w:t>.</w:t>
      </w:r>
    </w:p>
    <w:p w14:paraId="538D131F" w14:textId="3A91A954" w:rsidR="00A30C42" w:rsidRPr="00836794" w:rsidRDefault="00A30C42" w:rsidP="00612622">
      <w:r w:rsidRPr="00836794">
        <w:t xml:space="preserve">Based on </w:t>
      </w:r>
      <w:r w:rsidRPr="00836794">
        <w:rPr>
          <w:i/>
          <w:iCs/>
        </w:rPr>
        <w:t>in vitro</w:t>
      </w:r>
      <w:r w:rsidRPr="00836794">
        <w:t xml:space="preserve"> data, SNAC facilitates absorption of semaglutide which mainly occurs in the stomach. Exposure to SNAC decreased with increasing fasting time post-dosing. There was no significant effect for water volume. There was no accumulation of SNAC over time for any of the dose levels of SNAC.</w:t>
      </w:r>
    </w:p>
    <w:p w14:paraId="66236F51" w14:textId="77777777" w:rsidR="00A30C42" w:rsidRPr="00836794" w:rsidRDefault="00A30C42" w:rsidP="004B6AD2">
      <w:pPr>
        <w:pStyle w:val="Heading6"/>
      </w:pPr>
      <w:bookmarkStart w:id="55" w:name="_Toc241374287"/>
      <w:bookmarkStart w:id="56" w:name="_Toc272414620"/>
      <w:bookmarkStart w:id="57" w:name="_Toc290888469"/>
      <w:bookmarkStart w:id="58" w:name="_Toc416353665"/>
      <w:r w:rsidRPr="00836794">
        <w:t>Distribution</w:t>
      </w:r>
    </w:p>
    <w:p w14:paraId="6F6C829A" w14:textId="77777777" w:rsidR="00612622" w:rsidRPr="00836794" w:rsidRDefault="00A30C42" w:rsidP="00612622">
      <w:pPr>
        <w:pStyle w:val="Heading7"/>
        <w:rPr>
          <w:sz w:val="22"/>
          <w:szCs w:val="28"/>
        </w:rPr>
      </w:pPr>
      <w:r w:rsidRPr="00836794">
        <w:rPr>
          <w:sz w:val="22"/>
          <w:szCs w:val="28"/>
        </w:rPr>
        <w:t>Semaglutide</w:t>
      </w:r>
    </w:p>
    <w:p w14:paraId="78725535" w14:textId="48C7D021" w:rsidR="00A30C42" w:rsidRPr="00836794" w:rsidRDefault="00A30C42" w:rsidP="00612622">
      <w:r w:rsidRPr="00836794">
        <w:t>Semaglutide is extensively bound to plasma proteins (&gt;</w:t>
      </w:r>
      <w:r w:rsidR="00D2507B" w:rsidRPr="00836794">
        <w:t xml:space="preserve"> </w:t>
      </w:r>
      <w:r w:rsidRPr="00836794">
        <w:t>99%). Semaglutide fits to a two compartmental PK, indicating extensive tissue distribution.</w:t>
      </w:r>
    </w:p>
    <w:p w14:paraId="553BC9D7" w14:textId="1A637434" w:rsidR="00A30C42" w:rsidRPr="00836794" w:rsidRDefault="00A30C42" w:rsidP="00612622">
      <w:r w:rsidRPr="00836794">
        <w:t xml:space="preserve">Based on Phase I </w:t>
      </w:r>
      <w:proofErr w:type="spellStart"/>
      <w:r w:rsidR="00FC4476" w:rsidRPr="00836794">
        <w:t>P</w:t>
      </w:r>
      <w:r w:rsidRPr="00836794">
        <w:t>opPK</w:t>
      </w:r>
      <w:proofErr w:type="spellEnd"/>
      <w:r w:rsidRPr="00836794">
        <w:t xml:space="preserve"> data (orally dosed with 120 mL water and 30 min post-dose fasting), central volume of distribution was 3.4 L and peripheral volume of distribution was 3.9 L (8 L and 12.5L following </w:t>
      </w:r>
      <w:r w:rsidR="004A699F" w:rsidRPr="00836794">
        <w:t>intravenous</w:t>
      </w:r>
      <w:r w:rsidRPr="00836794">
        <w:t xml:space="preserve"> and </w:t>
      </w:r>
      <w:r w:rsidR="004A699F" w:rsidRPr="00836794">
        <w:t>subcutaneous</w:t>
      </w:r>
      <w:r w:rsidRPr="00836794">
        <w:t xml:space="preserve"> administration respectively).</w:t>
      </w:r>
    </w:p>
    <w:p w14:paraId="71BB130C" w14:textId="77777777" w:rsidR="00A30C42" w:rsidRPr="00836794" w:rsidRDefault="00A30C42" w:rsidP="004B6AD2">
      <w:pPr>
        <w:pStyle w:val="Heading6"/>
      </w:pPr>
      <w:bookmarkStart w:id="59" w:name="_Toc272414622"/>
      <w:bookmarkStart w:id="60" w:name="_Toc290888471"/>
      <w:bookmarkStart w:id="61" w:name="_Toc416353667"/>
      <w:r w:rsidRPr="00836794">
        <w:t>Metabolism</w:t>
      </w:r>
      <w:bookmarkEnd w:id="59"/>
      <w:bookmarkEnd w:id="60"/>
      <w:bookmarkEnd w:id="61"/>
    </w:p>
    <w:p w14:paraId="38AE747E" w14:textId="77777777" w:rsidR="00612622" w:rsidRPr="00836794" w:rsidRDefault="00A30C42" w:rsidP="00612622">
      <w:pPr>
        <w:pStyle w:val="Heading7"/>
        <w:rPr>
          <w:sz w:val="22"/>
          <w:szCs w:val="28"/>
        </w:rPr>
      </w:pPr>
      <w:r w:rsidRPr="00836794">
        <w:rPr>
          <w:sz w:val="22"/>
          <w:szCs w:val="28"/>
        </w:rPr>
        <w:t>Semaglutide</w:t>
      </w:r>
    </w:p>
    <w:p w14:paraId="30D69A50" w14:textId="55BAF10C" w:rsidR="00A30C42" w:rsidRPr="00836794" w:rsidRDefault="00A30C42" w:rsidP="00612622">
      <w:r w:rsidRPr="00836794">
        <w:t>Three semaglutide isomers have been detected after subcutaneous administration in health male volunteers</w:t>
      </w:r>
      <w:r w:rsidR="007C31A1">
        <w:t xml:space="preserve"> (</w:t>
      </w:r>
      <w:r w:rsidR="007C31A1" w:rsidRPr="00E847AB">
        <w:rPr>
          <w:i/>
          <w:iCs/>
        </w:rPr>
        <w:t>in vitro</w:t>
      </w:r>
      <w:r w:rsidR="007C31A1">
        <w:t xml:space="preserve"> Study 214379)</w:t>
      </w:r>
      <w:r w:rsidRPr="00836794">
        <w:t>.</w:t>
      </w:r>
    </w:p>
    <w:p w14:paraId="33EAB8B8" w14:textId="0E43FB1E" w:rsidR="00A30C42" w:rsidRPr="00836794" w:rsidRDefault="00A30C42" w:rsidP="00612622">
      <w:bookmarkStart w:id="62" w:name="_Sites_of_metabolism"/>
      <w:bookmarkEnd w:id="62"/>
      <w:r w:rsidRPr="00836794">
        <w:t>Metabolism of semaglutide is by proteolytic cleavage with sequential beta-oxidation of the di-fatty acid side chains</w:t>
      </w:r>
      <w:r w:rsidR="007C31A1">
        <w:t xml:space="preserve"> (</w:t>
      </w:r>
      <w:r w:rsidR="007C31A1" w:rsidRPr="00454B09">
        <w:rPr>
          <w:i/>
          <w:iCs/>
        </w:rPr>
        <w:t>in vitro</w:t>
      </w:r>
      <w:r w:rsidR="007C31A1">
        <w:t xml:space="preserve"> Study 214379)</w:t>
      </w:r>
      <w:r w:rsidRPr="00836794">
        <w:t>. In total, 19 metabolites were structurally characterised following incubation with semaglutide and human neutral endopeptidase (</w:t>
      </w:r>
      <w:r w:rsidRPr="00836794">
        <w:rPr>
          <w:i/>
          <w:iCs/>
        </w:rPr>
        <w:t>in</w:t>
      </w:r>
      <w:r w:rsidR="00D2507B" w:rsidRPr="00836794">
        <w:rPr>
          <w:i/>
          <w:iCs/>
        </w:rPr>
        <w:t xml:space="preserve"> </w:t>
      </w:r>
      <w:r w:rsidRPr="00836794">
        <w:rPr>
          <w:i/>
          <w:iCs/>
        </w:rPr>
        <w:t>vitro</w:t>
      </w:r>
      <w:r w:rsidRPr="00836794">
        <w:t xml:space="preserve"> Study 215514).</w:t>
      </w:r>
    </w:p>
    <w:p w14:paraId="351FABC1" w14:textId="427CAA1D" w:rsidR="00612622" w:rsidRPr="00836794" w:rsidRDefault="00AB4FA1" w:rsidP="00612622">
      <w:pPr>
        <w:pStyle w:val="Heading7"/>
        <w:rPr>
          <w:sz w:val="22"/>
          <w:szCs w:val="28"/>
        </w:rPr>
      </w:pPr>
      <w:proofErr w:type="spellStart"/>
      <w:r w:rsidRPr="00836794">
        <w:rPr>
          <w:sz w:val="22"/>
          <w:szCs w:val="28"/>
        </w:rPr>
        <w:t>Salcaprozate</w:t>
      </w:r>
      <w:proofErr w:type="spellEnd"/>
      <w:r w:rsidRPr="00836794">
        <w:rPr>
          <w:sz w:val="22"/>
          <w:szCs w:val="28"/>
        </w:rPr>
        <w:t xml:space="preserve"> sodium</w:t>
      </w:r>
    </w:p>
    <w:p w14:paraId="4EBD3386" w14:textId="6F1DBC3B" w:rsidR="00A30C42" w:rsidRPr="00836794" w:rsidRDefault="00FC4476" w:rsidP="00612622">
      <w:proofErr w:type="spellStart"/>
      <w:r w:rsidRPr="00836794">
        <w:t>Salcaprozate</w:t>
      </w:r>
      <w:proofErr w:type="spellEnd"/>
      <w:r w:rsidRPr="00836794">
        <w:t xml:space="preserve"> sodium (</w:t>
      </w:r>
      <w:r w:rsidR="00A30C42" w:rsidRPr="00836794">
        <w:t>SNAC</w:t>
      </w:r>
      <w:r w:rsidRPr="00836794">
        <w:t>)</w:t>
      </w:r>
      <w:r w:rsidR="00A30C42" w:rsidRPr="00836794">
        <w:t xml:space="preserve"> is rapidly and extensively </w:t>
      </w:r>
      <w:proofErr w:type="gramStart"/>
      <w:r w:rsidR="00A30C42" w:rsidRPr="00836794">
        <w:t>metabolised, and</w:t>
      </w:r>
      <w:proofErr w:type="gramEnd"/>
      <w:r w:rsidR="00A30C42" w:rsidRPr="00836794">
        <w:t xml:space="preserve"> following a 300</w:t>
      </w:r>
      <w:r w:rsidR="00484415">
        <w:t> </w:t>
      </w:r>
      <w:r w:rsidR="00A30C42" w:rsidRPr="00836794">
        <w:t>mg oral dose &lt;</w:t>
      </w:r>
      <w:r w:rsidR="00D2507B" w:rsidRPr="00836794">
        <w:t xml:space="preserve"> </w:t>
      </w:r>
      <w:r w:rsidR="00A30C42" w:rsidRPr="00836794">
        <w:t xml:space="preserve">50% of the parent remains after 0.5 </w:t>
      </w:r>
      <w:r w:rsidR="00D2507B" w:rsidRPr="00836794">
        <w:t>hour</w:t>
      </w:r>
      <w:r w:rsidR="00A30C42" w:rsidRPr="00836794">
        <w:t xml:space="preserve"> and &lt;</w:t>
      </w:r>
      <w:r w:rsidR="00484415">
        <w:t xml:space="preserve"> </w:t>
      </w:r>
      <w:r w:rsidR="00A30C42" w:rsidRPr="00836794">
        <w:t>15% after 6</w:t>
      </w:r>
      <w:r w:rsidR="00847F47">
        <w:t xml:space="preserve"> </w:t>
      </w:r>
      <w:r w:rsidR="00D2507B" w:rsidRPr="00836794">
        <w:t>hour</w:t>
      </w:r>
      <w:r w:rsidR="00847F47">
        <w:t>s</w:t>
      </w:r>
      <w:r w:rsidR="00A30C42" w:rsidRPr="00836794">
        <w:t xml:space="preserve"> post</w:t>
      </w:r>
      <w:r w:rsidR="00484415">
        <w:noBreakHyphen/>
      </w:r>
      <w:r w:rsidR="00A30C42" w:rsidRPr="00836794">
        <w:t>dose</w:t>
      </w:r>
      <w:r w:rsidR="007C31A1">
        <w:t xml:space="preserve"> (Study 8288449)</w:t>
      </w:r>
      <w:r w:rsidR="00A30C42" w:rsidRPr="00836794">
        <w:t>. The most abundant metabolites were E506 and its glucuronide.</w:t>
      </w:r>
    </w:p>
    <w:p w14:paraId="4B6E7CDC" w14:textId="77777777" w:rsidR="00A30C42" w:rsidRPr="00836794" w:rsidRDefault="00A30C42" w:rsidP="004B6AD2">
      <w:pPr>
        <w:pStyle w:val="Heading6"/>
      </w:pPr>
      <w:bookmarkStart w:id="63" w:name="_Toc241374289"/>
      <w:bookmarkStart w:id="64" w:name="_Toc272414623"/>
      <w:bookmarkStart w:id="65" w:name="_Toc290888472"/>
      <w:bookmarkStart w:id="66" w:name="_Toc416353668"/>
      <w:r w:rsidRPr="00836794">
        <w:t>E</w:t>
      </w:r>
      <w:bookmarkEnd w:id="63"/>
      <w:r w:rsidRPr="00836794">
        <w:t>xcretion</w:t>
      </w:r>
      <w:bookmarkEnd w:id="64"/>
      <w:bookmarkEnd w:id="65"/>
      <w:bookmarkEnd w:id="66"/>
    </w:p>
    <w:p w14:paraId="1D97D5EB" w14:textId="77777777" w:rsidR="00612622" w:rsidRPr="00836794" w:rsidRDefault="00A30C42" w:rsidP="00612622">
      <w:pPr>
        <w:pStyle w:val="Heading7"/>
        <w:rPr>
          <w:sz w:val="22"/>
          <w:szCs w:val="28"/>
        </w:rPr>
      </w:pPr>
      <w:r w:rsidRPr="00836794">
        <w:rPr>
          <w:sz w:val="22"/>
          <w:szCs w:val="28"/>
        </w:rPr>
        <w:t>Semaglutide</w:t>
      </w:r>
    </w:p>
    <w:p w14:paraId="68B8F450" w14:textId="6BC14071" w:rsidR="00A30C42" w:rsidRPr="00836794" w:rsidRDefault="00A30C42" w:rsidP="00612622">
      <w:r w:rsidRPr="00836794">
        <w:t xml:space="preserve">Semaglutide has a long </w:t>
      </w:r>
      <w:proofErr w:type="spellStart"/>
      <w:r w:rsidRPr="00836794">
        <w:t>half</w:t>
      </w:r>
      <w:r w:rsidR="00D2507B" w:rsidRPr="00836794">
        <w:t xml:space="preserve"> </w:t>
      </w:r>
      <w:r w:rsidRPr="00836794">
        <w:t>life</w:t>
      </w:r>
      <w:proofErr w:type="spellEnd"/>
      <w:r w:rsidRPr="00836794">
        <w:t xml:space="preserve"> and is degraded primarily by proteolytic cleavage. </w:t>
      </w:r>
      <w:proofErr w:type="spellStart"/>
      <w:r w:rsidR="00D2507B" w:rsidRPr="00836794">
        <w:t>Half life</w:t>
      </w:r>
      <w:proofErr w:type="spellEnd"/>
      <w:r w:rsidRPr="00836794">
        <w:t xml:space="preserve"> values were determined to be between 153 and 168 </w:t>
      </w:r>
      <w:r w:rsidR="00CA60FA" w:rsidRPr="00836794">
        <w:t>hour</w:t>
      </w:r>
      <w:r w:rsidR="00EC785E">
        <w:t>s</w:t>
      </w:r>
      <w:r w:rsidRPr="00836794">
        <w:t xml:space="preserve"> (Studies NN9535-3789, NN</w:t>
      </w:r>
      <w:r w:rsidR="002E07F8">
        <w:t>99</w:t>
      </w:r>
      <w:r w:rsidRPr="00836794">
        <w:t>24</w:t>
      </w:r>
      <w:r w:rsidR="00CA60FA" w:rsidRPr="00836794">
        <w:noBreakHyphen/>
      </w:r>
      <w:r w:rsidRPr="00836794">
        <w:t xml:space="preserve">3991, and </w:t>
      </w:r>
      <w:proofErr w:type="spellStart"/>
      <w:r w:rsidR="00FC4476" w:rsidRPr="00836794">
        <w:t>P</w:t>
      </w:r>
      <w:r w:rsidRPr="00836794">
        <w:t>opPK</w:t>
      </w:r>
      <w:proofErr w:type="spellEnd"/>
      <w:r w:rsidRPr="00836794">
        <w:t xml:space="preserve"> </w:t>
      </w:r>
      <w:r w:rsidR="00FC4476" w:rsidRPr="00836794">
        <w:rPr>
          <w:caps/>
        </w:rPr>
        <w:t>A</w:t>
      </w:r>
      <w:r w:rsidRPr="00836794">
        <w:t xml:space="preserve">nalysis 1). With an elimination </w:t>
      </w:r>
      <w:proofErr w:type="spellStart"/>
      <w:r w:rsidRPr="00836794">
        <w:t>half</w:t>
      </w:r>
      <w:r w:rsidR="00D2507B" w:rsidRPr="00836794">
        <w:t xml:space="preserve"> </w:t>
      </w:r>
      <w:r w:rsidRPr="00836794">
        <w:t>life</w:t>
      </w:r>
      <w:proofErr w:type="spellEnd"/>
      <w:r w:rsidRPr="00836794">
        <w:t xml:space="preserve"> of approximately </w:t>
      </w:r>
      <w:r w:rsidR="00FC4476" w:rsidRPr="00836794">
        <w:t>one</w:t>
      </w:r>
      <w:r w:rsidRPr="00836794">
        <w:t xml:space="preserve"> week, semaglutide will be present in the circulation for about 5 weeks after the last dose.</w:t>
      </w:r>
    </w:p>
    <w:p w14:paraId="1A818C96" w14:textId="65F62895" w:rsidR="00A30C42" w:rsidRPr="00836794" w:rsidRDefault="00A30C42" w:rsidP="00612622">
      <w:r w:rsidRPr="00836794">
        <w:t>The primary excretion routes of semaglutide</w:t>
      </w:r>
      <w:r w:rsidR="009F2AD7" w:rsidRPr="00836794">
        <w:t xml:space="preserve"> </w:t>
      </w:r>
      <w:r w:rsidRPr="00836794">
        <w:t>related material are via the urine and faeces. Approximately 3% of the absorbed dose is excreted as intact semaglutide via the urine.</w:t>
      </w:r>
    </w:p>
    <w:p w14:paraId="76FB2311" w14:textId="5420BBCB" w:rsidR="00A30C42" w:rsidRPr="00836794" w:rsidRDefault="00A30C42" w:rsidP="00612622">
      <w:r w:rsidRPr="00836794">
        <w:t xml:space="preserve">In Study NN9535-3789 after a single subcutaneous dose of 0.5 mg </w:t>
      </w:r>
      <w:r w:rsidR="00D64E7B">
        <w:t>[</w:t>
      </w:r>
      <w:r w:rsidRPr="00836794">
        <w:t>3H</w:t>
      </w:r>
      <w:r w:rsidR="00D64E7B">
        <w:t>]</w:t>
      </w:r>
      <w:r w:rsidRPr="00836794">
        <w:rPr>
          <w:rFonts w:hint="eastAsia"/>
        </w:rPr>
        <w:t>-</w:t>
      </w:r>
      <w:r w:rsidRPr="00836794">
        <w:t xml:space="preserve">semaglutide in healthy male volunteers, the mean (CV%) total excretion was 75.07% (5.19) of the administered dose: 52.96% (8.20) in urine, 18.56% (19.85) in faeces and 3.16% (8.95) in expired air. The blood/plasma radioactivity ratio ranged from 0.53 to 0.66, indicating semaglutide was primarily distributed in plasma. The geometric mean (CV) </w:t>
      </w:r>
      <w:proofErr w:type="spellStart"/>
      <w:r w:rsidR="00D2507B" w:rsidRPr="00836794">
        <w:t>half life</w:t>
      </w:r>
      <w:proofErr w:type="spellEnd"/>
      <w:r w:rsidRPr="00836794">
        <w:t xml:space="preserve"> of </w:t>
      </w:r>
      <w:proofErr w:type="spellStart"/>
      <w:r w:rsidRPr="00836794">
        <w:t>semaglutide</w:t>
      </w:r>
      <w:proofErr w:type="spellEnd"/>
      <w:r w:rsidRPr="00836794">
        <w:t xml:space="preserve"> was 168.3 (6.3) h</w:t>
      </w:r>
      <w:r w:rsidR="00FC4476" w:rsidRPr="00836794">
        <w:t>our</w:t>
      </w:r>
      <w:r w:rsidR="00484415">
        <w:t>s</w:t>
      </w:r>
      <w:r w:rsidRPr="00836794">
        <w:t>.</w:t>
      </w:r>
    </w:p>
    <w:p w14:paraId="6B014363" w14:textId="13658B3D" w:rsidR="00612622" w:rsidRPr="00836794" w:rsidRDefault="00AB4FA1" w:rsidP="00612622">
      <w:pPr>
        <w:pStyle w:val="Heading7"/>
        <w:rPr>
          <w:sz w:val="22"/>
          <w:szCs w:val="28"/>
        </w:rPr>
      </w:pPr>
      <w:proofErr w:type="spellStart"/>
      <w:r w:rsidRPr="00836794">
        <w:rPr>
          <w:sz w:val="22"/>
          <w:szCs w:val="28"/>
        </w:rPr>
        <w:lastRenderedPageBreak/>
        <w:t>Salcaprozate</w:t>
      </w:r>
      <w:proofErr w:type="spellEnd"/>
      <w:r w:rsidRPr="00836794">
        <w:rPr>
          <w:sz w:val="22"/>
          <w:szCs w:val="28"/>
        </w:rPr>
        <w:t xml:space="preserve"> sodium</w:t>
      </w:r>
    </w:p>
    <w:p w14:paraId="1B7D3572" w14:textId="5426862B" w:rsidR="00A30C42" w:rsidRPr="00836794" w:rsidRDefault="00A30C42" w:rsidP="00612622">
      <w:r w:rsidRPr="00836794">
        <w:t>In Study NN</w:t>
      </w:r>
      <w:r w:rsidR="002D0474">
        <w:t>99</w:t>
      </w:r>
      <w:r w:rsidRPr="00836794">
        <w:t xml:space="preserve">24-3991, the geometric mean </w:t>
      </w:r>
      <w:proofErr w:type="spellStart"/>
      <w:r w:rsidR="00D2507B" w:rsidRPr="00836794">
        <w:t>half life</w:t>
      </w:r>
      <w:proofErr w:type="spellEnd"/>
      <w:r w:rsidRPr="00836794">
        <w:t xml:space="preserve"> of SNAC was 2.52 </w:t>
      </w:r>
      <w:r w:rsidR="00FC4476" w:rsidRPr="00836794">
        <w:t>hours</w:t>
      </w:r>
      <w:r w:rsidRPr="00836794">
        <w:t xml:space="preserve"> in healthy volunteers and 0.37 </w:t>
      </w:r>
      <w:r w:rsidR="00FC4476" w:rsidRPr="00836794">
        <w:t>hour</w:t>
      </w:r>
      <w:r w:rsidRPr="00836794">
        <w:t xml:space="preserve"> in patients with </w:t>
      </w:r>
      <w:r w:rsidR="00631637" w:rsidRPr="00836794">
        <w:t>type 2 diabetes mellitus</w:t>
      </w:r>
      <w:r w:rsidRPr="00836794">
        <w:t xml:space="preserve">. SNAC metabolites also had short </w:t>
      </w:r>
      <w:proofErr w:type="spellStart"/>
      <w:r w:rsidRPr="00836794">
        <w:t>half</w:t>
      </w:r>
      <w:r w:rsidR="00FC4476" w:rsidRPr="00836794">
        <w:t xml:space="preserve"> </w:t>
      </w:r>
      <w:r w:rsidRPr="00836794">
        <w:t>li</w:t>
      </w:r>
      <w:r w:rsidR="00FC4476" w:rsidRPr="00836794">
        <w:t>fe</w:t>
      </w:r>
      <w:proofErr w:type="spellEnd"/>
      <w:r w:rsidRPr="00836794">
        <w:t xml:space="preserve"> of ≤</w:t>
      </w:r>
      <w:r w:rsidR="00FC4476" w:rsidRPr="00836794">
        <w:t xml:space="preserve"> </w:t>
      </w:r>
      <w:r w:rsidRPr="00836794">
        <w:t>3 h</w:t>
      </w:r>
      <w:r w:rsidR="00FC4476" w:rsidRPr="00836794">
        <w:t>ours</w:t>
      </w:r>
      <w:r w:rsidRPr="00836794">
        <w:t>.</w:t>
      </w:r>
    </w:p>
    <w:p w14:paraId="2D780A0B" w14:textId="790CC270" w:rsidR="00A30C42" w:rsidRPr="00836794" w:rsidRDefault="00A30C42" w:rsidP="00612622">
      <w:r w:rsidRPr="00836794">
        <w:t xml:space="preserve">In Study ERP-23 for </w:t>
      </w:r>
      <w:r w:rsidR="00D64E7B">
        <w:t>[</w:t>
      </w:r>
      <w:r w:rsidRPr="00847F47">
        <w:rPr>
          <w:vertAlign w:val="superscript"/>
        </w:rPr>
        <w:t>14</w:t>
      </w:r>
      <w:r w:rsidRPr="00836794">
        <w:t>C</w:t>
      </w:r>
      <w:r w:rsidR="00D64E7B">
        <w:t>]</w:t>
      </w:r>
      <w:r w:rsidRPr="00836794">
        <w:t xml:space="preserve">-SNAC in healthy male volunteers the mean (CV%) excretion of radioactivity was 82.31 (8.71%) % via urine and 3.75 (85.46%) % via faeces. SNAC was extensively metabolised and predominantly excreted as metabolites. SNAC was rapidly absorbed with a </w:t>
      </w:r>
      <w:proofErr w:type="spellStart"/>
      <w:r w:rsidRPr="00836794">
        <w:t>T</w:t>
      </w:r>
      <w:r w:rsidRPr="00836794">
        <w:rPr>
          <w:vertAlign w:val="subscript"/>
        </w:rPr>
        <w:t>max</w:t>
      </w:r>
      <w:proofErr w:type="spellEnd"/>
      <w:r w:rsidRPr="00836794">
        <w:t xml:space="preserve"> of 0.58 </w:t>
      </w:r>
      <w:r w:rsidR="00FC4476" w:rsidRPr="00836794">
        <w:t>hour</w:t>
      </w:r>
      <w:r w:rsidRPr="00836794">
        <w:t>. There were 18 metabolites identified in the metabolic profile.</w:t>
      </w:r>
    </w:p>
    <w:p w14:paraId="7126013D" w14:textId="77777777" w:rsidR="00A30C42" w:rsidRPr="00836794" w:rsidRDefault="00A30C42" w:rsidP="004B6AD2">
      <w:pPr>
        <w:pStyle w:val="Heading6"/>
      </w:pPr>
      <w:r w:rsidRPr="00836794">
        <w:t>Renal clearance</w:t>
      </w:r>
    </w:p>
    <w:p w14:paraId="4366DAF0" w14:textId="77777777" w:rsidR="00612622" w:rsidRPr="00836794" w:rsidRDefault="00A30C42" w:rsidP="00612622">
      <w:pPr>
        <w:pStyle w:val="Heading7"/>
        <w:rPr>
          <w:sz w:val="22"/>
          <w:szCs w:val="28"/>
        </w:rPr>
      </w:pPr>
      <w:r w:rsidRPr="00836794">
        <w:rPr>
          <w:sz w:val="22"/>
          <w:szCs w:val="28"/>
        </w:rPr>
        <w:t>Semaglutide</w:t>
      </w:r>
    </w:p>
    <w:p w14:paraId="5A0A78AB" w14:textId="4B602B38" w:rsidR="00A30C42" w:rsidRPr="00836794" w:rsidRDefault="00A30C42" w:rsidP="00612622">
      <w:r w:rsidRPr="00836794">
        <w:t>There is minimal renal clearance of semaglutide.</w:t>
      </w:r>
    </w:p>
    <w:p w14:paraId="5EC42D88" w14:textId="77777777" w:rsidR="00A30C42" w:rsidRPr="00836794" w:rsidRDefault="00A30C42" w:rsidP="004B6AD2">
      <w:pPr>
        <w:pStyle w:val="Heading6"/>
      </w:pPr>
      <w:bookmarkStart w:id="67" w:name="_Toc241374292"/>
      <w:bookmarkStart w:id="68" w:name="_Ref271189131"/>
      <w:bookmarkStart w:id="69" w:name="_Ref271189136"/>
      <w:bookmarkStart w:id="70" w:name="_Toc272414625"/>
      <w:bookmarkStart w:id="71" w:name="_Toc290888474"/>
      <w:bookmarkStart w:id="72" w:name="_Toc416353670"/>
      <w:bookmarkStart w:id="73" w:name="_Toc421005245"/>
      <w:bookmarkStart w:id="74" w:name="_Toc432079127"/>
      <w:bookmarkStart w:id="75" w:name="_Toc432080700"/>
      <w:bookmarkEnd w:id="55"/>
      <w:bookmarkEnd w:id="56"/>
      <w:bookmarkEnd w:id="57"/>
      <w:bookmarkEnd w:id="58"/>
      <w:r w:rsidRPr="00836794">
        <w:t>Pharmacokinetics in the target population</w:t>
      </w:r>
      <w:bookmarkEnd w:id="67"/>
      <w:bookmarkEnd w:id="68"/>
      <w:bookmarkEnd w:id="69"/>
      <w:bookmarkEnd w:id="70"/>
      <w:bookmarkEnd w:id="71"/>
      <w:bookmarkEnd w:id="72"/>
      <w:bookmarkEnd w:id="73"/>
      <w:bookmarkEnd w:id="74"/>
      <w:bookmarkEnd w:id="75"/>
    </w:p>
    <w:p w14:paraId="620FB4EE" w14:textId="77777777" w:rsidR="00612622" w:rsidRPr="00836794" w:rsidRDefault="00A30C42" w:rsidP="00612622">
      <w:pPr>
        <w:pStyle w:val="Heading7"/>
        <w:rPr>
          <w:sz w:val="22"/>
          <w:szCs w:val="28"/>
        </w:rPr>
      </w:pPr>
      <w:bookmarkStart w:id="76" w:name="_Toc241374293"/>
      <w:bookmarkStart w:id="77" w:name="_Toc272414626"/>
      <w:bookmarkStart w:id="78" w:name="_Toc290888475"/>
      <w:bookmarkStart w:id="79" w:name="_Toc416353671"/>
      <w:bookmarkStart w:id="80" w:name="_Toc421005246"/>
      <w:bookmarkStart w:id="81" w:name="_Toc432079128"/>
      <w:bookmarkStart w:id="82" w:name="_Toc432080701"/>
      <w:r w:rsidRPr="00836794">
        <w:rPr>
          <w:sz w:val="22"/>
          <w:szCs w:val="28"/>
        </w:rPr>
        <w:t>Semaglutide</w:t>
      </w:r>
    </w:p>
    <w:p w14:paraId="2713AC73" w14:textId="34818ACA" w:rsidR="00A30C42" w:rsidRPr="00836794" w:rsidRDefault="00A30C42" w:rsidP="001277FB">
      <w:r w:rsidRPr="00836794">
        <w:t>In Study NN</w:t>
      </w:r>
      <w:r w:rsidR="002D0474">
        <w:t>99</w:t>
      </w:r>
      <w:r w:rsidRPr="00836794">
        <w:t xml:space="preserve">24-3991, exposure to semaglutide was similar between the healthy volunteers and patients with </w:t>
      </w:r>
      <w:r w:rsidR="00631637" w:rsidRPr="00836794">
        <w:t>type 2 diabetes mellitus</w:t>
      </w:r>
      <w:r w:rsidRPr="00836794">
        <w:t xml:space="preserve">: the ratio (95% </w:t>
      </w:r>
      <w:r w:rsidR="001C0C00" w:rsidRPr="00836794">
        <w:t>confidence interval (</w:t>
      </w:r>
      <w:r w:rsidRPr="00836794">
        <w:t>CI</w:t>
      </w:r>
      <w:r w:rsidR="001C0C00" w:rsidRPr="00836794">
        <w:t>)</w:t>
      </w:r>
      <w:r w:rsidRPr="00836794">
        <w:t xml:space="preserve">) for </w:t>
      </w:r>
      <w:r w:rsidR="0078534A" w:rsidRPr="00836794">
        <w:t>area under the concentration-time curve from time zero to 24 hour (</w:t>
      </w:r>
      <w:r w:rsidRPr="00836794">
        <w:t>AUC</w:t>
      </w:r>
      <w:r w:rsidRPr="00836794">
        <w:rPr>
          <w:vertAlign w:val="subscript"/>
        </w:rPr>
        <w:t>0-24h</w:t>
      </w:r>
      <w:r w:rsidR="0078534A" w:rsidRPr="00836794">
        <w:t>)</w:t>
      </w:r>
      <w:r w:rsidRPr="00836794">
        <w:t xml:space="preserve"> was 1.00 (0.60</w:t>
      </w:r>
      <w:r w:rsidR="00322B68">
        <w:t>,</w:t>
      </w:r>
      <w:r w:rsidRPr="00836794">
        <w:t xml:space="preserve"> 1.66) and for </w:t>
      </w:r>
      <w:proofErr w:type="spellStart"/>
      <w:r w:rsidRPr="00836794">
        <w:t>C</w:t>
      </w:r>
      <w:r w:rsidRPr="00836794">
        <w:rPr>
          <w:vertAlign w:val="subscript"/>
        </w:rPr>
        <w:t>max</w:t>
      </w:r>
      <w:proofErr w:type="spellEnd"/>
      <w:r w:rsidRPr="00836794">
        <w:t xml:space="preserve"> was 1.00 (0.61</w:t>
      </w:r>
      <w:r w:rsidR="00322B68">
        <w:t>,</w:t>
      </w:r>
      <w:r w:rsidRPr="00836794">
        <w:t xml:space="preserve"> 1.62) (</w:t>
      </w:r>
      <w:r w:rsidR="00FC4476" w:rsidRPr="00836794">
        <w:t xml:space="preserve">see </w:t>
      </w:r>
      <w:r w:rsidRPr="00836794">
        <w:fldChar w:fldCharType="begin"/>
      </w:r>
      <w:r w:rsidRPr="00836794">
        <w:instrText xml:space="preserve"> REF _Ref85879063 \h </w:instrText>
      </w:r>
      <w:r w:rsidR="00612622" w:rsidRPr="00836794">
        <w:instrText xml:space="preserve"> \* MERGEFORMAT </w:instrText>
      </w:r>
      <w:r w:rsidRPr="00836794">
        <w:fldChar w:fldCharType="separate"/>
      </w:r>
      <w:r w:rsidR="00E5082D" w:rsidRPr="00703318">
        <w:t xml:space="preserve">Table </w:t>
      </w:r>
      <w:r w:rsidR="00E5082D">
        <w:t>4</w:t>
      </w:r>
      <w:r w:rsidRPr="00836794">
        <w:fldChar w:fldCharType="end"/>
      </w:r>
      <w:r w:rsidR="00FC4476" w:rsidRPr="00836794">
        <w:t xml:space="preserve"> below</w:t>
      </w:r>
      <w:r w:rsidRPr="00836794">
        <w:t xml:space="preserve">). </w:t>
      </w:r>
      <w:proofErr w:type="spellStart"/>
      <w:r w:rsidRPr="00836794">
        <w:t>Semaglutide</w:t>
      </w:r>
      <w:proofErr w:type="spellEnd"/>
      <w:r w:rsidRPr="00836794">
        <w:t xml:space="preserve"> </w:t>
      </w:r>
      <w:proofErr w:type="spellStart"/>
      <w:r w:rsidR="00D2507B" w:rsidRPr="00836794">
        <w:t>half life</w:t>
      </w:r>
      <w:proofErr w:type="spellEnd"/>
      <w:r w:rsidRPr="00836794">
        <w:t xml:space="preserve"> ranged from 153 to 161 </w:t>
      </w:r>
      <w:r w:rsidR="00FC4476" w:rsidRPr="00836794">
        <w:t>hours</w:t>
      </w:r>
      <w:r w:rsidRPr="00836794">
        <w:t>.</w:t>
      </w:r>
    </w:p>
    <w:p w14:paraId="0DF837CA" w14:textId="6F63DEC2" w:rsidR="001277FB" w:rsidRPr="00703318" w:rsidRDefault="001277FB" w:rsidP="00703318">
      <w:pPr>
        <w:pStyle w:val="TableTitle"/>
      </w:pPr>
      <w:bookmarkStart w:id="83" w:name="_Ref85879063"/>
      <w:r w:rsidRPr="00703318">
        <w:t xml:space="preserve">Table </w:t>
      </w:r>
      <w:fldSimple w:instr=" SEQ Table \* ARABIC ">
        <w:r w:rsidR="00E5082D">
          <w:rPr>
            <w:noProof/>
          </w:rPr>
          <w:t>4</w:t>
        </w:r>
      </w:fldSimple>
      <w:bookmarkEnd w:id="83"/>
      <w:r w:rsidRPr="00703318">
        <w:t>:</w:t>
      </w:r>
      <w:r w:rsidR="0071231C" w:rsidRPr="00703318">
        <w:t xml:space="preserve"> </w:t>
      </w:r>
      <w:r w:rsidRPr="00703318">
        <w:t>Study NN9924-3991 Summary of semaglutide pharmacokinetic endpoints by treatment on last day of treatment (Day 69) (full analysis set)</w:t>
      </w:r>
    </w:p>
    <w:p w14:paraId="164E3BDD" w14:textId="6C07F62F" w:rsidR="00302702" w:rsidRPr="00836794" w:rsidRDefault="00302702" w:rsidP="00703318">
      <w:r>
        <w:rPr>
          <w:noProof/>
          <w:lang w:val="en-GB" w:eastAsia="en-GB"/>
        </w:rPr>
        <w:drawing>
          <wp:inline distT="0" distB="0" distL="0" distR="0" wp14:anchorId="087C5713" wp14:editId="4CC1EA27">
            <wp:extent cx="5400040" cy="3100705"/>
            <wp:effectExtent l="0" t="0" r="0" b="4445"/>
            <wp:docPr id="7" name="Picture 7" descr="Table 4: Study NN9924-3991 Summary of semaglutide pharmacokinetic endpoints by treatment on last day of treatment (Day 69)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4: Study NN9924-3991 Summary of semaglutide pharmacokinetic endpoints by treatment on last day of treatment (Day 69) (full analysis set)"/>
                    <pic:cNvPicPr/>
                  </pic:nvPicPr>
                  <pic:blipFill>
                    <a:blip r:embed="rId19"/>
                    <a:stretch>
                      <a:fillRect/>
                    </a:stretch>
                  </pic:blipFill>
                  <pic:spPr>
                    <a:xfrm>
                      <a:off x="0" y="0"/>
                      <a:ext cx="5400040" cy="3100705"/>
                    </a:xfrm>
                    <a:prstGeom prst="rect">
                      <a:avLst/>
                    </a:prstGeom>
                  </pic:spPr>
                </pic:pic>
              </a:graphicData>
            </a:graphic>
          </wp:inline>
        </w:drawing>
      </w:r>
    </w:p>
    <w:p w14:paraId="5B5D52B0" w14:textId="502D79C7" w:rsidR="00016650" w:rsidRPr="00703318" w:rsidRDefault="00416FD2" w:rsidP="00703318">
      <w:pPr>
        <w:pStyle w:val="TableDescription"/>
      </w:pPr>
      <w:r w:rsidRPr="00703318">
        <w:t xml:space="preserve">Abbreviations: </w:t>
      </w:r>
      <w:r w:rsidR="00016650" w:rsidRPr="00703318">
        <w:t>AUC</w:t>
      </w:r>
      <w:r w:rsidR="00016650" w:rsidRPr="00703318">
        <w:rPr>
          <w:vertAlign w:val="subscript"/>
        </w:rPr>
        <w:t>tau</w:t>
      </w:r>
      <w:r w:rsidR="00016650" w:rsidRPr="00703318">
        <w:t xml:space="preserve"> =</w:t>
      </w:r>
      <w:r w:rsidR="00071724" w:rsidRPr="00703318">
        <w:t xml:space="preserve"> area under the concentration-time curve over a dosing interval; </w:t>
      </w:r>
      <w:proofErr w:type="spellStart"/>
      <w:r w:rsidR="00071724" w:rsidRPr="00703318">
        <w:t>C</w:t>
      </w:r>
      <w:r w:rsidR="00071724" w:rsidRPr="00703318">
        <w:rPr>
          <w:vertAlign w:val="subscript"/>
        </w:rPr>
        <w:t>max</w:t>
      </w:r>
      <w:proofErr w:type="spellEnd"/>
      <w:r w:rsidR="00071724" w:rsidRPr="00703318">
        <w:t xml:space="preserve"> = maximum plasma concentration; CV = Geometric coefficient of variation; Max = maximum; </w:t>
      </w:r>
      <w:r w:rsidR="00016650" w:rsidRPr="00703318">
        <w:t>Min =</w:t>
      </w:r>
      <w:r w:rsidR="00071724" w:rsidRPr="00703318">
        <w:t xml:space="preserve"> minimum; N = number of subjects; SD = standard deviation; </w:t>
      </w:r>
      <w:proofErr w:type="spellStart"/>
      <w:r w:rsidR="00071724" w:rsidRPr="00703318">
        <w:t>sema</w:t>
      </w:r>
      <w:proofErr w:type="spellEnd"/>
      <w:r w:rsidR="00071724" w:rsidRPr="00703318">
        <w:t xml:space="preserve"> = </w:t>
      </w:r>
      <w:proofErr w:type="spellStart"/>
      <w:r w:rsidR="00071724" w:rsidRPr="00703318">
        <w:t>semaglutide</w:t>
      </w:r>
      <w:proofErr w:type="spellEnd"/>
      <w:r w:rsidR="00071724" w:rsidRPr="00703318">
        <w:t xml:space="preserve">; T2D = subjects with type 2 diabetes; </w:t>
      </w:r>
      <w:proofErr w:type="spellStart"/>
      <w:r w:rsidR="00016650" w:rsidRPr="00703318">
        <w:t>T</w:t>
      </w:r>
      <w:r w:rsidR="00016650" w:rsidRPr="00703318">
        <w:rPr>
          <w:vertAlign w:val="subscript"/>
        </w:rPr>
        <w:t>max</w:t>
      </w:r>
      <w:proofErr w:type="spellEnd"/>
      <w:r w:rsidR="00016650" w:rsidRPr="00703318">
        <w:t xml:space="preserve"> =</w:t>
      </w:r>
      <w:r w:rsidR="00071724" w:rsidRPr="00703318">
        <w:t xml:space="preserve"> time to maximum concentration.</w:t>
      </w:r>
    </w:p>
    <w:p w14:paraId="5D2E7BC4" w14:textId="4F90F469" w:rsidR="00302702" w:rsidRPr="00703318" w:rsidRDefault="00302702" w:rsidP="00703318">
      <w:pPr>
        <w:pStyle w:val="TableDescription"/>
      </w:pPr>
      <w:r w:rsidRPr="00703318">
        <w:t>40 mg semaglutide treated subjects are pooled cohorts ‘oral 40’ and ‘oral 60’.</w:t>
      </w:r>
    </w:p>
    <w:p w14:paraId="06FD3198" w14:textId="25E79398" w:rsidR="00302702" w:rsidRPr="00703318" w:rsidRDefault="00302702" w:rsidP="00703318">
      <w:pPr>
        <w:pStyle w:val="TableDescription"/>
      </w:pPr>
      <w:r w:rsidRPr="00703318">
        <w:t xml:space="preserve">The </w:t>
      </w:r>
      <w:proofErr w:type="spellStart"/>
      <w:r w:rsidRPr="00703318">
        <w:t>salcaprozate</w:t>
      </w:r>
      <w:proofErr w:type="spellEnd"/>
      <w:r w:rsidRPr="00703318">
        <w:t xml:space="preserve"> sodium (SNAC) content in all tablets except placebo was 300 mg.</w:t>
      </w:r>
    </w:p>
    <w:p w14:paraId="38CB7CC9" w14:textId="6ADE9A86" w:rsidR="00A30C42" w:rsidRPr="00836794" w:rsidRDefault="00A30C42" w:rsidP="00612622">
      <w:r w:rsidRPr="00836794">
        <w:t>Steady state exposure was reached after 4</w:t>
      </w:r>
      <w:r w:rsidR="00FC4476" w:rsidRPr="00836794">
        <w:t xml:space="preserve"> to </w:t>
      </w:r>
      <w:r w:rsidRPr="00836794">
        <w:t xml:space="preserve">5 weeks of once daily administration. In patients with type 2 diabetes, the average steady-state concentrations were approximately </w:t>
      </w:r>
      <w:r w:rsidRPr="00836794">
        <w:lastRenderedPageBreak/>
        <w:t>6.7</w:t>
      </w:r>
      <w:r w:rsidR="00FC4476" w:rsidRPr="00836794">
        <w:t> </w:t>
      </w:r>
      <w:r w:rsidRPr="00836794">
        <w:t>nmol/L (range in 90% of subjects: 1.7 to 22.7 nmol/L) and 14.6 nmol/L (range in 90% of subjects: 3.7 to 41.3 nmol/L) with semaglutide 7 mg and 14 mg, respectively.</w:t>
      </w:r>
    </w:p>
    <w:p w14:paraId="717F1005" w14:textId="32E012B2" w:rsidR="00A30C42" w:rsidRPr="00836794" w:rsidRDefault="00A30C42" w:rsidP="00612622">
      <w:r w:rsidRPr="00836794">
        <w:t>Plasma concentrations were dose-proportional to in the range 3 mg to 14</w:t>
      </w:r>
      <w:r w:rsidR="00576A3B">
        <w:t> </w:t>
      </w:r>
      <w:r w:rsidRPr="00836794">
        <w:t>mg</w:t>
      </w:r>
      <w:r w:rsidR="007C31A1">
        <w:t xml:space="preserve"> (</w:t>
      </w:r>
      <w:proofErr w:type="spellStart"/>
      <w:r w:rsidR="007C31A1">
        <w:t>PopPK</w:t>
      </w:r>
      <w:proofErr w:type="spellEnd"/>
      <w:r w:rsidR="001837FF">
        <w:t> </w:t>
      </w:r>
      <w:r w:rsidR="007C31A1">
        <w:t>Analysis 3)</w:t>
      </w:r>
      <w:r w:rsidRPr="00836794">
        <w:t>.</w:t>
      </w:r>
    </w:p>
    <w:p w14:paraId="32968A53" w14:textId="54D4F14F" w:rsidR="00A30C42" w:rsidRPr="00836794" w:rsidRDefault="00A30C42" w:rsidP="00612622">
      <w:r w:rsidRPr="00836794">
        <w:t>The clearance of semaglutide in patients with type 2 diabetes is approximately 0.04</w:t>
      </w:r>
      <w:r w:rsidR="00331152" w:rsidRPr="00836794">
        <w:t> </w:t>
      </w:r>
      <w:r w:rsidRPr="00836794">
        <w:t>L/h.</w:t>
      </w:r>
    </w:p>
    <w:p w14:paraId="54456B64" w14:textId="77777777" w:rsidR="00A30C42" w:rsidRPr="00836794" w:rsidRDefault="00A30C42" w:rsidP="004B6AD2">
      <w:pPr>
        <w:pStyle w:val="Heading6"/>
      </w:pPr>
      <w:r w:rsidRPr="00836794">
        <w:t>Pharmacokinetics in special populations</w:t>
      </w:r>
      <w:bookmarkEnd w:id="76"/>
      <w:bookmarkEnd w:id="77"/>
      <w:bookmarkEnd w:id="78"/>
      <w:bookmarkEnd w:id="79"/>
      <w:bookmarkEnd w:id="80"/>
      <w:bookmarkEnd w:id="81"/>
      <w:bookmarkEnd w:id="82"/>
    </w:p>
    <w:p w14:paraId="52F848F6" w14:textId="77777777" w:rsidR="00612622" w:rsidRPr="00836794" w:rsidRDefault="00A30C42" w:rsidP="00612622">
      <w:pPr>
        <w:pStyle w:val="Heading7"/>
        <w:rPr>
          <w:sz w:val="22"/>
          <w:szCs w:val="28"/>
        </w:rPr>
      </w:pPr>
      <w:r w:rsidRPr="00836794">
        <w:rPr>
          <w:sz w:val="22"/>
          <w:szCs w:val="28"/>
        </w:rPr>
        <w:t>Semaglutide</w:t>
      </w:r>
    </w:p>
    <w:p w14:paraId="0635C1FC" w14:textId="0AE60704" w:rsidR="00A30C42" w:rsidRPr="00836794" w:rsidRDefault="00A30C42" w:rsidP="00612622">
      <w:r w:rsidRPr="00836794">
        <w:t xml:space="preserve">Semaglutide exposure was not changed significantly in hepatic impairment, renal </w:t>
      </w:r>
      <w:proofErr w:type="gramStart"/>
      <w:r w:rsidRPr="00836794">
        <w:t>impairment</w:t>
      </w:r>
      <w:proofErr w:type="gramEnd"/>
      <w:r w:rsidRPr="00836794">
        <w:t xml:space="preserve"> or upper </w:t>
      </w:r>
      <w:bookmarkStart w:id="84" w:name="_Hlk107748614"/>
      <w:r w:rsidR="00331152" w:rsidRPr="00836794">
        <w:t>gastrointestinal</w:t>
      </w:r>
      <w:r w:rsidRPr="00836794">
        <w:t xml:space="preserve"> </w:t>
      </w:r>
      <w:bookmarkEnd w:id="84"/>
      <w:r w:rsidRPr="00836794">
        <w:t xml:space="preserve">disease. Age was not a significant covariate in the </w:t>
      </w:r>
      <w:proofErr w:type="spellStart"/>
      <w:r w:rsidR="00FC4476" w:rsidRPr="00836794">
        <w:t>P</w:t>
      </w:r>
      <w:r w:rsidRPr="00836794">
        <w:t>opPK</w:t>
      </w:r>
      <w:proofErr w:type="spellEnd"/>
      <w:r w:rsidRPr="00836794">
        <w:t xml:space="preserve"> analyses. Haemodialysis had no significant effect on semaglutide clearance.</w:t>
      </w:r>
    </w:p>
    <w:p w14:paraId="3E403D47" w14:textId="518879E8" w:rsidR="00612622" w:rsidRPr="00836794" w:rsidRDefault="00AB4FA1" w:rsidP="00612622">
      <w:pPr>
        <w:pStyle w:val="Heading7"/>
        <w:rPr>
          <w:sz w:val="22"/>
          <w:szCs w:val="28"/>
        </w:rPr>
      </w:pPr>
      <w:proofErr w:type="spellStart"/>
      <w:r w:rsidRPr="00836794">
        <w:rPr>
          <w:sz w:val="22"/>
          <w:szCs w:val="28"/>
        </w:rPr>
        <w:t>Salcaprozate</w:t>
      </w:r>
      <w:proofErr w:type="spellEnd"/>
      <w:r w:rsidRPr="00836794">
        <w:rPr>
          <w:sz w:val="22"/>
          <w:szCs w:val="28"/>
        </w:rPr>
        <w:t xml:space="preserve"> sodium</w:t>
      </w:r>
    </w:p>
    <w:p w14:paraId="575F8E2D" w14:textId="0061AD41" w:rsidR="00A30C42" w:rsidRPr="00836794" w:rsidRDefault="00A30C42" w:rsidP="00612622">
      <w:r w:rsidRPr="00836794">
        <w:t>Exposure to SNAC was significantly increased with hepatic impairment, but there was no accumulation with multiple dosing. Exposure to SNAC increased in renal impairment but this was not clinically significant. Hence, although there is systemic exposure and extensive metabolism, accumulation does not appear to occur under a range of clinical conditions.</w:t>
      </w:r>
    </w:p>
    <w:p w14:paraId="07DE45F1" w14:textId="1947DCDF" w:rsidR="00A30C42" w:rsidRPr="00836794" w:rsidRDefault="00A30C42" w:rsidP="004B6AD2">
      <w:pPr>
        <w:pStyle w:val="Heading6"/>
      </w:pPr>
      <w:bookmarkStart w:id="85" w:name="_Hlk107748672"/>
      <w:r w:rsidRPr="00836794">
        <w:t>Drug-drug interactions</w:t>
      </w:r>
    </w:p>
    <w:bookmarkEnd w:id="85"/>
    <w:p w14:paraId="752DF01C" w14:textId="7AFAA01E" w:rsidR="00A30C42" w:rsidRPr="00836794" w:rsidRDefault="00A30C42" w:rsidP="00612622">
      <w:r w:rsidRPr="00836794">
        <w:t xml:space="preserve">There were no clinically significant </w:t>
      </w:r>
      <w:r w:rsidR="00331152" w:rsidRPr="00836794">
        <w:t xml:space="preserve">drug-drug interactions </w:t>
      </w:r>
      <w:r w:rsidRPr="00836794">
        <w:t xml:space="preserve">with semaglutide. However, there was some increase in T3 exposure when co-administered with </w:t>
      </w:r>
      <w:proofErr w:type="gramStart"/>
      <w:r w:rsidRPr="00836794">
        <w:t>levothyroxine, and</w:t>
      </w:r>
      <w:proofErr w:type="gramEnd"/>
      <w:r w:rsidRPr="00836794">
        <w:t xml:space="preserve"> monitoring of thyroid function would be advisable with co-medication.</w:t>
      </w:r>
    </w:p>
    <w:p w14:paraId="7E615FE6" w14:textId="1E3CB5EC" w:rsidR="00A30C42" w:rsidRPr="00836794" w:rsidRDefault="00A30C42" w:rsidP="004B6AD2">
      <w:pPr>
        <w:pStyle w:val="Heading5"/>
      </w:pPr>
      <w:r w:rsidRPr="00836794">
        <w:t xml:space="preserve">Population </w:t>
      </w:r>
      <w:r w:rsidR="00FC4476" w:rsidRPr="00836794">
        <w:t>pharmacokinetics</w:t>
      </w:r>
      <w:r w:rsidRPr="00836794">
        <w:t xml:space="preserve"> data</w:t>
      </w:r>
    </w:p>
    <w:p w14:paraId="78A8F2F6" w14:textId="218DAB42" w:rsidR="00A30C42" w:rsidRPr="00836794" w:rsidRDefault="00FC4476" w:rsidP="004B6AD2">
      <w:pPr>
        <w:pStyle w:val="Heading6"/>
      </w:pPr>
      <w:r w:rsidRPr="00836794">
        <w:t xml:space="preserve">Population Pharmacokinetics Analysis </w:t>
      </w:r>
      <w:r w:rsidR="00A30C42" w:rsidRPr="00836794">
        <w:t>1</w:t>
      </w:r>
      <w:bookmarkStart w:id="86" w:name="_Toc421005248"/>
    </w:p>
    <w:p w14:paraId="047DC3AD" w14:textId="33B196A8" w:rsidR="00A30C42" w:rsidRPr="00836794" w:rsidRDefault="00A30C42" w:rsidP="00612622">
      <w:r w:rsidRPr="00836794">
        <w:t xml:space="preserve">Participants who were dosed with semaglutide, 120 mL water, and </w:t>
      </w:r>
      <w:proofErr w:type="gramStart"/>
      <w:r w:rsidRPr="00836794">
        <w:t>30 min</w:t>
      </w:r>
      <w:r w:rsidR="00343A19">
        <w:t>ute</w:t>
      </w:r>
      <w:proofErr w:type="gramEnd"/>
      <w:r w:rsidRPr="00836794">
        <w:t xml:space="preserve"> post</w:t>
      </w:r>
      <w:r w:rsidR="00847F47">
        <w:noBreakHyphen/>
      </w:r>
      <w:r w:rsidRPr="00836794">
        <w:t xml:space="preserve">dose fasting. Under these dosing conditions, absolute bioavailability was 0.76%, </w:t>
      </w:r>
      <w:r w:rsidR="00A85DC4" w:rsidRPr="00836794">
        <w:t>clearance</w:t>
      </w:r>
      <w:r w:rsidRPr="00836794">
        <w:t xml:space="preserve"> was 0.03</w:t>
      </w:r>
      <w:r w:rsidR="00331152" w:rsidRPr="00836794">
        <w:t> </w:t>
      </w:r>
      <w:r w:rsidRPr="00836794">
        <w:t>L/</w:t>
      </w:r>
      <w:proofErr w:type="gramStart"/>
      <w:r w:rsidRPr="00836794">
        <w:t>h</w:t>
      </w:r>
      <w:proofErr w:type="gramEnd"/>
      <w:r w:rsidRPr="00836794">
        <w:t xml:space="preserve"> and </w:t>
      </w:r>
      <w:proofErr w:type="spellStart"/>
      <w:r w:rsidR="00D2507B" w:rsidRPr="00836794">
        <w:t>half life</w:t>
      </w:r>
      <w:proofErr w:type="spellEnd"/>
      <w:r w:rsidRPr="00836794">
        <w:t xml:space="preserve"> was 158 h</w:t>
      </w:r>
      <w:r w:rsidR="00847F47">
        <w:t>ours</w:t>
      </w:r>
      <w:r w:rsidRPr="00836794">
        <w:t>. Central volume of distribution was 3.4 L and peripheral volume of distribution was 3.9 L. The covariates with a significant influence on exposure to semaglutide were the volume of water ingested, and the length of fasting post</w:t>
      </w:r>
      <w:r w:rsidR="00847F47">
        <w:noBreakHyphen/>
      </w:r>
      <w:r w:rsidRPr="00836794">
        <w:t>dose.</w:t>
      </w:r>
    </w:p>
    <w:p w14:paraId="67C88482" w14:textId="77777777" w:rsidR="00A30C42" w:rsidRPr="00836794" w:rsidRDefault="00A30C42" w:rsidP="00612622">
      <w:r w:rsidRPr="00836794">
        <w:t xml:space="preserve">Semaglutide exposure increased with the duration of fasting post-dose, and with the volume of water ingested, up to 120 </w:t>
      </w:r>
      <w:proofErr w:type="spellStart"/>
      <w:r w:rsidRPr="00836794">
        <w:t>mL.</w:t>
      </w:r>
      <w:proofErr w:type="spellEnd"/>
      <w:r w:rsidRPr="00836794">
        <w:t xml:space="preserve"> The results of these studies are reflected in the administration advice for oral semaglutide: overnight fast, ingest at least 30 minutes prior to food or other medications, and ingest with up to 120 mL water. However, not adhering to these instructions would significantly decrease absorption and exposure to semaglutide.</w:t>
      </w:r>
    </w:p>
    <w:p w14:paraId="12906611" w14:textId="1AE27016" w:rsidR="00A30C42" w:rsidRPr="00836794" w:rsidRDefault="00FC4476" w:rsidP="004B6AD2">
      <w:pPr>
        <w:pStyle w:val="Heading6"/>
      </w:pPr>
      <w:r w:rsidRPr="00836794">
        <w:t xml:space="preserve">Population Pharmacokinetics Analysis </w:t>
      </w:r>
      <w:r w:rsidR="00A30C42" w:rsidRPr="00836794">
        <w:t>2</w:t>
      </w:r>
    </w:p>
    <w:p w14:paraId="48A850CC" w14:textId="1CDB2020" w:rsidR="00A30C42" w:rsidRPr="00836794" w:rsidRDefault="00A30C42" w:rsidP="00612622">
      <w:r w:rsidRPr="00836794">
        <w:t xml:space="preserve">Compared to the 1 mg weekly </w:t>
      </w:r>
      <w:r w:rsidR="00331152" w:rsidRPr="00836794">
        <w:t>subcutaneously</w:t>
      </w:r>
      <w:r w:rsidRPr="00836794">
        <w:t xml:space="preserve">, there were higher plasma concentrations with 20 mg daily, and lower concentrations with 10 mg daily. The model predicted </w:t>
      </w:r>
      <w:r w:rsidR="00A85DC4" w:rsidRPr="00836794">
        <w:t>average plasma concentration</w:t>
      </w:r>
      <w:r w:rsidRPr="00836794">
        <w:t xml:space="preserve"> indicated similar exposure for the 10 mg and 20 mg oral dose levels to the 1 mg </w:t>
      </w:r>
      <w:r w:rsidR="00331152" w:rsidRPr="00836794">
        <w:t>subcutaneously</w:t>
      </w:r>
      <w:r w:rsidRPr="00836794">
        <w:t xml:space="preserve"> but greater variability with oral dosing. Body weight had a significant effect on exposure. Exposure to oral semaglutide was dose dependent.</w:t>
      </w:r>
    </w:p>
    <w:p w14:paraId="7C308BE8" w14:textId="33DF70DF" w:rsidR="00A30C42" w:rsidRPr="00836794" w:rsidRDefault="00A30C42" w:rsidP="00612622">
      <w:r w:rsidRPr="00836794">
        <w:t xml:space="preserve">The concentration response relationship for HbA1c or weight loss indicated similar response for the 10 and 20 mg oral dose levels to the 1 mg </w:t>
      </w:r>
      <w:r w:rsidR="00331152" w:rsidRPr="00836794">
        <w:t>subcutaneous</w:t>
      </w:r>
      <w:r w:rsidRPr="00836794">
        <w:t xml:space="preserve"> dose level, but with greater variability.</w:t>
      </w:r>
    </w:p>
    <w:p w14:paraId="6D742F66" w14:textId="12AEBFB6" w:rsidR="00A30C42" w:rsidRPr="00836794" w:rsidRDefault="00A30C42" w:rsidP="00612622">
      <w:r w:rsidRPr="00836794">
        <w:lastRenderedPageBreak/>
        <w:t>Nausea improved over time, and was dose and time dependent, suggesting a low start dose and stepping up over 6 weeks, providing an acceptable balance between efficacy and adverse effects</w:t>
      </w:r>
      <w:r w:rsidR="00331152" w:rsidRPr="00836794">
        <w:t>.</w:t>
      </w:r>
    </w:p>
    <w:p w14:paraId="1D4B6075" w14:textId="49B33FEB" w:rsidR="00A30C42" w:rsidRPr="00836794" w:rsidRDefault="00FC4476" w:rsidP="004B6AD2">
      <w:pPr>
        <w:pStyle w:val="Heading6"/>
      </w:pPr>
      <w:r w:rsidRPr="00836794">
        <w:t xml:space="preserve">Population Pharmacokinetics Analysis </w:t>
      </w:r>
      <w:r w:rsidR="00A30C42" w:rsidRPr="00836794">
        <w:t>3</w:t>
      </w:r>
    </w:p>
    <w:p w14:paraId="6FC01A7A" w14:textId="2ECB3BF8" w:rsidR="00A30C42" w:rsidRPr="00836794" w:rsidRDefault="00A30C42" w:rsidP="00612622">
      <w:r w:rsidRPr="00836794">
        <w:t xml:space="preserve">A confirmatory analysis of the Phase </w:t>
      </w:r>
      <w:r w:rsidR="00DD79E3" w:rsidRPr="00836794">
        <w:t>III</w:t>
      </w:r>
      <w:r w:rsidRPr="00836794">
        <w:t xml:space="preserve"> studies, using the prior models, plasma concentrations were proportional to oral dose in the range 3 mg to 14 mg. Inter-individual variability was high and estimated at 84%.</w:t>
      </w:r>
    </w:p>
    <w:p w14:paraId="37C4C071" w14:textId="0C23E00A" w:rsidR="00A30C42" w:rsidRPr="00836794" w:rsidRDefault="00A30C42" w:rsidP="00612622">
      <w:r w:rsidRPr="00836794">
        <w:t xml:space="preserve">Mean </w:t>
      </w:r>
      <w:r w:rsidR="00A85DC4" w:rsidRPr="00836794">
        <w:t>clearance</w:t>
      </w:r>
      <w:r w:rsidRPr="00836794">
        <w:t xml:space="preserve"> was 0.039 L/h, </w:t>
      </w:r>
      <w:r w:rsidR="00A85DC4" w:rsidRPr="00836794">
        <w:t>central volume of distribution</w:t>
      </w:r>
      <w:r w:rsidRPr="00836794">
        <w:t xml:space="preserve"> was 3.6 L and </w:t>
      </w:r>
      <w:r w:rsidR="00A85DC4" w:rsidRPr="00836794">
        <w:t>peripheral volume of distribution</w:t>
      </w:r>
      <w:r w:rsidRPr="00836794">
        <w:t xml:space="preserve"> was 4.1 L. </w:t>
      </w:r>
      <w:r w:rsidR="00A85DC4" w:rsidRPr="00836794">
        <w:t xml:space="preserve">Bioavailability </w:t>
      </w:r>
      <w:r w:rsidRPr="00836794">
        <w:t xml:space="preserve">was 0.38%. The oral 14 mg daily dose regimen (likely the optimal dose for most patients) resulted in similar mean </w:t>
      </w:r>
      <w:r w:rsidR="00A85DC4" w:rsidRPr="00836794">
        <w:t>average plasma concentration</w:t>
      </w:r>
      <w:r w:rsidRPr="00836794">
        <w:t xml:space="preserve"> compared to </w:t>
      </w:r>
      <w:r w:rsidR="00331152" w:rsidRPr="00836794">
        <w:t>subcutaneous</w:t>
      </w:r>
      <w:r w:rsidRPr="00836794">
        <w:t xml:space="preserve"> 0.5 mg, but with much greater variability. Body weight was the only covariate to have a significant effect on semaglutide exposure.</w:t>
      </w:r>
    </w:p>
    <w:p w14:paraId="12178E4A" w14:textId="67DF9E57" w:rsidR="00A30C42" w:rsidRPr="00836794" w:rsidRDefault="00A30C42" w:rsidP="00612622">
      <w:r w:rsidRPr="00836794">
        <w:t xml:space="preserve">Concentration response relationships were similar for oral and </w:t>
      </w:r>
      <w:r w:rsidR="00331152" w:rsidRPr="00836794">
        <w:t>subcutaneous</w:t>
      </w:r>
      <w:r w:rsidRPr="00836794">
        <w:t xml:space="preserve"> dosing of semaglutide. Based on model predictions, to minimise the risk of a large increase in exposure when changing between routes of administration, the following switches are recommended:</w:t>
      </w:r>
    </w:p>
    <w:p w14:paraId="2CBA5B31" w14:textId="4545A4EA" w:rsidR="00A30C42" w:rsidRPr="00836794" w:rsidRDefault="00A30C42" w:rsidP="004B6AD2">
      <w:pPr>
        <w:pStyle w:val="ListBullet"/>
      </w:pPr>
      <w:r w:rsidRPr="00836794">
        <w:t xml:space="preserve">from oral semaglutide 7 mg to </w:t>
      </w:r>
      <w:r w:rsidR="00331152" w:rsidRPr="00836794">
        <w:t>subcutaneous</w:t>
      </w:r>
      <w:r w:rsidRPr="00836794">
        <w:t xml:space="preserve"> semaglutide 0.25 mg</w:t>
      </w:r>
      <w:r w:rsidR="00331152" w:rsidRPr="00836794">
        <w:t>,</w:t>
      </w:r>
    </w:p>
    <w:p w14:paraId="04492405" w14:textId="1BD47B67" w:rsidR="00A30C42" w:rsidRPr="00836794" w:rsidRDefault="00A30C42" w:rsidP="004B6AD2">
      <w:pPr>
        <w:pStyle w:val="ListBullet"/>
      </w:pPr>
      <w:r w:rsidRPr="00836794">
        <w:t xml:space="preserve">from oral semaglutide 14 mg to </w:t>
      </w:r>
      <w:r w:rsidR="00331152" w:rsidRPr="00836794">
        <w:t>subcutaneous</w:t>
      </w:r>
      <w:r w:rsidRPr="00836794">
        <w:t xml:space="preserve"> semaglutide 0.5 mg</w:t>
      </w:r>
      <w:r w:rsidR="00331152" w:rsidRPr="00836794">
        <w:t>,</w:t>
      </w:r>
    </w:p>
    <w:p w14:paraId="04F796A8" w14:textId="418EE274" w:rsidR="00A30C42" w:rsidRPr="00836794" w:rsidRDefault="00A30C42" w:rsidP="004B6AD2">
      <w:pPr>
        <w:pStyle w:val="ListBullet"/>
      </w:pPr>
      <w:r w:rsidRPr="00836794">
        <w:t xml:space="preserve">from </w:t>
      </w:r>
      <w:r w:rsidR="00331152" w:rsidRPr="00836794">
        <w:t>subcutaneous</w:t>
      </w:r>
      <w:r w:rsidRPr="00836794">
        <w:t xml:space="preserve"> semaglutide 0.5 mg to either oral semaglutide 7 or 14 mg</w:t>
      </w:r>
      <w:r w:rsidR="00331152" w:rsidRPr="00836794">
        <w:t>,</w:t>
      </w:r>
    </w:p>
    <w:p w14:paraId="295B5F68" w14:textId="21925349" w:rsidR="00A30C42" w:rsidRPr="00836794" w:rsidRDefault="00A30C42" w:rsidP="004B6AD2">
      <w:pPr>
        <w:pStyle w:val="ListBullet"/>
      </w:pPr>
      <w:r w:rsidRPr="00836794">
        <w:t xml:space="preserve">from </w:t>
      </w:r>
      <w:r w:rsidR="00331152" w:rsidRPr="00836794">
        <w:t>subcutaneous</w:t>
      </w:r>
      <w:r w:rsidRPr="00836794">
        <w:t xml:space="preserve"> semaglutide 1.0 mg to either oral semaglutide 7 or 14 mg</w:t>
      </w:r>
      <w:r w:rsidR="00331152" w:rsidRPr="00836794">
        <w:t>.</w:t>
      </w:r>
    </w:p>
    <w:bookmarkEnd w:id="86"/>
    <w:p w14:paraId="3167F159" w14:textId="7F67D214" w:rsidR="00A30C42" w:rsidRPr="00836794" w:rsidRDefault="00A30C42" w:rsidP="004B6AD2">
      <w:pPr>
        <w:pStyle w:val="Heading5"/>
      </w:pPr>
      <w:r w:rsidRPr="00836794">
        <w:t>Pharmacodynamics</w:t>
      </w:r>
    </w:p>
    <w:p w14:paraId="2B856693" w14:textId="2C0015F5" w:rsidR="00A30C42" w:rsidRPr="000025F0" w:rsidRDefault="00A30C42" w:rsidP="00612622">
      <w:r w:rsidRPr="00836794">
        <w:t xml:space="preserve">The </w:t>
      </w:r>
      <w:r w:rsidR="0078534A" w:rsidRPr="00836794">
        <w:t>pharmacodynamics</w:t>
      </w:r>
      <w:r w:rsidRPr="00836794">
        <w:t xml:space="preserve"> of oral semaglutide have been adequately characterised. </w:t>
      </w:r>
      <w:proofErr w:type="gramStart"/>
      <w:r w:rsidRPr="00836794">
        <w:t>Oral semaglutide increased insulin secretion,</w:t>
      </w:r>
      <w:proofErr w:type="gramEnd"/>
      <w:r w:rsidRPr="00836794">
        <w:t xml:space="preserve"> decreased glucagon secretion and improved glycaemic control. There was decreased caloric intake, and corresponding weight loss, decreased </w:t>
      </w:r>
      <w:r w:rsidR="00A85DC4" w:rsidRPr="00836794">
        <w:t>body mass index</w:t>
      </w:r>
      <w:r w:rsidRPr="00836794">
        <w:t xml:space="preserve"> and decreased weight circumference. Weight loss increased with increasing dose (</w:t>
      </w:r>
      <w:r w:rsidRPr="000025F0">
        <w:t>greater in females), with no apparent plateau effect. Nausea and vomiting were dose dependent (and occurred more frequently in females</w:t>
      </w:r>
      <w:proofErr w:type="gramStart"/>
      <w:r w:rsidRPr="000025F0">
        <w:t>), but</w:t>
      </w:r>
      <w:proofErr w:type="gramEnd"/>
      <w:r w:rsidRPr="000025F0">
        <w:t xml:space="preserve"> improved over time.</w:t>
      </w:r>
    </w:p>
    <w:p w14:paraId="37BCDD42" w14:textId="5F1032B4" w:rsidR="00A30C42" w:rsidRPr="00836794" w:rsidRDefault="00A30C42" w:rsidP="00612622">
      <w:r w:rsidRPr="000025F0">
        <w:t xml:space="preserve">There was a dose dependent increase in serum lipase. There </w:t>
      </w:r>
      <w:proofErr w:type="gramStart"/>
      <w:r w:rsidRPr="000025F0">
        <w:t>were</w:t>
      </w:r>
      <w:proofErr w:type="gramEnd"/>
      <w:r w:rsidRPr="000025F0">
        <w:t xml:space="preserve"> no </w:t>
      </w:r>
      <w:r w:rsidR="000025F0" w:rsidRPr="000025F0">
        <w:t>corrected QT interval (</w:t>
      </w:r>
      <w:r w:rsidRPr="000025F0">
        <w:t>QTc</w:t>
      </w:r>
      <w:r w:rsidR="000025F0" w:rsidRPr="000025F0">
        <w:t>)</w:t>
      </w:r>
      <w:bookmarkStart w:id="87" w:name="_Ref107759501"/>
      <w:r w:rsidR="000025F0" w:rsidRPr="000025F0">
        <w:rPr>
          <w:rStyle w:val="FootnoteReference"/>
        </w:rPr>
        <w:footnoteReference w:id="15"/>
      </w:r>
      <w:bookmarkEnd w:id="87"/>
      <w:r w:rsidRPr="000025F0">
        <w:t xml:space="preserve"> prolonging effects for either semaglutide or SNAC.</w:t>
      </w:r>
    </w:p>
    <w:p w14:paraId="63810E3B" w14:textId="3A4FA1A1" w:rsidR="00A30C42" w:rsidRPr="00836794" w:rsidRDefault="00A30C42" w:rsidP="004B6AD2">
      <w:pPr>
        <w:pStyle w:val="Heading5"/>
      </w:pPr>
      <w:r w:rsidRPr="00836794">
        <w:t>Dose</w:t>
      </w:r>
      <w:r w:rsidR="00331152" w:rsidRPr="00836794">
        <w:t xml:space="preserve"> </w:t>
      </w:r>
      <w:r w:rsidRPr="00836794">
        <w:t>finding</w:t>
      </w:r>
    </w:p>
    <w:p w14:paraId="690BE4CB" w14:textId="0535BE91" w:rsidR="00A30C42" w:rsidRPr="00836794" w:rsidRDefault="00A30C42" w:rsidP="00612622">
      <w:r w:rsidRPr="00836794">
        <w:t xml:space="preserve">Data from the Phase </w:t>
      </w:r>
      <w:r w:rsidR="00DD79E3" w:rsidRPr="00836794">
        <w:t>I</w:t>
      </w:r>
      <w:r w:rsidRPr="00836794">
        <w:t xml:space="preserve"> and Phase </w:t>
      </w:r>
      <w:r w:rsidR="00DD79E3" w:rsidRPr="00836794">
        <w:t>II</w:t>
      </w:r>
      <w:r w:rsidRPr="00836794">
        <w:t xml:space="preserve"> studies were combined to simulate dosing regimens in </w:t>
      </w:r>
      <w:proofErr w:type="spellStart"/>
      <w:r w:rsidRPr="00836794">
        <w:t>PopPK</w:t>
      </w:r>
      <w:proofErr w:type="spellEnd"/>
      <w:r w:rsidRPr="00836794">
        <w:t xml:space="preserve"> Analyses 1 and 2. From these studies the 3 mg, 7 mg and 14 mg dose regimens was developed and subsequently tested in Phase </w:t>
      </w:r>
      <w:r w:rsidR="00DD79E3" w:rsidRPr="00836794">
        <w:t>III</w:t>
      </w:r>
      <w:r w:rsidRPr="00836794">
        <w:t xml:space="preserve">. </w:t>
      </w:r>
      <w:proofErr w:type="spellStart"/>
      <w:r w:rsidRPr="00836794">
        <w:t>PopPK</w:t>
      </w:r>
      <w:proofErr w:type="spellEnd"/>
      <w:r w:rsidRPr="00836794">
        <w:t xml:space="preserve"> Analysis 3 was a confirmatory analysis of this regimen.</w:t>
      </w:r>
    </w:p>
    <w:p w14:paraId="08552727" w14:textId="2F9173F6" w:rsidR="00A30C42" w:rsidRPr="00836794" w:rsidRDefault="00A30C42" w:rsidP="00612622">
      <w:r w:rsidRPr="00836794">
        <w:t xml:space="preserve">The Phase </w:t>
      </w:r>
      <w:r w:rsidR="00DD79E3" w:rsidRPr="00836794">
        <w:t>III</w:t>
      </w:r>
      <w:r w:rsidRPr="00836794">
        <w:t xml:space="preserve"> program explored the 3 mg, 7 </w:t>
      </w:r>
      <w:proofErr w:type="gramStart"/>
      <w:r w:rsidRPr="00836794">
        <w:t>mg</w:t>
      </w:r>
      <w:proofErr w:type="gramEnd"/>
      <w:r w:rsidRPr="00836794">
        <w:t xml:space="preserve"> and 14 mg dose regimens (</w:t>
      </w:r>
      <w:r w:rsidR="00331152" w:rsidRPr="00836794">
        <w:t xml:space="preserve">the </w:t>
      </w:r>
      <w:r w:rsidRPr="00836794">
        <w:t>PIONEER 1</w:t>
      </w:r>
      <w:r w:rsidR="00331152" w:rsidRPr="00836794">
        <w:t xml:space="preserve"> trial</w:t>
      </w:r>
      <w:r w:rsidRPr="00836794">
        <w:t>), investigated a titration regimen to the 14 mg dose level and also examined flexible dose adjustment (</w:t>
      </w:r>
      <w:r w:rsidR="00331152" w:rsidRPr="00836794">
        <w:t xml:space="preserve">the </w:t>
      </w:r>
      <w:r w:rsidRPr="00836794">
        <w:t>PIONEER 7</w:t>
      </w:r>
      <w:r w:rsidR="00331152" w:rsidRPr="00836794">
        <w:t xml:space="preserve"> trial</w:t>
      </w:r>
      <w:r w:rsidRPr="00836794">
        <w:t xml:space="preserve">). The dose of SNAC was fixed to 300 mg during the Phase </w:t>
      </w:r>
      <w:r w:rsidR="00DD79E3" w:rsidRPr="00836794">
        <w:t>III</w:t>
      </w:r>
      <w:r w:rsidRPr="00836794">
        <w:t xml:space="preserve"> program. No clinical trials investigate oral semaglutide without SNAC.</w:t>
      </w:r>
    </w:p>
    <w:p w14:paraId="45CBA9C2" w14:textId="5F608817" w:rsidR="00A30C42" w:rsidRPr="00836794" w:rsidRDefault="00A30C42" w:rsidP="00612622">
      <w:r w:rsidRPr="00836794">
        <w:lastRenderedPageBreak/>
        <w:t xml:space="preserve">The </w:t>
      </w:r>
      <w:r w:rsidR="00DD79E3" w:rsidRPr="00836794">
        <w:t>sponsor</w:t>
      </w:r>
      <w:r w:rsidRPr="00836794">
        <w:t xml:space="preserve"> performed an extensive program of studies (including modelling and simulation studies) to select the final dosing </w:t>
      </w:r>
      <w:proofErr w:type="gramStart"/>
      <w:r w:rsidRPr="00836794">
        <w:t>regimen, and</w:t>
      </w:r>
      <w:proofErr w:type="gramEnd"/>
      <w:r w:rsidRPr="00836794">
        <w:t xml:space="preserve"> followed this up with appropriate confirmatory studies. This included selecting the optimal dose of SNAC and the optimal administration strategy. This program provides clinical support of the proposed dosing and administrations regimens.</w:t>
      </w:r>
    </w:p>
    <w:p w14:paraId="6891D1F2" w14:textId="77777777" w:rsidR="00A30C42" w:rsidRPr="00836794" w:rsidRDefault="00A30C42" w:rsidP="004B6AD2">
      <w:pPr>
        <w:pStyle w:val="Heading4"/>
      </w:pPr>
      <w:r w:rsidRPr="00836794">
        <w:t>Efficacy</w:t>
      </w:r>
    </w:p>
    <w:p w14:paraId="3D301AF0" w14:textId="1DB134E8" w:rsidR="00A30C42" w:rsidRPr="00836794" w:rsidRDefault="00A30C42" w:rsidP="00612622">
      <w:r w:rsidRPr="00836794">
        <w:t xml:space="preserve">There were seven pivotal Phase </w:t>
      </w:r>
      <w:r w:rsidR="00DD79E3" w:rsidRPr="00836794">
        <w:t>III</w:t>
      </w:r>
      <w:r w:rsidRPr="00836794">
        <w:t xml:space="preserve">a efficacy studies: </w:t>
      </w:r>
      <w:r w:rsidR="00331152" w:rsidRPr="00836794">
        <w:t xml:space="preserve">the </w:t>
      </w:r>
      <w:r w:rsidRPr="00836794">
        <w:t xml:space="preserve">PIONEER 1, PIONEER 2, PIONEER 3, PIONEER 4, PIONEER 5, PIONEER </w:t>
      </w:r>
      <w:proofErr w:type="gramStart"/>
      <w:r w:rsidRPr="00836794">
        <w:t>7</w:t>
      </w:r>
      <w:proofErr w:type="gramEnd"/>
      <w:r w:rsidRPr="00836794">
        <w:t xml:space="preserve"> and PIONEER 8</w:t>
      </w:r>
      <w:r w:rsidR="00331152" w:rsidRPr="00836794">
        <w:t xml:space="preserve"> trials</w:t>
      </w:r>
      <w:r w:rsidRPr="00836794">
        <w:t xml:space="preserve">. There were two supportive studies conducted in a Japanese population: </w:t>
      </w:r>
      <w:r w:rsidR="00331152" w:rsidRPr="00836794">
        <w:t xml:space="preserve">the </w:t>
      </w:r>
      <w:r w:rsidRPr="00836794">
        <w:t>PIONEER 9 and PIONEER 10</w:t>
      </w:r>
      <w:r w:rsidR="00331152" w:rsidRPr="00836794">
        <w:t xml:space="preserve"> trials</w:t>
      </w:r>
      <w:r w:rsidRPr="00836794">
        <w:t xml:space="preserve">. </w:t>
      </w:r>
      <w:r w:rsidR="00331152" w:rsidRPr="00836794">
        <w:t xml:space="preserve">The </w:t>
      </w:r>
      <w:r w:rsidRPr="00836794">
        <w:t>PIONEER 6</w:t>
      </w:r>
      <w:r w:rsidR="00331152" w:rsidRPr="00836794">
        <w:t xml:space="preserve"> trial</w:t>
      </w:r>
      <w:r w:rsidRPr="00836794">
        <w:t xml:space="preserve"> was mainly a cardiovascular outcome safety study with some efficacy data. An overview is </w:t>
      </w:r>
      <w:r w:rsidR="00331152" w:rsidRPr="00836794">
        <w:t xml:space="preserve">given in </w:t>
      </w:r>
      <w:r w:rsidRPr="00836794">
        <w:fldChar w:fldCharType="begin"/>
      </w:r>
      <w:r w:rsidRPr="00836794">
        <w:instrText xml:space="preserve"> REF _Ref80778553 \h </w:instrText>
      </w:r>
      <w:r w:rsidR="00612622" w:rsidRPr="00836794">
        <w:instrText xml:space="preserve"> \* MERGEFORMAT </w:instrText>
      </w:r>
      <w:r w:rsidRPr="00836794">
        <w:fldChar w:fldCharType="separate"/>
      </w:r>
      <w:r w:rsidR="00E5082D" w:rsidRPr="00703318">
        <w:t xml:space="preserve">Table </w:t>
      </w:r>
      <w:r w:rsidR="00E5082D">
        <w:t>5</w:t>
      </w:r>
      <w:r w:rsidRPr="00836794">
        <w:fldChar w:fldCharType="end"/>
      </w:r>
      <w:r w:rsidR="00331152" w:rsidRPr="00836794">
        <w:t xml:space="preserve"> below</w:t>
      </w:r>
      <w:r w:rsidRPr="00836794">
        <w:t>.</w:t>
      </w:r>
    </w:p>
    <w:p w14:paraId="798643D9" w14:textId="0AA3480A" w:rsidR="00A30C42" w:rsidRPr="00703318" w:rsidRDefault="00A30C42" w:rsidP="00703318">
      <w:pPr>
        <w:pStyle w:val="TableTitle"/>
      </w:pPr>
      <w:bookmarkStart w:id="88" w:name="_Ref80778553"/>
      <w:r w:rsidRPr="00703318">
        <w:t xml:space="preserve">Table </w:t>
      </w:r>
      <w:fldSimple w:instr=" SEQ Table \* ARABIC ">
        <w:r w:rsidR="00E5082D">
          <w:rPr>
            <w:noProof/>
          </w:rPr>
          <w:t>5</w:t>
        </w:r>
      </w:fldSimple>
      <w:bookmarkEnd w:id="88"/>
      <w:r w:rsidR="001277FB" w:rsidRPr="00703318">
        <w:t>: The PIONEER trials</w:t>
      </w:r>
      <w:r w:rsidRPr="00703318">
        <w:t xml:space="preserve"> Overview of efficacy</w:t>
      </w:r>
      <w:r w:rsidR="007E3098" w:rsidRPr="00703318">
        <w:t xml:space="preserve"> trials</w:t>
      </w:r>
    </w:p>
    <w:p w14:paraId="2B42510C" w14:textId="3E2AFD71" w:rsidR="00842934" w:rsidRPr="00836794" w:rsidRDefault="00842934" w:rsidP="00703318">
      <w:r>
        <w:rPr>
          <w:noProof/>
          <w:lang w:val="en-GB" w:eastAsia="en-GB"/>
        </w:rPr>
        <w:drawing>
          <wp:inline distT="0" distB="0" distL="0" distR="0" wp14:anchorId="1249AC33" wp14:editId="1CF2A10C">
            <wp:extent cx="5339443" cy="6513830"/>
            <wp:effectExtent l="0" t="0" r="0" b="1270"/>
            <wp:docPr id="9" name="Picture 9" descr="Table 5: The PIONEER trials Overview of efficac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5: The PIONEER trials Overview of efficacy trials"/>
                    <pic:cNvPicPr/>
                  </pic:nvPicPr>
                  <pic:blipFill>
                    <a:blip r:embed="rId20"/>
                    <a:stretch>
                      <a:fillRect/>
                    </a:stretch>
                  </pic:blipFill>
                  <pic:spPr>
                    <a:xfrm>
                      <a:off x="0" y="0"/>
                      <a:ext cx="5341160" cy="6515925"/>
                    </a:xfrm>
                    <a:prstGeom prst="rect">
                      <a:avLst/>
                    </a:prstGeom>
                  </pic:spPr>
                </pic:pic>
              </a:graphicData>
            </a:graphic>
          </wp:inline>
        </w:drawing>
      </w:r>
    </w:p>
    <w:p w14:paraId="7AE21034" w14:textId="12E442D7" w:rsidR="00071724" w:rsidRPr="00703318" w:rsidRDefault="00343A19" w:rsidP="00703318">
      <w:pPr>
        <w:pStyle w:val="TableDescription"/>
      </w:pPr>
      <w:r w:rsidRPr="00703318">
        <w:lastRenderedPageBreak/>
        <w:t xml:space="preserve">Abbreviations: </w:t>
      </w:r>
      <w:r w:rsidR="002E22BF" w:rsidRPr="00703318">
        <w:t xml:space="preserve">CVD = cardiovascular disease; CVOT = cardiovascular outcomes trial; </w:t>
      </w:r>
      <w:proofErr w:type="spellStart"/>
      <w:r w:rsidR="002E22BF" w:rsidRPr="00703318">
        <w:t>dula</w:t>
      </w:r>
      <w:proofErr w:type="spellEnd"/>
      <w:r w:rsidR="002E22BF" w:rsidRPr="00703318">
        <w:t xml:space="preserve"> = dulaglutide; </w:t>
      </w:r>
      <w:proofErr w:type="spellStart"/>
      <w:r w:rsidR="002E22BF" w:rsidRPr="00703318">
        <w:t>empa</w:t>
      </w:r>
      <w:proofErr w:type="spellEnd"/>
      <w:r w:rsidR="002E22BF" w:rsidRPr="00703318">
        <w:t xml:space="preserve"> = empagliflozin; flex = flex = flexible dose; GI = gastrointestinal; HbA1c = haemoglobin A1c; lira = liraglutide; ID = identity; JP = Japanese; MACE = major adverse cardiovascular event; mono = monotherapy; OAD = oral anti-diabetic drug; </w:t>
      </w:r>
      <w:r w:rsidR="00071724" w:rsidRPr="00703318">
        <w:t>P = PIONEER trial</w:t>
      </w:r>
      <w:r w:rsidR="002E22BF" w:rsidRPr="00703318">
        <w:t xml:space="preserve">; </w:t>
      </w:r>
      <w:proofErr w:type="spellStart"/>
      <w:r w:rsidR="002E22BF" w:rsidRPr="00703318">
        <w:t>s.c.</w:t>
      </w:r>
      <w:proofErr w:type="spellEnd"/>
      <w:r w:rsidR="002E22BF" w:rsidRPr="00703318">
        <w:t xml:space="preserve"> = subcutaneous; SGLT-2 = Sodium glucose co-transporter-2; SU = sul</w:t>
      </w:r>
      <w:r w:rsidR="001B5374" w:rsidRPr="00703318">
        <w:t>f</w:t>
      </w:r>
      <w:r w:rsidR="002E22BF" w:rsidRPr="00703318">
        <w:t xml:space="preserve">onylurea; </w:t>
      </w:r>
      <w:r w:rsidR="00071724" w:rsidRPr="00703318">
        <w:t>T2</w:t>
      </w:r>
      <w:r w:rsidR="0048363E" w:rsidRPr="00703318">
        <w:t>D = type 2 diabetes</w:t>
      </w:r>
      <w:r w:rsidR="002E22BF" w:rsidRPr="00703318">
        <w:t xml:space="preserve">; </w:t>
      </w:r>
      <w:r w:rsidR="00071724" w:rsidRPr="00703318">
        <w:t>TEAE</w:t>
      </w:r>
      <w:r w:rsidR="0048363E" w:rsidRPr="00703318">
        <w:t xml:space="preserve"> = treatment</w:t>
      </w:r>
      <w:r w:rsidR="006B2740" w:rsidRPr="00703318">
        <w:t>-</w:t>
      </w:r>
      <w:r w:rsidR="0048363E" w:rsidRPr="00703318">
        <w:t>emergent adverse event</w:t>
      </w:r>
      <w:r w:rsidR="002E22BF" w:rsidRPr="00703318">
        <w:t xml:space="preserve">; US = United States; </w:t>
      </w:r>
      <w:r w:rsidR="00071724" w:rsidRPr="00703318">
        <w:t>vs</w:t>
      </w:r>
      <w:r w:rsidR="00697869" w:rsidRPr="00703318">
        <w:t xml:space="preserve"> = versus</w:t>
      </w:r>
      <w:r w:rsidR="002E22BF" w:rsidRPr="00703318">
        <w:t>.</w:t>
      </w:r>
    </w:p>
    <w:p w14:paraId="513954D6" w14:textId="308AA7A0" w:rsidR="00A30C42" w:rsidRPr="00703318" w:rsidRDefault="00842934" w:rsidP="00703318">
      <w:pPr>
        <w:pStyle w:val="TableDescription"/>
      </w:pPr>
      <w:proofErr w:type="spellStart"/>
      <w:r w:rsidRPr="00703318">
        <w:t>a</w:t>
      </w:r>
      <w:proofErr w:type="spellEnd"/>
      <w:r w:rsidRPr="00703318">
        <w:t xml:space="preserve"> excluding follow-up period</w:t>
      </w:r>
      <w:r w:rsidR="002E22BF" w:rsidRPr="00703318">
        <w:t>.</w:t>
      </w:r>
    </w:p>
    <w:p w14:paraId="1F78835D" w14:textId="67E719BB" w:rsidR="00A30C42" w:rsidRPr="00836794" w:rsidRDefault="00A30C42" w:rsidP="001277FB">
      <w:r w:rsidRPr="00836794">
        <w:t xml:space="preserve">In </w:t>
      </w:r>
      <w:r w:rsidR="00331152" w:rsidRPr="00836794">
        <w:t xml:space="preserve">the </w:t>
      </w:r>
      <w:r w:rsidRPr="00836794">
        <w:t>PIONEER 1, 2, 3, 4, 5, 8, and 9</w:t>
      </w:r>
      <w:r w:rsidR="00331152" w:rsidRPr="00836794">
        <w:t xml:space="preserve"> trials</w:t>
      </w:r>
      <w:r w:rsidRPr="00836794">
        <w:t xml:space="preserve">, HbA1c at 26 weeks was the primary endpoint. Only </w:t>
      </w:r>
      <w:r w:rsidR="00331152" w:rsidRPr="00836794">
        <w:t xml:space="preserve">the </w:t>
      </w:r>
      <w:r w:rsidRPr="00836794">
        <w:t>PIONEER 7</w:t>
      </w:r>
      <w:r w:rsidR="00331152" w:rsidRPr="00836794">
        <w:t xml:space="preserve"> trial</w:t>
      </w:r>
      <w:r w:rsidRPr="00836794">
        <w:t xml:space="preserve"> used the proportion of subjects achieving HbA1c &lt;</w:t>
      </w:r>
      <w:r w:rsidR="00331152" w:rsidRPr="00836794">
        <w:t xml:space="preserve"> </w:t>
      </w:r>
      <w:r w:rsidRPr="00836794">
        <w:t xml:space="preserve">7.0% (ADA target) as its primary endpoint, and PIONEER 6 was mainly a safety study, but both studies also reported on HbA1c at 26 weeks. An overview of endpoints is </w:t>
      </w:r>
      <w:r w:rsidR="00A5167C" w:rsidRPr="00836794">
        <w:t>shown in</w:t>
      </w:r>
      <w:r w:rsidRPr="00836794">
        <w:t xml:space="preserve"> </w:t>
      </w:r>
      <w:r w:rsidRPr="00836794">
        <w:fldChar w:fldCharType="begin"/>
      </w:r>
      <w:r w:rsidRPr="00836794">
        <w:instrText xml:space="preserve"> REF _Ref86768111 \h </w:instrText>
      </w:r>
      <w:r w:rsidR="00612622" w:rsidRPr="00836794">
        <w:instrText xml:space="preserve"> \* MERGEFORMAT </w:instrText>
      </w:r>
      <w:r w:rsidRPr="00836794">
        <w:fldChar w:fldCharType="separate"/>
      </w:r>
      <w:r w:rsidR="00E5082D" w:rsidRPr="00703318">
        <w:t xml:space="preserve">Table </w:t>
      </w:r>
      <w:r w:rsidR="00E5082D">
        <w:t>6</w:t>
      </w:r>
      <w:r w:rsidRPr="00836794">
        <w:fldChar w:fldCharType="end"/>
      </w:r>
      <w:r w:rsidR="00A5167C" w:rsidRPr="00836794">
        <w:t xml:space="preserve"> below</w:t>
      </w:r>
      <w:r w:rsidRPr="00836794">
        <w:t>.</w:t>
      </w:r>
    </w:p>
    <w:p w14:paraId="1DE4C3ED" w14:textId="4B680648" w:rsidR="001277FB" w:rsidRPr="00703318" w:rsidRDefault="001277FB" w:rsidP="00703318">
      <w:pPr>
        <w:pStyle w:val="Tabletitle0"/>
      </w:pPr>
      <w:bookmarkStart w:id="89" w:name="_Ref86768111"/>
      <w:r w:rsidRPr="00703318">
        <w:t xml:space="preserve">Table </w:t>
      </w:r>
      <w:fldSimple w:instr=" SEQ Table \* ARABIC ">
        <w:r w:rsidR="00E5082D">
          <w:rPr>
            <w:noProof/>
          </w:rPr>
          <w:t>6</w:t>
        </w:r>
      </w:fldSimple>
      <w:bookmarkEnd w:id="89"/>
      <w:r w:rsidRPr="00703318">
        <w:t>: The PIONEER trials Overview of endpoints</w:t>
      </w:r>
    </w:p>
    <w:p w14:paraId="4E43A672" w14:textId="52CB1D53" w:rsidR="008E2CB4" w:rsidRPr="008E2CB4" w:rsidRDefault="008E2CB4" w:rsidP="00703318">
      <w:r>
        <w:rPr>
          <w:noProof/>
          <w:lang w:val="en-GB" w:eastAsia="en-GB"/>
        </w:rPr>
        <w:drawing>
          <wp:inline distT="0" distB="0" distL="0" distR="0" wp14:anchorId="5530D0E4" wp14:editId="3D1B6EDE">
            <wp:extent cx="5344885" cy="4920615"/>
            <wp:effectExtent l="0" t="0" r="8255" b="0"/>
            <wp:docPr id="4" name="Picture 4" descr="Table 6: The PIONEER trials Overview of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 The PIONEER trials Overview of endpoints"/>
                    <pic:cNvPicPr/>
                  </pic:nvPicPr>
                  <pic:blipFill>
                    <a:blip r:embed="rId21"/>
                    <a:stretch>
                      <a:fillRect/>
                    </a:stretch>
                  </pic:blipFill>
                  <pic:spPr>
                    <a:xfrm>
                      <a:off x="0" y="0"/>
                      <a:ext cx="5345428" cy="4921115"/>
                    </a:xfrm>
                    <a:prstGeom prst="rect">
                      <a:avLst/>
                    </a:prstGeom>
                  </pic:spPr>
                </pic:pic>
              </a:graphicData>
            </a:graphic>
          </wp:inline>
        </w:drawing>
      </w:r>
    </w:p>
    <w:p w14:paraId="78368175" w14:textId="6E95CBDD" w:rsidR="008E2CB4" w:rsidRPr="00703318" w:rsidRDefault="00343A19" w:rsidP="00703318">
      <w:pPr>
        <w:pStyle w:val="TableDescription"/>
      </w:pPr>
      <w:r w:rsidRPr="00703318">
        <w:t xml:space="preserve">Abbreviations: </w:t>
      </w:r>
      <w:r w:rsidR="0048363E" w:rsidRPr="00703318">
        <w:t xml:space="preserve">AACE = American Association of Clinical Endocrinologists; </w:t>
      </w:r>
      <w:r w:rsidR="008E2CB4" w:rsidRPr="00703318">
        <w:t xml:space="preserve">ADA = </w:t>
      </w:r>
      <w:r w:rsidR="0048363E" w:rsidRPr="00703318">
        <w:t xml:space="preserve">American Diabetes Association; CVOT = cardiovascular outcomes trial; FPG = fasting plasma glucose; HbA1c = haemoglobin A1c; HOMA = homeostatic model assessment; IR = insulin resistance; PROs = patient reports outcomes; </w:t>
      </w:r>
      <w:r w:rsidR="008E2CB4" w:rsidRPr="00703318">
        <w:t>SMPG =</w:t>
      </w:r>
      <w:r w:rsidR="0048363E" w:rsidRPr="00703318">
        <w:t xml:space="preserve"> self-measured plasma glucose.</w:t>
      </w:r>
    </w:p>
    <w:p w14:paraId="46E0A654" w14:textId="4FA41D57" w:rsidR="00842934" w:rsidRPr="00703318" w:rsidRDefault="00842934" w:rsidP="00703318">
      <w:pPr>
        <w:pStyle w:val="TableDescription"/>
      </w:pPr>
      <w:r w:rsidRPr="00703318">
        <w:t>a Primary endpoint: change from Baseline at Week 26.</w:t>
      </w:r>
    </w:p>
    <w:p w14:paraId="3285493D" w14:textId="5F56F465" w:rsidR="00842934" w:rsidRPr="00703318" w:rsidRDefault="00842934" w:rsidP="00703318">
      <w:pPr>
        <w:pStyle w:val="TableDescription"/>
      </w:pPr>
      <w:r w:rsidRPr="00703318">
        <w:t>b Binary endpoint. ADA</w:t>
      </w:r>
      <w:r w:rsidR="00071724" w:rsidRPr="00703318">
        <w:t>: HbA1c &lt; 7%, AACE: HbA1c ≤ 6.5%</w:t>
      </w:r>
      <w:r w:rsidR="008E2CB4" w:rsidRPr="00703318">
        <w:t>.</w:t>
      </w:r>
    </w:p>
    <w:p w14:paraId="1250F34B" w14:textId="706758E3" w:rsidR="00071724" w:rsidRPr="00703318" w:rsidRDefault="00071724" w:rsidP="00703318">
      <w:pPr>
        <w:pStyle w:val="TableDescription"/>
      </w:pPr>
      <w:r w:rsidRPr="00703318">
        <w:t xml:space="preserve">c. </w:t>
      </w:r>
      <w:r w:rsidR="0048363E" w:rsidRPr="00703318">
        <w:t>T</w:t>
      </w:r>
      <w:r w:rsidRPr="00703318">
        <w:t xml:space="preserve">he primary endpoint in the PIONEER 7 trial evaluated the </w:t>
      </w:r>
      <w:r w:rsidR="008E2CB4" w:rsidRPr="00703318">
        <w:t>proportion</w:t>
      </w:r>
      <w:r w:rsidRPr="00703318">
        <w:t xml:space="preserve"> of subjects achieving HbA1c</w:t>
      </w:r>
      <w:r w:rsidR="00343A19" w:rsidRPr="00703318">
        <w:t> </w:t>
      </w:r>
      <w:r w:rsidRPr="00703318">
        <w:t>&lt;</w:t>
      </w:r>
      <w:r w:rsidR="00343A19" w:rsidRPr="00703318">
        <w:t> </w:t>
      </w:r>
      <w:r w:rsidRPr="00703318">
        <w:t>7% (ADA target)</w:t>
      </w:r>
      <w:r w:rsidR="008E2CB4" w:rsidRPr="00703318">
        <w:t>.</w:t>
      </w:r>
    </w:p>
    <w:p w14:paraId="45F7F309" w14:textId="18F5610A" w:rsidR="00071724" w:rsidRPr="00703318" w:rsidRDefault="00071724" w:rsidP="00703318">
      <w:pPr>
        <w:pStyle w:val="TableDescription"/>
      </w:pPr>
      <w:r w:rsidRPr="00703318">
        <w:t xml:space="preserve">d In the PIONEER </w:t>
      </w:r>
      <w:r w:rsidR="007C31A1" w:rsidRPr="00703318">
        <w:t xml:space="preserve">10 </w:t>
      </w:r>
      <w:r w:rsidRPr="00703318">
        <w:t>trial, the primary objective and the associated endpoints were safety related endpoints</w:t>
      </w:r>
      <w:r w:rsidR="00E02698" w:rsidRPr="00703318">
        <w:t>;</w:t>
      </w:r>
      <w:r w:rsidRPr="00703318">
        <w:t xml:space="preserve"> </w:t>
      </w:r>
      <w:r w:rsidR="002E07F8" w:rsidRPr="00703318">
        <w:t>efficacy</w:t>
      </w:r>
      <w:r w:rsidR="00CC7D97" w:rsidRPr="00703318">
        <w:t xml:space="preserve"> </w:t>
      </w:r>
      <w:r w:rsidR="007C31A1" w:rsidRPr="00703318">
        <w:t>related</w:t>
      </w:r>
      <w:r w:rsidR="002E07F8" w:rsidRPr="00703318">
        <w:t xml:space="preserve"> endpoints </w:t>
      </w:r>
      <w:r w:rsidRPr="00703318">
        <w:t>were secondary and supportive</w:t>
      </w:r>
      <w:r w:rsidR="008E2CB4" w:rsidRPr="00703318">
        <w:t>.</w:t>
      </w:r>
    </w:p>
    <w:p w14:paraId="20AA462A" w14:textId="735F1375" w:rsidR="00071724" w:rsidRPr="00703318" w:rsidRDefault="00071724" w:rsidP="00703318">
      <w:pPr>
        <w:pStyle w:val="TableDescription"/>
      </w:pPr>
      <w:r w:rsidRPr="00703318">
        <w:lastRenderedPageBreak/>
        <w:t xml:space="preserve">e In the PIONEER 6 trial (CVOT), the primary endpoint was time to the first major </w:t>
      </w:r>
      <w:r w:rsidR="0048363E" w:rsidRPr="00703318">
        <w:t xml:space="preserve">adverse </w:t>
      </w:r>
      <w:r w:rsidRPr="00703318">
        <w:t>cardiovascular event</w:t>
      </w:r>
      <w:r w:rsidR="008E2CB4" w:rsidRPr="00703318">
        <w:t>.</w:t>
      </w:r>
    </w:p>
    <w:p w14:paraId="1C56C5A8" w14:textId="70643C52" w:rsidR="008E2CB4" w:rsidRPr="00703318" w:rsidRDefault="008E2CB4" w:rsidP="00703318">
      <w:pPr>
        <w:pStyle w:val="TableDescription"/>
      </w:pPr>
      <w:r w:rsidRPr="00703318">
        <w:t>f Confirmatory secondary endpoint: change from Baseline at Week 26 (confirmatory for kg only).</w:t>
      </w:r>
    </w:p>
    <w:p w14:paraId="51E3983A" w14:textId="341D19F7" w:rsidR="008E2CB4" w:rsidRPr="00703318" w:rsidRDefault="008E2CB4" w:rsidP="00703318">
      <w:pPr>
        <w:pStyle w:val="TableDescription"/>
      </w:pPr>
      <w:r w:rsidRPr="00703318">
        <w:t xml:space="preserve">g </w:t>
      </w:r>
      <w:proofErr w:type="gramStart"/>
      <w:r w:rsidRPr="00703318">
        <w:t>In</w:t>
      </w:r>
      <w:proofErr w:type="gramEnd"/>
      <w:r w:rsidRPr="00703318">
        <w:t xml:space="preserve"> kg only.</w:t>
      </w:r>
    </w:p>
    <w:p w14:paraId="39AC1D64" w14:textId="5B79F2CB" w:rsidR="008E2CB4" w:rsidRPr="00703318" w:rsidRDefault="008E2CB4" w:rsidP="00703318">
      <w:pPr>
        <w:pStyle w:val="TableDescription"/>
      </w:pPr>
      <w:r w:rsidRPr="00703318">
        <w:t>h Composite binary endpoints evaluating combinations of categorical HbA1c and body weight outcomes and occurrence of hypoglycaemia.</w:t>
      </w:r>
    </w:p>
    <w:p w14:paraId="6477DEAB" w14:textId="10ED3E1E" w:rsidR="008E2CB4" w:rsidRPr="00703318" w:rsidRDefault="008E2CB4" w:rsidP="00703318">
      <w:pPr>
        <w:pStyle w:val="TableDescription"/>
      </w:pPr>
      <w:r w:rsidRPr="00703318">
        <w:t xml:space="preserve">I Generic and/or </w:t>
      </w:r>
      <w:r w:rsidR="0048363E" w:rsidRPr="00703318">
        <w:t>type 2 diabetes</w:t>
      </w:r>
      <w:r w:rsidRPr="00703318">
        <w:t xml:space="preserve"> specific PRO instrument; not all PROs were included in all trials.</w:t>
      </w:r>
    </w:p>
    <w:p w14:paraId="6D5456A8" w14:textId="61C59FE3" w:rsidR="00A30C42" w:rsidRPr="00836794" w:rsidRDefault="00A30C42" w:rsidP="004B6AD2">
      <w:pPr>
        <w:pStyle w:val="Heading5"/>
      </w:pPr>
      <w:r w:rsidRPr="00836794">
        <w:t>PIONEER trials</w:t>
      </w:r>
      <w:r w:rsidR="00F63FF0">
        <w:t xml:space="preserve"> (pivotal); </w:t>
      </w:r>
      <w:r w:rsidRPr="00836794">
        <w:t>PIONEER 1, 2, 3, 4, 5, 7, and 8</w:t>
      </w:r>
    </w:p>
    <w:p w14:paraId="578D5CFF" w14:textId="77777777" w:rsidR="00A30C42" w:rsidRPr="00836794" w:rsidRDefault="00A30C42" w:rsidP="004B6AD2">
      <w:pPr>
        <w:pStyle w:val="Heading6"/>
      </w:pPr>
      <w:r w:rsidRPr="00836794">
        <w:t>Design</w:t>
      </w:r>
    </w:p>
    <w:p w14:paraId="6535871D" w14:textId="75939FA7" w:rsidR="00A30C42" w:rsidRPr="00836794" w:rsidRDefault="00A30C42" w:rsidP="00612622">
      <w:r w:rsidRPr="00836794">
        <w:t xml:space="preserve">The pivotal PIONEER trials (PIONEER 1, 2, 3, 4, 5, 7, and 8) were Phase </w:t>
      </w:r>
      <w:r w:rsidR="00DD79E3" w:rsidRPr="00836794">
        <w:t>III</w:t>
      </w:r>
      <w:r w:rsidRPr="00836794">
        <w:t>a, randomised, double-blind (PIONEER 2 and 7 were open</w:t>
      </w:r>
      <w:r w:rsidR="00AB6287" w:rsidRPr="00836794">
        <w:t xml:space="preserve"> </w:t>
      </w:r>
      <w:r w:rsidRPr="00836794">
        <w:t>label), multicentre, parallel</w:t>
      </w:r>
      <w:r w:rsidR="00AB6287" w:rsidRPr="00836794">
        <w:t xml:space="preserve"> </w:t>
      </w:r>
      <w:r w:rsidRPr="00836794">
        <w:t xml:space="preserve">group, controlled studies to assess the efficacy and safety of </w:t>
      </w:r>
      <w:r w:rsidR="00393701">
        <w:t xml:space="preserve">oral semaglutide </w:t>
      </w:r>
      <w:r w:rsidRPr="00836794">
        <w:t>in a combined total of 8572</w:t>
      </w:r>
      <w:r w:rsidR="00343A19">
        <w:t> </w:t>
      </w:r>
      <w:r w:rsidRPr="00836794">
        <w:t>adult patients (aged 18</w:t>
      </w:r>
      <w:r w:rsidR="00AB6287" w:rsidRPr="00836794">
        <w:t xml:space="preserve"> to </w:t>
      </w:r>
      <w:r w:rsidRPr="00836794">
        <w:t>92</w:t>
      </w:r>
      <w:r w:rsidR="00AB6287" w:rsidRPr="00836794">
        <w:t xml:space="preserve"> years</w:t>
      </w:r>
      <w:r w:rsidRPr="00836794">
        <w:t xml:space="preserve">) with </w:t>
      </w:r>
      <w:r w:rsidR="00631637" w:rsidRPr="00836794">
        <w:t>type 2 diabetes mellitus</w:t>
      </w:r>
      <w:r w:rsidRPr="00836794">
        <w:t>.</w:t>
      </w:r>
    </w:p>
    <w:p w14:paraId="518D53A1" w14:textId="504DA5BD" w:rsidR="00A30C42" w:rsidRPr="00836794" w:rsidRDefault="00A30C42" w:rsidP="00612622">
      <w:r w:rsidRPr="00836794">
        <w:t xml:space="preserve">The primary endpoint in </w:t>
      </w:r>
      <w:r w:rsidR="00AB6287" w:rsidRPr="00836794">
        <w:t xml:space="preserve">the </w:t>
      </w:r>
      <w:r w:rsidRPr="00836794">
        <w:t>PIONEER 1</w:t>
      </w:r>
      <w:r w:rsidR="00AB6287" w:rsidRPr="00836794">
        <w:t xml:space="preserve">, 2, 3, 4, </w:t>
      </w:r>
      <w:r w:rsidRPr="00836794">
        <w:t xml:space="preserve">5 and 8 was change in HbA1c (%) from </w:t>
      </w:r>
      <w:r w:rsidR="008027CC" w:rsidRPr="00836794">
        <w:t>Baseline</w:t>
      </w:r>
      <w:r w:rsidRPr="00836794">
        <w:t xml:space="preserve"> to Week 26, and the confirmatory secondary endpoint was change in body weight (kg) from </w:t>
      </w:r>
      <w:r w:rsidR="008027CC" w:rsidRPr="00836794">
        <w:t>Baseline</w:t>
      </w:r>
      <w:r w:rsidRPr="00836794">
        <w:t xml:space="preserve"> to Week 26.</w:t>
      </w:r>
    </w:p>
    <w:p w14:paraId="35CE1723" w14:textId="2C230E6C" w:rsidR="00A30C42" w:rsidRPr="00836794" w:rsidRDefault="00A30C42" w:rsidP="00612622">
      <w:r w:rsidRPr="00836794">
        <w:t xml:space="preserve">Study objectives, endpoints, trial population, and study design are summarised in </w:t>
      </w:r>
      <w:r w:rsidRPr="00836794">
        <w:fldChar w:fldCharType="begin"/>
      </w:r>
      <w:r w:rsidRPr="00836794">
        <w:instrText xml:space="preserve"> REF _Ref80778553 \h </w:instrText>
      </w:r>
      <w:r w:rsidR="00612622" w:rsidRPr="00836794">
        <w:instrText xml:space="preserve"> \* MERGEFORMAT </w:instrText>
      </w:r>
      <w:r w:rsidRPr="00836794">
        <w:fldChar w:fldCharType="separate"/>
      </w:r>
      <w:r w:rsidR="00E5082D" w:rsidRPr="00703318">
        <w:t xml:space="preserve">Table </w:t>
      </w:r>
      <w:r w:rsidR="00E5082D">
        <w:t>5</w:t>
      </w:r>
      <w:r w:rsidRPr="00836794">
        <w:fldChar w:fldCharType="end"/>
      </w:r>
      <w:r w:rsidR="00AB6287" w:rsidRPr="00836794">
        <w:t xml:space="preserve"> above</w:t>
      </w:r>
      <w:r w:rsidRPr="00836794">
        <w:t xml:space="preserve">. The proportions of patients on background antidiabetic medication are summarised in </w:t>
      </w:r>
      <w:r w:rsidRPr="00836794">
        <w:fldChar w:fldCharType="begin"/>
      </w:r>
      <w:r w:rsidRPr="00836794">
        <w:instrText xml:space="preserve"> REF _Ref80785570 \h </w:instrText>
      </w:r>
      <w:r w:rsidR="00612622" w:rsidRPr="00836794">
        <w:instrText xml:space="preserve"> \* MERGEFORMAT </w:instrText>
      </w:r>
      <w:r w:rsidRPr="00836794">
        <w:fldChar w:fldCharType="separate"/>
      </w:r>
      <w:r w:rsidR="00E5082D" w:rsidRPr="0071231C">
        <w:t xml:space="preserve">Table </w:t>
      </w:r>
      <w:r w:rsidR="00E5082D">
        <w:t>7</w:t>
      </w:r>
      <w:r w:rsidRPr="00836794">
        <w:fldChar w:fldCharType="end"/>
      </w:r>
      <w:r w:rsidR="00AB6287" w:rsidRPr="00836794">
        <w:t xml:space="preserve"> below</w:t>
      </w:r>
      <w:r w:rsidRPr="00836794">
        <w:t>.</w:t>
      </w:r>
    </w:p>
    <w:p w14:paraId="3E5A76C7" w14:textId="087DCBD2" w:rsidR="00A30C42" w:rsidRPr="0071231C" w:rsidRDefault="00A30C42" w:rsidP="00703318">
      <w:pPr>
        <w:pStyle w:val="TableTitle"/>
      </w:pPr>
      <w:bookmarkStart w:id="90" w:name="_Ref80785570"/>
      <w:r w:rsidRPr="0071231C">
        <w:t xml:space="preserve">Table </w:t>
      </w:r>
      <w:fldSimple w:instr=" SEQ Table \* ARABIC ">
        <w:r w:rsidR="00E5082D">
          <w:rPr>
            <w:noProof/>
          </w:rPr>
          <w:t>7</w:t>
        </w:r>
      </w:fldSimple>
      <w:bookmarkEnd w:id="90"/>
      <w:r w:rsidR="001277FB" w:rsidRPr="0071231C">
        <w:t xml:space="preserve">: </w:t>
      </w:r>
      <w:r w:rsidRPr="0071231C">
        <w:t xml:space="preserve">PIONEER trials </w:t>
      </w:r>
      <w:r w:rsidR="00F63FF0">
        <w:t xml:space="preserve">(pivotal) </w:t>
      </w:r>
      <w:r w:rsidRPr="0071231C">
        <w:t>Background antidiabetic medication (</w:t>
      </w:r>
      <w:r w:rsidR="001277FB" w:rsidRPr="0071231C">
        <w:t>full analysis set</w:t>
      </w:r>
      <w:r w:rsidRPr="0071231C">
        <w:t>)</w:t>
      </w:r>
    </w:p>
    <w:p w14:paraId="1C1F8659" w14:textId="43688B33" w:rsidR="00AF66C8" w:rsidRDefault="00AF66C8" w:rsidP="00703318">
      <w:r>
        <w:rPr>
          <w:noProof/>
          <w:lang w:val="en-GB" w:eastAsia="en-GB"/>
        </w:rPr>
        <w:drawing>
          <wp:inline distT="0" distB="0" distL="0" distR="0" wp14:anchorId="1DAF4705" wp14:editId="7292BE9A">
            <wp:extent cx="5400040" cy="1586865"/>
            <wp:effectExtent l="0" t="0" r="0" b="0"/>
            <wp:docPr id="5" name="Picture 5" descr="Table 7: PIONEER trials (pivotal) Background antidiabetic medic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7: PIONEER trials (pivotal) Background antidiabetic medication (full analysis set)"/>
                    <pic:cNvPicPr/>
                  </pic:nvPicPr>
                  <pic:blipFill>
                    <a:blip r:embed="rId22"/>
                    <a:stretch>
                      <a:fillRect/>
                    </a:stretch>
                  </pic:blipFill>
                  <pic:spPr>
                    <a:xfrm>
                      <a:off x="0" y="0"/>
                      <a:ext cx="5400040" cy="1586865"/>
                    </a:xfrm>
                    <a:prstGeom prst="rect">
                      <a:avLst/>
                    </a:prstGeom>
                  </pic:spPr>
                </pic:pic>
              </a:graphicData>
            </a:graphic>
          </wp:inline>
        </w:drawing>
      </w:r>
    </w:p>
    <w:p w14:paraId="30EB565B" w14:textId="412C09A1" w:rsidR="00E9191D" w:rsidRPr="00703318" w:rsidRDefault="00343A19" w:rsidP="00703318">
      <w:pPr>
        <w:pStyle w:val="TableDescription"/>
      </w:pPr>
      <w:r w:rsidRPr="00703318">
        <w:t xml:space="preserve">Abbreviations: </w:t>
      </w:r>
      <w:r w:rsidR="00E9191D" w:rsidRPr="00703318">
        <w:t>CVOT = cardiovascular outcomes trial; FAS = number of subjects in full analysis set; OAD</w:t>
      </w:r>
      <w:r w:rsidRPr="00703318">
        <w:t> </w:t>
      </w:r>
      <w:r w:rsidR="00E9191D" w:rsidRPr="00703318">
        <w:t>= oral anti-diabetic drug; P = PIONEER trials; SGLT2 = sodium glucose co</w:t>
      </w:r>
      <w:r w:rsidR="00387078" w:rsidRPr="00703318">
        <w:noBreakHyphen/>
      </w:r>
      <w:proofErr w:type="gramStart"/>
      <w:r w:rsidR="00E9191D" w:rsidRPr="00703318">
        <w:t>transporter-2</w:t>
      </w:r>
      <w:proofErr w:type="gramEnd"/>
      <w:r w:rsidR="00387078" w:rsidRPr="00703318">
        <w:t xml:space="preserve">; </w:t>
      </w:r>
      <w:r w:rsidR="00E9191D" w:rsidRPr="00703318">
        <w:t>SU</w:t>
      </w:r>
      <w:r w:rsidRPr="00703318">
        <w:t> </w:t>
      </w:r>
      <w:r w:rsidR="00E9191D" w:rsidRPr="00703318">
        <w:t>=</w:t>
      </w:r>
      <w:r w:rsidRPr="00703318">
        <w:t> </w:t>
      </w:r>
      <w:r w:rsidR="00E9191D" w:rsidRPr="00703318">
        <w:t>sul</w:t>
      </w:r>
      <w:r w:rsidR="00F63FF0" w:rsidRPr="00703318">
        <w:t>f</w:t>
      </w:r>
      <w:r w:rsidR="00E9191D" w:rsidRPr="00703318">
        <w:t>onylurea</w:t>
      </w:r>
      <w:r w:rsidR="00387078" w:rsidRPr="00703318">
        <w:t>.</w:t>
      </w:r>
    </w:p>
    <w:p w14:paraId="7C0AA576" w14:textId="3C8F67CF" w:rsidR="00E847AB" w:rsidRPr="00703318" w:rsidRDefault="00315285" w:rsidP="00703318">
      <w:pPr>
        <w:pStyle w:val="TableDescription"/>
      </w:pPr>
      <w:r>
        <w:t>P</w:t>
      </w:r>
      <w:r w:rsidR="00E847AB" w:rsidRPr="00703318">
        <w:t>ercentages</w:t>
      </w:r>
      <w:r>
        <w:t xml:space="preserve"> (%)</w:t>
      </w:r>
      <w:r w:rsidR="00E847AB" w:rsidRPr="00703318">
        <w:t xml:space="preserve"> refer to proportion of subjects.</w:t>
      </w:r>
    </w:p>
    <w:p w14:paraId="2F81449B" w14:textId="744457FF" w:rsidR="00AF66C8" w:rsidRPr="00703318" w:rsidRDefault="00AF66C8" w:rsidP="00703318">
      <w:pPr>
        <w:pStyle w:val="TableDescription"/>
      </w:pPr>
      <w:r w:rsidRPr="00703318">
        <w:t>The start and stop dates of the anti-diabetic medication were before and after the date of the screening visit,</w:t>
      </w:r>
      <w:r w:rsidR="00E9191D" w:rsidRPr="00703318">
        <w:t xml:space="preserve"> </w:t>
      </w:r>
      <w:r w:rsidRPr="00703318">
        <w:t>respectively. Insulin: basal insulin (</w:t>
      </w:r>
      <w:r w:rsidR="00387078" w:rsidRPr="00703318">
        <w:t>the PIONEER 5 and 8 trials</w:t>
      </w:r>
      <w:r w:rsidRPr="00703318">
        <w:t>), basal bolus (</w:t>
      </w:r>
      <w:r w:rsidR="00387078" w:rsidRPr="00703318">
        <w:t>the PIONEER 8 trial</w:t>
      </w:r>
      <w:r w:rsidRPr="00703318">
        <w:t>) or premix (</w:t>
      </w:r>
      <w:r w:rsidR="00387078" w:rsidRPr="00703318">
        <w:t>the PIONEER 8 trial</w:t>
      </w:r>
      <w:r w:rsidRPr="00703318">
        <w:t xml:space="preserve">), various insulin regimens were used in </w:t>
      </w:r>
      <w:r w:rsidR="00387078" w:rsidRPr="00703318">
        <w:t>the PIONEER 6 trial</w:t>
      </w:r>
      <w:r w:rsidRPr="00703318">
        <w:t>. For the evaluation of efficacy in subgroups, the following categories are used: No background treatment, metformin only, SU ± metformin, SGLT2</w:t>
      </w:r>
      <w:r w:rsidR="00387078" w:rsidRPr="00703318">
        <w:t xml:space="preserve"> inhibitor</w:t>
      </w:r>
      <w:r w:rsidRPr="00703318">
        <w:t xml:space="preserve"> ± metformin, insulin ± OADs, other.</w:t>
      </w:r>
    </w:p>
    <w:p w14:paraId="14EEE6AB" w14:textId="5300B90F" w:rsidR="00A30C42" w:rsidRPr="00836794" w:rsidRDefault="00F63FF0" w:rsidP="004B6AD2">
      <w:pPr>
        <w:pStyle w:val="Heading6"/>
      </w:pPr>
      <w:r>
        <w:t>Trial populations</w:t>
      </w:r>
    </w:p>
    <w:p w14:paraId="2C13E618" w14:textId="47859A5A" w:rsidR="00A30C42" w:rsidRPr="00836794" w:rsidRDefault="00A30C42" w:rsidP="001277FB">
      <w:r w:rsidRPr="00836794">
        <w:t xml:space="preserve">Subject disposition and baseline characteristics are summarised in </w:t>
      </w:r>
      <w:r w:rsidRPr="00836794">
        <w:fldChar w:fldCharType="begin"/>
      </w:r>
      <w:r w:rsidRPr="00836794">
        <w:instrText xml:space="preserve"> REF _Ref80784312 \h </w:instrText>
      </w:r>
      <w:r w:rsidR="00612622" w:rsidRPr="00836794">
        <w:instrText xml:space="preserve"> \* MERGEFORMAT </w:instrText>
      </w:r>
      <w:r w:rsidRPr="00836794">
        <w:fldChar w:fldCharType="separate"/>
      </w:r>
      <w:r w:rsidR="00E5082D" w:rsidRPr="0071231C">
        <w:t xml:space="preserve">Table </w:t>
      </w:r>
      <w:r w:rsidR="00E5082D">
        <w:t>8</w:t>
      </w:r>
      <w:r w:rsidRPr="00836794">
        <w:fldChar w:fldCharType="end"/>
      </w:r>
      <w:r w:rsidRPr="00836794">
        <w:t xml:space="preserve"> and </w:t>
      </w:r>
      <w:r w:rsidRPr="00836794">
        <w:fldChar w:fldCharType="begin"/>
      </w:r>
      <w:r w:rsidRPr="00836794">
        <w:instrText xml:space="preserve"> REF _Ref80785377 \h </w:instrText>
      </w:r>
      <w:r w:rsidR="00612622" w:rsidRPr="00836794">
        <w:instrText xml:space="preserve"> \* MERGEFORMAT </w:instrText>
      </w:r>
      <w:r w:rsidRPr="00836794">
        <w:fldChar w:fldCharType="separate"/>
      </w:r>
      <w:r w:rsidR="00E5082D" w:rsidRPr="0071231C">
        <w:t xml:space="preserve">Table </w:t>
      </w:r>
      <w:r w:rsidR="00E5082D">
        <w:t>9</w:t>
      </w:r>
      <w:r w:rsidRPr="00836794">
        <w:fldChar w:fldCharType="end"/>
      </w:r>
      <w:r w:rsidRPr="00836794">
        <w:t>, respectively.</w:t>
      </w:r>
    </w:p>
    <w:p w14:paraId="7C220D59" w14:textId="0B87FB1B" w:rsidR="001277FB" w:rsidRPr="0071231C" w:rsidRDefault="001277FB" w:rsidP="00703318">
      <w:pPr>
        <w:pStyle w:val="TableTitle"/>
      </w:pPr>
      <w:bookmarkStart w:id="91" w:name="_Ref80784312"/>
      <w:r w:rsidRPr="0071231C">
        <w:lastRenderedPageBreak/>
        <w:t xml:space="preserve">Table </w:t>
      </w:r>
      <w:fldSimple w:instr=" SEQ Table \* ARABIC ">
        <w:r w:rsidR="00E5082D">
          <w:rPr>
            <w:noProof/>
          </w:rPr>
          <w:t>8</w:t>
        </w:r>
      </w:fldSimple>
      <w:bookmarkEnd w:id="91"/>
      <w:r w:rsidR="007E3098" w:rsidRPr="0071231C">
        <w:t xml:space="preserve">: </w:t>
      </w:r>
      <w:r w:rsidRPr="0071231C">
        <w:t>PIONEER trials</w:t>
      </w:r>
      <w:r w:rsidR="007E3098" w:rsidRPr="0071231C">
        <w:t xml:space="preserve"> </w:t>
      </w:r>
      <w:r w:rsidR="00F63FF0">
        <w:t xml:space="preserve">(pivotal) </w:t>
      </w:r>
      <w:r w:rsidRPr="0071231C">
        <w:t>Subject disposition</w:t>
      </w:r>
    </w:p>
    <w:p w14:paraId="7F87154B" w14:textId="21859E83" w:rsidR="00AF66C8" w:rsidRDefault="00AF66C8" w:rsidP="00703318">
      <w:r>
        <w:rPr>
          <w:noProof/>
          <w:lang w:val="en-GB" w:eastAsia="en-GB"/>
        </w:rPr>
        <w:drawing>
          <wp:inline distT="0" distB="0" distL="0" distR="0" wp14:anchorId="26EDC29A" wp14:editId="0C38580E">
            <wp:extent cx="5257800" cy="2796540"/>
            <wp:effectExtent l="0" t="0" r="0" b="3810"/>
            <wp:docPr id="10" name="Picture 10" descr="Table 8: PIONEER trials (pivotal)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8: PIONEER trials (pivotal) Subject disposition"/>
                    <pic:cNvPicPr/>
                  </pic:nvPicPr>
                  <pic:blipFill>
                    <a:blip r:embed="rId23"/>
                    <a:stretch>
                      <a:fillRect/>
                    </a:stretch>
                  </pic:blipFill>
                  <pic:spPr>
                    <a:xfrm>
                      <a:off x="0" y="0"/>
                      <a:ext cx="5262087" cy="2798820"/>
                    </a:xfrm>
                    <a:prstGeom prst="rect">
                      <a:avLst/>
                    </a:prstGeom>
                  </pic:spPr>
                </pic:pic>
              </a:graphicData>
            </a:graphic>
          </wp:inline>
        </w:drawing>
      </w:r>
    </w:p>
    <w:p w14:paraId="21B4A700" w14:textId="034966DD" w:rsidR="00387078" w:rsidRPr="00703318" w:rsidRDefault="00343A19" w:rsidP="00703318">
      <w:pPr>
        <w:pStyle w:val="TableDescription"/>
      </w:pPr>
      <w:r w:rsidRPr="00703318">
        <w:t xml:space="preserve">Abbreviations: </w:t>
      </w:r>
      <w:r w:rsidR="00387078" w:rsidRPr="00703318">
        <w:t xml:space="preserve">AE = adverse event; </w:t>
      </w:r>
      <w:proofErr w:type="spellStart"/>
      <w:r w:rsidR="00387078" w:rsidRPr="00703318">
        <w:t>Empa</w:t>
      </w:r>
      <w:proofErr w:type="spellEnd"/>
      <w:r w:rsidR="00387078" w:rsidRPr="00703318">
        <w:t xml:space="preserve"> = empagliflozin; FAS = full analysis set; N = = number of subjects; P = PIONEER trials; </w:t>
      </w:r>
      <w:proofErr w:type="spellStart"/>
      <w:r w:rsidR="00387078" w:rsidRPr="00703318">
        <w:t>Pbo</w:t>
      </w:r>
      <w:proofErr w:type="spellEnd"/>
      <w:r w:rsidR="00387078" w:rsidRPr="00703318">
        <w:t xml:space="preserve"> = placebo; </w:t>
      </w:r>
      <w:proofErr w:type="spellStart"/>
      <w:r w:rsidR="00387078" w:rsidRPr="00703318">
        <w:t>sema</w:t>
      </w:r>
      <w:proofErr w:type="spellEnd"/>
      <w:r w:rsidR="00387078" w:rsidRPr="00703318">
        <w:t xml:space="preserve"> = </w:t>
      </w:r>
      <w:proofErr w:type="spellStart"/>
      <w:r w:rsidR="00387078" w:rsidRPr="00703318">
        <w:t>semaglutide</w:t>
      </w:r>
      <w:proofErr w:type="spellEnd"/>
      <w:r w:rsidR="00387078" w:rsidRPr="00703318">
        <w:t xml:space="preserve">; </w:t>
      </w:r>
      <w:proofErr w:type="spellStart"/>
      <w:r w:rsidR="00387078" w:rsidRPr="00703318">
        <w:t>sita</w:t>
      </w:r>
      <w:proofErr w:type="spellEnd"/>
      <w:r w:rsidR="00387078" w:rsidRPr="00703318">
        <w:t xml:space="preserve"> = </w:t>
      </w:r>
      <w:proofErr w:type="spellStart"/>
      <w:r w:rsidR="00387078" w:rsidRPr="00703318">
        <w:t>sitabliptin</w:t>
      </w:r>
      <w:proofErr w:type="spellEnd"/>
      <w:r w:rsidR="00387078" w:rsidRPr="00703318">
        <w:t>.</w:t>
      </w:r>
    </w:p>
    <w:p w14:paraId="4984B164" w14:textId="1BC302DA" w:rsidR="00AF66C8" w:rsidRPr="00703318" w:rsidRDefault="00AF66C8" w:rsidP="00703318">
      <w:pPr>
        <w:pStyle w:val="TableDescription"/>
      </w:pPr>
      <w:r w:rsidRPr="00703318">
        <w:t xml:space="preserve">a. </w:t>
      </w:r>
      <w:r w:rsidR="00387078" w:rsidRPr="00703318">
        <w:t>S</w:t>
      </w:r>
      <w:r w:rsidRPr="00703318">
        <w:t>ubject completed treatment with trial product according to the end-of-trial form</w:t>
      </w:r>
      <w:r w:rsidR="00387078" w:rsidRPr="00703318">
        <w:t>.</w:t>
      </w:r>
    </w:p>
    <w:p w14:paraId="56FDA134" w14:textId="72D6019F" w:rsidR="00AF66C8" w:rsidRPr="00703318" w:rsidRDefault="00AF66C8" w:rsidP="00703318">
      <w:pPr>
        <w:pStyle w:val="TableDescription"/>
      </w:pPr>
      <w:r w:rsidRPr="00703318">
        <w:t xml:space="preserve">b. </w:t>
      </w:r>
      <w:r w:rsidR="00387078" w:rsidRPr="00703318">
        <w:t>E</w:t>
      </w:r>
      <w:r w:rsidRPr="00703318">
        <w:t>xposed subjects</w:t>
      </w:r>
      <w:r w:rsidR="00387078" w:rsidRPr="00703318">
        <w:t>.</w:t>
      </w:r>
    </w:p>
    <w:p w14:paraId="1E1EDA63" w14:textId="3F6580FE" w:rsidR="00AF66C8" w:rsidRPr="00703318" w:rsidRDefault="00AF66C8" w:rsidP="00703318">
      <w:pPr>
        <w:pStyle w:val="TableDescription"/>
      </w:pPr>
      <w:r w:rsidRPr="00703318">
        <w:t xml:space="preserve">c. </w:t>
      </w:r>
      <w:r w:rsidR="00387078" w:rsidRPr="00703318">
        <w:t>S</w:t>
      </w:r>
      <w:r w:rsidRPr="00703318">
        <w:t>ubjects who attended the final scheduled visit</w:t>
      </w:r>
      <w:r w:rsidR="00387078" w:rsidRPr="00703318">
        <w:t>.</w:t>
      </w:r>
    </w:p>
    <w:p w14:paraId="7509832E" w14:textId="7FA743FD" w:rsidR="001277FB" w:rsidRPr="0071231C" w:rsidRDefault="001277FB" w:rsidP="00703318">
      <w:pPr>
        <w:pStyle w:val="TableTitle"/>
      </w:pPr>
      <w:bookmarkStart w:id="92" w:name="_Ref80785377"/>
      <w:r w:rsidRPr="0071231C">
        <w:t xml:space="preserve">Table </w:t>
      </w:r>
      <w:fldSimple w:instr=" SEQ Table \* ARABIC ">
        <w:r w:rsidR="00E5082D">
          <w:rPr>
            <w:noProof/>
          </w:rPr>
          <w:t>9</w:t>
        </w:r>
      </w:fldSimple>
      <w:bookmarkEnd w:id="92"/>
      <w:r w:rsidR="007E3098" w:rsidRPr="0071231C">
        <w:t xml:space="preserve">: </w:t>
      </w:r>
      <w:r w:rsidRPr="0071231C">
        <w:t xml:space="preserve">PIONEER trials </w:t>
      </w:r>
      <w:r w:rsidR="00F63FF0">
        <w:t xml:space="preserve">(pivotal) </w:t>
      </w:r>
      <w:r w:rsidRPr="0071231C">
        <w:t>Baseline characteristics</w:t>
      </w:r>
    </w:p>
    <w:p w14:paraId="2EDB61C8" w14:textId="6C03608E" w:rsidR="00AF66C8" w:rsidRDefault="00AF66C8" w:rsidP="00703318">
      <w:r>
        <w:rPr>
          <w:noProof/>
          <w:lang w:val="en-GB" w:eastAsia="en-GB"/>
        </w:rPr>
        <w:drawing>
          <wp:inline distT="0" distB="0" distL="0" distR="0" wp14:anchorId="091195E4" wp14:editId="28014C8B">
            <wp:extent cx="5339443" cy="2188210"/>
            <wp:effectExtent l="0" t="0" r="0" b="2540"/>
            <wp:docPr id="12" name="Picture 12" descr="Table 9: PIONEER trials (pivotal)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9: PIONEER trials (pivotal) Baseline characteristics"/>
                    <pic:cNvPicPr/>
                  </pic:nvPicPr>
                  <pic:blipFill>
                    <a:blip r:embed="rId24"/>
                    <a:stretch>
                      <a:fillRect/>
                    </a:stretch>
                  </pic:blipFill>
                  <pic:spPr>
                    <a:xfrm>
                      <a:off x="0" y="0"/>
                      <a:ext cx="5342059" cy="2189282"/>
                    </a:xfrm>
                    <a:prstGeom prst="rect">
                      <a:avLst/>
                    </a:prstGeom>
                  </pic:spPr>
                </pic:pic>
              </a:graphicData>
            </a:graphic>
          </wp:inline>
        </w:drawing>
      </w:r>
    </w:p>
    <w:p w14:paraId="284DF3E0" w14:textId="5B1E99BB" w:rsidR="00387078" w:rsidRPr="00703318" w:rsidRDefault="00343A19" w:rsidP="00703318">
      <w:pPr>
        <w:pStyle w:val="TableDescription"/>
      </w:pPr>
      <w:r w:rsidRPr="00703318">
        <w:t>Abbreviations:</w:t>
      </w:r>
      <w:r w:rsidR="00387078" w:rsidRPr="00703318">
        <w:t xml:space="preserve"> BMI = body mass index; ESRD = end-stage renal disease; GI = gastrointestinal; </w:t>
      </w:r>
      <w:r w:rsidRPr="00703318">
        <w:t xml:space="preserve">HbA1c = haemoglobin A1c </w:t>
      </w:r>
      <w:proofErr w:type="spellStart"/>
      <w:r w:rsidR="00387078" w:rsidRPr="00703318">
        <w:t>Hisp</w:t>
      </w:r>
      <w:proofErr w:type="spellEnd"/>
      <w:r w:rsidR="00387078" w:rsidRPr="00703318">
        <w:t xml:space="preserve"> = Hispanic; RI = renal impairment; max = maximum; min = minimum; P</w:t>
      </w:r>
      <w:r w:rsidRPr="00703318">
        <w:t>1 to P7 </w:t>
      </w:r>
      <w:r w:rsidR="00387078" w:rsidRPr="00703318">
        <w:t>= PIONEER trials</w:t>
      </w:r>
      <w:r w:rsidRPr="00703318">
        <w:t xml:space="preserve"> 1 to 7</w:t>
      </w:r>
      <w:r w:rsidR="00387078" w:rsidRPr="00703318">
        <w:t>.</w:t>
      </w:r>
    </w:p>
    <w:p w14:paraId="39FA2824" w14:textId="779E17FA" w:rsidR="00AF66C8" w:rsidRPr="00703318" w:rsidRDefault="00AF66C8" w:rsidP="00703318">
      <w:pPr>
        <w:pStyle w:val="TableDescription"/>
      </w:pPr>
      <w:r w:rsidRPr="00703318">
        <w:t xml:space="preserve">a. In </w:t>
      </w:r>
      <w:r w:rsidR="00387078" w:rsidRPr="00703318">
        <w:t xml:space="preserve">the </w:t>
      </w:r>
      <w:r w:rsidRPr="00703318">
        <w:t>PIONEER 5</w:t>
      </w:r>
      <w:r w:rsidR="00387078" w:rsidRPr="00703318">
        <w:t xml:space="preserve"> trial</w:t>
      </w:r>
      <w:r w:rsidRPr="00703318">
        <w:t xml:space="preserve">, all subjects had moderate renal impairment at screening but for some subjects, </w:t>
      </w:r>
      <w:r w:rsidR="00387078" w:rsidRPr="00703318">
        <w:t>estimated glomerular filtration rate (</w:t>
      </w:r>
      <w:r w:rsidRPr="00703318">
        <w:t>eGFR</w:t>
      </w:r>
      <w:r w:rsidR="00387078" w:rsidRPr="00703318">
        <w:t>)</w:t>
      </w:r>
      <w:r w:rsidRPr="00703318">
        <w:t xml:space="preserve"> had changed from screening to randomisation (</w:t>
      </w:r>
      <w:r w:rsidR="00387078" w:rsidRPr="00703318">
        <w:t>B</w:t>
      </w:r>
      <w:r w:rsidRPr="00703318">
        <w:t>aseline).</w:t>
      </w:r>
    </w:p>
    <w:p w14:paraId="30A2F1D1" w14:textId="380EC3C8" w:rsidR="00AF66C8" w:rsidRPr="00703318" w:rsidRDefault="00AF66C8" w:rsidP="00703318">
      <w:pPr>
        <w:pStyle w:val="TableDescription"/>
      </w:pPr>
      <w:r w:rsidRPr="00703318">
        <w:t>Baseline: defined as the latest assessment at or prior to the randomisation visit. Some categories are omitted from this overview table; thus, proportions may not add up to 100%. Normal renal function: eGFR ≥</w:t>
      </w:r>
      <w:r w:rsidR="00697869" w:rsidRPr="00703318">
        <w:t> </w:t>
      </w:r>
      <w:r w:rsidRPr="00703318">
        <w:t>90; mild RI: eGFR ≥</w:t>
      </w:r>
      <w:r w:rsidR="00697869" w:rsidRPr="00703318">
        <w:t xml:space="preserve"> </w:t>
      </w:r>
      <w:r w:rsidRPr="00703318">
        <w:t>60 to &lt;</w:t>
      </w:r>
      <w:r w:rsidR="00697869" w:rsidRPr="00703318">
        <w:t xml:space="preserve"> </w:t>
      </w:r>
      <w:r w:rsidRPr="00703318">
        <w:t>90; moderate RI: eGFR ≥</w:t>
      </w:r>
      <w:r w:rsidR="00697869" w:rsidRPr="00703318">
        <w:t xml:space="preserve"> </w:t>
      </w:r>
      <w:r w:rsidRPr="00703318">
        <w:t>30 to &lt;</w:t>
      </w:r>
      <w:r w:rsidR="00697869" w:rsidRPr="00703318">
        <w:t xml:space="preserve"> </w:t>
      </w:r>
      <w:r w:rsidRPr="00703318">
        <w:t>60; severe RI: eGFR ≥</w:t>
      </w:r>
      <w:r w:rsidR="00697869" w:rsidRPr="00703318">
        <w:t xml:space="preserve"> </w:t>
      </w:r>
      <w:r w:rsidRPr="00703318">
        <w:t>15 to &lt;</w:t>
      </w:r>
      <w:r w:rsidR="00697869" w:rsidRPr="00703318">
        <w:t> </w:t>
      </w:r>
      <w:r w:rsidRPr="00703318">
        <w:t>30; ESRD: eGFR &lt;</w:t>
      </w:r>
      <w:r w:rsidR="00D63DDD">
        <w:t xml:space="preserve"> </w:t>
      </w:r>
      <w:r w:rsidRPr="00703318">
        <w:t>15 ml/min/1.73</w:t>
      </w:r>
      <w:r w:rsidR="00D63DDD">
        <w:t xml:space="preserve"> </w:t>
      </w:r>
      <w:r w:rsidRPr="00703318">
        <w:t>m</w:t>
      </w:r>
      <w:r w:rsidRPr="00703318">
        <w:rPr>
          <w:vertAlign w:val="superscript"/>
        </w:rPr>
        <w:t>2</w:t>
      </w:r>
      <w:r w:rsidRPr="00703318">
        <w:t>.</w:t>
      </w:r>
    </w:p>
    <w:p w14:paraId="76239B04" w14:textId="629B46A0" w:rsidR="00AF66C8" w:rsidRPr="00703318" w:rsidRDefault="00697869" w:rsidP="00703318">
      <w:pPr>
        <w:pStyle w:val="TableDescription"/>
      </w:pPr>
      <w:r w:rsidRPr="00703318">
        <w:t>Estimated glomerular filtration rate (</w:t>
      </w:r>
      <w:r w:rsidR="00AF66C8" w:rsidRPr="00703318">
        <w:t>eGFR</w:t>
      </w:r>
      <w:r w:rsidRPr="00703318">
        <w:t>)</w:t>
      </w:r>
      <w:r w:rsidR="00AF66C8" w:rsidRPr="00703318">
        <w:t xml:space="preserve"> was estimated using </w:t>
      </w:r>
      <w:r w:rsidRPr="00703318">
        <w:t>the chronic kidney disease epidemiology collaboration formula</w:t>
      </w:r>
      <w:r w:rsidR="00AF66C8" w:rsidRPr="00703318">
        <w:t xml:space="preserve">. Upper GI disease comprises gastroesophageal reflux, </w:t>
      </w:r>
      <w:proofErr w:type="gramStart"/>
      <w:r w:rsidR="00AF66C8" w:rsidRPr="00703318">
        <w:t>gastritis</w:t>
      </w:r>
      <w:proofErr w:type="gramEnd"/>
      <w:r w:rsidR="00AF66C8" w:rsidRPr="00703318">
        <w:t xml:space="preserve"> and gastric ulcer.</w:t>
      </w:r>
    </w:p>
    <w:p w14:paraId="126EF47F" w14:textId="77777777" w:rsidR="00A30C42" w:rsidRPr="00836794" w:rsidRDefault="00A30C42" w:rsidP="00612622">
      <w:r w:rsidRPr="00836794">
        <w:lastRenderedPageBreak/>
        <w:t xml:space="preserve">Treatment effects were estimated using a treatment policy </w:t>
      </w:r>
      <w:proofErr w:type="spellStart"/>
      <w:r w:rsidRPr="00836794">
        <w:t>estimand</w:t>
      </w:r>
      <w:proofErr w:type="spellEnd"/>
      <w:r w:rsidRPr="00836794">
        <w:t xml:space="preserve"> method (primary </w:t>
      </w:r>
      <w:proofErr w:type="spellStart"/>
      <w:r w:rsidRPr="00836794">
        <w:t>estimand</w:t>
      </w:r>
      <w:proofErr w:type="spellEnd"/>
      <w:r w:rsidRPr="00836794">
        <w:t xml:space="preserve">; disregarding product discontinuation or use of additional antidiabetic medication), and a hypothetical </w:t>
      </w:r>
      <w:proofErr w:type="spellStart"/>
      <w:r w:rsidRPr="00836794">
        <w:t>estimand</w:t>
      </w:r>
      <w:proofErr w:type="spellEnd"/>
      <w:r w:rsidRPr="00836794">
        <w:t xml:space="preserve"> method (without the potentially confounding effects of discontinuation or use of additional antidiabetic medication). All superiority or non-inferiority claims are based on the treatment policy </w:t>
      </w:r>
      <w:proofErr w:type="spellStart"/>
      <w:r w:rsidRPr="00836794">
        <w:t>estimand</w:t>
      </w:r>
      <w:proofErr w:type="spellEnd"/>
      <w:r w:rsidRPr="00836794">
        <w:t>.</w:t>
      </w:r>
    </w:p>
    <w:p w14:paraId="45A67471" w14:textId="79F854BD" w:rsidR="00A30C42" w:rsidRPr="00836794" w:rsidRDefault="00F63FF0" w:rsidP="004B6AD2">
      <w:pPr>
        <w:pStyle w:val="Heading6"/>
        <w:rPr>
          <w:rFonts w:asciiTheme="minorHAnsi" w:eastAsiaTheme="minorHAnsi" w:hAnsiTheme="minorHAnsi" w:cs="TimesNewRoman"/>
        </w:rPr>
      </w:pPr>
      <w:r>
        <w:rPr>
          <w:lang w:eastAsia="ja-JP"/>
        </w:rPr>
        <w:t>Results: s</w:t>
      </w:r>
      <w:r w:rsidR="00A30C42" w:rsidRPr="00836794">
        <w:rPr>
          <w:lang w:eastAsia="ja-JP"/>
        </w:rPr>
        <w:t>emaglutide as monotherapy</w:t>
      </w:r>
    </w:p>
    <w:p w14:paraId="1DCDF7C2" w14:textId="46D7BD03" w:rsidR="00A30C42" w:rsidRPr="00836794" w:rsidRDefault="00A30C42" w:rsidP="00612622">
      <w:r w:rsidRPr="00F802A8">
        <w:rPr>
          <w:b/>
        </w:rPr>
        <w:t xml:space="preserve">PIONEER 1 </w:t>
      </w:r>
      <w:r w:rsidR="00AB6287" w:rsidRPr="00836794">
        <w:t xml:space="preserve">trial </w:t>
      </w:r>
      <w:r w:rsidRPr="00836794">
        <w:t>(comparison to treatment with diet and exercise only):</w:t>
      </w:r>
    </w:p>
    <w:p w14:paraId="01A685C0" w14:textId="35EF8E40" w:rsidR="00A30C42" w:rsidRPr="00836794" w:rsidRDefault="00A30C42" w:rsidP="00612622">
      <w:pPr>
        <w:pStyle w:val="ListBullet"/>
      </w:pPr>
      <w:r w:rsidRPr="00836794">
        <w:t>There was a significantly greater reduction in HbA1c at Week 26 compared to placebo for all three semaglutide dose levels: mean (95% CI) difference, semaglutide</w:t>
      </w:r>
      <w:r w:rsidR="009F2AD7" w:rsidRPr="00836794">
        <w:t>/</w:t>
      </w:r>
      <w:r w:rsidRPr="00836794">
        <w:t>placebo, was -1.1 (-1.3</w:t>
      </w:r>
      <w:r w:rsidR="00AB6287" w:rsidRPr="00836794">
        <w:t>,</w:t>
      </w:r>
      <w:r w:rsidRPr="00836794">
        <w:t xml:space="preserve"> -0.91) %, p &lt;</w:t>
      </w:r>
      <w:r w:rsidR="00AB6287" w:rsidRPr="00836794">
        <w:t xml:space="preserve"> </w:t>
      </w:r>
      <w:r w:rsidRPr="00836794">
        <w:t>0.0001, for 14 mg; -0.9 (-1.1</w:t>
      </w:r>
      <w:r w:rsidR="00AB6287" w:rsidRPr="00836794">
        <w:t>,</w:t>
      </w:r>
      <w:r w:rsidRPr="00836794">
        <w:t xml:space="preserve"> -0.6) %, p &lt;</w:t>
      </w:r>
      <w:r w:rsidR="00AB6287" w:rsidRPr="00836794">
        <w:t xml:space="preserve"> </w:t>
      </w:r>
      <w:r w:rsidRPr="00836794">
        <w:t>0.0001, for 7</w:t>
      </w:r>
      <w:r w:rsidR="00322B68">
        <w:t> </w:t>
      </w:r>
      <w:r w:rsidRPr="00836794">
        <w:t>mg; and -0.6 (-0.8</w:t>
      </w:r>
      <w:r w:rsidR="00AB6287" w:rsidRPr="00836794">
        <w:t>,</w:t>
      </w:r>
      <w:r w:rsidRPr="00836794">
        <w:t xml:space="preserve"> -0.4), p &lt;</w:t>
      </w:r>
      <w:r w:rsidR="00AB6287" w:rsidRPr="00836794">
        <w:t xml:space="preserve"> </w:t>
      </w:r>
      <w:r w:rsidRPr="00836794">
        <w:t>0.0001, for 3 mg.</w:t>
      </w:r>
    </w:p>
    <w:p w14:paraId="6C65DA09" w14:textId="77777777" w:rsidR="00A30C42" w:rsidRPr="00836794" w:rsidRDefault="00A30C42" w:rsidP="00612622">
      <w:pPr>
        <w:pStyle w:val="ListBullet"/>
      </w:pPr>
      <w:r w:rsidRPr="00836794">
        <w:t>There was a significantly greater reduction in body weight at Week 26 compared to placebo for the 14 mg dose level, but not for the 3 mg or 7 mg.</w:t>
      </w:r>
    </w:p>
    <w:p w14:paraId="7F5C78F4" w14:textId="371CD3BF" w:rsidR="00A30C42" w:rsidRPr="00836794" w:rsidRDefault="00F63FF0" w:rsidP="004B6AD2">
      <w:pPr>
        <w:pStyle w:val="Heading6"/>
        <w:rPr>
          <w:lang w:eastAsia="ja-JP"/>
        </w:rPr>
      </w:pPr>
      <w:r>
        <w:rPr>
          <w:rFonts w:asciiTheme="minorHAnsi" w:eastAsiaTheme="minorHAnsi" w:hAnsiTheme="minorHAnsi" w:cs="TimesNewRoman"/>
        </w:rPr>
        <w:t xml:space="preserve">Results: </w:t>
      </w:r>
      <w:r w:rsidR="00A30C42" w:rsidRPr="00836794">
        <w:rPr>
          <w:lang w:eastAsia="ja-JP"/>
        </w:rPr>
        <w:t>semaglutide as add</w:t>
      </w:r>
      <w:r w:rsidR="00AB6287" w:rsidRPr="00836794">
        <w:rPr>
          <w:lang w:eastAsia="ja-JP"/>
        </w:rPr>
        <w:t>-</w:t>
      </w:r>
      <w:r w:rsidR="00A30C42" w:rsidRPr="00836794">
        <w:rPr>
          <w:lang w:eastAsia="ja-JP"/>
        </w:rPr>
        <w:t>on to metformin</w:t>
      </w:r>
    </w:p>
    <w:p w14:paraId="233F5E1D" w14:textId="77777777" w:rsidR="00A30C42" w:rsidRPr="00836794" w:rsidRDefault="00A30C42" w:rsidP="00612622">
      <w:pPr>
        <w:pStyle w:val="ListBullet"/>
      </w:pPr>
      <w:r w:rsidRPr="00836794">
        <w:t>In patients treated with background metformin, semaglutide had superior glycaemic control and similar weight control to empagliflozin (SGLT-2 inhibitor).</w:t>
      </w:r>
    </w:p>
    <w:p w14:paraId="510A3921" w14:textId="6421245A" w:rsidR="00A30C42" w:rsidRPr="00836794" w:rsidRDefault="00A30C42" w:rsidP="00612622">
      <w:pPr>
        <w:pStyle w:val="ListBullet"/>
      </w:pPr>
      <w:r w:rsidRPr="00836794">
        <w:t xml:space="preserve">In patients treated with background metformin ± </w:t>
      </w:r>
      <w:r w:rsidR="00AB6287" w:rsidRPr="00836794">
        <w:t>sul</w:t>
      </w:r>
      <w:r w:rsidR="001B5374">
        <w:t>f</w:t>
      </w:r>
      <w:r w:rsidR="00AB6287" w:rsidRPr="00836794">
        <w:t>onylurea</w:t>
      </w:r>
      <w:r w:rsidRPr="00836794">
        <w:t>, semaglutide at the 7</w:t>
      </w:r>
      <w:r w:rsidR="00AB6287" w:rsidRPr="00836794">
        <w:t> </w:t>
      </w:r>
      <w:r w:rsidRPr="00836794">
        <w:t>mg and 14 mg dose levels had superior glycaemic and weight control compared to sitagliptin (DPP-4 inhibitor).</w:t>
      </w:r>
    </w:p>
    <w:p w14:paraId="103E827B" w14:textId="641523F9" w:rsidR="00A30C42" w:rsidRPr="00836794" w:rsidRDefault="00A30C42" w:rsidP="00612622">
      <w:r w:rsidRPr="00F802A8">
        <w:rPr>
          <w:b/>
        </w:rPr>
        <w:t>PIONEER 2</w:t>
      </w:r>
      <w:r w:rsidRPr="00836794">
        <w:t xml:space="preserve"> </w:t>
      </w:r>
      <w:r w:rsidR="00343A19">
        <w:t xml:space="preserve">trial </w:t>
      </w:r>
      <w:r w:rsidRPr="00836794">
        <w:t xml:space="preserve">(semaglutide in </w:t>
      </w:r>
      <w:r w:rsidR="00631637" w:rsidRPr="00836794">
        <w:t>type 2 diabetes mellitus</w:t>
      </w:r>
      <w:r w:rsidRPr="00836794">
        <w:t xml:space="preserve"> patients on metformin in comparison with empagliflozin):</w:t>
      </w:r>
    </w:p>
    <w:p w14:paraId="492053D8" w14:textId="736BDD7F" w:rsidR="00A30C42" w:rsidRPr="00836794" w:rsidRDefault="00A30C42" w:rsidP="00612622">
      <w:pPr>
        <w:pStyle w:val="ListBullet"/>
      </w:pPr>
      <w:r w:rsidRPr="00836794">
        <w:t xml:space="preserve">The change from </w:t>
      </w:r>
      <w:r w:rsidR="008027CC" w:rsidRPr="00836794">
        <w:t>Baseline</w:t>
      </w:r>
      <w:r w:rsidRPr="00836794">
        <w:t xml:space="preserve"> in HbA1c was -1.3% for semaglutide and -0.9% for empagliflozin: treatment difference (95% CI) -0.4 (-0.6</w:t>
      </w:r>
      <w:r w:rsidR="00AB6287" w:rsidRPr="00836794">
        <w:t>,</w:t>
      </w:r>
      <w:r w:rsidRPr="00836794">
        <w:t xml:space="preserve"> -0.3) %, p &lt;</w:t>
      </w:r>
      <w:r w:rsidR="00AB6287" w:rsidRPr="00836794">
        <w:t xml:space="preserve"> </w:t>
      </w:r>
      <w:r w:rsidRPr="00836794">
        <w:t>0.0001.</w:t>
      </w:r>
    </w:p>
    <w:p w14:paraId="783D50EB" w14:textId="48401FB5" w:rsidR="00A30C42" w:rsidRPr="00836794" w:rsidRDefault="00A30C42" w:rsidP="00612622">
      <w:pPr>
        <w:pStyle w:val="ListBullet"/>
      </w:pPr>
      <w:r w:rsidRPr="00836794">
        <w:t xml:space="preserve">However, there was no significant difference between the treatments in the change from </w:t>
      </w:r>
      <w:r w:rsidR="008027CC" w:rsidRPr="00836794">
        <w:t>Baseline</w:t>
      </w:r>
      <w:r w:rsidRPr="00836794">
        <w:t xml:space="preserve"> to Week 26 in body weight.</w:t>
      </w:r>
    </w:p>
    <w:p w14:paraId="63564433" w14:textId="4FD60702" w:rsidR="00A30C42" w:rsidRPr="00836794" w:rsidRDefault="00A30C42" w:rsidP="00612622">
      <w:r w:rsidRPr="00F802A8">
        <w:rPr>
          <w:b/>
        </w:rPr>
        <w:t xml:space="preserve">PIONEER 3 </w:t>
      </w:r>
      <w:r w:rsidR="00AB6287" w:rsidRPr="00836794">
        <w:t xml:space="preserve">trial </w:t>
      </w:r>
      <w:r w:rsidRPr="00836794">
        <w:t xml:space="preserve">(semaglutide in </w:t>
      </w:r>
      <w:r w:rsidR="00631637" w:rsidRPr="00836794">
        <w:t>type 2 diabetes mellitus</w:t>
      </w:r>
      <w:r w:rsidRPr="00836794">
        <w:t xml:space="preserve"> inadequately controlled by metformin ± </w:t>
      </w:r>
      <w:r w:rsidR="00AB6287" w:rsidRPr="00836794">
        <w:t>sul</w:t>
      </w:r>
      <w:r w:rsidR="001B5374">
        <w:t>f</w:t>
      </w:r>
      <w:r w:rsidR="00AB6287" w:rsidRPr="00836794">
        <w:t xml:space="preserve">onylurea </w:t>
      </w:r>
      <w:r w:rsidRPr="00836794">
        <w:t>in comparison with sitagliptin):</w:t>
      </w:r>
    </w:p>
    <w:p w14:paraId="7F834A0A" w14:textId="39D7827E" w:rsidR="00A30C42" w:rsidRPr="00836794" w:rsidRDefault="00A30C42" w:rsidP="00612622">
      <w:pPr>
        <w:pStyle w:val="ListBullet"/>
      </w:pPr>
      <w:r w:rsidRPr="00836794">
        <w:t xml:space="preserve">The semaglutide 7 mg and 14 mg dose levels were superior to sitagliptin, but sitagliptin was superior to the 3 mg dose level. The treatment difference (95% CI) semaglutide </w:t>
      </w:r>
      <w:r w:rsidR="00AB6287" w:rsidRPr="00836794">
        <w:t>-</w:t>
      </w:r>
      <w:r w:rsidRPr="00836794">
        <w:t xml:space="preserve"> sitagliptin, for change in HbA1c to Week 26 was -0.5 (-0.6</w:t>
      </w:r>
      <w:r w:rsidR="00AB6287" w:rsidRPr="00836794">
        <w:t>,</w:t>
      </w:r>
      <w:r w:rsidRPr="00836794">
        <w:t xml:space="preserve"> -0.4) %, p</w:t>
      </w:r>
      <w:r w:rsidR="00AB6287" w:rsidRPr="00836794">
        <w:t> </w:t>
      </w:r>
      <w:r w:rsidRPr="00836794">
        <w:t>&lt;</w:t>
      </w:r>
      <w:r w:rsidR="00AB6287" w:rsidRPr="00836794">
        <w:t> </w:t>
      </w:r>
      <w:r w:rsidRPr="00836794">
        <w:t>0.0001 for 14 mg, -0.3 (-0.4</w:t>
      </w:r>
      <w:r w:rsidR="00AB6287" w:rsidRPr="00836794">
        <w:t>,</w:t>
      </w:r>
      <w:r w:rsidRPr="00836794">
        <w:t xml:space="preserve"> -0.1) %, p &lt;</w:t>
      </w:r>
      <w:r w:rsidR="00AB6287" w:rsidRPr="00836794">
        <w:t xml:space="preserve"> </w:t>
      </w:r>
      <w:r w:rsidRPr="00836794">
        <w:t>0.0001, for 7 mg and 0.2 (0.0</w:t>
      </w:r>
      <w:r w:rsidR="00990C0B">
        <w:t>,</w:t>
      </w:r>
      <w:r w:rsidRPr="00836794">
        <w:t xml:space="preserve"> 0.3), p</w:t>
      </w:r>
      <w:r w:rsidR="00AB6287" w:rsidRPr="00836794">
        <w:t> </w:t>
      </w:r>
      <w:r w:rsidRPr="00836794">
        <w:t>=</w:t>
      </w:r>
      <w:r w:rsidR="00AB6287" w:rsidRPr="00836794">
        <w:t> </w:t>
      </w:r>
      <w:r w:rsidRPr="00836794">
        <w:t>0.0080 for 3 mg.</w:t>
      </w:r>
    </w:p>
    <w:p w14:paraId="6ABC68F3" w14:textId="20D4D65A" w:rsidR="00A30C42" w:rsidRPr="00836794" w:rsidRDefault="00A30C42" w:rsidP="00612622">
      <w:pPr>
        <w:pStyle w:val="ListBullet"/>
      </w:pPr>
      <w:r w:rsidRPr="00836794">
        <w:t>There was greater weight loss with semaglutide, that was clinically significant for the 7</w:t>
      </w:r>
      <w:r w:rsidR="00AB6287" w:rsidRPr="00836794">
        <w:t> </w:t>
      </w:r>
      <w:r w:rsidRPr="00836794">
        <w:t xml:space="preserve">mg and 14 mg dose levels: treatment difference (95% CI) semaglutide </w:t>
      </w:r>
      <w:r w:rsidR="00AB6287" w:rsidRPr="00836794">
        <w:t>-</w:t>
      </w:r>
      <w:r w:rsidRPr="00836794">
        <w:t xml:space="preserve"> sitagliptin, for change in body weight to Week 26 was -2.5 (-3.0</w:t>
      </w:r>
      <w:r w:rsidR="00AB6287" w:rsidRPr="00836794">
        <w:t>,</w:t>
      </w:r>
      <w:r w:rsidRPr="00836794">
        <w:t xml:space="preserve"> -2.0) kg, p &lt;</w:t>
      </w:r>
      <w:r w:rsidR="00AB6287" w:rsidRPr="00836794">
        <w:t xml:space="preserve"> </w:t>
      </w:r>
      <w:r w:rsidRPr="00836794">
        <w:t>0.0001 for 14</w:t>
      </w:r>
      <w:r w:rsidR="00576A3B">
        <w:t> </w:t>
      </w:r>
      <w:r w:rsidRPr="00836794">
        <w:t xml:space="preserve">mg, </w:t>
      </w:r>
      <w:r w:rsidR="00AB6287" w:rsidRPr="00836794">
        <w:noBreakHyphen/>
      </w:r>
      <w:r w:rsidRPr="00836794">
        <w:t>1.6 (-2.0</w:t>
      </w:r>
      <w:r w:rsidR="00AB6287" w:rsidRPr="00836794">
        <w:t>,</w:t>
      </w:r>
      <w:r w:rsidRPr="00836794">
        <w:t xml:space="preserve"> -1.1) kg, p &lt;</w:t>
      </w:r>
      <w:r w:rsidR="00AB6287" w:rsidRPr="00836794">
        <w:t xml:space="preserve"> </w:t>
      </w:r>
      <w:r w:rsidRPr="00836794">
        <w:t>0.0001, for 7 mg and -0.6 (-1.1</w:t>
      </w:r>
      <w:r w:rsidR="00AB6287" w:rsidRPr="00836794">
        <w:t>,</w:t>
      </w:r>
      <w:r w:rsidRPr="00836794">
        <w:t xml:space="preserve"> -0.1), p = 0.0185 for 3 mg.</w:t>
      </w:r>
    </w:p>
    <w:p w14:paraId="59133447" w14:textId="60D7B22A" w:rsidR="00A30C42" w:rsidRPr="00836794" w:rsidRDefault="00A30C42" w:rsidP="00612622">
      <w:r w:rsidRPr="00F802A8">
        <w:rPr>
          <w:b/>
        </w:rPr>
        <w:t xml:space="preserve">PIONEER 4 </w:t>
      </w:r>
      <w:r w:rsidR="00AB6287" w:rsidRPr="00343A19">
        <w:t>trial</w:t>
      </w:r>
      <w:r w:rsidR="00AB6287" w:rsidRPr="00836794">
        <w:t xml:space="preserve"> </w:t>
      </w:r>
      <w:r w:rsidRPr="00836794">
        <w:t xml:space="preserve">(comparison to liraglutide in patients with </w:t>
      </w:r>
      <w:r w:rsidR="00631637" w:rsidRPr="00836794">
        <w:t>type 2 diabetes mellitus</w:t>
      </w:r>
      <w:r w:rsidRPr="00836794">
        <w:t xml:space="preserve"> inadequately controlled on metformin alone or in combination with a SGLT-2 inhibitor):</w:t>
      </w:r>
    </w:p>
    <w:p w14:paraId="50C96740" w14:textId="04FC6AAA" w:rsidR="00A30C42" w:rsidRPr="00836794" w:rsidRDefault="00A30C42" w:rsidP="00612622">
      <w:pPr>
        <w:pStyle w:val="ListBullet"/>
      </w:pPr>
      <w:r w:rsidRPr="00836794">
        <w:t>All patients were treated with metformin and 25.7% were also treated with SGLT</w:t>
      </w:r>
      <w:r w:rsidR="00847F47">
        <w:noBreakHyphen/>
      </w:r>
      <w:r w:rsidRPr="00836794">
        <w:t>2 inhibitors.</w:t>
      </w:r>
    </w:p>
    <w:p w14:paraId="598AEBD3" w14:textId="77777777" w:rsidR="00A30C42" w:rsidRPr="00836794" w:rsidRDefault="00A30C42" w:rsidP="00612622">
      <w:pPr>
        <w:pStyle w:val="ListBullet"/>
      </w:pPr>
      <w:r w:rsidRPr="00836794">
        <w:t>For the primary efficacy outcome measure, there was superiority for semaglutide in comparison with placebo and non-inferiority in comparison with liraglutide.</w:t>
      </w:r>
    </w:p>
    <w:p w14:paraId="4185D4DE" w14:textId="3B5910F9" w:rsidR="00A30C42" w:rsidRPr="00836794" w:rsidRDefault="00A30C42" w:rsidP="00612622">
      <w:pPr>
        <w:pStyle w:val="ListBullet"/>
      </w:pPr>
      <w:r w:rsidRPr="00836794">
        <w:t xml:space="preserve">At Week 26, the decrease in HbA1c from </w:t>
      </w:r>
      <w:r w:rsidR="008027CC" w:rsidRPr="00836794">
        <w:t>Baseline</w:t>
      </w:r>
      <w:r w:rsidRPr="00836794">
        <w:t xml:space="preserve"> was -1.2 % for semaglutide, -1.1 % for liraglutide and -0.2% for placebo. The difference (95% CI) in change from </w:t>
      </w:r>
      <w:r w:rsidR="008027CC" w:rsidRPr="00836794">
        <w:t>Baseline</w:t>
      </w:r>
      <w:r w:rsidRPr="00836794">
        <w:t xml:space="preserve"> to Week 26 in HbA1c, semaglutide</w:t>
      </w:r>
      <w:r w:rsidR="00E5082D">
        <w:t>/</w:t>
      </w:r>
      <w:r w:rsidRPr="00836794">
        <w:t>comparator, was -1.1 (-1.2</w:t>
      </w:r>
      <w:r w:rsidR="00AB6287" w:rsidRPr="00836794">
        <w:t>,</w:t>
      </w:r>
      <w:r w:rsidRPr="00836794">
        <w:t xml:space="preserve"> -0.9) %, p &lt;</w:t>
      </w:r>
      <w:r w:rsidR="00AB6287" w:rsidRPr="00836794">
        <w:t xml:space="preserve"> </w:t>
      </w:r>
      <w:r w:rsidRPr="00836794">
        <w:t xml:space="preserve">0.0001, </w:t>
      </w:r>
      <w:r w:rsidRPr="00836794">
        <w:lastRenderedPageBreak/>
        <w:t>compared to placebo and -0.1 (-0.3</w:t>
      </w:r>
      <w:r w:rsidR="00AB6287" w:rsidRPr="00836794">
        <w:t>,</w:t>
      </w:r>
      <w:r w:rsidRPr="00836794">
        <w:t xml:space="preserve"> 0.0) %, non-inferiority p &lt;</w:t>
      </w:r>
      <w:r w:rsidR="00AB6287" w:rsidRPr="00836794">
        <w:t xml:space="preserve"> </w:t>
      </w:r>
      <w:r w:rsidRPr="00836794">
        <w:t>0.0001 and superiority p</w:t>
      </w:r>
      <w:r w:rsidR="00AB6287" w:rsidRPr="00836794">
        <w:t> </w:t>
      </w:r>
      <w:r w:rsidRPr="00836794">
        <w:t>=</w:t>
      </w:r>
      <w:r w:rsidR="00AB6287" w:rsidRPr="00836794">
        <w:t> </w:t>
      </w:r>
      <w:r w:rsidRPr="00836794">
        <w:t>0.0645, compared to liraglutide.</w:t>
      </w:r>
    </w:p>
    <w:p w14:paraId="464432F9" w14:textId="559550BA" w:rsidR="00A30C42" w:rsidRPr="00836794" w:rsidRDefault="00A30C42" w:rsidP="00612622">
      <w:pPr>
        <w:pStyle w:val="ListBullet"/>
      </w:pPr>
      <w:r w:rsidRPr="00836794">
        <w:t xml:space="preserve">There was greater weight loss with semaglutide compared to either placebo or liraglutide. The difference (95% CI) in change from </w:t>
      </w:r>
      <w:r w:rsidR="008027CC" w:rsidRPr="00836794">
        <w:t>Baseline</w:t>
      </w:r>
      <w:r w:rsidRPr="00836794">
        <w:t xml:space="preserve"> to Week 26 in weight, semaglutide</w:t>
      </w:r>
      <w:r w:rsidR="009F2AD7" w:rsidRPr="00836794">
        <w:t>/</w:t>
      </w:r>
      <w:r w:rsidRPr="00836794">
        <w:t>comparator, was -3.8 (-4.7</w:t>
      </w:r>
      <w:r w:rsidR="00AB6287" w:rsidRPr="00836794">
        <w:t>,</w:t>
      </w:r>
      <w:r w:rsidRPr="00836794">
        <w:t xml:space="preserve"> -3.0) %, p &lt;</w:t>
      </w:r>
      <w:r w:rsidR="00AB6287" w:rsidRPr="00836794">
        <w:t xml:space="preserve"> </w:t>
      </w:r>
      <w:r w:rsidRPr="00836794">
        <w:t xml:space="preserve">0.0001, compared to placebo and </w:t>
      </w:r>
      <w:r w:rsidR="00AB6287" w:rsidRPr="00836794">
        <w:noBreakHyphen/>
      </w:r>
      <w:r w:rsidRPr="00836794">
        <w:t>1.2 (-0.3</w:t>
      </w:r>
      <w:r w:rsidR="00990C0B">
        <w:t>,</w:t>
      </w:r>
      <w:r w:rsidRPr="00836794">
        <w:t xml:space="preserve"> 0.0) %, p = 0.0003, compared to liraglutide.</w:t>
      </w:r>
    </w:p>
    <w:p w14:paraId="41644AA1" w14:textId="139E8445" w:rsidR="00A30C42" w:rsidRPr="00836794" w:rsidRDefault="00F63FF0" w:rsidP="004B6AD2">
      <w:pPr>
        <w:pStyle w:val="Heading6"/>
        <w:rPr>
          <w:lang w:eastAsia="ja-JP"/>
        </w:rPr>
      </w:pPr>
      <w:r>
        <w:rPr>
          <w:rFonts w:asciiTheme="minorHAnsi" w:eastAsiaTheme="minorHAnsi" w:hAnsiTheme="minorHAnsi" w:cs="TimesNewRoman"/>
        </w:rPr>
        <w:t>Results:</w:t>
      </w:r>
      <w:r w:rsidR="00A30C42" w:rsidRPr="00836794">
        <w:rPr>
          <w:lang w:eastAsia="ja-JP"/>
        </w:rPr>
        <w:t xml:space="preserve"> semaglutide as add-on to insulin</w:t>
      </w:r>
    </w:p>
    <w:p w14:paraId="3F8FE9F7" w14:textId="3414DAF7" w:rsidR="00A30C42" w:rsidRPr="00836794" w:rsidRDefault="00A30C42" w:rsidP="00612622">
      <w:r w:rsidRPr="00836794">
        <w:t>Semaglutide was superior to placebo as add-on treatment to background insulin.</w:t>
      </w:r>
    </w:p>
    <w:p w14:paraId="0F0F7CA7" w14:textId="47AC9A44" w:rsidR="00A30C42" w:rsidRPr="00836794" w:rsidRDefault="00A30C42" w:rsidP="00612622">
      <w:r w:rsidRPr="00E847AB">
        <w:rPr>
          <w:b/>
        </w:rPr>
        <w:t>PIONEER 8</w:t>
      </w:r>
      <w:r w:rsidR="00AB6287" w:rsidRPr="00836794">
        <w:t xml:space="preserve"> trial</w:t>
      </w:r>
      <w:r w:rsidRPr="00836794">
        <w:t xml:space="preserve"> (patients with background insulin treatment):</w:t>
      </w:r>
    </w:p>
    <w:p w14:paraId="602DD6ED" w14:textId="77777777" w:rsidR="00A30C42" w:rsidRPr="00836794" w:rsidRDefault="00A30C42" w:rsidP="00612622">
      <w:pPr>
        <w:pStyle w:val="ListBullet"/>
      </w:pPr>
      <w:r w:rsidRPr="00836794">
        <w:t>All three dose levels of semaglutide were superior to placebo for both the primary efficacy outcome measure and the confirmatory secondary efficacy outcome measure. The effect size increased with increasing dose.</w:t>
      </w:r>
    </w:p>
    <w:p w14:paraId="599B2E25" w14:textId="2462C535" w:rsidR="00A30C42" w:rsidRPr="00836794" w:rsidRDefault="00A30C42" w:rsidP="00612622">
      <w:pPr>
        <w:pStyle w:val="ListBullet"/>
      </w:pPr>
      <w:r w:rsidRPr="00836794">
        <w:t>HbA1c decreased to Week 14 and was maintained to Week 52.</w:t>
      </w:r>
    </w:p>
    <w:p w14:paraId="3146186F" w14:textId="2E909477" w:rsidR="00A30C42" w:rsidRPr="00836794" w:rsidRDefault="00A30C42" w:rsidP="00612622">
      <w:pPr>
        <w:pStyle w:val="ListBullet"/>
      </w:pPr>
      <w:r w:rsidRPr="00836794">
        <w:t>The treatment difference (95% CI), semaglutide</w:t>
      </w:r>
      <w:r w:rsidR="009F2AD7" w:rsidRPr="00836794">
        <w:t>/</w:t>
      </w:r>
      <w:r w:rsidRPr="00836794">
        <w:t xml:space="preserve">placebo, for change in HbA1c from </w:t>
      </w:r>
      <w:r w:rsidR="008027CC" w:rsidRPr="00836794">
        <w:t>Baseline</w:t>
      </w:r>
      <w:r w:rsidRPr="00836794">
        <w:t xml:space="preserve"> to Week 26 was -1.2 (-1.4</w:t>
      </w:r>
      <w:r w:rsidR="009F2AD7" w:rsidRPr="00836794">
        <w:t>,</w:t>
      </w:r>
      <w:r w:rsidRPr="00836794">
        <w:t xml:space="preserve"> -1.0) %, p &lt;</w:t>
      </w:r>
      <w:r w:rsidR="009F2AD7" w:rsidRPr="00836794">
        <w:t xml:space="preserve"> </w:t>
      </w:r>
      <w:r w:rsidRPr="00836794">
        <w:t>0.0001, for 14 mg; -0.9 (-1.1</w:t>
      </w:r>
      <w:r w:rsidR="009F2AD7" w:rsidRPr="00836794">
        <w:t>,</w:t>
      </w:r>
      <w:r w:rsidRPr="00836794">
        <w:t xml:space="preserve"> -0.7) %, p</w:t>
      </w:r>
      <w:r w:rsidR="009F2AD7" w:rsidRPr="00836794">
        <w:t> </w:t>
      </w:r>
      <w:r w:rsidRPr="00836794">
        <w:t>&lt;</w:t>
      </w:r>
      <w:r w:rsidR="009F2AD7" w:rsidRPr="00836794">
        <w:t> </w:t>
      </w:r>
      <w:r w:rsidRPr="00836794">
        <w:t>0.0001, for 7 mg and -0.5 (-0.7</w:t>
      </w:r>
      <w:r w:rsidR="009F2AD7" w:rsidRPr="00836794">
        <w:t>,</w:t>
      </w:r>
      <w:r w:rsidRPr="00836794">
        <w:t xml:space="preserve"> -0.3) %, p &lt;</w:t>
      </w:r>
      <w:r w:rsidR="009F2AD7" w:rsidRPr="00836794">
        <w:t xml:space="preserve"> </w:t>
      </w:r>
      <w:r w:rsidRPr="00836794">
        <w:t>0.0001 for 3 mg.</w:t>
      </w:r>
    </w:p>
    <w:p w14:paraId="69242FBE" w14:textId="1B418C3C" w:rsidR="00A30C42" w:rsidRPr="00836794" w:rsidRDefault="00A30C42" w:rsidP="00612622">
      <w:pPr>
        <w:pStyle w:val="ListBullet"/>
      </w:pPr>
      <w:r w:rsidRPr="00836794">
        <w:t xml:space="preserve">Body weight decreased to Week </w:t>
      </w:r>
      <w:proofErr w:type="gramStart"/>
      <w:r w:rsidRPr="00836794">
        <w:t>20, and</w:t>
      </w:r>
      <w:proofErr w:type="gramEnd"/>
      <w:r w:rsidRPr="00836794">
        <w:t xml:space="preserve"> was maintained to Week 52. The treatment difference (95% CI), semaglutide </w:t>
      </w:r>
      <w:r w:rsidR="00322B68">
        <w:t>-</w:t>
      </w:r>
      <w:r w:rsidRPr="00836794">
        <w:t xml:space="preserve"> placebo, for change in body weight from </w:t>
      </w:r>
      <w:r w:rsidR="008027CC" w:rsidRPr="00836794">
        <w:t>Baseline</w:t>
      </w:r>
      <w:r w:rsidRPr="00836794">
        <w:t xml:space="preserve"> to Week 26 was -3.3 (-4.2</w:t>
      </w:r>
      <w:r w:rsidR="009F2AD7" w:rsidRPr="00836794">
        <w:t>,</w:t>
      </w:r>
      <w:r w:rsidRPr="00836794">
        <w:t xml:space="preserve"> -2.3) kg, p &lt;</w:t>
      </w:r>
      <w:r w:rsidR="009F2AD7" w:rsidRPr="00836794">
        <w:t xml:space="preserve"> </w:t>
      </w:r>
      <w:r w:rsidRPr="00836794">
        <w:t>0.0001, for 14 mg; -2.0 (-3.0</w:t>
      </w:r>
      <w:r w:rsidR="009F2AD7" w:rsidRPr="00836794">
        <w:t>,</w:t>
      </w:r>
      <w:r w:rsidRPr="00836794">
        <w:t xml:space="preserve"> -1.0) kg, p = 0.0001, for 7 mg and -0.9 (-1.8</w:t>
      </w:r>
      <w:r w:rsidR="00990C0B">
        <w:t>,</w:t>
      </w:r>
      <w:r w:rsidRPr="00836794">
        <w:t xml:space="preserve"> 0.0) kg, p = 0.0392 for 3 mg.</w:t>
      </w:r>
    </w:p>
    <w:p w14:paraId="2C486890" w14:textId="7C345426" w:rsidR="00A30C42" w:rsidRPr="00836794" w:rsidRDefault="00A30C42" w:rsidP="00612622">
      <w:pPr>
        <w:pStyle w:val="ListBullet"/>
      </w:pPr>
      <w:r w:rsidRPr="00836794">
        <w:t>There was a decrease in insulin dose in the semaglutide groups at Week 26 and through to Week 52.</w:t>
      </w:r>
    </w:p>
    <w:p w14:paraId="486B9198" w14:textId="43A6F0EE" w:rsidR="00497F34" w:rsidRDefault="00497F34" w:rsidP="004B6AD2">
      <w:pPr>
        <w:pStyle w:val="Heading6"/>
        <w:rPr>
          <w:lang w:eastAsia="ja-JP"/>
        </w:rPr>
      </w:pPr>
      <w:r>
        <w:rPr>
          <w:lang w:eastAsia="ja-JP"/>
        </w:rPr>
        <w:t>Results: s</w:t>
      </w:r>
      <w:r w:rsidR="00F63FF0">
        <w:rPr>
          <w:lang w:eastAsia="ja-JP"/>
        </w:rPr>
        <w:t>emaglutide in</w:t>
      </w:r>
      <w:r w:rsidR="00A30C42" w:rsidRPr="00836794">
        <w:rPr>
          <w:lang w:eastAsia="ja-JP"/>
        </w:rPr>
        <w:t xml:space="preserve"> patients with renal impairment</w:t>
      </w:r>
    </w:p>
    <w:p w14:paraId="6763A616" w14:textId="77777777" w:rsidR="00497F34" w:rsidRPr="00B666B8" w:rsidRDefault="00497F34" w:rsidP="00497F34">
      <w:r w:rsidRPr="00B666B8">
        <w:t>Semaglutide was superior to placebo in patients with renal impairment for both glycaemic and weight control.</w:t>
      </w:r>
    </w:p>
    <w:p w14:paraId="74E780B7" w14:textId="5CA77145" w:rsidR="00497F34" w:rsidRPr="00B666B8" w:rsidRDefault="00497F34" w:rsidP="00497F34">
      <w:r w:rsidRPr="00F802A8">
        <w:rPr>
          <w:b/>
        </w:rPr>
        <w:t>PIONEER 5</w:t>
      </w:r>
      <w:r w:rsidRPr="00B666B8">
        <w:t xml:space="preserve"> trial (patients with type 2 diabetes mellitus with moderate renal impairment who are inadequately controlled on metformin and/or </w:t>
      </w:r>
      <w:r>
        <w:t>sulf</w:t>
      </w:r>
      <w:r w:rsidRPr="00B666B8">
        <w:t>onylurea; or basal insulin ± metformin):</w:t>
      </w:r>
    </w:p>
    <w:p w14:paraId="7041EDCE" w14:textId="77777777" w:rsidR="00497F34" w:rsidRPr="00B666B8" w:rsidRDefault="00497F34" w:rsidP="00F802A8">
      <w:pPr>
        <w:pStyle w:val="ListBullet"/>
      </w:pPr>
      <w:r w:rsidRPr="00B666B8">
        <w:t>The mean (95% CI) difference, semaglutide/placebo, in change from Baseline to Week 26 in HbA1c was -0.8 (-1.0, -0.6) %, p &lt; 0.0001.</w:t>
      </w:r>
    </w:p>
    <w:p w14:paraId="3F03083C" w14:textId="7EE0797F" w:rsidR="00497F34" w:rsidRDefault="00497F34" w:rsidP="00F802A8">
      <w:pPr>
        <w:pStyle w:val="ListBullet"/>
      </w:pPr>
      <w:r w:rsidRPr="00B666B8">
        <w:t xml:space="preserve">The mean (95% CI) difference, semaglutide </w:t>
      </w:r>
      <w:r w:rsidR="00322B68">
        <w:t>-</w:t>
      </w:r>
      <w:r w:rsidRPr="00B666B8">
        <w:t xml:space="preserve"> placebo, in change from Baseline to Week 26 in body weight was -2.5 (-3.2, -1.8) kg, p &lt; 0.0001.</w:t>
      </w:r>
    </w:p>
    <w:p w14:paraId="02031FA3" w14:textId="785C1A8B" w:rsidR="00497F34" w:rsidRPr="00F802A8" w:rsidRDefault="00497F34">
      <w:pPr>
        <w:pStyle w:val="Heading6"/>
      </w:pPr>
      <w:r>
        <w:t>Results: semaglutide in flexible dosing regimens</w:t>
      </w:r>
    </w:p>
    <w:p w14:paraId="3BA4E449" w14:textId="7DBC154F" w:rsidR="00A30C42" w:rsidRPr="00836794" w:rsidRDefault="00A30C42" w:rsidP="00612622">
      <w:r w:rsidRPr="00836794">
        <w:t>Using a flexible dosing regimen, semaglutide was superior to sitagliptin.</w:t>
      </w:r>
    </w:p>
    <w:p w14:paraId="3FD69FC8" w14:textId="7675A636" w:rsidR="00A30C42" w:rsidRPr="00836794" w:rsidRDefault="00A30C42" w:rsidP="00612622">
      <w:r w:rsidRPr="00E847AB">
        <w:rPr>
          <w:b/>
        </w:rPr>
        <w:t>PIONEER 7</w:t>
      </w:r>
      <w:r w:rsidR="009F2AD7" w:rsidRPr="00836794">
        <w:t xml:space="preserve"> trial</w:t>
      </w:r>
      <w:r w:rsidRPr="00836794">
        <w:t xml:space="preserve"> (flexible dose-adjustment between semaglutide 3 mg, 7 </w:t>
      </w:r>
      <w:proofErr w:type="gramStart"/>
      <w:r w:rsidRPr="00836794">
        <w:t>mg</w:t>
      </w:r>
      <w:proofErr w:type="gramEnd"/>
      <w:r w:rsidRPr="00836794">
        <w:t xml:space="preserve"> and 14</w:t>
      </w:r>
      <w:r w:rsidR="009F2AD7" w:rsidRPr="00836794">
        <w:t> </w:t>
      </w:r>
      <w:r w:rsidRPr="00836794">
        <w:t xml:space="preserve">mg, and sitagliptin 100 mg in patients with </w:t>
      </w:r>
      <w:r w:rsidR="00631637" w:rsidRPr="00836794">
        <w:t>type 2 diabetes mellitus</w:t>
      </w:r>
      <w:r w:rsidRPr="00836794">
        <w:t xml:space="preserve"> who were in inadequate glycaemic control with 1-2 </w:t>
      </w:r>
      <w:r w:rsidR="009F2AD7" w:rsidRPr="00836794">
        <w:t>oral anti-diabetic drug</w:t>
      </w:r>
      <w:r w:rsidRPr="00836794">
        <w:t>s):</w:t>
      </w:r>
    </w:p>
    <w:p w14:paraId="27BC9EA3" w14:textId="039D0316" w:rsidR="00A30C42" w:rsidRPr="00836794" w:rsidRDefault="00A30C42" w:rsidP="00612622">
      <w:pPr>
        <w:pStyle w:val="ListBullet"/>
      </w:pPr>
      <w:r w:rsidRPr="00836794">
        <w:t>HbA1c &lt;</w:t>
      </w:r>
      <w:r w:rsidR="009F2AD7" w:rsidRPr="00836794">
        <w:t xml:space="preserve"> </w:t>
      </w:r>
      <w:r w:rsidRPr="00836794">
        <w:t xml:space="preserve">7.0% at Week 52 was achieved by 134 (58.3%) patients in the semaglutide group and 60 (25.2%) in the sitagliptin group: </w:t>
      </w:r>
      <w:r w:rsidR="0078534A" w:rsidRPr="00836794">
        <w:t>odd ratio</w:t>
      </w:r>
      <w:r w:rsidRPr="00836794">
        <w:t xml:space="preserve"> (95% CI) 4.40 (2.89</w:t>
      </w:r>
      <w:r w:rsidR="00322B68">
        <w:t>,</w:t>
      </w:r>
      <w:r w:rsidRPr="00836794">
        <w:t xml:space="preserve"> 6.70), p</w:t>
      </w:r>
      <w:r w:rsidR="009F2AD7" w:rsidRPr="00836794">
        <w:t> </w:t>
      </w:r>
      <w:r w:rsidRPr="00836794">
        <w:t>&lt;</w:t>
      </w:r>
      <w:r w:rsidR="00322B68">
        <w:t> </w:t>
      </w:r>
      <w:r w:rsidRPr="00836794">
        <w:t>0.0001.</w:t>
      </w:r>
    </w:p>
    <w:p w14:paraId="0A1EAB09" w14:textId="2A37A5BC" w:rsidR="00A30C42" w:rsidRPr="00836794" w:rsidRDefault="00A30C42" w:rsidP="00612622">
      <w:pPr>
        <w:pStyle w:val="ListBullet"/>
      </w:pPr>
      <w:r w:rsidRPr="00836794">
        <w:t>HbA1c reduction ≥</w:t>
      </w:r>
      <w:r w:rsidR="009F2AD7" w:rsidRPr="00836794">
        <w:t xml:space="preserve"> </w:t>
      </w:r>
      <w:proofErr w:type="gramStart"/>
      <w:r w:rsidRPr="00836794">
        <w:t>1%</w:t>
      </w:r>
      <w:r w:rsidR="009F2AD7" w:rsidRPr="00836794">
        <w:t xml:space="preserve"> </w:t>
      </w:r>
      <w:r w:rsidRPr="00836794">
        <w:t>point</w:t>
      </w:r>
      <w:proofErr w:type="gramEnd"/>
      <w:r w:rsidRPr="00836794">
        <w:t xml:space="preserve"> (10.9 mmol/mol) and weight loss ≥</w:t>
      </w:r>
      <w:r w:rsidR="009F2AD7" w:rsidRPr="00836794">
        <w:t xml:space="preserve"> </w:t>
      </w:r>
      <w:r w:rsidRPr="00836794">
        <w:t>3% at Week 52 was achieved by 80 (34.8%) patients in the semaglutide group and 25 (10.5%) in the sitagliptin group.</w:t>
      </w:r>
    </w:p>
    <w:p w14:paraId="55942740" w14:textId="39E9A3D8" w:rsidR="00A30C42" w:rsidRPr="00836794" w:rsidRDefault="00A30C42" w:rsidP="00612622">
      <w:pPr>
        <w:pStyle w:val="ListBullet"/>
      </w:pPr>
      <w:r w:rsidRPr="00836794">
        <w:lastRenderedPageBreak/>
        <w:t xml:space="preserve">The dosing data for semaglutide indicate that slightly over a third of patients could be controlled on lower doses (3 or 7 mg, but mainly 7 mg). From </w:t>
      </w:r>
      <w:r w:rsidR="009F2AD7" w:rsidRPr="00836794">
        <w:t xml:space="preserve">Week </w:t>
      </w:r>
      <w:r w:rsidRPr="00836794">
        <w:t xml:space="preserve">48 to </w:t>
      </w:r>
      <w:r w:rsidR="009F2AD7" w:rsidRPr="00836794">
        <w:t>Week </w:t>
      </w:r>
      <w:r w:rsidRPr="00836794">
        <w:t>52, 59.4% of patients on treatment were prescribed the 14 mg dose, while 30.2% were prescribed the 7 mg dose and 9.0% were prescribed the 3 mg dose. Hence it is feasible to titrate the dose to HbA1c target and gastrointestinal tolerability.</w:t>
      </w:r>
    </w:p>
    <w:p w14:paraId="2FB297D2" w14:textId="6D91EA48" w:rsidR="00A30C42" w:rsidRPr="00836794" w:rsidRDefault="00A30C42" w:rsidP="004B6AD2">
      <w:pPr>
        <w:pStyle w:val="Heading5"/>
      </w:pPr>
      <w:r w:rsidRPr="00836794">
        <w:t>PIONEER trials</w:t>
      </w:r>
      <w:r w:rsidR="00497F34">
        <w:t xml:space="preserve"> (supportive); </w:t>
      </w:r>
      <w:r w:rsidRPr="00836794">
        <w:t>PIONEER 9 and 10</w:t>
      </w:r>
    </w:p>
    <w:p w14:paraId="624934C5" w14:textId="64D0A517" w:rsidR="00546FEB" w:rsidRPr="00836794" w:rsidRDefault="00497F34" w:rsidP="00546FEB">
      <w:pPr>
        <w:pStyle w:val="Heading6"/>
      </w:pPr>
      <w:r>
        <w:t>Results: semaglutide in Japanese populations</w:t>
      </w:r>
    </w:p>
    <w:p w14:paraId="71771765" w14:textId="335A5D91" w:rsidR="00A30C42" w:rsidRPr="00836794" w:rsidRDefault="009F2AD7" w:rsidP="00612622">
      <w:r w:rsidRPr="00836794">
        <w:t xml:space="preserve">The </w:t>
      </w:r>
      <w:r w:rsidR="00A30C42" w:rsidRPr="00836794">
        <w:t xml:space="preserve">PIONEER 9 and 10 </w:t>
      </w:r>
      <w:r w:rsidRPr="00836794">
        <w:t xml:space="preserve">trials </w:t>
      </w:r>
      <w:r w:rsidR="00A30C42" w:rsidRPr="00836794">
        <w:t xml:space="preserve">were supportive studies in a Japanese population. Both studies had results consistent with those of the pivotal PIONEER </w:t>
      </w:r>
      <w:r w:rsidRPr="00836794">
        <w:t>trials</w:t>
      </w:r>
      <w:r w:rsidR="00A30C42" w:rsidRPr="00836794">
        <w:t>.</w:t>
      </w:r>
    </w:p>
    <w:p w14:paraId="00C9822B" w14:textId="11D5C578" w:rsidR="00A30C42" w:rsidRPr="00836794" w:rsidRDefault="00A30C42" w:rsidP="00612622">
      <w:r w:rsidRPr="00E847AB">
        <w:rPr>
          <w:b/>
        </w:rPr>
        <w:t>PIONEER 9</w:t>
      </w:r>
      <w:r w:rsidR="009F2AD7" w:rsidRPr="00836794">
        <w:t xml:space="preserve"> trial </w:t>
      </w:r>
      <w:r w:rsidRPr="00836794">
        <w:t xml:space="preserve">(Japanese study; supportive of findings in </w:t>
      </w:r>
      <w:r w:rsidR="009F2AD7" w:rsidRPr="00836794">
        <w:t xml:space="preserve">the </w:t>
      </w:r>
      <w:r w:rsidRPr="00836794">
        <w:t>PIONEER 1</w:t>
      </w:r>
      <w:r w:rsidR="009F2AD7" w:rsidRPr="00836794">
        <w:t xml:space="preserve"> trial</w:t>
      </w:r>
      <w:r w:rsidRPr="00836794">
        <w:t>):</w:t>
      </w:r>
    </w:p>
    <w:p w14:paraId="4D93647E" w14:textId="62061AD7" w:rsidR="00A30C42" w:rsidRPr="00836794" w:rsidRDefault="00A30C42" w:rsidP="00612622">
      <w:pPr>
        <w:pStyle w:val="ListBullet"/>
      </w:pPr>
      <w:r w:rsidRPr="00836794">
        <w:t>There was superior glycaemic control with all the dose levels of oral semaglutide in comparison with placebo, with the effect size increasing with dose. Oral semaglutide 14</w:t>
      </w:r>
      <w:r w:rsidR="009F2AD7" w:rsidRPr="00836794">
        <w:t> </w:t>
      </w:r>
      <w:r w:rsidRPr="00836794">
        <w:t>mg had superior glycaemic control to liraglutide but there was no significant difference for the 3 mg and 7 mg dose levels.</w:t>
      </w:r>
    </w:p>
    <w:p w14:paraId="2A830A72" w14:textId="77777777" w:rsidR="00A30C42" w:rsidRPr="00836794" w:rsidRDefault="00A30C42" w:rsidP="00612622">
      <w:pPr>
        <w:pStyle w:val="ListBullet"/>
      </w:pPr>
      <w:r w:rsidRPr="00836794">
        <w:t>Semaglutide 14 mg had superior weight control compared to placebo and liraglutide, but there was no significant difference for the 3 mg and 7 mg dose levels.</w:t>
      </w:r>
    </w:p>
    <w:p w14:paraId="7922F9E6" w14:textId="51054311" w:rsidR="00A30C42" w:rsidRPr="00836794" w:rsidRDefault="00A30C42" w:rsidP="00612622">
      <w:r w:rsidRPr="00E847AB">
        <w:rPr>
          <w:b/>
        </w:rPr>
        <w:t>PIONEER 10</w:t>
      </w:r>
      <w:r w:rsidR="009F2AD7" w:rsidRPr="00836794">
        <w:t xml:space="preserve"> trial</w:t>
      </w:r>
      <w:r w:rsidRPr="00836794">
        <w:t xml:space="preserve"> (Japanese study):</w:t>
      </w:r>
    </w:p>
    <w:p w14:paraId="4DD9DCF3" w14:textId="1AD6245E" w:rsidR="00A30C42" w:rsidRPr="00836794" w:rsidRDefault="00A30C42" w:rsidP="00612622">
      <w:pPr>
        <w:pStyle w:val="ListBullet"/>
      </w:pPr>
      <w:r w:rsidRPr="00836794">
        <w:t xml:space="preserve">The study supports the 14 mg dose level in comparison with dulaglutide, which is registered for use in Australia. It also supports efficacy in comparison with placebo in a patient group with background </w:t>
      </w:r>
      <w:r w:rsidR="009F2AD7" w:rsidRPr="00836794">
        <w:t>oral anti-diabetic</w:t>
      </w:r>
      <w:r w:rsidRPr="00836794">
        <w:t xml:space="preserve"> medication.</w:t>
      </w:r>
    </w:p>
    <w:p w14:paraId="39FE29D3" w14:textId="1C094717" w:rsidR="00A30C42" w:rsidRPr="0071231C" w:rsidRDefault="00A30C42" w:rsidP="00703318">
      <w:pPr>
        <w:pStyle w:val="TableTitle"/>
      </w:pPr>
      <w:r w:rsidRPr="0071231C">
        <w:t xml:space="preserve">Table </w:t>
      </w:r>
      <w:fldSimple w:instr=" SEQ Table \* ARABIC ">
        <w:r w:rsidR="00E5082D">
          <w:rPr>
            <w:noProof/>
          </w:rPr>
          <w:t>10</w:t>
        </w:r>
      </w:fldSimple>
      <w:r w:rsidR="007E3098" w:rsidRPr="0071231C">
        <w:t xml:space="preserve">: </w:t>
      </w:r>
      <w:r w:rsidRPr="0071231C">
        <w:t>PIONEER trials</w:t>
      </w:r>
      <w:r w:rsidR="00343A19">
        <w:t xml:space="preserve"> (pivotal)</w:t>
      </w:r>
      <w:r w:rsidR="007E3098" w:rsidRPr="0071231C">
        <w:t xml:space="preserve"> </w:t>
      </w:r>
      <w:r w:rsidRPr="0071231C">
        <w:t>Primary endpoint</w:t>
      </w:r>
      <w:r w:rsidR="007E3098" w:rsidRPr="0071231C">
        <w:t xml:space="preserve"> -</w:t>
      </w:r>
      <w:r w:rsidRPr="0071231C">
        <w:t xml:space="preserve"> change in </w:t>
      </w:r>
      <w:r w:rsidR="007E3098" w:rsidRPr="0071231C">
        <w:t>haemoglobin</w:t>
      </w:r>
      <w:r w:rsidR="00847F47">
        <w:t> </w:t>
      </w:r>
      <w:r w:rsidR="007E3098" w:rsidRPr="0071231C">
        <w:t xml:space="preserve">A1C </w:t>
      </w:r>
      <w:r w:rsidRPr="0071231C">
        <w:t xml:space="preserve">(%) from </w:t>
      </w:r>
      <w:r w:rsidR="007E3098" w:rsidRPr="0071231C">
        <w:t xml:space="preserve">Baseline </w:t>
      </w:r>
      <w:r w:rsidRPr="0071231C">
        <w:t xml:space="preserve">to Week 26 (treatment policy </w:t>
      </w:r>
      <w:proofErr w:type="spellStart"/>
      <w:r w:rsidRPr="0071231C">
        <w:t>estimand</w:t>
      </w:r>
      <w:proofErr w:type="spellEnd"/>
      <w:r w:rsidR="007E3098" w:rsidRPr="0071231C">
        <w:t>; full analysis set</w:t>
      </w:r>
      <w:r w:rsidRPr="0071231C">
        <w:t>)</w:t>
      </w:r>
    </w:p>
    <w:p w14:paraId="6BD572E3" w14:textId="2F801CFB" w:rsidR="00D97143" w:rsidRPr="00836794" w:rsidRDefault="00D97143" w:rsidP="00703318">
      <w:r>
        <w:rPr>
          <w:noProof/>
          <w:lang w:val="en-GB" w:eastAsia="en-GB"/>
        </w:rPr>
        <w:drawing>
          <wp:inline distT="0" distB="0" distL="0" distR="0" wp14:anchorId="60E48606" wp14:editId="73D6C48A">
            <wp:extent cx="5230585" cy="2588128"/>
            <wp:effectExtent l="0" t="0" r="8255" b="3175"/>
            <wp:docPr id="13" name="Picture 13" descr="Table 10: PIONEER trials (pivotal) Primary endpoint - change in haemoglobin A1C (%) from Baseline to Week 26 (treatment policy estiman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10: PIONEER trials (pivotal) Primary endpoint - change in haemoglobin A1C (%) from Baseline to Week 26 (treatment policy estimand; full analysis set)"/>
                    <pic:cNvPicPr/>
                  </pic:nvPicPr>
                  <pic:blipFill>
                    <a:blip r:embed="rId25"/>
                    <a:stretch>
                      <a:fillRect/>
                    </a:stretch>
                  </pic:blipFill>
                  <pic:spPr>
                    <a:xfrm>
                      <a:off x="0" y="0"/>
                      <a:ext cx="5237617" cy="2591608"/>
                    </a:xfrm>
                    <a:prstGeom prst="rect">
                      <a:avLst/>
                    </a:prstGeom>
                  </pic:spPr>
                </pic:pic>
              </a:graphicData>
            </a:graphic>
          </wp:inline>
        </w:drawing>
      </w:r>
    </w:p>
    <w:p w14:paraId="2AF7D51A" w14:textId="2D801330" w:rsidR="00D97143" w:rsidRPr="00703318" w:rsidRDefault="00497F34" w:rsidP="00703318">
      <w:pPr>
        <w:pStyle w:val="TableDescription"/>
      </w:pPr>
      <w:r w:rsidRPr="00703318">
        <w:t xml:space="preserve">Abbreviations: </w:t>
      </w:r>
      <w:r w:rsidR="00697869" w:rsidRPr="00703318">
        <w:t xml:space="preserve">CI = confidence interval; </w:t>
      </w:r>
      <w:r w:rsidR="00D931AF" w:rsidRPr="00703318">
        <w:t xml:space="preserve">comp = comparator; </w:t>
      </w:r>
      <w:proofErr w:type="spellStart"/>
      <w:r w:rsidR="00D97143" w:rsidRPr="00703318">
        <w:t>Empa</w:t>
      </w:r>
      <w:proofErr w:type="spellEnd"/>
      <w:r w:rsidR="00D97143" w:rsidRPr="00703318">
        <w:t xml:space="preserve"> = empagliflozin; </w:t>
      </w:r>
      <w:r w:rsidR="00697869" w:rsidRPr="00703318">
        <w:t xml:space="preserve">ETD = estimated treatment difference; FAS = full analysis set; </w:t>
      </w:r>
      <w:r w:rsidR="00D97143" w:rsidRPr="00703318">
        <w:t xml:space="preserve">flex = flexible dose; </w:t>
      </w:r>
      <w:r w:rsidR="00697869" w:rsidRPr="00703318">
        <w:t xml:space="preserve">HbA1c = haemoglobin A1c; </w:t>
      </w:r>
      <w:r w:rsidR="00D97143" w:rsidRPr="00703318">
        <w:t>Lira</w:t>
      </w:r>
      <w:r w:rsidRPr="00703318">
        <w:t> </w:t>
      </w:r>
      <w:r w:rsidR="00D97143" w:rsidRPr="00703318">
        <w:t>=</w:t>
      </w:r>
      <w:r w:rsidRPr="00703318">
        <w:t> </w:t>
      </w:r>
      <w:r w:rsidR="00D97143" w:rsidRPr="00703318">
        <w:t xml:space="preserve">liraglutide; </w:t>
      </w:r>
      <w:r w:rsidR="00697869" w:rsidRPr="00703318">
        <w:t xml:space="preserve">P = PIONEER trial; </w:t>
      </w:r>
      <w:proofErr w:type="spellStart"/>
      <w:r w:rsidR="00D97143" w:rsidRPr="00703318">
        <w:t>sema</w:t>
      </w:r>
      <w:proofErr w:type="spellEnd"/>
      <w:r w:rsidR="00D97143" w:rsidRPr="00703318">
        <w:t xml:space="preserve"> = </w:t>
      </w:r>
      <w:proofErr w:type="spellStart"/>
      <w:r w:rsidR="00D97143" w:rsidRPr="00703318">
        <w:t>semaglutide</w:t>
      </w:r>
      <w:proofErr w:type="spellEnd"/>
      <w:r w:rsidR="00D97143" w:rsidRPr="00703318">
        <w:t xml:space="preserve">; </w:t>
      </w:r>
      <w:proofErr w:type="spellStart"/>
      <w:r w:rsidR="00D97143" w:rsidRPr="00703318">
        <w:t>sita</w:t>
      </w:r>
      <w:proofErr w:type="spellEnd"/>
      <w:r w:rsidR="00D97143" w:rsidRPr="00703318">
        <w:t xml:space="preserve"> = </w:t>
      </w:r>
      <w:proofErr w:type="spellStart"/>
      <w:r w:rsidR="00D97143" w:rsidRPr="00703318">
        <w:t>sitabliptin</w:t>
      </w:r>
      <w:proofErr w:type="spellEnd"/>
      <w:r w:rsidR="00697869" w:rsidRPr="00703318">
        <w:t>; Sup = superiority.</w:t>
      </w:r>
    </w:p>
    <w:p w14:paraId="5535BB9D" w14:textId="6D4E3C38" w:rsidR="00A30C42" w:rsidRDefault="00A30C42" w:rsidP="00703318">
      <w:pPr>
        <w:pStyle w:val="TableTitle"/>
      </w:pPr>
      <w:r w:rsidRPr="00836794">
        <w:lastRenderedPageBreak/>
        <w:t xml:space="preserve">Table </w:t>
      </w:r>
      <w:fldSimple w:instr=" SEQ Table \* ARABIC ">
        <w:r w:rsidR="00E5082D">
          <w:rPr>
            <w:noProof/>
          </w:rPr>
          <w:t>11</w:t>
        </w:r>
      </w:fldSimple>
      <w:r w:rsidR="007E3098" w:rsidRPr="00836794">
        <w:t xml:space="preserve">: </w:t>
      </w:r>
      <w:r w:rsidRPr="00836794">
        <w:t>PIONEER trials</w:t>
      </w:r>
      <w:r w:rsidR="00343A19">
        <w:t xml:space="preserve"> (pivotal)</w:t>
      </w:r>
      <w:r w:rsidRPr="00836794">
        <w:t xml:space="preserve"> Confirmatory secondary endpoint</w:t>
      </w:r>
      <w:r w:rsidR="007E3098" w:rsidRPr="00836794">
        <w:t xml:space="preserve"> - </w:t>
      </w:r>
      <w:r w:rsidRPr="00836794">
        <w:t>change in body weight (</w:t>
      </w:r>
      <w:r w:rsidR="00D63DDD">
        <w:t>kg</w:t>
      </w:r>
      <w:r w:rsidRPr="00836794">
        <w:t xml:space="preserve">) from </w:t>
      </w:r>
      <w:r w:rsidR="008027CC" w:rsidRPr="00836794">
        <w:t>Baseline</w:t>
      </w:r>
      <w:r w:rsidRPr="00836794">
        <w:t xml:space="preserve"> to Week 26 (treatment policy </w:t>
      </w:r>
      <w:proofErr w:type="spellStart"/>
      <w:r w:rsidRPr="00836794">
        <w:t>estimand</w:t>
      </w:r>
      <w:proofErr w:type="spellEnd"/>
      <w:r w:rsidR="007E3098" w:rsidRPr="00836794">
        <w:t>; full analysis set)</w:t>
      </w:r>
    </w:p>
    <w:p w14:paraId="0C6359BC" w14:textId="6E7F9DBE" w:rsidR="00842934" w:rsidRDefault="00842934" w:rsidP="00703318">
      <w:r>
        <w:rPr>
          <w:noProof/>
          <w:lang w:val="en-GB" w:eastAsia="en-GB"/>
        </w:rPr>
        <w:drawing>
          <wp:inline distT="0" distB="0" distL="0" distR="0" wp14:anchorId="2A749019" wp14:editId="02010FC4">
            <wp:extent cx="5312228" cy="2580640"/>
            <wp:effectExtent l="0" t="0" r="3175" b="0"/>
            <wp:docPr id="11" name="Picture 11" descr="Table 11: PIONEER trials (pivotal) Confirmatory secondary endpoint - change in body weight (kg) from Baseline to Week 26 (treatment policy estiman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11: PIONEER trials (pivotal) Confirmatory secondary endpoint - change in body weight (kg) from Baseline to Week 26 (treatment policy estimand; full analysis set)"/>
                    <pic:cNvPicPr/>
                  </pic:nvPicPr>
                  <pic:blipFill>
                    <a:blip r:embed="rId26"/>
                    <a:stretch>
                      <a:fillRect/>
                    </a:stretch>
                  </pic:blipFill>
                  <pic:spPr>
                    <a:xfrm>
                      <a:off x="0" y="0"/>
                      <a:ext cx="5314573" cy="2581779"/>
                    </a:xfrm>
                    <a:prstGeom prst="rect">
                      <a:avLst/>
                    </a:prstGeom>
                  </pic:spPr>
                </pic:pic>
              </a:graphicData>
            </a:graphic>
          </wp:inline>
        </w:drawing>
      </w:r>
    </w:p>
    <w:p w14:paraId="172F1ACD" w14:textId="19AE969A" w:rsidR="00697869" w:rsidRPr="00703318" w:rsidRDefault="00343A19" w:rsidP="00703318">
      <w:pPr>
        <w:pStyle w:val="TableDescription"/>
      </w:pPr>
      <w:r w:rsidRPr="00703318">
        <w:t xml:space="preserve">Abbreviations: </w:t>
      </w:r>
      <w:r w:rsidR="00697869" w:rsidRPr="00703318">
        <w:t>CI = confidence interval;</w:t>
      </w:r>
      <w:r w:rsidR="00D931AF" w:rsidRPr="00703318">
        <w:t xml:space="preserve"> comp = comparator;</w:t>
      </w:r>
      <w:r w:rsidR="00697869" w:rsidRPr="00703318">
        <w:t xml:space="preserve"> </w:t>
      </w:r>
      <w:proofErr w:type="spellStart"/>
      <w:r w:rsidR="00697869" w:rsidRPr="00703318">
        <w:t>Empa</w:t>
      </w:r>
      <w:proofErr w:type="spellEnd"/>
      <w:r w:rsidR="00697869" w:rsidRPr="00703318">
        <w:t xml:space="preserve"> = empagliflozin; ETD = estimated treatment difference; FAS = full analysis set; flex = flexible dose; HbA1c = haemoglobin A1c; Lira</w:t>
      </w:r>
      <w:r w:rsidRPr="00703318">
        <w:t> </w:t>
      </w:r>
      <w:r w:rsidR="00697869" w:rsidRPr="00703318">
        <w:t>=</w:t>
      </w:r>
      <w:r w:rsidRPr="00703318">
        <w:t> </w:t>
      </w:r>
      <w:r w:rsidR="00697869" w:rsidRPr="00703318">
        <w:t xml:space="preserve">liraglutide; P = PIONEER trial; </w:t>
      </w:r>
      <w:proofErr w:type="spellStart"/>
      <w:r w:rsidR="00697869" w:rsidRPr="00703318">
        <w:t>sema</w:t>
      </w:r>
      <w:proofErr w:type="spellEnd"/>
      <w:r w:rsidR="00697869" w:rsidRPr="00703318">
        <w:t xml:space="preserve"> = </w:t>
      </w:r>
      <w:proofErr w:type="spellStart"/>
      <w:r w:rsidR="00697869" w:rsidRPr="00703318">
        <w:t>semaglutide</w:t>
      </w:r>
      <w:proofErr w:type="spellEnd"/>
      <w:r w:rsidR="00697869" w:rsidRPr="00703318">
        <w:t xml:space="preserve">; </w:t>
      </w:r>
      <w:proofErr w:type="spellStart"/>
      <w:r w:rsidR="00697869" w:rsidRPr="00703318">
        <w:t>sita</w:t>
      </w:r>
      <w:proofErr w:type="spellEnd"/>
      <w:r w:rsidR="00697869" w:rsidRPr="00703318">
        <w:t xml:space="preserve"> = </w:t>
      </w:r>
      <w:proofErr w:type="spellStart"/>
      <w:r w:rsidR="00697869" w:rsidRPr="00703318">
        <w:t>sitabliptin</w:t>
      </w:r>
      <w:proofErr w:type="spellEnd"/>
      <w:r w:rsidR="00697869" w:rsidRPr="00703318">
        <w:t>; Sup = superiority.</w:t>
      </w:r>
    </w:p>
    <w:p w14:paraId="49DA94A3" w14:textId="77777777" w:rsidR="00A30C42" w:rsidRPr="00836794" w:rsidRDefault="00A30C42" w:rsidP="004B6AD2">
      <w:pPr>
        <w:pStyle w:val="Heading4"/>
      </w:pPr>
      <w:r w:rsidRPr="00836794">
        <w:t>Safety</w:t>
      </w:r>
    </w:p>
    <w:p w14:paraId="61850E59" w14:textId="28F4668A" w:rsidR="00A30C42" w:rsidRPr="00836794" w:rsidRDefault="00497F34" w:rsidP="004B6AD2">
      <w:pPr>
        <w:pStyle w:val="Heading5"/>
      </w:pPr>
      <w:r>
        <w:t>Pioneer 6 trial</w:t>
      </w:r>
      <w:r w:rsidR="00A30C42" w:rsidRPr="00836794">
        <w:t xml:space="preserve"> (</w:t>
      </w:r>
      <w:r w:rsidR="000A2C1B" w:rsidRPr="00836794">
        <w:t>cardiovascular outcomes trial</w:t>
      </w:r>
      <w:r w:rsidR="00A30C42" w:rsidRPr="00836794">
        <w:t>)</w:t>
      </w:r>
    </w:p>
    <w:p w14:paraId="48846411" w14:textId="7A557BFF" w:rsidR="00A30C42" w:rsidRPr="00836794" w:rsidRDefault="009F2AD7" w:rsidP="00612622">
      <w:r w:rsidRPr="00836794">
        <w:t xml:space="preserve">The </w:t>
      </w:r>
      <w:r w:rsidR="00A30C42" w:rsidRPr="00836794">
        <w:t xml:space="preserve">PIONEER 6 </w:t>
      </w:r>
      <w:r w:rsidRPr="00836794">
        <w:t xml:space="preserve">trial </w:t>
      </w:r>
      <w:r w:rsidR="00A30C42" w:rsidRPr="00836794">
        <w:t>was a randomised, double</w:t>
      </w:r>
      <w:r w:rsidRPr="00836794">
        <w:t xml:space="preserve"> </w:t>
      </w:r>
      <w:r w:rsidR="00A30C42" w:rsidRPr="00836794">
        <w:t xml:space="preserve">blind, placebo controlled, multicentre, parallel group study of the cardiovascular safety of oral semaglutide compared to placebo when added to standard of care in 3183 patients with </w:t>
      </w:r>
      <w:r w:rsidR="00631637" w:rsidRPr="00836794">
        <w:t>type 2 diabetes mellitus</w:t>
      </w:r>
      <w:r w:rsidR="00A30C42" w:rsidRPr="00836794">
        <w:t xml:space="preserve"> at high risk of cardiovascular events.</w:t>
      </w:r>
    </w:p>
    <w:p w14:paraId="19FFC40F" w14:textId="3475D618" w:rsidR="00A30C42" w:rsidRPr="00836794" w:rsidRDefault="00A30C42" w:rsidP="00612622">
      <w:r w:rsidRPr="00836794">
        <w:t>Patients received either semaglutide (oral, 3 mg daily for 4 weeks, then 7 mg daily for 4</w:t>
      </w:r>
      <w:r w:rsidR="009F2AD7" w:rsidRPr="00836794">
        <w:t> </w:t>
      </w:r>
      <w:r w:rsidRPr="00836794">
        <w:t xml:space="preserve">weeks, then 14 mg daily for up to 74 weeks) or placebo. The primary safety outcome measure was the time from randomisation to first occurrence of a </w:t>
      </w:r>
      <w:r w:rsidR="009F2AD7" w:rsidRPr="00836794">
        <w:t>major cardiovascular event</w:t>
      </w:r>
      <w:r w:rsidRPr="00836794">
        <w:t xml:space="preserve"> composite endpoint consisting of: cardiovascular death, non-fatal myocardial </w:t>
      </w:r>
      <w:proofErr w:type="gramStart"/>
      <w:r w:rsidRPr="00836794">
        <w:t>infarction</w:t>
      </w:r>
      <w:proofErr w:type="gramEnd"/>
      <w:r w:rsidRPr="00836794">
        <w:t xml:space="preserve"> or non-fatal stroke.</w:t>
      </w:r>
    </w:p>
    <w:p w14:paraId="7B8BF5A8" w14:textId="4E752BCC" w:rsidR="00612622" w:rsidRPr="00836794" w:rsidRDefault="00497F34" w:rsidP="00546FEB">
      <w:pPr>
        <w:pStyle w:val="Heading6"/>
      </w:pPr>
      <w:r>
        <w:t>Results: semaglutide (cardiovascular outcomes)</w:t>
      </w:r>
    </w:p>
    <w:p w14:paraId="04112BCD" w14:textId="11E7CBC9" w:rsidR="00A30C42" w:rsidRPr="00836794" w:rsidRDefault="00A30C42" w:rsidP="00612622">
      <w:r w:rsidRPr="00836794">
        <w:t xml:space="preserve">For the time to first </w:t>
      </w:r>
      <w:r w:rsidR="009F2AD7" w:rsidRPr="00836794">
        <w:t>major cardiovascular event</w:t>
      </w:r>
      <w:r w:rsidRPr="00836794">
        <w:t xml:space="preserve">, the </w:t>
      </w:r>
      <w:r w:rsidR="00A85DC4" w:rsidRPr="00836794">
        <w:t>hazard ratio</w:t>
      </w:r>
      <w:r w:rsidRPr="00836794">
        <w:t xml:space="preserve"> (95% CI) semaglutide/placebo, was 0.79 (0.57</w:t>
      </w:r>
      <w:r w:rsidR="009F2AD7" w:rsidRPr="00836794">
        <w:t>,</w:t>
      </w:r>
      <w:r w:rsidRPr="00836794">
        <w:t xml:space="preserve"> 1.11), with a test of non-inferiority of p &lt;</w:t>
      </w:r>
      <w:r w:rsidR="009F2AD7" w:rsidRPr="00836794">
        <w:t xml:space="preserve"> </w:t>
      </w:r>
      <w:r w:rsidRPr="00836794">
        <w:t>0.0001 (non-inferiority margin was the 95% CI upper bound of &lt;</w:t>
      </w:r>
      <w:r w:rsidR="009F2AD7" w:rsidRPr="00836794">
        <w:t xml:space="preserve"> </w:t>
      </w:r>
      <w:r w:rsidRPr="00836794">
        <w:t>1.8).</w:t>
      </w:r>
    </w:p>
    <w:p w14:paraId="21C9FB5E" w14:textId="5887F1DF" w:rsidR="00A30C42" w:rsidRPr="00836794" w:rsidRDefault="00A30C42" w:rsidP="00612622">
      <w:r w:rsidRPr="00836794">
        <w:t xml:space="preserve">In a population at increased risk of cardiovascular events, there was no increase in risk of </w:t>
      </w:r>
      <w:r w:rsidR="009F2AD7" w:rsidRPr="00836794">
        <w:t>major cardiovascular event</w:t>
      </w:r>
      <w:r w:rsidRPr="00836794">
        <w:t>, and a decrease in the risk of cardiovascular death and the risk of all-cause death.</w:t>
      </w:r>
    </w:p>
    <w:p w14:paraId="5CBCF8D9" w14:textId="77777777" w:rsidR="00A30C42" w:rsidRPr="00836794" w:rsidRDefault="00A30C42" w:rsidP="004B6AD2">
      <w:pPr>
        <w:pStyle w:val="Heading5"/>
      </w:pPr>
      <w:r w:rsidRPr="00836794">
        <w:t>Summary of safety</w:t>
      </w:r>
    </w:p>
    <w:p w14:paraId="58A38368" w14:textId="77777777" w:rsidR="00A30C42" w:rsidRPr="00836794" w:rsidRDefault="00A30C42" w:rsidP="004B6AD2">
      <w:pPr>
        <w:pStyle w:val="Heading6"/>
      </w:pPr>
      <w:r w:rsidRPr="00836794">
        <w:t>Exposure</w:t>
      </w:r>
    </w:p>
    <w:p w14:paraId="13F5202D" w14:textId="7FFD33E5" w:rsidR="00A30C42" w:rsidRPr="00836794" w:rsidRDefault="00497F34" w:rsidP="00612622">
      <w:r>
        <w:t xml:space="preserve">A total of </w:t>
      </w:r>
      <w:r w:rsidR="00A30C42" w:rsidRPr="00836794">
        <w:t xml:space="preserve">11,100 patients were exposed to semaglutide (either </w:t>
      </w:r>
      <w:r w:rsidR="00331152" w:rsidRPr="00836794">
        <w:t>subcutaneous</w:t>
      </w:r>
      <w:r w:rsidR="00A30C42" w:rsidRPr="00836794">
        <w:t xml:space="preserve"> or oral) in Phase</w:t>
      </w:r>
      <w:r w:rsidR="009F2AD7" w:rsidRPr="00836794">
        <w:t> </w:t>
      </w:r>
      <w:r w:rsidR="00DD79E3" w:rsidRPr="00836794">
        <w:t>III</w:t>
      </w:r>
      <w:r w:rsidR="00A30C42" w:rsidRPr="00836794">
        <w:t xml:space="preserve"> trials; equivalent to 12,360 patient</w:t>
      </w:r>
      <w:r w:rsidR="009F2AD7" w:rsidRPr="00836794">
        <w:t xml:space="preserve"> </w:t>
      </w:r>
      <w:r w:rsidR="00A30C42" w:rsidRPr="00836794">
        <w:t>years of exposure.</w:t>
      </w:r>
    </w:p>
    <w:p w14:paraId="3DE00755" w14:textId="39602990" w:rsidR="00A30C42" w:rsidRPr="00836794" w:rsidRDefault="00497F34" w:rsidP="00612622">
      <w:r>
        <w:t xml:space="preserve">From the Phase IIIa (PIONEER) trials, </w:t>
      </w:r>
      <w:r w:rsidR="00A30C42" w:rsidRPr="00836794">
        <w:t xml:space="preserve">4,116 patients have been exposed to oral semaglutide, and a further 1,591 </w:t>
      </w:r>
      <w:r>
        <w:t xml:space="preserve">patients received semaglutide </w:t>
      </w:r>
      <w:r w:rsidR="00A30C42" w:rsidRPr="00836794">
        <w:t xml:space="preserve">in the </w:t>
      </w:r>
      <w:r w:rsidR="0078534A" w:rsidRPr="00836794">
        <w:t>cardiovascular outcomes trial</w:t>
      </w:r>
      <w:r w:rsidR="00A30C42" w:rsidRPr="00836794">
        <w:t xml:space="preserve"> (</w:t>
      </w:r>
      <w:r w:rsidR="009F2AD7" w:rsidRPr="00836794">
        <w:t xml:space="preserve">the </w:t>
      </w:r>
      <w:r w:rsidR="00A30C42" w:rsidRPr="00836794">
        <w:t>PIONEER 6</w:t>
      </w:r>
      <w:r w:rsidR="009F2AD7" w:rsidRPr="00836794">
        <w:t xml:space="preserve"> trial</w:t>
      </w:r>
      <w:r w:rsidR="00A30C42" w:rsidRPr="00836794">
        <w:t>) (</w:t>
      </w:r>
      <w:r w:rsidR="009F2AD7" w:rsidRPr="00836794">
        <w:t xml:space="preserve">see </w:t>
      </w:r>
      <w:r w:rsidR="00A30C42" w:rsidRPr="00836794">
        <w:fldChar w:fldCharType="begin"/>
      </w:r>
      <w:r w:rsidR="00A30C42" w:rsidRPr="00836794">
        <w:instrText xml:space="preserve"> REF _Ref85885534 \h </w:instrText>
      </w:r>
      <w:r w:rsidR="00612622" w:rsidRPr="00836794">
        <w:instrText xml:space="preserve"> \* MERGEFORMAT </w:instrText>
      </w:r>
      <w:r w:rsidR="00A30C42" w:rsidRPr="00836794">
        <w:fldChar w:fldCharType="separate"/>
      </w:r>
      <w:r w:rsidR="00E5082D" w:rsidRPr="0071231C">
        <w:t xml:space="preserve">Table </w:t>
      </w:r>
      <w:r w:rsidR="00E5082D">
        <w:t>12</w:t>
      </w:r>
      <w:r w:rsidR="00A30C42" w:rsidRPr="00836794">
        <w:fldChar w:fldCharType="end"/>
      </w:r>
      <w:r w:rsidR="009F2AD7" w:rsidRPr="00836794">
        <w:t xml:space="preserve"> below</w:t>
      </w:r>
      <w:r w:rsidR="00A30C42" w:rsidRPr="00836794">
        <w:t>). The dose range in the Phase</w:t>
      </w:r>
      <w:r w:rsidR="009F2AD7" w:rsidRPr="00836794">
        <w:t> </w:t>
      </w:r>
      <w:r w:rsidR="00DD79E3" w:rsidRPr="00836794">
        <w:t>III</w:t>
      </w:r>
      <w:r w:rsidR="00A30C42" w:rsidRPr="00836794">
        <w:t xml:space="preserve">a trials was 3 mg to 14 mg. In Phase </w:t>
      </w:r>
      <w:r w:rsidR="00DD79E3" w:rsidRPr="00836794">
        <w:t>III</w:t>
      </w:r>
      <w:r w:rsidR="00A30C42" w:rsidRPr="00836794">
        <w:t xml:space="preserve">a trials, 2.954 patients have been treated </w:t>
      </w:r>
      <w:r w:rsidR="00A30C42" w:rsidRPr="00836794">
        <w:lastRenderedPageBreak/>
        <w:t>for ≥</w:t>
      </w:r>
      <w:r w:rsidR="009F2AD7" w:rsidRPr="00836794">
        <w:t xml:space="preserve"> </w:t>
      </w:r>
      <w:r w:rsidR="00A30C42" w:rsidRPr="00836794">
        <w:t xml:space="preserve">12 months and in </w:t>
      </w:r>
      <w:r w:rsidR="0078534A" w:rsidRPr="00836794">
        <w:t>cardiovascular outcomes trial</w:t>
      </w:r>
      <w:r w:rsidR="00A30C42" w:rsidRPr="00836794">
        <w:t>, 1,385 patients have been treated for ≥</w:t>
      </w:r>
      <w:r w:rsidR="00D86D72">
        <w:t> </w:t>
      </w:r>
      <w:r w:rsidR="00A30C42" w:rsidRPr="00836794">
        <w:t>12 months.</w:t>
      </w:r>
    </w:p>
    <w:p w14:paraId="56862F6E" w14:textId="1BCFD007" w:rsidR="00A30C42" w:rsidRPr="0071231C" w:rsidRDefault="00A30C42" w:rsidP="00703318">
      <w:pPr>
        <w:pStyle w:val="TableTitle"/>
      </w:pPr>
      <w:bookmarkStart w:id="93" w:name="_Ref85885534"/>
      <w:r w:rsidRPr="0071231C">
        <w:t xml:space="preserve">Table </w:t>
      </w:r>
      <w:fldSimple w:instr=" SEQ Table \* ARABIC ">
        <w:r w:rsidR="00E5082D">
          <w:rPr>
            <w:noProof/>
          </w:rPr>
          <w:t>12</w:t>
        </w:r>
      </w:fldSimple>
      <w:bookmarkEnd w:id="93"/>
      <w:r w:rsidR="007E3098" w:rsidRPr="0071231C">
        <w:t xml:space="preserve">: </w:t>
      </w:r>
      <w:r w:rsidRPr="0071231C">
        <w:t>PIONEER trials</w:t>
      </w:r>
      <w:r w:rsidR="00497F34">
        <w:t xml:space="preserve"> (pivotal)</w:t>
      </w:r>
      <w:r w:rsidRPr="0071231C">
        <w:t xml:space="preserve"> and PIONEER 6</w:t>
      </w:r>
      <w:r w:rsidR="007E3098" w:rsidRPr="0071231C">
        <w:t xml:space="preserve"> trial</w:t>
      </w:r>
      <w:r w:rsidR="00B66743">
        <w:t xml:space="preserve"> </w:t>
      </w:r>
      <w:r w:rsidRPr="0071231C">
        <w:t>Total exposure to oral semaglutide</w:t>
      </w:r>
    </w:p>
    <w:p w14:paraId="3D754C11" w14:textId="224FFA82" w:rsidR="00AF66C8" w:rsidRPr="00AF66C8" w:rsidRDefault="00AF66C8" w:rsidP="00703318">
      <w:r>
        <w:rPr>
          <w:noProof/>
          <w:lang w:val="en-GB" w:eastAsia="en-GB"/>
        </w:rPr>
        <w:drawing>
          <wp:inline distT="0" distB="0" distL="0" distR="0" wp14:anchorId="714A22CB" wp14:editId="3D38AD75">
            <wp:extent cx="5312228" cy="2630170"/>
            <wp:effectExtent l="0" t="0" r="3175" b="0"/>
            <wp:docPr id="14" name="Picture 14" descr="Table 12: PIONEER trials (pivotal) and the PIONEER 6 trial Total exposure to oral sema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2: PIONEER trials (pivotal) and the PIONEER 6 trial Total exposure to oral semaglutide"/>
                    <pic:cNvPicPr/>
                  </pic:nvPicPr>
                  <pic:blipFill>
                    <a:blip r:embed="rId27"/>
                    <a:stretch>
                      <a:fillRect/>
                    </a:stretch>
                  </pic:blipFill>
                  <pic:spPr>
                    <a:xfrm>
                      <a:off x="0" y="0"/>
                      <a:ext cx="5313308" cy="2630705"/>
                    </a:xfrm>
                    <a:prstGeom prst="rect">
                      <a:avLst/>
                    </a:prstGeom>
                  </pic:spPr>
                </pic:pic>
              </a:graphicData>
            </a:graphic>
          </wp:inline>
        </w:drawing>
      </w:r>
    </w:p>
    <w:p w14:paraId="50C72F46" w14:textId="6047D0AE" w:rsidR="00D931AF" w:rsidRPr="00CA6636" w:rsidRDefault="00B66743" w:rsidP="00CA6636">
      <w:pPr>
        <w:pStyle w:val="TableDescription"/>
      </w:pPr>
      <w:r w:rsidRPr="00CA6636">
        <w:t xml:space="preserve">Abbreviations: </w:t>
      </w:r>
      <w:r w:rsidR="00D931AF" w:rsidRPr="00CA6636">
        <w:t>FAS = full analysis set; N = number of subjects; P = PIONEER trial; PYE = patient years of exposure; SAS = safety analysis set.</w:t>
      </w:r>
    </w:p>
    <w:p w14:paraId="064BA54A" w14:textId="61176305" w:rsidR="00685FBA" w:rsidRPr="00CA6636" w:rsidRDefault="00685FBA" w:rsidP="00CA6636">
      <w:pPr>
        <w:pStyle w:val="TableDescription"/>
      </w:pPr>
      <w:r w:rsidRPr="00CA6636">
        <w:t xml:space="preserve">Phase </w:t>
      </w:r>
      <w:r w:rsidR="00D931AF" w:rsidRPr="00CA6636">
        <w:t>III</w:t>
      </w:r>
      <w:r w:rsidRPr="00CA6636">
        <w:t xml:space="preserve">a pool: </w:t>
      </w:r>
      <w:r w:rsidR="00D931AF" w:rsidRPr="00CA6636">
        <w:t xml:space="preserve">the </w:t>
      </w:r>
      <w:r w:rsidRPr="00CA6636">
        <w:t>PIONEER 1</w:t>
      </w:r>
      <w:r w:rsidR="00D931AF" w:rsidRPr="00CA6636">
        <w:t xml:space="preserve"> to </w:t>
      </w:r>
      <w:r w:rsidRPr="00CA6636">
        <w:t>5 and 7</w:t>
      </w:r>
      <w:r w:rsidR="00D931AF" w:rsidRPr="00CA6636">
        <w:t xml:space="preserve"> to </w:t>
      </w:r>
      <w:r w:rsidRPr="00CA6636">
        <w:t xml:space="preserve">10. Placebo pool: </w:t>
      </w:r>
      <w:r w:rsidR="00D931AF" w:rsidRPr="00CA6636">
        <w:t xml:space="preserve">the </w:t>
      </w:r>
      <w:r w:rsidRPr="00CA6636">
        <w:t>PIONEER 1, 4, 5 and 8</w:t>
      </w:r>
      <w:r w:rsidR="00D931AF" w:rsidRPr="00CA6636">
        <w:t xml:space="preserve"> trials</w:t>
      </w:r>
      <w:r w:rsidRPr="00CA6636">
        <w:t>.</w:t>
      </w:r>
    </w:p>
    <w:p w14:paraId="61D47991" w14:textId="3264E7D6" w:rsidR="00D931AF" w:rsidRPr="00CA6636" w:rsidRDefault="00685FBA" w:rsidP="00CA6636">
      <w:pPr>
        <w:pStyle w:val="TableDescription"/>
      </w:pPr>
      <w:r w:rsidRPr="00CA6636">
        <w:t xml:space="preserve">Placebo dose pool: </w:t>
      </w:r>
      <w:r w:rsidR="00D931AF" w:rsidRPr="00CA6636">
        <w:t xml:space="preserve">the </w:t>
      </w:r>
      <w:r w:rsidRPr="00CA6636">
        <w:t>PIONEER 1 and 8</w:t>
      </w:r>
      <w:r w:rsidR="00D931AF" w:rsidRPr="00CA6636">
        <w:t xml:space="preserve"> trials</w:t>
      </w:r>
      <w:r w:rsidRPr="00CA6636">
        <w:t xml:space="preserve">. 'Oral </w:t>
      </w:r>
      <w:proofErr w:type="spellStart"/>
      <w:r w:rsidRPr="00CA6636">
        <w:t>sema</w:t>
      </w:r>
      <w:proofErr w:type="spellEnd"/>
      <w:r w:rsidRPr="00CA6636">
        <w:t>': data from all three oral semaglutide doses (3,</w:t>
      </w:r>
      <w:r w:rsidR="00B66743" w:rsidRPr="00CA6636">
        <w:t> </w:t>
      </w:r>
      <w:r w:rsidRPr="00CA6636">
        <w:t>7 and 14 mg).</w:t>
      </w:r>
    </w:p>
    <w:p w14:paraId="4FC6ACEE" w14:textId="0E0D13DD" w:rsidR="00685FBA" w:rsidRPr="00CA6636" w:rsidRDefault="00685FBA" w:rsidP="00CA6636">
      <w:pPr>
        <w:pStyle w:val="TableDescription"/>
      </w:pPr>
      <w:proofErr w:type="spellStart"/>
      <w:r w:rsidRPr="00CA6636">
        <w:t>a</w:t>
      </w:r>
      <w:proofErr w:type="spellEnd"/>
      <w:r w:rsidRPr="00CA6636">
        <w:t xml:space="preserve"> In </w:t>
      </w:r>
      <w:r w:rsidR="00D931AF" w:rsidRPr="00CA6636">
        <w:t xml:space="preserve">the </w:t>
      </w:r>
      <w:r w:rsidRPr="00CA6636">
        <w:t>PIONEER 1</w:t>
      </w:r>
      <w:r w:rsidR="00D931AF" w:rsidRPr="00CA6636">
        <w:t xml:space="preserve"> to </w:t>
      </w:r>
      <w:r w:rsidRPr="00CA6636">
        <w:t>5 and 8</w:t>
      </w:r>
      <w:r w:rsidR="00D931AF" w:rsidRPr="00CA6636">
        <w:t xml:space="preserve"> to </w:t>
      </w:r>
      <w:r w:rsidRPr="00CA6636">
        <w:t>10</w:t>
      </w:r>
      <w:r w:rsidR="00D931AF" w:rsidRPr="00CA6636">
        <w:t xml:space="preserve"> trials</w:t>
      </w:r>
      <w:r w:rsidRPr="00CA6636">
        <w:t xml:space="preserve"> this column is the pooled oral semaglutide data across the doses used in the individual trials. In </w:t>
      </w:r>
      <w:r w:rsidR="00D931AF" w:rsidRPr="00CA6636">
        <w:t xml:space="preserve">the </w:t>
      </w:r>
      <w:r w:rsidRPr="00CA6636">
        <w:t>PIONEER 7 and 6</w:t>
      </w:r>
      <w:r w:rsidR="00D931AF" w:rsidRPr="00CA6636">
        <w:t xml:space="preserve"> trials</w:t>
      </w:r>
      <w:r w:rsidRPr="00CA6636">
        <w:t xml:space="preserve">, subjects were allowed to delay dose escalation of oral semaglutide to 14 mg and to decrease the dose if experiencing unacceptable </w:t>
      </w:r>
      <w:r w:rsidR="00D931AF" w:rsidRPr="00CA6636">
        <w:t>adverse events</w:t>
      </w:r>
      <w:r w:rsidRPr="00CA6636">
        <w:t>.</w:t>
      </w:r>
    </w:p>
    <w:p w14:paraId="3A8A264A" w14:textId="3C89EC15" w:rsidR="00D931AF" w:rsidRPr="00CA6636" w:rsidRDefault="00D931AF" w:rsidP="00CA6636">
      <w:pPr>
        <w:pStyle w:val="TableDescription"/>
      </w:pPr>
      <w:r w:rsidRPr="00CA6636">
        <w:t>One</w:t>
      </w:r>
      <w:r w:rsidR="00685FBA" w:rsidRPr="00CA6636">
        <w:t xml:space="preserve"> subject in the placebo group of </w:t>
      </w:r>
      <w:r w:rsidRPr="00CA6636">
        <w:t xml:space="preserve">the </w:t>
      </w:r>
      <w:r w:rsidR="00685FBA" w:rsidRPr="00CA6636">
        <w:t>PIONEER 6</w:t>
      </w:r>
      <w:r w:rsidRPr="00CA6636">
        <w:t xml:space="preserve"> trial</w:t>
      </w:r>
      <w:r w:rsidR="00685FBA" w:rsidRPr="00CA6636">
        <w:t xml:space="preserve"> was not exposed to trial product.</w:t>
      </w:r>
    </w:p>
    <w:p w14:paraId="02741DC0" w14:textId="16CB2A91" w:rsidR="00685FBA" w:rsidRPr="00CA6636" w:rsidRDefault="00D931AF" w:rsidP="00CA6636">
      <w:pPr>
        <w:pStyle w:val="TableDescription"/>
      </w:pPr>
      <w:r w:rsidRPr="00CA6636">
        <w:t xml:space="preserve">b </w:t>
      </w:r>
      <w:r w:rsidR="00685FBA" w:rsidRPr="00CA6636">
        <w:t xml:space="preserve">'Comparator' for the </w:t>
      </w:r>
      <w:r w:rsidRPr="00CA6636">
        <w:t>P</w:t>
      </w:r>
      <w:r w:rsidR="00685FBA" w:rsidRPr="00CA6636">
        <w:t xml:space="preserve">hase </w:t>
      </w:r>
      <w:r w:rsidRPr="00CA6636">
        <w:t>III</w:t>
      </w:r>
      <w:r w:rsidR="00685FBA" w:rsidRPr="00CA6636">
        <w:t>a pool: sitagliptin, empagliflozin, liraglutide and placebo; ‘</w:t>
      </w:r>
      <w:r w:rsidRPr="00CA6636">
        <w:t>c</w:t>
      </w:r>
      <w:r w:rsidR="00685FBA" w:rsidRPr="00CA6636">
        <w:t>omparator’ for the individual trials only includes the active comparator.</w:t>
      </w:r>
    </w:p>
    <w:p w14:paraId="60A79055" w14:textId="77777777" w:rsidR="00A30C42" w:rsidRPr="00836794" w:rsidRDefault="00A30C42" w:rsidP="004B6AD2">
      <w:pPr>
        <w:pStyle w:val="Heading6"/>
      </w:pPr>
      <w:r w:rsidRPr="00836794">
        <w:t>Adverse event overview</w:t>
      </w:r>
    </w:p>
    <w:p w14:paraId="1758F94E" w14:textId="0616D93E" w:rsidR="00A30C42" w:rsidRPr="00836794" w:rsidRDefault="00B66743" w:rsidP="00612622">
      <w:r>
        <w:t>There were</w:t>
      </w:r>
      <w:r w:rsidR="00A85DC4" w:rsidRPr="00836794">
        <w:t xml:space="preserve"> </w:t>
      </w:r>
      <w:r w:rsidR="00A30C42" w:rsidRPr="00836794">
        <w:t xml:space="preserve">302.2 events per 100 </w:t>
      </w:r>
      <w:r w:rsidR="009F2AD7" w:rsidRPr="00836794">
        <w:t xml:space="preserve">patient years of exposure </w:t>
      </w:r>
      <w:r w:rsidR="00A30C42" w:rsidRPr="00836794">
        <w:t>occurred with oral semaglutide v</w:t>
      </w:r>
      <w:r w:rsidR="00DD79E3" w:rsidRPr="00836794">
        <w:t>ersus</w:t>
      </w:r>
      <w:r w:rsidR="00A30C42" w:rsidRPr="00836794">
        <w:t xml:space="preserve"> 259.0 events per 100 </w:t>
      </w:r>
      <w:r w:rsidR="009F2AD7" w:rsidRPr="00836794">
        <w:t xml:space="preserve">patient years of exposure </w:t>
      </w:r>
      <w:r w:rsidR="00A30C42" w:rsidRPr="00836794">
        <w:t>with comparators (</w:t>
      </w:r>
      <w:r w:rsidR="00DD79E3" w:rsidRPr="00836794">
        <w:t>Phase</w:t>
      </w:r>
      <w:r w:rsidR="00A30C42" w:rsidRPr="00836794">
        <w:t xml:space="preserve"> </w:t>
      </w:r>
      <w:r w:rsidR="00DD79E3" w:rsidRPr="00836794">
        <w:t>III</w:t>
      </w:r>
      <w:r w:rsidR="00A30C42" w:rsidRPr="00836794">
        <w:t xml:space="preserve">a pool). This was mainly driven by a greater occurrence of </w:t>
      </w:r>
      <w:r w:rsidR="00331152" w:rsidRPr="00836794">
        <w:t>gastrointestinal</w:t>
      </w:r>
      <w:r w:rsidR="00A30C42" w:rsidRPr="00836794">
        <w:t xml:space="preserve"> </w:t>
      </w:r>
      <w:r>
        <w:t>adverse events (</w:t>
      </w:r>
      <w:r w:rsidR="00A30C42" w:rsidRPr="00836794">
        <w:t>AEs</w:t>
      </w:r>
      <w:r>
        <w:t>)</w:t>
      </w:r>
      <w:r w:rsidR="00A30C42" w:rsidRPr="00836794">
        <w:t xml:space="preserve"> with oral semaglutide which also led to premature trial product discontinuations.</w:t>
      </w:r>
    </w:p>
    <w:p w14:paraId="4B60D271" w14:textId="758BCD4A" w:rsidR="00A30C42" w:rsidRPr="00836794" w:rsidRDefault="00A30C42" w:rsidP="00612622">
      <w:r w:rsidRPr="00836794">
        <w:t xml:space="preserve">The most common </w:t>
      </w:r>
      <w:r w:rsidR="00A85DC4" w:rsidRPr="00836794">
        <w:t>treatment</w:t>
      </w:r>
      <w:r w:rsidR="00B66743">
        <w:t>-</w:t>
      </w:r>
      <w:r w:rsidR="00A85DC4" w:rsidRPr="00836794">
        <w:t>emergent adverse events (</w:t>
      </w:r>
      <w:r w:rsidRPr="00836794">
        <w:t>TEAEs</w:t>
      </w:r>
      <w:r w:rsidR="00A85DC4" w:rsidRPr="00836794">
        <w:t>)</w:t>
      </w:r>
      <w:r w:rsidRPr="00836794">
        <w:t xml:space="preserve"> were primarily gastrointestinal: nausea, vomiting, diarrhoea, </w:t>
      </w:r>
      <w:proofErr w:type="gramStart"/>
      <w:r w:rsidRPr="00836794">
        <w:t>constipation</w:t>
      </w:r>
      <w:proofErr w:type="gramEnd"/>
      <w:r w:rsidRPr="00836794">
        <w:t xml:space="preserve"> and anorexia (</w:t>
      </w:r>
      <w:r w:rsidR="009F2AD7" w:rsidRPr="00836794">
        <w:t xml:space="preserve">see </w:t>
      </w:r>
      <w:r w:rsidR="00B66743">
        <w:fldChar w:fldCharType="begin"/>
      </w:r>
      <w:r w:rsidR="00B66743">
        <w:instrText xml:space="preserve"> REF _Ref106826743 \h </w:instrText>
      </w:r>
      <w:r w:rsidR="00B66743">
        <w:fldChar w:fldCharType="separate"/>
      </w:r>
      <w:r w:rsidR="00E5082D" w:rsidRPr="00CA6636">
        <w:t xml:space="preserve">Figure </w:t>
      </w:r>
      <w:r w:rsidR="00E5082D">
        <w:rPr>
          <w:noProof/>
        </w:rPr>
        <w:t>1</w:t>
      </w:r>
      <w:r w:rsidR="00B66743">
        <w:fldChar w:fldCharType="end"/>
      </w:r>
      <w:r w:rsidR="00B66743">
        <w:t xml:space="preserve"> </w:t>
      </w:r>
      <w:r w:rsidR="009F2AD7" w:rsidRPr="00836794">
        <w:t>below</w:t>
      </w:r>
      <w:r w:rsidRPr="00836794">
        <w:t>).</w:t>
      </w:r>
    </w:p>
    <w:p w14:paraId="5C76203A" w14:textId="5B6BF147" w:rsidR="00A30C42" w:rsidRPr="00CA6636" w:rsidRDefault="008027CC" w:rsidP="00CA6636">
      <w:pPr>
        <w:pStyle w:val="FigureTitle"/>
      </w:pPr>
      <w:bookmarkStart w:id="94" w:name="_Ref106826743"/>
      <w:r w:rsidRPr="00CA6636">
        <w:lastRenderedPageBreak/>
        <w:t xml:space="preserve">Figure </w:t>
      </w:r>
      <w:fldSimple w:instr=" SEQ Figure \* ARABIC ">
        <w:r w:rsidR="00E5082D">
          <w:rPr>
            <w:noProof/>
          </w:rPr>
          <w:t>1</w:t>
        </w:r>
      </w:fldSimple>
      <w:bookmarkEnd w:id="94"/>
      <w:r w:rsidR="007E3098" w:rsidRPr="00CA6636">
        <w:t xml:space="preserve">: </w:t>
      </w:r>
      <w:r w:rsidR="00A30C42" w:rsidRPr="00CA6636">
        <w:t>PIONEER trials</w:t>
      </w:r>
      <w:r w:rsidR="00B66743" w:rsidRPr="00CA6636">
        <w:t xml:space="preserve"> (pivotal)</w:t>
      </w:r>
      <w:r w:rsidR="00A30C42" w:rsidRPr="00CA6636">
        <w:t xml:space="preserve"> </w:t>
      </w:r>
      <w:r w:rsidR="007E3098" w:rsidRPr="00CA6636">
        <w:t xml:space="preserve">Adverse events </w:t>
      </w:r>
      <w:r w:rsidR="00A30C42" w:rsidRPr="00CA6636">
        <w:t>in ≥</w:t>
      </w:r>
      <w:r w:rsidR="007E3098" w:rsidRPr="00CA6636">
        <w:t xml:space="preserve"> </w:t>
      </w:r>
      <w:r w:rsidR="00A30C42" w:rsidRPr="00CA6636">
        <w:t>5% of subjects</w:t>
      </w:r>
      <w:r w:rsidR="007E3098" w:rsidRPr="00CA6636">
        <w:t xml:space="preserve"> (pooled data)</w:t>
      </w:r>
    </w:p>
    <w:p w14:paraId="7F05A6D3" w14:textId="305B3550" w:rsidR="00685FBA" w:rsidRPr="00836794" w:rsidRDefault="00685FBA" w:rsidP="00CA6636">
      <w:r>
        <w:rPr>
          <w:noProof/>
          <w:lang w:val="en-GB" w:eastAsia="en-GB"/>
        </w:rPr>
        <w:drawing>
          <wp:inline distT="0" distB="0" distL="0" distR="0" wp14:anchorId="36191D72" wp14:editId="5912A7B3">
            <wp:extent cx="5339443" cy="2540000"/>
            <wp:effectExtent l="0" t="0" r="0" b="0"/>
            <wp:docPr id="1" name="Picture 1" descr="Figure 1: PIONEER trials (pivotal) Adverse events in ≥ 5% of subjects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PIONEER trials (pivotal) Adverse events in ≥ 5% of subjects (pooled data)"/>
                    <pic:cNvPicPr/>
                  </pic:nvPicPr>
                  <pic:blipFill>
                    <a:blip r:embed="rId28"/>
                    <a:stretch>
                      <a:fillRect/>
                    </a:stretch>
                  </pic:blipFill>
                  <pic:spPr>
                    <a:xfrm>
                      <a:off x="0" y="0"/>
                      <a:ext cx="5340798" cy="2540645"/>
                    </a:xfrm>
                    <a:prstGeom prst="rect">
                      <a:avLst/>
                    </a:prstGeom>
                  </pic:spPr>
                </pic:pic>
              </a:graphicData>
            </a:graphic>
          </wp:inline>
        </w:drawing>
      </w:r>
    </w:p>
    <w:p w14:paraId="73E1A770" w14:textId="699CA34B" w:rsidR="00D931AF" w:rsidRPr="00CA6636" w:rsidRDefault="00B66743" w:rsidP="00CA6636">
      <w:pPr>
        <w:pStyle w:val="FigureDescription"/>
      </w:pPr>
      <w:r w:rsidRPr="00CA6636">
        <w:t xml:space="preserve">Abbreviations: </w:t>
      </w:r>
      <w:r w:rsidR="00D931AF" w:rsidRPr="00CA6636">
        <w:t>Adj. = the % is the Cochran-Mantel-Haenszel adjusted proportion of subjects with at least one event; CI = confidence interval; N = number of subjects.</w:t>
      </w:r>
    </w:p>
    <w:p w14:paraId="42260521" w14:textId="1FE2F963" w:rsidR="00685FBA" w:rsidRPr="00CA6636" w:rsidRDefault="00685FBA" w:rsidP="00CA6636">
      <w:pPr>
        <w:pStyle w:val="FigureDescription"/>
      </w:pPr>
      <w:r w:rsidRPr="00CA6636">
        <w:t>Phase IIIa pool: the PIONEER 1</w:t>
      </w:r>
      <w:r w:rsidR="00D931AF" w:rsidRPr="00CA6636">
        <w:t xml:space="preserve"> to </w:t>
      </w:r>
      <w:r w:rsidRPr="00CA6636">
        <w:t>5 and 7</w:t>
      </w:r>
      <w:r w:rsidR="00D931AF" w:rsidRPr="00CA6636">
        <w:t xml:space="preserve"> to </w:t>
      </w:r>
      <w:r w:rsidRPr="00CA6636">
        <w:t>10 trials.</w:t>
      </w:r>
    </w:p>
    <w:p w14:paraId="4A441B87" w14:textId="440D3623" w:rsidR="00685FBA" w:rsidRPr="00CA6636" w:rsidRDefault="00685FBA" w:rsidP="00CA6636">
      <w:pPr>
        <w:pStyle w:val="FigureDescription"/>
      </w:pPr>
      <w:r w:rsidRPr="00CA6636">
        <w:t xml:space="preserve">‘Oral </w:t>
      </w:r>
      <w:proofErr w:type="spellStart"/>
      <w:r w:rsidRPr="00CA6636">
        <w:t>Sema</w:t>
      </w:r>
      <w:proofErr w:type="spellEnd"/>
      <w:r w:rsidRPr="00CA6636">
        <w:t>’ data from all three oral semaglutide doses (3, 7 and 14 mg). ‘Comparator’: sitagliptin, empagliflozin, liraglutide, dulaglutide and placebo.</w:t>
      </w:r>
    </w:p>
    <w:p w14:paraId="49E2AE50" w14:textId="20FD971D" w:rsidR="00685FBA" w:rsidRPr="00CA6636" w:rsidRDefault="00685FBA" w:rsidP="00CA6636">
      <w:pPr>
        <w:pStyle w:val="FigureDescription"/>
      </w:pPr>
      <w:r w:rsidRPr="00CA6636">
        <w:t>Sorted in descending order by Preferred Term based on the proportion of subjects with at least one event in the oral semaglutide group.</w:t>
      </w:r>
    </w:p>
    <w:p w14:paraId="538D566D" w14:textId="77FF3973" w:rsidR="00A30C42" w:rsidRPr="00836794" w:rsidRDefault="00A30C42" w:rsidP="00612622">
      <w:r w:rsidRPr="00836794">
        <w:t xml:space="preserve">Less common AEs that were reported more frequently with oral semaglutide than comparator (by 0.1 to 1% of subjects) were mostly known GLP-1 </w:t>
      </w:r>
      <w:r w:rsidR="00672D1A" w:rsidRPr="00836794">
        <w:t>receptor agonist</w:t>
      </w:r>
      <w:r w:rsidRPr="00836794">
        <w:t xml:space="preserve"> class side effects (</w:t>
      </w:r>
      <w:r w:rsidR="00672D1A" w:rsidRPr="00836794">
        <w:t xml:space="preserve">see </w:t>
      </w:r>
      <w:r w:rsidRPr="00836794">
        <w:fldChar w:fldCharType="begin"/>
      </w:r>
      <w:r w:rsidRPr="00836794">
        <w:instrText xml:space="preserve"> REF _Ref86330684 \h </w:instrText>
      </w:r>
      <w:r w:rsidR="00612622" w:rsidRPr="00836794">
        <w:instrText xml:space="preserve"> \* MERGEFORMAT </w:instrText>
      </w:r>
      <w:r w:rsidRPr="00836794">
        <w:fldChar w:fldCharType="separate"/>
      </w:r>
      <w:r w:rsidR="00E5082D" w:rsidRPr="00CA6636">
        <w:t xml:space="preserve">Table </w:t>
      </w:r>
      <w:r w:rsidR="00E5082D">
        <w:t>13</w:t>
      </w:r>
      <w:r w:rsidRPr="00836794">
        <w:fldChar w:fldCharType="end"/>
      </w:r>
      <w:r w:rsidR="00672D1A" w:rsidRPr="00836794">
        <w:t xml:space="preserve"> below</w:t>
      </w:r>
      <w:r w:rsidRPr="00836794">
        <w:t>).</w:t>
      </w:r>
    </w:p>
    <w:p w14:paraId="70397E25" w14:textId="7406F058" w:rsidR="00A30C42" w:rsidRPr="00CA6636" w:rsidRDefault="00A30C42" w:rsidP="00CA6636">
      <w:pPr>
        <w:pStyle w:val="TableTitle"/>
      </w:pPr>
      <w:bookmarkStart w:id="95" w:name="_Ref86330684"/>
      <w:r w:rsidRPr="00CA6636">
        <w:t xml:space="preserve">Table </w:t>
      </w:r>
      <w:fldSimple w:instr=" SEQ Table \* ARABIC ">
        <w:r w:rsidR="00E5082D">
          <w:rPr>
            <w:noProof/>
          </w:rPr>
          <w:t>13</w:t>
        </w:r>
      </w:fldSimple>
      <w:bookmarkEnd w:id="95"/>
      <w:r w:rsidR="007E3098" w:rsidRPr="00CA6636">
        <w:t xml:space="preserve">: </w:t>
      </w:r>
      <w:r w:rsidRPr="00CA6636">
        <w:t>PIONEER trials</w:t>
      </w:r>
      <w:r w:rsidR="00B66743" w:rsidRPr="00CA6636">
        <w:t xml:space="preserve"> (pivotal)</w:t>
      </w:r>
      <w:r w:rsidRPr="00CA6636">
        <w:t xml:space="preserve"> </w:t>
      </w:r>
      <w:r w:rsidR="007E3098" w:rsidRPr="00CA6636">
        <w:t>Adverse events</w:t>
      </w:r>
      <w:r w:rsidRPr="00CA6636">
        <w:t xml:space="preserve"> reported by 1% to 5% of subjects</w:t>
      </w:r>
      <w:r w:rsidR="007E3098" w:rsidRPr="00CA6636">
        <w:t xml:space="preserve"> (pooled data)</w:t>
      </w:r>
    </w:p>
    <w:tbl>
      <w:tblPr>
        <w:tblStyle w:val="TableTGAblue"/>
        <w:tblW w:w="0" w:type="auto"/>
        <w:tblLook w:val="04A0" w:firstRow="1" w:lastRow="0" w:firstColumn="1" w:lastColumn="0" w:noHBand="0" w:noVBand="1"/>
      </w:tblPr>
      <w:tblGrid>
        <w:gridCol w:w="4386"/>
        <w:gridCol w:w="3968"/>
      </w:tblGrid>
      <w:tr w:rsidR="00A30C42" w:rsidRPr="002E07F8" w14:paraId="37989BE0" w14:textId="77777777" w:rsidTr="007E3098">
        <w:trPr>
          <w:cnfStyle w:val="100000000000" w:firstRow="1" w:lastRow="0" w:firstColumn="0" w:lastColumn="0" w:oddVBand="0" w:evenVBand="0" w:oddHBand="0" w:evenHBand="0" w:firstRowFirstColumn="0" w:firstRowLastColumn="0" w:lastRowFirstColumn="0" w:lastRowLastColumn="0"/>
        </w:trPr>
        <w:tc>
          <w:tcPr>
            <w:tcW w:w="4386" w:type="dxa"/>
          </w:tcPr>
          <w:p w14:paraId="1E42E2F3" w14:textId="77777777" w:rsidR="00CA6636" w:rsidRPr="00CA6636" w:rsidRDefault="00A30C42" w:rsidP="00CA6636">
            <w:pPr>
              <w:pStyle w:val="Tabletext"/>
            </w:pPr>
            <w:r w:rsidRPr="00CA6636">
              <w:t xml:space="preserve">Oral semaglutide </w:t>
            </w:r>
            <w:r w:rsidR="00CA6636" w:rsidRPr="00CA6636">
              <w:t>vs</w:t>
            </w:r>
            <w:r w:rsidRPr="00CA6636">
              <w:t xml:space="preserve"> comparator</w:t>
            </w:r>
          </w:p>
          <w:p w14:paraId="68A93684" w14:textId="30FE139B" w:rsidR="00A30C42" w:rsidRPr="00CA6636" w:rsidRDefault="00A30C42" w:rsidP="00CA6636">
            <w:pPr>
              <w:pStyle w:val="Tabletext"/>
            </w:pPr>
            <w:r w:rsidRPr="00CA6636">
              <w:t>(&gt;</w:t>
            </w:r>
            <w:r w:rsidR="00D931AF" w:rsidRPr="00CA6636">
              <w:t> </w:t>
            </w:r>
            <w:r w:rsidRPr="00CA6636">
              <w:t>0.5% difference)</w:t>
            </w:r>
          </w:p>
        </w:tc>
        <w:tc>
          <w:tcPr>
            <w:tcW w:w="3968" w:type="dxa"/>
          </w:tcPr>
          <w:p w14:paraId="60BAA1D9" w14:textId="77777777" w:rsidR="00CA6636" w:rsidRPr="00CA6636" w:rsidRDefault="00A30C42" w:rsidP="00CA6636">
            <w:pPr>
              <w:pStyle w:val="Tabletext"/>
            </w:pPr>
            <w:r w:rsidRPr="00CA6636">
              <w:t xml:space="preserve">Oral semaglutide </w:t>
            </w:r>
            <w:r w:rsidR="00CA6636" w:rsidRPr="00CA6636">
              <w:t>vs</w:t>
            </w:r>
            <w:r w:rsidRPr="00CA6636">
              <w:t xml:space="preserve"> placebo</w:t>
            </w:r>
          </w:p>
          <w:p w14:paraId="3E9D6781" w14:textId="08593107" w:rsidR="00A30C42" w:rsidRPr="00CA6636" w:rsidRDefault="00A30C42" w:rsidP="00CA6636">
            <w:pPr>
              <w:pStyle w:val="Tabletext"/>
            </w:pPr>
            <w:r w:rsidRPr="00CA6636">
              <w:t>(&gt;</w:t>
            </w:r>
            <w:r w:rsidR="00D931AF" w:rsidRPr="00CA6636">
              <w:t> </w:t>
            </w:r>
            <w:r w:rsidRPr="00CA6636">
              <w:t>0.5% difference)</w:t>
            </w:r>
          </w:p>
        </w:tc>
      </w:tr>
      <w:tr w:rsidR="00A30C42" w:rsidRPr="00836794" w14:paraId="792F3BA3" w14:textId="77777777" w:rsidTr="007E3098">
        <w:trPr>
          <w:trHeight w:val="2194"/>
        </w:trPr>
        <w:tc>
          <w:tcPr>
            <w:tcW w:w="4386" w:type="dxa"/>
          </w:tcPr>
          <w:p w14:paraId="74A0BC4F" w14:textId="77777777" w:rsidR="00A30C42" w:rsidRPr="00CA6636" w:rsidRDefault="00A30C42" w:rsidP="00CA6636">
            <w:pPr>
              <w:pStyle w:val="Tabletext"/>
            </w:pPr>
            <w:r w:rsidRPr="00CA6636">
              <w:t>Dyspepsia: 4.0% vs 1.6%</w:t>
            </w:r>
          </w:p>
          <w:p w14:paraId="55651E08" w14:textId="77777777" w:rsidR="00A30C42" w:rsidRPr="00CA6636" w:rsidRDefault="00A30C42" w:rsidP="00CA6636">
            <w:pPr>
              <w:pStyle w:val="Tabletext"/>
            </w:pPr>
            <w:r w:rsidRPr="00CA6636">
              <w:t>Abdominal pain: 3.3% vs 1.8%</w:t>
            </w:r>
          </w:p>
          <w:p w14:paraId="233DF226" w14:textId="77777777" w:rsidR="00A30C42" w:rsidRPr="00CA6636" w:rsidRDefault="00A30C42" w:rsidP="00CA6636">
            <w:pPr>
              <w:pStyle w:val="Tabletext"/>
            </w:pPr>
            <w:r w:rsidRPr="00CA6636">
              <w:t>Abdominal pain upper: 3.3% vs 1.8%</w:t>
            </w:r>
          </w:p>
          <w:p w14:paraId="1A7F5C19" w14:textId="77777777" w:rsidR="00A30C42" w:rsidRPr="00CA6636" w:rsidRDefault="00A30C42" w:rsidP="00CA6636">
            <w:pPr>
              <w:pStyle w:val="Tabletext"/>
            </w:pPr>
            <w:r w:rsidRPr="00CA6636">
              <w:t>Abdominal discomfort: 2.7% vs 1.4%</w:t>
            </w:r>
          </w:p>
          <w:p w14:paraId="22FCD8B7" w14:textId="77777777" w:rsidR="00A30C42" w:rsidRPr="00CA6636" w:rsidRDefault="00A30C42" w:rsidP="00CA6636">
            <w:pPr>
              <w:pStyle w:val="Tabletext"/>
            </w:pPr>
            <w:r w:rsidRPr="00CA6636">
              <w:t>Gastro-oesophageal reflux disease: 2.6% vs 0.8%</w:t>
            </w:r>
          </w:p>
          <w:p w14:paraId="5912AFB5" w14:textId="77777777" w:rsidR="00A30C42" w:rsidRPr="00CA6636" w:rsidRDefault="00A30C42" w:rsidP="00CA6636">
            <w:pPr>
              <w:pStyle w:val="Tabletext"/>
            </w:pPr>
            <w:r w:rsidRPr="00CA6636">
              <w:t>Gastroenteritis: 2.1% vs 1.0%</w:t>
            </w:r>
          </w:p>
          <w:p w14:paraId="3CEB9AAE" w14:textId="77777777" w:rsidR="00A30C42" w:rsidRPr="00CA6636" w:rsidRDefault="00A30C42" w:rsidP="00CA6636">
            <w:pPr>
              <w:pStyle w:val="Tabletext"/>
            </w:pPr>
            <w:r w:rsidRPr="00CA6636">
              <w:t>Abdominal distension: 1.9% vs 1.3%</w:t>
            </w:r>
          </w:p>
          <w:p w14:paraId="6AAFEBA9" w14:textId="2746ADC5" w:rsidR="00A30C42" w:rsidRPr="00CA6636" w:rsidRDefault="00A30C42" w:rsidP="00CA6636">
            <w:pPr>
              <w:pStyle w:val="Tabletext"/>
            </w:pPr>
            <w:r w:rsidRPr="00CA6636">
              <w:t>Flatulence: 1.3% vs 0.7%</w:t>
            </w:r>
          </w:p>
        </w:tc>
        <w:tc>
          <w:tcPr>
            <w:tcW w:w="3968" w:type="dxa"/>
          </w:tcPr>
          <w:p w14:paraId="79F0A0B0" w14:textId="77777777" w:rsidR="00A30C42" w:rsidRPr="00CA6636" w:rsidRDefault="00A30C42" w:rsidP="00CA6636">
            <w:pPr>
              <w:pStyle w:val="Tabletext"/>
            </w:pPr>
            <w:r w:rsidRPr="00CA6636">
              <w:t>Lipase increased: 2.5% vs 0.6%</w:t>
            </w:r>
          </w:p>
          <w:p w14:paraId="1F51682A" w14:textId="77777777" w:rsidR="00A30C42" w:rsidRPr="00CA6636" w:rsidRDefault="00A30C42" w:rsidP="00CA6636">
            <w:pPr>
              <w:pStyle w:val="Tabletext"/>
            </w:pPr>
            <w:r w:rsidRPr="00CA6636">
              <w:t>Asthenia:1.7% vs 0 subjects</w:t>
            </w:r>
          </w:p>
          <w:p w14:paraId="1115E036" w14:textId="77777777" w:rsidR="00A30C42" w:rsidRPr="00CA6636" w:rsidRDefault="00A30C42" w:rsidP="00CA6636">
            <w:pPr>
              <w:pStyle w:val="Tabletext"/>
            </w:pPr>
            <w:r w:rsidRPr="00CA6636">
              <w:t>Fatigue: 1.4% vs 0.5%</w:t>
            </w:r>
          </w:p>
          <w:p w14:paraId="0F474000" w14:textId="77777777" w:rsidR="00A30C42" w:rsidRPr="00CA6636" w:rsidRDefault="00A30C42" w:rsidP="00CA6636">
            <w:pPr>
              <w:pStyle w:val="Tabletext"/>
            </w:pPr>
            <w:r w:rsidRPr="00CA6636">
              <w:t>Blood creatinine phosphokinase increased: 1.3% vs 0.6%</w:t>
            </w:r>
          </w:p>
          <w:p w14:paraId="3B6F054F" w14:textId="77777777" w:rsidR="00A30C42" w:rsidRPr="00CA6636" w:rsidRDefault="00A30C42" w:rsidP="00CA6636">
            <w:pPr>
              <w:pStyle w:val="Tabletext"/>
            </w:pPr>
            <w:r w:rsidRPr="00CA6636">
              <w:t>Fall: 1.3% vs 0.7%</w:t>
            </w:r>
          </w:p>
          <w:p w14:paraId="2D2B8237" w14:textId="77777777" w:rsidR="00A30C42" w:rsidRPr="00CA6636" w:rsidRDefault="00A30C42" w:rsidP="00CA6636">
            <w:pPr>
              <w:pStyle w:val="Tabletext"/>
            </w:pPr>
            <w:r w:rsidRPr="00CA6636">
              <w:t>Eructation: 1.2% vs 0 subjects</w:t>
            </w:r>
          </w:p>
        </w:tc>
      </w:tr>
    </w:tbl>
    <w:p w14:paraId="43774EEA" w14:textId="2D9261E3" w:rsidR="00D931AF" w:rsidRPr="00CA6636" w:rsidRDefault="00CA6636" w:rsidP="00CA6636">
      <w:pPr>
        <w:pStyle w:val="TableDescription"/>
      </w:pPr>
      <w:r w:rsidRPr="00CA6636">
        <w:t xml:space="preserve">Abbreviation: </w:t>
      </w:r>
      <w:r w:rsidR="00D931AF" w:rsidRPr="00CA6636">
        <w:t>vs = versus.</w:t>
      </w:r>
    </w:p>
    <w:p w14:paraId="240FDD3E" w14:textId="3B9AFA0B" w:rsidR="00A30C42" w:rsidRPr="00836794" w:rsidRDefault="00A30C42" w:rsidP="004B6AD2">
      <w:pPr>
        <w:pStyle w:val="Heading6"/>
      </w:pPr>
      <w:r w:rsidRPr="00836794">
        <w:t>Timing and dose</w:t>
      </w:r>
      <w:r w:rsidR="00672D1A" w:rsidRPr="00836794">
        <w:t xml:space="preserve"> </w:t>
      </w:r>
      <w:r w:rsidRPr="00836794">
        <w:t>dependency</w:t>
      </w:r>
    </w:p>
    <w:p w14:paraId="0FA76546" w14:textId="6541D855" w:rsidR="00A30C42" w:rsidRPr="00836794" w:rsidRDefault="00A30C42" w:rsidP="00612622">
      <w:r w:rsidRPr="00836794">
        <w:t>In the dose finding studies, these TEAEs were dose-limiting. Nausea occurred in &gt;</w:t>
      </w:r>
      <w:r w:rsidR="00672D1A" w:rsidRPr="00836794">
        <w:t xml:space="preserve"> </w:t>
      </w:r>
      <w:r w:rsidRPr="00836794">
        <w:t>30% of patients at doses ≥</w:t>
      </w:r>
      <w:r w:rsidR="00672D1A" w:rsidRPr="00836794">
        <w:t xml:space="preserve"> </w:t>
      </w:r>
      <w:r w:rsidRPr="00836794">
        <w:t xml:space="preserve">10 mg oral. The rates of nausea decreased with duration of treatment. The trade-off between tolerability and efficacy in the Phase </w:t>
      </w:r>
      <w:r w:rsidR="00DD79E3" w:rsidRPr="00836794">
        <w:t>I</w:t>
      </w:r>
      <w:r w:rsidRPr="00836794">
        <w:t xml:space="preserve"> and Phase </w:t>
      </w:r>
      <w:r w:rsidR="00DD79E3" w:rsidRPr="00836794">
        <w:t>II</w:t>
      </w:r>
      <w:r w:rsidRPr="00836794">
        <w:t xml:space="preserve"> studies resulted </w:t>
      </w:r>
      <w:r w:rsidRPr="00836794">
        <w:lastRenderedPageBreak/>
        <w:t>in the proposed dosing regimen with a target dose of 7</w:t>
      </w:r>
      <w:r w:rsidR="00672D1A" w:rsidRPr="00836794">
        <w:t xml:space="preserve"> </w:t>
      </w:r>
      <w:r w:rsidRPr="00836794">
        <w:t>mg or 14 mg depending on individual tolerability and efficacy.</w:t>
      </w:r>
    </w:p>
    <w:p w14:paraId="23E4E86D" w14:textId="115A4623" w:rsidR="00A30C42" w:rsidRPr="00836794" w:rsidRDefault="00672D1A" w:rsidP="001277FB">
      <w:r w:rsidRPr="00836794">
        <w:t>Treatment emergent adverse events</w:t>
      </w:r>
      <w:r w:rsidR="00A30C42" w:rsidRPr="00836794">
        <w:t xml:space="preserve"> were dose-related, </w:t>
      </w:r>
      <w:proofErr w:type="gramStart"/>
      <w:r w:rsidR="00A30C42" w:rsidRPr="00836794">
        <w:t>and also</w:t>
      </w:r>
      <w:proofErr w:type="gramEnd"/>
      <w:r w:rsidR="00A30C42" w:rsidRPr="00836794">
        <w:t xml:space="preserve"> related to the speed of titration. The 4-week intervals for titration of dose were tolerated adequately. The prevalence and duration of nausea (as a representative </w:t>
      </w:r>
      <w:r w:rsidR="00331152" w:rsidRPr="00836794">
        <w:t>gastrointestinal</w:t>
      </w:r>
      <w:r w:rsidR="00A30C42" w:rsidRPr="00836794">
        <w:t xml:space="preserve"> AE)</w:t>
      </w:r>
      <w:r w:rsidR="00B66743">
        <w:t>, coded through MedDRA (Medical Dictionary for Regulatory Activities)</w:t>
      </w:r>
      <w:r w:rsidR="00D86D72">
        <w:rPr>
          <w:rStyle w:val="FootnoteReference"/>
        </w:rPr>
        <w:footnoteReference w:id="16"/>
      </w:r>
      <w:r w:rsidR="00D86D72" w:rsidRPr="00836794">
        <w:t xml:space="preserve"> </w:t>
      </w:r>
      <w:r w:rsidR="00B66743">
        <w:t>terminology</w:t>
      </w:r>
      <w:r w:rsidR="00A30C42" w:rsidRPr="00836794">
        <w:t xml:space="preserve"> is shown in </w:t>
      </w:r>
      <w:r w:rsidR="00A30C42" w:rsidRPr="00836794">
        <w:fldChar w:fldCharType="begin"/>
      </w:r>
      <w:r w:rsidR="00A30C42" w:rsidRPr="00836794">
        <w:instrText xml:space="preserve"> REF _Ref86330648 \h </w:instrText>
      </w:r>
      <w:r w:rsidR="00612622" w:rsidRPr="00836794">
        <w:instrText xml:space="preserve"> \* MERGEFORMAT </w:instrText>
      </w:r>
      <w:r w:rsidR="00A30C42" w:rsidRPr="00836794">
        <w:fldChar w:fldCharType="separate"/>
      </w:r>
      <w:r w:rsidR="00E5082D" w:rsidRPr="00CA6636">
        <w:t xml:space="preserve">Figure </w:t>
      </w:r>
      <w:r w:rsidR="00E5082D">
        <w:t>2</w:t>
      </w:r>
      <w:r w:rsidR="00A30C42" w:rsidRPr="00836794">
        <w:fldChar w:fldCharType="end"/>
      </w:r>
      <w:r w:rsidRPr="00836794">
        <w:t xml:space="preserve"> below.</w:t>
      </w:r>
    </w:p>
    <w:p w14:paraId="336F83EE" w14:textId="354061FB" w:rsidR="001277FB" w:rsidRPr="00CA6636" w:rsidRDefault="001277FB" w:rsidP="00CA6636">
      <w:pPr>
        <w:pStyle w:val="FigureTitle"/>
      </w:pPr>
      <w:bookmarkStart w:id="96" w:name="_Ref86330648"/>
      <w:r w:rsidRPr="00CA6636">
        <w:t xml:space="preserve">Figure </w:t>
      </w:r>
      <w:fldSimple w:instr=" SEQ Figure \* ARABIC ">
        <w:r w:rsidR="00E5082D">
          <w:rPr>
            <w:noProof/>
          </w:rPr>
          <w:t>2</w:t>
        </w:r>
      </w:fldSimple>
      <w:bookmarkEnd w:id="96"/>
      <w:r w:rsidR="007E3098" w:rsidRPr="00CA6636">
        <w:t>:</w:t>
      </w:r>
      <w:r w:rsidRPr="00CA6636">
        <w:t xml:space="preserve"> PIONEER trials</w:t>
      </w:r>
      <w:r w:rsidR="00B66743" w:rsidRPr="00CA6636">
        <w:t xml:space="preserve"> (pivotal)</w:t>
      </w:r>
      <w:r w:rsidRPr="00CA6636">
        <w:t xml:space="preserve"> </w:t>
      </w:r>
      <w:r w:rsidR="00B66743" w:rsidRPr="00CA6636">
        <w:t>P</w:t>
      </w:r>
      <w:r w:rsidRPr="00CA6636">
        <w:t>roportion of subjects by trial day prevalence plot</w:t>
      </w:r>
      <w:r w:rsidR="007E3098" w:rsidRPr="00CA6636">
        <w:t xml:space="preserve"> </w:t>
      </w:r>
      <w:r w:rsidR="00B66743" w:rsidRPr="00CA6636">
        <w:t xml:space="preserve">for nausea </w:t>
      </w:r>
      <w:r w:rsidR="007E3098" w:rsidRPr="00CA6636">
        <w:t>(</w:t>
      </w:r>
      <w:r w:rsidR="00B66743" w:rsidRPr="00CA6636">
        <w:t>MedDRA</w:t>
      </w:r>
      <w:r w:rsidRPr="00CA6636">
        <w:t xml:space="preserve"> search</w:t>
      </w:r>
      <w:r w:rsidR="007E3098" w:rsidRPr="00CA6636">
        <w:t>; pooled data)</w:t>
      </w:r>
    </w:p>
    <w:p w14:paraId="24957913" w14:textId="04323025" w:rsidR="0071231C" w:rsidRPr="00836794" w:rsidRDefault="0071231C" w:rsidP="00CA6636">
      <w:r>
        <w:rPr>
          <w:noProof/>
          <w:lang w:val="en-GB" w:eastAsia="en-GB"/>
        </w:rPr>
        <w:drawing>
          <wp:inline distT="0" distB="0" distL="0" distR="0" wp14:anchorId="146DC0FA" wp14:editId="6C74F7FA">
            <wp:extent cx="5372100" cy="3876040"/>
            <wp:effectExtent l="0" t="0" r="0" b="0"/>
            <wp:docPr id="15" name="Picture 15" descr="Figure 2: PIONEER trials (pivotal) Proportion of subjects by trial day prevalence plot for nausea (MedDRA search;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PIONEER trials (pivotal) Proportion of subjects by trial day prevalence plot for nausea (MedDRA search; pooled data)"/>
                    <pic:cNvPicPr/>
                  </pic:nvPicPr>
                  <pic:blipFill>
                    <a:blip r:embed="rId29"/>
                    <a:stretch>
                      <a:fillRect/>
                    </a:stretch>
                  </pic:blipFill>
                  <pic:spPr>
                    <a:xfrm>
                      <a:off x="0" y="0"/>
                      <a:ext cx="5372822" cy="3876561"/>
                    </a:xfrm>
                    <a:prstGeom prst="rect">
                      <a:avLst/>
                    </a:prstGeom>
                  </pic:spPr>
                </pic:pic>
              </a:graphicData>
            </a:graphic>
          </wp:inline>
        </w:drawing>
      </w:r>
    </w:p>
    <w:p w14:paraId="55523559" w14:textId="57F97073" w:rsidR="00D931AF" w:rsidRPr="00CA6636" w:rsidRDefault="00B66743" w:rsidP="00CA6636">
      <w:pPr>
        <w:pStyle w:val="FigureDescription"/>
      </w:pPr>
      <w:r w:rsidRPr="00CA6636">
        <w:t xml:space="preserve">Abbreviations: </w:t>
      </w:r>
      <w:r w:rsidR="00D931AF" w:rsidRPr="00CA6636">
        <w:t xml:space="preserve">flex = flexible dose; </w:t>
      </w:r>
      <w:r w:rsidRPr="00CA6636">
        <w:t xml:space="preserve">MedDRA = Medical Dictionary for Regulatory Activities; </w:t>
      </w:r>
      <w:r w:rsidR="00D931AF" w:rsidRPr="00CA6636">
        <w:t xml:space="preserve">P = PIONEER trial; </w:t>
      </w:r>
      <w:proofErr w:type="spellStart"/>
      <w:r w:rsidR="00D931AF" w:rsidRPr="00CA6636">
        <w:t>sema</w:t>
      </w:r>
      <w:proofErr w:type="spellEnd"/>
      <w:r w:rsidRPr="00CA6636">
        <w:t> </w:t>
      </w:r>
      <w:r w:rsidR="00D931AF" w:rsidRPr="00CA6636">
        <w:t xml:space="preserve">= </w:t>
      </w:r>
      <w:proofErr w:type="spellStart"/>
      <w:r w:rsidR="00D931AF" w:rsidRPr="00CA6636">
        <w:t>semaglutide</w:t>
      </w:r>
      <w:proofErr w:type="spellEnd"/>
      <w:r w:rsidR="00D931AF" w:rsidRPr="00CA6636">
        <w:t>.</w:t>
      </w:r>
    </w:p>
    <w:p w14:paraId="3CE1686A" w14:textId="7002E0E3" w:rsidR="00685FBA" w:rsidRPr="00CA6636" w:rsidRDefault="00685FBA" w:rsidP="00CA6636">
      <w:pPr>
        <w:pStyle w:val="FigureDescription"/>
      </w:pPr>
      <w:r w:rsidRPr="00CA6636">
        <w:t>Phase IIIa pool: the PIONEER 1</w:t>
      </w:r>
      <w:r w:rsidR="00D931AF" w:rsidRPr="00CA6636">
        <w:t xml:space="preserve"> to </w:t>
      </w:r>
      <w:r w:rsidRPr="00CA6636">
        <w:t>5 and 7</w:t>
      </w:r>
      <w:r w:rsidR="00D931AF" w:rsidRPr="00CA6636">
        <w:t xml:space="preserve"> to </w:t>
      </w:r>
      <w:r w:rsidRPr="00CA6636">
        <w:t>10 trials.</w:t>
      </w:r>
    </w:p>
    <w:p w14:paraId="7215E47F" w14:textId="20C64595" w:rsidR="00685FBA" w:rsidRPr="00CA6636" w:rsidRDefault="00685FBA" w:rsidP="00CA6636">
      <w:pPr>
        <w:pStyle w:val="FigureDescription"/>
      </w:pPr>
      <w:r w:rsidRPr="00CA6636">
        <w:t>Plot includes events with onset during the on</w:t>
      </w:r>
      <w:r w:rsidR="00D931AF" w:rsidRPr="00CA6636">
        <w:t>-</w:t>
      </w:r>
      <w:r w:rsidRPr="00CA6636">
        <w:t>treatment observation period but no later than the week where the follow-up visit was scheduled to take place. Number in the middle panel represent number of subjects at risk.</w:t>
      </w:r>
    </w:p>
    <w:p w14:paraId="0BAEFE46" w14:textId="61795AB8" w:rsidR="00685FBA" w:rsidRPr="00CA6636" w:rsidRDefault="00685FBA" w:rsidP="00CA6636">
      <w:pPr>
        <w:pStyle w:val="FigureDescription"/>
      </w:pPr>
      <w:r w:rsidRPr="00CA6636">
        <w:t>While the horizontal bars in the lower panel represent the periods for which the individual trials contribute.</w:t>
      </w:r>
    </w:p>
    <w:p w14:paraId="1FB567B4" w14:textId="77777777" w:rsidR="00A30C42" w:rsidRPr="00836794" w:rsidRDefault="00A30C42" w:rsidP="004B6AD2">
      <w:pPr>
        <w:pStyle w:val="Heading6"/>
      </w:pPr>
      <w:r w:rsidRPr="00836794">
        <w:lastRenderedPageBreak/>
        <w:t>Deaths</w:t>
      </w:r>
    </w:p>
    <w:p w14:paraId="44D5E1F1" w14:textId="4A3EC5EB" w:rsidR="00612622" w:rsidRPr="00836794" w:rsidRDefault="00B66743" w:rsidP="00612622">
      <w:pPr>
        <w:pStyle w:val="Heading7"/>
        <w:rPr>
          <w:sz w:val="22"/>
          <w:szCs w:val="28"/>
        </w:rPr>
      </w:pPr>
      <w:r>
        <w:rPr>
          <w:sz w:val="22"/>
          <w:szCs w:val="28"/>
        </w:rPr>
        <w:t xml:space="preserve">Pooled </w:t>
      </w:r>
      <w:r w:rsidR="00A30C42" w:rsidRPr="00836794">
        <w:rPr>
          <w:sz w:val="22"/>
          <w:szCs w:val="28"/>
        </w:rPr>
        <w:t xml:space="preserve">Phase </w:t>
      </w:r>
      <w:r w:rsidR="00DD79E3" w:rsidRPr="00836794">
        <w:rPr>
          <w:sz w:val="22"/>
          <w:szCs w:val="28"/>
        </w:rPr>
        <w:t>III</w:t>
      </w:r>
      <w:r w:rsidR="00A30C42" w:rsidRPr="00836794">
        <w:rPr>
          <w:sz w:val="22"/>
          <w:szCs w:val="28"/>
        </w:rPr>
        <w:t xml:space="preserve">a </w:t>
      </w:r>
      <w:r>
        <w:rPr>
          <w:sz w:val="22"/>
          <w:szCs w:val="28"/>
        </w:rPr>
        <w:t>trials</w:t>
      </w:r>
    </w:p>
    <w:p w14:paraId="0D583085" w14:textId="7FD7AFA3" w:rsidR="00A30C42" w:rsidRPr="00836794" w:rsidRDefault="00A85DC4" w:rsidP="00612622">
      <w:r w:rsidRPr="00836794">
        <w:t>Thirty (</w:t>
      </w:r>
      <w:r w:rsidR="00A30C42" w:rsidRPr="00836794">
        <w:t>30</w:t>
      </w:r>
      <w:r w:rsidRPr="00836794">
        <w:t>)</w:t>
      </w:r>
      <w:r w:rsidR="00A30C42" w:rsidRPr="00836794">
        <w:t xml:space="preserve"> subjects exposed to trial product died (0.4% in the oral semaglutide </w:t>
      </w:r>
      <w:r w:rsidR="00DD79E3" w:rsidRPr="00836794">
        <w:t>versus</w:t>
      </w:r>
      <w:r w:rsidR="00A30C42" w:rsidRPr="00836794">
        <w:t xml:space="preserve"> 0.5% for comparators). The distribution of the causes of death did not differ between oral semaglutide and comparators.</w:t>
      </w:r>
    </w:p>
    <w:p w14:paraId="66BF9E53" w14:textId="653BB77D" w:rsidR="00612622" w:rsidRPr="00836794" w:rsidRDefault="00A30C42" w:rsidP="00612622">
      <w:pPr>
        <w:pStyle w:val="Heading7"/>
        <w:rPr>
          <w:sz w:val="22"/>
          <w:szCs w:val="28"/>
        </w:rPr>
      </w:pPr>
      <w:r w:rsidRPr="00836794">
        <w:rPr>
          <w:sz w:val="22"/>
          <w:szCs w:val="28"/>
        </w:rPr>
        <w:t>PIONEER 6</w:t>
      </w:r>
      <w:r w:rsidR="00672D1A" w:rsidRPr="00836794">
        <w:rPr>
          <w:sz w:val="22"/>
          <w:szCs w:val="28"/>
        </w:rPr>
        <w:t xml:space="preserve"> trial</w:t>
      </w:r>
    </w:p>
    <w:p w14:paraId="0B4A26C7" w14:textId="42B0454B" w:rsidR="00A30C42" w:rsidRPr="00836794" w:rsidRDefault="00A85DC4" w:rsidP="00612622">
      <w:proofErr w:type="gramStart"/>
      <w:r w:rsidRPr="00836794">
        <w:t>Seventy three</w:t>
      </w:r>
      <w:proofErr w:type="gramEnd"/>
      <w:r w:rsidRPr="00836794">
        <w:t xml:space="preserve"> (</w:t>
      </w:r>
      <w:r w:rsidR="00A30C42" w:rsidRPr="00836794">
        <w:t>73</w:t>
      </w:r>
      <w:r w:rsidRPr="00836794">
        <w:t>)</w:t>
      </w:r>
      <w:r w:rsidR="00A30C42" w:rsidRPr="00836794">
        <w:t xml:space="preserve"> randomised subjects died. The proportion of subjects with fatal events was lower with oral semaglutide than with placebo (1.6% </w:t>
      </w:r>
      <w:r w:rsidR="00DD79E3" w:rsidRPr="00836794">
        <w:t>versus</w:t>
      </w:r>
      <w:r w:rsidR="00A30C42" w:rsidRPr="00836794">
        <w:t xml:space="preserve"> 2.9%). Oral semaglutide was associated with a statistically significantly 49% lower risk of all-cause death compared to placebo (estimated </w:t>
      </w:r>
      <w:r w:rsidRPr="00836794">
        <w:t>hazard ratio</w:t>
      </w:r>
      <w:r w:rsidR="00A30C42" w:rsidRPr="00836794">
        <w:t xml:space="preserve"> (95%</w:t>
      </w:r>
      <w:r w:rsidR="00EA7A6D">
        <w:t xml:space="preserve"> </w:t>
      </w:r>
      <w:r w:rsidR="00A30C42" w:rsidRPr="00836794">
        <w:t xml:space="preserve">CI) </w:t>
      </w:r>
      <w:r w:rsidR="00672D1A" w:rsidRPr="00836794">
        <w:t>is</w:t>
      </w:r>
      <w:r w:rsidR="00A30C42" w:rsidRPr="00836794">
        <w:t xml:space="preserve"> 0.51 (0.31</w:t>
      </w:r>
      <w:r w:rsidR="00672D1A" w:rsidRPr="00836794">
        <w:t>,</w:t>
      </w:r>
      <w:r w:rsidR="00A30C42" w:rsidRPr="00836794">
        <w:t xml:space="preserve"> 0.84); p</w:t>
      </w:r>
      <w:r w:rsidR="00672D1A" w:rsidRPr="00836794">
        <w:t xml:space="preserve"> </w:t>
      </w:r>
      <w:r w:rsidR="00A30C42" w:rsidRPr="00836794">
        <w:t>=</w:t>
      </w:r>
      <w:r w:rsidR="00672D1A" w:rsidRPr="00836794">
        <w:t xml:space="preserve"> </w:t>
      </w:r>
      <w:r w:rsidR="00A30C42" w:rsidRPr="00836794">
        <w:t>0.0078).</w:t>
      </w:r>
    </w:p>
    <w:p w14:paraId="36BE4635" w14:textId="77777777" w:rsidR="00A30C42" w:rsidRPr="00836794" w:rsidRDefault="00A30C42" w:rsidP="004B6AD2">
      <w:pPr>
        <w:pStyle w:val="Heading6"/>
      </w:pPr>
      <w:r w:rsidRPr="00836794">
        <w:t>Serious adverse events</w:t>
      </w:r>
    </w:p>
    <w:p w14:paraId="598263C3" w14:textId="3EFB1E90" w:rsidR="00612622" w:rsidRPr="00836794" w:rsidRDefault="00EA7A6D" w:rsidP="00612622">
      <w:pPr>
        <w:pStyle w:val="Heading7"/>
        <w:rPr>
          <w:sz w:val="22"/>
          <w:szCs w:val="28"/>
        </w:rPr>
      </w:pPr>
      <w:r>
        <w:rPr>
          <w:sz w:val="22"/>
          <w:szCs w:val="28"/>
        </w:rPr>
        <w:t xml:space="preserve">Pooled </w:t>
      </w:r>
      <w:r w:rsidR="00A30C42" w:rsidRPr="00836794">
        <w:rPr>
          <w:sz w:val="22"/>
          <w:szCs w:val="28"/>
        </w:rPr>
        <w:t xml:space="preserve">Phase </w:t>
      </w:r>
      <w:r w:rsidR="00DD79E3" w:rsidRPr="00836794">
        <w:rPr>
          <w:sz w:val="22"/>
          <w:szCs w:val="28"/>
        </w:rPr>
        <w:t>III</w:t>
      </w:r>
      <w:r w:rsidR="00A30C42" w:rsidRPr="00836794">
        <w:rPr>
          <w:sz w:val="22"/>
          <w:szCs w:val="28"/>
        </w:rPr>
        <w:t xml:space="preserve">a </w:t>
      </w:r>
      <w:r>
        <w:rPr>
          <w:sz w:val="22"/>
          <w:szCs w:val="28"/>
        </w:rPr>
        <w:t>trials</w:t>
      </w:r>
    </w:p>
    <w:p w14:paraId="3C9835A6" w14:textId="10D4E40C" w:rsidR="00A30C42" w:rsidRPr="00836794" w:rsidRDefault="00672D1A" w:rsidP="00612622">
      <w:r w:rsidRPr="00836794">
        <w:t>Serious adverse events (SAEs)</w:t>
      </w:r>
      <w:r w:rsidR="00A30C42" w:rsidRPr="00836794">
        <w:t xml:space="preserve"> occurred 8.6% and 9.0% of the subjects, for semaglutide, and comparators, respectively. The most frequent SAEs were within the ‘cardiac disorders’, ‘neoplasms’ and ‘infections and infestations’ </w:t>
      </w:r>
      <w:r w:rsidR="00A85DC4" w:rsidRPr="00836794">
        <w:t>System Organ Classes</w:t>
      </w:r>
      <w:r w:rsidR="00A30C42" w:rsidRPr="00836794">
        <w:t xml:space="preserve">. The frequency of SAEs was lower with oral semaglutide 14 mg (9.5% of the subjects in </w:t>
      </w:r>
      <w:r w:rsidRPr="00836794">
        <w:t xml:space="preserve">the </w:t>
      </w:r>
      <w:r w:rsidR="00A30C42" w:rsidRPr="00836794">
        <w:t>PIONEER 3</w:t>
      </w:r>
      <w:r w:rsidRPr="00836794">
        <w:t xml:space="preserve"> trial</w:t>
      </w:r>
      <w:r w:rsidR="00A30C42" w:rsidRPr="00836794">
        <w:t xml:space="preserve">) than with 3 and 7 mg (13.7% and 10.1%, respectively). In </w:t>
      </w:r>
      <w:r w:rsidRPr="00836794">
        <w:t xml:space="preserve">the </w:t>
      </w:r>
      <w:r w:rsidR="00A30C42" w:rsidRPr="00836794">
        <w:t>PIONEER 6</w:t>
      </w:r>
      <w:r w:rsidRPr="00836794">
        <w:t xml:space="preserve"> trial</w:t>
      </w:r>
      <w:r w:rsidR="00A30C42" w:rsidRPr="00836794">
        <w:t>, SAEs were less frequent with oral semaglutide than with placebo (18.9% and 22.5% of the subjects).</w:t>
      </w:r>
    </w:p>
    <w:p w14:paraId="364EE557" w14:textId="636548E7" w:rsidR="00A30C42" w:rsidRPr="00836794" w:rsidRDefault="00A30C42" w:rsidP="00612622">
      <w:r w:rsidRPr="00836794">
        <w:t>No SAE dose</w:t>
      </w:r>
      <w:r w:rsidR="00672D1A" w:rsidRPr="00836794">
        <w:t xml:space="preserve"> </w:t>
      </w:r>
      <w:r w:rsidRPr="00836794">
        <w:t xml:space="preserve">response relationship for oral semaglutide was </w:t>
      </w:r>
      <w:proofErr w:type="gramStart"/>
      <w:r w:rsidRPr="00836794">
        <w:t>observed, but</w:t>
      </w:r>
      <w:proofErr w:type="gramEnd"/>
      <w:r w:rsidRPr="00836794">
        <w:t xml:space="preserve"> was greater with fast titration of dose. Although the rate of gastrointestinal TEAEs was high this did not translate to a high rate of gastrointestinal SAEs. Hence, slow titration of dose is expected to minimise the risk of gastrointestinal SAE.</w:t>
      </w:r>
    </w:p>
    <w:p w14:paraId="0BC111C0" w14:textId="77777777" w:rsidR="00A30C42" w:rsidRPr="00836794" w:rsidRDefault="00A30C42" w:rsidP="004B6AD2">
      <w:pPr>
        <w:pStyle w:val="Heading6"/>
      </w:pPr>
      <w:r w:rsidRPr="00836794">
        <w:t>Discontinuations</w:t>
      </w:r>
    </w:p>
    <w:p w14:paraId="5350B4A9" w14:textId="42D04039" w:rsidR="00612622" w:rsidRPr="00836794" w:rsidRDefault="00EA7A6D" w:rsidP="00612622">
      <w:pPr>
        <w:pStyle w:val="Heading7"/>
        <w:rPr>
          <w:sz w:val="22"/>
          <w:szCs w:val="28"/>
          <w:lang w:eastAsia="ja-JP"/>
        </w:rPr>
      </w:pPr>
      <w:r>
        <w:rPr>
          <w:sz w:val="22"/>
          <w:szCs w:val="28"/>
          <w:lang w:eastAsia="ja-JP"/>
        </w:rPr>
        <w:t xml:space="preserve">Pooled </w:t>
      </w:r>
      <w:r w:rsidR="00A30C42" w:rsidRPr="00836794">
        <w:rPr>
          <w:sz w:val="22"/>
          <w:szCs w:val="28"/>
          <w:lang w:eastAsia="ja-JP"/>
        </w:rPr>
        <w:t xml:space="preserve">Phase </w:t>
      </w:r>
      <w:r w:rsidR="00DD79E3" w:rsidRPr="00836794">
        <w:rPr>
          <w:sz w:val="22"/>
          <w:szCs w:val="28"/>
          <w:lang w:eastAsia="ja-JP"/>
        </w:rPr>
        <w:t>III</w:t>
      </w:r>
      <w:r w:rsidR="00A30C42" w:rsidRPr="00836794">
        <w:rPr>
          <w:sz w:val="22"/>
          <w:szCs w:val="28"/>
          <w:lang w:eastAsia="ja-JP"/>
        </w:rPr>
        <w:t xml:space="preserve">a </w:t>
      </w:r>
      <w:r>
        <w:rPr>
          <w:sz w:val="22"/>
          <w:szCs w:val="28"/>
          <w:lang w:eastAsia="ja-JP"/>
        </w:rPr>
        <w:t>trials</w:t>
      </w:r>
    </w:p>
    <w:p w14:paraId="08D2AFBF" w14:textId="6A1C1B50" w:rsidR="00A30C42" w:rsidRPr="00836794" w:rsidRDefault="00A30C42" w:rsidP="00612622">
      <w:r w:rsidRPr="00836794">
        <w:t>The discontinuation frequency was greater with oral semaglutide than with comparators (8.7% and 4.2% of the subjects, respectively).</w:t>
      </w:r>
    </w:p>
    <w:p w14:paraId="15ACE052" w14:textId="17196DAF" w:rsidR="00A30C42" w:rsidRPr="00836794" w:rsidRDefault="00A30C42" w:rsidP="00612622">
      <w:r w:rsidRPr="00836794">
        <w:t xml:space="preserve">The rate of discontinuation due to </w:t>
      </w:r>
      <w:r w:rsidR="00EA7A6D">
        <w:t xml:space="preserve">an </w:t>
      </w:r>
      <w:r w:rsidRPr="00836794">
        <w:t xml:space="preserve">AE increased with semaglutide </w:t>
      </w:r>
      <w:proofErr w:type="gramStart"/>
      <w:r w:rsidRPr="00836794">
        <w:t>dose, and</w:t>
      </w:r>
      <w:proofErr w:type="gramEnd"/>
      <w:r w:rsidRPr="00836794">
        <w:t xml:space="preserve"> was greater with fast titration of dose and occurred more frequently in the dose</w:t>
      </w:r>
      <w:r w:rsidR="00672D1A" w:rsidRPr="00836794">
        <w:t xml:space="preserve"> </w:t>
      </w:r>
      <w:r w:rsidRPr="00836794">
        <w:t>escalation phase. The events leading to discontinuation were predominantly gastrointestinal, particularly nausea and vomiting.</w:t>
      </w:r>
    </w:p>
    <w:p w14:paraId="24266A87" w14:textId="77777777" w:rsidR="00A30C42" w:rsidRPr="00836794" w:rsidRDefault="00A30C42" w:rsidP="004B6AD2">
      <w:pPr>
        <w:pStyle w:val="Heading6"/>
      </w:pPr>
      <w:r w:rsidRPr="00836794">
        <w:t>Adverse events of special interest</w:t>
      </w:r>
    </w:p>
    <w:p w14:paraId="0A116D0F" w14:textId="729778CB" w:rsidR="00612622" w:rsidRPr="00836794" w:rsidRDefault="00331152" w:rsidP="00612622">
      <w:pPr>
        <w:pStyle w:val="Heading7"/>
        <w:rPr>
          <w:sz w:val="22"/>
          <w:szCs w:val="28"/>
          <w:lang w:eastAsia="ja-JP"/>
        </w:rPr>
      </w:pPr>
      <w:r w:rsidRPr="00836794">
        <w:rPr>
          <w:sz w:val="22"/>
          <w:szCs w:val="28"/>
          <w:lang w:eastAsia="ja-JP"/>
        </w:rPr>
        <w:t>Gastrointestinal</w:t>
      </w:r>
      <w:r w:rsidR="00A30C42" w:rsidRPr="00836794">
        <w:rPr>
          <w:sz w:val="22"/>
          <w:szCs w:val="28"/>
          <w:lang w:eastAsia="ja-JP"/>
        </w:rPr>
        <w:t xml:space="preserve"> </w:t>
      </w:r>
      <w:r w:rsidR="00672D1A" w:rsidRPr="00836794">
        <w:rPr>
          <w:sz w:val="22"/>
          <w:szCs w:val="28"/>
          <w:lang w:eastAsia="ja-JP"/>
        </w:rPr>
        <w:t>adverse events</w:t>
      </w:r>
    </w:p>
    <w:p w14:paraId="70D1947B" w14:textId="60B9FC18" w:rsidR="00A30C42" w:rsidRPr="00836794" w:rsidRDefault="00331152" w:rsidP="00612622">
      <w:r w:rsidRPr="00836794">
        <w:t>Gastrointestinal</w:t>
      </w:r>
      <w:r w:rsidR="00A30C42" w:rsidRPr="00836794">
        <w:t xml:space="preserve"> AEs were the most frequently reported AE type with oral semaglutide (nausea, diarrhoea, vomiting and constipation). Most of the events (&gt;</w:t>
      </w:r>
      <w:r w:rsidR="00672D1A" w:rsidRPr="00836794">
        <w:t xml:space="preserve"> </w:t>
      </w:r>
      <w:r w:rsidR="00A30C42" w:rsidRPr="00836794">
        <w:t>70%) were mild, and most were reported during the dose</w:t>
      </w:r>
      <w:r w:rsidR="00672D1A" w:rsidRPr="00836794">
        <w:t xml:space="preserve"> </w:t>
      </w:r>
      <w:r w:rsidR="00A30C42" w:rsidRPr="00836794">
        <w:t>escalation period.</w:t>
      </w:r>
    </w:p>
    <w:p w14:paraId="4C2AB03E" w14:textId="719032F5" w:rsidR="00612622" w:rsidRPr="00836794" w:rsidRDefault="00A30C42" w:rsidP="00612622">
      <w:pPr>
        <w:pStyle w:val="Heading7"/>
        <w:rPr>
          <w:sz w:val="22"/>
          <w:szCs w:val="28"/>
          <w:lang w:eastAsia="ja-JP"/>
        </w:rPr>
      </w:pPr>
      <w:r w:rsidRPr="00836794">
        <w:rPr>
          <w:sz w:val="22"/>
          <w:szCs w:val="28"/>
          <w:lang w:eastAsia="ja-JP"/>
        </w:rPr>
        <w:t xml:space="preserve">Hepatobiliary </w:t>
      </w:r>
      <w:r w:rsidR="00672D1A" w:rsidRPr="00836794">
        <w:rPr>
          <w:sz w:val="22"/>
          <w:szCs w:val="28"/>
          <w:lang w:eastAsia="ja-JP"/>
        </w:rPr>
        <w:t>adverse events</w:t>
      </w:r>
    </w:p>
    <w:p w14:paraId="333A31EA" w14:textId="6D409A71" w:rsidR="00A30C42" w:rsidRPr="00836794" w:rsidRDefault="00A30C42" w:rsidP="00612622">
      <w:r w:rsidRPr="00836794">
        <w:t xml:space="preserve">No subjects in the </w:t>
      </w:r>
      <w:r w:rsidR="00DD79E3" w:rsidRPr="00836794">
        <w:t>Phase</w:t>
      </w:r>
      <w:r w:rsidRPr="00836794">
        <w:t xml:space="preserve"> </w:t>
      </w:r>
      <w:r w:rsidR="00DD79E3" w:rsidRPr="00836794">
        <w:t>III</w:t>
      </w:r>
      <w:r w:rsidRPr="00836794">
        <w:t xml:space="preserve">a pool had </w:t>
      </w:r>
      <w:r w:rsidR="000A2C1B" w:rsidRPr="00836794">
        <w:t>aspartate aminotransferase</w:t>
      </w:r>
      <w:r w:rsidRPr="00836794">
        <w:t xml:space="preserve"> or </w:t>
      </w:r>
      <w:r w:rsidR="000A2C1B" w:rsidRPr="00836794">
        <w:t>alanine aminotransferase</w:t>
      </w:r>
      <w:r w:rsidRPr="00836794">
        <w:t xml:space="preserve"> concentrations &gt;</w:t>
      </w:r>
      <w:r w:rsidR="00672D1A" w:rsidRPr="00836794">
        <w:t xml:space="preserve"> </w:t>
      </w:r>
      <w:r w:rsidRPr="00836794">
        <w:t>3</w:t>
      </w:r>
      <w:r w:rsidR="00672D1A" w:rsidRPr="00836794">
        <w:t xml:space="preserve"> </w:t>
      </w:r>
      <w:r w:rsidRPr="00836794">
        <w:t>x</w:t>
      </w:r>
      <w:r w:rsidR="00672D1A" w:rsidRPr="00836794">
        <w:t xml:space="preserve"> </w:t>
      </w:r>
      <w:r w:rsidR="000A2C1B" w:rsidRPr="00836794">
        <w:t>upper limit of normal (</w:t>
      </w:r>
      <w:r w:rsidRPr="00836794">
        <w:t>ULN</w:t>
      </w:r>
      <w:r w:rsidR="000A2C1B" w:rsidRPr="00836794">
        <w:t>)</w:t>
      </w:r>
      <w:r w:rsidRPr="00836794">
        <w:t xml:space="preserve"> with concurrent total bilirubin concentrations &gt;</w:t>
      </w:r>
      <w:r w:rsidR="00672D1A" w:rsidRPr="00836794">
        <w:t xml:space="preserve"> </w:t>
      </w:r>
      <w:r w:rsidRPr="00836794">
        <w:t>2</w:t>
      </w:r>
      <w:r w:rsidR="00672D1A" w:rsidRPr="00836794">
        <w:t xml:space="preserve"> </w:t>
      </w:r>
      <w:r w:rsidRPr="00836794">
        <w:t>x</w:t>
      </w:r>
      <w:r w:rsidR="00672D1A" w:rsidRPr="00836794">
        <w:t xml:space="preserve"> </w:t>
      </w:r>
      <w:r w:rsidRPr="00836794">
        <w:t xml:space="preserve">ULN. In </w:t>
      </w:r>
      <w:r w:rsidR="00672D1A" w:rsidRPr="00836794">
        <w:t xml:space="preserve">the </w:t>
      </w:r>
      <w:r w:rsidRPr="00836794">
        <w:t>PIONEER 6</w:t>
      </w:r>
      <w:r w:rsidR="00672D1A" w:rsidRPr="00836794">
        <w:t xml:space="preserve"> trial</w:t>
      </w:r>
      <w:r w:rsidRPr="00836794">
        <w:t>, there were two cases (one with oral semaglutide and one with placebo), but not considered related to study drug.</w:t>
      </w:r>
    </w:p>
    <w:p w14:paraId="5A99A1F7" w14:textId="5B6520A7" w:rsidR="00A30C42" w:rsidRPr="00836794" w:rsidRDefault="00A30C42" w:rsidP="00612622">
      <w:r w:rsidRPr="00836794">
        <w:t>Serum lipase concentrations increased in a dose</w:t>
      </w:r>
      <w:r w:rsidR="00672D1A" w:rsidRPr="00836794">
        <w:t xml:space="preserve"> </w:t>
      </w:r>
      <w:r w:rsidRPr="00836794">
        <w:t>dependent manner with oral semaglutide. However, this did not translate to a higher rate of acute pancreatitis.</w:t>
      </w:r>
    </w:p>
    <w:p w14:paraId="52E77744" w14:textId="79871A2D" w:rsidR="00A30C42" w:rsidRPr="00836794" w:rsidRDefault="00A30C42" w:rsidP="00612622">
      <w:r w:rsidRPr="00836794">
        <w:t xml:space="preserve">The frequency of cholelithiasis was greater oral semaglutide than with placebo (10 events </w:t>
      </w:r>
      <w:r w:rsidR="00DD79E3" w:rsidRPr="00836794">
        <w:t>versus</w:t>
      </w:r>
      <w:r w:rsidRPr="00836794">
        <w:t xml:space="preserve"> </w:t>
      </w:r>
      <w:r w:rsidR="00672D1A" w:rsidRPr="00836794">
        <w:t>one</w:t>
      </w:r>
      <w:r w:rsidRPr="00836794">
        <w:t xml:space="preserve"> event, corresponding to 0.6% and 0.1% of the subjects), in line with previous </w:t>
      </w:r>
      <w:r w:rsidRPr="00836794">
        <w:lastRenderedPageBreak/>
        <w:t xml:space="preserve">findings for other GLP-1 </w:t>
      </w:r>
      <w:r w:rsidR="00672D1A" w:rsidRPr="00836794">
        <w:t>receptor agonists</w:t>
      </w:r>
      <w:r w:rsidRPr="00836794">
        <w:t>. An increased risk cannot be excluded, but the risk is rather low.</w:t>
      </w:r>
    </w:p>
    <w:p w14:paraId="7FDD2B76" w14:textId="4AE55A9F" w:rsidR="00612622" w:rsidRPr="00836794" w:rsidRDefault="00A30C42" w:rsidP="00612622">
      <w:pPr>
        <w:pStyle w:val="Heading7"/>
        <w:rPr>
          <w:sz w:val="22"/>
          <w:szCs w:val="28"/>
          <w:lang w:eastAsia="ja-JP"/>
        </w:rPr>
      </w:pPr>
      <w:r w:rsidRPr="00836794">
        <w:rPr>
          <w:sz w:val="22"/>
          <w:szCs w:val="28"/>
          <w:lang w:eastAsia="ja-JP"/>
        </w:rPr>
        <w:t xml:space="preserve">Renal </w:t>
      </w:r>
      <w:r w:rsidR="00672D1A" w:rsidRPr="00836794">
        <w:rPr>
          <w:sz w:val="22"/>
          <w:szCs w:val="28"/>
          <w:lang w:eastAsia="ja-JP"/>
        </w:rPr>
        <w:t>adverse events</w:t>
      </w:r>
    </w:p>
    <w:p w14:paraId="14D7532F" w14:textId="268AE42D" w:rsidR="00A30C42" w:rsidRPr="00836794" w:rsidRDefault="00A30C42" w:rsidP="00612622">
      <w:r w:rsidRPr="00836794">
        <w:t xml:space="preserve">Comparing oral semaglutide </w:t>
      </w:r>
      <w:r w:rsidR="00DD79E3" w:rsidRPr="00836794">
        <w:t>versus</w:t>
      </w:r>
      <w:r w:rsidRPr="00836794">
        <w:t xml:space="preserve"> comparators, the rates were 0.8% </w:t>
      </w:r>
      <w:r w:rsidR="00DD79E3" w:rsidRPr="00836794">
        <w:t>versus</w:t>
      </w:r>
      <w:r w:rsidRPr="00836794">
        <w:t xml:space="preserve"> 0.5% (</w:t>
      </w:r>
      <w:r w:rsidR="00DD79E3" w:rsidRPr="00836794">
        <w:t>Phase</w:t>
      </w:r>
      <w:r w:rsidR="00672D1A" w:rsidRPr="00836794">
        <w:t> </w:t>
      </w:r>
      <w:r w:rsidR="00DD79E3" w:rsidRPr="00836794">
        <w:t>III</w:t>
      </w:r>
      <w:r w:rsidRPr="00836794">
        <w:t xml:space="preserve">a pool) and 2.0% </w:t>
      </w:r>
      <w:r w:rsidR="00DD79E3" w:rsidRPr="00836794">
        <w:t>versus</w:t>
      </w:r>
      <w:r w:rsidRPr="00836794">
        <w:t xml:space="preserve"> 2.3% (</w:t>
      </w:r>
      <w:r w:rsidR="00672D1A" w:rsidRPr="00836794">
        <w:t xml:space="preserve">the </w:t>
      </w:r>
      <w:r w:rsidRPr="00836794">
        <w:t>PIONEER 6</w:t>
      </w:r>
      <w:r w:rsidR="00672D1A" w:rsidRPr="00836794">
        <w:t xml:space="preserve"> trial</w:t>
      </w:r>
      <w:r w:rsidRPr="00836794">
        <w:t xml:space="preserve">). No decrease in </w:t>
      </w:r>
      <w:r w:rsidR="000A2C1B" w:rsidRPr="00836794">
        <w:t>estimated glomerular filtration rate (</w:t>
      </w:r>
      <w:r w:rsidRPr="00836794">
        <w:t>eGFR</w:t>
      </w:r>
      <w:r w:rsidR="000A2C1B" w:rsidRPr="00836794">
        <w:t>)</w:t>
      </w:r>
      <w:r w:rsidRPr="00836794">
        <w:t xml:space="preserve"> or dose</w:t>
      </w:r>
      <w:r w:rsidR="00672D1A" w:rsidRPr="00836794">
        <w:t xml:space="preserve"> </w:t>
      </w:r>
      <w:r w:rsidRPr="00836794">
        <w:t>response relationship for eGFR or creatinine was observed. The rate of acute kidney injury was not elevated in relation to comparator or placebo (&lt;</w:t>
      </w:r>
      <w:r w:rsidR="00672D1A" w:rsidRPr="00836794">
        <w:t xml:space="preserve"> </w:t>
      </w:r>
      <w:r w:rsidRPr="00836794">
        <w:t>0.5% in each group). Calcitonin concentrations were stable during treatment.</w:t>
      </w:r>
    </w:p>
    <w:p w14:paraId="2F45AA31" w14:textId="3D4ADA46" w:rsidR="00612622" w:rsidRPr="00836794" w:rsidRDefault="00A30C42" w:rsidP="00612622">
      <w:pPr>
        <w:pStyle w:val="Heading7"/>
        <w:rPr>
          <w:sz w:val="22"/>
          <w:szCs w:val="28"/>
          <w:lang w:eastAsia="ja-JP"/>
        </w:rPr>
      </w:pPr>
      <w:r w:rsidRPr="00836794">
        <w:rPr>
          <w:sz w:val="22"/>
          <w:szCs w:val="28"/>
          <w:lang w:eastAsia="ja-JP"/>
        </w:rPr>
        <w:t xml:space="preserve">Haematological </w:t>
      </w:r>
      <w:r w:rsidR="00672D1A" w:rsidRPr="00836794">
        <w:rPr>
          <w:sz w:val="22"/>
          <w:szCs w:val="28"/>
          <w:lang w:eastAsia="ja-JP"/>
        </w:rPr>
        <w:t>adverse events</w:t>
      </w:r>
    </w:p>
    <w:p w14:paraId="239EDFA2" w14:textId="04E06314" w:rsidR="00A30C42" w:rsidRPr="00836794" w:rsidRDefault="00A30C42" w:rsidP="00612622">
      <w:r w:rsidRPr="00836794">
        <w:t>There was no increased risk of haematological toxicity with oral semaglutide.</w:t>
      </w:r>
    </w:p>
    <w:p w14:paraId="4E046107" w14:textId="46B3036C" w:rsidR="00612622" w:rsidRPr="00836794" w:rsidRDefault="000A2C1B" w:rsidP="00612622">
      <w:pPr>
        <w:pStyle w:val="Heading7"/>
        <w:rPr>
          <w:sz w:val="22"/>
          <w:szCs w:val="28"/>
          <w:lang w:eastAsia="ja-JP"/>
        </w:rPr>
      </w:pPr>
      <w:r w:rsidRPr="00836794">
        <w:rPr>
          <w:sz w:val="22"/>
          <w:szCs w:val="28"/>
          <w:lang w:eastAsia="ja-JP"/>
        </w:rPr>
        <w:t xml:space="preserve">Cardiovascular </w:t>
      </w:r>
      <w:r w:rsidR="00672D1A" w:rsidRPr="00836794">
        <w:rPr>
          <w:sz w:val="22"/>
          <w:szCs w:val="28"/>
          <w:lang w:eastAsia="ja-JP"/>
        </w:rPr>
        <w:t>adverse events</w:t>
      </w:r>
    </w:p>
    <w:p w14:paraId="20F60E1D" w14:textId="19B24DDF" w:rsidR="00A30C42" w:rsidRPr="00836794" w:rsidRDefault="00A30C42" w:rsidP="00612622">
      <w:r w:rsidRPr="00836794">
        <w:t xml:space="preserve">In </w:t>
      </w:r>
      <w:r w:rsidR="00672D1A" w:rsidRPr="00836794">
        <w:t xml:space="preserve">the </w:t>
      </w:r>
      <w:r w:rsidRPr="00836794">
        <w:t>PIONEER 6</w:t>
      </w:r>
      <w:r w:rsidR="00672D1A" w:rsidRPr="00836794">
        <w:t xml:space="preserve"> trial</w:t>
      </w:r>
      <w:r w:rsidRPr="00836794">
        <w:t>, there was no increase in cardiovascular risk with oral semaglutide, and a decreased risk of cardiovascular death. Prolongation of the QT interval</w:t>
      </w:r>
      <w:r w:rsidR="000025F0">
        <w:t>;</w:t>
      </w:r>
      <w:r w:rsidR="000025F0" w:rsidRPr="000025F0">
        <w:rPr>
          <w:vertAlign w:val="superscript"/>
        </w:rPr>
        <w:fldChar w:fldCharType="begin"/>
      </w:r>
      <w:r w:rsidR="000025F0" w:rsidRPr="000025F0">
        <w:rPr>
          <w:vertAlign w:val="superscript"/>
        </w:rPr>
        <w:instrText xml:space="preserve"> NOTEREF _Ref107759501 \h </w:instrText>
      </w:r>
      <w:r w:rsidR="000025F0">
        <w:rPr>
          <w:vertAlign w:val="superscript"/>
        </w:rPr>
        <w:instrText xml:space="preserve"> \* MERGEFORMAT </w:instrText>
      </w:r>
      <w:r w:rsidR="000025F0" w:rsidRPr="000025F0">
        <w:rPr>
          <w:vertAlign w:val="superscript"/>
        </w:rPr>
      </w:r>
      <w:r w:rsidR="000025F0" w:rsidRPr="000025F0">
        <w:rPr>
          <w:vertAlign w:val="superscript"/>
        </w:rPr>
        <w:fldChar w:fldCharType="separate"/>
      </w:r>
      <w:r w:rsidR="00E5082D">
        <w:rPr>
          <w:vertAlign w:val="superscript"/>
        </w:rPr>
        <w:t>15</w:t>
      </w:r>
      <w:r w:rsidR="000025F0" w:rsidRPr="000025F0">
        <w:rPr>
          <w:vertAlign w:val="superscript"/>
        </w:rPr>
        <w:fldChar w:fldCharType="end"/>
      </w:r>
      <w:r w:rsidRPr="00836794">
        <w:t xml:space="preserve"> was not demonstrated in thorough QT studies of semaglutide and SNAC. There were no significant changes in </w:t>
      </w:r>
      <w:r w:rsidR="00672D1A" w:rsidRPr="00836794">
        <w:t>systolic blood pressure</w:t>
      </w:r>
      <w:r w:rsidRPr="00836794">
        <w:t xml:space="preserve"> or </w:t>
      </w:r>
      <w:r w:rsidR="00672D1A" w:rsidRPr="00836794">
        <w:t>diastolic blood pressure</w:t>
      </w:r>
      <w:r w:rsidRPr="00836794">
        <w:t xml:space="preserve">. However, mean pulse rate increased by 4 </w:t>
      </w:r>
      <w:r w:rsidR="00672D1A" w:rsidRPr="00836794">
        <w:t>beats per minute</w:t>
      </w:r>
      <w:r w:rsidRPr="00836794">
        <w:t xml:space="preserve"> during treatment with oral semaglutide (known effect of GLP-1 </w:t>
      </w:r>
      <w:r w:rsidR="00672D1A" w:rsidRPr="00836794">
        <w:t>receptor agonists</w:t>
      </w:r>
      <w:r w:rsidRPr="00836794">
        <w:t>).</w:t>
      </w:r>
    </w:p>
    <w:p w14:paraId="074E37B5" w14:textId="77777777" w:rsidR="00612622" w:rsidRPr="00836794" w:rsidRDefault="00A30C42" w:rsidP="00612622">
      <w:pPr>
        <w:pStyle w:val="Heading7"/>
        <w:rPr>
          <w:sz w:val="22"/>
          <w:szCs w:val="28"/>
          <w:lang w:eastAsia="ja-JP"/>
        </w:rPr>
      </w:pPr>
      <w:r w:rsidRPr="00836794">
        <w:rPr>
          <w:sz w:val="22"/>
          <w:szCs w:val="28"/>
          <w:lang w:eastAsia="ja-JP"/>
        </w:rPr>
        <w:t>Immunogenicity</w:t>
      </w:r>
    </w:p>
    <w:p w14:paraId="1A883439" w14:textId="555492A6" w:rsidR="00A30C42" w:rsidRPr="00836794" w:rsidRDefault="00A30C42" w:rsidP="00612622">
      <w:r w:rsidRPr="00836794">
        <w:t>There were few patients who developed anti-semaglutide antibodies and there were no patients with antibodies that neutralised endogenous GLP-1.</w:t>
      </w:r>
    </w:p>
    <w:p w14:paraId="2ED03311" w14:textId="77777777" w:rsidR="00612622" w:rsidRPr="00836794" w:rsidRDefault="00A30C42" w:rsidP="00612622">
      <w:pPr>
        <w:pStyle w:val="Heading7"/>
        <w:rPr>
          <w:sz w:val="22"/>
          <w:szCs w:val="28"/>
          <w:lang w:eastAsia="ja-JP"/>
        </w:rPr>
      </w:pPr>
      <w:r w:rsidRPr="00836794">
        <w:rPr>
          <w:sz w:val="22"/>
          <w:szCs w:val="28"/>
          <w:lang w:eastAsia="ja-JP"/>
        </w:rPr>
        <w:t>Hypoglycaemia</w:t>
      </w:r>
    </w:p>
    <w:p w14:paraId="76481F55" w14:textId="048285B9" w:rsidR="00A30C42" w:rsidRPr="00836794" w:rsidRDefault="00A30C42" w:rsidP="00612622">
      <w:r w:rsidRPr="00836794">
        <w:t xml:space="preserve">In monotherapy or as add-on treatment to metformin, the rate of severe hypoglycaemia was </w:t>
      </w:r>
      <w:proofErr w:type="gramStart"/>
      <w:r w:rsidRPr="00836794">
        <w:t>similar to</w:t>
      </w:r>
      <w:proofErr w:type="gramEnd"/>
      <w:r w:rsidRPr="00836794">
        <w:t xml:space="preserve"> comparators (DPP-4 inhibitor or SGLT-2 inhibitor) or placebo. However, in patients who had background insulin treatment the rate of hypoglycaemia was increased relative to placebo. Semaglutide also decreased hypoglycaemia awareness in Study</w:t>
      </w:r>
      <w:r w:rsidR="00A43E2A" w:rsidRPr="00836794">
        <w:t> </w:t>
      </w:r>
      <w:r w:rsidRPr="00836794">
        <w:t>NN9535-3684.</w:t>
      </w:r>
      <w:r w:rsidR="00EA7A6D">
        <w:rPr>
          <w:rStyle w:val="FootnoteReference"/>
        </w:rPr>
        <w:footnoteReference w:id="17"/>
      </w:r>
    </w:p>
    <w:p w14:paraId="29FEFF18" w14:textId="77777777" w:rsidR="00612622" w:rsidRPr="00836794" w:rsidRDefault="00A30C42" w:rsidP="00612622">
      <w:pPr>
        <w:pStyle w:val="Heading7"/>
        <w:rPr>
          <w:sz w:val="22"/>
          <w:szCs w:val="28"/>
          <w:lang w:eastAsia="ja-JP"/>
        </w:rPr>
      </w:pPr>
      <w:r w:rsidRPr="00836794">
        <w:rPr>
          <w:sz w:val="22"/>
          <w:szCs w:val="28"/>
          <w:lang w:eastAsia="ja-JP"/>
        </w:rPr>
        <w:t>Neoplasia</w:t>
      </w:r>
    </w:p>
    <w:p w14:paraId="47E6FBA9" w14:textId="62B3E257" w:rsidR="00A30C42" w:rsidRPr="00836794" w:rsidRDefault="00A30C42" w:rsidP="00612622">
      <w:r w:rsidRPr="00836794">
        <w:t>The rates were similar in the semaglutide, active comparator and placebo groups. The reported rates were too low to enable a statistical comparison between groups.</w:t>
      </w:r>
    </w:p>
    <w:p w14:paraId="2A8C98E3" w14:textId="77777777" w:rsidR="00612622" w:rsidRPr="00836794" w:rsidRDefault="00A30C42" w:rsidP="00612622">
      <w:pPr>
        <w:pStyle w:val="Heading7"/>
        <w:rPr>
          <w:sz w:val="22"/>
          <w:szCs w:val="28"/>
          <w:lang w:eastAsia="ja-JP"/>
        </w:rPr>
      </w:pPr>
      <w:r w:rsidRPr="00836794">
        <w:rPr>
          <w:sz w:val="22"/>
          <w:szCs w:val="28"/>
          <w:lang w:eastAsia="ja-JP"/>
        </w:rPr>
        <w:t>Diabetic retinopathy</w:t>
      </w:r>
    </w:p>
    <w:p w14:paraId="03515EEF" w14:textId="63AE2349" w:rsidR="00A30C42" w:rsidRPr="00836794" w:rsidRDefault="00A30C42" w:rsidP="00612622">
      <w:r w:rsidRPr="00836794">
        <w:t xml:space="preserve">The rates (mostly non-proliferative diabetic retinopathy not requiring treatment) were similar, but slightly greater with oral semaglutide compared to active comparators and placebo. This was not consistently </w:t>
      </w:r>
      <w:proofErr w:type="gramStart"/>
      <w:r w:rsidRPr="00836794">
        <w:t>observed, but</w:t>
      </w:r>
      <w:proofErr w:type="gramEnd"/>
      <w:r w:rsidRPr="00836794">
        <w:t xml:space="preserve"> should be documented as a warning in the PI.</w:t>
      </w:r>
    </w:p>
    <w:p w14:paraId="63B3B6D0" w14:textId="77777777" w:rsidR="00A30C42" w:rsidRPr="00836794" w:rsidRDefault="00A30C42" w:rsidP="004B6AD2">
      <w:pPr>
        <w:pStyle w:val="Heading6"/>
      </w:pPr>
      <w:r w:rsidRPr="00836794">
        <w:t>Safety in special populations</w:t>
      </w:r>
    </w:p>
    <w:p w14:paraId="7FE0F88A" w14:textId="77777777" w:rsidR="00612622" w:rsidRPr="00836794" w:rsidRDefault="00A30C42" w:rsidP="00612622">
      <w:pPr>
        <w:pStyle w:val="Heading7"/>
        <w:rPr>
          <w:sz w:val="22"/>
          <w:szCs w:val="28"/>
        </w:rPr>
      </w:pPr>
      <w:r w:rsidRPr="00836794">
        <w:rPr>
          <w:sz w:val="22"/>
          <w:szCs w:val="28"/>
        </w:rPr>
        <w:t>Age</w:t>
      </w:r>
    </w:p>
    <w:p w14:paraId="0079280E" w14:textId="6A6A0223" w:rsidR="00A30C42" w:rsidRPr="00836794" w:rsidRDefault="00A30C42" w:rsidP="00612622">
      <w:r w:rsidRPr="00836794">
        <w:t xml:space="preserve">The overall safety profiles were comparable across the age subgroups. The proportion of premature discontinuations increased with age </w:t>
      </w:r>
      <w:proofErr w:type="gramStart"/>
      <w:r w:rsidRPr="00836794">
        <w:t>overall, but</w:t>
      </w:r>
      <w:proofErr w:type="gramEnd"/>
      <w:r w:rsidRPr="00836794">
        <w:t xml:space="preserve"> was more pronounced with oral semaglutide with the majority of the subjects being on the 14 mg semaglutide dose.</w:t>
      </w:r>
    </w:p>
    <w:p w14:paraId="732B288B" w14:textId="77777777" w:rsidR="00612622" w:rsidRPr="00836794" w:rsidRDefault="00A30C42" w:rsidP="00612622">
      <w:pPr>
        <w:pStyle w:val="Heading7"/>
        <w:rPr>
          <w:sz w:val="22"/>
          <w:szCs w:val="28"/>
        </w:rPr>
      </w:pPr>
      <w:r w:rsidRPr="00836794">
        <w:rPr>
          <w:sz w:val="22"/>
          <w:szCs w:val="28"/>
        </w:rPr>
        <w:t>Pregnancy and lactation</w:t>
      </w:r>
    </w:p>
    <w:p w14:paraId="43024713" w14:textId="1C22FEFE" w:rsidR="00A30C42" w:rsidRPr="00836794" w:rsidRDefault="00A30C42" w:rsidP="00612622">
      <w:r w:rsidRPr="00836794">
        <w:t xml:space="preserve">Oral semaglutide has not been studied in pregnant or lactating women, and the potential risk with oral semaglutide treatment during pregnancy and lactation is unknown. </w:t>
      </w:r>
      <w:r w:rsidR="00A43E2A" w:rsidRPr="00836794">
        <w:t>Seven</w:t>
      </w:r>
      <w:r w:rsidRPr="00836794">
        <w:t xml:space="preserve"> </w:t>
      </w:r>
      <w:r w:rsidRPr="00836794">
        <w:lastRenderedPageBreak/>
        <w:t>pregnancies had no known associated congenital anomalies, but given the limited information, potential risks during pregnancy and lactation cannot be excluded. Oral semaglutide should not be used when pregnant or breastfeeding, and women of childbearing potential are recommended to use contraception when treated with oral semaglutide.</w:t>
      </w:r>
    </w:p>
    <w:p w14:paraId="496D8144" w14:textId="77777777" w:rsidR="00A30C42" w:rsidRPr="00836794" w:rsidRDefault="00A30C42" w:rsidP="00612622">
      <w:pPr>
        <w:pStyle w:val="Heading4"/>
      </w:pPr>
      <w:bookmarkStart w:id="97" w:name="_Toc241374326"/>
      <w:bookmarkStart w:id="98" w:name="_Ref272333048"/>
      <w:bookmarkStart w:id="99" w:name="_Toc272414679"/>
      <w:bookmarkStart w:id="100" w:name="_Toc290888543"/>
      <w:bookmarkStart w:id="101" w:name="_Toc416353758"/>
      <w:bookmarkStart w:id="102" w:name="_Toc421005301"/>
      <w:bookmarkStart w:id="103" w:name="_Toc432079182"/>
      <w:bookmarkStart w:id="104" w:name="_Toc432080755"/>
      <w:bookmarkStart w:id="105" w:name="_Toc61186017"/>
      <w:r w:rsidRPr="00836794">
        <w:t>Post-market experience</w:t>
      </w:r>
      <w:bookmarkEnd w:id="97"/>
      <w:bookmarkEnd w:id="98"/>
      <w:bookmarkEnd w:id="99"/>
      <w:bookmarkEnd w:id="100"/>
      <w:bookmarkEnd w:id="101"/>
      <w:bookmarkEnd w:id="102"/>
      <w:bookmarkEnd w:id="103"/>
      <w:bookmarkEnd w:id="104"/>
      <w:bookmarkEnd w:id="105"/>
    </w:p>
    <w:p w14:paraId="0904D916" w14:textId="3F924798" w:rsidR="00A30C42" w:rsidRPr="00836794" w:rsidRDefault="00A30C42" w:rsidP="00A30C42">
      <w:pPr>
        <w:rPr>
          <w:lang w:eastAsia="ja-JP"/>
        </w:rPr>
      </w:pPr>
      <w:r w:rsidRPr="00836794">
        <w:rPr>
          <w:lang w:eastAsia="ja-JP"/>
        </w:rPr>
        <w:t xml:space="preserve">No data on </w:t>
      </w:r>
      <w:r w:rsidR="007013B0" w:rsidRPr="00836794">
        <w:rPr>
          <w:lang w:eastAsia="ja-JP"/>
        </w:rPr>
        <w:t>Rybelsus</w:t>
      </w:r>
      <w:r w:rsidRPr="00836794">
        <w:rPr>
          <w:lang w:eastAsia="ja-JP"/>
        </w:rPr>
        <w:t xml:space="preserve"> (oral semaglutide) </w:t>
      </w:r>
      <w:r w:rsidR="00653C4E">
        <w:rPr>
          <w:lang w:eastAsia="ja-JP"/>
        </w:rPr>
        <w:t xml:space="preserve">is </w:t>
      </w:r>
      <w:r w:rsidRPr="00836794">
        <w:rPr>
          <w:lang w:eastAsia="ja-JP"/>
        </w:rPr>
        <w:t>available.</w:t>
      </w:r>
    </w:p>
    <w:p w14:paraId="1A08CA21" w14:textId="77777777" w:rsidR="00A30C42" w:rsidRPr="00836794" w:rsidRDefault="00A30C42" w:rsidP="00612622">
      <w:pPr>
        <w:pStyle w:val="Heading4"/>
      </w:pPr>
      <w:r w:rsidRPr="00836794">
        <w:t>Pharmacology studies</w:t>
      </w:r>
    </w:p>
    <w:p w14:paraId="1282238C" w14:textId="42DD875E" w:rsidR="00A30C42" w:rsidRPr="00836794" w:rsidRDefault="00A30C42" w:rsidP="00A30C42">
      <w:pPr>
        <w:rPr>
          <w:lang w:eastAsia="ja-JP"/>
        </w:rPr>
      </w:pPr>
      <w:r w:rsidRPr="00836794">
        <w:rPr>
          <w:lang w:eastAsia="ja-JP"/>
        </w:rPr>
        <w:t>The clinical pharmacology studies were primarily short-term and in volunteers and less informative for the target population on long-term semaglutide.</w:t>
      </w:r>
    </w:p>
    <w:p w14:paraId="45A50D16" w14:textId="77777777" w:rsidR="008E7846" w:rsidRPr="00836794" w:rsidRDefault="00386150" w:rsidP="007B6132">
      <w:pPr>
        <w:pStyle w:val="Heading3"/>
        <w:rPr>
          <w:lang w:eastAsia="en-AU"/>
        </w:rPr>
      </w:pPr>
      <w:bookmarkStart w:id="106" w:name="_Toc314842514"/>
      <w:bookmarkStart w:id="107" w:name="_Toc117791822"/>
      <w:r w:rsidRPr="00836794">
        <w:rPr>
          <w:lang w:eastAsia="en-AU"/>
        </w:rPr>
        <w:t>Risk m</w:t>
      </w:r>
      <w:r w:rsidR="008E7846" w:rsidRPr="00836794">
        <w:rPr>
          <w:lang w:eastAsia="en-AU"/>
        </w:rPr>
        <w:t xml:space="preserve">anagement </w:t>
      </w:r>
      <w:r w:rsidRPr="00836794">
        <w:rPr>
          <w:lang w:eastAsia="en-AU"/>
        </w:rPr>
        <w:t>p</w:t>
      </w:r>
      <w:r w:rsidR="008E7846" w:rsidRPr="00836794">
        <w:rPr>
          <w:lang w:eastAsia="en-AU"/>
        </w:rPr>
        <w:t>lan</w:t>
      </w:r>
      <w:bookmarkEnd w:id="106"/>
      <w:bookmarkEnd w:id="107"/>
    </w:p>
    <w:p w14:paraId="76D54D27" w14:textId="6BE693F2" w:rsidR="00A30C42" w:rsidRPr="00836794" w:rsidRDefault="00A43E2A" w:rsidP="00A30C42">
      <w:bookmarkStart w:id="108" w:name="_Toc247691531"/>
      <w:bookmarkStart w:id="109" w:name="_Toc314842515"/>
      <w:bookmarkStart w:id="110" w:name="_Toc196046505"/>
      <w:bookmarkStart w:id="111" w:name="_Toc196046949"/>
      <w:r w:rsidRPr="00836794">
        <w:t xml:space="preserve">The sponsor </w:t>
      </w:r>
      <w:r w:rsidR="00A30C42" w:rsidRPr="00836794">
        <w:t>has submitted EU-RMP version 4.4 (</w:t>
      </w:r>
      <w:r w:rsidR="000A2C1B" w:rsidRPr="00836794">
        <w:t xml:space="preserve">dated </w:t>
      </w:r>
      <w:r w:rsidR="00A30C42" w:rsidRPr="00836794">
        <w:t xml:space="preserve">6 April 2020; </w:t>
      </w:r>
      <w:r w:rsidR="000A2C1B" w:rsidRPr="00836794">
        <w:t>data lock point (DLP)</w:t>
      </w:r>
      <w:r w:rsidR="00A30C42" w:rsidRPr="00836794">
        <w:t xml:space="preserve"> 31</w:t>
      </w:r>
      <w:r w:rsidR="000A2C1B" w:rsidRPr="00836794">
        <w:t> </w:t>
      </w:r>
      <w:r w:rsidR="00A30C42" w:rsidRPr="00836794">
        <w:t xml:space="preserve">May 2018 (semaglutide </w:t>
      </w:r>
      <w:r w:rsidR="00331152" w:rsidRPr="00836794">
        <w:t>subcutaneous</w:t>
      </w:r>
      <w:r w:rsidR="00A30C42" w:rsidRPr="00836794">
        <w:t xml:space="preserve">) and 2 November 2018 (oral semaglutide)) and </w:t>
      </w:r>
      <w:r w:rsidR="000A2C1B" w:rsidRPr="00836794">
        <w:t>Australia specific annex (</w:t>
      </w:r>
      <w:r w:rsidR="00A30C42" w:rsidRPr="00836794">
        <w:t>ASA</w:t>
      </w:r>
      <w:r w:rsidR="000A2C1B" w:rsidRPr="00836794">
        <w:t>)</w:t>
      </w:r>
      <w:r w:rsidR="00A30C42" w:rsidRPr="00836794">
        <w:t xml:space="preserve"> version 1.1 (</w:t>
      </w:r>
      <w:r w:rsidR="000A2C1B" w:rsidRPr="00836794">
        <w:t xml:space="preserve">dated </w:t>
      </w:r>
      <w:r w:rsidR="00A30C42" w:rsidRPr="00836794">
        <w:t>28 August 2020) in support of this application. In response</w:t>
      </w:r>
      <w:r w:rsidR="00D64E7B">
        <w:t xml:space="preserve"> to </w:t>
      </w:r>
      <w:r w:rsidR="00D64E7B" w:rsidRPr="00D64E7B">
        <w:t>a TGA request for information</w:t>
      </w:r>
      <w:r w:rsidR="00A30C42" w:rsidRPr="00836794">
        <w:t>, the sponsor has submitted ASA version 1.2 (</w:t>
      </w:r>
      <w:r w:rsidR="000A2C1B" w:rsidRPr="00836794">
        <w:t xml:space="preserve">dated </w:t>
      </w:r>
      <w:r w:rsidR="00A30C42" w:rsidRPr="00836794">
        <w:t>12 May 2021), while the EU</w:t>
      </w:r>
      <w:r w:rsidR="000A2C1B" w:rsidRPr="00836794">
        <w:noBreakHyphen/>
      </w:r>
      <w:r w:rsidR="00A30C42" w:rsidRPr="00836794">
        <w:t>RMP version</w:t>
      </w:r>
      <w:r w:rsidRPr="00836794">
        <w:t> </w:t>
      </w:r>
      <w:r w:rsidR="00A30C42" w:rsidRPr="00836794">
        <w:t xml:space="preserve">4.4 remains the same as </w:t>
      </w:r>
      <w:r w:rsidRPr="00836794">
        <w:t>the first round of evaluation</w:t>
      </w:r>
      <w:r w:rsidR="00A30C42" w:rsidRPr="00836794">
        <w:t xml:space="preserve">. At </w:t>
      </w:r>
      <w:r w:rsidRPr="00836794">
        <w:t>the first round of evaluation</w:t>
      </w:r>
      <w:r w:rsidR="00A30C42" w:rsidRPr="00836794">
        <w:t xml:space="preserve"> the sponsor provided updated ASA version 1.2 (date</w:t>
      </w:r>
      <w:r w:rsidRPr="00836794">
        <w:t>d</w:t>
      </w:r>
      <w:r w:rsidR="00A30C42" w:rsidRPr="00836794">
        <w:t xml:space="preserve"> 30 August 2021).</w:t>
      </w:r>
    </w:p>
    <w:p w14:paraId="0F120193" w14:textId="2E396A7C" w:rsidR="0074163C" w:rsidRPr="00836794" w:rsidRDefault="0074163C" w:rsidP="0074163C">
      <w:r w:rsidRPr="00836794">
        <w:t xml:space="preserve">The summary of safety concerns and their associated risk monitoring and mitigation strategies are summarised in </w:t>
      </w:r>
      <w:r w:rsidR="007013B0" w:rsidRPr="00836794">
        <w:fldChar w:fldCharType="begin"/>
      </w:r>
      <w:r w:rsidR="007013B0" w:rsidRPr="00836794">
        <w:instrText xml:space="preserve"> REF _Ref97629131 \h </w:instrText>
      </w:r>
      <w:r w:rsidR="00836794" w:rsidRPr="00836794">
        <w:instrText xml:space="preserve"> \* MERGEFORMAT </w:instrText>
      </w:r>
      <w:r w:rsidR="007013B0" w:rsidRPr="00836794">
        <w:fldChar w:fldCharType="separate"/>
      </w:r>
      <w:r w:rsidR="00E5082D" w:rsidRPr="00CA6636">
        <w:t xml:space="preserve">Table </w:t>
      </w:r>
      <w:r w:rsidR="00E5082D">
        <w:rPr>
          <w:noProof/>
        </w:rPr>
        <w:t>14</w:t>
      </w:r>
      <w:r w:rsidR="007013B0" w:rsidRPr="00836794">
        <w:fldChar w:fldCharType="end"/>
      </w:r>
      <w:r w:rsidRPr="00836794">
        <w:t xml:space="preserve">. Further information regarding </w:t>
      </w:r>
      <w:r w:rsidR="00CC5044" w:rsidRPr="00836794">
        <w:t>the TGA</w:t>
      </w:r>
      <w:r w:rsidR="00BF7063" w:rsidRPr="00836794">
        <w:t>’</w:t>
      </w:r>
      <w:r w:rsidR="00CC5044" w:rsidRPr="00836794">
        <w:t>s r</w:t>
      </w:r>
      <w:r w:rsidRPr="00836794">
        <w:t xml:space="preserve">isk management approach can be found in </w:t>
      </w:r>
      <w:hyperlink r:id="rId30" w:history="1">
        <w:r w:rsidRPr="00836794">
          <w:rPr>
            <w:rStyle w:val="Hyperlink"/>
          </w:rPr>
          <w:t>risk management plans for medicines and biologicals</w:t>
        </w:r>
      </w:hyperlink>
      <w:r w:rsidRPr="00836794">
        <w:t xml:space="preserve"> and </w:t>
      </w:r>
      <w:hyperlink r:id="rId31" w:history="1">
        <w:r w:rsidRPr="00836794">
          <w:rPr>
            <w:rStyle w:val="Hyperlink"/>
          </w:rPr>
          <w:t>the TGA's risk management approach</w:t>
        </w:r>
      </w:hyperlink>
      <w:r w:rsidRPr="00836794">
        <w:t>.</w:t>
      </w:r>
    </w:p>
    <w:p w14:paraId="40D324EA" w14:textId="743F1B8C" w:rsidR="0074163C" w:rsidRPr="00CA6636" w:rsidRDefault="0074163C" w:rsidP="00CA6636">
      <w:pPr>
        <w:pStyle w:val="TableTitle"/>
      </w:pPr>
      <w:bookmarkStart w:id="112" w:name="_Ref97629131"/>
      <w:r w:rsidRPr="00CA6636">
        <w:t xml:space="preserve">Table </w:t>
      </w:r>
      <w:fldSimple w:instr=" SEQ Table \* ARABIC ">
        <w:r w:rsidR="00E5082D">
          <w:rPr>
            <w:noProof/>
          </w:rPr>
          <w:t>14</w:t>
        </w:r>
      </w:fldSimple>
      <w:bookmarkEnd w:id="112"/>
      <w:r w:rsidRPr="00CA6636">
        <w:t>: Summary of safety concerns</w:t>
      </w:r>
    </w:p>
    <w:tbl>
      <w:tblPr>
        <w:tblStyle w:val="TableTGAblue"/>
        <w:tblW w:w="8642" w:type="dxa"/>
        <w:tblLayout w:type="fixed"/>
        <w:tblLook w:val="04A0" w:firstRow="1" w:lastRow="0" w:firstColumn="1" w:lastColumn="0" w:noHBand="0" w:noVBand="1"/>
      </w:tblPr>
      <w:tblGrid>
        <w:gridCol w:w="1327"/>
        <w:gridCol w:w="3063"/>
        <w:gridCol w:w="992"/>
        <w:gridCol w:w="1134"/>
        <w:gridCol w:w="992"/>
        <w:gridCol w:w="1134"/>
      </w:tblGrid>
      <w:tr w:rsidR="00A30C42" w:rsidRPr="00836794" w14:paraId="701A39D2" w14:textId="77777777" w:rsidTr="00A30C42">
        <w:trPr>
          <w:cnfStyle w:val="100000000000" w:firstRow="1" w:lastRow="0" w:firstColumn="0" w:lastColumn="0" w:oddVBand="0" w:evenVBand="0" w:oddHBand="0" w:evenHBand="0" w:firstRowFirstColumn="0" w:firstRowLastColumn="0" w:lastRowFirstColumn="0" w:lastRowLastColumn="0"/>
          <w:trHeight w:val="131"/>
        </w:trPr>
        <w:tc>
          <w:tcPr>
            <w:tcW w:w="4390" w:type="dxa"/>
            <w:gridSpan w:val="2"/>
            <w:vMerge w:val="restart"/>
            <w:tcBorders>
              <w:top w:val="single" w:sz="4" w:space="0" w:color="auto"/>
              <w:left w:val="single" w:sz="4" w:space="0" w:color="auto"/>
              <w:bottom w:val="single" w:sz="4" w:space="0" w:color="auto"/>
              <w:right w:val="single" w:sz="4" w:space="0" w:color="auto"/>
            </w:tcBorders>
          </w:tcPr>
          <w:p w14:paraId="6633E258" w14:textId="77777777" w:rsidR="00A30C42" w:rsidRPr="00836794" w:rsidRDefault="00A30C42" w:rsidP="00A30C42">
            <w:pPr>
              <w:pStyle w:val="Tabletext"/>
              <w:spacing w:line="276" w:lineRule="auto"/>
              <w:ind w:left="0" w:right="0"/>
            </w:pPr>
            <w:r w:rsidRPr="00836794">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6F7F3EEE" w14:textId="77777777" w:rsidR="00A30C42" w:rsidRPr="00836794" w:rsidRDefault="00A30C42" w:rsidP="00A30C42">
            <w:pPr>
              <w:pStyle w:val="Tabletext"/>
              <w:spacing w:line="276" w:lineRule="auto"/>
              <w:ind w:left="0" w:right="0"/>
              <w:rPr>
                <w:sz w:val="18"/>
              </w:rPr>
            </w:pPr>
            <w:r w:rsidRPr="00836794">
              <w:rPr>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tcPr>
          <w:p w14:paraId="7F9E1F0D" w14:textId="6A3B7685" w:rsidR="00A30C42" w:rsidRPr="00836794" w:rsidRDefault="00A30C42" w:rsidP="00A30C42">
            <w:pPr>
              <w:pStyle w:val="Tabletext"/>
              <w:spacing w:line="276" w:lineRule="auto"/>
              <w:ind w:left="0" w:right="0"/>
              <w:rPr>
                <w:sz w:val="18"/>
              </w:rPr>
            </w:pPr>
            <w:r w:rsidRPr="00836794">
              <w:rPr>
                <w:sz w:val="18"/>
              </w:rPr>
              <w:t>Risk minimisation</w:t>
            </w:r>
          </w:p>
        </w:tc>
      </w:tr>
      <w:tr w:rsidR="00A30C42" w:rsidRPr="00836794" w14:paraId="761ED27A" w14:textId="77777777" w:rsidTr="00A30C42">
        <w:trPr>
          <w:trHeight w:val="150"/>
        </w:trPr>
        <w:tc>
          <w:tcPr>
            <w:tcW w:w="4390" w:type="dxa"/>
            <w:gridSpan w:val="2"/>
            <w:vMerge/>
            <w:tcBorders>
              <w:top w:val="single" w:sz="4" w:space="0" w:color="auto"/>
              <w:left w:val="single" w:sz="4" w:space="0" w:color="auto"/>
              <w:bottom w:val="single" w:sz="4" w:space="0" w:color="auto"/>
              <w:right w:val="single" w:sz="4" w:space="0" w:color="auto"/>
            </w:tcBorders>
            <w:shd w:val="clear" w:color="auto" w:fill="006DA7"/>
          </w:tcPr>
          <w:p w14:paraId="3929101F" w14:textId="77777777" w:rsidR="00A30C42" w:rsidRPr="00836794" w:rsidRDefault="00A30C42" w:rsidP="00A30C42">
            <w:pPr>
              <w:pStyle w:val="Tabletext"/>
              <w:spacing w:line="276" w:lineRule="auto"/>
              <w:ind w:left="0" w:right="0"/>
              <w:rPr>
                <w:b/>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775C3F37" w14:textId="77777777" w:rsidR="00A30C42" w:rsidRPr="00836794" w:rsidRDefault="00A30C42" w:rsidP="00A30C42">
            <w:pPr>
              <w:pStyle w:val="Tabletext"/>
              <w:spacing w:line="276" w:lineRule="auto"/>
              <w:ind w:left="0" w:right="0"/>
              <w:rPr>
                <w:b/>
                <w:color w:val="FFFFFF" w:themeColor="background1"/>
                <w:sz w:val="18"/>
              </w:rPr>
            </w:pPr>
            <w:r w:rsidRPr="00836794">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8F20589" w14:textId="77777777" w:rsidR="00A30C42" w:rsidRPr="00836794" w:rsidRDefault="00A30C42" w:rsidP="00A30C42">
            <w:pPr>
              <w:pStyle w:val="Tabletext"/>
              <w:spacing w:line="276" w:lineRule="auto"/>
              <w:ind w:left="0" w:right="0"/>
              <w:rPr>
                <w:b/>
                <w:color w:val="FFFFFF" w:themeColor="background1"/>
                <w:sz w:val="18"/>
              </w:rPr>
            </w:pPr>
            <w:r w:rsidRPr="00836794">
              <w:rPr>
                <w:b/>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67CB299D" w14:textId="77777777" w:rsidR="00A30C42" w:rsidRPr="00836794" w:rsidRDefault="00A30C42" w:rsidP="00A30C42">
            <w:pPr>
              <w:pStyle w:val="Tabletext"/>
              <w:spacing w:line="276" w:lineRule="auto"/>
              <w:ind w:left="0" w:right="0"/>
              <w:rPr>
                <w:b/>
                <w:color w:val="FFFFFF" w:themeColor="background1"/>
                <w:sz w:val="18"/>
              </w:rPr>
            </w:pPr>
            <w:r w:rsidRPr="00836794">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78086BDC" w14:textId="77777777" w:rsidR="00A30C42" w:rsidRPr="00836794" w:rsidRDefault="00A30C42" w:rsidP="00A30C42">
            <w:pPr>
              <w:pStyle w:val="Tabletext"/>
              <w:spacing w:line="276" w:lineRule="auto"/>
              <w:ind w:left="0" w:right="0"/>
              <w:rPr>
                <w:b/>
                <w:color w:val="FFFFFF" w:themeColor="background1"/>
                <w:sz w:val="18"/>
              </w:rPr>
            </w:pPr>
            <w:r w:rsidRPr="00836794">
              <w:rPr>
                <w:b/>
                <w:color w:val="FFFFFF" w:themeColor="background1"/>
                <w:sz w:val="18"/>
              </w:rPr>
              <w:t>Additional</w:t>
            </w:r>
          </w:p>
        </w:tc>
      </w:tr>
      <w:tr w:rsidR="00A30C42" w:rsidRPr="00836794" w14:paraId="5489D4DC" w14:textId="77777777" w:rsidTr="00A30C42">
        <w:trPr>
          <w:trHeight w:val="137"/>
        </w:trPr>
        <w:tc>
          <w:tcPr>
            <w:tcW w:w="1327" w:type="dxa"/>
            <w:tcBorders>
              <w:top w:val="single" w:sz="4" w:space="0" w:color="auto"/>
            </w:tcBorders>
          </w:tcPr>
          <w:p w14:paraId="177D8065" w14:textId="77777777" w:rsidR="00A30C42" w:rsidRPr="00836794" w:rsidRDefault="00A30C42" w:rsidP="00A30C42">
            <w:pPr>
              <w:pStyle w:val="Tabletext"/>
              <w:spacing w:line="276" w:lineRule="auto"/>
              <w:ind w:left="0" w:right="0"/>
              <w:rPr>
                <w:b/>
              </w:rPr>
            </w:pPr>
            <w:r w:rsidRPr="00836794">
              <w:rPr>
                <w:b/>
              </w:rPr>
              <w:t>Important identified risks</w:t>
            </w:r>
          </w:p>
        </w:tc>
        <w:tc>
          <w:tcPr>
            <w:tcW w:w="3063" w:type="dxa"/>
            <w:tcBorders>
              <w:top w:val="single" w:sz="4" w:space="0" w:color="auto"/>
            </w:tcBorders>
          </w:tcPr>
          <w:p w14:paraId="44B34FB9" w14:textId="77777777" w:rsidR="00A30C42" w:rsidRPr="00836794" w:rsidRDefault="00A30C42" w:rsidP="00A30C42">
            <w:pPr>
              <w:pStyle w:val="Tabletext"/>
              <w:spacing w:line="276" w:lineRule="auto"/>
              <w:ind w:left="0" w:right="0"/>
            </w:pPr>
            <w:r w:rsidRPr="00836794">
              <w:t xml:space="preserve">Diabetic retinopathy complications </w:t>
            </w:r>
          </w:p>
        </w:tc>
        <w:tc>
          <w:tcPr>
            <w:tcW w:w="992" w:type="dxa"/>
            <w:tcBorders>
              <w:top w:val="single" w:sz="4" w:space="0" w:color="auto"/>
            </w:tcBorders>
          </w:tcPr>
          <w:p w14:paraId="2E064C6B"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Borders>
              <w:top w:val="single" w:sz="4" w:space="0" w:color="auto"/>
            </w:tcBorders>
          </w:tcPr>
          <w:p w14:paraId="42AE610A" w14:textId="77777777" w:rsidR="00A30C42" w:rsidRPr="00836794" w:rsidRDefault="00A30C42" w:rsidP="00A30C42">
            <w:pPr>
              <w:pStyle w:val="Tabletext"/>
              <w:spacing w:line="276" w:lineRule="auto"/>
              <w:ind w:left="0" w:right="0"/>
              <w:jc w:val="center"/>
            </w:pPr>
            <w:r w:rsidRPr="00836794">
              <w:sym w:font="Wingdings" w:char="F0FC"/>
            </w:r>
            <w:r w:rsidRPr="00836794">
              <w:t>*</w:t>
            </w:r>
          </w:p>
        </w:tc>
        <w:tc>
          <w:tcPr>
            <w:tcW w:w="992" w:type="dxa"/>
            <w:tcBorders>
              <w:top w:val="single" w:sz="4" w:space="0" w:color="auto"/>
            </w:tcBorders>
          </w:tcPr>
          <w:p w14:paraId="36CD9101"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Borders>
              <w:top w:val="single" w:sz="4" w:space="0" w:color="auto"/>
            </w:tcBorders>
          </w:tcPr>
          <w:p w14:paraId="07409B13" w14:textId="77777777" w:rsidR="00A30C42" w:rsidRPr="00836794" w:rsidRDefault="00A30C42" w:rsidP="00A30C42">
            <w:pPr>
              <w:pStyle w:val="Tabletext"/>
              <w:spacing w:line="276" w:lineRule="auto"/>
              <w:ind w:left="0" w:right="0"/>
              <w:jc w:val="center"/>
            </w:pPr>
            <w:r w:rsidRPr="00836794">
              <w:t>–</w:t>
            </w:r>
          </w:p>
        </w:tc>
      </w:tr>
      <w:tr w:rsidR="00A30C42" w:rsidRPr="00836794" w14:paraId="0B1E570F" w14:textId="77777777" w:rsidTr="00A30C42">
        <w:trPr>
          <w:trHeight w:val="159"/>
        </w:trPr>
        <w:tc>
          <w:tcPr>
            <w:tcW w:w="1327" w:type="dxa"/>
            <w:vMerge w:val="restart"/>
          </w:tcPr>
          <w:p w14:paraId="46B7D529" w14:textId="77777777" w:rsidR="00A30C42" w:rsidRPr="00836794" w:rsidRDefault="00A30C42" w:rsidP="00A30C42">
            <w:pPr>
              <w:pStyle w:val="Tabletext"/>
              <w:spacing w:line="276" w:lineRule="auto"/>
              <w:ind w:left="0" w:right="0"/>
              <w:rPr>
                <w:b/>
              </w:rPr>
            </w:pPr>
            <w:r w:rsidRPr="00836794">
              <w:rPr>
                <w:b/>
              </w:rPr>
              <w:t>Important potential risks</w:t>
            </w:r>
          </w:p>
        </w:tc>
        <w:tc>
          <w:tcPr>
            <w:tcW w:w="3063" w:type="dxa"/>
          </w:tcPr>
          <w:p w14:paraId="15796C8D" w14:textId="77777777" w:rsidR="00A30C42" w:rsidRPr="00F654AF" w:rsidRDefault="00A30C42" w:rsidP="00A30C42">
            <w:pPr>
              <w:pStyle w:val="Tabletext"/>
              <w:spacing w:line="276" w:lineRule="auto"/>
              <w:ind w:left="0" w:right="0"/>
              <w:rPr>
                <w:lang w:val="fr-FR"/>
              </w:rPr>
            </w:pPr>
            <w:proofErr w:type="spellStart"/>
            <w:r w:rsidRPr="00F654AF">
              <w:rPr>
                <w:lang w:val="fr-FR"/>
              </w:rPr>
              <w:t>Neoplasms</w:t>
            </w:r>
            <w:proofErr w:type="spellEnd"/>
            <w:r w:rsidRPr="00F654AF">
              <w:rPr>
                <w:lang w:val="fr-FR"/>
              </w:rPr>
              <w:t xml:space="preserve"> (</w:t>
            </w:r>
            <w:proofErr w:type="spellStart"/>
            <w:r w:rsidRPr="00F654AF">
              <w:rPr>
                <w:lang w:val="fr-FR"/>
              </w:rPr>
              <w:t>malignant</w:t>
            </w:r>
            <w:proofErr w:type="spellEnd"/>
            <w:r w:rsidRPr="00F654AF">
              <w:rPr>
                <w:lang w:val="fr-FR"/>
              </w:rPr>
              <w:t xml:space="preserve"> and non-</w:t>
            </w:r>
            <w:proofErr w:type="spellStart"/>
            <w:r w:rsidRPr="00F654AF">
              <w:rPr>
                <w:lang w:val="fr-FR"/>
              </w:rPr>
              <w:t>malignant</w:t>
            </w:r>
            <w:proofErr w:type="spellEnd"/>
            <w:r w:rsidRPr="00F654AF">
              <w:rPr>
                <w:lang w:val="fr-FR"/>
              </w:rPr>
              <w:t>)</w:t>
            </w:r>
          </w:p>
        </w:tc>
        <w:tc>
          <w:tcPr>
            <w:tcW w:w="992" w:type="dxa"/>
          </w:tcPr>
          <w:p w14:paraId="6E460ADA"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101B3ECA" w14:textId="77777777" w:rsidR="00A30C42" w:rsidRPr="00836794" w:rsidRDefault="00A30C42" w:rsidP="00A30C42">
            <w:pPr>
              <w:pStyle w:val="Tabletext"/>
              <w:spacing w:line="276" w:lineRule="auto"/>
              <w:ind w:left="0" w:right="0"/>
              <w:jc w:val="center"/>
            </w:pPr>
            <w:r w:rsidRPr="00836794">
              <w:rPr>
                <w:color w:val="7030A0"/>
              </w:rPr>
              <w:sym w:font="Wingdings" w:char="F0FC"/>
            </w:r>
            <w:r w:rsidRPr="00836794">
              <w:rPr>
                <w:color w:val="7030A0"/>
              </w:rPr>
              <w:t>*</w:t>
            </w:r>
          </w:p>
        </w:tc>
        <w:tc>
          <w:tcPr>
            <w:tcW w:w="992" w:type="dxa"/>
          </w:tcPr>
          <w:p w14:paraId="00448CF3" w14:textId="77777777" w:rsidR="00A30C42" w:rsidRPr="00836794" w:rsidRDefault="00A30C42" w:rsidP="00A30C42">
            <w:pPr>
              <w:pStyle w:val="Tabletext"/>
              <w:spacing w:line="276" w:lineRule="auto"/>
              <w:ind w:left="0" w:right="0"/>
              <w:jc w:val="center"/>
            </w:pPr>
            <w:r w:rsidRPr="00836794">
              <w:t>–</w:t>
            </w:r>
          </w:p>
        </w:tc>
        <w:tc>
          <w:tcPr>
            <w:tcW w:w="1134" w:type="dxa"/>
          </w:tcPr>
          <w:p w14:paraId="60DFF747" w14:textId="77777777" w:rsidR="00A30C42" w:rsidRPr="00836794" w:rsidRDefault="00A30C42" w:rsidP="00A30C42">
            <w:pPr>
              <w:pStyle w:val="Tabletext"/>
              <w:spacing w:line="276" w:lineRule="auto"/>
              <w:ind w:left="0" w:right="0"/>
              <w:jc w:val="center"/>
            </w:pPr>
            <w:r w:rsidRPr="00836794">
              <w:t>–</w:t>
            </w:r>
          </w:p>
        </w:tc>
      </w:tr>
      <w:tr w:rsidR="00A30C42" w:rsidRPr="00836794" w14:paraId="34512D22" w14:textId="77777777" w:rsidTr="00A30C42">
        <w:trPr>
          <w:trHeight w:val="122"/>
        </w:trPr>
        <w:tc>
          <w:tcPr>
            <w:tcW w:w="1327" w:type="dxa"/>
            <w:vMerge/>
          </w:tcPr>
          <w:p w14:paraId="25FE8A68" w14:textId="77777777" w:rsidR="00A30C42" w:rsidRPr="00836794" w:rsidRDefault="00A30C42" w:rsidP="00A30C42">
            <w:pPr>
              <w:pStyle w:val="Tabletext"/>
              <w:spacing w:line="276" w:lineRule="auto"/>
              <w:ind w:left="0" w:right="0"/>
              <w:rPr>
                <w:b/>
              </w:rPr>
            </w:pPr>
          </w:p>
        </w:tc>
        <w:tc>
          <w:tcPr>
            <w:tcW w:w="3063" w:type="dxa"/>
          </w:tcPr>
          <w:p w14:paraId="311074D9" w14:textId="77777777" w:rsidR="00A30C42" w:rsidRPr="00836794" w:rsidRDefault="00A30C42" w:rsidP="00A30C42">
            <w:pPr>
              <w:pStyle w:val="Tabletext"/>
              <w:spacing w:line="276" w:lineRule="auto"/>
              <w:ind w:left="0" w:right="0"/>
            </w:pPr>
            <w:r w:rsidRPr="00836794">
              <w:t xml:space="preserve">Pancreatic cancer </w:t>
            </w:r>
          </w:p>
        </w:tc>
        <w:tc>
          <w:tcPr>
            <w:tcW w:w="992" w:type="dxa"/>
          </w:tcPr>
          <w:p w14:paraId="5F5F8418"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6E5B6FB2" w14:textId="77777777" w:rsidR="00A30C42" w:rsidRPr="00836794" w:rsidRDefault="00A30C42" w:rsidP="00A30C42">
            <w:pPr>
              <w:pStyle w:val="Tabletext"/>
              <w:spacing w:line="276" w:lineRule="auto"/>
              <w:ind w:left="0" w:right="0"/>
              <w:jc w:val="center"/>
            </w:pPr>
            <w:r w:rsidRPr="00836794">
              <w:sym w:font="Wingdings" w:char="F0FC"/>
            </w:r>
            <w:r w:rsidRPr="00836794">
              <w:t>*</w:t>
            </w:r>
          </w:p>
        </w:tc>
        <w:tc>
          <w:tcPr>
            <w:tcW w:w="992" w:type="dxa"/>
          </w:tcPr>
          <w:p w14:paraId="44D8FDD8"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538F1CD0" w14:textId="77777777" w:rsidR="00A30C42" w:rsidRPr="00836794" w:rsidRDefault="00A30C42" w:rsidP="00A30C42">
            <w:pPr>
              <w:pStyle w:val="Tabletext"/>
              <w:spacing w:line="276" w:lineRule="auto"/>
              <w:ind w:left="0" w:right="0"/>
              <w:jc w:val="center"/>
            </w:pPr>
            <w:r w:rsidRPr="00836794">
              <w:t>–</w:t>
            </w:r>
          </w:p>
        </w:tc>
      </w:tr>
      <w:tr w:rsidR="00A30C42" w:rsidRPr="00836794" w14:paraId="2EDA833D" w14:textId="77777777" w:rsidTr="00A30C42">
        <w:trPr>
          <w:trHeight w:val="112"/>
        </w:trPr>
        <w:tc>
          <w:tcPr>
            <w:tcW w:w="1327" w:type="dxa"/>
            <w:vMerge/>
          </w:tcPr>
          <w:p w14:paraId="293D3577" w14:textId="77777777" w:rsidR="00A30C42" w:rsidRPr="00836794" w:rsidRDefault="00A30C42" w:rsidP="00A30C42">
            <w:pPr>
              <w:pStyle w:val="Tabletext"/>
              <w:spacing w:line="276" w:lineRule="auto"/>
              <w:ind w:left="0" w:right="0"/>
              <w:rPr>
                <w:b/>
              </w:rPr>
            </w:pPr>
          </w:p>
        </w:tc>
        <w:tc>
          <w:tcPr>
            <w:tcW w:w="3063" w:type="dxa"/>
          </w:tcPr>
          <w:p w14:paraId="2C38CDFB" w14:textId="77777777" w:rsidR="00A30C42" w:rsidRPr="00836794" w:rsidRDefault="00A30C42" w:rsidP="00A30C42">
            <w:pPr>
              <w:pStyle w:val="Tabletext"/>
              <w:spacing w:line="276" w:lineRule="auto"/>
              <w:ind w:left="0" w:right="0"/>
            </w:pPr>
            <w:r w:rsidRPr="00836794">
              <w:t xml:space="preserve">Medullary thyroid cancer </w:t>
            </w:r>
          </w:p>
        </w:tc>
        <w:tc>
          <w:tcPr>
            <w:tcW w:w="992" w:type="dxa"/>
          </w:tcPr>
          <w:p w14:paraId="1A42CF0F"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100E20C2" w14:textId="77777777" w:rsidR="00A30C42" w:rsidRPr="00836794" w:rsidRDefault="00A30C42" w:rsidP="00A30C42">
            <w:pPr>
              <w:pStyle w:val="Tabletext"/>
              <w:spacing w:line="276" w:lineRule="auto"/>
              <w:ind w:left="0" w:right="0"/>
              <w:jc w:val="center"/>
            </w:pPr>
            <w:r w:rsidRPr="00836794">
              <w:sym w:font="Wingdings" w:char="F0FC"/>
            </w:r>
            <w:r w:rsidRPr="00836794">
              <w:t>*</w:t>
            </w:r>
          </w:p>
        </w:tc>
        <w:tc>
          <w:tcPr>
            <w:tcW w:w="992" w:type="dxa"/>
          </w:tcPr>
          <w:p w14:paraId="090B6FB2"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16C8C281" w14:textId="77777777" w:rsidR="00A30C42" w:rsidRPr="00836794" w:rsidRDefault="00A30C42" w:rsidP="00A30C42">
            <w:pPr>
              <w:pStyle w:val="Tabletext"/>
              <w:spacing w:line="276" w:lineRule="auto"/>
              <w:ind w:left="0" w:right="0"/>
              <w:jc w:val="center"/>
            </w:pPr>
            <w:r w:rsidRPr="00836794">
              <w:t>–</w:t>
            </w:r>
          </w:p>
        </w:tc>
      </w:tr>
      <w:tr w:rsidR="00A30C42" w:rsidRPr="00836794" w14:paraId="3F51D29F" w14:textId="77777777" w:rsidTr="00A30C42">
        <w:trPr>
          <w:trHeight w:val="112"/>
        </w:trPr>
        <w:tc>
          <w:tcPr>
            <w:tcW w:w="1327" w:type="dxa"/>
            <w:vMerge/>
          </w:tcPr>
          <w:p w14:paraId="0FE993BB" w14:textId="77777777" w:rsidR="00A30C42" w:rsidRPr="00836794" w:rsidRDefault="00A30C42" w:rsidP="00A30C42">
            <w:pPr>
              <w:pStyle w:val="Tabletext"/>
              <w:spacing w:line="276" w:lineRule="auto"/>
              <w:ind w:left="0" w:right="0"/>
              <w:rPr>
                <w:b/>
              </w:rPr>
            </w:pPr>
          </w:p>
        </w:tc>
        <w:tc>
          <w:tcPr>
            <w:tcW w:w="3063" w:type="dxa"/>
          </w:tcPr>
          <w:p w14:paraId="0ED514E0" w14:textId="77777777" w:rsidR="00A30C42" w:rsidRPr="00836794" w:rsidRDefault="00A30C42" w:rsidP="00A30C42">
            <w:pPr>
              <w:pStyle w:val="Tabletext"/>
              <w:spacing w:line="276" w:lineRule="auto"/>
              <w:ind w:left="0" w:right="0"/>
            </w:pPr>
            <w:r w:rsidRPr="00836794">
              <w:t>Pregnancy and lactation</w:t>
            </w:r>
            <w:r w:rsidRPr="00836794">
              <w:rPr>
                <w:vertAlign w:val="superscript"/>
              </w:rPr>
              <w:t>†</w:t>
            </w:r>
          </w:p>
        </w:tc>
        <w:tc>
          <w:tcPr>
            <w:tcW w:w="992" w:type="dxa"/>
          </w:tcPr>
          <w:p w14:paraId="1F8E81BC"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3913D127" w14:textId="77777777" w:rsidR="00A30C42" w:rsidRPr="00836794" w:rsidRDefault="00A30C42" w:rsidP="00A30C42">
            <w:pPr>
              <w:pStyle w:val="Tabletext"/>
              <w:spacing w:line="276" w:lineRule="auto"/>
              <w:ind w:left="0" w:right="0"/>
              <w:jc w:val="center"/>
            </w:pPr>
            <w:r w:rsidRPr="00836794">
              <w:t>–</w:t>
            </w:r>
          </w:p>
        </w:tc>
        <w:tc>
          <w:tcPr>
            <w:tcW w:w="992" w:type="dxa"/>
          </w:tcPr>
          <w:p w14:paraId="484BA66D"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193C7499" w14:textId="77777777" w:rsidR="00A30C42" w:rsidRPr="00836794" w:rsidRDefault="00A30C42" w:rsidP="00A30C42">
            <w:pPr>
              <w:pStyle w:val="Tabletext"/>
              <w:spacing w:line="276" w:lineRule="auto"/>
              <w:ind w:left="0" w:right="0"/>
              <w:jc w:val="center"/>
            </w:pPr>
            <w:r w:rsidRPr="00836794">
              <w:t>–</w:t>
            </w:r>
          </w:p>
        </w:tc>
      </w:tr>
      <w:tr w:rsidR="00A30C42" w:rsidRPr="00836794" w14:paraId="480D1BAA" w14:textId="77777777" w:rsidTr="00A30C42">
        <w:trPr>
          <w:trHeight w:val="178"/>
        </w:trPr>
        <w:tc>
          <w:tcPr>
            <w:tcW w:w="1327" w:type="dxa"/>
          </w:tcPr>
          <w:p w14:paraId="4109EAB7" w14:textId="77777777" w:rsidR="00A30C42" w:rsidRPr="00836794" w:rsidRDefault="00A30C42" w:rsidP="00A30C42">
            <w:pPr>
              <w:pStyle w:val="Tabletext"/>
              <w:spacing w:line="276" w:lineRule="auto"/>
              <w:ind w:left="0" w:right="0"/>
              <w:rPr>
                <w:b/>
              </w:rPr>
            </w:pPr>
            <w:r w:rsidRPr="00836794">
              <w:rPr>
                <w:b/>
              </w:rPr>
              <w:t>Missing information</w:t>
            </w:r>
          </w:p>
        </w:tc>
        <w:tc>
          <w:tcPr>
            <w:tcW w:w="3063" w:type="dxa"/>
          </w:tcPr>
          <w:p w14:paraId="347E36DD" w14:textId="77777777" w:rsidR="00A30C42" w:rsidRPr="00836794" w:rsidRDefault="00A30C42" w:rsidP="00A30C42">
            <w:pPr>
              <w:pStyle w:val="Tabletext"/>
              <w:spacing w:line="276" w:lineRule="auto"/>
              <w:ind w:left="0" w:right="0"/>
            </w:pPr>
            <w:r w:rsidRPr="00836794">
              <w:t xml:space="preserve">Patients with severe hepatic impairment </w:t>
            </w:r>
          </w:p>
        </w:tc>
        <w:tc>
          <w:tcPr>
            <w:tcW w:w="992" w:type="dxa"/>
          </w:tcPr>
          <w:p w14:paraId="690B8197"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79777EBB" w14:textId="77777777" w:rsidR="00A30C42" w:rsidRPr="00836794" w:rsidRDefault="00A30C42" w:rsidP="00A30C42">
            <w:pPr>
              <w:pStyle w:val="Tabletext"/>
              <w:spacing w:line="276" w:lineRule="auto"/>
              <w:ind w:left="0" w:right="0"/>
              <w:jc w:val="center"/>
            </w:pPr>
            <w:r w:rsidRPr="00836794">
              <w:t>–</w:t>
            </w:r>
          </w:p>
        </w:tc>
        <w:tc>
          <w:tcPr>
            <w:tcW w:w="992" w:type="dxa"/>
          </w:tcPr>
          <w:p w14:paraId="7845B5F4" w14:textId="77777777" w:rsidR="00A30C42" w:rsidRPr="00836794" w:rsidRDefault="00A30C42" w:rsidP="00A30C42">
            <w:pPr>
              <w:pStyle w:val="Tabletext"/>
              <w:spacing w:line="276" w:lineRule="auto"/>
              <w:ind w:left="0" w:right="0"/>
              <w:jc w:val="center"/>
            </w:pPr>
            <w:r w:rsidRPr="00836794">
              <w:sym w:font="Wingdings" w:char="F0FC"/>
            </w:r>
          </w:p>
        </w:tc>
        <w:tc>
          <w:tcPr>
            <w:tcW w:w="1134" w:type="dxa"/>
          </w:tcPr>
          <w:p w14:paraId="256252BE" w14:textId="77777777" w:rsidR="00A30C42" w:rsidRPr="00836794" w:rsidRDefault="00A30C42" w:rsidP="00A30C42">
            <w:pPr>
              <w:pStyle w:val="Tabletext"/>
              <w:spacing w:line="276" w:lineRule="auto"/>
              <w:ind w:left="0" w:right="0"/>
              <w:jc w:val="center"/>
            </w:pPr>
            <w:r w:rsidRPr="00836794">
              <w:t>–</w:t>
            </w:r>
          </w:p>
        </w:tc>
      </w:tr>
    </w:tbl>
    <w:p w14:paraId="39EB1E07" w14:textId="77777777" w:rsidR="00A30C42" w:rsidRPr="00CA6636" w:rsidRDefault="00A30C42" w:rsidP="00CA6636">
      <w:pPr>
        <w:pStyle w:val="TableDescription"/>
      </w:pPr>
      <w:r w:rsidRPr="00CA6636">
        <w:t>* Planned pharmacovigilance studies</w:t>
      </w:r>
    </w:p>
    <w:p w14:paraId="6E5D70AB" w14:textId="4BEB5BA7" w:rsidR="00A30C42" w:rsidRPr="00CA6636" w:rsidRDefault="00A30C42" w:rsidP="00CA6636">
      <w:pPr>
        <w:pStyle w:val="TableDescription"/>
      </w:pPr>
      <w:r w:rsidRPr="00CA6636">
        <w:t xml:space="preserve">† Requested by </w:t>
      </w:r>
      <w:r w:rsidR="00A43E2A" w:rsidRPr="00CA6636">
        <w:t>risk management plan (RMP)</w:t>
      </w:r>
      <w:r w:rsidRPr="00CA6636">
        <w:t xml:space="preserve"> evaluator as an important potential risk (</w:t>
      </w:r>
      <w:r w:rsidR="00A43E2A" w:rsidRPr="00CA6636">
        <w:t>m</w:t>
      </w:r>
      <w:r w:rsidRPr="00CA6636">
        <w:t xml:space="preserve">issing information in the </w:t>
      </w:r>
      <w:r w:rsidR="00A43E2A" w:rsidRPr="00CA6636">
        <w:t>European Union-</w:t>
      </w:r>
      <w:r w:rsidRPr="00CA6636">
        <w:t>RMP)</w:t>
      </w:r>
    </w:p>
    <w:p w14:paraId="11B85439" w14:textId="42DFA4D8" w:rsidR="00A30C42" w:rsidRPr="00836794" w:rsidRDefault="00A30C42" w:rsidP="00A30C42">
      <w:pPr>
        <w:pStyle w:val="ListBullet"/>
      </w:pPr>
      <w:r w:rsidRPr="00836794">
        <w:lastRenderedPageBreak/>
        <w:t xml:space="preserve">The proposed summary of safety concerns is considered acceptable. Pregnancy and lactation </w:t>
      </w:r>
      <w:r w:rsidR="00A43E2A" w:rsidRPr="00836794">
        <w:t>are</w:t>
      </w:r>
      <w:r w:rsidRPr="00836794">
        <w:t xml:space="preserve"> considered an important potential risk based on the </w:t>
      </w:r>
      <w:r w:rsidRPr="00836794">
        <w:rPr>
          <w:bCs/>
        </w:rPr>
        <w:t>embryo lethality and toxicity found in animal studies and the Category D classification.</w:t>
      </w:r>
    </w:p>
    <w:p w14:paraId="6783CB2C" w14:textId="269995AD" w:rsidR="00A30C42" w:rsidRPr="00836794" w:rsidRDefault="00A30C42" w:rsidP="00A30C42">
      <w:pPr>
        <w:pStyle w:val="ListBullet"/>
        <w:rPr>
          <w:strike/>
        </w:rPr>
      </w:pPr>
      <w:r w:rsidRPr="00836794">
        <w:t xml:space="preserve">The sponsor has proposed routine pharmacovigilance activities only in Australia for all safety concerns. The sponsor has proposed international additional pharmacovigilance studies to address diabetic retinopathy complications, pancreatic </w:t>
      </w:r>
      <w:proofErr w:type="gramStart"/>
      <w:r w:rsidRPr="00836794">
        <w:t>cancer</w:t>
      </w:r>
      <w:proofErr w:type="gramEnd"/>
      <w:r w:rsidRPr="00836794">
        <w:t xml:space="preserve"> and medullary thyroid cancer. The important potential risk of neoplasms will be monitored through serious adverse event reporting in the post-market studies. This is acceptable.</w:t>
      </w:r>
    </w:p>
    <w:p w14:paraId="754F137E" w14:textId="506A3122" w:rsidR="00A30C42" w:rsidRPr="00836794" w:rsidRDefault="00A30C42" w:rsidP="00A30C42">
      <w:pPr>
        <w:pStyle w:val="ListBullet"/>
      </w:pPr>
      <w:r w:rsidRPr="00836794">
        <w:t xml:space="preserve">The sponsor has proposed routine risk minimisation activities for all safety concerns. The </w:t>
      </w:r>
      <w:r w:rsidR="000A2C1B" w:rsidRPr="00836794">
        <w:t>Consumer Medicines Information (</w:t>
      </w:r>
      <w:r w:rsidRPr="00836794">
        <w:t>CMI</w:t>
      </w:r>
      <w:r w:rsidR="000A2C1B" w:rsidRPr="00836794">
        <w:t>)</w:t>
      </w:r>
      <w:r w:rsidRPr="00836794">
        <w:t xml:space="preserve"> will be included as a package insert. The sponsor has proposed no additional risk minimisation activities. This is considered acceptable.</w:t>
      </w:r>
    </w:p>
    <w:p w14:paraId="013B9678" w14:textId="77777777" w:rsidR="008E7846" w:rsidRPr="00836794" w:rsidRDefault="00AA0ED0" w:rsidP="008E7846">
      <w:pPr>
        <w:pStyle w:val="Heading3"/>
      </w:pPr>
      <w:bookmarkStart w:id="113" w:name="_Toc117791823"/>
      <w:r w:rsidRPr="00836794">
        <w:t>Risk-benefit a</w:t>
      </w:r>
      <w:r w:rsidR="008E7846" w:rsidRPr="00836794">
        <w:t>nalysis</w:t>
      </w:r>
      <w:bookmarkEnd w:id="108"/>
      <w:bookmarkEnd w:id="109"/>
      <w:bookmarkEnd w:id="113"/>
    </w:p>
    <w:p w14:paraId="66083011" w14:textId="77777777" w:rsidR="0074163C" w:rsidRPr="00836794" w:rsidRDefault="0074163C" w:rsidP="0074163C">
      <w:pPr>
        <w:pStyle w:val="Heading4"/>
      </w:pPr>
      <w:bookmarkStart w:id="114" w:name="_Toc98931932"/>
      <w:r w:rsidRPr="00836794">
        <w:t>Delegate’s considerations</w:t>
      </w:r>
      <w:bookmarkEnd w:id="114"/>
    </w:p>
    <w:p w14:paraId="2ACF50C4" w14:textId="77777777" w:rsidR="00BD6E5A" w:rsidRPr="00836794" w:rsidRDefault="00BD6E5A" w:rsidP="00BD6E5A">
      <w:pPr>
        <w:pStyle w:val="Heading5"/>
      </w:pPr>
      <w:r w:rsidRPr="00836794">
        <w:t>Pharmacology</w:t>
      </w:r>
    </w:p>
    <w:p w14:paraId="6E5A2FCB" w14:textId="6755224A" w:rsidR="00BD6E5A" w:rsidRPr="00836794" w:rsidRDefault="000A2C1B" w:rsidP="00BD6E5A">
      <w:proofErr w:type="spellStart"/>
      <w:r w:rsidRPr="00836794">
        <w:t>Salcaprozate</w:t>
      </w:r>
      <w:proofErr w:type="spellEnd"/>
      <w:r w:rsidRPr="00836794">
        <w:t xml:space="preserve"> sodium (</w:t>
      </w:r>
      <w:r w:rsidR="00BD6E5A" w:rsidRPr="00836794">
        <w:t>SNAC</w:t>
      </w:r>
      <w:r w:rsidRPr="00836794">
        <w:t>)</w:t>
      </w:r>
      <w:r w:rsidR="00BD6E5A" w:rsidRPr="00836794">
        <w:t xml:space="preserve"> is a novel excipient and an absorption enhancer. The three proposed Rybelsus tablet strengths (3, 7 and 14 mg) each contain the same amount of SNAC (300 mg). SNAC acts to enhance absorption via the transcellular route (through membrane incorporation and </w:t>
      </w:r>
      <w:proofErr w:type="spellStart"/>
      <w:r w:rsidR="00BD6E5A" w:rsidRPr="00836794">
        <w:t>permeabilisation</w:t>
      </w:r>
      <w:proofErr w:type="spellEnd"/>
      <w:r w:rsidR="00BD6E5A" w:rsidRPr="00836794">
        <w:t xml:space="preserve">). The stomach is the key site for SNAC action and semaglutide absorption. An up to </w:t>
      </w:r>
      <w:r w:rsidR="005B59BF" w:rsidRPr="00836794">
        <w:t xml:space="preserve">approximate </w:t>
      </w:r>
      <w:r w:rsidR="00BD6E5A" w:rsidRPr="00836794">
        <w:t xml:space="preserve">7-fold increase in the apparent permeability of semaglutide was demonstrated </w:t>
      </w:r>
      <w:r w:rsidR="00BD6E5A" w:rsidRPr="00836794">
        <w:rPr>
          <w:i/>
          <w:iCs/>
        </w:rPr>
        <w:t>in vitro</w:t>
      </w:r>
      <w:r w:rsidR="00BD6E5A" w:rsidRPr="00836794">
        <w:t xml:space="preserve"> with the absorption enhancing effect of SNAC seen to be quickly reversed. Safety of SNAC has been adequately demonstrated in nonclinical studies, along with a low potential for it to cause </w:t>
      </w:r>
      <w:r w:rsidR="00F918C9" w:rsidRPr="00836794">
        <w:t>PK</w:t>
      </w:r>
      <w:r w:rsidR="00BD6E5A" w:rsidRPr="00836794">
        <w:t xml:space="preserve"> interactions with other medicines.</w:t>
      </w:r>
    </w:p>
    <w:p w14:paraId="14E85F42" w14:textId="5CF0466B" w:rsidR="00BD6E5A" w:rsidRPr="00836794" w:rsidRDefault="00BD6E5A" w:rsidP="00BD6E5A">
      <w:r w:rsidRPr="00836794">
        <w:t>The clinical PK profiles of oral semaglutide and SNAC were generally adequately characterised. SNAC and its metabolites do not appear to be pharmacologically active. No clinical trials with oral semaglutide were conducted without SNAC. Therefore, it is not known whether oral semaglutide on its own without SNAC would have had similar absorption characteristics.</w:t>
      </w:r>
    </w:p>
    <w:p w14:paraId="319B18A8" w14:textId="08CA60E6" w:rsidR="00BD6E5A" w:rsidRPr="00836794" w:rsidRDefault="00BD6E5A" w:rsidP="00BD6E5A">
      <w:r w:rsidRPr="00836794">
        <w:t>The absorption of oral semaglutide is heavily dependent on drug intake conditions. The clinical data have shown that administration with food, large amounts of water, and potentially other tablets may reduce absorption and exposure, potentially leading to reduced effectiveness.</w:t>
      </w:r>
    </w:p>
    <w:p w14:paraId="260DA8EB" w14:textId="77777777" w:rsidR="00BD6E5A" w:rsidRPr="00836794" w:rsidRDefault="00BD6E5A" w:rsidP="00BD6E5A">
      <w:r w:rsidRPr="00836794">
        <w:t>These results were reflected in the administration advice for oral semaglutide in the pivotal studies: overnight fast, ingest at least 30 minutes prior to food or other medications, and ingest with up to 120 mL water. Not adhering to these instructions would significantly decrease absorption and exposure to semaglutide.</w:t>
      </w:r>
    </w:p>
    <w:p w14:paraId="75160893" w14:textId="77777777" w:rsidR="00BD6E5A" w:rsidRPr="00836794" w:rsidRDefault="00BD6E5A" w:rsidP="00BD6E5A">
      <w:r w:rsidRPr="00836794">
        <w:t>This is reflected in the proposed Australian PI:</w:t>
      </w:r>
    </w:p>
    <w:p w14:paraId="6953DAFF" w14:textId="4A3C903D" w:rsidR="00BD6E5A" w:rsidRPr="00836794" w:rsidRDefault="005B59BF" w:rsidP="005B59BF">
      <w:pPr>
        <w:ind w:left="720"/>
        <w:rPr>
          <w:i/>
          <w:iCs/>
        </w:rPr>
      </w:pPr>
      <w:r w:rsidRPr="00836794">
        <w:rPr>
          <w:i/>
          <w:iCs/>
        </w:rPr>
        <w:t>‘</w:t>
      </w:r>
      <w:r w:rsidR="00BD6E5A" w:rsidRPr="00836794">
        <w:rPr>
          <w:i/>
          <w:iCs/>
        </w:rPr>
        <w:t xml:space="preserve">Rybelsus should be taken on an empty stomach. Rybelsus should be swallowed whole with up to half a glass of water equivalent to 120 </w:t>
      </w:r>
      <w:proofErr w:type="spellStart"/>
      <w:r w:rsidR="00BD6E5A" w:rsidRPr="00836794">
        <w:rPr>
          <w:i/>
          <w:iCs/>
        </w:rPr>
        <w:t>m</w:t>
      </w:r>
      <w:r w:rsidR="00043B89">
        <w:rPr>
          <w:i/>
          <w:iCs/>
        </w:rPr>
        <w:t>L</w:t>
      </w:r>
      <w:r w:rsidR="00BD6E5A" w:rsidRPr="00836794">
        <w:rPr>
          <w:i/>
          <w:iCs/>
        </w:rPr>
        <w:t>.</w:t>
      </w:r>
      <w:proofErr w:type="spellEnd"/>
      <w:r w:rsidR="00BD6E5A" w:rsidRPr="00836794">
        <w:rPr>
          <w:i/>
          <w:iCs/>
        </w:rPr>
        <w:t xml:space="preserve"> Do not split, </w:t>
      </w:r>
      <w:proofErr w:type="gramStart"/>
      <w:r w:rsidR="00BD6E5A" w:rsidRPr="00836794">
        <w:rPr>
          <w:i/>
          <w:iCs/>
        </w:rPr>
        <w:t>crush</w:t>
      </w:r>
      <w:proofErr w:type="gramEnd"/>
      <w:r w:rsidR="00BD6E5A" w:rsidRPr="00836794">
        <w:rPr>
          <w:i/>
          <w:iCs/>
        </w:rPr>
        <w:t xml:space="preserve"> or chew the tablet. Wait at least 30 minutes before the first meal or drink of the day or taking other oral medicinal products. Waiting less than 30 minutes may decrease the absorption of semaglutide.</w:t>
      </w:r>
      <w:r w:rsidRPr="00836794">
        <w:rPr>
          <w:i/>
          <w:iCs/>
        </w:rPr>
        <w:t>’</w:t>
      </w:r>
    </w:p>
    <w:p w14:paraId="5105628B" w14:textId="20632807" w:rsidR="00BD6E5A" w:rsidRPr="00836794" w:rsidRDefault="00BD6E5A" w:rsidP="00BD6E5A">
      <w:r w:rsidRPr="00836794">
        <w:t xml:space="preserve">Furthermore, oral semaglutide absorption was highly variable with relevant data showing an intra-individual CV% from 23.6% to 102.6%, and an inter-individual CV% from 48.4% </w:t>
      </w:r>
      <w:r w:rsidRPr="00836794">
        <w:lastRenderedPageBreak/>
        <w:t>to 261.8%. This may be partly due to compliance issue (</w:t>
      </w:r>
      <w:r w:rsidR="008027CC" w:rsidRPr="00836794">
        <w:t>for example,</w:t>
      </w:r>
      <w:r w:rsidRPr="00836794">
        <w:t xml:space="preserve"> related to the non</w:t>
      </w:r>
      <w:r w:rsidR="005B59BF" w:rsidRPr="00836794">
        <w:noBreakHyphen/>
      </w:r>
      <w:r w:rsidRPr="00836794">
        <w:t xml:space="preserve">adherence to the strict dosing regimen, or </w:t>
      </w:r>
      <w:r w:rsidR="00331152" w:rsidRPr="00836794">
        <w:t>gastrointestinal</w:t>
      </w:r>
      <w:r w:rsidRPr="00836794">
        <w:t xml:space="preserve"> AEs such as nausea).</w:t>
      </w:r>
    </w:p>
    <w:p w14:paraId="56A25CA4" w14:textId="77777777" w:rsidR="00BD6E5A" w:rsidRPr="00836794" w:rsidRDefault="00BD6E5A" w:rsidP="00BD6E5A">
      <w:pPr>
        <w:pStyle w:val="Heading5"/>
      </w:pPr>
      <w:r w:rsidRPr="00836794">
        <w:t>Efficacy</w:t>
      </w:r>
    </w:p>
    <w:p w14:paraId="2DC8D9DE" w14:textId="4CCF6CCD" w:rsidR="00BD6E5A" w:rsidRPr="00836794" w:rsidRDefault="00BD6E5A" w:rsidP="00BD6E5A">
      <w:r w:rsidRPr="00836794">
        <w:t xml:space="preserve">The </w:t>
      </w:r>
      <w:r w:rsidR="00DD79E3" w:rsidRPr="00836794">
        <w:t>sponsor</w:t>
      </w:r>
      <w:r w:rsidRPr="00836794">
        <w:t xml:space="preserve"> has performed a Phase </w:t>
      </w:r>
      <w:r w:rsidR="00DD79E3" w:rsidRPr="00836794">
        <w:t>III</w:t>
      </w:r>
      <w:r w:rsidRPr="00836794">
        <w:t>a development program with 7 pivotal efficacy studies and 2 supportive studies.</w:t>
      </w:r>
    </w:p>
    <w:p w14:paraId="0D5AEEC5" w14:textId="77777777" w:rsidR="00BD6E5A" w:rsidRPr="00836794" w:rsidRDefault="00BD6E5A" w:rsidP="00BD6E5A">
      <w:r w:rsidRPr="00836794">
        <w:t>The clinical studies in the program were designed and conducted in accordance with regulatory guidelines. In addition, the outcome measures used included accepted target endpoints from clinical guidelines, such as:</w:t>
      </w:r>
    </w:p>
    <w:p w14:paraId="7486BC3A" w14:textId="67D3B0BE" w:rsidR="00BD6E5A" w:rsidRPr="00836794" w:rsidRDefault="00BD6E5A" w:rsidP="00BD6E5A">
      <w:pPr>
        <w:pStyle w:val="ListBullet"/>
      </w:pPr>
      <w:r w:rsidRPr="00836794">
        <w:t>HbA1c &lt;</w:t>
      </w:r>
      <w:r w:rsidR="005B59BF" w:rsidRPr="00836794">
        <w:t xml:space="preserve"> </w:t>
      </w:r>
      <w:r w:rsidRPr="00836794">
        <w:t>7.0% (53 mmol/mol) (A</w:t>
      </w:r>
      <w:r w:rsidR="00653C4E">
        <w:t xml:space="preserve">merican Diabetes </w:t>
      </w:r>
      <w:r w:rsidRPr="00836794">
        <w:t>A</w:t>
      </w:r>
      <w:r w:rsidR="00653C4E">
        <w:t>ssociation</w:t>
      </w:r>
      <w:r w:rsidRPr="00836794">
        <w:t xml:space="preserve"> target)</w:t>
      </w:r>
      <w:r w:rsidR="005B59BF" w:rsidRPr="00836794">
        <w:t>,</w:t>
      </w:r>
    </w:p>
    <w:p w14:paraId="6FEFF3E7" w14:textId="59FD3EBB" w:rsidR="00BD6E5A" w:rsidRPr="00836794" w:rsidRDefault="00BD6E5A" w:rsidP="00BD6E5A">
      <w:pPr>
        <w:pStyle w:val="ListBullet"/>
      </w:pPr>
      <w:r w:rsidRPr="00836794">
        <w:t>HbA1c ≤</w:t>
      </w:r>
      <w:r w:rsidR="005B59BF" w:rsidRPr="00836794">
        <w:t xml:space="preserve"> </w:t>
      </w:r>
      <w:r w:rsidRPr="00836794">
        <w:t>6.5% (48 mmol/mol) (</w:t>
      </w:r>
      <w:r w:rsidR="00615569" w:rsidRPr="00836794">
        <w:t>American Association of Clinical Endocrinologists (AACE)</w:t>
      </w:r>
      <w:r w:rsidRPr="00836794">
        <w:t xml:space="preserve"> target)</w:t>
      </w:r>
      <w:r w:rsidR="005B59BF" w:rsidRPr="00836794">
        <w:t>,</w:t>
      </w:r>
    </w:p>
    <w:p w14:paraId="636CE86A" w14:textId="33C374D4" w:rsidR="00BD6E5A" w:rsidRPr="00836794" w:rsidRDefault="00BD6E5A" w:rsidP="00BD6E5A">
      <w:pPr>
        <w:pStyle w:val="ListBullet"/>
      </w:pPr>
      <w:r w:rsidRPr="00836794">
        <w:t>HbA1c reduction ≥</w:t>
      </w:r>
      <w:r w:rsidR="005B59BF" w:rsidRPr="00836794">
        <w:t xml:space="preserve"> </w:t>
      </w:r>
      <w:r w:rsidRPr="00836794">
        <w:t>1%</w:t>
      </w:r>
      <w:r w:rsidR="005B59BF" w:rsidRPr="00836794">
        <w:t xml:space="preserve"> </w:t>
      </w:r>
      <w:r w:rsidRPr="00836794">
        <w:t>point (10.9 mmol/mol) and weight loss ≥</w:t>
      </w:r>
      <w:r w:rsidR="005B59BF" w:rsidRPr="00836794">
        <w:t xml:space="preserve"> </w:t>
      </w:r>
      <w:r w:rsidRPr="00836794">
        <w:t>3%</w:t>
      </w:r>
      <w:r w:rsidR="005B59BF" w:rsidRPr="00836794">
        <w:t>.</w:t>
      </w:r>
    </w:p>
    <w:p w14:paraId="641D2251" w14:textId="77777777" w:rsidR="00BD6E5A" w:rsidRPr="00836794" w:rsidRDefault="00BD6E5A" w:rsidP="00BD6E5A">
      <w:r w:rsidRPr="00836794">
        <w:t>The comparator treatments were registered in Australia and used in accordance with dosing advice. The background treatments were also used in accordance with accepted clinical guidelines.</w:t>
      </w:r>
    </w:p>
    <w:p w14:paraId="4CBA6846" w14:textId="77777777" w:rsidR="00BD6E5A" w:rsidRPr="00836794" w:rsidRDefault="00BD6E5A" w:rsidP="00BD6E5A">
      <w:r w:rsidRPr="00836794">
        <w:t xml:space="preserve">The statistical analyses were </w:t>
      </w:r>
      <w:proofErr w:type="gramStart"/>
      <w:r w:rsidRPr="00836794">
        <w:t>complex, and</w:t>
      </w:r>
      <w:proofErr w:type="gramEnd"/>
      <w:r w:rsidRPr="00836794">
        <w:t xml:space="preserve"> used multiple imputations of missing data. This means that there is some loss of transparency in the hypothesis testing procedures. However, the treatment differences apparent in the raw data, and the magnitude of the statistical significance, provide confidence that the findings are valid.</w:t>
      </w:r>
    </w:p>
    <w:p w14:paraId="263F2005" w14:textId="28879610" w:rsidR="00BD6E5A" w:rsidRPr="00836794" w:rsidRDefault="00BD6E5A" w:rsidP="00BD6E5A">
      <w:r w:rsidRPr="00836794">
        <w:t xml:space="preserve">Consequently, the results can be translated to clinical practice. The </w:t>
      </w:r>
      <w:r w:rsidR="00DD79E3" w:rsidRPr="00836794">
        <w:t>sponsor</w:t>
      </w:r>
      <w:r w:rsidRPr="00836794">
        <w:t xml:space="preserve"> has demonstrated efficacy for oral semaglutide compared to placebo and comparators (including DPP-4 inhibitors, SGLT-2 </w:t>
      </w:r>
      <w:proofErr w:type="gramStart"/>
      <w:r w:rsidRPr="00836794">
        <w:t>inhibitors</w:t>
      </w:r>
      <w:proofErr w:type="gramEnd"/>
      <w:r w:rsidRPr="00836794">
        <w:t xml:space="preserve"> and GLP-1 </w:t>
      </w:r>
      <w:r w:rsidR="00672D1A" w:rsidRPr="00836794">
        <w:t>receptor agonists</w:t>
      </w:r>
      <w:r w:rsidRPr="00836794">
        <w:t>) both as monotherapy and as add-on therapy.</w:t>
      </w:r>
    </w:p>
    <w:p w14:paraId="5EBC2A72" w14:textId="77777777" w:rsidR="00BD6E5A" w:rsidRPr="00836794" w:rsidRDefault="00BD6E5A" w:rsidP="00BD6E5A">
      <w:pPr>
        <w:pStyle w:val="Heading5"/>
      </w:pPr>
      <w:r w:rsidRPr="00836794">
        <w:t>Safety</w:t>
      </w:r>
    </w:p>
    <w:p w14:paraId="73B52DF4" w14:textId="16B79FD2" w:rsidR="00BD6E5A" w:rsidRPr="00836794" w:rsidRDefault="00672D1A" w:rsidP="00BD6E5A">
      <w:r w:rsidRPr="00836794">
        <w:t>Treatment emergent adverse event</w:t>
      </w:r>
      <w:r w:rsidR="00BD6E5A" w:rsidRPr="00836794">
        <w:t xml:space="preserve">s were usually dose-related, </w:t>
      </w:r>
      <w:proofErr w:type="gramStart"/>
      <w:r w:rsidR="00BD6E5A" w:rsidRPr="00836794">
        <w:t>and also</w:t>
      </w:r>
      <w:proofErr w:type="gramEnd"/>
      <w:r w:rsidR="00BD6E5A" w:rsidRPr="00836794">
        <w:t xml:space="preserve"> related to the speed of titration. These TEAEs were primarily gastrointestinal: nausea, vomiting, diarrhoea, </w:t>
      </w:r>
      <w:proofErr w:type="gramStart"/>
      <w:r w:rsidR="00BD6E5A" w:rsidRPr="00836794">
        <w:t>constipation</w:t>
      </w:r>
      <w:proofErr w:type="gramEnd"/>
      <w:r w:rsidR="00BD6E5A" w:rsidRPr="00836794">
        <w:t xml:space="preserve"> and anorexia. In the dose finding studies, these TEAEs were dose</w:t>
      </w:r>
      <w:r w:rsidR="005B59BF" w:rsidRPr="00836794">
        <w:t xml:space="preserve"> </w:t>
      </w:r>
      <w:r w:rsidR="00BD6E5A" w:rsidRPr="00836794">
        <w:t>limiting. The rates of nausea decreased with duration of treatment.</w:t>
      </w:r>
    </w:p>
    <w:p w14:paraId="08B0E1FB" w14:textId="77777777" w:rsidR="00BD6E5A" w:rsidRPr="00836794" w:rsidRDefault="00BD6E5A" w:rsidP="00BD6E5A">
      <w:r w:rsidRPr="00836794">
        <w:t xml:space="preserve">The rate of SAEs did not increase with semaglutide </w:t>
      </w:r>
      <w:proofErr w:type="gramStart"/>
      <w:r w:rsidRPr="00836794">
        <w:t>dose, but</w:t>
      </w:r>
      <w:proofErr w:type="gramEnd"/>
      <w:r w:rsidRPr="00836794">
        <w:t xml:space="preserve"> was greater with fast titration of dose. Slow titration of dose is expected to minimise the risk of gastrointestinal SAE.</w:t>
      </w:r>
    </w:p>
    <w:p w14:paraId="04DA02E0" w14:textId="754B915C" w:rsidR="00BD6E5A" w:rsidRPr="00836794" w:rsidRDefault="00BD6E5A" w:rsidP="00BD6E5A">
      <w:r w:rsidRPr="00836794">
        <w:t>The rate of discontinuations due to AE</w:t>
      </w:r>
      <w:r w:rsidR="00EE39DC">
        <w:t>s</w:t>
      </w:r>
      <w:r w:rsidRPr="00836794">
        <w:t xml:space="preserve"> increased with semaglutide </w:t>
      </w:r>
      <w:proofErr w:type="gramStart"/>
      <w:r w:rsidRPr="00836794">
        <w:t>dose, and</w:t>
      </w:r>
      <w:proofErr w:type="gramEnd"/>
      <w:r w:rsidRPr="00836794">
        <w:t xml:space="preserve"> was greater with fast titration of dose. The events leading to discontinuation were predominantly gastrointestinal, particularly nausea and vomiting.</w:t>
      </w:r>
    </w:p>
    <w:p w14:paraId="3AACF0B1" w14:textId="5547B449" w:rsidR="00BD6E5A" w:rsidRPr="00836794" w:rsidRDefault="00BD6E5A" w:rsidP="00BD6E5A">
      <w:r w:rsidRPr="00836794">
        <w:t xml:space="preserve">Hypoglycaemia when used in combination with background insulin is identified as a risk in the safety data. In addition, there was decreased hypoglycaemia awareness with semaglutide. It is not clear that the </w:t>
      </w:r>
      <w:r w:rsidR="00DD79E3" w:rsidRPr="00836794">
        <w:t>sponsor</w:t>
      </w:r>
      <w:r w:rsidRPr="00836794">
        <w:t xml:space="preserve"> has taken adequate steps to avoid hypoglycaemia occurring in this patient group by providing clear instructions on the reduction in dose of insulin or oral hypoglycaemic agents prior to commencing oral semaglutide.</w:t>
      </w:r>
    </w:p>
    <w:p w14:paraId="179A7B50" w14:textId="77777777" w:rsidR="00BD6E5A" w:rsidRPr="00836794" w:rsidRDefault="00BD6E5A" w:rsidP="00BD6E5A">
      <w:pPr>
        <w:pStyle w:val="Heading6"/>
      </w:pPr>
      <w:r w:rsidRPr="00836794">
        <w:t>Implications for dosing and administration</w:t>
      </w:r>
    </w:p>
    <w:p w14:paraId="1C796AB4" w14:textId="77777777" w:rsidR="00BD6E5A" w:rsidRPr="00836794" w:rsidRDefault="00BD6E5A" w:rsidP="00BD6E5A">
      <w:r w:rsidRPr="00836794">
        <w:t>The effect size of oral semaglutide appears to increase with dose, and the benefits are primarily for the 7 mg and 14 mg dose levels. Consequently, the 3 mg dose level is primarily for titrating purposes. The flexible dosing strategy allows the tailoring of therapy to maximise benefit whilst minimising adverse effects.</w:t>
      </w:r>
    </w:p>
    <w:p w14:paraId="78FF4F88" w14:textId="6B77A227" w:rsidR="00BD6E5A" w:rsidRPr="00836794" w:rsidRDefault="00BD6E5A" w:rsidP="00BD6E5A">
      <w:r w:rsidRPr="00836794">
        <w:lastRenderedPageBreak/>
        <w:t xml:space="preserve">The dosing recommendations in the product information are supported by the data, </w:t>
      </w:r>
      <w:proofErr w:type="gramStart"/>
      <w:r w:rsidRPr="00836794">
        <w:t>with the exception of</w:t>
      </w:r>
      <w:proofErr w:type="gramEnd"/>
      <w:r w:rsidRPr="00836794">
        <w:t xml:space="preserve"> commencing semaglutide on top of background insulin. The clinical trial data support decreasing the insulin dose by 20% prior to initiating oral semaglutide.</w:t>
      </w:r>
    </w:p>
    <w:p w14:paraId="759B13EE" w14:textId="77777777" w:rsidR="00BD6E5A" w:rsidRPr="00836794" w:rsidRDefault="00BD6E5A" w:rsidP="00BD6E5A">
      <w:r w:rsidRPr="00836794">
        <w:t>The efficacy data are dependent on strict adherence to the administration instructions for the product, and therefore the benefits seen in clinical trials may not translate to use in clinical practice.</w:t>
      </w:r>
    </w:p>
    <w:p w14:paraId="595897A8" w14:textId="10F59D91" w:rsidR="00BD6E5A" w:rsidRPr="00836794" w:rsidRDefault="00BD6E5A" w:rsidP="00BD6E5A">
      <w:r w:rsidRPr="00836794">
        <w:t xml:space="preserve">The </w:t>
      </w:r>
      <w:r w:rsidR="00331152" w:rsidRPr="00836794">
        <w:t>gastrointestinal</w:t>
      </w:r>
      <w:r w:rsidRPr="00836794">
        <w:t xml:space="preserve"> AEs may be the limiting factor for some </w:t>
      </w:r>
      <w:proofErr w:type="gramStart"/>
      <w:r w:rsidRPr="00836794">
        <w:t>patients, but</w:t>
      </w:r>
      <w:proofErr w:type="gramEnd"/>
      <w:r w:rsidRPr="00836794">
        <w:t xml:space="preserve"> may be minimised by appropriate titration of the effective maintenance dose, and appropriate dose</w:t>
      </w:r>
      <w:r w:rsidR="005B59BF" w:rsidRPr="00836794">
        <w:t xml:space="preserve"> </w:t>
      </w:r>
      <w:r w:rsidRPr="00836794">
        <w:t>escalation timing.</w:t>
      </w:r>
    </w:p>
    <w:p w14:paraId="36BEEE29" w14:textId="77777777" w:rsidR="00BD6E5A" w:rsidRPr="00836794" w:rsidRDefault="00BD6E5A" w:rsidP="00BD6E5A">
      <w:proofErr w:type="gramStart"/>
      <w:r w:rsidRPr="00836794">
        <w:t>All of</w:t>
      </w:r>
      <w:proofErr w:type="gramEnd"/>
      <w:r w:rsidRPr="00836794">
        <w:t xml:space="preserve"> the above should be adequately communicated in the PI, and to prescribers and patients.</w:t>
      </w:r>
    </w:p>
    <w:p w14:paraId="55C36479" w14:textId="77777777" w:rsidR="00BD6E5A" w:rsidRPr="00836794" w:rsidRDefault="00BD6E5A" w:rsidP="00BD6E5A">
      <w:pPr>
        <w:pStyle w:val="Heading6"/>
      </w:pPr>
      <w:r w:rsidRPr="00836794">
        <w:t>Off-label use for weight loss</w:t>
      </w:r>
    </w:p>
    <w:p w14:paraId="43F25E08" w14:textId="77777777" w:rsidR="00BD6E5A" w:rsidRPr="00836794" w:rsidRDefault="00BD6E5A" w:rsidP="00BD6E5A">
      <w:r w:rsidRPr="00836794">
        <w:t xml:space="preserve">There is a potential for off-label use for weight loss outside the proposed indication. It is possible that the oral form of semaglutide </w:t>
      </w:r>
      <w:proofErr w:type="gramStart"/>
      <w:r w:rsidRPr="00836794">
        <w:t>in particular may</w:t>
      </w:r>
      <w:proofErr w:type="gramEnd"/>
      <w:r w:rsidRPr="00836794">
        <w:t xml:space="preserve"> be used off-label for such a purpose.</w:t>
      </w:r>
    </w:p>
    <w:p w14:paraId="440E3E36" w14:textId="77777777" w:rsidR="00BD6E5A" w:rsidRPr="00836794" w:rsidRDefault="00BD6E5A" w:rsidP="00BD6E5A">
      <w:pPr>
        <w:pStyle w:val="Heading6"/>
      </w:pPr>
      <w:r w:rsidRPr="00836794">
        <w:t>Pregnancy category</w:t>
      </w:r>
    </w:p>
    <w:p w14:paraId="71756745" w14:textId="77777777" w:rsidR="00BD6E5A" w:rsidRPr="00836794" w:rsidRDefault="00BD6E5A" w:rsidP="00BD6E5A">
      <w:r w:rsidRPr="00836794">
        <w:t>Oral semaglutide has not been clinically studied in pregnant or lactating women.</w:t>
      </w:r>
    </w:p>
    <w:p w14:paraId="1A2AA945" w14:textId="668545DB" w:rsidR="00BD6E5A" w:rsidRPr="00836794" w:rsidRDefault="00BD6E5A" w:rsidP="00BD6E5A">
      <w:r w:rsidRPr="00836794">
        <w:t>Pregnancy Category B3</w:t>
      </w:r>
      <w:r w:rsidR="00EE39DC">
        <w:t>;</w:t>
      </w:r>
      <w:r w:rsidR="00D346FD" w:rsidRPr="00D346FD">
        <w:rPr>
          <w:vertAlign w:val="superscript"/>
        </w:rPr>
        <w:fldChar w:fldCharType="begin"/>
      </w:r>
      <w:r w:rsidR="00D346FD" w:rsidRPr="00D346FD">
        <w:rPr>
          <w:vertAlign w:val="superscript"/>
        </w:rPr>
        <w:instrText xml:space="preserve"> NOTEREF _Ref117699505 \h </w:instrText>
      </w:r>
      <w:r w:rsidR="00D346FD">
        <w:rPr>
          <w:vertAlign w:val="superscript"/>
        </w:rPr>
        <w:instrText xml:space="preserve"> \* MERGEFORMAT </w:instrText>
      </w:r>
      <w:r w:rsidR="00D346FD" w:rsidRPr="00D346FD">
        <w:rPr>
          <w:vertAlign w:val="superscript"/>
        </w:rPr>
      </w:r>
      <w:r w:rsidR="00D346FD" w:rsidRPr="00D346FD">
        <w:rPr>
          <w:vertAlign w:val="superscript"/>
        </w:rPr>
        <w:fldChar w:fldCharType="separate"/>
      </w:r>
      <w:r w:rsidR="00E5082D">
        <w:rPr>
          <w:vertAlign w:val="superscript"/>
        </w:rPr>
        <w:t>13</w:t>
      </w:r>
      <w:r w:rsidR="00D346FD" w:rsidRPr="00D346FD">
        <w:rPr>
          <w:vertAlign w:val="superscript"/>
        </w:rPr>
        <w:fldChar w:fldCharType="end"/>
      </w:r>
      <w:r w:rsidRPr="00836794">
        <w:t xml:space="preserve"> as proposed by the </w:t>
      </w:r>
      <w:r w:rsidR="00DD79E3" w:rsidRPr="00836794">
        <w:t>sponsor</w:t>
      </w:r>
      <w:r w:rsidRPr="00836794">
        <w:t xml:space="preserve">, is not supported by the nonclinical evaluator. Pregnancy Category </w:t>
      </w:r>
      <w:proofErr w:type="gramStart"/>
      <w:r w:rsidRPr="00836794">
        <w:t>D</w:t>
      </w:r>
      <w:r w:rsidR="00EE39DC">
        <w:t>;</w:t>
      </w:r>
      <w:proofErr w:type="gramEnd"/>
      <w:r w:rsidR="00D346FD" w:rsidRPr="00D346FD">
        <w:rPr>
          <w:vertAlign w:val="superscript"/>
        </w:rPr>
        <w:fldChar w:fldCharType="begin"/>
      </w:r>
      <w:r w:rsidR="00D346FD" w:rsidRPr="00D346FD">
        <w:rPr>
          <w:vertAlign w:val="superscript"/>
        </w:rPr>
        <w:instrText xml:space="preserve"> NOTEREF _Ref117699522 \h </w:instrText>
      </w:r>
      <w:r w:rsidR="00D346FD">
        <w:rPr>
          <w:vertAlign w:val="superscript"/>
        </w:rPr>
        <w:instrText xml:space="preserve"> \* MERGEFORMAT </w:instrText>
      </w:r>
      <w:r w:rsidR="00D346FD" w:rsidRPr="00D346FD">
        <w:rPr>
          <w:vertAlign w:val="superscript"/>
        </w:rPr>
      </w:r>
      <w:r w:rsidR="00D346FD" w:rsidRPr="00D346FD">
        <w:rPr>
          <w:vertAlign w:val="superscript"/>
        </w:rPr>
        <w:fldChar w:fldCharType="separate"/>
      </w:r>
      <w:r w:rsidR="00E5082D">
        <w:rPr>
          <w:vertAlign w:val="superscript"/>
        </w:rPr>
        <w:t>14</w:t>
      </w:r>
      <w:r w:rsidR="00D346FD" w:rsidRPr="00D346FD">
        <w:rPr>
          <w:vertAlign w:val="superscript"/>
        </w:rPr>
        <w:fldChar w:fldCharType="end"/>
      </w:r>
      <w:r w:rsidRPr="00836794">
        <w:t xml:space="preserve"> should be assigned due to demonstrated embryofetal lethality and toxicity, including malformations, observed with semaglutide at low or modest exposure margins in multiple laboratory animal species (and matching the existing categorisation for Ozempic).</w:t>
      </w:r>
    </w:p>
    <w:p w14:paraId="30F4D119" w14:textId="77777777" w:rsidR="0074163C" w:rsidRPr="00836794" w:rsidRDefault="0074163C" w:rsidP="0074163C">
      <w:pPr>
        <w:pStyle w:val="Heading4"/>
      </w:pPr>
      <w:bookmarkStart w:id="115" w:name="_Toc98931933"/>
      <w:r w:rsidRPr="00836794">
        <w:t>Proposed action</w:t>
      </w:r>
      <w:bookmarkEnd w:id="115"/>
    </w:p>
    <w:p w14:paraId="58A65837" w14:textId="00976648" w:rsidR="00BD6E5A" w:rsidRPr="00836794" w:rsidRDefault="00BD6E5A" w:rsidP="00BD6E5A">
      <w:r w:rsidRPr="00836794">
        <w:t xml:space="preserve">Overall, the benefit-risk balance of </w:t>
      </w:r>
      <w:r w:rsidR="007013B0" w:rsidRPr="00836794">
        <w:t>Rybelsus</w:t>
      </w:r>
      <w:r w:rsidRPr="00836794">
        <w:t xml:space="preserve"> (oral semaglutide) appears to be favourable. The benefits are improvements in glycaemic control and weight control that are in line with national and international treatment guidance.</w:t>
      </w:r>
    </w:p>
    <w:p w14:paraId="00931C09" w14:textId="4485AD40" w:rsidR="00BD6E5A" w:rsidRPr="00836794" w:rsidRDefault="00BD6E5A" w:rsidP="00BD6E5A">
      <w:r w:rsidRPr="00836794">
        <w:t xml:space="preserve">The benefits of </w:t>
      </w:r>
      <w:r w:rsidR="007013B0" w:rsidRPr="00836794">
        <w:t>Rybelsus</w:t>
      </w:r>
      <w:r w:rsidRPr="00836794">
        <w:t xml:space="preserve"> depend upon strict adherence to the administration regimen.</w:t>
      </w:r>
    </w:p>
    <w:p w14:paraId="26A747E2" w14:textId="3DA338B9" w:rsidR="00BD6E5A" w:rsidRPr="00836794" w:rsidRDefault="00BD6E5A" w:rsidP="00BD6E5A">
      <w:r w:rsidRPr="00836794">
        <w:t xml:space="preserve">The tolerability of </w:t>
      </w:r>
      <w:r w:rsidR="007013B0" w:rsidRPr="00836794">
        <w:t>Rybelsus</w:t>
      </w:r>
      <w:r w:rsidRPr="00836794">
        <w:t xml:space="preserve"> is limited by gastrointestinal adverse effects.</w:t>
      </w:r>
    </w:p>
    <w:p w14:paraId="7A7D6EEF" w14:textId="6D0FE669" w:rsidR="00BD6E5A" w:rsidRPr="00836794" w:rsidRDefault="00BD6E5A" w:rsidP="00BD6E5A">
      <w:r w:rsidRPr="00836794">
        <w:t>The risk of hypoglycaemia is increased when combined with background insulin treatment. This risk might be minimised by reducing the dose of insulin prior to initiating oral semaglutide.</w:t>
      </w:r>
    </w:p>
    <w:p w14:paraId="3915B741" w14:textId="5B84EB62" w:rsidR="00BD6E5A" w:rsidRPr="00836794" w:rsidRDefault="00BD6E5A" w:rsidP="00BD6E5A">
      <w:r w:rsidRPr="00836794">
        <w:t xml:space="preserve">The </w:t>
      </w:r>
      <w:r w:rsidR="00645362" w:rsidRPr="00836794">
        <w:t xml:space="preserve">clinical </w:t>
      </w:r>
      <w:r w:rsidR="00EE39DC">
        <w:t>evaluation</w:t>
      </w:r>
      <w:r w:rsidR="00EE39DC" w:rsidRPr="00836794">
        <w:t xml:space="preserve"> </w:t>
      </w:r>
      <w:r w:rsidRPr="00836794">
        <w:t>ha</w:t>
      </w:r>
      <w:r w:rsidR="00EE39DC">
        <w:t>d</w:t>
      </w:r>
      <w:r w:rsidRPr="00836794">
        <w:t xml:space="preserve"> no objection to the authorisation of </w:t>
      </w:r>
      <w:proofErr w:type="spellStart"/>
      <w:r w:rsidR="007013B0" w:rsidRPr="00836794">
        <w:t>Rybelsus</w:t>
      </w:r>
      <w:proofErr w:type="spellEnd"/>
      <w:r w:rsidRPr="00836794">
        <w:t xml:space="preserve"> (</w:t>
      </w:r>
      <w:proofErr w:type="spellStart"/>
      <w:r w:rsidRPr="00836794">
        <w:t>semaglutide</w:t>
      </w:r>
      <w:proofErr w:type="spellEnd"/>
      <w:r w:rsidRPr="00836794">
        <w:t xml:space="preserve"> </w:t>
      </w:r>
      <w:r w:rsidR="007013B0" w:rsidRPr="00836794">
        <w:t>(</w:t>
      </w:r>
      <w:proofErr w:type="spellStart"/>
      <w:r w:rsidRPr="00836794">
        <w:t>rys</w:t>
      </w:r>
      <w:proofErr w:type="spellEnd"/>
      <w:r w:rsidR="007013B0" w:rsidRPr="00836794">
        <w:t>)</w:t>
      </w:r>
      <w:r w:rsidRPr="00836794">
        <w:t xml:space="preserve">) 3 mg, 7 </w:t>
      </w:r>
      <w:proofErr w:type="gramStart"/>
      <w:r w:rsidRPr="00836794">
        <w:t>mg</w:t>
      </w:r>
      <w:proofErr w:type="gramEnd"/>
      <w:r w:rsidRPr="00836794">
        <w:t xml:space="preserve"> and 14 mg tablets for the indication:</w:t>
      </w:r>
    </w:p>
    <w:p w14:paraId="1124148E" w14:textId="77777777" w:rsidR="00BD6E5A" w:rsidRPr="00836794" w:rsidRDefault="00BD6E5A" w:rsidP="00A30C42">
      <w:pPr>
        <w:ind w:left="360"/>
        <w:rPr>
          <w:i/>
          <w:iCs/>
        </w:rPr>
      </w:pPr>
      <w:r w:rsidRPr="00836794">
        <w:rPr>
          <w:i/>
          <w:iCs/>
        </w:rPr>
        <w:t>The treatment of adults with insufficiently controlled type 2 diabetes mellitus as an adjunct to diet and exercise</w:t>
      </w:r>
    </w:p>
    <w:p w14:paraId="30353A31" w14:textId="77777777" w:rsidR="00BD6E5A" w:rsidRPr="00836794" w:rsidRDefault="00BD6E5A" w:rsidP="00A30C42">
      <w:pPr>
        <w:pStyle w:val="ListBullet"/>
        <w:ind w:left="720"/>
        <w:rPr>
          <w:i/>
          <w:iCs/>
        </w:rPr>
      </w:pPr>
      <w:r w:rsidRPr="00836794">
        <w:rPr>
          <w:i/>
          <w:iCs/>
        </w:rPr>
        <w:t>as monotherapy when metformin is considered inappropriate due to intolerance or contraindications</w:t>
      </w:r>
    </w:p>
    <w:p w14:paraId="050642E5" w14:textId="77777777" w:rsidR="00BD6E5A" w:rsidRPr="00836794" w:rsidRDefault="00BD6E5A" w:rsidP="00A30C42">
      <w:pPr>
        <w:pStyle w:val="ListBullet"/>
        <w:ind w:left="720"/>
        <w:rPr>
          <w:i/>
          <w:iCs/>
        </w:rPr>
      </w:pPr>
      <w:r w:rsidRPr="00836794">
        <w:rPr>
          <w:i/>
          <w:iCs/>
        </w:rPr>
        <w:t>in combination with other medicinal products for the treatment of diabetes.</w:t>
      </w:r>
    </w:p>
    <w:p w14:paraId="4AB07661" w14:textId="77777777" w:rsidR="0074163C" w:rsidRPr="00836794" w:rsidRDefault="0074163C" w:rsidP="0074163C">
      <w:pPr>
        <w:pStyle w:val="Heading4"/>
      </w:pPr>
      <w:bookmarkStart w:id="116" w:name="_Toc98931936"/>
      <w:bookmarkStart w:id="117" w:name="_Toc247691532"/>
      <w:bookmarkStart w:id="118" w:name="_Toc314842516"/>
      <w:bookmarkEnd w:id="33"/>
      <w:bookmarkEnd w:id="110"/>
      <w:bookmarkEnd w:id="111"/>
      <w:r w:rsidRPr="00836794">
        <w:t>Advisory Committee considerations</w:t>
      </w:r>
      <w:bookmarkEnd w:id="116"/>
    </w:p>
    <w:p w14:paraId="6EBA536F" w14:textId="21D5D713" w:rsidR="0074163C" w:rsidRPr="00836794" w:rsidRDefault="0074163C" w:rsidP="0074163C">
      <w:pPr>
        <w:rPr>
          <w:bCs/>
        </w:rPr>
      </w:pPr>
      <w:r w:rsidRPr="00836794">
        <w:rPr>
          <w:bCs/>
        </w:rPr>
        <w:t xml:space="preserve">The </w:t>
      </w:r>
      <w:hyperlink r:id="rId32" w:history="1">
        <w:r w:rsidRPr="00836794">
          <w:rPr>
            <w:rStyle w:val="Hyperlink"/>
            <w:szCs w:val="21"/>
          </w:rPr>
          <w:t>Advisory Committee on Medicines (ACM)</w:t>
        </w:r>
      </w:hyperlink>
      <w:r w:rsidRPr="00836794">
        <w:rPr>
          <w:szCs w:val="21"/>
        </w:rPr>
        <w:t>,</w:t>
      </w:r>
      <w:r w:rsidRPr="00836794">
        <w:rPr>
          <w:bCs/>
        </w:rPr>
        <w:t xml:space="preserve"> having considered the evaluations and the Delegate’s overview, as well as the sponsor’s response to these documents, advised the following.</w:t>
      </w:r>
    </w:p>
    <w:p w14:paraId="7D1FAE40" w14:textId="77777777" w:rsidR="0074163C" w:rsidRPr="00836794" w:rsidRDefault="0074163C" w:rsidP="0074163C">
      <w:pPr>
        <w:pStyle w:val="Heading5"/>
      </w:pPr>
      <w:r w:rsidRPr="00836794">
        <w:lastRenderedPageBreak/>
        <w:t>Specific advice to the Delegate</w:t>
      </w:r>
    </w:p>
    <w:p w14:paraId="1ED7D48B" w14:textId="77777777" w:rsidR="00BD6E5A" w:rsidRPr="00836794" w:rsidRDefault="00BD6E5A" w:rsidP="00546FEB">
      <w:pPr>
        <w:pStyle w:val="Numberbullet0"/>
        <w:numPr>
          <w:ilvl w:val="0"/>
          <w:numId w:val="6"/>
        </w:numPr>
        <w:rPr>
          <w:b/>
          <w:bCs/>
          <w:i/>
          <w:iCs/>
        </w:rPr>
      </w:pPr>
      <w:r w:rsidRPr="00836794">
        <w:rPr>
          <w:b/>
          <w:bCs/>
          <w:i/>
          <w:iCs/>
        </w:rPr>
        <w:t>Can the ACM comment on the restrictions needed to maximise the benefit and minimise adverse effects for patients on semaglutide?</w:t>
      </w:r>
    </w:p>
    <w:p w14:paraId="5901A3A6" w14:textId="77777777" w:rsidR="00BD6E5A" w:rsidRPr="00836794" w:rsidRDefault="00BD6E5A" w:rsidP="00BD6E5A">
      <w:r w:rsidRPr="00836794">
        <w:t xml:space="preserve">The ACM advised that semaglutide should be taken on an empty stomach, swallowed whole with a half a glass (120 mL) of water. The tablet should not be split, </w:t>
      </w:r>
      <w:proofErr w:type="gramStart"/>
      <w:r w:rsidRPr="00836794">
        <w:t>chewed</w:t>
      </w:r>
      <w:proofErr w:type="gramEnd"/>
      <w:r w:rsidRPr="00836794">
        <w:t xml:space="preserve"> or crushed. The dose should be separated from food, </w:t>
      </w:r>
      <w:proofErr w:type="gramStart"/>
      <w:r w:rsidRPr="00836794">
        <w:t>drink</w:t>
      </w:r>
      <w:proofErr w:type="gramEnd"/>
      <w:r w:rsidRPr="00836794">
        <w:t xml:space="preserve"> and other medicines by at least 30 minutes to maximise absorption. Dose titration should be gradual to minimise gastrointestinal adverse effects for the patient. The ACM also noted the sponsor will be providing patients with a pictorial card to remind them of how to ideally administer their dose.</w:t>
      </w:r>
    </w:p>
    <w:p w14:paraId="2EEFF843" w14:textId="1546FC00" w:rsidR="00BD6E5A" w:rsidRPr="00836794" w:rsidRDefault="00BD6E5A" w:rsidP="00BD6E5A">
      <w:r w:rsidRPr="00836794">
        <w:t xml:space="preserve">The ACM commented on the potential risk of hypoglycaemia when used in combination with other anti-diabetic agents known to increase this risk (such as </w:t>
      </w:r>
      <w:r w:rsidR="00AB6287" w:rsidRPr="00836794">
        <w:t>sul</w:t>
      </w:r>
      <w:r w:rsidR="00EE39DC">
        <w:t>f</w:t>
      </w:r>
      <w:r w:rsidR="00AB6287" w:rsidRPr="00836794">
        <w:t>onylurea</w:t>
      </w:r>
      <w:r w:rsidRPr="00836794">
        <w:t xml:space="preserve"> and insulin). The ACM advised that the PI should not be prescriptive in detailing a specific dose reduction in such circumstances. Rather, it should be individualised by the prescribing physician based on patient’s specific circumstances. This information is also included in the </w:t>
      </w:r>
      <w:r w:rsidR="00EE39DC">
        <w:t>Consumer Medicines Information (</w:t>
      </w:r>
      <w:r w:rsidRPr="00836794">
        <w:t>CMI</w:t>
      </w:r>
      <w:r w:rsidR="00EE39DC">
        <w:t>)</w:t>
      </w:r>
      <w:r w:rsidRPr="00836794">
        <w:t>.</w:t>
      </w:r>
    </w:p>
    <w:p w14:paraId="4713FDD4" w14:textId="77777777" w:rsidR="00BD6E5A" w:rsidRPr="00836794" w:rsidRDefault="00BD6E5A" w:rsidP="00546FEB">
      <w:pPr>
        <w:pStyle w:val="Numberbullet0"/>
        <w:numPr>
          <w:ilvl w:val="0"/>
          <w:numId w:val="2"/>
        </w:numPr>
        <w:rPr>
          <w:b/>
          <w:bCs/>
          <w:i/>
          <w:iCs/>
        </w:rPr>
      </w:pPr>
      <w:r w:rsidRPr="00836794">
        <w:rPr>
          <w:b/>
          <w:bCs/>
          <w:i/>
          <w:iCs/>
        </w:rPr>
        <w:t>Can the ACM comment on the appropriate pregnancy category?</w:t>
      </w:r>
    </w:p>
    <w:p w14:paraId="64FD7F89" w14:textId="1A4BE6EB" w:rsidR="00BD6E5A" w:rsidRPr="00836794" w:rsidRDefault="00BD6E5A" w:rsidP="00BD6E5A">
      <w:r w:rsidRPr="00836794">
        <w:t>While the original submission proposed semaglutide to be classified as Pregnancy category B3 the sponsor has subsequently agreed to revise the category to be Pregnancy category D which aligns with the injectable formulation classification.</w:t>
      </w:r>
    </w:p>
    <w:p w14:paraId="6C129C95" w14:textId="77777777" w:rsidR="00BD6E5A" w:rsidRPr="00836794" w:rsidRDefault="00BD6E5A" w:rsidP="00BD6E5A">
      <w:r w:rsidRPr="00836794">
        <w:t>The ACM advised that semaglutide has not been studied in pregnant or lactating women. Therefore, it should not be used when pregnant or breastfeeding, and women of childbearing potential are recommended to use contraception when treated with oral semaglutide. Pregnancy should also be avoided for at least 2 months after their last dose in line with the EMA guidelines.</w:t>
      </w:r>
    </w:p>
    <w:p w14:paraId="210DFCF6" w14:textId="77777777" w:rsidR="00BD6E5A" w:rsidRPr="00836794" w:rsidRDefault="00BD6E5A" w:rsidP="00546FEB">
      <w:pPr>
        <w:pStyle w:val="Numberbullet0"/>
        <w:numPr>
          <w:ilvl w:val="0"/>
          <w:numId w:val="2"/>
        </w:numPr>
        <w:rPr>
          <w:b/>
          <w:bCs/>
          <w:i/>
          <w:iCs/>
        </w:rPr>
      </w:pPr>
      <w:r w:rsidRPr="00836794">
        <w:rPr>
          <w:b/>
          <w:bCs/>
          <w:i/>
          <w:iCs/>
        </w:rPr>
        <w:t xml:space="preserve">The committee is also requested to provide advice on any other issues that it thinks may be relevant to a decision on </w:t>
      </w:r>
      <w:proofErr w:type="gramStart"/>
      <w:r w:rsidRPr="00836794">
        <w:rPr>
          <w:b/>
          <w:bCs/>
          <w:i/>
          <w:iCs/>
        </w:rPr>
        <w:t>whether or not</w:t>
      </w:r>
      <w:proofErr w:type="gramEnd"/>
      <w:r w:rsidRPr="00836794">
        <w:rPr>
          <w:b/>
          <w:bCs/>
          <w:i/>
          <w:iCs/>
        </w:rPr>
        <w:t xml:space="preserve"> to approve this application.</w:t>
      </w:r>
    </w:p>
    <w:p w14:paraId="30AE3486" w14:textId="5F3E46F8" w:rsidR="00BD6E5A" w:rsidRPr="00836794" w:rsidRDefault="00BD6E5A" w:rsidP="00BD6E5A">
      <w:r w:rsidRPr="00836794">
        <w:t xml:space="preserve">The ACM considered semaglutide to be favourable in terms of the benefit risk profile, provided the administration regimen was strictly followed as intended. The risk of hypoglycaemia is greater when combined with background insulin or </w:t>
      </w:r>
      <w:r w:rsidR="00AB6287" w:rsidRPr="00836794">
        <w:rPr>
          <w:iCs/>
        </w:rPr>
        <w:t>sul</w:t>
      </w:r>
      <w:r w:rsidR="00EE39DC">
        <w:rPr>
          <w:iCs/>
        </w:rPr>
        <w:t>f</w:t>
      </w:r>
      <w:r w:rsidR="00AB6287" w:rsidRPr="00836794">
        <w:rPr>
          <w:iCs/>
        </w:rPr>
        <w:t>onylurea</w:t>
      </w:r>
      <w:r w:rsidRPr="00836794">
        <w:rPr>
          <w:iCs/>
        </w:rPr>
        <w:t xml:space="preserve"> therapy</w:t>
      </w:r>
      <w:r w:rsidRPr="00836794">
        <w:t xml:space="preserve">, however, this is a </w:t>
      </w:r>
      <w:proofErr w:type="spellStart"/>
      <w:proofErr w:type="gramStart"/>
      <w:r w:rsidRPr="00836794">
        <w:t>well</w:t>
      </w:r>
      <w:r w:rsidR="00645362" w:rsidRPr="00836794">
        <w:t xml:space="preserve"> </w:t>
      </w:r>
      <w:r w:rsidRPr="00836794">
        <w:t>known</w:t>
      </w:r>
      <w:proofErr w:type="spellEnd"/>
      <w:proofErr w:type="gramEnd"/>
      <w:r w:rsidRPr="00836794">
        <w:t xml:space="preserve"> risk that can be mitigated by appropriate dose adjustment and monitoring by the prescriber.</w:t>
      </w:r>
    </w:p>
    <w:p w14:paraId="3E2FC29D" w14:textId="3BEA2095" w:rsidR="0074163C" w:rsidRPr="00836794" w:rsidRDefault="0074163C" w:rsidP="0074163C">
      <w:pPr>
        <w:pStyle w:val="Heading5"/>
      </w:pPr>
      <w:r w:rsidRPr="00836794">
        <w:t>Conclusion</w:t>
      </w:r>
    </w:p>
    <w:p w14:paraId="736B1CA7" w14:textId="77777777" w:rsidR="00BD6E5A" w:rsidRPr="00836794" w:rsidRDefault="00BD6E5A" w:rsidP="00BD6E5A">
      <w:r w:rsidRPr="00836794">
        <w:t>The ACM considered this product to have an overall positive benefit-risk profile for the indication:</w:t>
      </w:r>
    </w:p>
    <w:p w14:paraId="6F372142" w14:textId="77777777" w:rsidR="00BD6E5A" w:rsidRPr="00836794" w:rsidRDefault="00BD6E5A" w:rsidP="00BD6E5A">
      <w:pPr>
        <w:autoSpaceDE w:val="0"/>
        <w:autoSpaceDN w:val="0"/>
        <w:adjustRightInd w:val="0"/>
        <w:spacing w:after="0"/>
        <w:ind w:left="360"/>
        <w:rPr>
          <w:i/>
          <w:iCs/>
        </w:rPr>
      </w:pPr>
      <w:r w:rsidRPr="00836794">
        <w:rPr>
          <w:i/>
          <w:iCs/>
        </w:rPr>
        <w:t>The treatment of adults with insufficiently controlled type 2 diabetes mellitus as an adjunct to diet and exercise</w:t>
      </w:r>
    </w:p>
    <w:p w14:paraId="3103E514" w14:textId="77777777" w:rsidR="00BD6E5A" w:rsidRPr="00836794" w:rsidRDefault="00BD6E5A" w:rsidP="00546FEB">
      <w:pPr>
        <w:pStyle w:val="ListBullet"/>
        <w:numPr>
          <w:ilvl w:val="0"/>
          <w:numId w:val="1"/>
        </w:numPr>
        <w:ind w:left="720"/>
        <w:rPr>
          <w:i/>
          <w:iCs/>
        </w:rPr>
      </w:pPr>
      <w:r w:rsidRPr="00836794">
        <w:rPr>
          <w:i/>
          <w:iCs/>
        </w:rPr>
        <w:t>as monotherapy when metformin is considered inappropriate due to intolerance or contraindications</w:t>
      </w:r>
    </w:p>
    <w:p w14:paraId="1FF0C966" w14:textId="7F50F0A0" w:rsidR="00BD6E5A" w:rsidRPr="00836794" w:rsidRDefault="00BD6E5A" w:rsidP="00546FEB">
      <w:pPr>
        <w:pStyle w:val="ListBullet"/>
        <w:numPr>
          <w:ilvl w:val="0"/>
          <w:numId w:val="1"/>
        </w:numPr>
        <w:ind w:left="720"/>
        <w:rPr>
          <w:b/>
          <w:i/>
          <w:iCs/>
        </w:rPr>
      </w:pPr>
      <w:r w:rsidRPr="00836794">
        <w:rPr>
          <w:i/>
          <w:iCs/>
        </w:rPr>
        <w:t>in combination with other medicinal products for the treatment of diabetes.</w:t>
      </w:r>
    </w:p>
    <w:p w14:paraId="4C54487B" w14:textId="20A186B8" w:rsidR="008E7846" w:rsidRPr="00836794" w:rsidRDefault="008E7846" w:rsidP="00D212F3">
      <w:pPr>
        <w:pStyle w:val="Heading2"/>
      </w:pPr>
      <w:bookmarkStart w:id="119" w:name="_Toc117791824"/>
      <w:r w:rsidRPr="00836794">
        <w:t>Outcome</w:t>
      </w:r>
      <w:bookmarkEnd w:id="117"/>
      <w:bookmarkEnd w:id="118"/>
      <w:bookmarkEnd w:id="119"/>
    </w:p>
    <w:p w14:paraId="586D8188" w14:textId="0B943ABD" w:rsidR="0074163C" w:rsidRPr="00836794" w:rsidRDefault="0074163C" w:rsidP="0074163C">
      <w:bookmarkStart w:id="120" w:name="_Toc247691533"/>
      <w:bookmarkStart w:id="121" w:name="_Toc314842517"/>
      <w:r w:rsidRPr="00836794">
        <w:t xml:space="preserve">Based on a review of quality, </w:t>
      </w:r>
      <w:r w:rsidR="00CC5044" w:rsidRPr="00836794">
        <w:t>safety,</w:t>
      </w:r>
      <w:r w:rsidRPr="00836794">
        <w:t xml:space="preserve"> and efficacy, the TGA approved the registration of </w:t>
      </w:r>
      <w:r w:rsidR="00BD6E5A" w:rsidRPr="00836794">
        <w:t xml:space="preserve">Rybelsus </w:t>
      </w:r>
      <w:r w:rsidRPr="00836794">
        <w:t>(</w:t>
      </w:r>
      <w:r w:rsidR="00BD6E5A" w:rsidRPr="00836794">
        <w:t>semaglutide</w:t>
      </w:r>
      <w:r w:rsidRPr="00836794">
        <w:t xml:space="preserve">) </w:t>
      </w:r>
      <w:r w:rsidR="00BD6E5A" w:rsidRPr="00836794">
        <w:t>3 mg, 7 mg and 14 mg</w:t>
      </w:r>
      <w:r w:rsidRPr="00836794">
        <w:t xml:space="preserve">, </w:t>
      </w:r>
      <w:r w:rsidR="00BD6E5A" w:rsidRPr="00836794">
        <w:t>tablet</w:t>
      </w:r>
      <w:r w:rsidRPr="00836794">
        <w:t xml:space="preserve">, </w:t>
      </w:r>
      <w:r w:rsidR="00BD6E5A" w:rsidRPr="00836794">
        <w:t>blister pack</w:t>
      </w:r>
      <w:r w:rsidRPr="00836794">
        <w:t>, indicated</w:t>
      </w:r>
      <w:r w:rsidR="00BD6E5A" w:rsidRPr="00836794">
        <w:t xml:space="preserve"> for</w:t>
      </w:r>
      <w:r w:rsidRPr="00836794">
        <w:t>:</w:t>
      </w:r>
    </w:p>
    <w:p w14:paraId="12949CB6" w14:textId="77777777" w:rsidR="00BD6E5A" w:rsidRPr="00836794" w:rsidRDefault="00BD6E5A" w:rsidP="00BD6E5A">
      <w:pPr>
        <w:ind w:left="360"/>
        <w:rPr>
          <w:i/>
          <w:iCs/>
        </w:rPr>
      </w:pPr>
      <w:r w:rsidRPr="00836794">
        <w:rPr>
          <w:i/>
          <w:iCs/>
        </w:rPr>
        <w:lastRenderedPageBreak/>
        <w:t>Rybelsus is indicated for the treatment of adults with insufficiently controlled type 2 diabetes mellitus as an adjunct to diet and exercise:</w:t>
      </w:r>
    </w:p>
    <w:p w14:paraId="6A4CAA63" w14:textId="77777777" w:rsidR="00BD6E5A" w:rsidRPr="00836794" w:rsidRDefault="00BD6E5A" w:rsidP="00546FEB">
      <w:pPr>
        <w:pStyle w:val="ListBullet"/>
        <w:numPr>
          <w:ilvl w:val="0"/>
          <w:numId w:val="5"/>
        </w:numPr>
        <w:spacing w:after="180"/>
        <w:ind w:left="720"/>
        <w:rPr>
          <w:i/>
          <w:iCs/>
        </w:rPr>
      </w:pPr>
      <w:r w:rsidRPr="00836794">
        <w:rPr>
          <w:i/>
          <w:iCs/>
        </w:rPr>
        <w:t>as monotherapy if metformin is considered inappropriate due to intolerance or contraindications; or</w:t>
      </w:r>
    </w:p>
    <w:p w14:paraId="1A31819E" w14:textId="77777777" w:rsidR="00BD6E5A" w:rsidRPr="00836794" w:rsidRDefault="00BD6E5A" w:rsidP="00546FEB">
      <w:pPr>
        <w:pStyle w:val="ListBullet"/>
        <w:numPr>
          <w:ilvl w:val="0"/>
          <w:numId w:val="5"/>
        </w:numPr>
        <w:spacing w:after="180"/>
        <w:ind w:left="720"/>
        <w:rPr>
          <w:i/>
          <w:iCs/>
        </w:rPr>
      </w:pPr>
      <w:r w:rsidRPr="00836794">
        <w:rPr>
          <w:i/>
          <w:iCs/>
        </w:rPr>
        <w:t>in combination with other medicinal products for the treatment of type 2 diabetes mellitus.</w:t>
      </w:r>
    </w:p>
    <w:p w14:paraId="288A17F2" w14:textId="6183D018" w:rsidR="00D23139" w:rsidRPr="00836794" w:rsidRDefault="00D23139" w:rsidP="00D212F3">
      <w:pPr>
        <w:pStyle w:val="Heading3"/>
      </w:pPr>
      <w:bookmarkStart w:id="122" w:name="_Toc117791825"/>
      <w:r w:rsidRPr="00836794">
        <w:t>Specific conditions of registration applying to these goods</w:t>
      </w:r>
      <w:bookmarkEnd w:id="122"/>
    </w:p>
    <w:p w14:paraId="0CAD5B94" w14:textId="54022261" w:rsidR="00BD6E5A" w:rsidRPr="00836794" w:rsidRDefault="00BD6E5A" w:rsidP="00546FEB">
      <w:pPr>
        <w:pStyle w:val="ListBullet"/>
        <w:numPr>
          <w:ilvl w:val="0"/>
          <w:numId w:val="5"/>
        </w:numPr>
        <w:spacing w:after="180"/>
        <w:rPr>
          <w:lang w:eastAsia="en-AU"/>
        </w:rPr>
      </w:pPr>
      <w:r w:rsidRPr="00836794">
        <w:rPr>
          <w:lang w:eastAsia="en-AU"/>
        </w:rPr>
        <w:t>Rybelsus (semaglutide) is to be included in the Black Triangle Scheme. The PI and</w:t>
      </w:r>
      <w:r w:rsidR="007013B0" w:rsidRPr="00836794">
        <w:rPr>
          <w:lang w:eastAsia="en-AU"/>
        </w:rPr>
        <w:t xml:space="preserve"> </w:t>
      </w:r>
      <w:r w:rsidRPr="00836794">
        <w:rPr>
          <w:lang w:eastAsia="en-AU"/>
        </w:rPr>
        <w:t>CMI for Rybelsus must include the black triangle symbol and mandatory accompanying text for five years, which starts from the date that the sponsor notifies the TGA of supply of the product.</w:t>
      </w:r>
    </w:p>
    <w:p w14:paraId="719EE659" w14:textId="45A730A0" w:rsidR="00BD6E5A" w:rsidRPr="00836794" w:rsidRDefault="00BD6E5A" w:rsidP="00546FEB">
      <w:pPr>
        <w:pStyle w:val="ListBullet"/>
        <w:numPr>
          <w:ilvl w:val="0"/>
          <w:numId w:val="5"/>
        </w:numPr>
        <w:spacing w:after="180"/>
        <w:rPr>
          <w:lang w:eastAsia="en-AU"/>
        </w:rPr>
      </w:pPr>
      <w:r w:rsidRPr="00836794">
        <w:rPr>
          <w:lang w:eastAsia="en-AU"/>
        </w:rPr>
        <w:t xml:space="preserve">The Rybelsus </w:t>
      </w:r>
      <w:r w:rsidRPr="00836794">
        <w:t xml:space="preserve">EU-risk management plan (RMP) </w:t>
      </w:r>
      <w:r w:rsidRPr="00836794">
        <w:rPr>
          <w:lang w:eastAsia="en-AU"/>
        </w:rPr>
        <w:t>(version 4.4, dated 6 April 2020, data lock point 2 November 2018), with Australian specific annex (version 1.2, dated 30 August 2021), included with Submission PM</w:t>
      </w:r>
      <w:r w:rsidRPr="00836794">
        <w:rPr>
          <w:lang w:eastAsia="en-AU"/>
        </w:rPr>
        <w:noBreakHyphen/>
        <w:t>2020</w:t>
      </w:r>
      <w:r w:rsidRPr="00836794">
        <w:rPr>
          <w:lang w:eastAsia="en-AU"/>
        </w:rPr>
        <w:noBreakHyphen/>
        <w:t>03921</w:t>
      </w:r>
      <w:r w:rsidRPr="00836794">
        <w:rPr>
          <w:lang w:eastAsia="en-AU"/>
        </w:rPr>
        <w:noBreakHyphen/>
        <w:t>1</w:t>
      </w:r>
      <w:r w:rsidRPr="00836794">
        <w:rPr>
          <w:lang w:eastAsia="en-AU"/>
        </w:rPr>
        <w:noBreakHyphen/>
        <w:t>5, and any subsequent revisions, as agreed with the TGA will be implemented in Australia.</w:t>
      </w:r>
    </w:p>
    <w:p w14:paraId="77F7DD43" w14:textId="77777777" w:rsidR="00BD6E5A" w:rsidRPr="00836794" w:rsidRDefault="00BD6E5A" w:rsidP="00BD6E5A">
      <w:pPr>
        <w:pStyle w:val="ListBullet"/>
        <w:numPr>
          <w:ilvl w:val="0"/>
          <w:numId w:val="0"/>
        </w:numPr>
        <w:ind w:left="360"/>
        <w:rPr>
          <w:lang w:eastAsia="en-AU"/>
        </w:rPr>
      </w:pPr>
      <w:r w:rsidRPr="00836794">
        <w:rPr>
          <w:lang w:eastAsia="en-AU"/>
        </w:rPr>
        <w:t>An obligatory component of risk management plans is routine pharmacovigilance. Routine pharmacovigilance includes the submission of periodic safety update reports (PSURs).</w:t>
      </w:r>
    </w:p>
    <w:p w14:paraId="7AF05A22" w14:textId="77777777" w:rsidR="00BD6E5A" w:rsidRPr="00836794" w:rsidRDefault="00BD6E5A" w:rsidP="00BD6E5A">
      <w:pPr>
        <w:pStyle w:val="ListBullet"/>
        <w:numPr>
          <w:ilvl w:val="0"/>
          <w:numId w:val="0"/>
        </w:numPr>
        <w:ind w:left="360"/>
        <w:rPr>
          <w:lang w:eastAsia="en-AU"/>
        </w:rPr>
      </w:pPr>
      <w:r w:rsidRPr="00836794">
        <w:rPr>
          <w:lang w:eastAsia="en-AU"/>
        </w:rPr>
        <w:t>Reports are to be provided in line with the current published list of EU reference dates and frequency of submission of PSURs until the period covered by such reports is not less than three years from the date of the approval letter.</w:t>
      </w:r>
    </w:p>
    <w:p w14:paraId="18D315F8" w14:textId="786B8C05" w:rsidR="00BD6E5A" w:rsidRPr="00836794" w:rsidRDefault="00BD6E5A" w:rsidP="00BD6E5A">
      <w:pPr>
        <w:pStyle w:val="ListBullet"/>
        <w:numPr>
          <w:ilvl w:val="0"/>
          <w:numId w:val="0"/>
        </w:numPr>
        <w:ind w:left="360"/>
        <w:rPr>
          <w:lang w:eastAsia="en-AU"/>
        </w:rPr>
      </w:pPr>
      <w:r w:rsidRPr="00836794">
        <w:rPr>
          <w:lang w:eastAsia="en-AU"/>
        </w:rPr>
        <w:t>The reports are to at least meet the requirements for PSURs as described in the European Medicines Agency’s guideline on Good Pharmacovigilance Practices (GVP) module VII-periodic safety update report ([revision]</w:t>
      </w:r>
      <w:r w:rsidR="005F3D23" w:rsidRPr="00836794">
        <w:rPr>
          <w:lang w:eastAsia="en-AU"/>
        </w:rPr>
        <w:t xml:space="preserve"> </w:t>
      </w:r>
      <w:r w:rsidRPr="00836794">
        <w:rPr>
          <w:lang w:eastAsia="en-AU"/>
        </w:rPr>
        <w:t>1), part VII.B structures and processes. Note that submission of a PSUR does not constitute an application to vary the registration.</w:t>
      </w:r>
    </w:p>
    <w:p w14:paraId="71892E51" w14:textId="411668C5" w:rsidR="008E7846" w:rsidRPr="00836794" w:rsidRDefault="00A80B5B" w:rsidP="00D23139">
      <w:pPr>
        <w:pStyle w:val="Heading2"/>
      </w:pPr>
      <w:bookmarkStart w:id="123" w:name="_Toc117791826"/>
      <w:r w:rsidRPr="00836794">
        <w:t xml:space="preserve">Attachment 1. </w:t>
      </w:r>
      <w:r w:rsidR="008E7846" w:rsidRPr="00836794">
        <w:t xml:space="preserve">Product </w:t>
      </w:r>
      <w:r w:rsidR="00AA0ED0" w:rsidRPr="00836794">
        <w:t>I</w:t>
      </w:r>
      <w:r w:rsidR="008E7846" w:rsidRPr="00836794">
        <w:t>nformation</w:t>
      </w:r>
      <w:bookmarkEnd w:id="120"/>
      <w:bookmarkEnd w:id="121"/>
      <w:bookmarkEnd w:id="123"/>
    </w:p>
    <w:p w14:paraId="1F10E0B7" w14:textId="05587F78" w:rsidR="00744121" w:rsidRPr="00836794" w:rsidRDefault="006136D7" w:rsidP="00744121">
      <w:r w:rsidRPr="00836794">
        <w:t xml:space="preserve">The PI for </w:t>
      </w:r>
      <w:r w:rsidR="007013B0" w:rsidRPr="00836794">
        <w:t xml:space="preserve">Rybelsus </w:t>
      </w:r>
      <w:r w:rsidRPr="00836794">
        <w:t>approved with the submission which is described in this AusPAR is at Attachment 1.</w:t>
      </w:r>
      <w:r w:rsidR="00CC5044" w:rsidRPr="00836794">
        <w:t xml:space="preserve"> </w:t>
      </w:r>
      <w:r w:rsidR="0074163C" w:rsidRPr="00836794">
        <w:t xml:space="preserve">For the most recent PI, please refer to the TGA </w:t>
      </w:r>
      <w:hyperlink r:id="rId33" w:history="1">
        <w:r w:rsidR="0074163C" w:rsidRPr="00836794">
          <w:rPr>
            <w:rStyle w:val="Hyperlink"/>
          </w:rPr>
          <w:t>PI/CMI search facility</w:t>
        </w:r>
        <w:r w:rsidR="0074163C" w:rsidRPr="00836794">
          <w:rPr>
            <w:rStyle w:val="Hyperlink"/>
            <w:color w:val="auto"/>
            <w:u w:val="none"/>
          </w:rPr>
          <w:t>.</w:t>
        </w:r>
      </w:hyperlink>
    </w:p>
    <w:p w14:paraId="65897DC8" w14:textId="77777777" w:rsidR="00C80137" w:rsidRPr="00836794" w:rsidRDefault="00C80137" w:rsidP="003A7F6C">
      <w:pPr>
        <w:pStyle w:val="TableTitle"/>
        <w:sectPr w:rsidR="00C80137" w:rsidRPr="00836794"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36794" w14:paraId="5512E668" w14:textId="77777777" w:rsidTr="00A05FA4">
        <w:trPr>
          <w:trHeight w:hRule="exact" w:val="704"/>
        </w:trPr>
        <w:tc>
          <w:tcPr>
            <w:tcW w:w="9175" w:type="dxa"/>
          </w:tcPr>
          <w:p w14:paraId="66AB4F6D" w14:textId="77777777" w:rsidR="001C32CD" w:rsidRPr="00836794" w:rsidRDefault="001C32CD" w:rsidP="00A05FA4">
            <w:pPr>
              <w:pStyle w:val="TGASignoff"/>
            </w:pPr>
            <w:r w:rsidRPr="00836794">
              <w:lastRenderedPageBreak/>
              <w:t>Therapeutic Goods Administration</w:t>
            </w:r>
          </w:p>
        </w:tc>
      </w:tr>
      <w:tr w:rsidR="001C32CD" w:rsidRPr="002E07F8" w14:paraId="1326D2B2" w14:textId="77777777" w:rsidTr="00A05FA4">
        <w:trPr>
          <w:trHeight w:val="1221"/>
        </w:trPr>
        <w:tc>
          <w:tcPr>
            <w:tcW w:w="9175" w:type="dxa"/>
            <w:tcMar>
              <w:top w:w="28" w:type="dxa"/>
            </w:tcMar>
          </w:tcPr>
          <w:p w14:paraId="511E0D81" w14:textId="77777777" w:rsidR="001C32CD" w:rsidRPr="00836794" w:rsidRDefault="001C32CD" w:rsidP="00A05FA4">
            <w:pPr>
              <w:pStyle w:val="Address"/>
            </w:pPr>
            <w:r w:rsidRPr="00836794">
              <w:t>PO Box 100 Woden ACT 2606 Australia</w:t>
            </w:r>
          </w:p>
          <w:p w14:paraId="08F8F305" w14:textId="2F1EE028" w:rsidR="001C32CD" w:rsidRPr="00F654AF" w:rsidRDefault="001C32CD" w:rsidP="00A05FA4">
            <w:pPr>
              <w:pStyle w:val="Address"/>
              <w:rPr>
                <w:lang w:val="fr-FR"/>
              </w:rPr>
            </w:pPr>
            <w:proofErr w:type="gramStart"/>
            <w:r w:rsidRPr="00F654AF">
              <w:rPr>
                <w:lang w:val="fr-FR"/>
              </w:rPr>
              <w:t>Email:</w:t>
            </w:r>
            <w:proofErr w:type="gramEnd"/>
            <w:r w:rsidRPr="00F654AF">
              <w:rPr>
                <w:lang w:val="fr-FR"/>
              </w:rPr>
              <w:t xml:space="preserve"> </w:t>
            </w:r>
            <w:hyperlink r:id="rId38" w:history="1">
              <w:r w:rsidRPr="00F654AF">
                <w:rPr>
                  <w:rStyle w:val="Hyperlink"/>
                  <w:lang w:val="fr-FR"/>
                </w:rPr>
                <w:t>info@tga.gov.au</w:t>
              </w:r>
            </w:hyperlink>
            <w:r w:rsidRPr="00F654AF">
              <w:rPr>
                <w:lang w:val="fr-FR"/>
              </w:rPr>
              <w:t xml:space="preserve">  Phone: 1800 020 653  Fax: 02 6232 8605</w:t>
            </w:r>
          </w:p>
          <w:p w14:paraId="518FC289" w14:textId="4E8A35E6" w:rsidR="001C32CD" w:rsidRPr="00F654AF" w:rsidRDefault="00D1673E" w:rsidP="00A05FA4">
            <w:pPr>
              <w:pStyle w:val="Address"/>
              <w:spacing w:line="260" w:lineRule="atLeast"/>
              <w:rPr>
                <w:b/>
                <w:color w:val="0000FF"/>
                <w:u w:val="single"/>
                <w:lang w:val="fr-FR"/>
              </w:rPr>
            </w:pPr>
            <w:hyperlink r:id="rId39" w:history="1">
              <w:r w:rsidR="007C6B9B" w:rsidRPr="00F654AF">
                <w:rPr>
                  <w:rStyle w:val="Hyperlink"/>
                  <w:b/>
                  <w:lang w:val="fr-FR"/>
                </w:rPr>
                <w:t>https://www.tga.gov.au</w:t>
              </w:r>
            </w:hyperlink>
          </w:p>
        </w:tc>
      </w:tr>
    </w:tbl>
    <w:p w14:paraId="536DB0BC" w14:textId="77777777" w:rsidR="00774E1D" w:rsidRPr="00F654AF" w:rsidRDefault="00774E1D" w:rsidP="004C239D">
      <w:pPr>
        <w:rPr>
          <w:lang w:val="fr-FR"/>
        </w:rPr>
      </w:pPr>
    </w:p>
    <w:sectPr w:rsidR="00774E1D" w:rsidRPr="00F654AF"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9969" w14:textId="77777777" w:rsidR="00EE39DC" w:rsidRDefault="00EE39DC" w:rsidP="00C40A36">
      <w:pPr>
        <w:spacing w:after="0"/>
      </w:pPr>
      <w:r>
        <w:separator/>
      </w:r>
    </w:p>
  </w:endnote>
  <w:endnote w:type="continuationSeparator" w:id="0">
    <w:p w14:paraId="792EF106" w14:textId="77777777" w:rsidR="00EE39DC" w:rsidRDefault="00EE39D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A1"/>
    <w:family w:val="auto"/>
    <w:notTrueType/>
    <w:pitch w:val="default"/>
    <w:sig w:usb0="00000081" w:usb1="08070000" w:usb2="00000010" w:usb3="00000000" w:csb0="00020008"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E39DC" w:rsidRPr="00487162" w14:paraId="7DA6BD94" w14:textId="77777777" w:rsidTr="00DB750B">
      <w:trPr>
        <w:trHeight w:val="269"/>
      </w:trPr>
      <w:tc>
        <w:tcPr>
          <w:tcW w:w="7371" w:type="dxa"/>
          <w:tcMar>
            <w:top w:w="142" w:type="dxa"/>
            <w:bottom w:w="0" w:type="dxa"/>
          </w:tcMar>
        </w:tcPr>
        <w:p w14:paraId="7721C4DC" w14:textId="26BD9C89" w:rsidR="00EE39DC" w:rsidRPr="00487162" w:rsidRDefault="00EE39DC" w:rsidP="00460036">
          <w:pPr>
            <w:pStyle w:val="Footer"/>
          </w:pPr>
          <w:r w:rsidRPr="00487162">
            <w:t>AusPA</w:t>
          </w:r>
          <w:r>
            <w:t xml:space="preserve">R - </w:t>
          </w:r>
          <w:r w:rsidRPr="00572746">
            <w:t xml:space="preserve">Rybelsus </w:t>
          </w:r>
          <w:r>
            <w:t>-</w:t>
          </w:r>
          <w:r w:rsidRPr="00460036">
            <w:t xml:space="preserve"> </w:t>
          </w:r>
          <w:r w:rsidRPr="00572746">
            <w:t xml:space="preserve">semaglutide </w:t>
          </w:r>
          <w:r>
            <w:t xml:space="preserve">- </w:t>
          </w:r>
          <w:r w:rsidRPr="00572746">
            <w:t>Novo Nordisk Pharmaceuticals Pty Ltd</w:t>
          </w:r>
          <w:r>
            <w:t xml:space="preserve"> - </w:t>
          </w:r>
          <w:r w:rsidRPr="00572746">
            <w:t>PM-2020-03921-1-5</w:t>
          </w:r>
          <w:r>
            <w:br/>
          </w:r>
          <w:r w:rsidR="0098100A">
            <w:t>Final 2</w:t>
          </w:r>
          <w:r w:rsidR="00D86D72">
            <w:t>7</w:t>
          </w:r>
          <w:r w:rsidR="0098100A">
            <w:t xml:space="preserve"> October 2022</w:t>
          </w:r>
        </w:p>
      </w:tc>
      <w:tc>
        <w:tcPr>
          <w:tcW w:w="1490" w:type="dxa"/>
          <w:tcMar>
            <w:top w:w="142" w:type="dxa"/>
            <w:bottom w:w="0" w:type="dxa"/>
          </w:tcMar>
        </w:tcPr>
        <w:p w14:paraId="658A1724" w14:textId="3409C37E" w:rsidR="00EE39DC" w:rsidRPr="00487162" w:rsidRDefault="00EE39DC" w:rsidP="00DB750B">
          <w:pPr>
            <w:pStyle w:val="Footer"/>
            <w:jc w:val="right"/>
          </w:pPr>
          <w:r w:rsidRPr="00487162">
            <w:t xml:space="preserve">Page </w:t>
          </w:r>
          <w:r>
            <w:fldChar w:fldCharType="begin"/>
          </w:r>
          <w:r>
            <w:instrText xml:space="preserve"> PAGE  \* Arabic </w:instrText>
          </w:r>
          <w:r>
            <w:fldChar w:fldCharType="separate"/>
          </w:r>
          <w:r w:rsidR="001B5374">
            <w:rPr>
              <w:noProof/>
            </w:rPr>
            <w:t>10</w:t>
          </w:r>
          <w:r>
            <w:fldChar w:fldCharType="end"/>
          </w:r>
          <w:r w:rsidRPr="00487162">
            <w:t xml:space="preserve"> of </w:t>
          </w:r>
          <w:fldSimple w:instr=" NUMPAGES  \* Arabic ">
            <w:r w:rsidR="001B5374">
              <w:rPr>
                <w:noProof/>
              </w:rPr>
              <w:t>42</w:t>
            </w:r>
          </w:fldSimple>
        </w:p>
      </w:tc>
    </w:tr>
  </w:tbl>
  <w:p w14:paraId="00C3E07D" w14:textId="77777777" w:rsidR="00EE39DC" w:rsidRDefault="00EE39D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39DC" w:rsidRPr="00487162" w14:paraId="0F2B0192" w14:textId="77777777" w:rsidTr="00E45619">
      <w:trPr>
        <w:trHeight w:val="269"/>
      </w:trPr>
      <w:tc>
        <w:tcPr>
          <w:tcW w:w="4519" w:type="dxa"/>
          <w:tcBorders>
            <w:top w:val="single" w:sz="4" w:space="0" w:color="auto"/>
          </w:tcBorders>
          <w:tcMar>
            <w:top w:w="142" w:type="dxa"/>
            <w:bottom w:w="0" w:type="dxa"/>
          </w:tcMar>
        </w:tcPr>
        <w:p w14:paraId="61CCEBA2" w14:textId="77777777" w:rsidR="00EE39DC" w:rsidRPr="00487162" w:rsidRDefault="00EE39DC" w:rsidP="00FE1DEE">
          <w:pPr>
            <w:pStyle w:val="Footer"/>
          </w:pPr>
          <w:r w:rsidRPr="00487162">
            <w:t>Document title, Part #, Section # - Section title</w:t>
          </w:r>
        </w:p>
        <w:p w14:paraId="0D789E0A" w14:textId="77777777" w:rsidR="00EE39DC" w:rsidRPr="00487162" w:rsidRDefault="00EE39DC" w:rsidP="00FE1DEE">
          <w:pPr>
            <w:pStyle w:val="Footer"/>
          </w:pPr>
          <w:r w:rsidRPr="00487162">
            <w:t>V1.0 October 2010</w:t>
          </w:r>
        </w:p>
      </w:tc>
      <w:tc>
        <w:tcPr>
          <w:tcW w:w="4342" w:type="dxa"/>
          <w:tcBorders>
            <w:top w:val="single" w:sz="4" w:space="0" w:color="auto"/>
          </w:tcBorders>
          <w:tcMar>
            <w:top w:w="142" w:type="dxa"/>
            <w:bottom w:w="0" w:type="dxa"/>
          </w:tcMar>
        </w:tcPr>
        <w:p w14:paraId="6753A698" w14:textId="77777777" w:rsidR="00EE39DC" w:rsidRPr="00487162" w:rsidRDefault="00EE39D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7FE7E42D" w14:textId="77777777" w:rsidR="00EE39DC" w:rsidRDefault="00EE39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5296" w14:textId="77777777" w:rsidR="00EE39DC" w:rsidRPr="001C32CD" w:rsidRDefault="00EE39D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39DC" w14:paraId="44901625" w14:textId="77777777" w:rsidTr="0010601F">
      <w:trPr>
        <w:trHeight w:val="108"/>
      </w:trPr>
      <w:tc>
        <w:tcPr>
          <w:tcW w:w="8875" w:type="dxa"/>
          <w:gridSpan w:val="2"/>
          <w:tcBorders>
            <w:bottom w:val="single" w:sz="4" w:space="0" w:color="auto"/>
          </w:tcBorders>
          <w:tcMar>
            <w:right w:w="284" w:type="dxa"/>
          </w:tcMar>
        </w:tcPr>
        <w:p w14:paraId="3614A310" w14:textId="77777777" w:rsidR="00EE39DC" w:rsidRDefault="00EE39DC" w:rsidP="006E08B3">
          <w:pPr>
            <w:pStyle w:val="Heading3"/>
          </w:pPr>
          <w:r>
            <w:t>Copyright</w:t>
          </w:r>
        </w:p>
        <w:p w14:paraId="50C06F88" w14:textId="77777777" w:rsidR="00EE39DC" w:rsidRDefault="00EE39DC" w:rsidP="006E08B3">
          <w:r>
            <w:rPr>
              <w:rFonts w:cs="Arial"/>
            </w:rPr>
            <w:t>©</w:t>
          </w:r>
          <w:r>
            <w:t xml:space="preserve"> Commonwealth of Australia [add year]</w:t>
          </w:r>
        </w:p>
        <w:p w14:paraId="0183A2A1" w14:textId="77777777" w:rsidR="00EE39DC" w:rsidRDefault="00EE39DC" w:rsidP="006E08B3"/>
        <w:p w14:paraId="3202B562" w14:textId="77777777" w:rsidR="00EE39DC" w:rsidRDefault="00EE39D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CF5419A" w14:textId="77777777" w:rsidR="00EE39DC" w:rsidRDefault="00EE39DC" w:rsidP="006E08B3"/>
        <w:p w14:paraId="57E27D7C" w14:textId="77777777" w:rsidR="00EE39DC" w:rsidRDefault="00EE39DC" w:rsidP="006E08B3">
          <w:pPr>
            <w:pStyle w:val="Heading3"/>
          </w:pPr>
          <w:r>
            <w:t>Confidentiality</w:t>
          </w:r>
        </w:p>
        <w:p w14:paraId="26F4D9A6" w14:textId="77777777" w:rsidR="00EE39DC" w:rsidRDefault="00EE39D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A4E7E23" w14:textId="77777777" w:rsidR="00EE39DC" w:rsidRDefault="00EE39DC" w:rsidP="006E08B3"/>
        <w:p w14:paraId="5049CD78" w14:textId="77777777" w:rsidR="00EE39DC" w:rsidRDefault="00EE39DC" w:rsidP="006E08B3">
          <w:r>
            <w:t>For submission made by individuals, all personal details, other than your name, will be removed from your submission before it is published on the TGA’s Internet site.</w:t>
          </w:r>
        </w:p>
        <w:p w14:paraId="3A5C5CBF" w14:textId="77777777" w:rsidR="00EE39DC" w:rsidRDefault="00EE39DC" w:rsidP="006E08B3"/>
        <w:p w14:paraId="045ED14C" w14:textId="77777777" w:rsidR="00EE39DC" w:rsidRDefault="00EE39DC" w:rsidP="006E08B3">
          <w:r>
            <w:t>In addition, a list of parties making submissions will be published. If you do not wish to be identified with your submission you must specifically request this in the space provided in the submission coversheet.</w:t>
          </w:r>
        </w:p>
      </w:tc>
    </w:tr>
    <w:tr w:rsidR="00EE39DC" w14:paraId="66B73E96" w14:textId="77777777" w:rsidTr="0010601F">
      <w:trPr>
        <w:trHeight w:val="417"/>
      </w:trPr>
      <w:tc>
        <w:tcPr>
          <w:tcW w:w="4519" w:type="dxa"/>
          <w:tcBorders>
            <w:top w:val="single" w:sz="4" w:space="0" w:color="auto"/>
          </w:tcBorders>
          <w:tcMar>
            <w:top w:w="142" w:type="dxa"/>
            <w:bottom w:w="0" w:type="dxa"/>
          </w:tcMar>
        </w:tcPr>
        <w:p w14:paraId="66AE527F" w14:textId="77777777" w:rsidR="00EE39DC" w:rsidRDefault="00EE39DC" w:rsidP="006E08B3">
          <w:r>
            <w:t>Document title, Part #, Section # - Section title</w:t>
          </w:r>
        </w:p>
        <w:p w14:paraId="489FAFCC" w14:textId="77777777" w:rsidR="00EE39DC" w:rsidRDefault="00EE39DC" w:rsidP="006E08B3">
          <w:r>
            <w:t>V1.0 October 2010</w:t>
          </w:r>
        </w:p>
      </w:tc>
      <w:tc>
        <w:tcPr>
          <w:tcW w:w="4356" w:type="dxa"/>
          <w:tcBorders>
            <w:top w:val="single" w:sz="4" w:space="0" w:color="auto"/>
          </w:tcBorders>
          <w:tcMar>
            <w:top w:w="142" w:type="dxa"/>
            <w:bottom w:w="0" w:type="dxa"/>
          </w:tcMar>
        </w:tcPr>
        <w:p w14:paraId="312800E6" w14:textId="77777777" w:rsidR="00EE39DC" w:rsidRDefault="00EE39D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1EE8E1D4" w14:textId="77777777" w:rsidR="00EE39DC" w:rsidRDefault="00EE3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F3049" w14:textId="77777777" w:rsidR="00EE39DC" w:rsidRDefault="00EE39DC" w:rsidP="00C40A36">
      <w:pPr>
        <w:spacing w:after="0"/>
      </w:pPr>
      <w:r>
        <w:separator/>
      </w:r>
    </w:p>
  </w:footnote>
  <w:footnote w:type="continuationSeparator" w:id="0">
    <w:p w14:paraId="1890DDE4" w14:textId="77777777" w:rsidR="00EE39DC" w:rsidRDefault="00EE39DC" w:rsidP="00C40A36">
      <w:pPr>
        <w:spacing w:after="0"/>
      </w:pPr>
      <w:r>
        <w:continuationSeparator/>
      </w:r>
    </w:p>
  </w:footnote>
  <w:footnote w:id="1">
    <w:p w14:paraId="7E5FDA03" w14:textId="103372C0" w:rsidR="00EE39DC" w:rsidRDefault="00EE39DC" w:rsidP="001E68D4">
      <w:pPr>
        <w:pStyle w:val="FootnoteText"/>
      </w:pPr>
      <w:r>
        <w:rPr>
          <w:rStyle w:val="FootnoteReference"/>
        </w:rPr>
        <w:footnoteRef/>
      </w:r>
      <w:r>
        <w:t xml:space="preserve"> </w:t>
      </w:r>
      <w:r w:rsidRPr="001E68D4">
        <w:t>Australia is reported by the Australian Institute of Health and Welfare</w:t>
      </w:r>
      <w:r>
        <w:t xml:space="preserve"> (AIHW), </w:t>
      </w:r>
      <w:r w:rsidRPr="001E68D4">
        <w:t>Diabetes</w:t>
      </w:r>
      <w:r>
        <w:t xml:space="preserve">, published 2019. Available at: </w:t>
      </w:r>
      <w:hyperlink r:id="rId1" w:history="1">
        <w:r w:rsidRPr="00764C87">
          <w:rPr>
            <w:rStyle w:val="Hyperlink"/>
          </w:rPr>
          <w:t>https://www.aihw.gov.au/reports/diabetes/diabetes/contents/how-many-australians-have-diabetes/type-2-diabetes</w:t>
        </w:r>
      </w:hyperlink>
      <w:r>
        <w:t>.</w:t>
      </w:r>
    </w:p>
  </w:footnote>
  <w:footnote w:id="2">
    <w:p w14:paraId="090E3F89" w14:textId="77777777" w:rsidR="00EE39DC" w:rsidRDefault="00EE39DC" w:rsidP="00644AB3">
      <w:pPr>
        <w:pStyle w:val="FootnoteText"/>
      </w:pPr>
      <w:r>
        <w:rPr>
          <w:rStyle w:val="FootnoteReference"/>
        </w:rPr>
        <w:footnoteRef/>
      </w:r>
      <w:r>
        <w:t xml:space="preserve"> </w:t>
      </w:r>
      <w:r w:rsidRPr="00A105DA">
        <w:t xml:space="preserve">National Institute for Health and Care </w:t>
      </w:r>
      <w:r>
        <w:t>E</w:t>
      </w:r>
      <w:r w:rsidRPr="00A105DA">
        <w:t>xcellence</w:t>
      </w:r>
      <w:r>
        <w:t xml:space="preserve"> (NICE) </w:t>
      </w:r>
      <w:r w:rsidRPr="00A105DA">
        <w:t xml:space="preserve">Type 2 </w:t>
      </w:r>
      <w:r>
        <w:t>D</w:t>
      </w:r>
      <w:r w:rsidRPr="00A105DA">
        <w:t xml:space="preserve">iabetes in </w:t>
      </w:r>
      <w:r>
        <w:t>A</w:t>
      </w:r>
      <w:r w:rsidRPr="00A105DA">
        <w:t xml:space="preserve">dults: </w:t>
      </w:r>
      <w:r>
        <w:t>M</w:t>
      </w:r>
      <w:r w:rsidRPr="00A105DA">
        <w:t>anagement</w:t>
      </w:r>
      <w:r>
        <w:t xml:space="preserve">, </w:t>
      </w:r>
      <w:r w:rsidRPr="00A105DA">
        <w:t xml:space="preserve">NICE </w:t>
      </w:r>
      <w:r>
        <w:t>G</w:t>
      </w:r>
      <w:r w:rsidRPr="00A105DA">
        <w:t>uideline</w:t>
      </w:r>
      <w:r>
        <w:t xml:space="preserve">, published 2 December 2015, updated 29 June 2022. Available at: </w:t>
      </w:r>
      <w:hyperlink r:id="rId2" w:anchor=":~:text=8%20In%20adults%20with%20type,intensify%20drug%20treatment" w:history="1">
        <w:r w:rsidRPr="00FD4539">
          <w:rPr>
            <w:rStyle w:val="Hyperlink"/>
          </w:rPr>
          <w:t>https://www.nice.org.uk/guidance/ng28/chapter/Recommendations#:~:text=8%20In%20adults%20with%20type,intensify%20drug%20treatment</w:t>
        </w:r>
      </w:hyperlink>
      <w:r w:rsidRPr="00437EFE">
        <w:t>.</w:t>
      </w:r>
    </w:p>
  </w:footnote>
  <w:footnote w:id="3">
    <w:p w14:paraId="02A82E5C" w14:textId="77777777" w:rsidR="00EE39DC" w:rsidRDefault="00EE39DC" w:rsidP="00644AB3">
      <w:pPr>
        <w:pStyle w:val="FootnoteText"/>
      </w:pPr>
      <w:r>
        <w:rPr>
          <w:rStyle w:val="FootnoteReference"/>
        </w:rPr>
        <w:footnoteRef/>
      </w:r>
      <w:r>
        <w:t xml:space="preserve"> </w:t>
      </w:r>
      <w:r w:rsidRPr="000025F0">
        <w:rPr>
          <w:b/>
          <w:bCs/>
        </w:rPr>
        <w:t>Haemoglobin A1c or glycated haemoglobin (HbA1c)</w:t>
      </w:r>
      <w:r w:rsidRPr="00BC3D3B">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w:t>
      </w:r>
      <w:r>
        <w:t xml:space="preserve">generally </w:t>
      </w:r>
      <w:r w:rsidRPr="00BC3D3B">
        <w:t>less than 7 percent of total haemoglobin.</w:t>
      </w:r>
    </w:p>
  </w:footnote>
  <w:footnote w:id="4">
    <w:p w14:paraId="09072CC2" w14:textId="77777777" w:rsidR="00EE39DC" w:rsidRPr="00D655C9" w:rsidRDefault="00EE39DC" w:rsidP="00644AB3">
      <w:pPr>
        <w:pStyle w:val="FootnoteText"/>
        <w:rPr>
          <w:caps/>
        </w:rPr>
      </w:pPr>
      <w:r>
        <w:rPr>
          <w:rStyle w:val="FootnoteReference"/>
        </w:rPr>
        <w:footnoteRef/>
      </w:r>
      <w:r>
        <w:t xml:space="preserve"> Royal Australian Collect of General Partitioners (RACGP), Diabetes Australia, Management of Type 2 Diabetes: A Handbook for General Practice. Available at: </w:t>
      </w:r>
      <w:hyperlink r:id="rId3" w:history="1">
        <w:r w:rsidRPr="00FD4539">
          <w:rPr>
            <w:rStyle w:val="Hyperlink"/>
          </w:rPr>
          <w:t>https://www.diabetesaustralia.com.au/wp-content/uploads/Available-here.pdf</w:t>
        </w:r>
      </w:hyperlink>
      <w:r>
        <w:t>.</w:t>
      </w:r>
    </w:p>
  </w:footnote>
  <w:footnote w:id="5">
    <w:p w14:paraId="07753B19" w14:textId="4804BA79" w:rsidR="00EE39DC" w:rsidRDefault="00EE39DC" w:rsidP="00437EFE">
      <w:pPr>
        <w:pStyle w:val="FootnoteText"/>
      </w:pPr>
      <w:r>
        <w:rPr>
          <w:rStyle w:val="FootnoteReference"/>
        </w:rPr>
        <w:footnoteRef/>
      </w:r>
      <w:r>
        <w:t xml:space="preserve"> National Diabetes Services Scheme (NDSS), Australian Diabetes Society (ADS), Diabetes Australian, Australian, Type 2 Diabetes Glycaemic Management Algorithm. Available at: </w:t>
      </w:r>
      <w:hyperlink r:id="rId4" w:history="1">
        <w:r w:rsidRPr="00FD4539">
          <w:rPr>
            <w:rStyle w:val="Hyperlink"/>
          </w:rPr>
          <w:t>https://diabetessociety.com.au/downloads/20210412%20T2D%20Management%20Algorithm%2001032021.pdf</w:t>
        </w:r>
      </w:hyperlink>
      <w:r>
        <w:t>.</w:t>
      </w:r>
    </w:p>
  </w:footnote>
  <w:footnote w:id="6">
    <w:p w14:paraId="52D5FDCF" w14:textId="171D7CF1" w:rsidR="00EE39DC" w:rsidRDefault="00EE39DC">
      <w:pPr>
        <w:pStyle w:val="FootnoteText"/>
      </w:pPr>
      <w:r>
        <w:rPr>
          <w:rStyle w:val="FootnoteReference"/>
        </w:rPr>
        <w:footnoteRef/>
      </w:r>
      <w:r>
        <w:t xml:space="preserve"> </w:t>
      </w:r>
      <w:r w:rsidRPr="006E38B1">
        <w:t>American Diabetes Association</w:t>
      </w:r>
      <w:r>
        <w:t xml:space="preserve"> </w:t>
      </w:r>
      <w:r w:rsidRPr="006E38B1">
        <w:t>Standards of Medical Care in Diabetes</w:t>
      </w:r>
      <w:r>
        <w:t>-</w:t>
      </w:r>
      <w:r w:rsidRPr="006E38B1">
        <w:t>2019 Abridged for Primary Care Providers</w:t>
      </w:r>
      <w:r>
        <w:t>,</w:t>
      </w:r>
      <w:r w:rsidRPr="006E38B1">
        <w:t xml:space="preserve"> </w:t>
      </w:r>
      <w:r w:rsidRPr="006E38B1">
        <w:rPr>
          <w:i/>
          <w:iCs/>
        </w:rPr>
        <w:t>Clin Diabetes</w:t>
      </w:r>
      <w:r>
        <w:t>,</w:t>
      </w:r>
      <w:r w:rsidRPr="006E38B1">
        <w:t xml:space="preserve"> 2019</w:t>
      </w:r>
      <w:r>
        <w:t>;</w:t>
      </w:r>
      <w:r w:rsidRPr="006E38B1">
        <w:t xml:space="preserve"> 37(1): 11</w:t>
      </w:r>
      <w:r>
        <w:t>-</w:t>
      </w:r>
      <w:r w:rsidRPr="006E38B1">
        <w:t>34.</w:t>
      </w:r>
    </w:p>
  </w:footnote>
  <w:footnote w:id="7">
    <w:p w14:paraId="6266DF79" w14:textId="5A715878" w:rsidR="00EE39DC" w:rsidRPr="00842AE3" w:rsidRDefault="00EE39DC">
      <w:pPr>
        <w:pStyle w:val="FootnoteText"/>
        <w:rPr>
          <w:lang w:val="en-GB"/>
        </w:rPr>
      </w:pPr>
      <w:r>
        <w:rPr>
          <w:rStyle w:val="FootnoteReference"/>
        </w:rPr>
        <w:footnoteRef/>
      </w:r>
      <w:r>
        <w:t xml:space="preserve"> AusPAR for Ozempic (semaglutide</w:t>
      </w:r>
      <w:r w:rsidR="00EC033B">
        <w:t xml:space="preserve"> (rys)</w:t>
      </w:r>
      <w:r>
        <w:t xml:space="preserve">) </w:t>
      </w:r>
      <w:r w:rsidR="00EC033B" w:rsidRPr="00EC033B">
        <w:t>New biological entity</w:t>
      </w:r>
      <w:r w:rsidR="00EC033B">
        <w:t>, p</w:t>
      </w:r>
      <w:r>
        <w:t xml:space="preserve">ublished </w:t>
      </w:r>
      <w:r w:rsidR="00EC033B">
        <w:t xml:space="preserve">on </w:t>
      </w:r>
      <w:r w:rsidR="00EC033B" w:rsidRPr="00EC033B">
        <w:t>2 December 2020</w:t>
      </w:r>
      <w:r>
        <w:t xml:space="preserve">. Available at: </w:t>
      </w:r>
      <w:hyperlink r:id="rId5" w:history="1">
        <w:r w:rsidRPr="00E45FD8">
          <w:rPr>
            <w:rStyle w:val="Hyperlink"/>
          </w:rPr>
          <w:t>https://www.tga.gov.au/resources/auspar/auspar-semaglutide</w:t>
        </w:r>
      </w:hyperlink>
      <w:r w:rsidR="00EC033B">
        <w:t>.</w:t>
      </w:r>
    </w:p>
  </w:footnote>
  <w:footnote w:id="8">
    <w:p w14:paraId="57D77680" w14:textId="08894901" w:rsidR="00EE39DC" w:rsidRPr="00E032E4" w:rsidRDefault="00EE39DC">
      <w:pPr>
        <w:pStyle w:val="FootnoteText"/>
      </w:pPr>
      <w:r>
        <w:rPr>
          <w:rStyle w:val="FootnoteReference"/>
        </w:rPr>
        <w:footnoteRef/>
      </w:r>
      <w:r>
        <w:t xml:space="preserve"> </w:t>
      </w:r>
      <w:r w:rsidRPr="00016650">
        <w:t>Ozempic was first registered on the ARTG on 28</w:t>
      </w:r>
      <w:r>
        <w:t xml:space="preserve"> August </w:t>
      </w:r>
      <w:r w:rsidRPr="00016650">
        <w:t>2019 (ARTG number: 308324</w:t>
      </w:r>
      <w:r>
        <w:t xml:space="preserve"> and </w:t>
      </w:r>
      <w:r w:rsidRPr="00016650">
        <w:t>315107).</w:t>
      </w:r>
    </w:p>
  </w:footnote>
  <w:footnote w:id="9">
    <w:p w14:paraId="39229F44" w14:textId="63ACF332" w:rsidR="00EE39DC" w:rsidRDefault="00EE39DC">
      <w:pPr>
        <w:pStyle w:val="FootnoteText"/>
      </w:pPr>
      <w:r>
        <w:rPr>
          <w:rStyle w:val="FootnoteReference"/>
        </w:rPr>
        <w:footnoteRef/>
      </w:r>
      <w:r>
        <w:t xml:space="preserve"> </w:t>
      </w:r>
      <w:r w:rsidRPr="000025F0">
        <w:t xml:space="preserve">A </w:t>
      </w:r>
      <w:r w:rsidRPr="000025F0">
        <w:rPr>
          <w:b/>
          <w:bCs/>
        </w:rPr>
        <w:t>Category 3 application</w:t>
      </w:r>
      <w:r w:rsidRPr="000025F0">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10">
    <w:p w14:paraId="5D4509B0" w14:textId="790D1BCD" w:rsidR="00EE39DC" w:rsidRDefault="00EE39DC">
      <w:pPr>
        <w:pStyle w:val="FootnoteText"/>
      </w:pPr>
      <w:r>
        <w:rPr>
          <w:rStyle w:val="FootnoteReference"/>
        </w:rPr>
        <w:footnoteRef/>
      </w:r>
      <w:r>
        <w:t xml:space="preserve"> </w:t>
      </w:r>
      <w:r w:rsidRPr="00D64E7B">
        <w:t>European medicines agency (EMA), Committee for Medicinal Products for Human Use (CHMP), ICH guideline S6 (R1) - Preclinical Safety Evaluation of Biotechnology-Derived Pharmaceuticals, EMA/CHMP/ICH/731268/1998, June 2011.</w:t>
      </w:r>
    </w:p>
  </w:footnote>
  <w:footnote w:id="11">
    <w:p w14:paraId="29D6F71A" w14:textId="326F59F3" w:rsidR="00EE39DC" w:rsidRDefault="00EE39DC">
      <w:pPr>
        <w:pStyle w:val="FootnoteText"/>
      </w:pPr>
      <w:r>
        <w:rPr>
          <w:rStyle w:val="FootnoteReference"/>
        </w:rPr>
        <w:footnoteRef/>
      </w:r>
      <w:r>
        <w:t xml:space="preserve"> </w:t>
      </w:r>
      <w:r w:rsidRPr="00D64E7B">
        <w:t>European medicines agency (EMA), Committee for Proprietary Medicinal Products (CPMP), ICH Guideline M3(R2) on Non-clinical Safety Studies for the Conduct of Human Clinical Trials and Marketing Authorisation for Pharmaceuticals, EMA/CPMP/ICH/286/1995, December 2009.</w:t>
      </w:r>
    </w:p>
  </w:footnote>
  <w:footnote w:id="12">
    <w:p w14:paraId="7631BA27" w14:textId="501E9967" w:rsidR="00EE39DC" w:rsidRDefault="00EE39DC">
      <w:pPr>
        <w:pStyle w:val="FootnoteText"/>
      </w:pPr>
      <w:r>
        <w:rPr>
          <w:rStyle w:val="FootnoteReference"/>
        </w:rPr>
        <w:footnoteRef/>
      </w:r>
      <w:r>
        <w:t xml:space="preserve"> </w:t>
      </w:r>
      <w:r w:rsidRPr="00BC3D3B">
        <w:rPr>
          <w:b/>
          <w:bCs/>
        </w:rPr>
        <w:t>Good Laboratory Practice (GLP)</w:t>
      </w:r>
      <w:r w:rsidRPr="00BC3D3B">
        <w:t xml:space="preserve"> is a code of standards following the International Council on Harmonisation (ICH) relevant to testing of medicines in laboratories during drug development.</w:t>
      </w:r>
    </w:p>
  </w:footnote>
  <w:footnote w:id="13">
    <w:p w14:paraId="6EE70477" w14:textId="6F23D838" w:rsidR="00EE39DC" w:rsidRDefault="00EE39DC" w:rsidP="002E21A4">
      <w:pPr>
        <w:pStyle w:val="FootnoteText"/>
      </w:pPr>
      <w:r>
        <w:rPr>
          <w:rStyle w:val="FootnoteReference"/>
        </w:rPr>
        <w:footnoteRef/>
      </w:r>
      <w:r>
        <w:t xml:space="preserve"> </w:t>
      </w:r>
      <w:r w:rsidRPr="002E21A4">
        <w:rPr>
          <w:b/>
          <w:bCs/>
        </w:rPr>
        <w:t>Pregnancy Category B3</w:t>
      </w:r>
      <w:r>
        <w:t>: Drugs which have been taken by only a limited number of pregnant women and women of childbearing age, without an increase in the frequency of malformation or other direct or indirect harmful effects on the human fetus having been observed.</w:t>
      </w:r>
    </w:p>
    <w:p w14:paraId="47C27169" w14:textId="237099AA" w:rsidR="00EE39DC" w:rsidRDefault="00EE39DC" w:rsidP="002E21A4">
      <w:pPr>
        <w:pStyle w:val="FootnoteText"/>
      </w:pPr>
      <w:r>
        <w:t>Studies in animals have shown evidence of an increased occurrence of fetal damage, the significance of which is considered uncertain in humans.</w:t>
      </w:r>
    </w:p>
  </w:footnote>
  <w:footnote w:id="14">
    <w:p w14:paraId="4AD3CF5C" w14:textId="7E1D7E77" w:rsidR="00EE39DC" w:rsidRDefault="00EE39DC">
      <w:pPr>
        <w:pStyle w:val="FootnoteText"/>
      </w:pPr>
      <w:r>
        <w:rPr>
          <w:rStyle w:val="FootnoteReference"/>
        </w:rPr>
        <w:footnoteRef/>
      </w:r>
      <w:r>
        <w:t xml:space="preserve"> </w:t>
      </w:r>
      <w:r w:rsidRPr="002E21A4">
        <w:rPr>
          <w:b/>
          <w:bCs/>
        </w:rPr>
        <w:t xml:space="preserve">Pregnancy Category </w:t>
      </w:r>
      <w:r>
        <w:rPr>
          <w:b/>
          <w:bCs/>
        </w:rPr>
        <w:t xml:space="preserve">D: </w:t>
      </w:r>
      <w:r w:rsidRPr="002E21A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5">
    <w:p w14:paraId="2B242648" w14:textId="77777777" w:rsidR="00EE39DC" w:rsidRDefault="00EE39DC" w:rsidP="000025F0">
      <w:pPr>
        <w:pStyle w:val="FootnoteText"/>
      </w:pPr>
      <w:r>
        <w:rPr>
          <w:rStyle w:val="FootnoteReference"/>
        </w:rPr>
        <w:footnoteRef/>
      </w:r>
      <w:r>
        <w:t xml:space="preserve"> The </w:t>
      </w:r>
      <w:r w:rsidRPr="000025F0">
        <w:rPr>
          <w:b/>
          <w:bCs/>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5EE11469" w14:textId="795CE57C" w:rsidR="00EE39DC" w:rsidRDefault="00EE39DC" w:rsidP="000025F0">
      <w:pPr>
        <w:pStyle w:val="FootnoteText"/>
      </w:pPr>
      <w:r>
        <w:t xml:space="preserve">The </w:t>
      </w:r>
      <w:r w:rsidRPr="000025F0">
        <w:rPr>
          <w:b/>
          <w:bCs/>
        </w:rPr>
        <w:t>corrected QT interval (QTc)</w:t>
      </w:r>
      <w:r>
        <w:t xml:space="preserve"> estimates the QT interval at a standard heart rate. This allows comparison of QT values over time at different heart rates and improves detection of patients at increased risk of arrhythmias.</w:t>
      </w:r>
    </w:p>
  </w:footnote>
  <w:footnote w:id="16">
    <w:p w14:paraId="7D77C6F0" w14:textId="77777777" w:rsidR="00D86D72" w:rsidRDefault="00D86D72" w:rsidP="00D86D72">
      <w:pPr>
        <w:pStyle w:val="FootnoteText"/>
      </w:pPr>
      <w:r>
        <w:rPr>
          <w:rStyle w:val="FootnoteReference"/>
        </w:rPr>
        <w:footnoteRef/>
      </w:r>
      <w:r>
        <w:t xml:space="preserve"> </w:t>
      </w:r>
      <w:r w:rsidRPr="00E9191D">
        <w:t xml:space="preserve">The </w:t>
      </w:r>
      <w:r w:rsidRPr="00E9191D">
        <w:rPr>
          <w:b/>
          <w:bCs/>
        </w:rPr>
        <w:t>Medical Dictionary for Regulatory Activities (MedDRA)</w:t>
      </w:r>
      <w:r w:rsidRPr="00E9191D">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7">
    <w:p w14:paraId="1E50BC69" w14:textId="08ABF1E8" w:rsidR="00EE39DC" w:rsidRPr="005D7260" w:rsidRDefault="00EE39DC">
      <w:pPr>
        <w:pStyle w:val="FootnoteText"/>
        <w:rPr>
          <w:lang w:val="en-GB"/>
        </w:rPr>
      </w:pPr>
      <w:r>
        <w:rPr>
          <w:rStyle w:val="FootnoteReference"/>
        </w:rPr>
        <w:footnoteRef/>
      </w:r>
      <w:r>
        <w:t xml:space="preserve"> </w:t>
      </w:r>
      <w:r>
        <w:rPr>
          <w:lang w:val="en-GB"/>
        </w:rPr>
        <w:t xml:space="preserve">Study NN9535-3684: </w:t>
      </w:r>
      <w:r w:rsidRPr="00653C4E">
        <w:rPr>
          <w:lang w:val="en-GB"/>
        </w:rPr>
        <w:t>A randomised, single-centre, double-blind, cross-over trial investigating the effect of semaglutide on hypoglycaemic counter-regulation compared to placebo in subjects with type 2</w:t>
      </w:r>
      <w:r>
        <w:rPr>
          <w:lang w:val="en-GB"/>
        </w:rPr>
        <w:t xml:space="preserve"> diabetes.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CA79" w14:textId="77777777" w:rsidR="00EE39DC" w:rsidRDefault="00EE39D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B572" w14:textId="77777777" w:rsidR="00EE39DC" w:rsidRDefault="00EE39DC">
    <w:pPr>
      <w:rPr>
        <w:noProof/>
        <w:lang w:eastAsia="en-AU"/>
      </w:rPr>
    </w:pPr>
    <w:r w:rsidRPr="00347824">
      <w:rPr>
        <w:noProof/>
        <w:lang w:val="en-GB" w:eastAsia="en-GB"/>
      </w:rPr>
      <w:drawing>
        <wp:anchor distT="0" distB="0" distL="114300" distR="114300" simplePos="0" relativeHeight="251659264" behindDoc="1" locked="0" layoutInCell="1" allowOverlap="1" wp14:anchorId="152A3B8A" wp14:editId="103AE1FF">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0929" w14:textId="77777777" w:rsidR="00EE39DC" w:rsidRDefault="00EE39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B4F" w14:textId="77777777" w:rsidR="00EE39DC" w:rsidRDefault="00EE39D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1456" w14:textId="77777777" w:rsidR="00EE39DC" w:rsidRDefault="00EE39D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00FB" w14:textId="77777777" w:rsidR="00EE39DC" w:rsidRDefault="00EE39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B7A8" w14:textId="77777777" w:rsidR="00EE39DC" w:rsidRDefault="00EE39D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23BD" w14:textId="77777777" w:rsidR="00EE39DC" w:rsidRDefault="00EE39DC" w:rsidP="006E08B3">
    <w:r>
      <w:t>Therapeutic Goods Administration</w:t>
    </w:r>
  </w:p>
  <w:p w14:paraId="5AF3E466" w14:textId="77777777" w:rsidR="00EE39DC" w:rsidRDefault="00EE39D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80AE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2C5E10"/>
    <w:multiLevelType w:val="hybridMultilevel"/>
    <w:tmpl w:val="76C85C50"/>
    <w:lvl w:ilvl="0" w:tplc="BFC214BA">
      <w:numFmt w:val="bullet"/>
      <w:lvlText w:val="•"/>
      <w:lvlJc w:val="left"/>
      <w:pPr>
        <w:ind w:left="1080" w:hanging="72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D4B0F852"/>
    <w:lvl w:ilvl="0" w:tplc="1AA0BDE0">
      <w:start w:val="1"/>
      <w:numFmt w:val="bullet"/>
      <w:pStyle w:val="Bulletlist"/>
      <w:lvlText w:val=""/>
      <w:lvlJc w:val="left"/>
      <w:pPr>
        <w:ind w:left="720" w:hanging="360"/>
      </w:pPr>
      <w:rPr>
        <w:rFonts w:ascii="Symbol" w:hAnsi="Symbol" w:hint="default"/>
        <w:strike w:val="0"/>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924F7"/>
    <w:multiLevelType w:val="hybridMultilevel"/>
    <w:tmpl w:val="BE88DCC2"/>
    <w:lvl w:ilvl="0" w:tplc="BFC214BA">
      <w:numFmt w:val="bullet"/>
      <w:lvlText w:val="•"/>
      <w:lvlJc w:val="left"/>
      <w:pPr>
        <w:ind w:left="1080" w:hanging="72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233154"/>
    <w:multiLevelType w:val="hybridMultilevel"/>
    <w:tmpl w:val="3B8CF832"/>
    <w:lvl w:ilvl="0" w:tplc="BFC214BA">
      <w:numFmt w:val="bullet"/>
      <w:lvlText w:val="•"/>
      <w:lvlJc w:val="left"/>
      <w:pPr>
        <w:ind w:left="720" w:hanging="720"/>
      </w:pPr>
      <w:rPr>
        <w:rFonts w:ascii="Cambria" w:eastAsia="Cambria"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51E77E5"/>
    <w:multiLevelType w:val="hybridMultilevel"/>
    <w:tmpl w:val="FFD4F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446D7E"/>
    <w:multiLevelType w:val="hybridMultilevel"/>
    <w:tmpl w:val="8FB0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9722D6"/>
    <w:multiLevelType w:val="multilevel"/>
    <w:tmpl w:val="67AA41D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5"/>
  </w:num>
  <w:num w:numId="2">
    <w:abstractNumId w:val="4"/>
  </w:num>
  <w:num w:numId="3">
    <w:abstractNumId w:val="5"/>
  </w:num>
  <w:num w:numId="4">
    <w:abstractNumId w:val="4"/>
  </w:num>
  <w:num w:numId="5">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 w:numId="9">
    <w:abstractNumId w:val="2"/>
  </w:num>
  <w:num w:numId="10">
    <w:abstractNumId w:val="0"/>
  </w:num>
  <w:num w:numId="11">
    <w:abstractNumId w:val="9"/>
  </w:num>
  <w:num w:numId="12">
    <w:abstractNumId w:val="1"/>
  </w:num>
  <w:num w:numId="13">
    <w:abstractNumId w:val="3"/>
  </w:num>
  <w:num w:numId="14">
    <w:abstractNumId w:val="7"/>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jY0sTQyMDA3NTNX0lEKTi0uzszPAykwqgUAhAZ0XywAAAA="/>
  </w:docVars>
  <w:rsids>
    <w:rsidRoot w:val="00A97F4D"/>
    <w:rsid w:val="00002031"/>
    <w:rsid w:val="000025F0"/>
    <w:rsid w:val="00004734"/>
    <w:rsid w:val="00006B22"/>
    <w:rsid w:val="00006FAB"/>
    <w:rsid w:val="0001276A"/>
    <w:rsid w:val="00016650"/>
    <w:rsid w:val="000246AE"/>
    <w:rsid w:val="000249B6"/>
    <w:rsid w:val="00025C67"/>
    <w:rsid w:val="000432AE"/>
    <w:rsid w:val="00043B89"/>
    <w:rsid w:val="00044772"/>
    <w:rsid w:val="0004541C"/>
    <w:rsid w:val="0005559E"/>
    <w:rsid w:val="000604D6"/>
    <w:rsid w:val="00061B36"/>
    <w:rsid w:val="000624B9"/>
    <w:rsid w:val="000631F7"/>
    <w:rsid w:val="00071724"/>
    <w:rsid w:val="000734D8"/>
    <w:rsid w:val="00077775"/>
    <w:rsid w:val="00090471"/>
    <w:rsid w:val="00096AA7"/>
    <w:rsid w:val="00097992"/>
    <w:rsid w:val="000A2C1B"/>
    <w:rsid w:val="000A3AED"/>
    <w:rsid w:val="000A6A46"/>
    <w:rsid w:val="000B3532"/>
    <w:rsid w:val="000B3A75"/>
    <w:rsid w:val="000C00C2"/>
    <w:rsid w:val="000C690F"/>
    <w:rsid w:val="000D1295"/>
    <w:rsid w:val="000D1C88"/>
    <w:rsid w:val="000D391B"/>
    <w:rsid w:val="000D3D6D"/>
    <w:rsid w:val="000D4FC7"/>
    <w:rsid w:val="000E6196"/>
    <w:rsid w:val="000F42E8"/>
    <w:rsid w:val="000F4869"/>
    <w:rsid w:val="000F5B42"/>
    <w:rsid w:val="000F6E6F"/>
    <w:rsid w:val="0010601F"/>
    <w:rsid w:val="001062DA"/>
    <w:rsid w:val="0010788A"/>
    <w:rsid w:val="00107A31"/>
    <w:rsid w:val="00110EA5"/>
    <w:rsid w:val="00112F56"/>
    <w:rsid w:val="00117C1F"/>
    <w:rsid w:val="00122C2E"/>
    <w:rsid w:val="00124ACD"/>
    <w:rsid w:val="00125318"/>
    <w:rsid w:val="001277FB"/>
    <w:rsid w:val="001305A2"/>
    <w:rsid w:val="00133238"/>
    <w:rsid w:val="00133A1B"/>
    <w:rsid w:val="0014197B"/>
    <w:rsid w:val="001447CD"/>
    <w:rsid w:val="0014624E"/>
    <w:rsid w:val="001516B1"/>
    <w:rsid w:val="00154EBB"/>
    <w:rsid w:val="00156316"/>
    <w:rsid w:val="00161181"/>
    <w:rsid w:val="00161D56"/>
    <w:rsid w:val="00162D14"/>
    <w:rsid w:val="00163780"/>
    <w:rsid w:val="00165389"/>
    <w:rsid w:val="0017693F"/>
    <w:rsid w:val="0018110E"/>
    <w:rsid w:val="00181684"/>
    <w:rsid w:val="001837FF"/>
    <w:rsid w:val="001843C6"/>
    <w:rsid w:val="001850E0"/>
    <w:rsid w:val="00185407"/>
    <w:rsid w:val="001A03AF"/>
    <w:rsid w:val="001A2158"/>
    <w:rsid w:val="001A525F"/>
    <w:rsid w:val="001A5A00"/>
    <w:rsid w:val="001A66B8"/>
    <w:rsid w:val="001B09F9"/>
    <w:rsid w:val="001B1DA4"/>
    <w:rsid w:val="001B5374"/>
    <w:rsid w:val="001B5C90"/>
    <w:rsid w:val="001B6448"/>
    <w:rsid w:val="001C0C00"/>
    <w:rsid w:val="001C32CD"/>
    <w:rsid w:val="001D2984"/>
    <w:rsid w:val="001E07CF"/>
    <w:rsid w:val="001E359E"/>
    <w:rsid w:val="001E59F1"/>
    <w:rsid w:val="001E68D4"/>
    <w:rsid w:val="001F1682"/>
    <w:rsid w:val="001F2CEE"/>
    <w:rsid w:val="001F49EB"/>
    <w:rsid w:val="001F5F00"/>
    <w:rsid w:val="001F6CBA"/>
    <w:rsid w:val="00201D4E"/>
    <w:rsid w:val="002076C9"/>
    <w:rsid w:val="00220B8A"/>
    <w:rsid w:val="00223C56"/>
    <w:rsid w:val="002257F3"/>
    <w:rsid w:val="0022713F"/>
    <w:rsid w:val="002314EA"/>
    <w:rsid w:val="00233456"/>
    <w:rsid w:val="002339A5"/>
    <w:rsid w:val="00233E96"/>
    <w:rsid w:val="00250271"/>
    <w:rsid w:val="00250F35"/>
    <w:rsid w:val="00257848"/>
    <w:rsid w:val="002578E8"/>
    <w:rsid w:val="0027084A"/>
    <w:rsid w:val="00271E85"/>
    <w:rsid w:val="00280265"/>
    <w:rsid w:val="00286434"/>
    <w:rsid w:val="00286C59"/>
    <w:rsid w:val="0029099A"/>
    <w:rsid w:val="00290EC1"/>
    <w:rsid w:val="00291957"/>
    <w:rsid w:val="002942D1"/>
    <w:rsid w:val="0029501A"/>
    <w:rsid w:val="00297BAE"/>
    <w:rsid w:val="002A3721"/>
    <w:rsid w:val="002B1638"/>
    <w:rsid w:val="002B3624"/>
    <w:rsid w:val="002D0474"/>
    <w:rsid w:val="002D0952"/>
    <w:rsid w:val="002D0B75"/>
    <w:rsid w:val="002E07F8"/>
    <w:rsid w:val="002E21A4"/>
    <w:rsid w:val="002E22BF"/>
    <w:rsid w:val="002E40B3"/>
    <w:rsid w:val="002E4C9A"/>
    <w:rsid w:val="002F11F8"/>
    <w:rsid w:val="002F2970"/>
    <w:rsid w:val="002F3F56"/>
    <w:rsid w:val="002F44B5"/>
    <w:rsid w:val="002F5122"/>
    <w:rsid w:val="00300695"/>
    <w:rsid w:val="00302702"/>
    <w:rsid w:val="0031055B"/>
    <w:rsid w:val="003111ED"/>
    <w:rsid w:val="00311AC0"/>
    <w:rsid w:val="00315285"/>
    <w:rsid w:val="003176FC"/>
    <w:rsid w:val="00322B68"/>
    <w:rsid w:val="00324E45"/>
    <w:rsid w:val="0032583B"/>
    <w:rsid w:val="00327883"/>
    <w:rsid w:val="00331152"/>
    <w:rsid w:val="00332715"/>
    <w:rsid w:val="00335504"/>
    <w:rsid w:val="00340C18"/>
    <w:rsid w:val="00343A19"/>
    <w:rsid w:val="003442FD"/>
    <w:rsid w:val="00347824"/>
    <w:rsid w:val="00350567"/>
    <w:rsid w:val="003521E8"/>
    <w:rsid w:val="00363AA5"/>
    <w:rsid w:val="00370CE3"/>
    <w:rsid w:val="003728F3"/>
    <w:rsid w:val="003735BC"/>
    <w:rsid w:val="0037496E"/>
    <w:rsid w:val="00383221"/>
    <w:rsid w:val="00386150"/>
    <w:rsid w:val="00387078"/>
    <w:rsid w:val="003874CE"/>
    <w:rsid w:val="00390900"/>
    <w:rsid w:val="00393701"/>
    <w:rsid w:val="003977D0"/>
    <w:rsid w:val="003A7F6C"/>
    <w:rsid w:val="003B4D60"/>
    <w:rsid w:val="003B7E39"/>
    <w:rsid w:val="003C58DC"/>
    <w:rsid w:val="003D1E62"/>
    <w:rsid w:val="003E0B99"/>
    <w:rsid w:val="003E2486"/>
    <w:rsid w:val="003E3208"/>
    <w:rsid w:val="003F0B04"/>
    <w:rsid w:val="0040134E"/>
    <w:rsid w:val="00406796"/>
    <w:rsid w:val="00415D91"/>
    <w:rsid w:val="00416FD2"/>
    <w:rsid w:val="004334C7"/>
    <w:rsid w:val="00435BB9"/>
    <w:rsid w:val="00437EFE"/>
    <w:rsid w:val="00440A2D"/>
    <w:rsid w:val="00441C3F"/>
    <w:rsid w:val="00443241"/>
    <w:rsid w:val="00444D1A"/>
    <w:rsid w:val="0045186A"/>
    <w:rsid w:val="00454BDC"/>
    <w:rsid w:val="004564A7"/>
    <w:rsid w:val="00456765"/>
    <w:rsid w:val="00460036"/>
    <w:rsid w:val="004617BF"/>
    <w:rsid w:val="00463658"/>
    <w:rsid w:val="004637A0"/>
    <w:rsid w:val="004722CC"/>
    <w:rsid w:val="0048363E"/>
    <w:rsid w:val="00484415"/>
    <w:rsid w:val="00490483"/>
    <w:rsid w:val="004936E4"/>
    <w:rsid w:val="00494E60"/>
    <w:rsid w:val="00497487"/>
    <w:rsid w:val="00497F34"/>
    <w:rsid w:val="004A2771"/>
    <w:rsid w:val="004A6189"/>
    <w:rsid w:val="004A699F"/>
    <w:rsid w:val="004A6C15"/>
    <w:rsid w:val="004A7390"/>
    <w:rsid w:val="004B6AD2"/>
    <w:rsid w:val="004B7B76"/>
    <w:rsid w:val="004C239D"/>
    <w:rsid w:val="004C2B1B"/>
    <w:rsid w:val="004C2DCA"/>
    <w:rsid w:val="004C4FBE"/>
    <w:rsid w:val="004C61D2"/>
    <w:rsid w:val="004D446E"/>
    <w:rsid w:val="004F0C4A"/>
    <w:rsid w:val="004F0F38"/>
    <w:rsid w:val="004F47D6"/>
    <w:rsid w:val="00500337"/>
    <w:rsid w:val="00501921"/>
    <w:rsid w:val="00505417"/>
    <w:rsid w:val="0052149B"/>
    <w:rsid w:val="00523A21"/>
    <w:rsid w:val="00530354"/>
    <w:rsid w:val="0053625B"/>
    <w:rsid w:val="005434C6"/>
    <w:rsid w:val="00543B39"/>
    <w:rsid w:val="00545CDB"/>
    <w:rsid w:val="00546154"/>
    <w:rsid w:val="00546FEB"/>
    <w:rsid w:val="00550096"/>
    <w:rsid w:val="00555280"/>
    <w:rsid w:val="00557FF9"/>
    <w:rsid w:val="00562327"/>
    <w:rsid w:val="005711D5"/>
    <w:rsid w:val="00572746"/>
    <w:rsid w:val="00576378"/>
    <w:rsid w:val="00576A3B"/>
    <w:rsid w:val="00577130"/>
    <w:rsid w:val="00577945"/>
    <w:rsid w:val="00577E38"/>
    <w:rsid w:val="00585322"/>
    <w:rsid w:val="005857C6"/>
    <w:rsid w:val="00592F6E"/>
    <w:rsid w:val="00593349"/>
    <w:rsid w:val="00593AD1"/>
    <w:rsid w:val="005A68B6"/>
    <w:rsid w:val="005A79F5"/>
    <w:rsid w:val="005B59BF"/>
    <w:rsid w:val="005C494B"/>
    <w:rsid w:val="005C5570"/>
    <w:rsid w:val="005C5B66"/>
    <w:rsid w:val="005C79A4"/>
    <w:rsid w:val="005D24BC"/>
    <w:rsid w:val="005D5442"/>
    <w:rsid w:val="005D7260"/>
    <w:rsid w:val="005F3D23"/>
    <w:rsid w:val="005F5334"/>
    <w:rsid w:val="00603F32"/>
    <w:rsid w:val="00605AD4"/>
    <w:rsid w:val="00612622"/>
    <w:rsid w:val="006136D7"/>
    <w:rsid w:val="00615569"/>
    <w:rsid w:val="00625A6E"/>
    <w:rsid w:val="00631637"/>
    <w:rsid w:val="00632398"/>
    <w:rsid w:val="00640FC3"/>
    <w:rsid w:val="00642020"/>
    <w:rsid w:val="006430EE"/>
    <w:rsid w:val="00643CE5"/>
    <w:rsid w:val="00644AB3"/>
    <w:rsid w:val="00645362"/>
    <w:rsid w:val="0065337B"/>
    <w:rsid w:val="00653C4E"/>
    <w:rsid w:val="0065419D"/>
    <w:rsid w:val="006603BC"/>
    <w:rsid w:val="006604D8"/>
    <w:rsid w:val="00664A5B"/>
    <w:rsid w:val="0066735C"/>
    <w:rsid w:val="00672D1A"/>
    <w:rsid w:val="006763D2"/>
    <w:rsid w:val="00680C08"/>
    <w:rsid w:val="00685FBA"/>
    <w:rsid w:val="006901BA"/>
    <w:rsid w:val="006916A0"/>
    <w:rsid w:val="006931B1"/>
    <w:rsid w:val="00697869"/>
    <w:rsid w:val="006A15C0"/>
    <w:rsid w:val="006A58A8"/>
    <w:rsid w:val="006B2740"/>
    <w:rsid w:val="006C3E2A"/>
    <w:rsid w:val="006C642F"/>
    <w:rsid w:val="006C699E"/>
    <w:rsid w:val="006D03E5"/>
    <w:rsid w:val="006D5D3E"/>
    <w:rsid w:val="006E08B3"/>
    <w:rsid w:val="006E38B1"/>
    <w:rsid w:val="006E7D4A"/>
    <w:rsid w:val="006F17AC"/>
    <w:rsid w:val="006F25B8"/>
    <w:rsid w:val="006F572E"/>
    <w:rsid w:val="007013B0"/>
    <w:rsid w:val="00703318"/>
    <w:rsid w:val="007046D6"/>
    <w:rsid w:val="00705DB0"/>
    <w:rsid w:val="0071231C"/>
    <w:rsid w:val="00722396"/>
    <w:rsid w:val="0072292E"/>
    <w:rsid w:val="00722B57"/>
    <w:rsid w:val="00730CCF"/>
    <w:rsid w:val="00730F8A"/>
    <w:rsid w:val="00735A8C"/>
    <w:rsid w:val="0074163C"/>
    <w:rsid w:val="0074253D"/>
    <w:rsid w:val="00744121"/>
    <w:rsid w:val="0074429B"/>
    <w:rsid w:val="007615BC"/>
    <w:rsid w:val="00762F05"/>
    <w:rsid w:val="007652FF"/>
    <w:rsid w:val="007703EF"/>
    <w:rsid w:val="00770CAC"/>
    <w:rsid w:val="00770EF1"/>
    <w:rsid w:val="0077131A"/>
    <w:rsid w:val="00773EF7"/>
    <w:rsid w:val="00774E1D"/>
    <w:rsid w:val="007765D8"/>
    <w:rsid w:val="0077675A"/>
    <w:rsid w:val="00780355"/>
    <w:rsid w:val="00780F3A"/>
    <w:rsid w:val="007819FD"/>
    <w:rsid w:val="0078534A"/>
    <w:rsid w:val="00785717"/>
    <w:rsid w:val="00785721"/>
    <w:rsid w:val="00793A59"/>
    <w:rsid w:val="007A46F5"/>
    <w:rsid w:val="007A6505"/>
    <w:rsid w:val="007B6132"/>
    <w:rsid w:val="007B6E9F"/>
    <w:rsid w:val="007C1216"/>
    <w:rsid w:val="007C1AF7"/>
    <w:rsid w:val="007C31A1"/>
    <w:rsid w:val="007C6B9B"/>
    <w:rsid w:val="007D192D"/>
    <w:rsid w:val="007D53B6"/>
    <w:rsid w:val="007E3098"/>
    <w:rsid w:val="007F7D7C"/>
    <w:rsid w:val="008027CC"/>
    <w:rsid w:val="00804D99"/>
    <w:rsid w:val="00805D27"/>
    <w:rsid w:val="00806DCB"/>
    <w:rsid w:val="008110BC"/>
    <w:rsid w:val="00821776"/>
    <w:rsid w:val="008321F5"/>
    <w:rsid w:val="00832369"/>
    <w:rsid w:val="00833ED8"/>
    <w:rsid w:val="00834660"/>
    <w:rsid w:val="00836794"/>
    <w:rsid w:val="00836A9F"/>
    <w:rsid w:val="00836BC2"/>
    <w:rsid w:val="00842934"/>
    <w:rsid w:val="00842AE3"/>
    <w:rsid w:val="00847F47"/>
    <w:rsid w:val="008511C6"/>
    <w:rsid w:val="0085156D"/>
    <w:rsid w:val="00852B28"/>
    <w:rsid w:val="0085641B"/>
    <w:rsid w:val="00857136"/>
    <w:rsid w:val="00865B03"/>
    <w:rsid w:val="00875A6B"/>
    <w:rsid w:val="00876C40"/>
    <w:rsid w:val="00881FE7"/>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6287"/>
    <w:rsid w:val="008E2BF4"/>
    <w:rsid w:val="008E2CB4"/>
    <w:rsid w:val="008E7846"/>
    <w:rsid w:val="008F02E5"/>
    <w:rsid w:val="008F1CCC"/>
    <w:rsid w:val="008F2967"/>
    <w:rsid w:val="008F6943"/>
    <w:rsid w:val="00902A21"/>
    <w:rsid w:val="00904FCB"/>
    <w:rsid w:val="00912113"/>
    <w:rsid w:val="0091523F"/>
    <w:rsid w:val="00920330"/>
    <w:rsid w:val="009219D7"/>
    <w:rsid w:val="00922D53"/>
    <w:rsid w:val="00923B70"/>
    <w:rsid w:val="00924482"/>
    <w:rsid w:val="00930237"/>
    <w:rsid w:val="00937C17"/>
    <w:rsid w:val="00940A89"/>
    <w:rsid w:val="00941F77"/>
    <w:rsid w:val="00946EA5"/>
    <w:rsid w:val="009556D7"/>
    <w:rsid w:val="00960520"/>
    <w:rsid w:val="00961AF7"/>
    <w:rsid w:val="00963C08"/>
    <w:rsid w:val="009667FD"/>
    <w:rsid w:val="009752A5"/>
    <w:rsid w:val="0098100A"/>
    <w:rsid w:val="0098585A"/>
    <w:rsid w:val="00990C0B"/>
    <w:rsid w:val="009A4CED"/>
    <w:rsid w:val="009A4D8F"/>
    <w:rsid w:val="009A690D"/>
    <w:rsid w:val="009B1D12"/>
    <w:rsid w:val="009B416B"/>
    <w:rsid w:val="009C4BD5"/>
    <w:rsid w:val="009D7B52"/>
    <w:rsid w:val="009D7B77"/>
    <w:rsid w:val="009E0BB0"/>
    <w:rsid w:val="009E0D56"/>
    <w:rsid w:val="009E3FBB"/>
    <w:rsid w:val="009E5A87"/>
    <w:rsid w:val="009F2673"/>
    <w:rsid w:val="009F2AD7"/>
    <w:rsid w:val="009F7353"/>
    <w:rsid w:val="00A04F85"/>
    <w:rsid w:val="00A05581"/>
    <w:rsid w:val="00A05BEB"/>
    <w:rsid w:val="00A05FA4"/>
    <w:rsid w:val="00A102E4"/>
    <w:rsid w:val="00A105DA"/>
    <w:rsid w:val="00A1219C"/>
    <w:rsid w:val="00A12C42"/>
    <w:rsid w:val="00A14DF7"/>
    <w:rsid w:val="00A22D57"/>
    <w:rsid w:val="00A30C42"/>
    <w:rsid w:val="00A3246D"/>
    <w:rsid w:val="00A36FA7"/>
    <w:rsid w:val="00A43E2A"/>
    <w:rsid w:val="00A44DDB"/>
    <w:rsid w:val="00A475B7"/>
    <w:rsid w:val="00A47AF7"/>
    <w:rsid w:val="00A47C3E"/>
    <w:rsid w:val="00A50226"/>
    <w:rsid w:val="00A5167C"/>
    <w:rsid w:val="00A60BAD"/>
    <w:rsid w:val="00A62DCA"/>
    <w:rsid w:val="00A77F87"/>
    <w:rsid w:val="00A80B5B"/>
    <w:rsid w:val="00A84E36"/>
    <w:rsid w:val="00A85DC4"/>
    <w:rsid w:val="00A964D1"/>
    <w:rsid w:val="00A97F4D"/>
    <w:rsid w:val="00AA0ED0"/>
    <w:rsid w:val="00AB4FA1"/>
    <w:rsid w:val="00AB6287"/>
    <w:rsid w:val="00AC2B40"/>
    <w:rsid w:val="00AC2BB2"/>
    <w:rsid w:val="00AC2C3C"/>
    <w:rsid w:val="00AC512D"/>
    <w:rsid w:val="00AD0083"/>
    <w:rsid w:val="00AD3935"/>
    <w:rsid w:val="00AE17B7"/>
    <w:rsid w:val="00AE65EB"/>
    <w:rsid w:val="00AE67A7"/>
    <w:rsid w:val="00AF1D94"/>
    <w:rsid w:val="00AF2313"/>
    <w:rsid w:val="00AF60C5"/>
    <w:rsid w:val="00AF66C8"/>
    <w:rsid w:val="00B009C6"/>
    <w:rsid w:val="00B01548"/>
    <w:rsid w:val="00B12FFA"/>
    <w:rsid w:val="00B130C5"/>
    <w:rsid w:val="00B13EBD"/>
    <w:rsid w:val="00B1406F"/>
    <w:rsid w:val="00B21D29"/>
    <w:rsid w:val="00B25034"/>
    <w:rsid w:val="00B33588"/>
    <w:rsid w:val="00B33863"/>
    <w:rsid w:val="00B37D17"/>
    <w:rsid w:val="00B4175E"/>
    <w:rsid w:val="00B41C85"/>
    <w:rsid w:val="00B452CE"/>
    <w:rsid w:val="00B54C25"/>
    <w:rsid w:val="00B66743"/>
    <w:rsid w:val="00B73410"/>
    <w:rsid w:val="00B76B91"/>
    <w:rsid w:val="00B77EB1"/>
    <w:rsid w:val="00B811C6"/>
    <w:rsid w:val="00B855B0"/>
    <w:rsid w:val="00B92E08"/>
    <w:rsid w:val="00BB0B78"/>
    <w:rsid w:val="00BB71CC"/>
    <w:rsid w:val="00BB75D6"/>
    <w:rsid w:val="00BC3D3B"/>
    <w:rsid w:val="00BC622A"/>
    <w:rsid w:val="00BD6E5A"/>
    <w:rsid w:val="00BE0A78"/>
    <w:rsid w:val="00BE6542"/>
    <w:rsid w:val="00BE79F0"/>
    <w:rsid w:val="00BF046D"/>
    <w:rsid w:val="00BF1190"/>
    <w:rsid w:val="00BF3774"/>
    <w:rsid w:val="00BF3D1D"/>
    <w:rsid w:val="00BF5D04"/>
    <w:rsid w:val="00BF7063"/>
    <w:rsid w:val="00C009AA"/>
    <w:rsid w:val="00C1164D"/>
    <w:rsid w:val="00C13013"/>
    <w:rsid w:val="00C16861"/>
    <w:rsid w:val="00C34133"/>
    <w:rsid w:val="00C346AB"/>
    <w:rsid w:val="00C404A6"/>
    <w:rsid w:val="00C40A36"/>
    <w:rsid w:val="00C44419"/>
    <w:rsid w:val="00C45287"/>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84F7B"/>
    <w:rsid w:val="00C863D8"/>
    <w:rsid w:val="00C94CD4"/>
    <w:rsid w:val="00C9747E"/>
    <w:rsid w:val="00CA60FA"/>
    <w:rsid w:val="00CA6636"/>
    <w:rsid w:val="00CB6BC0"/>
    <w:rsid w:val="00CC1B7C"/>
    <w:rsid w:val="00CC5044"/>
    <w:rsid w:val="00CC727F"/>
    <w:rsid w:val="00CC7D97"/>
    <w:rsid w:val="00CD3A57"/>
    <w:rsid w:val="00CF15C3"/>
    <w:rsid w:val="00CF2B6F"/>
    <w:rsid w:val="00CF2F3E"/>
    <w:rsid w:val="00CF41D1"/>
    <w:rsid w:val="00CF58B6"/>
    <w:rsid w:val="00CF5DAD"/>
    <w:rsid w:val="00D0062D"/>
    <w:rsid w:val="00D017ED"/>
    <w:rsid w:val="00D040D3"/>
    <w:rsid w:val="00D04C65"/>
    <w:rsid w:val="00D153D8"/>
    <w:rsid w:val="00D1673E"/>
    <w:rsid w:val="00D17CFA"/>
    <w:rsid w:val="00D201D2"/>
    <w:rsid w:val="00D212F3"/>
    <w:rsid w:val="00D224FE"/>
    <w:rsid w:val="00D23139"/>
    <w:rsid w:val="00D2507B"/>
    <w:rsid w:val="00D346FD"/>
    <w:rsid w:val="00D425BB"/>
    <w:rsid w:val="00D453FA"/>
    <w:rsid w:val="00D56348"/>
    <w:rsid w:val="00D63DDD"/>
    <w:rsid w:val="00D6493E"/>
    <w:rsid w:val="00D64E7B"/>
    <w:rsid w:val="00D655C9"/>
    <w:rsid w:val="00D7195D"/>
    <w:rsid w:val="00D72CBA"/>
    <w:rsid w:val="00D7301E"/>
    <w:rsid w:val="00D83AE1"/>
    <w:rsid w:val="00D854AC"/>
    <w:rsid w:val="00D855D4"/>
    <w:rsid w:val="00D86D72"/>
    <w:rsid w:val="00D902C9"/>
    <w:rsid w:val="00D931AF"/>
    <w:rsid w:val="00D93466"/>
    <w:rsid w:val="00D97143"/>
    <w:rsid w:val="00DA1124"/>
    <w:rsid w:val="00DA64CB"/>
    <w:rsid w:val="00DB06B8"/>
    <w:rsid w:val="00DB6124"/>
    <w:rsid w:val="00DB750B"/>
    <w:rsid w:val="00DB75B7"/>
    <w:rsid w:val="00DC0A2F"/>
    <w:rsid w:val="00DC1948"/>
    <w:rsid w:val="00DC6E02"/>
    <w:rsid w:val="00DD28CD"/>
    <w:rsid w:val="00DD79E3"/>
    <w:rsid w:val="00DE02AE"/>
    <w:rsid w:val="00DE39D1"/>
    <w:rsid w:val="00DF0945"/>
    <w:rsid w:val="00DF1D7F"/>
    <w:rsid w:val="00DF4BE4"/>
    <w:rsid w:val="00DF6926"/>
    <w:rsid w:val="00DF7C6F"/>
    <w:rsid w:val="00E02382"/>
    <w:rsid w:val="00E02698"/>
    <w:rsid w:val="00E02FB4"/>
    <w:rsid w:val="00E032E4"/>
    <w:rsid w:val="00E13FC7"/>
    <w:rsid w:val="00E20571"/>
    <w:rsid w:val="00E235F7"/>
    <w:rsid w:val="00E23659"/>
    <w:rsid w:val="00E239D4"/>
    <w:rsid w:val="00E26130"/>
    <w:rsid w:val="00E33D42"/>
    <w:rsid w:val="00E40B22"/>
    <w:rsid w:val="00E44ED1"/>
    <w:rsid w:val="00E45619"/>
    <w:rsid w:val="00E4588F"/>
    <w:rsid w:val="00E46DA3"/>
    <w:rsid w:val="00E5082D"/>
    <w:rsid w:val="00E51BB1"/>
    <w:rsid w:val="00E55CB0"/>
    <w:rsid w:val="00E61887"/>
    <w:rsid w:val="00E624A5"/>
    <w:rsid w:val="00E64BA4"/>
    <w:rsid w:val="00E723E2"/>
    <w:rsid w:val="00E7344E"/>
    <w:rsid w:val="00E82665"/>
    <w:rsid w:val="00E847AB"/>
    <w:rsid w:val="00E9191D"/>
    <w:rsid w:val="00EA7A6D"/>
    <w:rsid w:val="00EB0798"/>
    <w:rsid w:val="00EB36D6"/>
    <w:rsid w:val="00EB40AD"/>
    <w:rsid w:val="00EB586E"/>
    <w:rsid w:val="00EB5FC8"/>
    <w:rsid w:val="00EB76BB"/>
    <w:rsid w:val="00EC033B"/>
    <w:rsid w:val="00EC463D"/>
    <w:rsid w:val="00EC785E"/>
    <w:rsid w:val="00EC7A85"/>
    <w:rsid w:val="00ED2922"/>
    <w:rsid w:val="00ED3CAD"/>
    <w:rsid w:val="00ED4B58"/>
    <w:rsid w:val="00ED5A41"/>
    <w:rsid w:val="00EE1DE8"/>
    <w:rsid w:val="00EE27C2"/>
    <w:rsid w:val="00EE39DC"/>
    <w:rsid w:val="00EE706A"/>
    <w:rsid w:val="00EF4A4C"/>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3DBF"/>
    <w:rsid w:val="00F63FF0"/>
    <w:rsid w:val="00F640B6"/>
    <w:rsid w:val="00F654AF"/>
    <w:rsid w:val="00F66DF2"/>
    <w:rsid w:val="00F802A8"/>
    <w:rsid w:val="00F80E40"/>
    <w:rsid w:val="00F848D9"/>
    <w:rsid w:val="00F87D85"/>
    <w:rsid w:val="00F918C9"/>
    <w:rsid w:val="00F931CE"/>
    <w:rsid w:val="00FA4BBA"/>
    <w:rsid w:val="00FA5069"/>
    <w:rsid w:val="00FA5B82"/>
    <w:rsid w:val="00FA639E"/>
    <w:rsid w:val="00FC1FCA"/>
    <w:rsid w:val="00FC25E4"/>
    <w:rsid w:val="00FC4476"/>
    <w:rsid w:val="00FC4EF7"/>
    <w:rsid w:val="00FD0824"/>
    <w:rsid w:val="00FD119B"/>
    <w:rsid w:val="00FD1EDC"/>
    <w:rsid w:val="00FD3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03979FF"/>
  <w15:docId w15:val="{BEF167FA-4282-4462-B450-0E89D560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DF6926"/>
    <w:pPr>
      <w:ind w:left="720"/>
      <w:contextualSpacing/>
    </w:pPr>
  </w:style>
  <w:style w:type="paragraph" w:customStyle="1" w:styleId="Bulletpoint">
    <w:name w:val="Bullet point"/>
    <w:basedOn w:val="Normal"/>
    <w:rsid w:val="00BD6E5A"/>
    <w:pPr>
      <w:numPr>
        <w:numId w:val="7"/>
      </w:numPr>
      <w:tabs>
        <w:tab w:val="clear" w:pos="369"/>
        <w:tab w:val="left" w:pos="397"/>
        <w:tab w:val="num" w:pos="511"/>
      </w:tabs>
      <w:spacing w:before="0" w:after="180" w:line="252" w:lineRule="auto"/>
      <w:ind w:left="0" w:firstLine="0"/>
    </w:pPr>
    <w:rPr>
      <w:rFonts w:ascii="Times New Roman" w:eastAsia="Times New Roman" w:hAnsi="Times New Roman"/>
      <w:snapToGrid w:val="0"/>
      <w:kern w:val="16"/>
      <w:szCs w:val="24"/>
    </w:rPr>
  </w:style>
  <w:style w:type="paragraph" w:customStyle="1" w:styleId="Bulletlist">
    <w:name w:val="Bullet list"/>
    <w:basedOn w:val="Normal"/>
    <w:link w:val="BulletlistChar"/>
    <w:qFormat/>
    <w:rsid w:val="00A30C42"/>
    <w:pPr>
      <w:numPr>
        <w:numId w:val="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A30C42"/>
    <w:rPr>
      <w:rFonts w:ascii="Cambria" w:eastAsia="Times New Roman" w:hAnsi="Cambria" w:cs="Times New Roman"/>
      <w:snapToGrid w:val="0"/>
      <w:kern w:val="2"/>
      <w:sz w:val="23"/>
    </w:rPr>
  </w:style>
  <w:style w:type="paragraph" w:customStyle="1" w:styleId="Standard">
    <w:name w:val="Standard"/>
    <w:basedOn w:val="Normal"/>
    <w:link w:val="StandardChar"/>
    <w:qFormat/>
    <w:rsid w:val="00A30C4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30C42"/>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A30C42"/>
    <w:rPr>
      <w:rFonts w:ascii="Cambria" w:eastAsia="Cambria" w:hAnsi="Cambria" w:cs="Times New Roman"/>
      <w:snapToGrid/>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8133">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13536242">
      <w:bodyDiv w:val="1"/>
      <w:marLeft w:val="0"/>
      <w:marRight w:val="0"/>
      <w:marTop w:val="0"/>
      <w:marBottom w:val="0"/>
      <w:divBdr>
        <w:top w:val="none" w:sz="0" w:space="0" w:color="auto"/>
        <w:left w:val="none" w:sz="0" w:space="0" w:color="auto"/>
        <w:bottom w:val="none" w:sz="0" w:space="0" w:color="auto"/>
        <w:right w:val="none" w:sz="0" w:space="0" w:color="auto"/>
      </w:divBdr>
    </w:div>
    <w:div w:id="566041390">
      <w:bodyDiv w:val="1"/>
      <w:marLeft w:val="0"/>
      <w:marRight w:val="0"/>
      <w:marTop w:val="0"/>
      <w:marBottom w:val="0"/>
      <w:divBdr>
        <w:top w:val="none" w:sz="0" w:space="0" w:color="auto"/>
        <w:left w:val="none" w:sz="0" w:space="0" w:color="auto"/>
        <w:bottom w:val="none" w:sz="0" w:space="0" w:color="auto"/>
        <w:right w:val="none" w:sz="0" w:space="0" w:color="auto"/>
      </w:divBdr>
    </w:div>
    <w:div w:id="623006607">
      <w:bodyDiv w:val="1"/>
      <w:marLeft w:val="0"/>
      <w:marRight w:val="0"/>
      <w:marTop w:val="0"/>
      <w:marBottom w:val="0"/>
      <w:divBdr>
        <w:top w:val="none" w:sz="0" w:space="0" w:color="auto"/>
        <w:left w:val="none" w:sz="0" w:space="0" w:color="auto"/>
        <w:bottom w:val="none" w:sz="0" w:space="0" w:color="auto"/>
        <w:right w:val="none" w:sz="0" w:space="0" w:color="auto"/>
      </w:divBdr>
    </w:div>
    <w:div w:id="881940969">
      <w:bodyDiv w:val="1"/>
      <w:marLeft w:val="0"/>
      <w:marRight w:val="0"/>
      <w:marTop w:val="0"/>
      <w:marBottom w:val="0"/>
      <w:divBdr>
        <w:top w:val="none" w:sz="0" w:space="0" w:color="auto"/>
        <w:left w:val="none" w:sz="0" w:space="0" w:color="auto"/>
        <w:bottom w:val="none" w:sz="0" w:space="0" w:color="auto"/>
        <w:right w:val="none" w:sz="0" w:space="0" w:color="auto"/>
      </w:divBdr>
    </w:div>
    <w:div w:id="1306814427">
      <w:bodyDiv w:val="1"/>
      <w:marLeft w:val="0"/>
      <w:marRight w:val="0"/>
      <w:marTop w:val="0"/>
      <w:marBottom w:val="0"/>
      <w:divBdr>
        <w:top w:val="none" w:sz="0" w:space="0" w:color="auto"/>
        <w:left w:val="none" w:sz="0" w:space="0" w:color="auto"/>
        <w:bottom w:val="none" w:sz="0" w:space="0" w:color="auto"/>
        <w:right w:val="none" w:sz="0" w:space="0" w:color="auto"/>
      </w:divBdr>
    </w:div>
    <w:div w:id="1399014658">
      <w:bodyDiv w:val="1"/>
      <w:marLeft w:val="0"/>
      <w:marRight w:val="0"/>
      <w:marTop w:val="0"/>
      <w:marBottom w:val="0"/>
      <w:divBdr>
        <w:top w:val="none" w:sz="0" w:space="0" w:color="auto"/>
        <w:left w:val="none" w:sz="0" w:space="0" w:color="auto"/>
        <w:bottom w:val="none" w:sz="0" w:space="0" w:color="auto"/>
        <w:right w:val="none" w:sz="0" w:space="0" w:color="auto"/>
      </w:divBdr>
      <w:divsChild>
        <w:div w:id="220211502">
          <w:marLeft w:val="0"/>
          <w:marRight w:val="0"/>
          <w:marTop w:val="120"/>
          <w:marBottom w:val="120"/>
          <w:divBdr>
            <w:top w:val="none" w:sz="0" w:space="0" w:color="auto"/>
            <w:left w:val="none" w:sz="0" w:space="0" w:color="auto"/>
            <w:bottom w:val="none" w:sz="0" w:space="0" w:color="auto"/>
            <w:right w:val="none" w:sz="0" w:space="0" w:color="auto"/>
          </w:divBdr>
          <w:divsChild>
            <w:div w:id="406810200">
              <w:marLeft w:val="0"/>
              <w:marRight w:val="0"/>
              <w:marTop w:val="0"/>
              <w:marBottom w:val="0"/>
              <w:divBdr>
                <w:top w:val="single" w:sz="6" w:space="6" w:color="AEB0B5"/>
                <w:left w:val="none" w:sz="0" w:space="0" w:color="auto"/>
                <w:bottom w:val="single" w:sz="6" w:space="6" w:color="AEB0B5"/>
                <w:right w:val="none" w:sz="0" w:space="0" w:color="auto"/>
              </w:divBdr>
              <w:divsChild>
                <w:div w:id="1961762972">
                  <w:marLeft w:val="0"/>
                  <w:marRight w:val="0"/>
                  <w:marTop w:val="120"/>
                  <w:marBottom w:val="120"/>
                  <w:divBdr>
                    <w:top w:val="none" w:sz="0" w:space="0" w:color="auto"/>
                    <w:left w:val="none" w:sz="0" w:space="0" w:color="auto"/>
                    <w:bottom w:val="none" w:sz="0" w:space="0" w:color="auto"/>
                    <w:right w:val="none" w:sz="0" w:space="0" w:color="auto"/>
                  </w:divBdr>
                  <w:divsChild>
                    <w:div w:id="1832676124">
                      <w:marLeft w:val="0"/>
                      <w:marRight w:val="240"/>
                      <w:marTop w:val="0"/>
                      <w:marBottom w:val="0"/>
                      <w:divBdr>
                        <w:top w:val="none" w:sz="0" w:space="0" w:color="auto"/>
                        <w:left w:val="none" w:sz="0" w:space="0" w:color="auto"/>
                        <w:bottom w:val="none" w:sz="0" w:space="0" w:color="auto"/>
                        <w:right w:val="none" w:sz="0" w:space="0" w:color="auto"/>
                      </w:divBdr>
                    </w:div>
                    <w:div w:id="123084371">
                      <w:marLeft w:val="0"/>
                      <w:marRight w:val="0"/>
                      <w:marTop w:val="0"/>
                      <w:marBottom w:val="0"/>
                      <w:divBdr>
                        <w:top w:val="none" w:sz="0" w:space="0" w:color="auto"/>
                        <w:left w:val="none" w:sz="0" w:space="0" w:color="auto"/>
                        <w:bottom w:val="none" w:sz="0" w:space="0" w:color="auto"/>
                        <w:right w:val="none" w:sz="0" w:space="0" w:color="auto"/>
                      </w:divBdr>
                      <w:divsChild>
                        <w:div w:id="1911651183">
                          <w:marLeft w:val="0"/>
                          <w:marRight w:val="0"/>
                          <w:marTop w:val="100"/>
                          <w:marBottom w:val="100"/>
                          <w:divBdr>
                            <w:top w:val="none" w:sz="0" w:space="0" w:color="auto"/>
                            <w:left w:val="none" w:sz="0" w:space="0" w:color="auto"/>
                            <w:bottom w:val="none" w:sz="0" w:space="0" w:color="auto"/>
                            <w:right w:val="none" w:sz="0" w:space="0" w:color="auto"/>
                          </w:divBdr>
                          <w:divsChild>
                            <w:div w:id="1359086105">
                              <w:marLeft w:val="0"/>
                              <w:marRight w:val="0"/>
                              <w:marTop w:val="0"/>
                              <w:marBottom w:val="0"/>
                              <w:divBdr>
                                <w:top w:val="single" w:sz="6" w:space="0" w:color="CCCCCC"/>
                                <w:left w:val="single" w:sz="6" w:space="0" w:color="CCCCCC"/>
                                <w:bottom w:val="single" w:sz="6" w:space="0" w:color="CCCCCC"/>
                                <w:right w:val="single" w:sz="6" w:space="0" w:color="CCCCCC"/>
                              </w:divBdr>
                              <w:divsChild>
                                <w:div w:id="930889664">
                                  <w:marLeft w:val="0"/>
                                  <w:marRight w:val="0"/>
                                  <w:marTop w:val="0"/>
                                  <w:marBottom w:val="0"/>
                                  <w:divBdr>
                                    <w:top w:val="none" w:sz="0" w:space="0" w:color="auto"/>
                                    <w:left w:val="none" w:sz="0" w:space="0" w:color="auto"/>
                                    <w:bottom w:val="none" w:sz="0" w:space="0" w:color="auto"/>
                                    <w:right w:val="none" w:sz="0" w:space="0" w:color="auto"/>
                                  </w:divBdr>
                                  <w:divsChild>
                                    <w:div w:id="1180243684">
                                      <w:marLeft w:val="0"/>
                                      <w:marRight w:val="0"/>
                                      <w:marTop w:val="120"/>
                                      <w:marBottom w:val="60"/>
                                      <w:divBdr>
                                        <w:top w:val="none" w:sz="0" w:space="0" w:color="auto"/>
                                        <w:left w:val="none" w:sz="0" w:space="0" w:color="auto"/>
                                        <w:bottom w:val="none" w:sz="0" w:space="0" w:color="auto"/>
                                        <w:right w:val="none" w:sz="0" w:space="0" w:color="auto"/>
                                      </w:divBdr>
                                    </w:div>
                                    <w:div w:id="12412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508084">
              <w:marLeft w:val="0"/>
              <w:marRight w:val="0"/>
              <w:marTop w:val="0"/>
              <w:marBottom w:val="0"/>
              <w:divBdr>
                <w:top w:val="none" w:sz="0" w:space="0" w:color="auto"/>
                <w:left w:val="none" w:sz="0" w:space="0" w:color="auto"/>
                <w:bottom w:val="none" w:sz="0" w:space="0" w:color="auto"/>
                <w:right w:val="none" w:sz="0" w:space="0" w:color="auto"/>
              </w:divBdr>
              <w:divsChild>
                <w:div w:id="16318622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6320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ga.gov.au/industry/pm-argpm-guidance-7.htm" TargetMode="External"/><Relationship Id="rId25" Type="http://schemas.openxmlformats.org/officeDocument/2006/relationships/image" Target="media/image9.png"/><Relationship Id="rId33" Type="http://schemas.openxmlformats.org/officeDocument/2006/relationships/hyperlink" Target="https://www.tga.gov.au/picmi-search-facility"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ga.gov.au/ws-labs-index"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tga.gov.au/committee/advisory-committee-medicines-acm" TargetMode="External"/><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yperlink" Target="https://www.tga.gov.au/tgas-risk-management-approach"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tga.gov.au/publication/risk-management-plans-medicines-and-biologicals" TargetMode="External"/><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diabetesaustralia.com.au/wp-content/uploads/Available-here.pdf" TargetMode="External"/><Relationship Id="rId2" Type="http://schemas.openxmlformats.org/officeDocument/2006/relationships/hyperlink" Target="https://www.nice.org.uk/guidance/ng28/chapter/Recommendations" TargetMode="External"/><Relationship Id="rId1" Type="http://schemas.openxmlformats.org/officeDocument/2006/relationships/hyperlink" Target="https://www.aihw.gov.au/reports/diabetes/diabetes/contents/how-many-australians-have-diabetes/type-2-diabetes" TargetMode="External"/><Relationship Id="rId5" Type="http://schemas.openxmlformats.org/officeDocument/2006/relationships/hyperlink" Target="https://www.tga.gov.au/resources/auspar/auspar-semaglutide" TargetMode="External"/><Relationship Id="rId4" Type="http://schemas.openxmlformats.org/officeDocument/2006/relationships/hyperlink" Target="https://diabetessociety.com.au/downloads/20210412%20T2D%20Management%20Algorithm%200103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68C37-404B-4778-85A1-09FA20F9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41</Pages>
  <Words>13284</Words>
  <Characters>75719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Rybelsus</dc:title>
  <dc:subject>prescription medicine regulation</dc:subject>
  <dc:creator>Therapeutic Goods Administration</dc:creator>
  <cp:keywords/>
  <cp:lastModifiedBy>PITKIN, Brendan</cp:lastModifiedBy>
  <cp:revision>30</cp:revision>
  <cp:lastPrinted>2019-08-14T04:30:00Z</cp:lastPrinted>
  <dcterms:created xsi:type="dcterms:W3CDTF">2022-10-02T22:36:00Z</dcterms:created>
  <dcterms:modified xsi:type="dcterms:W3CDTF">2022-11-11T00:45:00Z</dcterms:modified>
  <cp:category/>
</cp:coreProperties>
</file>